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3B7E69">
      <w:pPr>
        <w:spacing w:line="276" w:lineRule="auto"/>
        <w:rPr>
          <w:rFonts w:hint="eastAsia" w:ascii="宋体" w:hAnsi="宋体" w:eastAsia="宋体"/>
          <w:caps/>
          <w:sz w:val="44"/>
          <w:szCs w:val="44"/>
        </w:rPr>
      </w:pPr>
      <w:bookmarkStart w:id="0" w:name="_Hlk131158162"/>
    </w:p>
    <w:p w14:paraId="144DBEF6">
      <w:pPr>
        <w:spacing w:line="276" w:lineRule="auto"/>
        <w:rPr>
          <w:rFonts w:ascii="宋体" w:hAnsi="宋体" w:eastAsia="宋体"/>
          <w:caps/>
          <w:sz w:val="44"/>
          <w:szCs w:val="44"/>
          <w:lang w:val="zh-CN"/>
        </w:rPr>
      </w:pPr>
    </w:p>
    <w:p w14:paraId="34BE242C">
      <w:pPr>
        <w:spacing w:line="276" w:lineRule="auto"/>
        <w:jc w:val="center"/>
        <w:rPr>
          <w:rFonts w:ascii="宋体" w:hAnsi="宋体" w:eastAsia="宋体"/>
          <w:b/>
          <w:sz w:val="20"/>
        </w:rPr>
      </w:pPr>
      <w:bookmarkStart w:id="1" w:name="_Toc503948053"/>
      <w:bookmarkStart w:id="2" w:name="_Toc503948559"/>
      <w:r>
        <w:rPr>
          <w:rFonts w:hint="eastAsia" w:ascii="宋体" w:hAnsi="宋体" w:eastAsia="宋体"/>
          <w:b/>
          <w:sz w:val="72"/>
        </w:rPr>
        <w:t>竞争性磋商文件</w:t>
      </w:r>
      <w:bookmarkEnd w:id="1"/>
      <w:bookmarkEnd w:id="2"/>
    </w:p>
    <w:p w14:paraId="2DD2B0AB">
      <w:pPr>
        <w:spacing w:line="276" w:lineRule="auto"/>
        <w:rPr>
          <w:rFonts w:ascii="宋体" w:hAnsi="宋体" w:eastAsia="宋体"/>
          <w:sz w:val="32"/>
          <w:szCs w:val="32"/>
          <w:lang w:val="zh-CN"/>
        </w:rPr>
      </w:pPr>
    </w:p>
    <w:p w14:paraId="4A25B4D9">
      <w:pPr>
        <w:spacing w:line="276" w:lineRule="auto"/>
        <w:rPr>
          <w:rFonts w:ascii="宋体" w:hAnsi="宋体" w:eastAsia="宋体"/>
          <w:sz w:val="32"/>
          <w:szCs w:val="32"/>
          <w:lang w:val="zh-CN"/>
        </w:rPr>
      </w:pPr>
    </w:p>
    <w:p w14:paraId="45577482">
      <w:pPr>
        <w:spacing w:line="276" w:lineRule="auto"/>
        <w:rPr>
          <w:rFonts w:ascii="宋体" w:hAnsi="宋体" w:eastAsia="宋体"/>
          <w:sz w:val="32"/>
          <w:szCs w:val="32"/>
          <w:lang w:val="zh-CN"/>
        </w:rPr>
      </w:pPr>
    </w:p>
    <w:p w14:paraId="22E71232">
      <w:pPr>
        <w:spacing w:line="276" w:lineRule="auto"/>
        <w:jc w:val="center"/>
        <w:rPr>
          <w:rFonts w:ascii="宋体" w:hAnsi="宋体" w:eastAsia="宋体"/>
          <w:sz w:val="44"/>
          <w:szCs w:val="44"/>
          <w:lang w:val="zh-CN"/>
        </w:rPr>
      </w:pPr>
    </w:p>
    <w:tbl>
      <w:tblPr>
        <w:tblStyle w:val="29"/>
        <w:tblpPr w:leftFromText="180" w:rightFromText="180" w:vertAnchor="text" w:horzAnchor="margin" w:tblpXSpec="right" w:tblpY="321"/>
        <w:tblW w:w="9472" w:type="dxa"/>
        <w:tblInd w:w="0" w:type="dxa"/>
        <w:tblLayout w:type="fixed"/>
        <w:tblCellMar>
          <w:top w:w="0" w:type="dxa"/>
          <w:left w:w="108" w:type="dxa"/>
          <w:bottom w:w="0" w:type="dxa"/>
          <w:right w:w="108" w:type="dxa"/>
        </w:tblCellMar>
      </w:tblPr>
      <w:tblGrid>
        <w:gridCol w:w="9472"/>
      </w:tblGrid>
      <w:tr w14:paraId="28B06E5F">
        <w:tblPrEx>
          <w:tblCellMar>
            <w:top w:w="0" w:type="dxa"/>
            <w:left w:w="108" w:type="dxa"/>
            <w:bottom w:w="0" w:type="dxa"/>
            <w:right w:w="108" w:type="dxa"/>
          </w:tblCellMar>
        </w:tblPrEx>
        <w:trPr>
          <w:trHeight w:val="2190" w:hRule="atLeast"/>
        </w:trPr>
        <w:tc>
          <w:tcPr>
            <w:tcW w:w="9472" w:type="dxa"/>
            <w:tcBorders>
              <w:top w:val="nil"/>
              <w:left w:val="nil"/>
              <w:bottom w:val="nil"/>
              <w:right w:val="nil"/>
            </w:tcBorders>
            <w:noWrap w:val="0"/>
            <w:vAlign w:val="top"/>
          </w:tcPr>
          <w:p w14:paraId="5217B3F9">
            <w:pPr>
              <w:spacing w:line="276" w:lineRule="auto"/>
              <w:jc w:val="center"/>
              <w:rPr>
                <w:rFonts w:ascii="宋体" w:hAnsi="宋体" w:eastAsia="宋体"/>
                <w:color w:val="0000FF"/>
                <w:sz w:val="40"/>
                <w:szCs w:val="40"/>
              </w:rPr>
            </w:pPr>
            <w:r>
              <w:rPr>
                <w:rFonts w:hint="eastAsia" w:ascii="宋体" w:hAnsi="宋体" w:eastAsia="宋体"/>
                <w:color w:val="0000FF"/>
                <w:sz w:val="40"/>
                <w:szCs w:val="40"/>
                <w:lang w:val="zh-CN"/>
              </w:rPr>
              <w:t>项目编号：JSZC-320115-FHGL-C2026-0001</w:t>
            </w:r>
          </w:p>
          <w:p w14:paraId="59A82FDB">
            <w:pPr>
              <w:spacing w:line="276" w:lineRule="auto"/>
              <w:jc w:val="center"/>
              <w:rPr>
                <w:lang w:val="zh-CN"/>
              </w:rPr>
            </w:pPr>
            <w:r>
              <w:rPr>
                <w:rFonts w:hint="eastAsia" w:ascii="宋体" w:hAnsi="宋体" w:eastAsia="宋体"/>
                <w:color w:val="0000FF"/>
                <w:sz w:val="40"/>
                <w:szCs w:val="40"/>
                <w:lang w:val="zh-CN"/>
              </w:rPr>
              <w:t>项目名称：2026-2028年度“村村亮”路灯管养维护服务项目</w:t>
            </w:r>
          </w:p>
        </w:tc>
      </w:tr>
    </w:tbl>
    <w:p w14:paraId="26CE27DF">
      <w:pPr>
        <w:spacing w:line="276" w:lineRule="auto"/>
        <w:rPr>
          <w:rFonts w:ascii="宋体" w:hAnsi="宋体" w:eastAsia="宋体"/>
          <w:sz w:val="32"/>
          <w:szCs w:val="32"/>
          <w:lang w:val="zh-CN"/>
        </w:rPr>
      </w:pPr>
    </w:p>
    <w:p w14:paraId="19C06EA5">
      <w:pPr>
        <w:spacing w:line="276" w:lineRule="auto"/>
        <w:rPr>
          <w:rFonts w:hint="eastAsia" w:ascii="宋体" w:hAnsi="宋体" w:eastAsia="宋体"/>
          <w:sz w:val="32"/>
          <w:szCs w:val="32"/>
        </w:rPr>
      </w:pPr>
    </w:p>
    <w:p w14:paraId="06F83712">
      <w:pPr>
        <w:spacing w:line="276" w:lineRule="auto"/>
        <w:rPr>
          <w:rFonts w:ascii="宋体" w:hAnsi="宋体" w:eastAsia="宋体"/>
          <w:sz w:val="32"/>
          <w:szCs w:val="32"/>
        </w:rPr>
      </w:pPr>
    </w:p>
    <w:p w14:paraId="28D46EB9">
      <w:pPr>
        <w:spacing w:line="276" w:lineRule="auto"/>
        <w:rPr>
          <w:rFonts w:ascii="宋体" w:hAnsi="宋体" w:eastAsia="宋体"/>
          <w:sz w:val="30"/>
          <w:szCs w:val="30"/>
        </w:rPr>
      </w:pPr>
    </w:p>
    <w:p w14:paraId="46CA328D">
      <w:pPr>
        <w:spacing w:line="276" w:lineRule="auto"/>
        <w:jc w:val="center"/>
        <w:rPr>
          <w:rFonts w:hint="eastAsia" w:ascii="宋体" w:hAnsi="宋体" w:eastAsia="宋体"/>
          <w:b/>
          <w:sz w:val="32"/>
          <w:lang w:eastAsia="zh-CN"/>
        </w:rPr>
      </w:pPr>
      <w:r>
        <w:rPr>
          <w:rFonts w:hint="eastAsia" w:ascii="宋体" w:hAnsi="宋体" w:eastAsia="宋体"/>
          <w:b/>
          <w:sz w:val="32"/>
        </w:rPr>
        <w:t>采购人：</w:t>
      </w:r>
      <w:r>
        <w:rPr>
          <w:rFonts w:hint="eastAsia" w:ascii="宋体" w:hAnsi="宋体" w:eastAsia="宋体"/>
          <w:b/>
          <w:sz w:val="32"/>
          <w:lang w:eastAsia="zh-CN"/>
        </w:rPr>
        <w:t>南京市江宁区人民政府禄口街道办事处</w:t>
      </w:r>
    </w:p>
    <w:p w14:paraId="4DCD6A8B">
      <w:pPr>
        <w:spacing w:line="276" w:lineRule="auto"/>
        <w:jc w:val="center"/>
        <w:rPr>
          <w:rFonts w:hint="eastAsia" w:ascii="宋体" w:hAnsi="宋体" w:eastAsia="宋体"/>
          <w:b/>
          <w:sz w:val="32"/>
          <w:lang w:eastAsia="zh-CN"/>
        </w:rPr>
      </w:pPr>
      <w:bookmarkStart w:id="3" w:name="_Toc503948054"/>
      <w:bookmarkStart w:id="4" w:name="_Toc503948560"/>
      <w:r>
        <w:rPr>
          <w:rFonts w:hint="eastAsia" w:ascii="宋体" w:hAnsi="宋体" w:eastAsia="宋体"/>
          <w:b/>
          <w:sz w:val="32"/>
        </w:rPr>
        <w:t>采购代理：</w:t>
      </w:r>
      <w:bookmarkEnd w:id="3"/>
      <w:bookmarkEnd w:id="4"/>
      <w:r>
        <w:rPr>
          <w:rFonts w:hint="eastAsia" w:ascii="宋体" w:hAnsi="宋体" w:eastAsia="宋体"/>
          <w:b/>
          <w:sz w:val="32"/>
          <w:lang w:eastAsia="zh-CN"/>
        </w:rPr>
        <w:t>南京富弘工程项目管理有限公司</w:t>
      </w:r>
    </w:p>
    <w:p w14:paraId="30C914D8">
      <w:pPr>
        <w:spacing w:line="276" w:lineRule="auto"/>
        <w:jc w:val="center"/>
        <w:rPr>
          <w:rFonts w:ascii="宋体" w:hAnsi="宋体" w:eastAsia="宋体"/>
          <w:sz w:val="32"/>
          <w:szCs w:val="44"/>
        </w:rPr>
      </w:pPr>
      <w:r>
        <w:rPr>
          <w:rFonts w:hint="eastAsia" w:ascii="宋体" w:hAnsi="宋体" w:eastAsia="宋体"/>
          <w:sz w:val="32"/>
          <w:szCs w:val="44"/>
          <w:lang w:val="zh-CN"/>
        </w:rPr>
        <w:t>二</w:t>
      </w:r>
      <w:r>
        <w:rPr>
          <w:rFonts w:hint="eastAsia" w:ascii="宋体" w:hAnsi="宋体" w:eastAsia="宋体"/>
          <w:sz w:val="32"/>
          <w:szCs w:val="44"/>
        </w:rPr>
        <w:t>○</w:t>
      </w:r>
      <w:r>
        <w:rPr>
          <w:rFonts w:hint="eastAsia" w:ascii="宋体" w:hAnsi="宋体" w:eastAsia="宋体"/>
          <w:sz w:val="32"/>
          <w:szCs w:val="44"/>
          <w:lang w:val="zh-CN"/>
        </w:rPr>
        <w:t>二</w:t>
      </w:r>
      <w:r>
        <w:rPr>
          <w:rFonts w:hint="eastAsia" w:ascii="宋体" w:hAnsi="宋体" w:eastAsia="宋体"/>
          <w:sz w:val="32"/>
          <w:szCs w:val="44"/>
        </w:rPr>
        <w:t>五</w:t>
      </w:r>
      <w:r>
        <w:rPr>
          <w:rFonts w:hint="eastAsia" w:ascii="宋体" w:hAnsi="宋体" w:eastAsia="宋体"/>
          <w:sz w:val="32"/>
          <w:szCs w:val="44"/>
          <w:lang w:val="zh-CN"/>
        </w:rPr>
        <w:t>年十二月九日</w:t>
      </w:r>
    </w:p>
    <w:p w14:paraId="10F4F5DB">
      <w:pPr>
        <w:pStyle w:val="347"/>
        <w:spacing w:line="276" w:lineRule="auto"/>
        <w:ind w:left="187" w:hanging="187"/>
        <w:rPr>
          <w:rFonts w:ascii="宋体" w:hAnsi="宋体" w:eastAsia="宋体"/>
          <w:color w:val="000000"/>
          <w:sz w:val="22"/>
          <w:lang w:val="en-US"/>
        </w:rPr>
        <w:sectPr>
          <w:footerReference r:id="rId4" w:type="first"/>
          <w:footerReference r:id="rId3" w:type="default"/>
          <w:pgSz w:w="11906" w:h="16838"/>
          <w:pgMar w:top="1440" w:right="1440" w:bottom="1440" w:left="1440" w:header="851" w:footer="992" w:gutter="0"/>
          <w:cols w:space="720" w:num="1"/>
          <w:titlePg/>
          <w:docGrid w:linePitch="360" w:charSpace="0"/>
        </w:sectPr>
      </w:pPr>
      <w:bookmarkStart w:id="5" w:name="_Toc503948055"/>
      <w:bookmarkStart w:id="6" w:name="_Toc503948561"/>
    </w:p>
    <w:p w14:paraId="189F95E1">
      <w:pPr>
        <w:pStyle w:val="463"/>
        <w:jc w:val="center"/>
        <w:rPr>
          <w:rFonts w:ascii="宋体" w:hAnsi="宋体" w:eastAsia="宋体"/>
          <w:color w:val="000000"/>
          <w:sz w:val="40"/>
          <w:lang w:val="zh-CN"/>
        </w:rPr>
      </w:pPr>
      <w:bookmarkStart w:id="7" w:name="_Toc14308"/>
      <w:r>
        <w:rPr>
          <w:rFonts w:ascii="宋体" w:hAnsi="宋体" w:eastAsia="宋体"/>
          <w:color w:val="000000"/>
          <w:sz w:val="40"/>
          <w:lang w:val="zh-CN"/>
        </w:rPr>
        <w:t>目录</w:t>
      </w:r>
      <w:bookmarkEnd w:id="7"/>
    </w:p>
    <w:p w14:paraId="4C88A83E">
      <w:pPr>
        <w:pStyle w:val="20"/>
        <w:tabs>
          <w:tab w:val="right" w:leader="dot" w:pos="9016"/>
        </w:tabs>
        <w:spacing w:line="276" w:lineRule="auto"/>
        <w:rPr>
          <w:rFonts w:ascii="宋体" w:hAnsi="宋体" w:eastAsia="宋体"/>
          <w:szCs w:val="22"/>
        </w:rPr>
      </w:pPr>
      <w:r>
        <w:rPr>
          <w:rFonts w:ascii="宋体" w:hAnsi="宋体" w:eastAsia="宋体"/>
          <w:sz w:val="24"/>
        </w:rPr>
        <w:fldChar w:fldCharType="begin"/>
      </w:r>
      <w:r>
        <w:rPr>
          <w:rFonts w:ascii="宋体" w:hAnsi="宋体" w:eastAsia="宋体"/>
          <w:sz w:val="24"/>
        </w:rPr>
        <w:instrText xml:space="preserve"> TOC \o "1-3" \h \z \u </w:instrText>
      </w:r>
      <w:r>
        <w:rPr>
          <w:rFonts w:ascii="宋体" w:hAnsi="宋体" w:eastAsia="宋体"/>
          <w:sz w:val="24"/>
        </w:rPr>
        <w:fldChar w:fldCharType="separate"/>
      </w: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"_Toc190329530"</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第一章磋商邀请</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_Toc190329530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Style w:val="255"/>
          <w:rFonts w:ascii="宋体" w:hAnsi="宋体" w:eastAsia="宋体"/>
          <w:color w:val="000000"/>
        </w:rPr>
        <w:fldChar w:fldCharType="end"/>
      </w:r>
    </w:p>
    <w:p w14:paraId="0CAFEECE">
      <w:pPr>
        <w:pStyle w:val="20"/>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"_Toc190329531"</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第二章磋商供应商须知</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_Toc190329531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Style w:val="255"/>
          <w:rFonts w:ascii="宋体" w:hAnsi="宋体" w:eastAsia="宋体"/>
          <w:color w:val="000000"/>
        </w:rPr>
        <w:fldChar w:fldCharType="end"/>
      </w:r>
    </w:p>
    <w:p w14:paraId="3C31A518">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"_Toc190329532"</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一、总则</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_Toc190329532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Style w:val="255"/>
          <w:rFonts w:ascii="宋体" w:hAnsi="宋体" w:eastAsia="宋体"/>
          <w:color w:val="000000"/>
        </w:rPr>
        <w:fldChar w:fldCharType="end"/>
      </w:r>
    </w:p>
    <w:p w14:paraId="70054D00">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"_Toc190329533"</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二、电子磋商响应文件编制</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_Toc190329533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Style w:val="255"/>
          <w:rFonts w:ascii="宋体" w:hAnsi="宋体" w:eastAsia="宋体"/>
          <w:color w:val="000000"/>
        </w:rPr>
        <w:fldChar w:fldCharType="end"/>
      </w:r>
    </w:p>
    <w:p w14:paraId="3ACABA49">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"_Toc190329534"</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shd w:val="clear" w:color="auto" w:fill="FFFFFF"/>
        </w:rPr>
        <w:t>三、电子磋商响应文件的提交</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_Toc190329534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Style w:val="255"/>
          <w:rFonts w:ascii="宋体" w:hAnsi="宋体" w:eastAsia="宋体"/>
          <w:color w:val="000000"/>
        </w:rPr>
        <w:fldChar w:fldCharType="end"/>
      </w:r>
    </w:p>
    <w:p w14:paraId="2C8586C4">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"_Toc190329535"</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四、磋商</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_Toc190329535 \h </w:instrText>
      </w:r>
      <w:r>
        <w:rPr>
          <w:rFonts w:ascii="宋体" w:hAnsi="宋体" w:eastAsia="宋体"/>
        </w:rPr>
        <w:fldChar w:fldCharType="separate"/>
      </w:r>
      <w:r>
        <w:rPr>
          <w:rFonts w:ascii="宋体" w:hAnsi="宋体" w:eastAsia="宋体"/>
        </w:rPr>
        <w:t>9</w:t>
      </w:r>
      <w:r>
        <w:rPr>
          <w:rFonts w:ascii="宋体" w:hAnsi="宋体" w:eastAsia="宋体"/>
        </w:rPr>
        <w:fldChar w:fldCharType="end"/>
      </w:r>
      <w:r>
        <w:rPr>
          <w:rStyle w:val="255"/>
          <w:rFonts w:ascii="宋体" w:hAnsi="宋体" w:eastAsia="宋体"/>
          <w:color w:val="000000"/>
        </w:rPr>
        <w:fldChar w:fldCharType="end"/>
      </w:r>
    </w:p>
    <w:p w14:paraId="243F7F5D">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"_Toc190329536"</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五、质疑和投诉</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_Toc190329536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Style w:val="255"/>
          <w:rFonts w:ascii="宋体" w:hAnsi="宋体" w:eastAsia="宋体"/>
          <w:color w:val="000000"/>
        </w:rPr>
        <w:fldChar w:fldCharType="end"/>
      </w:r>
    </w:p>
    <w:p w14:paraId="39A40AE7">
      <w:pPr>
        <w:pStyle w:val="20"/>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"_Toc190329537"</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第三章磋商评审标准</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_Toc190329537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Style w:val="255"/>
          <w:rFonts w:ascii="宋体" w:hAnsi="宋体" w:eastAsia="宋体"/>
          <w:color w:val="000000"/>
        </w:rPr>
        <w:fldChar w:fldCharType="end"/>
      </w:r>
    </w:p>
    <w:p w14:paraId="3D8D5BC2">
      <w:pPr>
        <w:pStyle w:val="20"/>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"_Toc190329538"</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★第四章招标项目说明及技术要求</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_Toc190329538 \h </w:instrText>
      </w:r>
      <w:r>
        <w:rPr>
          <w:rFonts w:ascii="宋体" w:hAnsi="宋体" w:eastAsia="宋体"/>
        </w:rPr>
        <w:fldChar w:fldCharType="separate"/>
      </w:r>
      <w:r>
        <w:rPr>
          <w:rFonts w:ascii="宋体" w:hAnsi="宋体" w:eastAsia="宋体"/>
        </w:rPr>
        <w:t>16</w:t>
      </w:r>
      <w:r>
        <w:rPr>
          <w:rFonts w:ascii="宋体" w:hAnsi="宋体" w:eastAsia="宋体"/>
        </w:rPr>
        <w:fldChar w:fldCharType="end"/>
      </w:r>
      <w:r>
        <w:rPr>
          <w:rStyle w:val="255"/>
          <w:rFonts w:ascii="宋体" w:hAnsi="宋体" w:eastAsia="宋体"/>
          <w:color w:val="000000"/>
        </w:rPr>
        <w:fldChar w:fldCharType="end"/>
      </w:r>
    </w:p>
    <w:p w14:paraId="6D80EAAE">
      <w:pPr>
        <w:pStyle w:val="20"/>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"_Toc190329539"</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第五章合同主要条款及格式</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_Toc190329539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Style w:val="255"/>
          <w:rFonts w:ascii="宋体" w:hAnsi="宋体" w:eastAsia="宋体"/>
          <w:color w:val="000000"/>
        </w:rPr>
        <w:fldChar w:fldCharType="end"/>
      </w:r>
    </w:p>
    <w:p w14:paraId="43041C37">
      <w:pPr>
        <w:pStyle w:val="20"/>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"_Toc190329540"</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第六章电子磋商响应文件格式</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_Toc190329540 \h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Style w:val="255"/>
          <w:rFonts w:ascii="宋体" w:hAnsi="宋体" w:eastAsia="宋体"/>
          <w:color w:val="000000"/>
        </w:rPr>
        <w:fldChar w:fldCharType="end"/>
      </w:r>
    </w:p>
    <w:p w14:paraId="73A081A2">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"_Toc190329541"</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b/>
          <w:color w:val="000000"/>
          <w:lang w:val="zh-CN"/>
        </w:rPr>
        <w:t>附件一、磋商申请及声明格式</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_Toc190329541 \h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Style w:val="255"/>
          <w:rFonts w:ascii="宋体" w:hAnsi="宋体" w:eastAsia="宋体"/>
          <w:color w:val="000000"/>
        </w:rPr>
        <w:fldChar w:fldCharType="end"/>
      </w:r>
    </w:p>
    <w:p w14:paraId="7E65E463">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"_Toc190329542"</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b/>
          <w:color w:val="000000"/>
        </w:rPr>
        <w:t>附件二、法定代表人授权委托书格式</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_Toc190329542 \h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Style w:val="255"/>
          <w:rFonts w:ascii="宋体" w:hAnsi="宋体" w:eastAsia="宋体"/>
          <w:color w:val="000000"/>
        </w:rPr>
        <w:fldChar w:fldCharType="end"/>
      </w:r>
    </w:p>
    <w:p w14:paraId="513AF55F">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"_Toc190329543"</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lang w:val="zh-CN"/>
        </w:rPr>
        <w:t>附件三、磋商报价表</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_Toc190329543 \h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Style w:val="255"/>
          <w:rFonts w:ascii="宋体" w:hAnsi="宋体" w:eastAsia="宋体"/>
          <w:color w:val="000000"/>
        </w:rPr>
        <w:fldChar w:fldCharType="end"/>
      </w:r>
    </w:p>
    <w:p w14:paraId="6E622090">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"_Toc190329544"</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bCs/>
          <w:color w:val="000000"/>
          <w:lang w:val="zh-CN"/>
        </w:rPr>
        <w:t>附件四、</w:t>
      </w:r>
      <w:r>
        <w:rPr>
          <w:rStyle w:val="255"/>
          <w:rFonts w:ascii="宋体" w:hAnsi="宋体" w:eastAsia="宋体" w:cs="Trebuchet MS"/>
          <w:b/>
          <w:bCs/>
          <w:color w:val="000000"/>
        </w:rPr>
        <w:t>对</w:t>
      </w:r>
      <w:r>
        <w:rPr>
          <w:rStyle w:val="255"/>
          <w:rFonts w:ascii="宋体" w:hAnsi="宋体" w:eastAsia="宋体" w:cs="Trebuchet MS"/>
          <w:b/>
          <w:bCs/>
          <w:color w:val="000000"/>
          <w:lang w:val="zh-CN"/>
        </w:rPr>
        <w:t>第一章磋商邀请中《中华人民共和国政府采购法》规定的资格条件</w:t>
      </w:r>
      <w:r>
        <w:rPr>
          <w:rStyle w:val="255"/>
          <w:rFonts w:ascii="宋体" w:hAnsi="宋体" w:eastAsia="宋体" w:cs="Trebuchet MS"/>
          <w:b/>
          <w:bCs/>
          <w:color w:val="000000"/>
        </w:rPr>
        <w:t>作出的书面承诺书</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_Toc190329544 \h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Style w:val="255"/>
          <w:rFonts w:ascii="宋体" w:hAnsi="宋体" w:eastAsia="宋体"/>
          <w:color w:val="000000"/>
        </w:rPr>
        <w:fldChar w:fldCharType="end"/>
      </w:r>
    </w:p>
    <w:p w14:paraId="624D16B0">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"_Toc190329545"</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bCs/>
          <w:color w:val="000000"/>
          <w:lang w:val="zh-CN"/>
        </w:rPr>
        <w:t>附件五、第一章磋商邀请中采购人根据采购项目的特殊要求规定的特定条件证明文件；</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_Toc190329545 \h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Style w:val="255"/>
          <w:rFonts w:ascii="宋体" w:hAnsi="宋体" w:eastAsia="宋体"/>
          <w:color w:val="000000"/>
        </w:rPr>
        <w:fldChar w:fldCharType="end"/>
      </w:r>
    </w:p>
    <w:p w14:paraId="2D958207">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"_Toc190329546"</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lang w:val="zh-CN"/>
        </w:rPr>
        <w:t>附件六、</w:t>
      </w:r>
      <w:r>
        <w:rPr>
          <w:rStyle w:val="255"/>
          <w:rFonts w:ascii="宋体" w:hAnsi="宋体" w:eastAsia="宋体" w:cs="Trebuchet MS"/>
          <w:b/>
          <w:color w:val="000000"/>
        </w:rPr>
        <w:t>分项报价明细表</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_Toc190329546 \h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Style w:val="255"/>
          <w:rFonts w:ascii="宋体" w:hAnsi="宋体" w:eastAsia="宋体"/>
          <w:color w:val="000000"/>
        </w:rPr>
        <w:fldChar w:fldCharType="end"/>
      </w:r>
    </w:p>
    <w:p w14:paraId="5AC6E2E9">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"_Toc190329547"</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b/>
          <w:color w:val="000000"/>
        </w:rPr>
        <w:t>附件七、商务条款偏离表</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_Toc190329547 \h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Style w:val="255"/>
          <w:rFonts w:ascii="宋体" w:hAnsi="宋体" w:eastAsia="宋体"/>
          <w:color w:val="000000"/>
        </w:rPr>
        <w:fldChar w:fldCharType="end"/>
      </w:r>
    </w:p>
    <w:p w14:paraId="198F2F84">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"_Toc190329548"</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b/>
          <w:bCs/>
          <w:color w:val="000000"/>
        </w:rPr>
        <w:t>附件八、</w:t>
      </w:r>
      <w:r>
        <w:rPr>
          <w:rStyle w:val="255"/>
          <w:rFonts w:ascii="宋体" w:hAnsi="宋体" w:eastAsia="宋体" w:cs="ˎ̥"/>
          <w:b/>
          <w:bCs/>
          <w:color w:val="000000"/>
          <w:lang w:val="zh-CN"/>
        </w:rPr>
        <w:t>技术条款偏离表</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_Toc190329548 \h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Style w:val="255"/>
          <w:rFonts w:ascii="宋体" w:hAnsi="宋体" w:eastAsia="宋体"/>
          <w:color w:val="000000"/>
        </w:rPr>
        <w:fldChar w:fldCharType="end"/>
      </w:r>
    </w:p>
    <w:p w14:paraId="6CC3830A">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"_Toc190329549"</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b/>
          <w:bCs/>
          <w:color w:val="000000"/>
        </w:rPr>
        <w:t>附件九、供应商项目业绩及人员情况</w:t>
      </w:r>
      <w:r>
        <w:rPr>
          <w:rStyle w:val="255"/>
          <w:rFonts w:ascii="宋体" w:hAnsi="宋体" w:eastAsia="宋体" w:cs="ˎ̥"/>
          <w:b/>
          <w:bCs/>
          <w:color w:val="000000"/>
          <w:lang w:val="zh-CN"/>
        </w:rPr>
        <w:t>表</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_Toc190329549 \h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Style w:val="255"/>
          <w:rFonts w:ascii="宋体" w:hAnsi="宋体" w:eastAsia="宋体"/>
          <w:color w:val="000000"/>
        </w:rPr>
        <w:fldChar w:fldCharType="end"/>
      </w:r>
    </w:p>
    <w:p w14:paraId="7C8173CB">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"_Toc190329550"</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b/>
          <w:color w:val="000000"/>
        </w:rPr>
        <w:t>附件十、中小企业声明函格式</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_Toc190329550 \h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Style w:val="255"/>
          <w:rFonts w:ascii="宋体" w:hAnsi="宋体" w:eastAsia="宋体"/>
          <w:color w:val="000000"/>
        </w:rPr>
        <w:fldChar w:fldCharType="end"/>
      </w:r>
    </w:p>
    <w:p w14:paraId="566E88A2">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"_Toc190329551"</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b/>
          <w:color w:val="000000"/>
        </w:rPr>
        <w:t>附件十一、无重大违法记录声明格式</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_Toc190329551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Style w:val="255"/>
          <w:rFonts w:ascii="宋体" w:hAnsi="宋体" w:eastAsia="宋体"/>
          <w:color w:val="000000"/>
        </w:rPr>
        <w:fldChar w:fldCharType="end"/>
      </w:r>
    </w:p>
    <w:p w14:paraId="614FBA01">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"_Toc190329552"</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spacing w:val="15"/>
        </w:rPr>
        <w:t>附件十二、</w:t>
      </w:r>
      <w:r>
        <w:rPr>
          <w:rStyle w:val="255"/>
          <w:rFonts w:ascii="宋体" w:hAnsi="宋体" w:eastAsia="宋体" w:cs="Trebuchet MS"/>
          <w:b/>
          <w:bCs/>
          <w:color w:val="000000"/>
          <w:spacing w:val="15"/>
        </w:rPr>
        <w:t>安全生产责任承诺书</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_Toc190329552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Style w:val="255"/>
          <w:rFonts w:ascii="宋体" w:hAnsi="宋体" w:eastAsia="宋体"/>
          <w:color w:val="000000"/>
        </w:rPr>
        <w:fldChar w:fldCharType="end"/>
      </w:r>
    </w:p>
    <w:p w14:paraId="4C856CB2">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"_Toc190329553"</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spacing w:val="15"/>
        </w:rPr>
        <w:t>附件十三、残疾人福利性单位声明函</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_Toc190329553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Style w:val="255"/>
          <w:rFonts w:ascii="宋体" w:hAnsi="宋体" w:eastAsia="宋体"/>
          <w:color w:val="000000"/>
        </w:rPr>
        <w:fldChar w:fldCharType="end"/>
      </w:r>
    </w:p>
    <w:p w14:paraId="6873D562">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"_Toc190329554"</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spacing w:val="15"/>
        </w:rPr>
        <w:t>附件十四、属于监狱企业的证明文件</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_Toc190329554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Style w:val="255"/>
          <w:rFonts w:ascii="宋体" w:hAnsi="宋体" w:eastAsia="宋体"/>
          <w:color w:val="000000"/>
        </w:rPr>
        <w:fldChar w:fldCharType="end"/>
      </w:r>
    </w:p>
    <w:p w14:paraId="50000D47">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"_Toc190329555"</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spacing w:val="15"/>
        </w:rPr>
        <w:t>附件十五、节能产品认证文件</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_Toc190329555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Style w:val="255"/>
          <w:rFonts w:ascii="宋体" w:hAnsi="宋体" w:eastAsia="宋体"/>
          <w:color w:val="000000"/>
        </w:rPr>
        <w:fldChar w:fldCharType="end"/>
      </w:r>
    </w:p>
    <w:p w14:paraId="2E031ADE">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"_Toc190329556"</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spacing w:val="15"/>
        </w:rPr>
        <w:t>附件十六、环境标志产品认证文件</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_Toc190329556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Style w:val="255"/>
          <w:rFonts w:ascii="宋体" w:hAnsi="宋体" w:eastAsia="宋体"/>
          <w:color w:val="000000"/>
        </w:rPr>
        <w:fldChar w:fldCharType="end"/>
      </w:r>
    </w:p>
    <w:p w14:paraId="5E7DF01E">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"_Toc190329557"</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spacing w:val="15"/>
        </w:rPr>
        <w:t>附件十七、进口产品转让技术、消化吸收再创新方案</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_Toc190329557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Style w:val="255"/>
          <w:rFonts w:ascii="宋体" w:hAnsi="宋体" w:eastAsia="宋体"/>
          <w:color w:val="000000"/>
        </w:rPr>
        <w:fldChar w:fldCharType="end"/>
      </w:r>
    </w:p>
    <w:p w14:paraId="062C4A0A">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"_Toc190329558"</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spacing w:val="15"/>
        </w:rPr>
        <w:t>附件十八：磋商供应商认为需提供的其他资料</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_Toc190329558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Style w:val="255"/>
          <w:rFonts w:ascii="宋体" w:hAnsi="宋体" w:eastAsia="宋体"/>
          <w:color w:val="000000"/>
        </w:rPr>
        <w:fldChar w:fldCharType="end"/>
      </w:r>
    </w:p>
    <w:p w14:paraId="50E5D5ED">
      <w:pPr>
        <w:pStyle w:val="26"/>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"_Toc190329559"</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s="Trebuchet MS"/>
          <w:b/>
          <w:color w:val="000000"/>
          <w:spacing w:val="15"/>
        </w:rPr>
        <w:t>附件十九：服务方案</w:t>
      </w:r>
      <w:r>
        <w:rPr>
          <w:rStyle w:val="255"/>
          <w:rFonts w:ascii="宋体" w:hAnsi="宋体" w:eastAsia="宋体" w:cs="ˎ̥"/>
          <w:b/>
          <w:bCs/>
          <w:color w:val="000000"/>
          <w:lang w:val="zh-CN"/>
        </w:rPr>
        <w:t>文件(格式自拟)</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_Toc190329559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Style w:val="255"/>
          <w:rFonts w:ascii="宋体" w:hAnsi="宋体" w:eastAsia="宋体"/>
          <w:color w:val="000000"/>
        </w:rPr>
        <w:fldChar w:fldCharType="end"/>
      </w:r>
    </w:p>
    <w:p w14:paraId="167C9564">
      <w:pPr>
        <w:pStyle w:val="20"/>
        <w:tabs>
          <w:tab w:val="right" w:leader="dot" w:pos="9016"/>
        </w:tabs>
        <w:spacing w:line="276" w:lineRule="auto"/>
        <w:rPr>
          <w:rFonts w:ascii="宋体" w:hAnsi="宋体" w:eastAsia="宋体"/>
          <w:szCs w:val="22"/>
        </w:rPr>
      </w:pPr>
      <w:r>
        <w:rPr>
          <w:rStyle w:val="255"/>
          <w:rFonts w:ascii="宋体" w:hAnsi="宋体" w:eastAsia="宋体"/>
          <w:color w:val="000000"/>
        </w:rPr>
        <w:fldChar w:fldCharType="begin"/>
      </w:r>
      <w:r>
        <w:rPr>
          <w:rStyle w:val="255"/>
          <w:rFonts w:ascii="宋体" w:hAnsi="宋体" w:eastAsia="宋体"/>
          <w:color w:val="000000"/>
        </w:rPr>
        <w:instrText xml:space="preserve"> </w:instrText>
      </w:r>
      <w:r>
        <w:rPr>
          <w:rFonts w:ascii="宋体" w:hAnsi="宋体" w:eastAsia="宋体"/>
        </w:rPr>
        <w:instrText xml:space="preserve">HYPERLINK \l "_Toc190329560"</w:instrText>
      </w:r>
      <w:r>
        <w:rPr>
          <w:rStyle w:val="255"/>
          <w:rFonts w:ascii="宋体" w:hAnsi="宋体" w:eastAsia="宋体"/>
          <w:color w:val="000000"/>
        </w:rPr>
        <w:instrText xml:space="preserve"> </w:instrText>
      </w:r>
      <w:r>
        <w:rPr>
          <w:rStyle w:val="255"/>
          <w:rFonts w:ascii="宋体" w:hAnsi="宋体" w:eastAsia="宋体"/>
          <w:color w:val="000000"/>
        </w:rPr>
        <w:fldChar w:fldCharType="separate"/>
      </w:r>
      <w:r>
        <w:rPr>
          <w:rStyle w:val="255"/>
          <w:rFonts w:ascii="宋体" w:hAnsi="宋体" w:eastAsia="宋体"/>
          <w:color w:val="000000"/>
        </w:rPr>
        <w:t>第七章 供应商中标后需要提交核验的资料</w:t>
      </w:r>
      <w:r>
        <w:rPr>
          <w:rFonts w:ascii="宋体" w:hAnsi="宋体" w:eastAsia="宋体"/>
        </w:rPr>
        <w:tab/>
      </w:r>
      <w:r>
        <w:rPr>
          <w:rFonts w:ascii="宋体" w:hAnsi="宋体" w:eastAsia="宋体"/>
        </w:rPr>
        <w:fldChar w:fldCharType="begin"/>
      </w:r>
      <w:r>
        <w:rPr>
          <w:rFonts w:ascii="宋体" w:hAnsi="宋体" w:eastAsia="宋体"/>
        </w:rPr>
        <w:instrText xml:space="preserve"> PAGEREF _Toc190329560 \h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Style w:val="255"/>
          <w:rFonts w:ascii="宋体" w:hAnsi="宋体" w:eastAsia="宋体"/>
          <w:color w:val="000000"/>
        </w:rPr>
        <w:fldChar w:fldCharType="end"/>
      </w:r>
    </w:p>
    <w:p w14:paraId="3A610695">
      <w:pPr>
        <w:spacing w:line="276" w:lineRule="auto"/>
        <w:rPr>
          <w:rFonts w:ascii="宋体" w:hAnsi="宋体" w:eastAsia="宋体"/>
          <w:sz w:val="24"/>
        </w:rPr>
      </w:pPr>
      <w:r>
        <w:rPr>
          <w:rFonts w:ascii="宋体" w:hAnsi="宋体" w:eastAsia="宋体"/>
        </w:rPr>
        <w:fldChar w:fldCharType="end"/>
      </w:r>
    </w:p>
    <w:p w14:paraId="6A9CB0C7">
      <w:pPr>
        <w:pStyle w:val="347"/>
        <w:spacing w:line="276" w:lineRule="auto"/>
        <w:rPr>
          <w:rFonts w:ascii="宋体" w:hAnsi="宋体" w:eastAsia="宋体"/>
          <w:color w:val="000000"/>
        </w:rPr>
        <w:sectPr>
          <w:pgSz w:w="11906" w:h="16838"/>
          <w:pgMar w:top="1440" w:right="1440" w:bottom="1440" w:left="1440" w:header="851" w:footer="992" w:gutter="0"/>
          <w:pgNumType w:start="1"/>
          <w:cols w:space="720" w:num="1"/>
          <w:titlePg/>
          <w:docGrid w:linePitch="360" w:charSpace="0"/>
        </w:sectPr>
      </w:pPr>
    </w:p>
    <w:p w14:paraId="2B807154">
      <w:pPr>
        <w:pStyle w:val="347"/>
        <w:numPr>
          <w:ilvl w:val="0"/>
          <w:numId w:val="1"/>
        </w:numPr>
        <w:spacing w:line="276" w:lineRule="auto"/>
        <w:rPr>
          <w:rFonts w:hint="eastAsia" w:ascii="宋体" w:hAnsi="宋体" w:eastAsia="宋体"/>
          <w:color w:val="000000"/>
        </w:rPr>
      </w:pPr>
      <w:bookmarkStart w:id="8" w:name="_Toc85525782"/>
      <w:bookmarkStart w:id="9" w:name="_Toc190329530"/>
      <w:r>
        <w:rPr>
          <w:rFonts w:hint="eastAsia" w:ascii="宋体" w:hAnsi="宋体" w:eastAsia="宋体"/>
          <w:color w:val="000000"/>
        </w:rPr>
        <w:t>磋商邀请</w:t>
      </w:r>
      <w:bookmarkEnd w:id="5"/>
      <w:bookmarkEnd w:id="6"/>
      <w:bookmarkEnd w:id="8"/>
      <w:bookmarkEnd w:id="9"/>
    </w:p>
    <w:p w14:paraId="4072E9FA">
      <w:pPr>
        <w:pStyle w:val="331"/>
        <w:numPr>
          <w:ilvl w:val="0"/>
          <w:numId w:val="0"/>
        </w:numPr>
        <w:ind w:leftChars="0" w:right="44" w:rightChars="0"/>
      </w:pPr>
    </w:p>
    <w:p w14:paraId="428CDB23">
      <w:pPr>
        <w:spacing w:line="276" w:lineRule="auto"/>
        <w:ind w:firstLine="422"/>
        <w:rPr>
          <w:rStyle w:val="250"/>
          <w:rFonts w:hint="eastAsia" w:ascii="宋体" w:hAnsi="宋体" w:eastAsia="宋体" w:cs="Cambria"/>
          <w:sz w:val="24"/>
          <w:szCs w:val="24"/>
          <w:u w:val="single"/>
          <w:lang w:val="en-US" w:eastAsia="zh-CN"/>
        </w:rPr>
      </w:pPr>
      <w:bookmarkStart w:id="10" w:name="_Toc503948563"/>
      <w:bookmarkStart w:id="11" w:name="_Toc503948056"/>
      <w:bookmarkStart w:id="12" w:name="_Toc503948562"/>
    </w:p>
    <w:p w14:paraId="00589BA5">
      <w:pPr>
        <w:spacing w:line="276" w:lineRule="auto"/>
        <w:ind w:firstLine="422"/>
        <w:rPr>
          <w:rFonts w:ascii="宋体" w:hAnsi="宋体" w:eastAsia="宋体" w:cs="方正大黑简体"/>
          <w:sz w:val="24"/>
          <w:szCs w:val="24"/>
        </w:rPr>
      </w:pPr>
      <w:r>
        <w:rPr>
          <w:rStyle w:val="250"/>
          <w:rFonts w:hint="eastAsia" w:ascii="宋体" w:hAnsi="宋体" w:eastAsia="宋体" w:cs="Cambria"/>
          <w:color w:val="0000FF"/>
          <w:sz w:val="24"/>
          <w:szCs w:val="24"/>
          <w:u w:val="single"/>
          <w:lang w:eastAsia="zh-CN"/>
        </w:rPr>
        <w:t>2026-2028年度“村村亮”路灯管养维护服务项目</w:t>
      </w:r>
      <w:r>
        <w:rPr>
          <w:rStyle w:val="250"/>
          <w:rFonts w:hint="eastAsia" w:ascii="宋体" w:hAnsi="宋体" w:eastAsia="宋体" w:cs="Cambria"/>
          <w:sz w:val="24"/>
          <w:szCs w:val="24"/>
          <w:u w:val="single"/>
          <w:lang w:val="en-US" w:eastAsia="zh-CN"/>
        </w:rPr>
        <w:t xml:space="preserve"> </w:t>
      </w:r>
      <w:r>
        <w:rPr>
          <w:rFonts w:hint="eastAsia" w:ascii="宋体" w:hAnsi="宋体" w:eastAsia="宋体" w:cs="方正大黑简体"/>
          <w:sz w:val="24"/>
          <w:szCs w:val="24"/>
        </w:rPr>
        <w:t>的潜在供应商应在</w:t>
      </w:r>
      <w:r>
        <w:rPr>
          <w:rFonts w:hint="eastAsia" w:ascii="宋体" w:hAnsi="宋体" w:eastAsia="宋体" w:cs="Trebuchet MS"/>
          <w:sz w:val="24"/>
          <w:szCs w:val="24"/>
        </w:rPr>
        <w:t>江苏省政府采购交易系统“苏采云系统”</w:t>
      </w:r>
      <w:r>
        <w:rPr>
          <w:rFonts w:hint="eastAsia" w:ascii="宋体" w:hAnsi="宋体" w:eastAsia="宋体" w:cs="方正大黑简体"/>
          <w:sz w:val="24"/>
          <w:szCs w:val="24"/>
        </w:rPr>
        <w:t>获取采购文件，并</w:t>
      </w:r>
      <w:r>
        <w:rPr>
          <w:rFonts w:hint="eastAsia" w:ascii="宋体" w:hAnsi="宋体" w:eastAsia="宋体" w:cs="方正大黑简体"/>
          <w:sz w:val="24"/>
          <w:szCs w:val="24"/>
          <w:highlight w:val="none"/>
        </w:rPr>
        <w:t>于</w:t>
      </w:r>
      <w:r>
        <w:rPr>
          <w:rFonts w:hint="eastAsia" w:ascii="宋体" w:hAnsi="宋体" w:eastAsia="宋体" w:cs="方正大黑简体"/>
          <w:color w:val="0000FF"/>
          <w:sz w:val="24"/>
          <w:szCs w:val="24"/>
          <w:highlight w:val="none"/>
        </w:rPr>
        <w:t>202</w:t>
      </w:r>
      <w:r>
        <w:rPr>
          <w:rFonts w:hint="eastAsia" w:ascii="宋体" w:hAnsi="宋体" w:eastAsia="宋体" w:cs="方正大黑简体"/>
          <w:color w:val="0000FF"/>
          <w:sz w:val="24"/>
          <w:szCs w:val="24"/>
          <w:highlight w:val="none"/>
          <w:lang w:val="en-US" w:eastAsia="zh-CN"/>
        </w:rPr>
        <w:t>6</w:t>
      </w:r>
      <w:r>
        <w:rPr>
          <w:rFonts w:hint="eastAsia" w:ascii="宋体" w:hAnsi="宋体" w:eastAsia="宋体" w:cs="方正大黑简体"/>
          <w:color w:val="0000FF"/>
          <w:sz w:val="24"/>
          <w:szCs w:val="24"/>
          <w:highlight w:val="none"/>
        </w:rPr>
        <w:t>年</w:t>
      </w:r>
      <w:r>
        <w:rPr>
          <w:rFonts w:hint="eastAsia" w:ascii="宋体" w:hAnsi="宋体" w:eastAsia="宋体" w:cs="方正大黑简体"/>
          <w:color w:val="0000FF"/>
          <w:sz w:val="24"/>
          <w:szCs w:val="24"/>
          <w:highlight w:val="none"/>
          <w:lang w:val="en-US" w:eastAsia="zh-CN"/>
        </w:rPr>
        <w:t>01</w:t>
      </w:r>
      <w:r>
        <w:rPr>
          <w:rFonts w:hint="eastAsia" w:ascii="宋体" w:hAnsi="宋体" w:eastAsia="宋体" w:cs="方正大黑简体"/>
          <w:color w:val="0000FF"/>
          <w:sz w:val="24"/>
          <w:szCs w:val="24"/>
          <w:highlight w:val="none"/>
        </w:rPr>
        <w:t>月</w:t>
      </w:r>
      <w:r>
        <w:rPr>
          <w:rFonts w:hint="eastAsia" w:ascii="宋体" w:hAnsi="宋体" w:eastAsia="宋体" w:cs="方正大黑简体"/>
          <w:color w:val="0000FF"/>
          <w:sz w:val="24"/>
          <w:szCs w:val="24"/>
          <w:highlight w:val="none"/>
          <w:lang w:val="en-US" w:eastAsia="zh-CN"/>
        </w:rPr>
        <w:t>16</w:t>
      </w:r>
      <w:r>
        <w:rPr>
          <w:rFonts w:hint="eastAsia" w:ascii="宋体" w:hAnsi="宋体" w:eastAsia="宋体" w:cs="方正大黑简体"/>
          <w:color w:val="0000FF"/>
          <w:sz w:val="24"/>
          <w:szCs w:val="24"/>
          <w:highlight w:val="none"/>
        </w:rPr>
        <w:t>日</w:t>
      </w:r>
      <w:r>
        <w:rPr>
          <w:rFonts w:hint="eastAsia" w:ascii="宋体" w:hAnsi="宋体" w:eastAsia="宋体" w:cs="方正大黑简体"/>
          <w:color w:val="0000FF"/>
          <w:sz w:val="24"/>
          <w:szCs w:val="24"/>
          <w:highlight w:val="none"/>
          <w:lang w:val="en-US" w:eastAsia="zh-CN"/>
        </w:rPr>
        <w:t>14</w:t>
      </w:r>
      <w:r>
        <w:rPr>
          <w:rFonts w:hint="eastAsia" w:ascii="宋体" w:hAnsi="宋体" w:eastAsia="宋体" w:cs="方正大黑简体"/>
          <w:color w:val="0000FF"/>
          <w:sz w:val="24"/>
          <w:szCs w:val="24"/>
          <w:highlight w:val="none"/>
        </w:rPr>
        <w:t>时30分</w:t>
      </w:r>
      <w:r>
        <w:rPr>
          <w:rFonts w:hint="eastAsia" w:ascii="宋体" w:hAnsi="宋体" w:eastAsia="宋体" w:cs="方正大黑简体"/>
          <w:sz w:val="24"/>
          <w:szCs w:val="24"/>
        </w:rPr>
        <w:t>（北京时间）前提交响应文件。</w:t>
      </w:r>
    </w:p>
    <w:p w14:paraId="7E3F204B">
      <w:pPr>
        <w:spacing w:line="276" w:lineRule="auto"/>
        <w:ind w:firstLine="420"/>
        <w:rPr>
          <w:rFonts w:ascii="宋体" w:hAnsi="宋体" w:eastAsia="宋体" w:cs="方正大黑简体"/>
          <w:sz w:val="24"/>
          <w:szCs w:val="24"/>
        </w:rPr>
      </w:pPr>
      <w:r>
        <w:rPr>
          <w:rFonts w:hint="eastAsia" w:ascii="宋体" w:hAnsi="宋体" w:eastAsia="宋体" w:cs="方正大黑简体"/>
          <w:sz w:val="24"/>
          <w:szCs w:val="24"/>
        </w:rPr>
        <w:t>一、项目基本情况</w:t>
      </w:r>
    </w:p>
    <w:p w14:paraId="3F0BEA24">
      <w:pPr>
        <w:spacing w:line="276" w:lineRule="auto"/>
        <w:ind w:firstLine="420"/>
        <w:rPr>
          <w:rFonts w:hint="eastAsia" w:ascii="宋体" w:hAnsi="宋体" w:eastAsia="宋体" w:cs="方正大黑简体"/>
          <w:sz w:val="24"/>
          <w:szCs w:val="24"/>
          <w:lang w:eastAsia="zh-CN"/>
        </w:rPr>
      </w:pPr>
      <w:r>
        <w:rPr>
          <w:rFonts w:hint="eastAsia" w:ascii="宋体" w:hAnsi="宋体" w:eastAsia="宋体" w:cs="方正大黑简体"/>
          <w:sz w:val="24"/>
          <w:szCs w:val="24"/>
        </w:rPr>
        <w:t>项目编号：</w:t>
      </w:r>
      <w:r>
        <w:rPr>
          <w:rFonts w:hint="eastAsia" w:ascii="宋体" w:hAnsi="宋体" w:eastAsia="宋体"/>
          <w:color w:val="0000FF"/>
          <w:sz w:val="24"/>
          <w:szCs w:val="24"/>
          <w:lang w:eastAsia="zh-CN"/>
        </w:rPr>
        <w:t>JSZC-320115-FHGL-C2026-0001</w:t>
      </w:r>
    </w:p>
    <w:p w14:paraId="2ECACE64">
      <w:pPr>
        <w:spacing w:line="276" w:lineRule="auto"/>
        <w:ind w:firstLine="420"/>
        <w:rPr>
          <w:rFonts w:hint="eastAsia" w:ascii="宋体" w:hAnsi="宋体" w:eastAsia="宋体" w:cs="宋体"/>
          <w:color w:val="0000FF"/>
          <w:sz w:val="24"/>
          <w:szCs w:val="24"/>
          <w:lang w:val="zh-CN" w:eastAsia="zh-CN"/>
        </w:rPr>
      </w:pPr>
      <w:r>
        <w:rPr>
          <w:rFonts w:hint="eastAsia" w:ascii="宋体" w:hAnsi="宋体" w:eastAsia="宋体" w:cs="方正大黑简体"/>
          <w:sz w:val="24"/>
          <w:szCs w:val="24"/>
        </w:rPr>
        <w:t>项目名称：</w:t>
      </w:r>
      <w:r>
        <w:rPr>
          <w:rFonts w:hint="eastAsia" w:ascii="宋体" w:hAnsi="宋体" w:eastAsia="宋体" w:cs="宋体"/>
          <w:color w:val="0000FF"/>
          <w:sz w:val="24"/>
          <w:szCs w:val="24"/>
          <w:lang w:val="zh-CN" w:eastAsia="zh-CN"/>
        </w:rPr>
        <w:t>2026-2028年度“村村亮”路灯管养维护服务项目</w:t>
      </w:r>
    </w:p>
    <w:p w14:paraId="05A32976">
      <w:pPr>
        <w:spacing w:line="276" w:lineRule="auto"/>
        <w:ind w:firstLine="420"/>
        <w:rPr>
          <w:rFonts w:hint="eastAsia" w:ascii="宋体" w:hAnsi="宋体" w:eastAsia="宋体" w:cs="方正大黑简体"/>
          <w:sz w:val="24"/>
          <w:szCs w:val="24"/>
        </w:rPr>
      </w:pPr>
      <w:r>
        <w:rPr>
          <w:rFonts w:hint="eastAsia" w:ascii="宋体" w:hAnsi="宋体" w:eastAsia="宋体" w:cs="方正大黑简体"/>
          <w:sz w:val="24"/>
          <w:szCs w:val="24"/>
        </w:rPr>
        <w:t>采购方式：竞争性磋商</w:t>
      </w:r>
    </w:p>
    <w:p w14:paraId="1D0BEC49">
      <w:pPr>
        <w:spacing w:line="276" w:lineRule="auto"/>
        <w:ind w:firstLine="420"/>
        <w:rPr>
          <w:rFonts w:hint="default" w:ascii="宋体" w:hAnsi="宋体" w:eastAsia="宋体" w:cs="方正大黑简体"/>
          <w:sz w:val="24"/>
          <w:szCs w:val="24"/>
          <w:lang w:val="en-US" w:eastAsia="zh-CN"/>
        </w:rPr>
      </w:pPr>
      <w:r>
        <w:rPr>
          <w:rFonts w:hint="eastAsia" w:ascii="宋体" w:hAnsi="宋体" w:eastAsia="宋体" w:cs="方正大黑简体"/>
          <w:sz w:val="24"/>
          <w:szCs w:val="24"/>
          <w:lang w:val="en-US" w:eastAsia="zh-CN"/>
        </w:rPr>
        <w:t>采购预算：315360元（三年预算合计：946080元）</w:t>
      </w:r>
    </w:p>
    <w:p w14:paraId="6CC742CD">
      <w:pPr>
        <w:spacing w:line="276" w:lineRule="auto"/>
        <w:ind w:firstLine="420"/>
        <w:jc w:val="left"/>
        <w:rPr>
          <w:rFonts w:hint="eastAsia" w:ascii="宋体" w:hAnsi="宋体" w:eastAsia="宋体" w:cs="宋体"/>
          <w:color w:val="auto"/>
          <w:sz w:val="24"/>
          <w:szCs w:val="24"/>
          <w:lang w:val="zh-CN"/>
        </w:rPr>
      </w:pPr>
      <w:r>
        <w:rPr>
          <w:rFonts w:hint="eastAsia" w:ascii="宋体" w:hAnsi="宋体" w:eastAsia="宋体" w:cs="方正大黑简体"/>
          <w:color w:val="auto"/>
          <w:sz w:val="24"/>
          <w:szCs w:val="24"/>
        </w:rPr>
        <w:t>最高限价</w:t>
      </w:r>
      <w:r>
        <w:rPr>
          <w:rFonts w:hint="eastAsia" w:ascii="宋体" w:hAnsi="宋体" w:eastAsia="宋体" w:cs="方正大黑简体"/>
          <w:color w:val="auto"/>
          <w:sz w:val="24"/>
          <w:szCs w:val="24"/>
          <w:lang w:val="en-US" w:eastAsia="zh-CN"/>
        </w:rPr>
        <w:t>303048</w:t>
      </w:r>
      <w:r>
        <w:rPr>
          <w:rFonts w:hint="eastAsia" w:ascii="宋体" w:hAnsi="宋体" w:eastAsia="宋体" w:cs="方正大黑简体"/>
          <w:color w:val="auto"/>
          <w:sz w:val="24"/>
          <w:szCs w:val="24"/>
        </w:rPr>
        <w:t>元（供应商的磋商报价（第一轮、第二轮均不得超出采购预算及采购最高限价）。</w:t>
      </w:r>
    </w:p>
    <w:p w14:paraId="47AC6483">
      <w:pPr>
        <w:spacing w:line="276" w:lineRule="auto"/>
        <w:ind w:firstLine="420"/>
        <w:jc w:val="left"/>
        <w:rPr>
          <w:rFonts w:ascii="宋体" w:hAnsi="宋体" w:eastAsia="宋体" w:cs="方正大黑简体"/>
          <w:color w:val="auto"/>
          <w:sz w:val="24"/>
          <w:szCs w:val="24"/>
          <w:lang w:val="zh-CN"/>
        </w:rPr>
      </w:pPr>
      <w:r>
        <w:rPr>
          <w:rFonts w:hint="eastAsia" w:ascii="宋体" w:hAnsi="宋体" w:eastAsia="宋体" w:cs="宋体"/>
          <w:color w:val="auto"/>
          <w:sz w:val="24"/>
          <w:szCs w:val="24"/>
          <w:lang w:val="zh-CN"/>
        </w:rPr>
        <w:t>采购需求：</w:t>
      </w:r>
      <w:r>
        <w:rPr>
          <w:rFonts w:hint="eastAsia" w:ascii="宋体" w:hAnsi="宋体" w:eastAsia="宋体" w:cs="方正大黑简体"/>
          <w:color w:val="auto"/>
          <w:sz w:val="24"/>
          <w:szCs w:val="24"/>
          <w:lang w:val="zh-CN"/>
        </w:rPr>
        <w:t>2026-2028年度“村村亮”路灯管养维护服务项目，具体详工作内容清单。</w:t>
      </w:r>
    </w:p>
    <w:p w14:paraId="5359DE7F">
      <w:pPr>
        <w:spacing w:line="276" w:lineRule="auto"/>
        <w:ind w:firstLine="420"/>
        <w:rPr>
          <w:rFonts w:ascii="宋体" w:hAnsi="宋体" w:eastAsia="宋体" w:cs="方正大黑简体"/>
          <w:color w:val="auto"/>
          <w:sz w:val="24"/>
          <w:szCs w:val="24"/>
          <w:lang w:val="zh-CN"/>
        </w:rPr>
      </w:pPr>
      <w:r>
        <w:rPr>
          <w:rFonts w:hint="eastAsia" w:ascii="宋体" w:hAnsi="宋体" w:eastAsia="宋体" w:cs="方正大黑简体"/>
          <w:color w:val="auto"/>
          <w:sz w:val="24"/>
          <w:szCs w:val="24"/>
          <w:lang w:val="zh-CN"/>
        </w:rPr>
        <w:t>合同履行期限：</w:t>
      </w:r>
      <w:r>
        <w:rPr>
          <w:rFonts w:hint="eastAsia" w:ascii="宋体" w:hAnsi="宋体" w:eastAsia="宋体" w:cs="宋体"/>
          <w:color w:val="0000FF"/>
          <w:sz w:val="24"/>
          <w:szCs w:val="24"/>
          <w:lang w:val="en-US" w:eastAsia="zh-CN"/>
        </w:rPr>
        <w:t>一招三年，合同一年一签</w:t>
      </w:r>
      <w:r>
        <w:rPr>
          <w:rFonts w:hint="eastAsia" w:ascii="宋体" w:hAnsi="宋体" w:eastAsia="宋体" w:cs="宋体"/>
          <w:color w:val="0000FF"/>
          <w:sz w:val="24"/>
          <w:szCs w:val="24"/>
          <w:lang w:val="zh-CN" w:eastAsia="zh-CN"/>
        </w:rPr>
        <w:t>。</w:t>
      </w:r>
    </w:p>
    <w:p w14:paraId="327B39FE">
      <w:pPr>
        <w:spacing w:line="276" w:lineRule="auto"/>
        <w:ind w:firstLine="422"/>
        <w:rPr>
          <w:rFonts w:hint="eastAsia" w:ascii="宋体" w:hAnsi="宋体" w:eastAsia="宋体" w:cs="方正大黑简体"/>
          <w:sz w:val="24"/>
          <w:szCs w:val="24"/>
          <w:lang w:val="zh-CN"/>
        </w:rPr>
      </w:pPr>
      <w:r>
        <w:rPr>
          <w:rFonts w:hint="eastAsia" w:ascii="宋体" w:hAnsi="宋体" w:eastAsia="宋体" w:cs="方正大黑简体"/>
          <w:b/>
          <w:bCs/>
          <w:sz w:val="24"/>
          <w:szCs w:val="24"/>
          <w:lang w:val="zh-CN"/>
        </w:rPr>
        <w:t>本项目采购标的对应的中小企业划分标准所属行业为：其他未列明行业。</w:t>
      </w:r>
    </w:p>
    <w:p w14:paraId="2C472D9F">
      <w:pPr>
        <w:spacing w:line="276" w:lineRule="auto"/>
        <w:ind w:firstLine="420"/>
        <w:rPr>
          <w:rFonts w:ascii="宋体" w:hAnsi="宋体" w:eastAsia="宋体" w:cs="方正大黑简体"/>
          <w:bCs/>
          <w:sz w:val="24"/>
          <w:szCs w:val="24"/>
          <w:lang w:val="zh-CN"/>
        </w:rPr>
      </w:pPr>
      <w:r>
        <w:rPr>
          <w:rFonts w:hint="eastAsia" w:ascii="宋体" w:hAnsi="宋体" w:eastAsia="宋体" w:cs="方正大黑简体"/>
          <w:bCs/>
          <w:sz w:val="24"/>
          <w:szCs w:val="24"/>
          <w:lang w:val="zh-CN"/>
        </w:rPr>
        <w:t>本项目不接受联合体。</w:t>
      </w:r>
    </w:p>
    <w:p w14:paraId="4664F509">
      <w:pPr>
        <w:spacing w:line="276" w:lineRule="auto"/>
        <w:ind w:firstLine="420"/>
        <w:rPr>
          <w:rFonts w:ascii="宋体" w:hAnsi="宋体" w:eastAsia="宋体" w:cs="方正大黑简体"/>
          <w:bCs/>
          <w:sz w:val="24"/>
          <w:szCs w:val="24"/>
          <w:lang w:val="zh-CN"/>
        </w:rPr>
      </w:pPr>
      <w:r>
        <w:rPr>
          <w:rFonts w:hint="eastAsia" w:ascii="宋体" w:hAnsi="宋体" w:eastAsia="宋体" w:cs="方正大黑简体"/>
          <w:bCs/>
          <w:sz w:val="24"/>
          <w:szCs w:val="24"/>
          <w:lang w:val="zh-CN"/>
        </w:rPr>
        <w:t>二、申请人资格条件</w:t>
      </w:r>
    </w:p>
    <w:p w14:paraId="667F1027">
      <w:pPr>
        <w:spacing w:line="276" w:lineRule="auto"/>
        <w:ind w:firstLine="420"/>
        <w:rPr>
          <w:rFonts w:hint="eastAsia" w:ascii="宋体" w:hAnsi="宋体" w:eastAsia="宋体" w:cs="方正大黑简体"/>
          <w:sz w:val="24"/>
          <w:szCs w:val="24"/>
        </w:rPr>
      </w:pPr>
      <w:r>
        <w:rPr>
          <w:rFonts w:hint="eastAsia" w:ascii="宋体" w:hAnsi="宋体" w:eastAsia="宋体" w:cs="方正大黑简体"/>
          <w:sz w:val="24"/>
          <w:szCs w:val="24"/>
        </w:rPr>
        <w:t>1.具有独立承担民事责任的能力(请提供法人或者其他组织的营业执照等证明文件，自然人的身份证明)</w:t>
      </w:r>
    </w:p>
    <w:p w14:paraId="7068A30A">
      <w:pPr>
        <w:spacing w:line="276" w:lineRule="auto"/>
        <w:ind w:firstLine="420"/>
        <w:rPr>
          <w:rFonts w:ascii="宋体" w:hAnsi="宋体" w:eastAsia="宋体" w:cs="方正大黑简体"/>
          <w:sz w:val="24"/>
          <w:szCs w:val="24"/>
        </w:rPr>
      </w:pPr>
      <w:r>
        <w:rPr>
          <w:rFonts w:hint="eastAsia" w:ascii="宋体" w:hAnsi="宋体" w:eastAsia="宋体" w:cs="方正大黑简体"/>
          <w:sz w:val="24"/>
          <w:szCs w:val="24"/>
        </w:rPr>
        <w:t>2.符合《中华人民共和国政府采购法》第二十二条的相关规定，提供《南京市政府采购供应商信用记录表暨信用承诺书》，其中不适用信用承诺的情形：</w:t>
      </w:r>
    </w:p>
    <w:p w14:paraId="322D9605">
      <w:pPr>
        <w:spacing w:line="276" w:lineRule="auto"/>
        <w:ind w:firstLine="420"/>
        <w:rPr>
          <w:rFonts w:hint="eastAsia" w:ascii="宋体" w:hAnsi="宋体" w:eastAsia="宋体" w:cs="方正大黑简体"/>
          <w:sz w:val="24"/>
          <w:szCs w:val="24"/>
        </w:rPr>
      </w:pPr>
      <w:r>
        <w:rPr>
          <w:rFonts w:hint="eastAsia" w:ascii="宋体" w:hAnsi="宋体" w:eastAsia="宋体" w:cs="方正大黑简体"/>
          <w:sz w:val="24"/>
          <w:szCs w:val="24"/>
        </w:rPr>
        <w:t>①供应商被列入严重失信主体名单；</w:t>
      </w:r>
    </w:p>
    <w:p w14:paraId="021CFCDB">
      <w:pPr>
        <w:spacing w:line="276" w:lineRule="auto"/>
        <w:ind w:firstLine="420"/>
        <w:rPr>
          <w:rFonts w:hint="eastAsia" w:ascii="宋体" w:hAnsi="宋体" w:eastAsia="宋体" w:cs="方正大黑简体"/>
          <w:sz w:val="24"/>
          <w:szCs w:val="24"/>
        </w:rPr>
      </w:pPr>
      <w:r>
        <w:rPr>
          <w:rFonts w:hint="eastAsia" w:ascii="宋体" w:hAnsi="宋体" w:eastAsia="宋体" w:cs="方正大黑简体"/>
          <w:sz w:val="24"/>
          <w:szCs w:val="24"/>
        </w:rPr>
        <w:t>②被相关监管部门作出行政处罚且尚在处罚有效期内；</w:t>
      </w:r>
    </w:p>
    <w:p w14:paraId="353CFD73">
      <w:pPr>
        <w:spacing w:line="276" w:lineRule="auto"/>
        <w:ind w:firstLine="420"/>
        <w:rPr>
          <w:rFonts w:hint="eastAsia" w:ascii="宋体" w:hAnsi="宋体" w:eastAsia="宋体" w:cs="方正大黑简体"/>
          <w:sz w:val="24"/>
          <w:szCs w:val="24"/>
        </w:rPr>
      </w:pPr>
      <w:r>
        <w:rPr>
          <w:rFonts w:hint="eastAsia" w:ascii="宋体" w:hAnsi="宋体" w:eastAsia="宋体" w:cs="方正大黑简体"/>
          <w:sz w:val="24"/>
          <w:szCs w:val="24"/>
        </w:rPr>
        <w:t>③其他法律、行政法规规定的不适用信用承诺的情形。</w:t>
      </w:r>
    </w:p>
    <w:p w14:paraId="22EBF6E8">
      <w:pPr>
        <w:spacing w:line="276" w:lineRule="auto"/>
        <w:ind w:firstLine="420"/>
        <w:rPr>
          <w:rFonts w:hint="eastAsia" w:ascii="宋体" w:hAnsi="宋体" w:eastAsia="宋体" w:cs="方正大黑简体"/>
          <w:sz w:val="24"/>
          <w:szCs w:val="24"/>
        </w:rPr>
      </w:pPr>
      <w:r>
        <w:rPr>
          <w:rFonts w:hint="eastAsia" w:ascii="宋体" w:hAnsi="宋体" w:eastAsia="宋体" w:cs="方正大黑简体"/>
          <w:sz w:val="24"/>
          <w:szCs w:val="24"/>
        </w:rPr>
        <w:t>3.落实政府采购政策需满足的资格要求：（如属于专门面向中小企业采购的项目，供应商应为中小微企业、监狱企业、残疾人福利性单位），本项目按照以下方式落实政府采购促进中小企业发展的要求：</w:t>
      </w:r>
    </w:p>
    <w:p w14:paraId="68198CFF">
      <w:pPr>
        <w:spacing w:line="276" w:lineRule="auto"/>
        <w:ind w:firstLine="420"/>
        <w:rPr>
          <w:rFonts w:hint="eastAsia" w:ascii="宋体" w:hAnsi="宋体" w:eastAsia="宋体" w:cs="方正大黑简体"/>
          <w:sz w:val="24"/>
          <w:szCs w:val="24"/>
        </w:rPr>
      </w:pPr>
      <w:r>
        <w:rPr>
          <w:rFonts w:hint="eastAsia" w:ascii="宋体" w:hAnsi="宋体" w:eastAsia="宋体" w:cs="方正大黑简体"/>
          <w:sz w:val="24"/>
          <w:szCs w:val="24"/>
        </w:rPr>
        <w:t>本项目整体专门面向中小企业采购服务；</w:t>
      </w:r>
    </w:p>
    <w:p w14:paraId="30D709D8">
      <w:pPr>
        <w:spacing w:line="276" w:lineRule="auto"/>
        <w:ind w:firstLine="420"/>
        <w:rPr>
          <w:rFonts w:hint="eastAsia" w:ascii="宋体" w:hAnsi="宋体" w:eastAsia="宋体" w:cs="方正大黑简体"/>
          <w:sz w:val="24"/>
          <w:szCs w:val="24"/>
        </w:rPr>
      </w:pPr>
      <w:r>
        <w:rPr>
          <w:rFonts w:hint="eastAsia" w:ascii="宋体" w:hAnsi="宋体" w:eastAsia="宋体" w:cs="方正大黑简体"/>
          <w:sz w:val="24"/>
          <w:szCs w:val="24"/>
        </w:rPr>
        <w:t>4.本项目的特定资格条件：</w:t>
      </w:r>
      <w:r>
        <w:rPr>
          <w:rFonts w:hint="eastAsia" w:ascii="宋体" w:hAnsi="宋体" w:eastAsia="宋体" w:cs="宋体"/>
          <w:sz w:val="24"/>
          <w:szCs w:val="24"/>
        </w:rPr>
        <w:t>/</w:t>
      </w:r>
    </w:p>
    <w:p w14:paraId="77B62237">
      <w:pPr>
        <w:spacing w:line="276" w:lineRule="auto"/>
        <w:ind w:firstLine="420"/>
        <w:rPr>
          <w:rFonts w:ascii="宋体" w:hAnsi="宋体" w:eastAsia="宋体" w:cs="方正大黑简体"/>
          <w:bCs/>
          <w:sz w:val="24"/>
          <w:szCs w:val="24"/>
        </w:rPr>
      </w:pPr>
      <w:r>
        <w:rPr>
          <w:rFonts w:ascii="宋体" w:hAnsi="宋体" w:eastAsia="宋体" w:cs="方正大黑简体"/>
          <w:bCs/>
          <w:sz w:val="24"/>
          <w:szCs w:val="24"/>
        </w:rPr>
        <w:t>5</w:t>
      </w:r>
      <w:r>
        <w:rPr>
          <w:rFonts w:hint="eastAsia" w:ascii="宋体" w:hAnsi="宋体" w:eastAsia="宋体" w:cs="方正大黑简体"/>
          <w:bCs/>
          <w:sz w:val="24"/>
          <w:szCs w:val="24"/>
        </w:rPr>
        <w:t>.拒绝下述供应商参加本次采购活动：</w:t>
      </w:r>
    </w:p>
    <w:p w14:paraId="0D88B685">
      <w:pPr>
        <w:spacing w:line="276" w:lineRule="auto"/>
        <w:ind w:firstLine="420"/>
        <w:rPr>
          <w:rFonts w:hint="eastAsia" w:ascii="宋体" w:hAnsi="宋体" w:eastAsia="宋体"/>
          <w:sz w:val="24"/>
          <w:szCs w:val="24"/>
        </w:rPr>
      </w:pPr>
      <w:r>
        <w:rPr>
          <w:rFonts w:ascii="宋体" w:hAnsi="宋体" w:eastAsia="宋体"/>
          <w:sz w:val="24"/>
          <w:szCs w:val="24"/>
        </w:rPr>
        <w:t>（1）单位负责人为同一人或者存在直接控股、管理关系的不同供应商</w:t>
      </w:r>
      <w:r>
        <w:rPr>
          <w:rFonts w:hint="eastAsia" w:ascii="宋体" w:hAnsi="宋体" w:eastAsia="宋体"/>
          <w:sz w:val="24"/>
          <w:szCs w:val="24"/>
        </w:rPr>
        <w:t>。</w:t>
      </w:r>
    </w:p>
    <w:p w14:paraId="15B18B83">
      <w:pPr>
        <w:spacing w:line="276" w:lineRule="auto"/>
        <w:ind w:firstLine="420"/>
        <w:rPr>
          <w:rFonts w:ascii="宋体" w:hAnsi="宋体" w:eastAsia="宋体"/>
          <w:sz w:val="24"/>
          <w:szCs w:val="24"/>
        </w:rPr>
      </w:pPr>
      <w:r>
        <w:rPr>
          <w:rFonts w:ascii="宋体" w:hAnsi="宋体" w:eastAsia="宋体"/>
          <w:sz w:val="24"/>
          <w:szCs w:val="24"/>
        </w:rPr>
        <w:t>（2）凡为采购项目提供整体设计、规范编制或者项目管理、监理、检测等服务的供应商。</w:t>
      </w:r>
    </w:p>
    <w:p w14:paraId="7D79D437">
      <w:pPr>
        <w:spacing w:line="276" w:lineRule="auto"/>
        <w:ind w:firstLine="420"/>
        <w:rPr>
          <w:rFonts w:ascii="宋体" w:hAnsi="宋体" w:eastAsia="宋体"/>
          <w:sz w:val="24"/>
          <w:szCs w:val="24"/>
        </w:rPr>
      </w:pPr>
      <w:r>
        <w:rPr>
          <w:rFonts w:ascii="宋体" w:hAnsi="宋体" w:eastAsia="宋体"/>
          <w:sz w:val="24"/>
          <w:szCs w:val="24"/>
        </w:rPr>
        <w:t>（3）供应商被“信用中国”网、“中国政府采购网”网站列入失信执行人、重大税收违法案件当事人名单、政府采购严重违法失信行为记录名单。</w:t>
      </w:r>
    </w:p>
    <w:p w14:paraId="2D4152DD">
      <w:pPr>
        <w:spacing w:line="276" w:lineRule="auto"/>
        <w:ind w:firstLine="420"/>
        <w:rPr>
          <w:rFonts w:ascii="宋体" w:hAnsi="宋体" w:eastAsia="宋体"/>
          <w:sz w:val="24"/>
          <w:szCs w:val="24"/>
        </w:rPr>
      </w:pPr>
      <w:r>
        <w:rPr>
          <w:rFonts w:ascii="宋体" w:hAnsi="宋体" w:eastAsia="宋体"/>
          <w:sz w:val="24"/>
          <w:szCs w:val="24"/>
        </w:rPr>
        <w:t>（4）供应商未按要求提供《南京市政府采购供应商信用记录表暨信用承诺书》。</w:t>
      </w:r>
    </w:p>
    <w:p w14:paraId="3A2FF34C">
      <w:pPr>
        <w:widowControl/>
        <w:shd w:val="clear" w:color="auto" w:fill="FFFFFF"/>
        <w:spacing w:line="276" w:lineRule="auto"/>
        <w:jc w:val="left"/>
        <w:rPr>
          <w:rFonts w:hint="eastAsia" w:ascii="宋体" w:hAnsi="宋体" w:eastAsia="宋体" w:cs="Trebuchet MS"/>
          <w:sz w:val="24"/>
          <w:szCs w:val="24"/>
        </w:rPr>
      </w:pPr>
      <w:r>
        <w:rPr>
          <w:rFonts w:hint="eastAsia" w:ascii="宋体" w:hAnsi="宋体" w:eastAsia="宋体" w:cs="Trebuchet MS"/>
          <w:sz w:val="24"/>
          <w:szCs w:val="24"/>
        </w:rPr>
        <w:t>三、获取采购文件：</w:t>
      </w:r>
    </w:p>
    <w:p w14:paraId="5A24494C">
      <w:pPr>
        <w:spacing w:line="276" w:lineRule="auto"/>
        <w:ind w:firstLine="420"/>
        <w:rPr>
          <w:rFonts w:hint="eastAsia" w:ascii="宋体" w:hAnsi="宋体" w:eastAsia="宋体" w:cs="Trebuchet MS"/>
          <w:sz w:val="24"/>
          <w:szCs w:val="24"/>
        </w:rPr>
      </w:pPr>
      <w:r>
        <w:rPr>
          <w:rFonts w:hint="eastAsia" w:ascii="宋体" w:hAnsi="宋体" w:eastAsia="宋体" w:cs="Trebuchet MS"/>
          <w:sz w:val="24"/>
          <w:szCs w:val="24"/>
        </w:rPr>
        <w:t>时间：自竞争性磋商公告发布之日起</w:t>
      </w:r>
    </w:p>
    <w:p w14:paraId="44913D9F">
      <w:pPr>
        <w:spacing w:line="276" w:lineRule="auto"/>
        <w:ind w:firstLine="420"/>
        <w:rPr>
          <w:rFonts w:hint="eastAsia" w:ascii="宋体" w:hAnsi="宋体" w:eastAsia="宋体" w:cs="Trebuchet MS"/>
          <w:sz w:val="24"/>
          <w:szCs w:val="24"/>
        </w:rPr>
      </w:pPr>
      <w:r>
        <w:rPr>
          <w:rFonts w:hint="eastAsia" w:ascii="宋体" w:hAnsi="宋体" w:eastAsia="宋体" w:cs="Trebuchet MS"/>
          <w:sz w:val="24"/>
          <w:szCs w:val="24"/>
        </w:rPr>
        <w:t>地点：江苏省政府采购交易系统“苏采云系统”</w:t>
      </w:r>
    </w:p>
    <w:p w14:paraId="4913D0A1">
      <w:pPr>
        <w:spacing w:line="276" w:lineRule="auto"/>
        <w:ind w:firstLine="420"/>
        <w:rPr>
          <w:rFonts w:hint="eastAsia" w:ascii="宋体" w:hAnsi="宋体" w:eastAsia="宋体" w:cs="宋体"/>
          <w:sz w:val="24"/>
          <w:szCs w:val="24"/>
        </w:rPr>
      </w:pPr>
      <w:r>
        <w:rPr>
          <w:rFonts w:hint="eastAsia" w:ascii="宋体" w:hAnsi="宋体" w:eastAsia="宋体" w:cs="Trebuchet MS"/>
          <w:sz w:val="24"/>
          <w:szCs w:val="24"/>
        </w:rPr>
        <w:t>方式：</w:t>
      </w:r>
      <w:bookmarkStart w:id="13" w:name="_Hlk62814426"/>
      <w:r>
        <w:rPr>
          <w:rFonts w:hint="eastAsia" w:ascii="宋体" w:hAnsi="宋体" w:eastAsia="宋体" w:cs="Trebuchet MS"/>
          <w:sz w:val="24"/>
          <w:szCs w:val="24"/>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C16F3AE">
      <w:pPr>
        <w:spacing w:line="276" w:lineRule="auto"/>
        <w:ind w:firstLine="420"/>
        <w:rPr>
          <w:rFonts w:hint="eastAsia" w:ascii="宋体" w:hAnsi="宋体" w:eastAsia="宋体" w:cs="Trebuchet MS"/>
          <w:sz w:val="24"/>
          <w:szCs w:val="24"/>
        </w:rPr>
      </w:pPr>
      <w:r>
        <w:rPr>
          <w:rFonts w:hint="eastAsia" w:ascii="宋体" w:hAnsi="宋体" w:eastAsia="宋体" w:cs="Trebuchet MS"/>
          <w:sz w:val="24"/>
          <w:szCs w:val="24"/>
        </w:rPr>
        <w:t>磋商文件费用：0元</w:t>
      </w:r>
    </w:p>
    <w:bookmarkEnd w:id="13"/>
    <w:p w14:paraId="600BA898">
      <w:pPr>
        <w:widowControl/>
        <w:shd w:val="clear" w:color="auto" w:fill="FFFFFF"/>
        <w:spacing w:line="276" w:lineRule="auto"/>
        <w:jc w:val="left"/>
        <w:rPr>
          <w:rFonts w:hint="eastAsia" w:ascii="宋体" w:hAnsi="宋体" w:eastAsia="宋体" w:cs="Trebuchet MS"/>
          <w:sz w:val="24"/>
          <w:szCs w:val="24"/>
        </w:rPr>
      </w:pPr>
      <w:r>
        <w:rPr>
          <w:rFonts w:hint="eastAsia" w:ascii="宋体" w:hAnsi="宋体" w:eastAsia="宋体" w:cs="Trebuchet MS"/>
          <w:sz w:val="24"/>
          <w:szCs w:val="24"/>
        </w:rPr>
        <w:t>四、电子磋商响应文件的提交</w:t>
      </w:r>
    </w:p>
    <w:p w14:paraId="45F53CD3">
      <w:pPr>
        <w:widowControl/>
        <w:shd w:val="clear" w:color="auto" w:fill="FFFFFF"/>
        <w:spacing w:line="276" w:lineRule="auto"/>
        <w:ind w:firstLine="420"/>
        <w:jc w:val="left"/>
        <w:rPr>
          <w:rFonts w:hint="eastAsia" w:ascii="宋体" w:hAnsi="宋体" w:eastAsia="宋体" w:cs="Trebuchet MS"/>
          <w:sz w:val="24"/>
          <w:szCs w:val="24"/>
        </w:rPr>
      </w:pPr>
      <w:r>
        <w:rPr>
          <w:rFonts w:hint="eastAsia" w:ascii="宋体" w:hAnsi="宋体" w:eastAsia="宋体" w:cs="Trebuchet MS"/>
          <w:sz w:val="24"/>
          <w:szCs w:val="24"/>
        </w:rPr>
        <w:t>截止时间：</w:t>
      </w:r>
      <w:r>
        <w:rPr>
          <w:rFonts w:hint="eastAsia" w:ascii="宋体" w:hAnsi="宋体" w:eastAsia="宋体" w:cs="方正大黑简体"/>
          <w:color w:val="0000FF"/>
          <w:sz w:val="24"/>
          <w:szCs w:val="24"/>
          <w:highlight w:val="none"/>
        </w:rPr>
        <w:t>202</w:t>
      </w:r>
      <w:r>
        <w:rPr>
          <w:rFonts w:hint="eastAsia" w:ascii="宋体" w:hAnsi="宋体" w:eastAsia="宋体" w:cs="方正大黑简体"/>
          <w:color w:val="0000FF"/>
          <w:sz w:val="24"/>
          <w:szCs w:val="24"/>
          <w:highlight w:val="none"/>
          <w:lang w:val="en-US" w:eastAsia="zh-CN"/>
        </w:rPr>
        <w:t>6</w:t>
      </w:r>
      <w:r>
        <w:rPr>
          <w:rFonts w:hint="eastAsia" w:ascii="宋体" w:hAnsi="宋体" w:eastAsia="宋体" w:cs="方正大黑简体"/>
          <w:color w:val="0000FF"/>
          <w:sz w:val="24"/>
          <w:szCs w:val="24"/>
          <w:highlight w:val="none"/>
        </w:rPr>
        <w:t>年</w:t>
      </w:r>
      <w:r>
        <w:rPr>
          <w:rFonts w:hint="eastAsia" w:ascii="宋体" w:hAnsi="宋体" w:eastAsia="宋体" w:cs="方正大黑简体"/>
          <w:color w:val="0000FF"/>
          <w:sz w:val="24"/>
          <w:szCs w:val="24"/>
          <w:highlight w:val="none"/>
          <w:lang w:val="en-US" w:eastAsia="zh-CN"/>
        </w:rPr>
        <w:t>01</w:t>
      </w:r>
      <w:r>
        <w:rPr>
          <w:rFonts w:hint="eastAsia" w:ascii="宋体" w:hAnsi="宋体" w:eastAsia="宋体" w:cs="方正大黑简体"/>
          <w:color w:val="0000FF"/>
          <w:sz w:val="24"/>
          <w:szCs w:val="24"/>
          <w:highlight w:val="none"/>
        </w:rPr>
        <w:t>月</w:t>
      </w:r>
      <w:r>
        <w:rPr>
          <w:rFonts w:hint="eastAsia" w:ascii="宋体" w:hAnsi="宋体" w:eastAsia="宋体" w:cs="方正大黑简体"/>
          <w:color w:val="0000FF"/>
          <w:sz w:val="24"/>
          <w:szCs w:val="24"/>
          <w:highlight w:val="none"/>
          <w:lang w:val="en-US" w:eastAsia="zh-CN"/>
        </w:rPr>
        <w:t>16</w:t>
      </w:r>
      <w:r>
        <w:rPr>
          <w:rFonts w:hint="eastAsia" w:ascii="宋体" w:hAnsi="宋体" w:eastAsia="宋体" w:cs="方正大黑简体"/>
          <w:color w:val="0000FF"/>
          <w:sz w:val="24"/>
          <w:szCs w:val="24"/>
          <w:highlight w:val="none"/>
        </w:rPr>
        <w:t>日</w:t>
      </w:r>
      <w:r>
        <w:rPr>
          <w:rFonts w:hint="eastAsia" w:ascii="宋体" w:hAnsi="宋体" w:eastAsia="宋体" w:cs="方正大黑简体"/>
          <w:color w:val="0000FF"/>
          <w:sz w:val="24"/>
          <w:szCs w:val="24"/>
          <w:highlight w:val="none"/>
          <w:lang w:val="en-US" w:eastAsia="zh-CN"/>
        </w:rPr>
        <w:t>14</w:t>
      </w:r>
      <w:r>
        <w:rPr>
          <w:rFonts w:hint="eastAsia" w:ascii="宋体" w:hAnsi="宋体" w:eastAsia="宋体" w:cs="方正大黑简体"/>
          <w:color w:val="0000FF"/>
          <w:sz w:val="24"/>
          <w:szCs w:val="24"/>
          <w:highlight w:val="none"/>
        </w:rPr>
        <w:t>时</w:t>
      </w:r>
      <w:r>
        <w:rPr>
          <w:rFonts w:hint="eastAsia" w:ascii="宋体" w:hAnsi="宋体" w:eastAsia="宋体" w:cs="方正大黑简体"/>
          <w:color w:val="0000FF"/>
          <w:sz w:val="24"/>
          <w:szCs w:val="24"/>
          <w:highlight w:val="none"/>
          <w:lang w:val="en-US" w:eastAsia="zh-CN"/>
        </w:rPr>
        <w:t>00</w:t>
      </w:r>
      <w:r>
        <w:rPr>
          <w:rFonts w:hint="eastAsia" w:ascii="宋体" w:hAnsi="宋体" w:eastAsia="宋体" w:cs="方正大黑简体"/>
          <w:color w:val="0000FF"/>
          <w:sz w:val="24"/>
          <w:szCs w:val="24"/>
          <w:highlight w:val="none"/>
        </w:rPr>
        <w:t>分</w:t>
      </w:r>
      <w:r>
        <w:rPr>
          <w:rFonts w:hint="eastAsia" w:ascii="宋体" w:hAnsi="宋体" w:eastAsia="宋体" w:cs="Trebuchet MS"/>
          <w:sz w:val="24"/>
          <w:szCs w:val="24"/>
        </w:rPr>
        <w:t>（北京时间）</w:t>
      </w:r>
    </w:p>
    <w:p w14:paraId="3FB902A5">
      <w:pPr>
        <w:widowControl/>
        <w:shd w:val="clear" w:color="auto" w:fill="FFFFFF"/>
        <w:spacing w:line="276" w:lineRule="auto"/>
        <w:ind w:firstLine="420"/>
        <w:jc w:val="left"/>
        <w:rPr>
          <w:rFonts w:ascii="宋体" w:hAnsi="宋体" w:eastAsia="宋体" w:cs="Trebuchet MS"/>
          <w:sz w:val="24"/>
          <w:szCs w:val="24"/>
        </w:rPr>
      </w:pPr>
      <w:r>
        <w:rPr>
          <w:rFonts w:hint="eastAsia" w:ascii="宋体" w:hAnsi="宋体" w:eastAsia="宋体" w:cs="Trebuchet MS"/>
          <w:sz w:val="24"/>
          <w:szCs w:val="24"/>
        </w:rPr>
        <w:t>地点：江苏省政府采购交易系统（以下简称“苏采云系统”）网上开标大厅。</w:t>
      </w:r>
    </w:p>
    <w:p w14:paraId="06188687">
      <w:pPr>
        <w:widowControl/>
        <w:numPr>
          <w:ilvl w:val="0"/>
          <w:numId w:val="2"/>
        </w:numPr>
        <w:shd w:val="clear" w:color="auto" w:fill="FFFFFF"/>
        <w:spacing w:line="276" w:lineRule="auto"/>
        <w:rPr>
          <w:rFonts w:ascii="宋体" w:hAnsi="宋体" w:eastAsia="宋体" w:cs="Trebuchet MS"/>
          <w:sz w:val="24"/>
          <w:szCs w:val="24"/>
        </w:rPr>
      </w:pPr>
      <w:r>
        <w:rPr>
          <w:rFonts w:hint="eastAsia" w:ascii="宋体" w:hAnsi="宋体" w:eastAsia="宋体" w:cs="Trebuchet MS"/>
          <w:sz w:val="24"/>
          <w:szCs w:val="24"/>
        </w:rPr>
        <w:t>开启</w:t>
      </w:r>
    </w:p>
    <w:p w14:paraId="410A48BE">
      <w:pPr>
        <w:widowControl/>
        <w:shd w:val="clear" w:color="auto" w:fill="FFFFFF"/>
        <w:spacing w:line="276" w:lineRule="auto"/>
        <w:ind w:firstLine="210"/>
        <w:rPr>
          <w:rFonts w:ascii="宋体" w:hAnsi="宋体" w:eastAsia="宋体" w:cs="Trebuchet MS"/>
          <w:sz w:val="24"/>
          <w:szCs w:val="24"/>
        </w:rPr>
      </w:pPr>
      <w:r>
        <w:rPr>
          <w:rFonts w:hint="eastAsia" w:ascii="宋体" w:hAnsi="宋体" w:eastAsia="宋体" w:cs="Trebuchet MS"/>
          <w:sz w:val="24"/>
          <w:szCs w:val="24"/>
        </w:rPr>
        <w:t>时间：</w:t>
      </w:r>
      <w:r>
        <w:rPr>
          <w:rFonts w:hint="eastAsia" w:ascii="宋体" w:hAnsi="宋体" w:eastAsia="宋体" w:cs="方正大黑简体"/>
          <w:color w:val="0000FF"/>
          <w:sz w:val="24"/>
          <w:szCs w:val="24"/>
          <w:highlight w:val="none"/>
        </w:rPr>
        <w:t>202</w:t>
      </w:r>
      <w:r>
        <w:rPr>
          <w:rFonts w:hint="eastAsia" w:ascii="宋体" w:hAnsi="宋体" w:eastAsia="宋体" w:cs="方正大黑简体"/>
          <w:color w:val="0000FF"/>
          <w:sz w:val="24"/>
          <w:szCs w:val="24"/>
          <w:highlight w:val="none"/>
          <w:lang w:val="en-US" w:eastAsia="zh-CN"/>
        </w:rPr>
        <w:t>6</w:t>
      </w:r>
      <w:r>
        <w:rPr>
          <w:rFonts w:hint="eastAsia" w:ascii="宋体" w:hAnsi="宋体" w:eastAsia="宋体" w:cs="方正大黑简体"/>
          <w:color w:val="0000FF"/>
          <w:sz w:val="24"/>
          <w:szCs w:val="24"/>
          <w:highlight w:val="none"/>
        </w:rPr>
        <w:t>年</w:t>
      </w:r>
      <w:r>
        <w:rPr>
          <w:rFonts w:hint="eastAsia" w:ascii="宋体" w:hAnsi="宋体" w:eastAsia="宋体" w:cs="方正大黑简体"/>
          <w:color w:val="0000FF"/>
          <w:sz w:val="24"/>
          <w:szCs w:val="24"/>
          <w:highlight w:val="none"/>
          <w:lang w:val="en-US" w:eastAsia="zh-CN"/>
        </w:rPr>
        <w:t>01</w:t>
      </w:r>
      <w:r>
        <w:rPr>
          <w:rFonts w:hint="eastAsia" w:ascii="宋体" w:hAnsi="宋体" w:eastAsia="宋体" w:cs="方正大黑简体"/>
          <w:color w:val="0000FF"/>
          <w:sz w:val="24"/>
          <w:szCs w:val="24"/>
          <w:highlight w:val="none"/>
        </w:rPr>
        <w:t>月</w:t>
      </w:r>
      <w:r>
        <w:rPr>
          <w:rFonts w:hint="eastAsia" w:ascii="宋体" w:hAnsi="宋体" w:eastAsia="宋体" w:cs="方正大黑简体"/>
          <w:color w:val="0000FF"/>
          <w:sz w:val="24"/>
          <w:szCs w:val="24"/>
          <w:highlight w:val="none"/>
          <w:lang w:val="en-US" w:eastAsia="zh-CN"/>
        </w:rPr>
        <w:t>16</w:t>
      </w:r>
      <w:r>
        <w:rPr>
          <w:rFonts w:hint="eastAsia" w:ascii="宋体" w:hAnsi="宋体" w:eastAsia="宋体" w:cs="方正大黑简体"/>
          <w:color w:val="0000FF"/>
          <w:sz w:val="24"/>
          <w:szCs w:val="24"/>
          <w:highlight w:val="none"/>
        </w:rPr>
        <w:t>日</w:t>
      </w:r>
      <w:r>
        <w:rPr>
          <w:rFonts w:hint="eastAsia" w:ascii="宋体" w:hAnsi="宋体" w:eastAsia="宋体" w:cs="方正大黑简体"/>
          <w:color w:val="0000FF"/>
          <w:sz w:val="24"/>
          <w:szCs w:val="24"/>
          <w:highlight w:val="none"/>
          <w:lang w:val="en-US" w:eastAsia="zh-CN"/>
        </w:rPr>
        <w:t>14</w:t>
      </w:r>
      <w:r>
        <w:rPr>
          <w:rFonts w:hint="eastAsia" w:ascii="宋体" w:hAnsi="宋体" w:eastAsia="宋体" w:cs="方正大黑简体"/>
          <w:color w:val="0000FF"/>
          <w:sz w:val="24"/>
          <w:szCs w:val="24"/>
          <w:highlight w:val="none"/>
        </w:rPr>
        <w:t>时30分</w:t>
      </w:r>
      <w:r>
        <w:rPr>
          <w:rFonts w:hint="eastAsia" w:ascii="宋体" w:hAnsi="宋体" w:eastAsia="宋体" w:cs="Trebuchet MS"/>
          <w:sz w:val="24"/>
          <w:szCs w:val="24"/>
        </w:rPr>
        <w:t>（北京时间）</w:t>
      </w:r>
    </w:p>
    <w:p w14:paraId="2494B1F2">
      <w:pPr>
        <w:widowControl/>
        <w:shd w:val="clear" w:color="auto" w:fill="FFFFFF"/>
        <w:spacing w:line="276" w:lineRule="auto"/>
        <w:ind w:firstLine="210"/>
        <w:jc w:val="left"/>
        <w:rPr>
          <w:rFonts w:ascii="宋体" w:hAnsi="宋体" w:eastAsia="宋体" w:cs="Trebuchet MS"/>
          <w:sz w:val="24"/>
          <w:szCs w:val="24"/>
        </w:rPr>
      </w:pPr>
      <w:r>
        <w:rPr>
          <w:rFonts w:hint="eastAsia" w:ascii="宋体" w:hAnsi="宋体" w:eastAsia="宋体" w:cs="Trebuchet MS"/>
          <w:sz w:val="24"/>
          <w:szCs w:val="24"/>
        </w:rPr>
        <w:t>地点：江苏省政府采购交易系统（以下简称“苏采云系统”）网上开标大厅。</w:t>
      </w:r>
    </w:p>
    <w:p w14:paraId="534090FD">
      <w:pPr>
        <w:widowControl/>
        <w:numPr>
          <w:ilvl w:val="0"/>
          <w:numId w:val="2"/>
        </w:numPr>
        <w:shd w:val="clear" w:color="auto" w:fill="FFFFFF"/>
        <w:spacing w:line="276" w:lineRule="auto"/>
        <w:jc w:val="left"/>
        <w:rPr>
          <w:rFonts w:ascii="宋体" w:hAnsi="宋体" w:eastAsia="宋体" w:cs="Trebuchet MS"/>
          <w:sz w:val="24"/>
          <w:szCs w:val="24"/>
        </w:rPr>
      </w:pPr>
      <w:r>
        <w:rPr>
          <w:rFonts w:hint="eastAsia" w:ascii="宋体" w:hAnsi="宋体" w:eastAsia="宋体" w:cs="Trebuchet MS"/>
          <w:sz w:val="24"/>
          <w:szCs w:val="24"/>
        </w:rPr>
        <w:t>公告期限</w:t>
      </w:r>
    </w:p>
    <w:p w14:paraId="28ACB481">
      <w:pPr>
        <w:tabs>
          <w:tab w:val="left" w:pos="0"/>
          <w:tab w:val="left" w:pos="510"/>
          <w:tab w:val="left" w:pos="1134"/>
        </w:tabs>
        <w:spacing w:line="276" w:lineRule="auto"/>
        <w:ind w:firstLine="420"/>
        <w:rPr>
          <w:rFonts w:ascii="宋体" w:hAnsi="宋体" w:eastAsia="宋体" w:cs="Trebuchet MS"/>
          <w:sz w:val="24"/>
          <w:szCs w:val="24"/>
        </w:rPr>
      </w:pPr>
      <w:r>
        <w:rPr>
          <w:rFonts w:hint="eastAsia" w:ascii="宋体" w:hAnsi="宋体" w:eastAsia="宋体" w:cs="Trebuchet MS"/>
          <w:sz w:val="24"/>
          <w:szCs w:val="24"/>
        </w:rPr>
        <w:t>自本公告发布之日起</w:t>
      </w:r>
      <w:r>
        <w:rPr>
          <w:rFonts w:ascii="宋体" w:hAnsi="宋体" w:eastAsia="宋体" w:cs="Trebuchet MS"/>
          <w:sz w:val="24"/>
          <w:szCs w:val="24"/>
        </w:rPr>
        <w:t>5</w:t>
      </w:r>
      <w:r>
        <w:rPr>
          <w:rFonts w:hint="eastAsia" w:ascii="宋体" w:hAnsi="宋体" w:eastAsia="宋体" w:cs="Trebuchet MS"/>
          <w:sz w:val="24"/>
          <w:szCs w:val="24"/>
        </w:rPr>
        <w:t>个工作日内</w:t>
      </w:r>
    </w:p>
    <w:p w14:paraId="7750F60A">
      <w:pPr>
        <w:numPr>
          <w:ilvl w:val="0"/>
          <w:numId w:val="2"/>
        </w:numPr>
        <w:spacing w:line="276" w:lineRule="auto"/>
        <w:rPr>
          <w:rFonts w:ascii="宋体" w:hAnsi="宋体" w:eastAsia="宋体" w:cs="Trebuchet MS"/>
          <w:sz w:val="24"/>
          <w:szCs w:val="24"/>
        </w:rPr>
      </w:pPr>
      <w:r>
        <w:rPr>
          <w:rFonts w:hint="eastAsia" w:ascii="宋体" w:hAnsi="宋体" w:eastAsia="宋体" w:cs="Trebuchet MS"/>
          <w:sz w:val="24"/>
          <w:szCs w:val="24"/>
        </w:rPr>
        <w:t>其他补充事宜</w:t>
      </w:r>
    </w:p>
    <w:p w14:paraId="388B9CBD">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磋商响应文件。如供应商未按要求操作，由此所产生的风险由供应商自行承担。《操作手册》下载地址：http://www.ccgp-jiangsu.gov.cn/jiangsu/zlxz/ee/ee3a4bc5a3454aa2b0d（“苏采云”南京地区客服热线025-83633744、025-83633743）。</w:t>
      </w:r>
    </w:p>
    <w:p w14:paraId="5F1E09DB">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2.潜在供应商访问政府采购管理交易系统（苏采云）的网络地址和方法：</w:t>
      </w:r>
    </w:p>
    <w:p w14:paraId="57E5C645">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C37A50B">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（2）“CA数字证书”的获取：供应商需办理CA锁，“苏采云系统”目前仅支持“苏采云系统”下的政务CA，省内各地区办理的“苏采云”系统下的政务CA全省通用。</w:t>
      </w:r>
    </w:p>
    <w:p w14:paraId="36F3257C">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（3）“CA数字证书”的办理材料以及供应商操作手册详见：http://jsxcmm.com/help/gys.html。</w:t>
      </w:r>
    </w:p>
    <w:p w14:paraId="25E47771">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（4）潜在供应商访问“苏采云系统”的网络地址和方法：“苏采云系统”的网址：http://jszfcg.jsczt.cn/jszc/login。</w:t>
      </w:r>
    </w:p>
    <w:p w14:paraId="6BF4ABEA">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（5）采购文件（后缀名为“.kedt”）、供应商操作手册及政府采购客户端工具也可通过“苏采云系统”--已报名项目--报名详情页面内相应链接进行下载。</w:t>
      </w:r>
    </w:p>
    <w:p w14:paraId="0FEE894B">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（6）采购代理机构将数据电文形式的采购文件加载至“苏采云系统”，供潜在供应商下载或者查阅。</w:t>
      </w:r>
    </w:p>
    <w:p w14:paraId="169655BD">
      <w:pPr>
        <w:pStyle w:val="2"/>
        <w:spacing w:line="276" w:lineRule="auto"/>
        <w:ind w:firstLine="420"/>
        <w:jc w:val="left"/>
        <w:rPr>
          <w:rFonts w:hint="eastAsia" w:ascii="宋体" w:hAnsi="宋体" w:eastAsia="宋体" w:cs="Trebuchet MS"/>
          <w:b w:val="0"/>
          <w:bCs w:val="0"/>
          <w:sz w:val="24"/>
          <w:szCs w:val="24"/>
        </w:rPr>
      </w:pPr>
      <w:r>
        <w:rPr>
          <w:rFonts w:ascii="宋体" w:hAnsi="宋体" w:eastAsia="宋体" w:cs="Trebuchet MS"/>
          <w:b w:val="0"/>
          <w:bCs w:val="0"/>
          <w:sz w:val="24"/>
          <w:szCs w:val="24"/>
        </w:rPr>
        <w:t>3</w:t>
      </w:r>
      <w:r>
        <w:rPr>
          <w:rFonts w:hint="eastAsia" w:ascii="宋体" w:hAnsi="宋体" w:eastAsia="宋体" w:cs="Trebuchet MS"/>
          <w:b w:val="0"/>
          <w:bCs w:val="0"/>
          <w:sz w:val="24"/>
          <w:szCs w:val="24"/>
        </w:rPr>
        <w:t>.根据《关于在政府采购活动中推行信用承诺制的通知》宁财购通〔2021〕5号规定，参加南京地区政府采购活动的供应商，应以原件扫描盖章件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磋商响应文件中一并提交。</w:t>
      </w:r>
    </w:p>
    <w:p w14:paraId="4E9F07B2">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供应商诚信档案注册登记，按以下程序进行：</w:t>
      </w:r>
    </w:p>
    <w:p w14:paraId="01F25E6C">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（1）进入“信用南京”或“南京公共采购信息网”网站，点击“南京政府采购供应商诚信档案”图标，或直接输入访问地址，在用户登录界面点击“新用户注册”；</w:t>
      </w:r>
    </w:p>
    <w:p w14:paraId="013BF0DD">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（2）在“新用户注册”界面，供应商自行设置用户名、登录密码，如实填写《南京市政府采购供应商诚信档案注册登记表》，并进行信用承诺确认后，提交注册申请；</w:t>
      </w:r>
    </w:p>
    <w:p w14:paraId="6613E9B5">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（3）系统审核后，供应商即可登录系统进行相关功能操作。</w:t>
      </w:r>
    </w:p>
    <w:p w14:paraId="75DB4C22">
      <w:pPr>
        <w:pStyle w:val="2"/>
        <w:spacing w:line="276" w:lineRule="auto"/>
        <w:ind w:firstLine="420"/>
        <w:jc w:val="left"/>
        <w:rPr>
          <w:rFonts w:hint="eastAsia" w:ascii="宋体" w:hAnsi="宋体" w:eastAsia="宋体" w:cs="Trebuchet MS"/>
          <w:b w:val="0"/>
          <w:bCs w:val="0"/>
          <w:sz w:val="24"/>
          <w:szCs w:val="24"/>
        </w:rPr>
      </w:pPr>
      <w:r>
        <w:rPr>
          <w:rFonts w:hint="eastAsia" w:ascii="宋体" w:hAnsi="宋体" w:eastAsia="宋体" w:cs="Trebuchet MS"/>
          <w:b w:val="0"/>
          <w:bCs w:val="0"/>
          <w:sz w:val="24"/>
          <w:szCs w:val="24"/>
        </w:rPr>
        <w:t>南京市政府采购供应商诚信档案管理系统客服电话：025-52718366；供应商可就用户注册与打印“南京市政府采购供应商信用记录表暨信用承诺书”等事宜进行咨询。</w:t>
      </w:r>
    </w:p>
    <w:p w14:paraId="076FD786">
      <w:pPr>
        <w:pStyle w:val="2"/>
        <w:spacing w:line="276" w:lineRule="auto"/>
        <w:ind w:firstLine="420"/>
        <w:jc w:val="left"/>
        <w:rPr>
          <w:rFonts w:hint="eastAsia" w:ascii="宋体" w:hAnsi="宋体" w:eastAsia="宋体" w:cs="Trebuchet MS"/>
          <w:b w:val="0"/>
          <w:bCs w:val="0"/>
          <w:sz w:val="24"/>
          <w:szCs w:val="24"/>
        </w:rPr>
      </w:pPr>
      <w:r>
        <w:rPr>
          <w:rFonts w:ascii="宋体" w:hAnsi="宋体" w:eastAsia="宋体" w:cs="Trebuchet MS"/>
          <w:b w:val="0"/>
          <w:bCs w:val="0"/>
          <w:sz w:val="24"/>
          <w:szCs w:val="24"/>
        </w:rPr>
        <w:t>4</w:t>
      </w:r>
      <w:r>
        <w:rPr>
          <w:rFonts w:hint="eastAsia" w:ascii="宋体" w:hAnsi="宋体" w:eastAsia="宋体" w:cs="Trebuchet MS"/>
          <w:b w:val="0"/>
          <w:bCs w:val="0"/>
          <w:sz w:val="24"/>
          <w:szCs w:val="24"/>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113E91DD">
      <w:pPr>
        <w:pStyle w:val="2"/>
        <w:spacing w:line="276" w:lineRule="auto"/>
        <w:ind w:firstLine="420"/>
        <w:jc w:val="left"/>
        <w:rPr>
          <w:rFonts w:hint="eastAsia" w:ascii="宋体" w:hAnsi="宋体" w:eastAsia="宋体" w:cs="Trebuchet MS"/>
          <w:b w:val="0"/>
          <w:bCs w:val="0"/>
          <w:sz w:val="24"/>
          <w:szCs w:val="24"/>
        </w:rPr>
      </w:pPr>
      <w:r>
        <w:rPr>
          <w:rFonts w:ascii="宋体" w:hAnsi="宋体" w:eastAsia="宋体" w:cs="Trebuchet MS"/>
          <w:b w:val="0"/>
          <w:bCs w:val="0"/>
          <w:sz w:val="24"/>
          <w:szCs w:val="24"/>
        </w:rPr>
        <w:t>5</w:t>
      </w:r>
      <w:r>
        <w:rPr>
          <w:rFonts w:hint="eastAsia" w:ascii="宋体" w:hAnsi="宋体" w:eastAsia="宋体" w:cs="Trebuchet MS"/>
          <w:b w:val="0"/>
          <w:bCs w:val="0"/>
          <w:sz w:val="24"/>
          <w:szCs w:val="24"/>
        </w:rPr>
        <w:t>.本项目的招标代理服务费由成交供应商支付，具体详见竞争性磋商文件。</w:t>
      </w:r>
    </w:p>
    <w:p w14:paraId="6969EEFF">
      <w:pPr>
        <w:widowControl/>
        <w:shd w:val="clear" w:color="auto" w:fill="FFFFFF"/>
        <w:spacing w:line="276" w:lineRule="auto"/>
        <w:rPr>
          <w:rFonts w:ascii="宋体" w:hAnsi="宋体" w:eastAsia="宋体" w:cs="Trebuchet MS"/>
          <w:sz w:val="24"/>
          <w:szCs w:val="24"/>
        </w:rPr>
      </w:pPr>
      <w:r>
        <w:rPr>
          <w:rFonts w:hint="eastAsia" w:ascii="宋体" w:hAnsi="宋体" w:eastAsia="宋体" w:cs="Trebuchet MS"/>
          <w:sz w:val="24"/>
          <w:szCs w:val="24"/>
        </w:rPr>
        <w:t>八、凡对本次采购提出疑问，请按以下方式联系</w:t>
      </w:r>
    </w:p>
    <w:p w14:paraId="526DCF3B">
      <w:pPr>
        <w:tabs>
          <w:tab w:val="left" w:pos="0"/>
          <w:tab w:val="left" w:pos="510"/>
          <w:tab w:val="left" w:pos="1134"/>
        </w:tabs>
        <w:spacing w:line="276" w:lineRule="auto"/>
        <w:ind w:firstLine="420"/>
        <w:rPr>
          <w:rFonts w:ascii="宋体" w:hAnsi="宋体" w:eastAsia="宋体" w:cs="Trebuchet MS"/>
          <w:sz w:val="24"/>
          <w:szCs w:val="24"/>
        </w:rPr>
      </w:pPr>
      <w:r>
        <w:rPr>
          <w:rFonts w:hint="eastAsia" w:ascii="宋体" w:hAnsi="宋体" w:eastAsia="宋体" w:cs="Trebuchet MS"/>
          <w:sz w:val="24"/>
          <w:szCs w:val="24"/>
        </w:rPr>
        <w:t>1.采购人信息</w:t>
      </w:r>
    </w:p>
    <w:p w14:paraId="7AD2FA81">
      <w:pPr>
        <w:tabs>
          <w:tab w:val="left" w:pos="0"/>
          <w:tab w:val="left" w:pos="510"/>
          <w:tab w:val="left" w:pos="1134"/>
        </w:tabs>
        <w:spacing w:line="276" w:lineRule="auto"/>
        <w:ind w:firstLine="420"/>
        <w:rPr>
          <w:rFonts w:hint="eastAsia" w:ascii="宋体" w:hAnsi="宋体" w:eastAsia="宋体" w:cs="Trebuchet MS"/>
          <w:sz w:val="24"/>
          <w:szCs w:val="24"/>
          <w:lang w:eastAsia="zh-CN"/>
        </w:rPr>
      </w:pPr>
      <w:r>
        <w:rPr>
          <w:rFonts w:hint="eastAsia" w:ascii="宋体" w:hAnsi="宋体" w:eastAsia="宋体" w:cs="Trebuchet MS"/>
          <w:sz w:val="24"/>
          <w:szCs w:val="24"/>
        </w:rPr>
        <w:t>名称：</w:t>
      </w:r>
      <w:r>
        <w:rPr>
          <w:rFonts w:hint="eastAsia" w:ascii="宋体" w:hAnsi="宋体" w:eastAsia="宋体"/>
          <w:sz w:val="24"/>
          <w:szCs w:val="24"/>
          <w:lang w:eastAsia="zh-CN"/>
        </w:rPr>
        <w:t>南京市江宁区人民政府禄口街道办事处</w:t>
      </w:r>
    </w:p>
    <w:p w14:paraId="402FE8AA">
      <w:pPr>
        <w:tabs>
          <w:tab w:val="left" w:pos="0"/>
          <w:tab w:val="left" w:pos="510"/>
          <w:tab w:val="left" w:pos="1134"/>
        </w:tabs>
        <w:spacing w:line="276" w:lineRule="auto"/>
        <w:ind w:firstLine="420"/>
        <w:rPr>
          <w:rFonts w:hint="eastAsia" w:ascii="宋体" w:hAnsi="宋体" w:eastAsia="宋体" w:cs="Trebuchet MS"/>
          <w:sz w:val="24"/>
          <w:szCs w:val="24"/>
        </w:rPr>
      </w:pPr>
      <w:r>
        <w:rPr>
          <w:rFonts w:hint="eastAsia" w:ascii="宋体" w:hAnsi="宋体" w:eastAsia="宋体" w:cs="Trebuchet MS"/>
          <w:sz w:val="24"/>
          <w:szCs w:val="24"/>
        </w:rPr>
        <w:t>地址：南京市江宁区禄口街道信陵路38号</w:t>
      </w:r>
    </w:p>
    <w:p w14:paraId="33B0CDCB">
      <w:pPr>
        <w:tabs>
          <w:tab w:val="left" w:pos="0"/>
          <w:tab w:val="left" w:pos="510"/>
          <w:tab w:val="left" w:pos="1134"/>
        </w:tabs>
        <w:spacing w:line="276" w:lineRule="auto"/>
        <w:ind w:firstLine="420"/>
        <w:rPr>
          <w:rFonts w:hint="eastAsia" w:ascii="宋体" w:hAnsi="宋体" w:eastAsia="宋体" w:cs="Trebuchet MS"/>
          <w:sz w:val="24"/>
          <w:szCs w:val="24"/>
          <w:lang w:val="zh-CN"/>
        </w:rPr>
      </w:pPr>
      <w:r>
        <w:rPr>
          <w:rFonts w:hint="eastAsia" w:ascii="宋体" w:hAnsi="宋体" w:eastAsia="宋体" w:cs="Trebuchet MS"/>
          <w:sz w:val="24"/>
          <w:szCs w:val="24"/>
          <w:lang w:val="zh-CN"/>
        </w:rPr>
        <w:t>联系方式：</w:t>
      </w:r>
      <w:r>
        <w:rPr>
          <w:rFonts w:hint="eastAsia" w:ascii="宋体" w:hAnsi="宋体" w:eastAsia="宋体" w:cs="Trebuchet MS"/>
          <w:sz w:val="24"/>
          <w:szCs w:val="24"/>
          <w:lang w:val="en-US" w:eastAsia="zh-CN"/>
        </w:rPr>
        <w:t>关</w:t>
      </w:r>
      <w:r>
        <w:rPr>
          <w:rFonts w:hint="eastAsia" w:ascii="宋体" w:hAnsi="宋体" w:eastAsia="宋体" w:cs="Trebuchet MS"/>
          <w:sz w:val="24"/>
          <w:szCs w:val="24"/>
        </w:rPr>
        <w:t>科</w:t>
      </w:r>
    </w:p>
    <w:p w14:paraId="51A32E33">
      <w:pPr>
        <w:tabs>
          <w:tab w:val="left" w:pos="0"/>
          <w:tab w:val="left" w:pos="510"/>
          <w:tab w:val="left" w:pos="1134"/>
        </w:tabs>
        <w:spacing w:line="276" w:lineRule="auto"/>
        <w:ind w:firstLine="420"/>
        <w:rPr>
          <w:rFonts w:hint="eastAsia" w:ascii="宋体" w:hAnsi="宋体" w:eastAsia="宋体" w:cs="Trebuchet MS"/>
          <w:sz w:val="24"/>
          <w:szCs w:val="24"/>
          <w:lang w:val="zh-CN" w:eastAsia="zh-CN"/>
        </w:rPr>
      </w:pPr>
      <w:r>
        <w:rPr>
          <w:rFonts w:hint="eastAsia" w:ascii="宋体" w:hAnsi="宋体" w:eastAsia="宋体" w:cs="Trebuchet MS"/>
          <w:sz w:val="24"/>
          <w:szCs w:val="24"/>
          <w:lang w:val="zh-CN"/>
        </w:rPr>
        <w:t>联系电话：</w:t>
      </w:r>
      <w:r>
        <w:rPr>
          <w:rFonts w:hint="eastAsia" w:ascii="宋体" w:hAnsi="宋体" w:eastAsia="宋体" w:cs="Trebuchet MS"/>
          <w:sz w:val="24"/>
          <w:szCs w:val="24"/>
          <w:lang w:val="en-US" w:eastAsia="zh-CN"/>
        </w:rPr>
        <w:t>/</w:t>
      </w:r>
    </w:p>
    <w:p w14:paraId="7C3891B2">
      <w:pPr>
        <w:tabs>
          <w:tab w:val="left" w:pos="0"/>
          <w:tab w:val="left" w:pos="510"/>
          <w:tab w:val="left" w:pos="1134"/>
        </w:tabs>
        <w:spacing w:line="276" w:lineRule="auto"/>
        <w:rPr>
          <w:rFonts w:ascii="宋体" w:hAnsi="宋体" w:eastAsia="宋体" w:cs="Trebuchet MS"/>
          <w:sz w:val="24"/>
          <w:szCs w:val="24"/>
        </w:rPr>
      </w:pPr>
      <w:r>
        <w:rPr>
          <w:rFonts w:ascii="宋体" w:hAnsi="宋体" w:eastAsia="宋体" w:cs="Trebuchet MS"/>
          <w:sz w:val="24"/>
          <w:szCs w:val="24"/>
        </w:rPr>
        <w:t>2</w:t>
      </w:r>
      <w:r>
        <w:rPr>
          <w:rFonts w:hint="eastAsia" w:ascii="宋体" w:hAnsi="宋体" w:eastAsia="宋体" w:cs="Trebuchet MS"/>
          <w:sz w:val="24"/>
          <w:szCs w:val="24"/>
        </w:rPr>
        <w:t>.采购代理机构信息</w:t>
      </w:r>
    </w:p>
    <w:p w14:paraId="57042DF5">
      <w:pPr>
        <w:tabs>
          <w:tab w:val="left" w:pos="0"/>
          <w:tab w:val="left" w:pos="510"/>
          <w:tab w:val="left" w:pos="1134"/>
        </w:tabs>
        <w:spacing w:line="276" w:lineRule="auto"/>
        <w:ind w:firstLine="420"/>
        <w:rPr>
          <w:rFonts w:hint="eastAsia" w:ascii="宋体" w:hAnsi="宋体" w:eastAsia="宋体" w:cs="Trebuchet MS"/>
          <w:sz w:val="24"/>
          <w:szCs w:val="24"/>
          <w:lang w:val="zh-CN" w:eastAsia="zh-CN"/>
        </w:rPr>
      </w:pPr>
      <w:r>
        <w:rPr>
          <w:rFonts w:hint="eastAsia" w:ascii="宋体" w:hAnsi="宋体" w:eastAsia="宋体" w:cs="Trebuchet MS"/>
          <w:sz w:val="24"/>
          <w:szCs w:val="24"/>
          <w:lang w:val="zh-CN"/>
        </w:rPr>
        <w:t>名称：</w:t>
      </w:r>
      <w:r>
        <w:rPr>
          <w:rFonts w:hint="eastAsia" w:ascii="宋体" w:hAnsi="宋体" w:eastAsia="宋体" w:cs="Trebuchet MS"/>
          <w:sz w:val="24"/>
          <w:szCs w:val="24"/>
          <w:lang w:eastAsia="zh-CN"/>
        </w:rPr>
        <w:t>南京富弘工程项目管理有限公司</w:t>
      </w:r>
    </w:p>
    <w:p w14:paraId="5257CD38">
      <w:pPr>
        <w:tabs>
          <w:tab w:val="left" w:pos="0"/>
          <w:tab w:val="left" w:pos="510"/>
          <w:tab w:val="left" w:pos="1134"/>
        </w:tabs>
        <w:spacing w:line="276" w:lineRule="auto"/>
        <w:ind w:firstLine="420"/>
        <w:rPr>
          <w:rFonts w:ascii="宋体" w:hAnsi="宋体" w:eastAsia="宋体" w:cs="Trebuchet MS"/>
          <w:sz w:val="24"/>
          <w:szCs w:val="24"/>
          <w:lang w:val="zh-CN"/>
        </w:rPr>
      </w:pPr>
      <w:r>
        <w:rPr>
          <w:rFonts w:hint="eastAsia" w:ascii="宋体" w:hAnsi="宋体" w:eastAsia="宋体" w:cs="Trebuchet MS"/>
          <w:sz w:val="24"/>
          <w:szCs w:val="24"/>
          <w:lang w:val="zh-CN"/>
        </w:rPr>
        <w:t>地址：</w:t>
      </w:r>
      <w:r>
        <w:rPr>
          <w:rFonts w:hint="eastAsia" w:ascii="宋体" w:hAnsi="宋体" w:eastAsia="宋体" w:cs="Trebuchet MS"/>
          <w:sz w:val="24"/>
          <w:szCs w:val="24"/>
          <w:lang w:eastAsia="zh-CN"/>
        </w:rPr>
        <w:t>南京市江宁区东山街道文靖西路108号西楼3楼</w:t>
      </w:r>
    </w:p>
    <w:p w14:paraId="26FDE00B">
      <w:pPr>
        <w:tabs>
          <w:tab w:val="left" w:pos="0"/>
          <w:tab w:val="left" w:pos="510"/>
          <w:tab w:val="left" w:pos="1134"/>
        </w:tabs>
        <w:spacing w:line="276" w:lineRule="auto"/>
        <w:ind w:firstLine="420"/>
        <w:rPr>
          <w:rFonts w:ascii="宋体" w:hAnsi="宋体" w:eastAsia="宋体" w:cs="Trebuchet MS"/>
          <w:sz w:val="24"/>
          <w:szCs w:val="24"/>
          <w:lang w:val="zh-CN"/>
        </w:rPr>
      </w:pPr>
      <w:r>
        <w:rPr>
          <w:rFonts w:hint="eastAsia" w:ascii="宋体" w:hAnsi="宋体" w:eastAsia="宋体" w:cs="Trebuchet MS"/>
          <w:sz w:val="24"/>
          <w:szCs w:val="24"/>
          <w:lang w:val="zh-CN"/>
        </w:rPr>
        <w:t>联系方式：</w:t>
      </w:r>
      <w:r>
        <w:rPr>
          <w:rFonts w:hint="eastAsia" w:ascii="宋体" w:hAnsi="宋体" w:eastAsia="宋体" w:cs="Trebuchet MS"/>
          <w:sz w:val="24"/>
          <w:szCs w:val="24"/>
          <w:lang w:val="en-US" w:eastAsia="zh-CN"/>
        </w:rPr>
        <w:t>蒋</w:t>
      </w:r>
      <w:r>
        <w:rPr>
          <w:rFonts w:hint="eastAsia" w:ascii="宋体" w:hAnsi="宋体" w:eastAsia="宋体" w:cs="Trebuchet MS"/>
          <w:sz w:val="24"/>
          <w:szCs w:val="24"/>
          <w:lang w:val="zh-CN"/>
        </w:rPr>
        <w:t>工</w:t>
      </w:r>
    </w:p>
    <w:p w14:paraId="79DA705D">
      <w:pPr>
        <w:tabs>
          <w:tab w:val="left" w:pos="0"/>
          <w:tab w:val="left" w:pos="510"/>
          <w:tab w:val="left" w:pos="1134"/>
        </w:tabs>
        <w:spacing w:line="276" w:lineRule="auto"/>
        <w:ind w:firstLine="420"/>
        <w:rPr>
          <w:rFonts w:hint="default" w:ascii="宋体" w:hAnsi="宋体" w:eastAsia="宋体" w:cs="Trebuchet MS"/>
          <w:sz w:val="24"/>
          <w:szCs w:val="24"/>
          <w:lang w:val="en-US" w:eastAsia="zh-CN"/>
        </w:rPr>
      </w:pPr>
      <w:r>
        <w:rPr>
          <w:rFonts w:hint="eastAsia" w:ascii="宋体" w:hAnsi="宋体" w:eastAsia="宋体" w:cs="Trebuchet MS"/>
          <w:sz w:val="24"/>
          <w:szCs w:val="24"/>
          <w:lang w:val="zh-CN"/>
        </w:rPr>
        <w:t>电话：</w:t>
      </w:r>
      <w:r>
        <w:rPr>
          <w:rFonts w:hint="eastAsia" w:ascii="宋体" w:hAnsi="宋体" w:eastAsia="宋体" w:cs="Trebuchet MS"/>
          <w:sz w:val="24"/>
          <w:szCs w:val="24"/>
          <w:lang w:val="en-US" w:eastAsia="zh-CN"/>
        </w:rPr>
        <w:t>15051859872</w:t>
      </w:r>
    </w:p>
    <w:p w14:paraId="3411E93F">
      <w:pPr>
        <w:tabs>
          <w:tab w:val="left" w:pos="0"/>
          <w:tab w:val="left" w:pos="510"/>
          <w:tab w:val="left" w:pos="1134"/>
        </w:tabs>
        <w:spacing w:line="276" w:lineRule="auto"/>
        <w:ind w:firstLine="420"/>
        <w:rPr>
          <w:rFonts w:ascii="宋体" w:hAnsi="宋体" w:eastAsia="宋体" w:cs="Trebuchet MS"/>
          <w:szCs w:val="21"/>
          <w:lang w:val="zh-CN"/>
        </w:rPr>
      </w:pPr>
    </w:p>
    <w:p w14:paraId="489E6D99">
      <w:pPr>
        <w:pStyle w:val="347"/>
        <w:spacing w:line="276" w:lineRule="auto"/>
        <w:rPr>
          <w:rFonts w:hint="eastAsia" w:ascii="宋体" w:hAnsi="宋体" w:eastAsia="宋体"/>
          <w:color w:val="000000"/>
        </w:rPr>
      </w:pPr>
      <w:bookmarkStart w:id="14" w:name="_Toc85525783"/>
      <w:bookmarkStart w:id="15" w:name="_Toc190329531"/>
      <w:r>
        <w:rPr>
          <w:rFonts w:ascii="宋体" w:hAnsi="宋体" w:eastAsia="宋体"/>
          <w:color w:val="000000"/>
        </w:rPr>
        <w:br w:type="page" w:clear="all"/>
      </w:r>
      <w:r>
        <w:rPr>
          <w:rFonts w:hint="eastAsia" w:ascii="宋体" w:hAnsi="宋体" w:eastAsia="宋体"/>
          <w:color w:val="000000"/>
        </w:rPr>
        <w:t>第二章磋商供应商须知</w:t>
      </w:r>
      <w:bookmarkEnd w:id="10"/>
      <w:bookmarkEnd w:id="11"/>
      <w:bookmarkEnd w:id="14"/>
      <w:bookmarkEnd w:id="15"/>
    </w:p>
    <w:tbl>
      <w:tblPr>
        <w:tblStyle w:val="29"/>
        <w:tblW w:w="8850" w:type="dxa"/>
        <w:tblInd w:w="4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900"/>
        <w:gridCol w:w="1184"/>
        <w:gridCol w:w="1516"/>
        <w:gridCol w:w="4530"/>
      </w:tblGrid>
      <w:tr w14:paraId="1C6CB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32D83369">
            <w:pPr>
              <w:pStyle w:val="331"/>
              <w:spacing w:before="78" w:line="276" w:lineRule="auto"/>
              <w:ind w:left="179" w:hanging="179"/>
              <w:rPr>
                <w:rFonts w:hint="eastAsia" w:ascii="宋体" w:hAnsi="宋体" w:eastAsia="宋体"/>
                <w:b/>
                <w:sz w:val="24"/>
                <w:szCs w:val="24"/>
              </w:rPr>
            </w:pPr>
            <w:r>
              <w:rPr>
                <w:rFonts w:hint="eastAsia" w:ascii="宋体" w:hAnsi="宋体" w:eastAsia="宋体"/>
                <w:b/>
                <w:sz w:val="24"/>
                <w:szCs w:val="24"/>
              </w:rPr>
              <w:t>序号</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15BA5B15">
            <w:pPr>
              <w:pStyle w:val="331"/>
              <w:spacing w:before="78" w:line="276" w:lineRule="auto"/>
              <w:ind w:left="179" w:hanging="179"/>
              <w:rPr>
                <w:rFonts w:hint="eastAsia" w:ascii="宋体" w:hAnsi="宋体" w:eastAsia="宋体"/>
                <w:b/>
                <w:sz w:val="24"/>
                <w:szCs w:val="24"/>
              </w:rPr>
            </w:pPr>
            <w:r>
              <w:rPr>
                <w:rFonts w:hint="eastAsia" w:ascii="宋体" w:hAnsi="宋体" w:eastAsia="宋体"/>
                <w:b/>
                <w:sz w:val="24"/>
                <w:szCs w:val="24"/>
              </w:rPr>
              <w:t>项目</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5DCFA6F7">
            <w:pPr>
              <w:pStyle w:val="331"/>
              <w:spacing w:before="78" w:line="276" w:lineRule="auto"/>
              <w:ind w:left="179" w:hanging="179"/>
              <w:rPr>
                <w:rFonts w:hint="eastAsia" w:ascii="宋体" w:hAnsi="宋体" w:eastAsia="宋体"/>
                <w:b/>
                <w:sz w:val="24"/>
                <w:szCs w:val="24"/>
              </w:rPr>
            </w:pPr>
            <w:r>
              <w:rPr>
                <w:rFonts w:hint="eastAsia" w:ascii="宋体" w:hAnsi="宋体" w:eastAsia="宋体"/>
                <w:b/>
                <w:sz w:val="24"/>
                <w:szCs w:val="24"/>
              </w:rPr>
              <w:t>内容</w:t>
            </w:r>
          </w:p>
        </w:tc>
      </w:tr>
      <w:tr w14:paraId="74F5F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0FCD5505">
            <w:pPr>
              <w:tabs>
                <w:tab w:val="left" w:pos="0"/>
                <w:tab w:val="left" w:pos="510"/>
                <w:tab w:val="left" w:pos="1134"/>
              </w:tabs>
              <w:spacing w:line="360" w:lineRule="auto"/>
              <w:jc w:val="center"/>
              <w:rPr>
                <w:rFonts w:hint="eastAsia" w:ascii="宋体" w:hAnsi="宋体" w:eastAsia="宋体" w:cs="Trebuchet MS"/>
                <w:sz w:val="24"/>
                <w:szCs w:val="24"/>
              </w:rPr>
            </w:pPr>
            <w:r>
              <w:rPr>
                <w:rFonts w:hint="eastAsia" w:ascii="宋体" w:hAnsi="宋体" w:eastAsia="宋体" w:cs="Trebuchet MS"/>
                <w:sz w:val="24"/>
                <w:szCs w:val="24"/>
              </w:rPr>
              <w:t>1</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6B7C9636">
            <w:pPr>
              <w:tabs>
                <w:tab w:val="left" w:pos="0"/>
                <w:tab w:val="left" w:pos="510"/>
                <w:tab w:val="left" w:pos="1134"/>
              </w:tabs>
              <w:spacing w:line="360" w:lineRule="auto"/>
              <w:jc w:val="center"/>
              <w:rPr>
                <w:rFonts w:hint="eastAsia" w:ascii="宋体" w:hAnsi="宋体" w:eastAsia="宋体" w:cs="Trebuchet MS"/>
                <w:sz w:val="24"/>
                <w:szCs w:val="24"/>
                <w:lang w:eastAsia="zh-CN"/>
              </w:rPr>
            </w:pPr>
            <w:r>
              <w:rPr>
                <w:rFonts w:hint="eastAsia" w:ascii="宋体" w:hAnsi="宋体" w:eastAsia="宋体" w:cs="Trebuchet MS"/>
                <w:sz w:val="24"/>
                <w:szCs w:val="24"/>
                <w:lang w:eastAsia="zh-CN"/>
              </w:rPr>
              <w:t>项目编号</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5F650C1B">
            <w:pPr>
              <w:tabs>
                <w:tab w:val="left" w:pos="0"/>
                <w:tab w:val="left" w:pos="510"/>
                <w:tab w:val="left" w:pos="1134"/>
              </w:tabs>
              <w:spacing w:line="360" w:lineRule="auto"/>
              <w:jc w:val="center"/>
              <w:rPr>
                <w:rFonts w:hint="eastAsia" w:ascii="宋体" w:hAnsi="宋体" w:eastAsia="宋体" w:cs="Trebuchet MS"/>
                <w:sz w:val="24"/>
                <w:szCs w:val="24"/>
                <w:lang w:eastAsia="zh-CN"/>
              </w:rPr>
            </w:pPr>
            <w:r>
              <w:rPr>
                <w:rFonts w:hint="eastAsia" w:ascii="宋体" w:hAnsi="宋体" w:eastAsia="宋体" w:cs="Trebuchet MS"/>
                <w:sz w:val="24"/>
                <w:szCs w:val="24"/>
                <w:lang w:eastAsia="zh-CN"/>
              </w:rPr>
              <w:t>JSZC-320115-FHGL-C2026-0001</w:t>
            </w:r>
          </w:p>
        </w:tc>
      </w:tr>
      <w:tr w14:paraId="704A3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66143E09">
            <w:pPr>
              <w:tabs>
                <w:tab w:val="left" w:pos="0"/>
                <w:tab w:val="left" w:pos="510"/>
                <w:tab w:val="left" w:pos="1134"/>
              </w:tabs>
              <w:spacing w:line="360" w:lineRule="auto"/>
              <w:jc w:val="center"/>
              <w:rPr>
                <w:rFonts w:hint="eastAsia" w:ascii="宋体" w:hAnsi="宋体" w:eastAsia="宋体" w:cs="Trebuchet MS"/>
                <w:sz w:val="24"/>
                <w:szCs w:val="24"/>
              </w:rPr>
            </w:pPr>
            <w:r>
              <w:rPr>
                <w:rFonts w:hint="eastAsia" w:ascii="宋体" w:hAnsi="宋体" w:eastAsia="宋体" w:cs="Trebuchet MS"/>
                <w:sz w:val="24"/>
                <w:szCs w:val="24"/>
              </w:rPr>
              <w:t>2</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648D70FE">
            <w:pPr>
              <w:tabs>
                <w:tab w:val="left" w:pos="0"/>
                <w:tab w:val="left" w:pos="510"/>
                <w:tab w:val="left" w:pos="1134"/>
              </w:tabs>
              <w:spacing w:line="360" w:lineRule="auto"/>
              <w:jc w:val="center"/>
              <w:rPr>
                <w:rFonts w:hint="eastAsia" w:ascii="宋体" w:hAnsi="宋体" w:eastAsia="宋体" w:cs="Trebuchet MS"/>
                <w:sz w:val="24"/>
                <w:szCs w:val="24"/>
                <w:lang w:eastAsia="zh-CN"/>
              </w:rPr>
            </w:pPr>
            <w:r>
              <w:rPr>
                <w:rFonts w:hint="eastAsia" w:ascii="宋体" w:hAnsi="宋体" w:eastAsia="宋体" w:cs="Trebuchet MS"/>
                <w:sz w:val="24"/>
                <w:szCs w:val="24"/>
                <w:lang w:eastAsia="zh-CN"/>
              </w:rPr>
              <w:t>项目名称</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7AD7C252">
            <w:pPr>
              <w:tabs>
                <w:tab w:val="left" w:pos="0"/>
                <w:tab w:val="left" w:pos="510"/>
                <w:tab w:val="left" w:pos="1134"/>
              </w:tabs>
              <w:spacing w:line="360" w:lineRule="auto"/>
              <w:jc w:val="center"/>
              <w:rPr>
                <w:rFonts w:hint="eastAsia" w:ascii="宋体" w:hAnsi="宋体" w:eastAsia="宋体" w:cs="Trebuchet MS"/>
                <w:sz w:val="24"/>
                <w:szCs w:val="24"/>
                <w:lang w:eastAsia="zh-CN"/>
              </w:rPr>
            </w:pPr>
            <w:r>
              <w:rPr>
                <w:rFonts w:hint="eastAsia" w:ascii="宋体" w:hAnsi="宋体" w:eastAsia="宋体" w:cs="宋体"/>
                <w:color w:val="0000FF"/>
                <w:sz w:val="24"/>
                <w:szCs w:val="24"/>
                <w:lang w:val="zh-CN" w:eastAsia="zh-CN"/>
              </w:rPr>
              <w:t>2026-2028年度“村村亮”路灯管养维护服务项目</w:t>
            </w:r>
          </w:p>
        </w:tc>
      </w:tr>
      <w:tr w14:paraId="557E0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7A10696A">
            <w:pPr>
              <w:tabs>
                <w:tab w:val="left" w:pos="0"/>
                <w:tab w:val="left" w:pos="510"/>
                <w:tab w:val="left" w:pos="1134"/>
              </w:tabs>
              <w:spacing w:line="360" w:lineRule="auto"/>
              <w:jc w:val="center"/>
              <w:rPr>
                <w:rFonts w:hint="eastAsia" w:ascii="宋体" w:hAnsi="宋体" w:eastAsia="宋体" w:cs="Trebuchet MS"/>
                <w:sz w:val="24"/>
                <w:szCs w:val="24"/>
              </w:rPr>
            </w:pPr>
            <w:r>
              <w:rPr>
                <w:rFonts w:hint="eastAsia" w:ascii="宋体" w:hAnsi="宋体" w:eastAsia="宋体" w:cs="Trebuchet MS"/>
                <w:sz w:val="24"/>
                <w:szCs w:val="24"/>
              </w:rPr>
              <w:t>3</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41980460">
            <w:pPr>
              <w:tabs>
                <w:tab w:val="left" w:pos="0"/>
                <w:tab w:val="left" w:pos="510"/>
                <w:tab w:val="left" w:pos="1134"/>
              </w:tabs>
              <w:spacing w:line="360" w:lineRule="auto"/>
              <w:jc w:val="center"/>
              <w:rPr>
                <w:rFonts w:hint="eastAsia" w:ascii="宋体" w:hAnsi="宋体" w:eastAsia="宋体" w:cs="Trebuchet MS"/>
                <w:sz w:val="24"/>
                <w:szCs w:val="24"/>
              </w:rPr>
            </w:pPr>
            <w:r>
              <w:rPr>
                <w:rFonts w:hint="eastAsia" w:ascii="宋体" w:hAnsi="宋体" w:eastAsia="宋体" w:cs="Trebuchet MS"/>
                <w:sz w:val="24"/>
                <w:szCs w:val="24"/>
              </w:rPr>
              <w:t>采购代理机构</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2E084DCA">
            <w:pPr>
              <w:tabs>
                <w:tab w:val="left" w:pos="0"/>
                <w:tab w:val="left" w:pos="510"/>
                <w:tab w:val="left" w:pos="1134"/>
              </w:tabs>
              <w:spacing w:line="360" w:lineRule="auto"/>
              <w:jc w:val="center"/>
              <w:rPr>
                <w:rFonts w:hint="eastAsia" w:ascii="宋体" w:hAnsi="宋体" w:eastAsia="宋体" w:cs="Trebuchet MS"/>
                <w:sz w:val="24"/>
                <w:szCs w:val="24"/>
                <w:lang w:eastAsia="zh-CN"/>
              </w:rPr>
            </w:pPr>
            <w:r>
              <w:rPr>
                <w:rFonts w:hint="eastAsia" w:ascii="宋体" w:hAnsi="宋体" w:eastAsia="宋体" w:cs="Trebuchet MS"/>
                <w:sz w:val="24"/>
                <w:szCs w:val="24"/>
                <w:lang w:eastAsia="zh-CN"/>
              </w:rPr>
              <w:t>南京富弘工程项目管理有限公司</w:t>
            </w:r>
          </w:p>
        </w:tc>
      </w:tr>
      <w:tr w14:paraId="713F6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7"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1CFA21DF">
            <w:pPr>
              <w:tabs>
                <w:tab w:val="left" w:pos="0"/>
                <w:tab w:val="left" w:pos="510"/>
                <w:tab w:val="left" w:pos="1134"/>
              </w:tabs>
              <w:spacing w:line="360" w:lineRule="auto"/>
              <w:jc w:val="center"/>
              <w:rPr>
                <w:rFonts w:hint="eastAsia" w:ascii="宋体" w:hAnsi="宋体" w:eastAsia="宋体" w:cs="Trebuchet MS"/>
                <w:sz w:val="24"/>
                <w:szCs w:val="24"/>
              </w:rPr>
            </w:pPr>
            <w:r>
              <w:rPr>
                <w:rFonts w:hint="eastAsia" w:ascii="宋体" w:hAnsi="宋体" w:eastAsia="宋体" w:cs="Trebuchet MS"/>
                <w:sz w:val="24"/>
                <w:szCs w:val="24"/>
              </w:rPr>
              <w:t>4</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19F23268">
            <w:pPr>
              <w:tabs>
                <w:tab w:val="left" w:pos="0"/>
                <w:tab w:val="left" w:pos="510"/>
                <w:tab w:val="left" w:pos="1134"/>
              </w:tabs>
              <w:spacing w:line="360" w:lineRule="auto"/>
              <w:jc w:val="center"/>
              <w:rPr>
                <w:rFonts w:hint="eastAsia" w:ascii="宋体" w:hAnsi="宋体" w:eastAsia="宋体" w:cs="Trebuchet MS"/>
                <w:sz w:val="24"/>
                <w:szCs w:val="24"/>
              </w:rPr>
            </w:pPr>
            <w:r>
              <w:rPr>
                <w:rFonts w:hint="eastAsia" w:ascii="宋体" w:hAnsi="宋体" w:eastAsia="宋体" w:cs="Trebuchet MS"/>
                <w:sz w:val="24"/>
                <w:szCs w:val="24"/>
              </w:rPr>
              <w:t>代理机构地址</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1B88F776">
            <w:pPr>
              <w:tabs>
                <w:tab w:val="left" w:pos="0"/>
                <w:tab w:val="left" w:pos="510"/>
                <w:tab w:val="left" w:pos="1134"/>
              </w:tabs>
              <w:spacing w:line="360" w:lineRule="auto"/>
              <w:jc w:val="center"/>
              <w:rPr>
                <w:rFonts w:hint="eastAsia" w:ascii="宋体" w:hAnsi="宋体" w:eastAsia="宋体" w:cs="Trebuchet MS"/>
                <w:sz w:val="24"/>
                <w:szCs w:val="24"/>
                <w:lang w:eastAsia="zh-CN"/>
              </w:rPr>
            </w:pPr>
            <w:r>
              <w:rPr>
                <w:rFonts w:hint="eastAsia" w:ascii="宋体" w:hAnsi="宋体" w:eastAsia="宋体" w:cs="Trebuchet MS"/>
                <w:sz w:val="24"/>
                <w:szCs w:val="24"/>
                <w:lang w:eastAsia="zh-CN"/>
              </w:rPr>
              <w:t>南京市江宁区东山街道文靖西路108号西楼3楼</w:t>
            </w:r>
          </w:p>
        </w:tc>
      </w:tr>
      <w:tr w14:paraId="28A0A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7"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71E69ADD">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5</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0993FF10">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磋商文件获取方法</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21C80D8F">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4AA9F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65A10E96">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6</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1B799E39">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最高限价</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58A70E3D">
            <w:pPr>
              <w:tabs>
                <w:tab w:val="left" w:pos="0"/>
                <w:tab w:val="left" w:pos="510"/>
                <w:tab w:val="left" w:pos="1134"/>
              </w:tabs>
              <w:spacing w:line="276" w:lineRule="auto"/>
              <w:jc w:val="left"/>
              <w:rPr>
                <w:rFonts w:hint="eastAsia" w:ascii="宋体" w:hAnsi="宋体" w:eastAsia="宋体" w:cs="Trebuchet MS"/>
                <w:b/>
                <w:bCs/>
                <w:sz w:val="24"/>
                <w:szCs w:val="24"/>
              </w:rPr>
            </w:pPr>
            <w:r>
              <w:rPr>
                <w:rFonts w:hint="eastAsia" w:ascii="宋体" w:hAnsi="宋体" w:eastAsia="宋体" w:cs="方正大黑简体"/>
                <w:b/>
                <w:bCs/>
                <w:color w:val="0000FF"/>
                <w:sz w:val="24"/>
                <w:szCs w:val="24"/>
              </w:rPr>
              <w:t>303048元（供应商的磋商报价（第一轮、第二轮均不得超出采购预算及采购最高限价））</w:t>
            </w:r>
          </w:p>
        </w:tc>
      </w:tr>
      <w:tr w14:paraId="188F1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432E38FD">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7</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41F01138">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合同履行期限</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0B128FD3">
            <w:pPr>
              <w:tabs>
                <w:tab w:val="left" w:pos="0"/>
                <w:tab w:val="left" w:pos="510"/>
                <w:tab w:val="left" w:pos="1134"/>
              </w:tabs>
              <w:spacing w:line="276" w:lineRule="auto"/>
              <w:rPr>
                <w:rFonts w:ascii="宋体" w:hAnsi="宋体" w:eastAsia="宋体" w:cs="Trebuchet MS"/>
                <w:sz w:val="24"/>
                <w:szCs w:val="24"/>
              </w:rPr>
            </w:pPr>
            <w:r>
              <w:rPr>
                <w:rFonts w:hint="eastAsia" w:ascii="宋体" w:hAnsi="宋体" w:eastAsia="宋体" w:cs="Trebuchet MS"/>
                <w:sz w:val="24"/>
                <w:szCs w:val="24"/>
              </w:rPr>
              <w:t>一招三年，合同一年一签。</w:t>
            </w:r>
          </w:p>
        </w:tc>
      </w:tr>
      <w:tr w14:paraId="796AF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7E9BC2AF">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8</w:t>
            </w:r>
          </w:p>
        </w:tc>
        <w:tc>
          <w:tcPr>
            <w:tcW w:w="2084" w:type="dxa"/>
            <w:gridSpan w:val="2"/>
            <w:tcBorders>
              <w:top w:val="single" w:color="000000" w:sz="4" w:space="0"/>
              <w:left w:val="single" w:color="000000" w:sz="4" w:space="0"/>
              <w:bottom w:val="single" w:color="000000" w:sz="4" w:space="0"/>
              <w:right w:val="single" w:color="000000" w:sz="4" w:space="0"/>
            </w:tcBorders>
            <w:noWrap w:val="0"/>
            <w:vAlign w:val="center"/>
          </w:tcPr>
          <w:p w14:paraId="545CC695">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磋商有效期</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4AE9E0C6">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磋商之日起</w:t>
            </w:r>
            <w:r>
              <w:rPr>
                <w:rFonts w:ascii="宋体" w:hAnsi="宋体" w:eastAsia="宋体" w:cs="Trebuchet MS"/>
                <w:sz w:val="24"/>
                <w:szCs w:val="24"/>
              </w:rPr>
              <w:t>30</w:t>
            </w:r>
            <w:r>
              <w:rPr>
                <w:rFonts w:hint="eastAsia" w:ascii="宋体" w:hAnsi="宋体" w:eastAsia="宋体" w:cs="Trebuchet MS"/>
                <w:sz w:val="24"/>
                <w:szCs w:val="24"/>
              </w:rPr>
              <w:t>天</w:t>
            </w:r>
          </w:p>
        </w:tc>
      </w:tr>
      <w:tr w14:paraId="291F5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2" w:hRule="atLeast"/>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14:paraId="0EAB8119">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10</w:t>
            </w:r>
          </w:p>
        </w:tc>
        <w:tc>
          <w:tcPr>
            <w:tcW w:w="9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52EF102">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响应性文件提交信息</w:t>
            </w: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1835CBF4">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时间</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53E2D0A6">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方正大黑简体"/>
                <w:color w:val="0000FF"/>
                <w:sz w:val="24"/>
                <w:szCs w:val="24"/>
                <w:highlight w:val="none"/>
              </w:rPr>
              <w:t>202</w:t>
            </w:r>
            <w:r>
              <w:rPr>
                <w:rFonts w:hint="eastAsia" w:ascii="宋体" w:hAnsi="宋体" w:eastAsia="宋体" w:cs="方正大黑简体"/>
                <w:color w:val="0000FF"/>
                <w:sz w:val="24"/>
                <w:szCs w:val="24"/>
                <w:highlight w:val="none"/>
                <w:lang w:val="en-US" w:eastAsia="zh-CN"/>
              </w:rPr>
              <w:t>6</w:t>
            </w:r>
            <w:r>
              <w:rPr>
                <w:rFonts w:hint="eastAsia" w:ascii="宋体" w:hAnsi="宋体" w:eastAsia="宋体" w:cs="方正大黑简体"/>
                <w:color w:val="0000FF"/>
                <w:sz w:val="24"/>
                <w:szCs w:val="24"/>
                <w:highlight w:val="none"/>
              </w:rPr>
              <w:t>年</w:t>
            </w:r>
            <w:r>
              <w:rPr>
                <w:rFonts w:hint="eastAsia" w:ascii="宋体" w:hAnsi="宋体" w:eastAsia="宋体" w:cs="方正大黑简体"/>
                <w:color w:val="0000FF"/>
                <w:sz w:val="24"/>
                <w:szCs w:val="24"/>
                <w:highlight w:val="none"/>
                <w:lang w:val="en-US" w:eastAsia="zh-CN"/>
              </w:rPr>
              <w:t>01</w:t>
            </w:r>
            <w:r>
              <w:rPr>
                <w:rFonts w:hint="eastAsia" w:ascii="宋体" w:hAnsi="宋体" w:eastAsia="宋体" w:cs="方正大黑简体"/>
                <w:color w:val="0000FF"/>
                <w:sz w:val="24"/>
                <w:szCs w:val="24"/>
                <w:highlight w:val="none"/>
              </w:rPr>
              <w:t>月</w:t>
            </w:r>
            <w:r>
              <w:rPr>
                <w:rFonts w:hint="eastAsia" w:ascii="宋体" w:hAnsi="宋体" w:eastAsia="宋体" w:cs="方正大黑简体"/>
                <w:color w:val="0000FF"/>
                <w:sz w:val="24"/>
                <w:szCs w:val="24"/>
                <w:highlight w:val="none"/>
                <w:lang w:val="en-US" w:eastAsia="zh-CN"/>
              </w:rPr>
              <w:t>16</w:t>
            </w:r>
            <w:r>
              <w:rPr>
                <w:rFonts w:hint="eastAsia" w:ascii="宋体" w:hAnsi="宋体" w:eastAsia="宋体" w:cs="方正大黑简体"/>
                <w:color w:val="0000FF"/>
                <w:sz w:val="24"/>
                <w:szCs w:val="24"/>
                <w:highlight w:val="none"/>
              </w:rPr>
              <w:t>日</w:t>
            </w:r>
            <w:r>
              <w:rPr>
                <w:rFonts w:hint="eastAsia" w:ascii="宋体" w:hAnsi="宋体" w:eastAsia="宋体" w:cs="方正大黑简体"/>
                <w:color w:val="0000FF"/>
                <w:sz w:val="24"/>
                <w:szCs w:val="24"/>
                <w:highlight w:val="none"/>
                <w:lang w:val="en-US" w:eastAsia="zh-CN"/>
              </w:rPr>
              <w:t>14</w:t>
            </w:r>
            <w:r>
              <w:rPr>
                <w:rFonts w:hint="eastAsia" w:ascii="宋体" w:hAnsi="宋体" w:eastAsia="宋体" w:cs="方正大黑简体"/>
                <w:color w:val="0000FF"/>
                <w:sz w:val="24"/>
                <w:szCs w:val="24"/>
                <w:highlight w:val="none"/>
              </w:rPr>
              <w:t>时30分</w:t>
            </w:r>
            <w:r>
              <w:rPr>
                <w:rFonts w:hint="eastAsia" w:ascii="宋体" w:hAnsi="宋体" w:eastAsia="宋体" w:cs="Trebuchet MS"/>
                <w:sz w:val="24"/>
                <w:szCs w:val="24"/>
              </w:rPr>
              <w:t>（北京时间）</w:t>
            </w:r>
          </w:p>
        </w:tc>
      </w:tr>
      <w:tr w14:paraId="58335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7"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ED50BF">
            <w:pPr>
              <w:tabs>
                <w:tab w:val="left" w:pos="0"/>
                <w:tab w:val="left" w:pos="510"/>
                <w:tab w:val="left" w:pos="1134"/>
              </w:tabs>
              <w:spacing w:line="276" w:lineRule="auto"/>
              <w:rPr>
                <w:rFonts w:ascii="宋体" w:hAnsi="宋体" w:eastAsia="宋体" w:cs="Trebuchet MS"/>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09F010">
            <w:pPr>
              <w:tabs>
                <w:tab w:val="left" w:pos="0"/>
                <w:tab w:val="left" w:pos="510"/>
                <w:tab w:val="left" w:pos="1134"/>
              </w:tabs>
              <w:spacing w:line="276" w:lineRule="auto"/>
              <w:rPr>
                <w:rFonts w:ascii="宋体" w:hAnsi="宋体" w:eastAsia="宋体" w:cs="Trebuchet MS"/>
                <w:sz w:val="24"/>
                <w:szCs w:val="24"/>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0456B9FA">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地点</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342EEDA9">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江苏省政府采购交易系统（以下简称“苏采云系统”）网上开标大厅。</w:t>
            </w:r>
          </w:p>
        </w:tc>
      </w:tr>
      <w:tr w14:paraId="43557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14:paraId="7BB3FDE9">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12</w:t>
            </w:r>
          </w:p>
        </w:tc>
        <w:tc>
          <w:tcPr>
            <w:tcW w:w="9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927839E">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磋商信息</w:t>
            </w: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6AB5E088">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时间</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1D488152">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方正大黑简体"/>
                <w:color w:val="0000FF"/>
                <w:sz w:val="24"/>
                <w:szCs w:val="24"/>
                <w:highlight w:val="none"/>
              </w:rPr>
              <w:t>202</w:t>
            </w:r>
            <w:r>
              <w:rPr>
                <w:rFonts w:hint="eastAsia" w:ascii="宋体" w:hAnsi="宋体" w:eastAsia="宋体" w:cs="方正大黑简体"/>
                <w:color w:val="0000FF"/>
                <w:sz w:val="24"/>
                <w:szCs w:val="24"/>
                <w:highlight w:val="none"/>
                <w:lang w:val="en-US" w:eastAsia="zh-CN"/>
              </w:rPr>
              <w:t>6</w:t>
            </w:r>
            <w:r>
              <w:rPr>
                <w:rFonts w:hint="eastAsia" w:ascii="宋体" w:hAnsi="宋体" w:eastAsia="宋体" w:cs="方正大黑简体"/>
                <w:color w:val="0000FF"/>
                <w:sz w:val="24"/>
                <w:szCs w:val="24"/>
                <w:highlight w:val="none"/>
              </w:rPr>
              <w:t>年</w:t>
            </w:r>
            <w:r>
              <w:rPr>
                <w:rFonts w:hint="eastAsia" w:ascii="宋体" w:hAnsi="宋体" w:eastAsia="宋体" w:cs="方正大黑简体"/>
                <w:color w:val="0000FF"/>
                <w:sz w:val="24"/>
                <w:szCs w:val="24"/>
                <w:highlight w:val="none"/>
                <w:lang w:val="en-US" w:eastAsia="zh-CN"/>
              </w:rPr>
              <w:t>01</w:t>
            </w:r>
            <w:r>
              <w:rPr>
                <w:rFonts w:hint="eastAsia" w:ascii="宋体" w:hAnsi="宋体" w:eastAsia="宋体" w:cs="方正大黑简体"/>
                <w:color w:val="0000FF"/>
                <w:sz w:val="24"/>
                <w:szCs w:val="24"/>
                <w:highlight w:val="none"/>
              </w:rPr>
              <w:t>月</w:t>
            </w:r>
            <w:r>
              <w:rPr>
                <w:rFonts w:hint="eastAsia" w:ascii="宋体" w:hAnsi="宋体" w:eastAsia="宋体" w:cs="方正大黑简体"/>
                <w:color w:val="0000FF"/>
                <w:sz w:val="24"/>
                <w:szCs w:val="24"/>
                <w:highlight w:val="none"/>
                <w:lang w:val="en-US" w:eastAsia="zh-CN"/>
              </w:rPr>
              <w:t>16</w:t>
            </w:r>
            <w:r>
              <w:rPr>
                <w:rFonts w:hint="eastAsia" w:ascii="宋体" w:hAnsi="宋体" w:eastAsia="宋体" w:cs="方正大黑简体"/>
                <w:color w:val="0000FF"/>
                <w:sz w:val="24"/>
                <w:szCs w:val="24"/>
                <w:highlight w:val="none"/>
              </w:rPr>
              <w:t>日</w:t>
            </w:r>
            <w:bookmarkStart w:id="104" w:name="_GoBack"/>
            <w:bookmarkEnd w:id="104"/>
            <w:r>
              <w:rPr>
                <w:rFonts w:hint="eastAsia" w:ascii="宋体" w:hAnsi="宋体" w:eastAsia="宋体" w:cs="方正大黑简体"/>
                <w:color w:val="0000FF"/>
                <w:sz w:val="24"/>
                <w:szCs w:val="24"/>
                <w:highlight w:val="none"/>
                <w:lang w:val="en-US" w:eastAsia="zh-CN"/>
              </w:rPr>
              <w:t>14</w:t>
            </w:r>
            <w:r>
              <w:rPr>
                <w:rFonts w:hint="eastAsia" w:ascii="宋体" w:hAnsi="宋体" w:eastAsia="宋体" w:cs="方正大黑简体"/>
                <w:color w:val="0000FF"/>
                <w:sz w:val="24"/>
                <w:szCs w:val="24"/>
                <w:highlight w:val="none"/>
              </w:rPr>
              <w:t>时30分</w:t>
            </w:r>
            <w:r>
              <w:rPr>
                <w:rFonts w:hint="eastAsia" w:ascii="宋体" w:hAnsi="宋体" w:eastAsia="宋体" w:cs="Trebuchet MS"/>
                <w:sz w:val="24"/>
                <w:szCs w:val="24"/>
              </w:rPr>
              <w:t>（北京时间）</w:t>
            </w:r>
          </w:p>
        </w:tc>
      </w:tr>
      <w:tr w14:paraId="5BD8B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2"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340EF7">
            <w:pPr>
              <w:tabs>
                <w:tab w:val="left" w:pos="0"/>
                <w:tab w:val="left" w:pos="510"/>
                <w:tab w:val="left" w:pos="1134"/>
              </w:tabs>
              <w:spacing w:line="276" w:lineRule="auto"/>
              <w:rPr>
                <w:rFonts w:ascii="宋体" w:hAnsi="宋体" w:eastAsia="宋体" w:cs="Trebuchet MS"/>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4E61D1">
            <w:pPr>
              <w:tabs>
                <w:tab w:val="left" w:pos="0"/>
                <w:tab w:val="left" w:pos="510"/>
                <w:tab w:val="left" w:pos="1134"/>
              </w:tabs>
              <w:spacing w:line="276" w:lineRule="auto"/>
              <w:rPr>
                <w:rFonts w:ascii="宋体" w:hAnsi="宋体" w:eastAsia="宋体" w:cs="Trebuchet MS"/>
                <w:sz w:val="24"/>
                <w:szCs w:val="24"/>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5DE2D126">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地点</w:t>
            </w:r>
          </w:p>
        </w:tc>
        <w:tc>
          <w:tcPr>
            <w:tcW w:w="6046" w:type="dxa"/>
            <w:gridSpan w:val="2"/>
            <w:tcBorders>
              <w:top w:val="single" w:color="000000" w:sz="4" w:space="0"/>
              <w:left w:val="single" w:color="000000" w:sz="4" w:space="0"/>
              <w:bottom w:val="single" w:color="000000" w:sz="4" w:space="0"/>
              <w:right w:val="single" w:color="000000" w:sz="4" w:space="0"/>
            </w:tcBorders>
            <w:noWrap w:val="0"/>
            <w:vAlign w:val="center"/>
          </w:tcPr>
          <w:p w14:paraId="149DC52E">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江苏省政府采购交易系统（以下简称“苏采云系统”）网上开标大厅。</w:t>
            </w:r>
          </w:p>
        </w:tc>
      </w:tr>
      <w:tr w14:paraId="42A9E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7" w:hRule="atLeast"/>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14:paraId="4158AB12">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13</w:t>
            </w:r>
          </w:p>
        </w:tc>
        <w:tc>
          <w:tcPr>
            <w:tcW w:w="900" w:type="dxa"/>
            <w:vMerge w:val="restart"/>
            <w:tcBorders>
              <w:top w:val="single" w:color="000000" w:sz="4" w:space="0"/>
              <w:left w:val="single" w:color="000000" w:sz="4" w:space="0"/>
              <w:bottom w:val="single" w:color="000000" w:sz="4" w:space="0"/>
              <w:right w:val="single" w:color="000000" w:sz="4" w:space="0"/>
            </w:tcBorders>
            <w:noWrap w:val="0"/>
            <w:vAlign w:val="center"/>
          </w:tcPr>
          <w:p w14:paraId="520F959D">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联系事项</w:t>
            </w:r>
          </w:p>
        </w:tc>
        <w:tc>
          <w:tcPr>
            <w:tcW w:w="1184" w:type="dxa"/>
            <w:vMerge w:val="restart"/>
            <w:tcBorders>
              <w:top w:val="single" w:color="000000" w:sz="4" w:space="0"/>
              <w:left w:val="single" w:color="000000" w:sz="4" w:space="0"/>
              <w:bottom w:val="single" w:color="000000" w:sz="4" w:space="0"/>
              <w:right w:val="single" w:color="000000" w:sz="4" w:space="0"/>
            </w:tcBorders>
            <w:noWrap w:val="0"/>
            <w:vAlign w:val="center"/>
          </w:tcPr>
          <w:p w14:paraId="17E96CD7">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采购单位</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4933A55A">
            <w:pPr>
              <w:tabs>
                <w:tab w:val="left" w:pos="0"/>
                <w:tab w:val="left" w:pos="510"/>
                <w:tab w:val="left" w:pos="1134"/>
              </w:tabs>
              <w:spacing w:line="360" w:lineRule="auto"/>
              <w:rPr>
                <w:rFonts w:hint="eastAsia" w:ascii="宋体" w:hAnsi="宋体" w:eastAsia="宋体" w:cs="Trebuchet MS"/>
                <w:sz w:val="24"/>
                <w:szCs w:val="24"/>
              </w:rPr>
            </w:pPr>
            <w:r>
              <w:rPr>
                <w:rFonts w:hint="eastAsia" w:ascii="宋体" w:hAnsi="宋体" w:eastAsia="宋体" w:cs="Trebuchet MS"/>
                <w:sz w:val="24"/>
                <w:szCs w:val="24"/>
              </w:rPr>
              <w:t>联系人</w:t>
            </w:r>
          </w:p>
        </w:tc>
        <w:tc>
          <w:tcPr>
            <w:tcW w:w="4530" w:type="dxa"/>
            <w:tcBorders>
              <w:top w:val="single" w:color="000000" w:sz="4" w:space="0"/>
              <w:left w:val="single" w:color="000000" w:sz="4" w:space="0"/>
              <w:bottom w:val="single" w:color="000000" w:sz="4" w:space="0"/>
              <w:right w:val="single" w:color="000000" w:sz="4" w:space="0"/>
            </w:tcBorders>
            <w:noWrap w:val="0"/>
            <w:vAlign w:val="center"/>
          </w:tcPr>
          <w:p w14:paraId="6ADD377D">
            <w:pPr>
              <w:tabs>
                <w:tab w:val="left" w:pos="0"/>
                <w:tab w:val="left" w:pos="510"/>
                <w:tab w:val="left" w:pos="1134"/>
              </w:tabs>
              <w:spacing w:line="360" w:lineRule="auto"/>
              <w:rPr>
                <w:rFonts w:hint="eastAsia" w:ascii="宋体" w:hAnsi="宋体" w:eastAsia="宋体" w:cs="Trebuchet MS"/>
                <w:sz w:val="24"/>
                <w:szCs w:val="24"/>
              </w:rPr>
            </w:pPr>
            <w:r>
              <w:rPr>
                <w:rFonts w:hint="eastAsia" w:ascii="宋体" w:hAnsi="宋体" w:eastAsia="宋体" w:cs="Trebuchet MS"/>
                <w:sz w:val="24"/>
                <w:szCs w:val="24"/>
                <w:lang w:val="en-US" w:eastAsia="zh-CN"/>
              </w:rPr>
              <w:t>关</w:t>
            </w:r>
            <w:r>
              <w:rPr>
                <w:rFonts w:hint="eastAsia" w:ascii="宋体" w:hAnsi="宋体" w:eastAsia="宋体" w:cs="Trebuchet MS"/>
                <w:sz w:val="24"/>
                <w:szCs w:val="24"/>
              </w:rPr>
              <w:t>科</w:t>
            </w:r>
          </w:p>
        </w:tc>
      </w:tr>
      <w:tr w14:paraId="15EA0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1"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C16473">
            <w:pPr>
              <w:tabs>
                <w:tab w:val="left" w:pos="0"/>
                <w:tab w:val="left" w:pos="510"/>
                <w:tab w:val="left" w:pos="1134"/>
              </w:tabs>
              <w:spacing w:line="276" w:lineRule="auto"/>
              <w:rPr>
                <w:rFonts w:ascii="宋体" w:hAnsi="宋体" w:eastAsia="宋体" w:cs="Trebuchet MS"/>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304788">
            <w:pPr>
              <w:tabs>
                <w:tab w:val="left" w:pos="0"/>
                <w:tab w:val="left" w:pos="510"/>
                <w:tab w:val="left" w:pos="1134"/>
              </w:tabs>
              <w:spacing w:line="276" w:lineRule="auto"/>
              <w:rPr>
                <w:rFonts w:ascii="宋体" w:hAnsi="宋体" w:eastAsia="宋体" w:cs="Trebuchet MS"/>
                <w:sz w:val="24"/>
                <w:szCs w:val="24"/>
              </w:rPr>
            </w:pPr>
          </w:p>
        </w:tc>
        <w:tc>
          <w:tcPr>
            <w:tcW w:w="11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80F28C">
            <w:pPr>
              <w:tabs>
                <w:tab w:val="left" w:pos="0"/>
                <w:tab w:val="left" w:pos="510"/>
                <w:tab w:val="left" w:pos="1134"/>
              </w:tabs>
              <w:spacing w:line="276" w:lineRule="auto"/>
              <w:rPr>
                <w:rFonts w:ascii="宋体" w:hAnsi="宋体" w:eastAsia="宋体" w:cs="Trebuchet MS"/>
                <w:sz w:val="24"/>
                <w:szCs w:val="24"/>
              </w:rPr>
            </w:pP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087E7346">
            <w:pPr>
              <w:tabs>
                <w:tab w:val="left" w:pos="0"/>
                <w:tab w:val="left" w:pos="510"/>
                <w:tab w:val="left" w:pos="1134"/>
              </w:tabs>
              <w:spacing w:line="360" w:lineRule="auto"/>
              <w:rPr>
                <w:rFonts w:hint="eastAsia" w:ascii="宋体" w:hAnsi="宋体" w:eastAsia="宋体" w:cs="Trebuchet MS"/>
                <w:sz w:val="24"/>
                <w:szCs w:val="24"/>
              </w:rPr>
            </w:pPr>
            <w:r>
              <w:rPr>
                <w:rFonts w:hint="eastAsia" w:ascii="宋体" w:hAnsi="宋体" w:eastAsia="宋体" w:cs="Trebuchet MS"/>
                <w:sz w:val="24"/>
                <w:szCs w:val="24"/>
              </w:rPr>
              <w:t>联系电话</w:t>
            </w:r>
          </w:p>
        </w:tc>
        <w:tc>
          <w:tcPr>
            <w:tcW w:w="4530" w:type="dxa"/>
            <w:tcBorders>
              <w:top w:val="single" w:color="000000" w:sz="4" w:space="0"/>
              <w:left w:val="single" w:color="000000" w:sz="4" w:space="0"/>
              <w:bottom w:val="single" w:color="000000" w:sz="4" w:space="0"/>
              <w:right w:val="single" w:color="000000" w:sz="4" w:space="0"/>
            </w:tcBorders>
            <w:noWrap w:val="0"/>
            <w:vAlign w:val="center"/>
          </w:tcPr>
          <w:p w14:paraId="505D7C54">
            <w:pPr>
              <w:tabs>
                <w:tab w:val="left" w:pos="0"/>
                <w:tab w:val="left" w:pos="510"/>
                <w:tab w:val="left" w:pos="1134"/>
              </w:tabs>
              <w:spacing w:line="360" w:lineRule="auto"/>
              <w:rPr>
                <w:rFonts w:hint="eastAsia" w:ascii="宋体" w:hAnsi="宋体" w:eastAsia="宋体" w:cs="Trebuchet MS"/>
                <w:sz w:val="24"/>
                <w:szCs w:val="24"/>
                <w:lang w:eastAsia="zh-CN"/>
              </w:rPr>
            </w:pPr>
            <w:r>
              <w:rPr>
                <w:rFonts w:hint="eastAsia" w:ascii="宋体" w:hAnsi="宋体" w:eastAsia="宋体" w:cs="Trebuchet MS"/>
                <w:sz w:val="24"/>
                <w:szCs w:val="24"/>
                <w:lang w:eastAsia="zh-CN"/>
              </w:rPr>
              <w:t>025-52775873</w:t>
            </w:r>
          </w:p>
        </w:tc>
      </w:tr>
      <w:tr w14:paraId="54EF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3"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1B4A4E">
            <w:pPr>
              <w:tabs>
                <w:tab w:val="left" w:pos="0"/>
                <w:tab w:val="left" w:pos="510"/>
                <w:tab w:val="left" w:pos="1134"/>
              </w:tabs>
              <w:spacing w:line="276" w:lineRule="auto"/>
              <w:rPr>
                <w:rFonts w:ascii="宋体" w:hAnsi="宋体" w:eastAsia="宋体" w:cs="Trebuchet MS"/>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C8D786">
            <w:pPr>
              <w:tabs>
                <w:tab w:val="left" w:pos="0"/>
                <w:tab w:val="left" w:pos="510"/>
                <w:tab w:val="left" w:pos="1134"/>
              </w:tabs>
              <w:spacing w:line="276" w:lineRule="auto"/>
              <w:rPr>
                <w:rFonts w:ascii="宋体" w:hAnsi="宋体" w:eastAsia="宋体" w:cs="Trebuchet MS"/>
                <w:sz w:val="24"/>
                <w:szCs w:val="24"/>
              </w:rPr>
            </w:pPr>
          </w:p>
        </w:tc>
        <w:tc>
          <w:tcPr>
            <w:tcW w:w="1184" w:type="dxa"/>
            <w:vMerge w:val="restart"/>
            <w:tcBorders>
              <w:top w:val="single" w:color="000000" w:sz="4" w:space="0"/>
              <w:left w:val="single" w:color="000000" w:sz="4" w:space="0"/>
              <w:bottom w:val="single" w:color="000000" w:sz="4" w:space="0"/>
              <w:right w:val="single" w:color="000000" w:sz="4" w:space="0"/>
            </w:tcBorders>
            <w:noWrap w:val="0"/>
            <w:vAlign w:val="center"/>
          </w:tcPr>
          <w:p w14:paraId="297DF695">
            <w:pPr>
              <w:tabs>
                <w:tab w:val="left" w:pos="0"/>
                <w:tab w:val="left" w:pos="510"/>
                <w:tab w:val="left" w:pos="1134"/>
              </w:tabs>
              <w:spacing w:line="276" w:lineRule="auto"/>
              <w:rPr>
                <w:rFonts w:hint="eastAsia" w:ascii="宋体" w:hAnsi="宋体" w:eastAsia="宋体" w:cs="Trebuchet MS"/>
                <w:sz w:val="24"/>
                <w:szCs w:val="24"/>
              </w:rPr>
            </w:pPr>
            <w:r>
              <w:rPr>
                <w:rFonts w:hint="eastAsia" w:ascii="宋体" w:hAnsi="宋体" w:eastAsia="宋体" w:cs="Trebuchet MS"/>
                <w:sz w:val="24"/>
                <w:szCs w:val="24"/>
              </w:rPr>
              <w:t>采购代理机构</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62C8B3B1">
            <w:pPr>
              <w:tabs>
                <w:tab w:val="left" w:pos="0"/>
                <w:tab w:val="left" w:pos="510"/>
                <w:tab w:val="left" w:pos="1134"/>
              </w:tabs>
              <w:spacing w:line="360" w:lineRule="auto"/>
              <w:rPr>
                <w:rFonts w:hint="eastAsia" w:ascii="宋体" w:hAnsi="宋体" w:eastAsia="宋体" w:cs="Trebuchet MS"/>
                <w:sz w:val="24"/>
                <w:szCs w:val="24"/>
              </w:rPr>
            </w:pPr>
            <w:r>
              <w:rPr>
                <w:rFonts w:hint="eastAsia" w:ascii="宋体" w:hAnsi="宋体" w:eastAsia="宋体" w:cs="Trebuchet MS"/>
                <w:sz w:val="24"/>
                <w:szCs w:val="24"/>
              </w:rPr>
              <w:t>联系人</w:t>
            </w:r>
          </w:p>
        </w:tc>
        <w:tc>
          <w:tcPr>
            <w:tcW w:w="4530" w:type="dxa"/>
            <w:tcBorders>
              <w:top w:val="single" w:color="000000" w:sz="4" w:space="0"/>
              <w:left w:val="single" w:color="000000" w:sz="4" w:space="0"/>
              <w:bottom w:val="single" w:color="000000" w:sz="4" w:space="0"/>
              <w:right w:val="single" w:color="000000" w:sz="4" w:space="0"/>
            </w:tcBorders>
            <w:noWrap w:val="0"/>
            <w:vAlign w:val="center"/>
          </w:tcPr>
          <w:p w14:paraId="381B9442">
            <w:pPr>
              <w:tabs>
                <w:tab w:val="left" w:pos="0"/>
                <w:tab w:val="left" w:pos="510"/>
                <w:tab w:val="left" w:pos="1134"/>
              </w:tabs>
              <w:spacing w:line="360" w:lineRule="auto"/>
              <w:rPr>
                <w:rFonts w:hint="eastAsia" w:ascii="宋体" w:hAnsi="宋体" w:eastAsia="宋体" w:cs="Trebuchet MS"/>
                <w:sz w:val="24"/>
                <w:szCs w:val="24"/>
              </w:rPr>
            </w:pPr>
            <w:r>
              <w:rPr>
                <w:rFonts w:hint="eastAsia" w:ascii="宋体" w:hAnsi="宋体" w:eastAsia="宋体" w:cs="Trebuchet MS"/>
                <w:sz w:val="24"/>
                <w:szCs w:val="24"/>
                <w:lang w:val="en-US" w:eastAsia="zh-CN"/>
              </w:rPr>
              <w:t>蒋</w:t>
            </w:r>
            <w:r>
              <w:rPr>
                <w:rFonts w:hint="eastAsia" w:ascii="宋体" w:hAnsi="宋体" w:eastAsia="宋体" w:cs="Trebuchet MS"/>
                <w:sz w:val="24"/>
                <w:szCs w:val="24"/>
              </w:rPr>
              <w:t>工</w:t>
            </w:r>
          </w:p>
        </w:tc>
      </w:tr>
      <w:tr w14:paraId="07878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3"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C3EF12">
            <w:pPr>
              <w:tabs>
                <w:tab w:val="left" w:pos="0"/>
                <w:tab w:val="left" w:pos="510"/>
                <w:tab w:val="left" w:pos="1134"/>
              </w:tabs>
              <w:spacing w:line="276" w:lineRule="auto"/>
              <w:rPr>
                <w:rFonts w:ascii="宋体" w:hAnsi="宋体" w:eastAsia="宋体" w:cs="Trebuchet MS"/>
                <w:sz w:val="24"/>
                <w:szCs w:val="24"/>
              </w:rPr>
            </w:pPr>
          </w:p>
        </w:tc>
        <w:tc>
          <w:tcPr>
            <w:tcW w:w="9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0EE2AB">
            <w:pPr>
              <w:tabs>
                <w:tab w:val="left" w:pos="0"/>
                <w:tab w:val="left" w:pos="510"/>
                <w:tab w:val="left" w:pos="1134"/>
              </w:tabs>
              <w:spacing w:line="276" w:lineRule="auto"/>
              <w:rPr>
                <w:rFonts w:ascii="宋体" w:hAnsi="宋体" w:eastAsia="宋体" w:cs="Trebuchet MS"/>
                <w:sz w:val="24"/>
                <w:szCs w:val="24"/>
              </w:rPr>
            </w:pPr>
          </w:p>
        </w:tc>
        <w:tc>
          <w:tcPr>
            <w:tcW w:w="11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4EB388">
            <w:pPr>
              <w:tabs>
                <w:tab w:val="left" w:pos="0"/>
                <w:tab w:val="left" w:pos="510"/>
                <w:tab w:val="left" w:pos="1134"/>
              </w:tabs>
              <w:spacing w:line="276" w:lineRule="auto"/>
              <w:rPr>
                <w:rFonts w:ascii="宋体" w:hAnsi="宋体" w:eastAsia="宋体" w:cs="Trebuchet MS"/>
                <w:sz w:val="24"/>
                <w:szCs w:val="24"/>
              </w:rPr>
            </w:pP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5F942E1C">
            <w:pPr>
              <w:tabs>
                <w:tab w:val="left" w:pos="0"/>
                <w:tab w:val="left" w:pos="510"/>
                <w:tab w:val="left" w:pos="1134"/>
              </w:tabs>
              <w:spacing w:line="360" w:lineRule="auto"/>
              <w:rPr>
                <w:rFonts w:hint="eastAsia" w:ascii="宋体" w:hAnsi="宋体" w:eastAsia="宋体" w:cs="Trebuchet MS"/>
                <w:sz w:val="24"/>
                <w:szCs w:val="24"/>
              </w:rPr>
            </w:pPr>
            <w:r>
              <w:rPr>
                <w:rFonts w:hint="eastAsia" w:ascii="宋体" w:hAnsi="宋体" w:eastAsia="宋体" w:cs="Trebuchet MS"/>
                <w:sz w:val="24"/>
                <w:szCs w:val="24"/>
              </w:rPr>
              <w:t>联系电话</w:t>
            </w:r>
          </w:p>
        </w:tc>
        <w:tc>
          <w:tcPr>
            <w:tcW w:w="4530" w:type="dxa"/>
            <w:tcBorders>
              <w:top w:val="single" w:color="000000" w:sz="4" w:space="0"/>
              <w:left w:val="single" w:color="000000" w:sz="4" w:space="0"/>
              <w:bottom w:val="single" w:color="000000" w:sz="4" w:space="0"/>
              <w:right w:val="single" w:color="000000" w:sz="4" w:space="0"/>
            </w:tcBorders>
            <w:noWrap w:val="0"/>
            <w:vAlign w:val="center"/>
          </w:tcPr>
          <w:p w14:paraId="7FC9282B">
            <w:pPr>
              <w:tabs>
                <w:tab w:val="left" w:pos="0"/>
                <w:tab w:val="left" w:pos="510"/>
                <w:tab w:val="left" w:pos="1134"/>
              </w:tabs>
              <w:spacing w:line="360" w:lineRule="auto"/>
              <w:rPr>
                <w:rFonts w:hint="default" w:ascii="宋体" w:hAnsi="宋体" w:eastAsia="宋体" w:cs="Trebuchet MS"/>
                <w:sz w:val="24"/>
                <w:szCs w:val="24"/>
                <w:lang w:val="en-US" w:eastAsia="zh-CN"/>
              </w:rPr>
            </w:pPr>
            <w:r>
              <w:rPr>
                <w:rFonts w:hint="eastAsia" w:ascii="宋体" w:hAnsi="宋体" w:eastAsia="宋体" w:cs="Trebuchet MS"/>
                <w:sz w:val="24"/>
                <w:szCs w:val="24"/>
                <w:lang w:val="en-US" w:eastAsia="zh-CN"/>
              </w:rPr>
              <w:t>15051859872</w:t>
            </w:r>
          </w:p>
        </w:tc>
      </w:tr>
    </w:tbl>
    <w:p w14:paraId="2D87FACD">
      <w:pPr>
        <w:pStyle w:val="331"/>
        <w:spacing w:before="78" w:line="276" w:lineRule="auto"/>
        <w:rPr>
          <w:rFonts w:ascii="宋体" w:hAnsi="宋体" w:eastAsia="宋体"/>
          <w:lang w:val="zh-CN"/>
        </w:rPr>
      </w:pPr>
    </w:p>
    <w:bookmarkEnd w:id="12"/>
    <w:p w14:paraId="5813D916">
      <w:pPr>
        <w:pStyle w:val="411"/>
        <w:spacing w:line="276" w:lineRule="auto"/>
        <w:ind w:left="425" w:firstLine="0"/>
        <w:rPr>
          <w:rFonts w:ascii="宋体" w:hAnsi="宋体" w:eastAsia="宋体"/>
          <w:sz w:val="24"/>
          <w:szCs w:val="24"/>
        </w:rPr>
      </w:pPr>
      <w:bookmarkStart w:id="16" w:name="_Toc85525784"/>
      <w:r>
        <w:rPr>
          <w:rFonts w:hint="eastAsia" w:ascii="宋体" w:hAnsi="宋体" w:eastAsia="宋体"/>
        </w:rPr>
        <w:br w:type="page" w:clear="all"/>
      </w:r>
      <w:bookmarkStart w:id="17" w:name="_Toc190329532"/>
      <w:r>
        <w:rPr>
          <w:rFonts w:hint="eastAsia" w:ascii="宋体" w:hAnsi="宋体" w:eastAsia="宋体"/>
          <w:sz w:val="24"/>
          <w:szCs w:val="24"/>
        </w:rPr>
        <w:t>一、总则</w:t>
      </w:r>
      <w:bookmarkEnd w:id="16"/>
      <w:bookmarkEnd w:id="17"/>
    </w:p>
    <w:p w14:paraId="0D98B761">
      <w:pPr>
        <w:spacing w:line="276" w:lineRule="auto"/>
        <w:ind w:firstLine="442"/>
        <w:rPr>
          <w:rFonts w:ascii="宋体" w:hAnsi="宋体" w:eastAsia="宋体"/>
          <w:b/>
          <w:sz w:val="24"/>
          <w:szCs w:val="24"/>
        </w:rPr>
      </w:pPr>
      <w:r>
        <w:rPr>
          <w:rFonts w:hint="eastAsia" w:ascii="宋体" w:hAnsi="宋体" w:eastAsia="宋体"/>
          <w:b/>
          <w:sz w:val="24"/>
          <w:szCs w:val="24"/>
        </w:rPr>
        <w:t>1、适用法律</w:t>
      </w:r>
    </w:p>
    <w:p w14:paraId="6DB65C08">
      <w:pPr>
        <w:spacing w:line="276" w:lineRule="auto"/>
        <w:ind w:firstLine="420"/>
        <w:rPr>
          <w:rFonts w:ascii="宋体" w:hAnsi="宋体" w:eastAsia="宋体" w:cs="Trebuchet MS"/>
          <w:sz w:val="24"/>
          <w:szCs w:val="24"/>
          <w:lang w:val="zh-CN"/>
        </w:rPr>
      </w:pPr>
      <w:r>
        <w:rPr>
          <w:rFonts w:hint="eastAsia" w:ascii="宋体" w:hAnsi="宋体" w:eastAsia="宋体" w:cs="Trebuchet MS"/>
          <w:sz w:val="24"/>
          <w:szCs w:val="24"/>
          <w:lang w:val="zh-CN"/>
        </w:rPr>
        <w:t>1.1《中华人民共和国政府采购法》、《政府采购竞争性磋商采购方式管理暂行办法》、《中华人民共和国政府采购法实施条例》等有关法律、规章和规定等。</w:t>
      </w:r>
    </w:p>
    <w:p w14:paraId="431A6EBE">
      <w:pPr>
        <w:spacing w:line="276" w:lineRule="auto"/>
        <w:ind w:firstLine="442"/>
        <w:rPr>
          <w:rFonts w:ascii="宋体" w:hAnsi="宋体" w:eastAsia="宋体"/>
          <w:b/>
          <w:sz w:val="24"/>
          <w:szCs w:val="24"/>
        </w:rPr>
      </w:pPr>
      <w:r>
        <w:rPr>
          <w:rFonts w:hint="eastAsia" w:ascii="宋体" w:hAnsi="宋体" w:eastAsia="宋体"/>
          <w:b/>
          <w:sz w:val="24"/>
          <w:szCs w:val="24"/>
        </w:rPr>
        <w:t>2、定义</w:t>
      </w:r>
    </w:p>
    <w:p w14:paraId="0A512098">
      <w:pPr>
        <w:spacing w:line="276" w:lineRule="auto"/>
        <w:ind w:firstLine="420"/>
        <w:rPr>
          <w:rFonts w:ascii="宋体" w:hAnsi="宋体" w:eastAsia="宋体" w:cs="Trebuchet MS"/>
          <w:sz w:val="24"/>
          <w:szCs w:val="24"/>
          <w:lang w:val="zh-CN"/>
        </w:rPr>
      </w:pPr>
      <w:r>
        <w:rPr>
          <w:rFonts w:ascii="宋体" w:hAnsi="宋体" w:eastAsia="宋体" w:cs="Trebuchet MS"/>
          <w:sz w:val="24"/>
          <w:szCs w:val="24"/>
          <w:lang w:val="zh-CN"/>
        </w:rPr>
        <w:t>2.</w:t>
      </w:r>
      <w:r>
        <w:rPr>
          <w:rFonts w:hint="eastAsia" w:ascii="宋体" w:hAnsi="宋体" w:eastAsia="宋体" w:cs="Trebuchet MS"/>
          <w:sz w:val="24"/>
          <w:szCs w:val="24"/>
          <w:lang w:val="zh-CN"/>
        </w:rPr>
        <w:t>1“供应商”是指参加磋商竞争，并符合磋商文件规定资格条件的法人、其他组织或者自然人。</w:t>
      </w:r>
    </w:p>
    <w:p w14:paraId="07F605B2">
      <w:pPr>
        <w:spacing w:line="276" w:lineRule="auto"/>
        <w:ind w:firstLine="420"/>
        <w:rPr>
          <w:rFonts w:ascii="宋体" w:hAnsi="宋体" w:eastAsia="宋体" w:cs="Trebuchet MS"/>
          <w:sz w:val="24"/>
          <w:szCs w:val="24"/>
          <w:lang w:val="zh-CN"/>
        </w:rPr>
      </w:pPr>
      <w:r>
        <w:rPr>
          <w:rFonts w:ascii="宋体" w:hAnsi="宋体" w:eastAsia="宋体" w:cs="Trebuchet MS"/>
          <w:sz w:val="24"/>
          <w:szCs w:val="24"/>
          <w:lang w:val="zh-CN"/>
        </w:rPr>
        <w:t>2.</w:t>
      </w:r>
      <w:r>
        <w:rPr>
          <w:rFonts w:hint="eastAsia" w:ascii="宋体" w:hAnsi="宋体" w:eastAsia="宋体" w:cs="Trebuchet MS"/>
          <w:sz w:val="24"/>
          <w:szCs w:val="24"/>
          <w:lang w:val="zh-CN"/>
        </w:rPr>
        <w:t>2“服务”指本磋商文件中所述产品及相关服务。</w:t>
      </w:r>
    </w:p>
    <w:p w14:paraId="2FC8A990">
      <w:pPr>
        <w:spacing w:line="276" w:lineRule="auto"/>
        <w:ind w:firstLine="420"/>
        <w:rPr>
          <w:rFonts w:hint="eastAsia" w:ascii="宋体" w:hAnsi="宋体" w:eastAsia="宋体" w:cs="Trebuchet MS"/>
          <w:sz w:val="24"/>
          <w:szCs w:val="24"/>
          <w:lang w:val="zh-CN"/>
        </w:rPr>
      </w:pPr>
      <w:r>
        <w:rPr>
          <w:rFonts w:ascii="宋体" w:hAnsi="宋体" w:eastAsia="宋体" w:cs="Trebuchet MS"/>
          <w:sz w:val="24"/>
          <w:szCs w:val="24"/>
          <w:lang w:val="zh-CN"/>
        </w:rPr>
        <w:t>2.</w:t>
      </w:r>
      <w:r>
        <w:rPr>
          <w:rFonts w:hint="eastAsia" w:ascii="宋体" w:hAnsi="宋体" w:eastAsia="宋体" w:cs="Trebuchet MS"/>
          <w:sz w:val="24"/>
          <w:szCs w:val="24"/>
          <w:lang w:val="zh-CN"/>
        </w:rPr>
        <w:t>3“用户或使用单位”是指使用服务的单位。</w:t>
      </w:r>
    </w:p>
    <w:p w14:paraId="74A099E8">
      <w:pPr>
        <w:spacing w:line="276" w:lineRule="auto"/>
        <w:ind w:firstLine="442"/>
        <w:rPr>
          <w:rFonts w:ascii="宋体" w:hAnsi="宋体" w:eastAsia="宋体"/>
          <w:b/>
          <w:sz w:val="24"/>
          <w:szCs w:val="24"/>
        </w:rPr>
      </w:pPr>
      <w:r>
        <w:rPr>
          <w:rFonts w:hint="eastAsia" w:ascii="宋体" w:hAnsi="宋体" w:eastAsia="宋体"/>
          <w:b/>
          <w:sz w:val="24"/>
          <w:szCs w:val="24"/>
        </w:rPr>
        <w:t>3、政策功能</w:t>
      </w:r>
    </w:p>
    <w:p w14:paraId="2DA64975">
      <w:pPr>
        <w:shd w:val="clear" w:color="auto" w:fill="FFFFFF"/>
        <w:spacing w:line="276" w:lineRule="auto"/>
        <w:ind w:firstLine="420"/>
        <w:rPr>
          <w:rFonts w:ascii="宋体" w:hAnsi="宋体" w:eastAsia="宋体" w:cs="Trebuchet MS"/>
          <w:b/>
          <w:sz w:val="24"/>
          <w:szCs w:val="24"/>
        </w:rPr>
      </w:pPr>
      <w:r>
        <w:rPr>
          <w:rFonts w:hint="eastAsia" w:ascii="宋体" w:hAnsi="宋体" w:eastAsia="宋体" w:cs="Trebuchet MS"/>
          <w:bCs/>
          <w:sz w:val="24"/>
          <w:szCs w:val="24"/>
        </w:rPr>
        <w:t>参加磋商的中小企业，应当提供《中小企业声明函》（“中小企业划型标准”详《关于印发中小企业划型标准规定的通知》工信部联企业〔2011〕300号）。其他详磋商文件第三章。</w:t>
      </w:r>
    </w:p>
    <w:p w14:paraId="2DA75512">
      <w:pPr>
        <w:spacing w:line="276" w:lineRule="auto"/>
        <w:ind w:firstLine="442"/>
        <w:rPr>
          <w:rFonts w:ascii="宋体" w:hAnsi="宋体" w:eastAsia="宋体"/>
          <w:b/>
          <w:sz w:val="24"/>
          <w:szCs w:val="24"/>
        </w:rPr>
      </w:pPr>
      <w:r>
        <w:rPr>
          <w:rFonts w:hint="eastAsia" w:ascii="宋体" w:hAnsi="宋体" w:eastAsia="宋体"/>
          <w:b/>
          <w:sz w:val="24"/>
          <w:szCs w:val="24"/>
        </w:rPr>
        <w:t>4、参加磋商费用</w:t>
      </w:r>
    </w:p>
    <w:p w14:paraId="5D6269FB">
      <w:pPr>
        <w:shd w:val="clear" w:color="auto" w:fill="FFFFFF"/>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lang w:val="zh-CN"/>
        </w:rPr>
        <w:t>4.1供应商应承担所有与准备和参加磋商有关的费用，无论采购结果如何，招标代理和采购单位在任何情况下均无义务和责任承担这些费用。</w:t>
      </w:r>
    </w:p>
    <w:p w14:paraId="47635169">
      <w:pPr>
        <w:shd w:val="clear" w:color="auto" w:fill="FFFFFF"/>
        <w:spacing w:line="276" w:lineRule="auto"/>
        <w:ind w:firstLine="420"/>
        <w:rPr>
          <w:rFonts w:ascii="宋体" w:hAnsi="宋体" w:eastAsia="宋体" w:cs="Trebuchet MS"/>
          <w:b/>
          <w:sz w:val="24"/>
          <w:szCs w:val="24"/>
        </w:rPr>
      </w:pPr>
      <w:r>
        <w:rPr>
          <w:rFonts w:hint="eastAsia" w:ascii="宋体" w:hAnsi="宋体" w:eastAsia="宋体" w:cs="Trebuchet MS"/>
          <w:bCs/>
          <w:sz w:val="24"/>
          <w:szCs w:val="24"/>
          <w:lang w:val="zh-CN"/>
        </w:rPr>
        <w:t>4.2</w:t>
      </w:r>
      <w:r>
        <w:rPr>
          <w:rFonts w:hint="eastAsia" w:ascii="宋体" w:hAnsi="宋体" w:eastAsia="宋体" w:cs="Trebuchet MS"/>
          <w:b/>
          <w:bCs/>
          <w:sz w:val="24"/>
          <w:szCs w:val="24"/>
          <w:lang w:val="zh-CN"/>
        </w:rPr>
        <w:t>本次采购招标代理费按计价格〔2002〕1980号文件标准的8</w:t>
      </w:r>
      <w:r>
        <w:rPr>
          <w:rFonts w:ascii="宋体" w:hAnsi="宋体" w:eastAsia="宋体" w:cs="Trebuchet MS"/>
          <w:b/>
          <w:bCs/>
          <w:sz w:val="24"/>
          <w:szCs w:val="24"/>
          <w:lang w:val="zh-CN"/>
        </w:rPr>
        <w:t>0</w:t>
      </w:r>
      <w:r>
        <w:rPr>
          <w:rFonts w:hint="eastAsia" w:ascii="宋体" w:hAnsi="宋体" w:eastAsia="宋体" w:cs="Trebuchet MS"/>
          <w:b/>
          <w:bCs/>
          <w:sz w:val="24"/>
          <w:szCs w:val="24"/>
          <w:lang w:val="zh-CN"/>
        </w:rPr>
        <w:t>%计取，</w:t>
      </w:r>
      <w:r>
        <w:rPr>
          <w:rFonts w:hint="eastAsia" w:ascii="宋体" w:hAnsi="宋体" w:eastAsia="宋体" w:cs="Trebuchet MS"/>
          <w:b/>
          <w:bCs/>
          <w:sz w:val="24"/>
          <w:szCs w:val="24"/>
        </w:rPr>
        <w:t>计费基数为成交价</w:t>
      </w:r>
      <w:r>
        <w:rPr>
          <w:rFonts w:hint="eastAsia" w:ascii="宋体" w:hAnsi="宋体" w:eastAsia="宋体" w:cs="Trebuchet MS"/>
          <w:b/>
          <w:bCs/>
          <w:sz w:val="24"/>
          <w:szCs w:val="24"/>
          <w:lang w:val="zh-CN"/>
        </w:rPr>
        <w:t>。</w:t>
      </w:r>
      <w:r>
        <w:rPr>
          <w:rFonts w:hint="eastAsia" w:ascii="宋体" w:hAnsi="宋体" w:eastAsia="宋体" w:cs="Trebuchet MS"/>
          <w:b/>
          <w:sz w:val="24"/>
          <w:szCs w:val="24"/>
        </w:rPr>
        <w:t>上述费用均由成交供应商一次性支付。无论是否将该费用在报价中列明，均视为已含在总价中。</w:t>
      </w:r>
    </w:p>
    <w:p w14:paraId="4BD6F9D2">
      <w:pPr>
        <w:shd w:val="clear" w:color="auto" w:fill="FFFFFF"/>
        <w:spacing w:line="276" w:lineRule="auto"/>
        <w:ind w:firstLine="420"/>
        <w:rPr>
          <w:rFonts w:ascii="宋体" w:hAnsi="宋体" w:eastAsia="宋体" w:cs="Trebuchet MS"/>
          <w:bCs/>
          <w:sz w:val="24"/>
          <w:szCs w:val="24"/>
          <w:lang w:val="zh-CN"/>
        </w:rPr>
      </w:pPr>
      <w:r>
        <w:rPr>
          <w:rFonts w:hint="eastAsia" w:ascii="宋体" w:hAnsi="宋体" w:eastAsia="宋体" w:cs="Trebuchet MS"/>
          <w:b/>
          <w:sz w:val="24"/>
          <w:szCs w:val="24"/>
        </w:rPr>
        <w:t>5、本项目不接受联合体投标，本项目不允许转包或分包。</w:t>
      </w:r>
    </w:p>
    <w:p w14:paraId="6C68243C">
      <w:pPr>
        <w:pStyle w:val="411"/>
        <w:spacing w:line="276" w:lineRule="auto"/>
        <w:rPr>
          <w:rFonts w:ascii="宋体" w:hAnsi="宋体" w:eastAsia="宋体"/>
          <w:bCs/>
          <w:sz w:val="24"/>
          <w:szCs w:val="24"/>
        </w:rPr>
      </w:pPr>
      <w:bookmarkStart w:id="18" w:name="_Toc190329533"/>
      <w:bookmarkStart w:id="19" w:name="_Toc85525785"/>
      <w:r>
        <w:rPr>
          <w:rFonts w:hint="eastAsia" w:ascii="宋体" w:hAnsi="宋体" w:eastAsia="宋体"/>
          <w:sz w:val="24"/>
          <w:szCs w:val="24"/>
        </w:rPr>
        <w:t>二、电子磋商响应文件编制</w:t>
      </w:r>
      <w:bookmarkEnd w:id="18"/>
      <w:bookmarkEnd w:id="19"/>
    </w:p>
    <w:p w14:paraId="61C32C98">
      <w:pPr>
        <w:spacing w:line="276" w:lineRule="auto"/>
        <w:ind w:firstLine="420"/>
        <w:rPr>
          <w:rFonts w:ascii="宋体" w:hAnsi="宋体" w:eastAsia="宋体" w:cs="Trebuchet MS"/>
          <w:b/>
          <w:sz w:val="24"/>
          <w:szCs w:val="24"/>
        </w:rPr>
      </w:pPr>
      <w:r>
        <w:rPr>
          <w:rFonts w:hint="eastAsia" w:ascii="宋体" w:hAnsi="宋体" w:eastAsia="宋体" w:cs="Trebuchet MS"/>
          <w:b/>
          <w:sz w:val="24"/>
          <w:szCs w:val="24"/>
        </w:rPr>
        <w:t>6、电子磋商响应文件的语言、计量单位、货币和编制</w:t>
      </w:r>
    </w:p>
    <w:p w14:paraId="278FD85F">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6.1供应商提交的电子磋商响应文件、技术文件和资料，包括图纸中的说明，以及供应商与招标代理就有关磋商的所有来往函电均应使用中文。电子磋商响应文件中若有英文或其他语言文字的资料，应提供相应的中文翻译资料。对不同文本磋商响应文件的解释发生异议的，以中文文本为准。</w:t>
      </w:r>
    </w:p>
    <w:p w14:paraId="345C98E7">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6.2供应商所使用的计量单位应为国家法定计量单位。</w:t>
      </w:r>
    </w:p>
    <w:p w14:paraId="27D7DCB4">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6.3供应商应用人民币报价。</w:t>
      </w:r>
    </w:p>
    <w:p w14:paraId="34C99154">
      <w:pPr>
        <w:spacing w:line="276" w:lineRule="auto"/>
        <w:ind w:firstLine="420"/>
        <w:rPr>
          <w:rFonts w:hint="eastAsia" w:ascii="宋体" w:hAnsi="宋体" w:eastAsia="宋体" w:cs="Trebuchet MS"/>
          <w:bCs/>
          <w:sz w:val="24"/>
          <w:szCs w:val="24"/>
        </w:rPr>
      </w:pPr>
      <w:r>
        <w:rPr>
          <w:rFonts w:hint="eastAsia" w:ascii="宋体" w:hAnsi="宋体" w:eastAsia="宋体" w:cs="Trebuchet MS"/>
          <w:bCs/>
          <w:sz w:val="24"/>
          <w:szCs w:val="24"/>
        </w:rPr>
        <w:t>6.4供应商应在电子磋商响应文件中写清相应的项目编号、项目名称、供应商全称、地址、电话、传真等。</w:t>
      </w:r>
    </w:p>
    <w:p w14:paraId="1F68C99C">
      <w:pPr>
        <w:pStyle w:val="211"/>
        <w:spacing w:line="276" w:lineRule="auto"/>
        <w:ind w:firstLine="420"/>
        <w:jc w:val="both"/>
        <w:rPr>
          <w:rFonts w:hint="eastAsia" w:ascii="宋体" w:hAnsi="宋体" w:eastAsia="宋体" w:cs="Trebuchet MS"/>
          <w:bCs/>
          <w:position w:val="0"/>
          <w:sz w:val="24"/>
          <w:szCs w:val="24"/>
        </w:rPr>
      </w:pPr>
      <w:r>
        <w:rPr>
          <w:rFonts w:hint="eastAsia" w:ascii="宋体" w:hAnsi="宋体" w:eastAsia="宋体" w:cs="Trebuchet MS"/>
          <w:bCs/>
          <w:position w:val="0"/>
          <w:sz w:val="24"/>
          <w:szCs w:val="24"/>
        </w:rPr>
        <w:t>6.5信用承诺形式：政府采购供应商应当以原件盖章形式向政府采购监管部门、采购人或政府采购代理机构作出信用承诺(格式见附件)。</w:t>
      </w:r>
    </w:p>
    <w:p w14:paraId="2D15AB85">
      <w:pPr>
        <w:pStyle w:val="211"/>
        <w:spacing w:line="276" w:lineRule="auto"/>
        <w:ind w:firstLine="420"/>
        <w:jc w:val="both"/>
        <w:rPr>
          <w:rFonts w:hint="eastAsia" w:ascii="宋体" w:hAnsi="宋体" w:eastAsia="宋体" w:cs="Trebuchet MS"/>
          <w:bCs/>
          <w:position w:val="0"/>
          <w:sz w:val="24"/>
          <w:szCs w:val="24"/>
        </w:rPr>
      </w:pPr>
      <w:r>
        <w:rPr>
          <w:rFonts w:hint="eastAsia" w:ascii="宋体" w:hAnsi="宋体" w:eastAsia="宋体" w:cs="Trebuchet MS"/>
          <w:bCs/>
          <w:position w:val="0"/>
          <w:sz w:val="24"/>
          <w:szCs w:val="24"/>
        </w:rPr>
        <w:t>6.6信用承诺应用：在政府采购活动中，供应商只需在资格审查环节提供满足相应条件的盖章扫描件形式的承诺书，不再需要提供以下证明材料:</w:t>
      </w:r>
    </w:p>
    <w:p w14:paraId="6643956D">
      <w:pPr>
        <w:pStyle w:val="211"/>
        <w:spacing w:line="276" w:lineRule="auto"/>
        <w:ind w:firstLine="420"/>
        <w:jc w:val="both"/>
        <w:rPr>
          <w:rFonts w:hint="eastAsia" w:ascii="宋体" w:hAnsi="宋体" w:eastAsia="宋体" w:cs="Trebuchet MS"/>
          <w:bCs/>
          <w:position w:val="0"/>
          <w:sz w:val="24"/>
          <w:szCs w:val="24"/>
        </w:rPr>
      </w:pPr>
      <w:r>
        <w:rPr>
          <w:rFonts w:hint="eastAsia" w:ascii="宋体" w:hAnsi="宋体" w:eastAsia="宋体" w:cs="Trebuchet MS"/>
          <w:bCs/>
          <w:position w:val="0"/>
          <w:sz w:val="24"/>
          <w:szCs w:val="24"/>
        </w:rPr>
        <w:t>（1）符合国家相关规定的财务状况报告;</w:t>
      </w:r>
    </w:p>
    <w:p w14:paraId="7EFC0304">
      <w:pPr>
        <w:pStyle w:val="211"/>
        <w:spacing w:line="276" w:lineRule="auto"/>
        <w:ind w:firstLine="420"/>
        <w:jc w:val="both"/>
        <w:rPr>
          <w:rFonts w:hint="eastAsia" w:ascii="宋体" w:hAnsi="宋体" w:eastAsia="宋体" w:cs="Trebuchet MS"/>
          <w:bCs/>
          <w:position w:val="0"/>
          <w:sz w:val="24"/>
          <w:szCs w:val="24"/>
        </w:rPr>
      </w:pPr>
      <w:r>
        <w:rPr>
          <w:rFonts w:hint="eastAsia" w:ascii="宋体" w:hAnsi="宋体" w:eastAsia="宋体" w:cs="Trebuchet MS"/>
          <w:bCs/>
          <w:position w:val="0"/>
          <w:sz w:val="24"/>
          <w:szCs w:val="24"/>
        </w:rPr>
        <w:t>（2）依法缴纳税收的证明材料;</w:t>
      </w:r>
    </w:p>
    <w:p w14:paraId="7CB010A4">
      <w:pPr>
        <w:pStyle w:val="211"/>
        <w:spacing w:line="276" w:lineRule="auto"/>
        <w:ind w:firstLine="420"/>
        <w:jc w:val="both"/>
        <w:rPr>
          <w:rFonts w:hint="eastAsia" w:ascii="宋体" w:hAnsi="宋体" w:eastAsia="宋体" w:cs="Trebuchet MS"/>
          <w:bCs/>
          <w:position w:val="0"/>
          <w:sz w:val="24"/>
          <w:szCs w:val="24"/>
        </w:rPr>
      </w:pPr>
      <w:r>
        <w:rPr>
          <w:rFonts w:hint="eastAsia" w:ascii="宋体" w:hAnsi="宋体" w:eastAsia="宋体" w:cs="Trebuchet MS"/>
          <w:bCs/>
          <w:position w:val="0"/>
          <w:sz w:val="24"/>
          <w:szCs w:val="24"/>
        </w:rPr>
        <w:t>（3）依法缴纳社会保障资金的证明材料;</w:t>
      </w:r>
    </w:p>
    <w:p w14:paraId="1B50C367">
      <w:pPr>
        <w:pStyle w:val="211"/>
        <w:spacing w:line="276" w:lineRule="auto"/>
        <w:ind w:firstLine="420"/>
        <w:jc w:val="both"/>
        <w:rPr>
          <w:rFonts w:hint="eastAsia" w:ascii="宋体" w:hAnsi="宋体" w:eastAsia="宋体" w:cs="Trebuchet MS"/>
          <w:bCs/>
          <w:position w:val="0"/>
          <w:sz w:val="24"/>
          <w:szCs w:val="24"/>
        </w:rPr>
      </w:pPr>
      <w:r>
        <w:rPr>
          <w:rFonts w:hint="eastAsia" w:ascii="宋体" w:hAnsi="宋体" w:eastAsia="宋体" w:cs="Trebuchet MS"/>
          <w:bCs/>
          <w:position w:val="0"/>
          <w:sz w:val="24"/>
          <w:szCs w:val="24"/>
        </w:rPr>
        <w:t>（4）具备履行政府采购合同所必需的设备和专业技术能力的证明材料;</w:t>
      </w:r>
    </w:p>
    <w:p w14:paraId="0292A03F">
      <w:pPr>
        <w:pStyle w:val="211"/>
        <w:spacing w:line="276" w:lineRule="auto"/>
        <w:ind w:firstLine="420"/>
        <w:jc w:val="both"/>
        <w:rPr>
          <w:rFonts w:hint="eastAsia" w:ascii="宋体" w:hAnsi="宋体" w:eastAsia="宋体" w:cs="Trebuchet MS"/>
          <w:bCs/>
          <w:position w:val="0"/>
          <w:sz w:val="24"/>
          <w:szCs w:val="24"/>
        </w:rPr>
      </w:pPr>
      <w:r>
        <w:rPr>
          <w:rFonts w:hint="eastAsia" w:ascii="宋体" w:hAnsi="宋体" w:eastAsia="宋体" w:cs="Trebuchet MS"/>
          <w:bCs/>
          <w:position w:val="0"/>
          <w:sz w:val="24"/>
          <w:szCs w:val="24"/>
        </w:rPr>
        <w:t>（5）参加政府采购活动前三年内在经营活动中没有重大违法记录的证明材料;</w:t>
      </w:r>
    </w:p>
    <w:p w14:paraId="7E776AC7">
      <w:pPr>
        <w:pStyle w:val="211"/>
        <w:spacing w:line="276" w:lineRule="auto"/>
        <w:ind w:firstLine="420"/>
        <w:jc w:val="both"/>
        <w:rPr>
          <w:rFonts w:ascii="宋体" w:hAnsi="宋体" w:eastAsia="宋体" w:cs="Trebuchet MS"/>
          <w:bCs/>
          <w:sz w:val="24"/>
          <w:szCs w:val="24"/>
        </w:rPr>
      </w:pPr>
      <w:r>
        <w:rPr>
          <w:rFonts w:hint="eastAsia" w:ascii="宋体" w:hAnsi="宋体" w:eastAsia="宋体" w:cs="Trebuchet MS"/>
          <w:bCs/>
          <w:position w:val="0"/>
          <w:sz w:val="24"/>
          <w:szCs w:val="24"/>
        </w:rPr>
        <w:t>（6）未被列入失信被执行人、重大税收违法案件当事人名单、政府采购严重违法失信行为记录名单的证明材料。</w:t>
      </w:r>
    </w:p>
    <w:p w14:paraId="4683D61B">
      <w:pPr>
        <w:spacing w:line="276" w:lineRule="auto"/>
        <w:ind w:firstLine="420"/>
        <w:rPr>
          <w:rFonts w:ascii="宋体" w:hAnsi="宋体" w:eastAsia="宋体" w:cs="Trebuchet MS"/>
          <w:b/>
          <w:sz w:val="24"/>
          <w:szCs w:val="24"/>
        </w:rPr>
      </w:pPr>
      <w:r>
        <w:rPr>
          <w:rFonts w:hint="eastAsia" w:ascii="宋体" w:hAnsi="宋体" w:eastAsia="宋体" w:cs="Trebuchet MS"/>
          <w:b/>
          <w:sz w:val="24"/>
          <w:szCs w:val="24"/>
        </w:rPr>
        <w:t>7、磋商响应文件的组成</w:t>
      </w:r>
    </w:p>
    <w:p w14:paraId="7329FFCB">
      <w:pPr>
        <w:spacing w:line="276" w:lineRule="auto"/>
        <w:ind w:firstLine="420"/>
        <w:rPr>
          <w:rFonts w:hint="eastAsia" w:ascii="宋体" w:hAnsi="宋体" w:eastAsia="宋体" w:cs="Trebuchet MS"/>
          <w:bCs/>
          <w:sz w:val="24"/>
          <w:szCs w:val="24"/>
        </w:rPr>
      </w:pPr>
      <w:r>
        <w:rPr>
          <w:rFonts w:hint="eastAsia" w:ascii="宋体" w:hAnsi="宋体" w:eastAsia="宋体" w:cs="Trebuchet MS"/>
          <w:bCs/>
          <w:sz w:val="24"/>
          <w:szCs w:val="24"/>
        </w:rPr>
        <w:t>7.1供应商应当根据磋商文件要求编制电子响应文件，并根据自己的商务能力、技术水平对磋商文件提出的要求和条件逐条标明是否响应。电子磋商响应文件由商务部分、技术部分、价格部分，以及其他部分组成。（</w:t>
      </w:r>
      <w:r>
        <w:rPr>
          <w:rFonts w:hint="eastAsia" w:ascii="宋体" w:hAnsi="宋体" w:eastAsia="宋体" w:cs="Trebuchet MS"/>
          <w:sz w:val="24"/>
          <w:szCs w:val="24"/>
          <w:lang w:bidi="ar"/>
        </w:rPr>
        <w:t>电子响应文件按竞争性磋商文件要求签署、盖章或加盖电子公章</w:t>
      </w:r>
      <w:r>
        <w:rPr>
          <w:rFonts w:hint="eastAsia" w:ascii="宋体" w:hAnsi="宋体" w:eastAsia="宋体" w:cs="Trebuchet MS"/>
          <w:bCs/>
          <w:sz w:val="24"/>
          <w:szCs w:val="24"/>
        </w:rPr>
        <w:t>）</w:t>
      </w:r>
    </w:p>
    <w:p w14:paraId="31E05AA4">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7.2</w:t>
      </w:r>
      <w:r>
        <w:rPr>
          <w:rFonts w:hint="eastAsia" w:ascii="宋体" w:hAnsi="宋体" w:eastAsia="宋体" w:cs="Trebuchet MS"/>
          <w:bCs/>
          <w:sz w:val="24"/>
          <w:szCs w:val="24"/>
          <w:lang w:val="zh-CN"/>
        </w:rPr>
        <w:t>如标书制作工具中格式和内容与“江苏政府采购网”发布的竞争性磋商文件不一致，以“江苏政府采购网”发布的竞争性磋商文件为准。</w:t>
      </w:r>
    </w:p>
    <w:p w14:paraId="1C372C7F">
      <w:pPr>
        <w:spacing w:line="276" w:lineRule="auto"/>
        <w:ind w:firstLine="420"/>
        <w:rPr>
          <w:rFonts w:ascii="宋体" w:hAnsi="宋体" w:eastAsia="宋体" w:cs="Trebuchet MS"/>
          <w:b/>
          <w:sz w:val="24"/>
          <w:szCs w:val="24"/>
          <w:shd w:val="clear" w:color="auto" w:fill="FFFFFF"/>
        </w:rPr>
      </w:pPr>
      <w:r>
        <w:rPr>
          <w:rFonts w:hint="eastAsia" w:ascii="宋体" w:hAnsi="宋体" w:eastAsia="宋体" w:cs="Trebuchet MS"/>
          <w:bCs/>
          <w:sz w:val="24"/>
          <w:szCs w:val="24"/>
          <w:shd w:val="clear" w:color="auto" w:fill="FFFFFF"/>
        </w:rPr>
        <w:t>7.3</w:t>
      </w:r>
      <w:r>
        <w:rPr>
          <w:rFonts w:hint="eastAsia" w:ascii="宋体" w:hAnsi="宋体" w:eastAsia="宋体" w:cs="Trebuchet MS"/>
          <w:b/>
          <w:sz w:val="24"/>
          <w:szCs w:val="24"/>
          <w:shd w:val="clear" w:color="auto" w:fill="FFFFFF"/>
        </w:rPr>
        <w:t>磋商响应文件的商务部分。</w:t>
      </w:r>
    </w:p>
    <w:p w14:paraId="3B7C6266">
      <w:pPr>
        <w:spacing w:line="276" w:lineRule="auto"/>
        <w:ind w:firstLine="420"/>
        <w:rPr>
          <w:rFonts w:ascii="宋体" w:hAnsi="宋体" w:eastAsia="宋体"/>
          <w:sz w:val="24"/>
          <w:szCs w:val="24"/>
          <w:lang w:val="zh-CN"/>
        </w:rPr>
      </w:pPr>
      <w:r>
        <w:rPr>
          <w:rFonts w:hint="eastAsia" w:ascii="宋体" w:hAnsi="宋体" w:eastAsia="宋体"/>
          <w:sz w:val="24"/>
          <w:szCs w:val="24"/>
          <w:lang w:val="zh-CN"/>
        </w:rPr>
        <w:t>商务部分是证明供应商有资格参加磋商和中标后有能力履行合同的文件，</w:t>
      </w:r>
      <w:r>
        <w:rPr>
          <w:rFonts w:hint="eastAsia" w:ascii="宋体" w:hAnsi="宋体" w:eastAsia="宋体"/>
          <w:sz w:val="24"/>
          <w:szCs w:val="24"/>
        </w:rPr>
        <w:t>这些文件应能满足招标的要求</w:t>
      </w:r>
      <w:r>
        <w:rPr>
          <w:rFonts w:hint="eastAsia" w:ascii="宋体" w:hAnsi="宋体" w:eastAsia="宋体"/>
          <w:sz w:val="24"/>
          <w:szCs w:val="24"/>
          <w:lang w:val="zh-CN"/>
        </w:rPr>
        <w:t>，包括但不限于下列文件，</w:t>
      </w:r>
      <w:r>
        <w:rPr>
          <w:rFonts w:hint="eastAsia" w:ascii="宋体" w:hAnsi="宋体" w:eastAsia="宋体"/>
          <w:b/>
          <w:sz w:val="24"/>
          <w:szCs w:val="24"/>
          <w:lang w:val="zh-CN"/>
        </w:rPr>
        <w:t>其中加</w:t>
      </w:r>
      <w:r>
        <w:rPr>
          <w:rFonts w:hint="eastAsia" w:ascii="宋体" w:hAnsi="宋体" w:eastAsia="宋体"/>
          <w:b/>
          <w:sz w:val="24"/>
          <w:szCs w:val="24"/>
        </w:rPr>
        <w:t>★</w:t>
      </w:r>
      <w:r>
        <w:rPr>
          <w:rFonts w:hint="eastAsia" w:ascii="宋体" w:hAnsi="宋体" w:eastAsia="宋体"/>
          <w:b/>
          <w:sz w:val="24"/>
          <w:szCs w:val="24"/>
          <w:lang w:val="zh-CN"/>
        </w:rPr>
        <w:t>项目不得有缺失或无效</w:t>
      </w:r>
      <w:r>
        <w:rPr>
          <w:rFonts w:hint="eastAsia" w:ascii="宋体" w:hAnsi="宋体" w:eastAsia="宋体"/>
          <w:sz w:val="24"/>
          <w:szCs w:val="24"/>
          <w:lang w:val="zh-CN"/>
        </w:rPr>
        <w:t>。</w:t>
      </w:r>
    </w:p>
    <w:p w14:paraId="757B4402">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lang w:val="zh-CN"/>
        </w:rPr>
        <w:t>1</w:t>
      </w:r>
      <w:r>
        <w:rPr>
          <w:rFonts w:hint="eastAsia" w:ascii="宋体" w:hAnsi="宋体" w:eastAsia="宋体" w:cs="Trebuchet MS"/>
          <w:sz w:val="24"/>
          <w:szCs w:val="24"/>
          <w:lang w:val="zh-CN"/>
        </w:rPr>
        <w:t>）</w:t>
      </w:r>
      <w:r>
        <w:rPr>
          <w:rFonts w:ascii="宋体" w:hAnsi="宋体" w:eastAsia="宋体" w:cs="Trebuchet MS"/>
          <w:b/>
          <w:sz w:val="24"/>
          <w:szCs w:val="24"/>
          <w:lang w:val="zh-CN"/>
        </w:rPr>
        <w:t>★</w:t>
      </w:r>
      <w:r>
        <w:rPr>
          <w:rFonts w:hint="eastAsia" w:ascii="宋体" w:hAnsi="宋体" w:eastAsia="宋体" w:cs="Trebuchet MS"/>
          <w:sz w:val="24"/>
          <w:szCs w:val="24"/>
          <w:lang w:val="zh-CN"/>
        </w:rPr>
        <w:t>磋商申请及声明；</w:t>
      </w:r>
    </w:p>
    <w:p w14:paraId="390CA565">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lang w:val="zh-CN"/>
        </w:rPr>
        <w:t>2</w:t>
      </w:r>
      <w:r>
        <w:rPr>
          <w:rFonts w:hint="eastAsia" w:ascii="宋体" w:hAnsi="宋体" w:eastAsia="宋体" w:cs="Trebuchet MS"/>
          <w:sz w:val="24"/>
          <w:szCs w:val="24"/>
          <w:lang w:val="zh-CN"/>
        </w:rPr>
        <w:t>）</w:t>
      </w:r>
      <w:r>
        <w:rPr>
          <w:rFonts w:ascii="宋体" w:hAnsi="宋体" w:eastAsia="宋体" w:cs="Trebuchet MS"/>
          <w:b/>
          <w:sz w:val="24"/>
          <w:szCs w:val="24"/>
          <w:lang w:val="zh-CN"/>
        </w:rPr>
        <w:t>★</w:t>
      </w:r>
      <w:r>
        <w:rPr>
          <w:rFonts w:hint="eastAsia" w:ascii="宋体" w:hAnsi="宋体" w:eastAsia="宋体"/>
          <w:sz w:val="24"/>
          <w:szCs w:val="24"/>
          <w:lang w:val="zh-CN"/>
        </w:rPr>
        <w:t>法定代表人授权委托书；</w:t>
      </w:r>
    </w:p>
    <w:p w14:paraId="74FF621B">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lang w:val="zh-CN"/>
        </w:rPr>
        <w:t>（3）</w:t>
      </w:r>
      <w:r>
        <w:rPr>
          <w:rFonts w:ascii="宋体" w:hAnsi="宋体" w:eastAsia="宋体" w:cs="Trebuchet MS"/>
          <w:b/>
          <w:sz w:val="24"/>
          <w:szCs w:val="24"/>
          <w:lang w:val="zh-CN"/>
        </w:rPr>
        <w:t>★</w:t>
      </w:r>
      <w:r>
        <w:rPr>
          <w:rFonts w:hint="eastAsia" w:ascii="宋体" w:hAnsi="宋体" w:eastAsia="宋体" w:cs="Trebuchet MS"/>
          <w:sz w:val="24"/>
          <w:szCs w:val="24"/>
          <w:lang w:val="zh-CN"/>
        </w:rPr>
        <w:t>磋商报价表；</w:t>
      </w:r>
    </w:p>
    <w:p w14:paraId="353DF5A8">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lang w:val="zh-CN"/>
        </w:rPr>
        <w:t>（</w:t>
      </w:r>
      <w:r>
        <w:rPr>
          <w:rFonts w:hint="eastAsia" w:ascii="宋体" w:hAnsi="宋体" w:eastAsia="宋体" w:cs="Trebuchet MS"/>
          <w:sz w:val="24"/>
          <w:szCs w:val="24"/>
        </w:rPr>
        <w:t>4</w:t>
      </w:r>
      <w:r>
        <w:rPr>
          <w:rFonts w:hint="eastAsia" w:ascii="宋体" w:hAnsi="宋体" w:eastAsia="宋体" w:cs="Trebuchet MS"/>
          <w:sz w:val="24"/>
          <w:szCs w:val="24"/>
          <w:lang w:val="zh-CN"/>
        </w:rPr>
        <w:t>）</w:t>
      </w:r>
      <w:r>
        <w:rPr>
          <w:rFonts w:ascii="宋体" w:hAnsi="宋体" w:eastAsia="宋体" w:cs="Trebuchet MS"/>
          <w:b/>
          <w:sz w:val="24"/>
          <w:szCs w:val="24"/>
          <w:lang w:val="zh-CN"/>
        </w:rPr>
        <w:t>★</w:t>
      </w:r>
      <w:r>
        <w:rPr>
          <w:rFonts w:hint="eastAsia" w:ascii="宋体" w:hAnsi="宋体" w:eastAsia="宋体" w:cs="Trebuchet MS"/>
          <w:sz w:val="24"/>
          <w:szCs w:val="24"/>
          <w:lang w:val="zh-CN"/>
        </w:rPr>
        <w:t>《南京市政府采购供应商信用记录表暨信用承诺书》；</w:t>
      </w:r>
    </w:p>
    <w:p w14:paraId="541ADCB6">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Georgia"/>
          <w:b/>
          <w:sz w:val="24"/>
          <w:szCs w:val="24"/>
          <w:lang w:val="zh-CN"/>
        </w:rPr>
        <w:t>注：本表打印时间必须在采购文件发布之日起至提交响应文件截止日前。</w:t>
      </w:r>
    </w:p>
    <w:p w14:paraId="13F5A4D7">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w:t>
      </w:r>
      <w:r>
        <w:rPr>
          <w:rFonts w:hint="eastAsia" w:ascii="宋体" w:hAnsi="宋体" w:eastAsia="宋体" w:cs="Trebuchet MS"/>
          <w:sz w:val="24"/>
          <w:szCs w:val="24"/>
        </w:rPr>
        <w:t>5</w:t>
      </w:r>
      <w:r>
        <w:rPr>
          <w:rFonts w:hint="eastAsia" w:ascii="宋体" w:hAnsi="宋体" w:eastAsia="宋体" w:cs="Trebuchet MS"/>
          <w:sz w:val="24"/>
          <w:szCs w:val="24"/>
          <w:lang w:val="zh-CN"/>
        </w:rPr>
        <w:t>）第一章磋商邀请中采购人根据采购项目的特殊要求规定的资格条件证明文件；</w:t>
      </w:r>
    </w:p>
    <w:p w14:paraId="584AB5DC">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lang w:val="zh-CN"/>
        </w:rPr>
        <w:t>（6）第一章磋商邀请中采购人根据采购项目的特殊要求规定的特定条件证明文件（如有）；</w:t>
      </w:r>
    </w:p>
    <w:p w14:paraId="49089B15">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rPr>
        <w:t>7</w:t>
      </w:r>
      <w:r>
        <w:rPr>
          <w:rFonts w:hint="eastAsia" w:ascii="宋体" w:hAnsi="宋体" w:eastAsia="宋体" w:cs="Trebuchet MS"/>
          <w:sz w:val="24"/>
          <w:szCs w:val="24"/>
          <w:lang w:val="zh-CN"/>
        </w:rPr>
        <w:t>）</w:t>
      </w:r>
      <w:r>
        <w:rPr>
          <w:rFonts w:ascii="宋体" w:hAnsi="宋体" w:eastAsia="宋体" w:cs="Trebuchet MS"/>
          <w:b/>
          <w:sz w:val="24"/>
          <w:szCs w:val="24"/>
          <w:lang w:val="zh-CN"/>
        </w:rPr>
        <w:t>★</w:t>
      </w:r>
      <w:r>
        <w:rPr>
          <w:rFonts w:hint="eastAsia" w:ascii="宋体" w:hAnsi="宋体" w:eastAsia="宋体" w:cs="Trebuchet MS"/>
          <w:sz w:val="24"/>
          <w:szCs w:val="24"/>
          <w:lang w:val="zh-CN"/>
        </w:rPr>
        <w:t>分项报价明细表；</w:t>
      </w:r>
    </w:p>
    <w:p w14:paraId="75A1B65A">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rPr>
        <w:t>8</w:t>
      </w:r>
      <w:r>
        <w:rPr>
          <w:rFonts w:hint="eastAsia" w:ascii="宋体" w:hAnsi="宋体" w:eastAsia="宋体" w:cs="Trebuchet MS"/>
          <w:sz w:val="24"/>
          <w:szCs w:val="24"/>
          <w:lang w:val="zh-CN"/>
        </w:rPr>
        <w:t>）</w:t>
      </w:r>
      <w:r>
        <w:rPr>
          <w:rFonts w:ascii="宋体" w:hAnsi="宋体" w:eastAsia="宋体" w:cs="Trebuchet MS"/>
          <w:b/>
          <w:sz w:val="24"/>
          <w:szCs w:val="24"/>
          <w:lang w:val="zh-CN"/>
        </w:rPr>
        <w:t>★</w:t>
      </w:r>
      <w:r>
        <w:rPr>
          <w:rFonts w:hint="eastAsia" w:ascii="宋体" w:hAnsi="宋体" w:eastAsia="宋体" w:cs="Trebuchet MS"/>
          <w:sz w:val="24"/>
          <w:szCs w:val="24"/>
          <w:lang w:val="zh-CN"/>
        </w:rPr>
        <w:t>商务条款偏离表；</w:t>
      </w:r>
    </w:p>
    <w:p w14:paraId="543F4FB3">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rPr>
        <w:t>9</w:t>
      </w:r>
      <w:r>
        <w:rPr>
          <w:rFonts w:hint="eastAsia" w:ascii="宋体" w:hAnsi="宋体" w:eastAsia="宋体" w:cs="Trebuchet MS"/>
          <w:sz w:val="24"/>
          <w:szCs w:val="24"/>
          <w:lang w:val="zh-CN"/>
        </w:rPr>
        <w:t>）</w:t>
      </w:r>
      <w:r>
        <w:rPr>
          <w:rFonts w:ascii="宋体" w:hAnsi="宋体" w:eastAsia="宋体" w:cs="Trebuchet MS"/>
          <w:b/>
          <w:sz w:val="24"/>
          <w:szCs w:val="24"/>
          <w:lang w:val="zh-CN"/>
        </w:rPr>
        <w:t>★</w:t>
      </w:r>
      <w:r>
        <w:rPr>
          <w:rFonts w:hint="eastAsia" w:ascii="宋体" w:hAnsi="宋体" w:eastAsia="宋体" w:cs="Trebuchet MS"/>
          <w:sz w:val="24"/>
          <w:szCs w:val="24"/>
          <w:lang w:val="zh-CN"/>
        </w:rPr>
        <w:t>中小企业声明函；</w:t>
      </w:r>
    </w:p>
    <w:p w14:paraId="52D8A6D2">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rPr>
        <w:t>10</w:t>
      </w:r>
      <w:r>
        <w:rPr>
          <w:rFonts w:hint="eastAsia" w:ascii="宋体" w:hAnsi="宋体" w:eastAsia="宋体" w:cs="Trebuchet MS"/>
          <w:sz w:val="24"/>
          <w:szCs w:val="24"/>
          <w:lang w:val="zh-CN"/>
        </w:rPr>
        <w:t>）</w:t>
      </w:r>
      <w:r>
        <w:rPr>
          <w:rFonts w:ascii="宋体" w:hAnsi="宋体" w:eastAsia="宋体" w:cs="Trebuchet MS"/>
          <w:b/>
          <w:sz w:val="24"/>
          <w:szCs w:val="24"/>
          <w:lang w:val="zh-CN"/>
        </w:rPr>
        <w:t>★</w:t>
      </w:r>
      <w:r>
        <w:rPr>
          <w:rFonts w:hint="eastAsia" w:ascii="宋体" w:hAnsi="宋体" w:eastAsia="宋体" w:cs="Trebuchet MS"/>
          <w:sz w:val="24"/>
          <w:szCs w:val="24"/>
          <w:lang w:val="zh-CN"/>
        </w:rPr>
        <w:t>无重大违法记录声明；</w:t>
      </w:r>
    </w:p>
    <w:p w14:paraId="6F9F9D47">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（1</w:t>
      </w:r>
      <w:r>
        <w:rPr>
          <w:rFonts w:ascii="宋体" w:hAnsi="宋体" w:eastAsia="宋体" w:cs="Trebuchet MS"/>
          <w:sz w:val="24"/>
          <w:szCs w:val="24"/>
        </w:rPr>
        <w:t>1</w:t>
      </w:r>
      <w:r>
        <w:rPr>
          <w:rFonts w:hint="eastAsia" w:ascii="宋体" w:hAnsi="宋体" w:eastAsia="宋体" w:cs="Trebuchet MS"/>
          <w:sz w:val="24"/>
          <w:szCs w:val="24"/>
          <w:lang w:val="zh-CN"/>
        </w:rPr>
        <w:t>）安全生产责任承诺书；</w:t>
      </w:r>
    </w:p>
    <w:p w14:paraId="3F789FB2">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（1</w:t>
      </w:r>
      <w:r>
        <w:rPr>
          <w:rFonts w:ascii="宋体" w:hAnsi="宋体" w:eastAsia="宋体" w:cs="Trebuchet MS"/>
          <w:sz w:val="24"/>
          <w:szCs w:val="24"/>
        </w:rPr>
        <w:t>2</w:t>
      </w:r>
      <w:r>
        <w:rPr>
          <w:rFonts w:hint="eastAsia" w:ascii="宋体" w:hAnsi="宋体" w:eastAsia="宋体" w:cs="Trebuchet MS"/>
          <w:sz w:val="24"/>
          <w:szCs w:val="24"/>
          <w:lang w:val="zh-CN"/>
        </w:rPr>
        <w:t>）</w:t>
      </w:r>
      <w:r>
        <w:rPr>
          <w:rFonts w:ascii="宋体" w:hAnsi="宋体" w:eastAsia="宋体" w:cs="Trebuchet MS"/>
          <w:sz w:val="24"/>
          <w:szCs w:val="24"/>
          <w:lang w:val="zh-CN"/>
        </w:rPr>
        <w:t>残疾人福利性单位声明函</w:t>
      </w:r>
      <w:r>
        <w:rPr>
          <w:rFonts w:hint="eastAsia" w:ascii="宋体" w:hAnsi="宋体" w:eastAsia="宋体" w:cs="Trebuchet MS"/>
          <w:sz w:val="24"/>
          <w:szCs w:val="24"/>
          <w:lang w:val="zh-CN"/>
        </w:rPr>
        <w:t>（如有）；</w:t>
      </w:r>
    </w:p>
    <w:p w14:paraId="644B39F5">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（1</w:t>
      </w:r>
      <w:r>
        <w:rPr>
          <w:rFonts w:ascii="宋体" w:hAnsi="宋体" w:eastAsia="宋体" w:cs="Trebuchet MS"/>
          <w:sz w:val="24"/>
          <w:szCs w:val="24"/>
        </w:rPr>
        <w:t>3</w:t>
      </w:r>
      <w:r>
        <w:rPr>
          <w:rFonts w:hint="eastAsia" w:ascii="宋体" w:hAnsi="宋体" w:eastAsia="宋体" w:cs="Trebuchet MS"/>
          <w:sz w:val="24"/>
          <w:szCs w:val="24"/>
          <w:lang w:val="zh-CN"/>
        </w:rPr>
        <w:t>）</w:t>
      </w:r>
      <w:r>
        <w:rPr>
          <w:rFonts w:ascii="宋体" w:hAnsi="宋体" w:eastAsia="宋体" w:cs="Trebuchet MS"/>
          <w:sz w:val="24"/>
          <w:szCs w:val="24"/>
          <w:lang w:val="zh-CN"/>
        </w:rPr>
        <w:t>属于监狱企业的证明文件</w:t>
      </w:r>
      <w:r>
        <w:rPr>
          <w:rFonts w:hint="eastAsia" w:ascii="宋体" w:hAnsi="宋体" w:eastAsia="宋体" w:cs="Trebuchet MS"/>
          <w:sz w:val="24"/>
          <w:szCs w:val="24"/>
          <w:lang w:val="zh-CN"/>
        </w:rPr>
        <w:t>（如有）；</w:t>
      </w:r>
    </w:p>
    <w:p w14:paraId="7ED014DA">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（1</w:t>
      </w:r>
      <w:r>
        <w:rPr>
          <w:rFonts w:ascii="宋体" w:hAnsi="宋体" w:eastAsia="宋体" w:cs="Trebuchet MS"/>
          <w:sz w:val="24"/>
          <w:szCs w:val="24"/>
        </w:rPr>
        <w:t>4</w:t>
      </w:r>
      <w:r>
        <w:rPr>
          <w:rFonts w:hint="eastAsia" w:ascii="宋体" w:hAnsi="宋体" w:eastAsia="宋体" w:cs="Trebuchet MS"/>
          <w:sz w:val="24"/>
          <w:szCs w:val="24"/>
          <w:lang w:val="zh-CN"/>
        </w:rPr>
        <w:t>）</w:t>
      </w:r>
      <w:r>
        <w:rPr>
          <w:rFonts w:ascii="宋体" w:hAnsi="宋体" w:eastAsia="宋体" w:cs="Trebuchet MS"/>
          <w:sz w:val="24"/>
          <w:szCs w:val="24"/>
          <w:lang w:val="zh-CN"/>
        </w:rPr>
        <w:t>节能产品认证文件</w:t>
      </w:r>
      <w:r>
        <w:rPr>
          <w:rFonts w:hint="eastAsia" w:ascii="宋体" w:hAnsi="宋体" w:eastAsia="宋体" w:cs="Trebuchet MS"/>
          <w:sz w:val="24"/>
          <w:szCs w:val="24"/>
          <w:lang w:val="zh-CN"/>
        </w:rPr>
        <w:t>（如有）；</w:t>
      </w:r>
    </w:p>
    <w:p w14:paraId="1899D765">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（1</w:t>
      </w:r>
      <w:r>
        <w:rPr>
          <w:rFonts w:ascii="宋体" w:hAnsi="宋体" w:eastAsia="宋体" w:cs="Trebuchet MS"/>
          <w:sz w:val="24"/>
          <w:szCs w:val="24"/>
        </w:rPr>
        <w:t>5</w:t>
      </w:r>
      <w:r>
        <w:rPr>
          <w:rFonts w:hint="eastAsia" w:ascii="宋体" w:hAnsi="宋体" w:eastAsia="宋体" w:cs="Trebuchet MS"/>
          <w:sz w:val="24"/>
          <w:szCs w:val="24"/>
          <w:lang w:val="zh-CN"/>
        </w:rPr>
        <w:t>）</w:t>
      </w:r>
      <w:r>
        <w:rPr>
          <w:rFonts w:ascii="宋体" w:hAnsi="宋体" w:eastAsia="宋体" w:cs="Trebuchet MS"/>
          <w:sz w:val="24"/>
          <w:szCs w:val="24"/>
          <w:lang w:val="zh-CN"/>
        </w:rPr>
        <w:t>环境标志产品认证文件</w:t>
      </w:r>
      <w:r>
        <w:rPr>
          <w:rFonts w:hint="eastAsia" w:ascii="宋体" w:hAnsi="宋体" w:eastAsia="宋体" w:cs="Trebuchet MS"/>
          <w:sz w:val="24"/>
          <w:szCs w:val="24"/>
          <w:lang w:val="zh-CN"/>
        </w:rPr>
        <w:t>（如有）；</w:t>
      </w:r>
    </w:p>
    <w:p w14:paraId="52193AA6">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lang w:val="zh-CN"/>
        </w:rPr>
        <w:t>（1</w:t>
      </w:r>
      <w:r>
        <w:rPr>
          <w:rFonts w:ascii="宋体" w:hAnsi="宋体" w:eastAsia="宋体" w:cs="Trebuchet MS"/>
          <w:sz w:val="24"/>
          <w:szCs w:val="24"/>
        </w:rPr>
        <w:t>6</w:t>
      </w:r>
      <w:r>
        <w:rPr>
          <w:rFonts w:hint="eastAsia" w:ascii="宋体" w:hAnsi="宋体" w:eastAsia="宋体" w:cs="Trebuchet MS"/>
          <w:sz w:val="24"/>
          <w:szCs w:val="24"/>
          <w:lang w:val="zh-CN"/>
        </w:rPr>
        <w:t>）</w:t>
      </w:r>
      <w:r>
        <w:rPr>
          <w:rFonts w:ascii="宋体" w:hAnsi="宋体" w:eastAsia="宋体" w:cs="Trebuchet MS"/>
          <w:sz w:val="24"/>
          <w:szCs w:val="24"/>
          <w:lang w:val="zh-CN"/>
        </w:rPr>
        <w:t>进口产品转让技术、消化吸收再创新方案</w:t>
      </w:r>
      <w:r>
        <w:rPr>
          <w:rFonts w:hint="eastAsia" w:ascii="宋体" w:hAnsi="宋体" w:eastAsia="宋体" w:cs="Trebuchet MS"/>
          <w:sz w:val="24"/>
          <w:szCs w:val="24"/>
          <w:lang w:val="zh-CN"/>
        </w:rPr>
        <w:t>（如有）；</w:t>
      </w:r>
    </w:p>
    <w:p w14:paraId="18C43733">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lang w:val="zh-CN"/>
        </w:rPr>
        <w:t>（1</w:t>
      </w:r>
      <w:r>
        <w:rPr>
          <w:rFonts w:ascii="宋体" w:hAnsi="宋体" w:eastAsia="宋体" w:cs="Trebuchet MS"/>
          <w:sz w:val="24"/>
          <w:szCs w:val="24"/>
        </w:rPr>
        <w:t>7</w:t>
      </w:r>
      <w:r>
        <w:rPr>
          <w:rFonts w:hint="eastAsia" w:ascii="宋体" w:hAnsi="宋体" w:eastAsia="宋体" w:cs="Trebuchet MS"/>
          <w:sz w:val="24"/>
          <w:szCs w:val="24"/>
          <w:lang w:val="zh-CN"/>
        </w:rPr>
        <w:t>）磋商供应商认为需提供的其他商务资料；</w:t>
      </w:r>
    </w:p>
    <w:p w14:paraId="00B15665">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lang w:val="zh-CN"/>
        </w:rPr>
        <w:t>（1</w:t>
      </w:r>
      <w:r>
        <w:rPr>
          <w:rFonts w:ascii="宋体" w:hAnsi="宋体" w:eastAsia="宋体" w:cs="Trebuchet MS"/>
          <w:sz w:val="24"/>
          <w:szCs w:val="24"/>
        </w:rPr>
        <w:t>8</w:t>
      </w:r>
      <w:r>
        <w:rPr>
          <w:rFonts w:hint="eastAsia" w:ascii="宋体" w:hAnsi="宋体" w:eastAsia="宋体" w:cs="Trebuchet MS"/>
          <w:sz w:val="24"/>
          <w:szCs w:val="24"/>
          <w:lang w:val="zh-CN"/>
        </w:rPr>
        <w:t>）法定代表人参加磋商的，提供法定代表人身份证原件扫描件上传；授权委托代理人参加磋商的，提供本人有效身份证原件扫描件上传至磋商响应文件。</w:t>
      </w:r>
    </w:p>
    <w:p w14:paraId="66660DB1">
      <w:pPr>
        <w:spacing w:line="276" w:lineRule="auto"/>
        <w:ind w:firstLine="420"/>
        <w:rPr>
          <w:rFonts w:ascii="宋体" w:hAnsi="宋体" w:eastAsia="宋体" w:cs="Trebuchet MS"/>
          <w:b/>
          <w:sz w:val="24"/>
          <w:szCs w:val="24"/>
          <w:shd w:val="clear" w:color="auto" w:fill="FFFFFF"/>
        </w:rPr>
      </w:pPr>
      <w:r>
        <w:rPr>
          <w:rFonts w:hint="eastAsia" w:ascii="宋体" w:hAnsi="宋体" w:eastAsia="宋体" w:cs="Trebuchet MS"/>
          <w:bCs/>
          <w:sz w:val="24"/>
          <w:szCs w:val="24"/>
          <w:shd w:val="clear" w:color="auto" w:fill="FFFFFF"/>
        </w:rPr>
        <w:t>7.3</w:t>
      </w:r>
      <w:r>
        <w:rPr>
          <w:rFonts w:hint="eastAsia" w:ascii="宋体" w:hAnsi="宋体" w:eastAsia="宋体" w:cs="Trebuchet MS"/>
          <w:b/>
          <w:sz w:val="24"/>
          <w:szCs w:val="24"/>
          <w:shd w:val="clear" w:color="auto" w:fill="FFFFFF"/>
        </w:rPr>
        <w:t>磋商响应文件的技术部分。</w:t>
      </w:r>
    </w:p>
    <w:p w14:paraId="12E27219">
      <w:pPr>
        <w:spacing w:line="276" w:lineRule="auto"/>
        <w:ind w:firstLine="420"/>
        <w:rPr>
          <w:rFonts w:ascii="宋体" w:hAnsi="宋体" w:eastAsia="宋体"/>
          <w:sz w:val="24"/>
          <w:szCs w:val="24"/>
          <w:lang w:val="zh-CN"/>
        </w:rPr>
      </w:pPr>
      <w:r>
        <w:rPr>
          <w:rFonts w:hint="eastAsia" w:ascii="宋体" w:hAnsi="宋体" w:eastAsia="宋体"/>
          <w:sz w:val="24"/>
          <w:szCs w:val="24"/>
        </w:rPr>
        <w:t>（1）</w:t>
      </w:r>
      <w:r>
        <w:rPr>
          <w:rFonts w:hint="eastAsia" w:ascii="宋体" w:hAnsi="宋体" w:eastAsia="宋体"/>
          <w:sz w:val="24"/>
          <w:szCs w:val="24"/>
          <w:lang w:val="zh-CN"/>
        </w:rPr>
        <w:t>技术部分是证明</w:t>
      </w:r>
      <w:r>
        <w:rPr>
          <w:rFonts w:hint="eastAsia" w:ascii="宋体" w:hAnsi="宋体" w:eastAsia="宋体"/>
          <w:sz w:val="24"/>
          <w:szCs w:val="24"/>
        </w:rPr>
        <w:t>供应商提供的产品和服务是合格的、并符合磋商文件要求的证明文件，以及</w:t>
      </w:r>
      <w:r>
        <w:rPr>
          <w:rFonts w:hint="eastAsia" w:ascii="宋体" w:hAnsi="宋体" w:eastAsia="宋体"/>
          <w:sz w:val="24"/>
          <w:szCs w:val="24"/>
          <w:lang w:val="zh-CN"/>
        </w:rPr>
        <w:t>对磋商报价表中的服务的详细说明，这些文件可以是文字资料、图纸和数据等。</w:t>
      </w:r>
    </w:p>
    <w:p w14:paraId="20D26CDF">
      <w:pPr>
        <w:spacing w:line="276" w:lineRule="auto"/>
        <w:ind w:firstLine="420"/>
        <w:rPr>
          <w:rFonts w:ascii="宋体" w:hAnsi="宋体" w:eastAsia="宋体"/>
          <w:sz w:val="24"/>
          <w:szCs w:val="24"/>
          <w:lang w:val="zh-CN"/>
        </w:rPr>
      </w:pPr>
      <w:r>
        <w:rPr>
          <w:rFonts w:hint="eastAsia" w:ascii="宋体" w:hAnsi="宋体" w:eastAsia="宋体"/>
          <w:sz w:val="24"/>
          <w:szCs w:val="24"/>
          <w:lang w:val="zh-CN"/>
        </w:rPr>
        <w:t>（2）若技术性能无特殊说明，则按国家有关部门最新颁布的标准及规范为准；</w:t>
      </w:r>
    </w:p>
    <w:p w14:paraId="55463588">
      <w:pPr>
        <w:spacing w:line="276" w:lineRule="auto"/>
        <w:ind w:firstLine="420"/>
        <w:rPr>
          <w:rFonts w:ascii="宋体" w:hAnsi="宋体" w:eastAsia="宋体"/>
          <w:sz w:val="24"/>
          <w:szCs w:val="24"/>
          <w:lang w:val="zh-CN"/>
        </w:rPr>
      </w:pPr>
      <w:r>
        <w:rPr>
          <w:rFonts w:hint="eastAsia" w:ascii="宋体" w:hAnsi="宋体" w:eastAsia="宋体"/>
          <w:sz w:val="24"/>
          <w:szCs w:val="24"/>
          <w:lang w:val="zh-CN"/>
        </w:rPr>
        <w:t>（3）提供的服务如与磋商文件要求有不符之处，应说明其差别之所在，并在《技术条款偏离表》中逐条予以说明。</w:t>
      </w:r>
    </w:p>
    <w:p w14:paraId="01D49E9B">
      <w:pPr>
        <w:spacing w:line="276" w:lineRule="auto"/>
        <w:ind w:firstLine="420"/>
        <w:rPr>
          <w:rFonts w:ascii="宋体" w:hAnsi="宋体" w:eastAsia="宋体"/>
          <w:b/>
          <w:sz w:val="24"/>
          <w:szCs w:val="24"/>
          <w:lang w:val="zh-CN"/>
        </w:rPr>
      </w:pPr>
      <w:r>
        <w:rPr>
          <w:rFonts w:hint="eastAsia" w:ascii="宋体" w:hAnsi="宋体" w:eastAsia="宋体"/>
          <w:sz w:val="24"/>
          <w:szCs w:val="24"/>
          <w:lang w:val="zh-CN"/>
        </w:rPr>
        <w:t>（4）电子磋商响应文件应按照磋商文件要求提供技术资料、文件和有关证明，包括但不限于</w:t>
      </w:r>
      <w:r>
        <w:rPr>
          <w:rFonts w:hint="eastAsia" w:ascii="宋体" w:hAnsi="宋体" w:eastAsia="宋体"/>
          <w:b/>
          <w:sz w:val="24"/>
          <w:szCs w:val="24"/>
          <w:lang w:val="zh-CN"/>
        </w:rPr>
        <w:t>其中加</w:t>
      </w:r>
      <w:r>
        <w:rPr>
          <w:rFonts w:ascii="宋体" w:hAnsi="宋体" w:eastAsia="宋体" w:cs="Trebuchet MS"/>
          <w:b/>
          <w:sz w:val="24"/>
          <w:szCs w:val="24"/>
          <w:lang w:val="zh-CN"/>
        </w:rPr>
        <w:t>★</w:t>
      </w:r>
      <w:r>
        <w:rPr>
          <w:rFonts w:hint="eastAsia" w:ascii="宋体" w:hAnsi="宋体" w:eastAsia="宋体"/>
          <w:b/>
          <w:sz w:val="24"/>
          <w:szCs w:val="24"/>
          <w:lang w:val="zh-CN"/>
        </w:rPr>
        <w:t>项目不得有缺失或无效：</w:t>
      </w:r>
    </w:p>
    <w:p w14:paraId="12561955">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rPr>
        <w:t>①</w:t>
      </w:r>
      <w:r>
        <w:rPr>
          <w:rFonts w:ascii="宋体" w:hAnsi="宋体" w:eastAsia="宋体" w:cs="Trebuchet MS"/>
          <w:b/>
          <w:sz w:val="24"/>
          <w:szCs w:val="24"/>
          <w:lang w:val="zh-CN"/>
        </w:rPr>
        <w:t>★</w:t>
      </w:r>
      <w:r>
        <w:rPr>
          <w:rFonts w:hint="eastAsia" w:ascii="宋体" w:hAnsi="宋体" w:eastAsia="宋体" w:cs="Trebuchet MS"/>
          <w:sz w:val="24"/>
          <w:szCs w:val="24"/>
          <w:lang w:val="zh-CN"/>
        </w:rPr>
        <w:t>方案文件；</w:t>
      </w:r>
    </w:p>
    <w:p w14:paraId="11FFC8FC">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②</w:t>
      </w:r>
      <w:r>
        <w:rPr>
          <w:rFonts w:ascii="宋体" w:hAnsi="宋体" w:eastAsia="宋体" w:cs="Trebuchet MS"/>
          <w:b/>
          <w:sz w:val="24"/>
          <w:szCs w:val="24"/>
          <w:lang w:val="zh-CN"/>
        </w:rPr>
        <w:t>★</w:t>
      </w:r>
      <w:r>
        <w:rPr>
          <w:rFonts w:hint="eastAsia" w:ascii="宋体" w:hAnsi="宋体" w:eastAsia="宋体" w:cs="Trebuchet MS"/>
          <w:sz w:val="24"/>
          <w:szCs w:val="24"/>
          <w:lang w:val="zh-CN"/>
        </w:rPr>
        <w:t>技术条款偏离表；</w:t>
      </w:r>
    </w:p>
    <w:p w14:paraId="6B5876FE">
      <w:pPr>
        <w:widowControl/>
        <w:spacing w:line="276" w:lineRule="auto"/>
        <w:ind w:firstLine="420"/>
        <w:jc w:val="left"/>
        <w:rPr>
          <w:rFonts w:hint="eastAsia" w:ascii="宋体" w:hAnsi="宋体" w:eastAsia="宋体" w:cs="Trebuchet MS"/>
          <w:sz w:val="24"/>
          <w:szCs w:val="24"/>
          <w:lang w:val="zh-CN"/>
        </w:rPr>
      </w:pPr>
      <w:r>
        <w:rPr>
          <w:rFonts w:hint="eastAsia" w:ascii="宋体" w:hAnsi="宋体" w:eastAsia="宋体" w:cs="Trebuchet MS"/>
          <w:sz w:val="24"/>
          <w:szCs w:val="24"/>
        </w:rPr>
        <w:t>③</w:t>
      </w:r>
      <w:r>
        <w:rPr>
          <w:rFonts w:ascii="宋体" w:hAnsi="宋体" w:eastAsia="宋体" w:cs="Trebuchet MS"/>
          <w:b/>
          <w:sz w:val="24"/>
          <w:szCs w:val="24"/>
          <w:lang w:val="zh-CN"/>
        </w:rPr>
        <w:t>★</w:t>
      </w:r>
      <w:r>
        <w:rPr>
          <w:rFonts w:hint="eastAsia" w:ascii="宋体" w:hAnsi="宋体" w:eastAsia="宋体" w:cs="宋体"/>
          <w:bCs/>
          <w:sz w:val="24"/>
          <w:szCs w:val="24"/>
          <w:lang w:val="zh-CN"/>
        </w:rPr>
        <w:t>磋商供应商实施本项目拟投入的专业人员一览表；</w:t>
      </w:r>
    </w:p>
    <w:p w14:paraId="5405E14B">
      <w:pPr>
        <w:widowControl/>
        <w:spacing w:line="276" w:lineRule="auto"/>
        <w:ind w:firstLine="420"/>
        <w:jc w:val="left"/>
        <w:rPr>
          <w:rFonts w:ascii="宋体" w:hAnsi="宋体" w:eastAsia="宋体" w:cs="Trebuchet MS"/>
          <w:sz w:val="24"/>
          <w:szCs w:val="24"/>
          <w:lang w:val="zh-CN"/>
        </w:rPr>
      </w:pPr>
      <w:r>
        <w:rPr>
          <w:rFonts w:hint="eastAsia" w:ascii="宋体" w:hAnsi="宋体" w:eastAsia="宋体" w:cs="Trebuchet MS"/>
          <w:sz w:val="24"/>
          <w:szCs w:val="24"/>
          <w:lang w:val="zh-CN"/>
        </w:rPr>
        <w:t>④磋商供应商认为需要提供的其他技术资料。</w:t>
      </w:r>
    </w:p>
    <w:p w14:paraId="30425F90">
      <w:pPr>
        <w:widowControl/>
        <w:spacing w:line="276" w:lineRule="auto"/>
        <w:ind w:firstLine="420"/>
        <w:jc w:val="left"/>
        <w:rPr>
          <w:rFonts w:ascii="宋体" w:hAnsi="宋体" w:eastAsia="宋体" w:cs="Trebuchet MS"/>
          <w:b/>
          <w:sz w:val="24"/>
          <w:szCs w:val="24"/>
          <w:lang w:val="zh-CN"/>
        </w:rPr>
      </w:pPr>
      <w:r>
        <w:rPr>
          <w:rFonts w:hint="eastAsia" w:ascii="宋体" w:hAnsi="宋体" w:eastAsia="宋体" w:cs="Trebuchet MS"/>
          <w:b/>
          <w:sz w:val="24"/>
          <w:szCs w:val="24"/>
          <w:lang w:val="zh-CN"/>
        </w:rPr>
        <w:t>7.4电子磋商响应文件的价格部分</w:t>
      </w:r>
    </w:p>
    <w:p w14:paraId="19AFFA0E">
      <w:pPr>
        <w:spacing w:line="276" w:lineRule="auto"/>
        <w:ind w:firstLine="420"/>
        <w:rPr>
          <w:rFonts w:ascii="宋体" w:hAnsi="宋体" w:eastAsia="宋体" w:cs="Trebuchet MS"/>
          <w:sz w:val="24"/>
          <w:szCs w:val="24"/>
          <w:lang w:val="zh-CN"/>
        </w:rPr>
      </w:pPr>
      <w:r>
        <w:rPr>
          <w:rFonts w:hint="eastAsia" w:ascii="宋体" w:hAnsi="宋体" w:eastAsia="宋体" w:cs="Trebuchet MS"/>
          <w:sz w:val="24"/>
          <w:szCs w:val="24"/>
          <w:lang w:val="zh-CN"/>
        </w:rPr>
        <w:t>（1）价格部分是对磋商货物及服务价格构成的说明，每一项服务仅接受一个价格。</w:t>
      </w:r>
    </w:p>
    <w:p w14:paraId="421EC087">
      <w:pPr>
        <w:spacing w:line="276" w:lineRule="auto"/>
        <w:ind w:firstLine="420"/>
        <w:rPr>
          <w:rFonts w:ascii="宋体" w:hAnsi="宋体" w:eastAsia="宋体" w:cs="Trebuchet MS"/>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lang w:val="zh-CN"/>
        </w:rPr>
        <w:t>2</w:t>
      </w:r>
      <w:r>
        <w:rPr>
          <w:rFonts w:hint="eastAsia" w:ascii="宋体" w:hAnsi="宋体" w:eastAsia="宋体" w:cs="Trebuchet MS"/>
          <w:sz w:val="24"/>
          <w:szCs w:val="24"/>
          <w:lang w:val="zh-CN"/>
        </w:rPr>
        <w:t>）供应商的任何错漏、优惠、竞争性报价不得作为减轻责任、减少服务、增加收费、降低质量的理由。在验收过程中，如发现有漏项、缺件，磋商方应无条件、无偿补齐，所发生的一切费用，视为已包含在磋商方的最终磋商报价中。</w:t>
      </w:r>
    </w:p>
    <w:p w14:paraId="5958C772">
      <w:pPr>
        <w:spacing w:line="276" w:lineRule="auto"/>
        <w:ind w:firstLine="420"/>
        <w:rPr>
          <w:rFonts w:ascii="宋体" w:hAnsi="宋体" w:eastAsia="宋体" w:cs="Trebuchet MS"/>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lang w:val="zh-CN"/>
        </w:rPr>
        <w:t>3</w:t>
      </w:r>
      <w:r>
        <w:rPr>
          <w:rFonts w:hint="eastAsia" w:ascii="宋体" w:hAnsi="宋体" w:eastAsia="宋体" w:cs="Trebuchet MS"/>
          <w:sz w:val="24"/>
          <w:szCs w:val="24"/>
          <w:lang w:val="zh-CN"/>
        </w:rPr>
        <w:t>）供应商应以表格形式详细说明服务的价格构成，以及价格构成各项因素的单价和总价。供应商系中小企业（含中型、小型、微型企业），并由本企业提供服务的，须在《磋商报价表》、《磋商分项报价表》中注明。</w:t>
      </w:r>
    </w:p>
    <w:p w14:paraId="6E4E43B8">
      <w:pPr>
        <w:spacing w:line="276" w:lineRule="auto"/>
        <w:ind w:firstLine="420"/>
        <w:rPr>
          <w:rFonts w:hint="eastAsia" w:ascii="宋体" w:hAnsi="宋体" w:eastAsia="宋体" w:cs="Trebuchet MS"/>
          <w:b/>
          <w:sz w:val="24"/>
          <w:szCs w:val="24"/>
          <w:lang w:val="zh-CN"/>
        </w:rPr>
      </w:pPr>
      <w:r>
        <w:rPr>
          <w:rFonts w:hint="eastAsia" w:ascii="宋体" w:hAnsi="宋体" w:eastAsia="宋体" w:cs="Trebuchet MS"/>
          <w:b/>
          <w:sz w:val="24"/>
          <w:szCs w:val="24"/>
          <w:lang w:val="zh-CN"/>
        </w:rPr>
        <w:t>（</w:t>
      </w:r>
      <w:r>
        <w:rPr>
          <w:rFonts w:ascii="宋体" w:hAnsi="宋体" w:eastAsia="宋体" w:cs="Trebuchet MS"/>
          <w:b/>
          <w:sz w:val="24"/>
          <w:szCs w:val="24"/>
          <w:lang w:val="zh-CN"/>
        </w:rPr>
        <w:t>4</w:t>
      </w:r>
      <w:r>
        <w:rPr>
          <w:rFonts w:hint="eastAsia" w:ascii="宋体" w:hAnsi="宋体" w:eastAsia="宋体" w:cs="Trebuchet MS"/>
          <w:b/>
          <w:sz w:val="24"/>
          <w:szCs w:val="24"/>
          <w:lang w:val="zh-CN"/>
        </w:rPr>
        <w:t>）《磋商报价表》须</w:t>
      </w:r>
      <w:r>
        <w:rPr>
          <w:rFonts w:hint="eastAsia" w:ascii="宋体" w:hAnsi="宋体" w:eastAsia="宋体" w:cs="Trebuchet MS"/>
          <w:sz w:val="24"/>
          <w:szCs w:val="24"/>
          <w:lang w:val="zh-CN"/>
        </w:rPr>
        <w:t>加盖单位公章上传在磋商响应文件中。</w:t>
      </w:r>
    </w:p>
    <w:p w14:paraId="7B5823BA">
      <w:pPr>
        <w:spacing w:line="276" w:lineRule="auto"/>
        <w:ind w:firstLine="420"/>
        <w:rPr>
          <w:rFonts w:hint="eastAsia" w:ascii="宋体" w:hAnsi="宋体" w:eastAsia="宋体" w:cs="宋体"/>
          <w:sz w:val="24"/>
          <w:szCs w:val="24"/>
          <w:lang w:val="zh-CN"/>
        </w:rPr>
      </w:pPr>
      <w:r>
        <w:rPr>
          <w:rFonts w:hint="eastAsia" w:ascii="宋体" w:hAnsi="宋体" w:eastAsia="宋体" w:cs="Trebuchet MS"/>
          <w:sz w:val="24"/>
          <w:szCs w:val="24"/>
          <w:lang w:val="zh-CN"/>
        </w:rPr>
        <w:t>（</w:t>
      </w:r>
      <w:r>
        <w:rPr>
          <w:rFonts w:ascii="宋体" w:hAnsi="宋体" w:eastAsia="宋体" w:cs="Trebuchet MS"/>
          <w:sz w:val="24"/>
          <w:szCs w:val="24"/>
          <w:lang w:val="zh-CN"/>
        </w:rPr>
        <w:t>5</w:t>
      </w:r>
      <w:r>
        <w:rPr>
          <w:rFonts w:hint="eastAsia" w:ascii="宋体" w:hAnsi="宋体" w:eastAsia="宋体" w:cs="Trebuchet MS"/>
          <w:sz w:val="24"/>
          <w:szCs w:val="24"/>
          <w:lang w:val="zh-CN"/>
        </w:rPr>
        <w:t>）报价应包含完成采购项目服务内容的所有一切费用</w:t>
      </w:r>
      <w:r>
        <w:rPr>
          <w:rFonts w:hint="eastAsia" w:ascii="宋体" w:hAnsi="宋体" w:eastAsia="宋体"/>
          <w:sz w:val="24"/>
          <w:szCs w:val="24"/>
        </w:rPr>
        <w:t>。</w:t>
      </w:r>
      <w:r>
        <w:rPr>
          <w:rFonts w:hint="eastAsia" w:ascii="宋体" w:hAnsi="宋体" w:eastAsia="宋体" w:cs="宋体"/>
          <w:sz w:val="24"/>
          <w:szCs w:val="24"/>
          <w:lang w:val="zh-CN"/>
        </w:rPr>
        <w:t>磋商供应商应充分考虑到市场价格变动，以及项目实施过程中的不可预见因素，一旦成交，总价格不变。如果有漏项，视同让利。</w:t>
      </w:r>
    </w:p>
    <w:p w14:paraId="5AD84084">
      <w:pPr>
        <w:spacing w:line="276" w:lineRule="auto"/>
        <w:ind w:firstLine="420"/>
        <w:rPr>
          <w:rFonts w:ascii="宋体" w:hAnsi="宋体" w:eastAsia="宋体" w:cs="Trebuchet MS"/>
          <w:sz w:val="24"/>
          <w:szCs w:val="24"/>
          <w:lang w:val="zh-CN"/>
        </w:rPr>
      </w:pPr>
      <w:r>
        <w:rPr>
          <w:rFonts w:ascii="宋体" w:hAnsi="宋体" w:eastAsia="宋体" w:cs="Trebuchet MS"/>
          <w:sz w:val="24"/>
          <w:szCs w:val="24"/>
          <w:lang w:val="zh-CN"/>
        </w:rPr>
        <w:t>（6）政府采购提倡公平竞争，反对盲目压价参与磋商，任何盲目压价和低于成本报价将会被拒绝。</w:t>
      </w:r>
    </w:p>
    <w:p w14:paraId="609D64AA">
      <w:pPr>
        <w:ind w:firstLine="422"/>
        <w:rPr>
          <w:rFonts w:ascii="宋体" w:hAnsi="宋体" w:eastAsia="宋体" w:cs="宋体"/>
          <w:b/>
          <w:bCs/>
          <w:sz w:val="24"/>
          <w:szCs w:val="24"/>
          <w:lang w:val="zh-CN"/>
        </w:rPr>
      </w:pPr>
      <w:r>
        <w:rPr>
          <w:rFonts w:hint="eastAsia" w:ascii="宋体" w:hAnsi="宋体" w:eastAsia="宋体" w:cs="宋体"/>
          <w:b/>
          <w:bCs/>
          <w:sz w:val="24"/>
          <w:szCs w:val="24"/>
          <w:lang w:val="zh-CN"/>
        </w:rPr>
        <w:t>根据关于推动解决政府采购异常低价问题相关工作的通知（苏财购〔2025〕62号）</w:t>
      </w:r>
    </w:p>
    <w:p w14:paraId="69355FCD">
      <w:pPr>
        <w:ind w:firstLine="422"/>
        <w:rPr>
          <w:rFonts w:ascii="宋体" w:hAnsi="宋体" w:eastAsia="宋体" w:cs="宋体"/>
          <w:b/>
          <w:bCs/>
          <w:sz w:val="24"/>
          <w:szCs w:val="24"/>
          <w:lang w:val="zh-CN"/>
        </w:rPr>
      </w:pPr>
      <w:r>
        <w:rPr>
          <w:rFonts w:hint="eastAsia" w:ascii="宋体" w:hAnsi="宋体" w:eastAsia="宋体" w:cs="宋体"/>
          <w:b/>
          <w:bCs/>
          <w:sz w:val="24"/>
          <w:szCs w:val="24"/>
          <w:lang w:val="zh-CN"/>
        </w:rPr>
        <w:t>采购人应在采购文件中明确评审委员会启动异常低价投标（响应）审查的情形和具体要求，包括：</w:t>
      </w:r>
    </w:p>
    <w:p w14:paraId="18EA00A4">
      <w:pPr>
        <w:ind w:firstLine="422"/>
        <w:rPr>
          <w:rFonts w:ascii="宋体" w:hAnsi="宋体" w:eastAsia="宋体" w:cs="宋体"/>
          <w:b/>
          <w:bCs/>
          <w:sz w:val="24"/>
          <w:szCs w:val="24"/>
          <w:lang w:val="zh-CN"/>
        </w:rPr>
      </w:pPr>
      <w:r>
        <w:rPr>
          <w:rFonts w:hint="eastAsia" w:ascii="宋体" w:hAnsi="宋体" w:eastAsia="宋体" w:cs="宋体"/>
          <w:b/>
          <w:bCs/>
          <w:sz w:val="24"/>
          <w:szCs w:val="24"/>
          <w:lang w:val="zh-CN"/>
        </w:rPr>
        <w:t>（一）评审过程中出现下列情形之一的，评审委员会应当启动异常低价投标（响应）审查程序：</w:t>
      </w:r>
    </w:p>
    <w:p w14:paraId="588C4014">
      <w:pPr>
        <w:ind w:firstLine="422"/>
        <w:rPr>
          <w:rFonts w:ascii="宋体" w:hAnsi="宋体" w:eastAsia="宋体" w:cs="宋体"/>
          <w:b/>
          <w:bCs/>
          <w:sz w:val="24"/>
          <w:szCs w:val="24"/>
          <w:lang w:val="zh-CN"/>
        </w:rPr>
      </w:pPr>
      <w:r>
        <w:rPr>
          <w:rFonts w:ascii="宋体" w:hAnsi="宋体" w:eastAsia="宋体" w:cs="宋体"/>
          <w:b/>
          <w:bCs/>
          <w:sz w:val="24"/>
          <w:szCs w:val="24"/>
          <w:lang w:val="zh-CN"/>
        </w:rPr>
        <w:t>1</w:t>
      </w:r>
      <w:r>
        <w:rPr>
          <w:rFonts w:hint="eastAsia" w:ascii="宋体" w:hAnsi="宋体" w:eastAsia="宋体" w:cs="宋体"/>
          <w:b/>
          <w:bCs/>
          <w:sz w:val="24"/>
          <w:szCs w:val="24"/>
          <w:lang w:val="zh-CN"/>
        </w:rPr>
        <w:t>．投标（响应）报价低于采购项目预算</w:t>
      </w:r>
      <w:r>
        <w:rPr>
          <w:rFonts w:ascii="宋体" w:hAnsi="宋体" w:eastAsia="宋体" w:cs="宋体"/>
          <w:b/>
          <w:bCs/>
          <w:sz w:val="24"/>
          <w:szCs w:val="24"/>
          <w:lang w:val="zh-CN"/>
        </w:rPr>
        <w:t>50%</w:t>
      </w:r>
      <w:r>
        <w:rPr>
          <w:rFonts w:hint="eastAsia" w:ascii="宋体" w:hAnsi="宋体" w:eastAsia="宋体" w:cs="宋体"/>
          <w:b/>
          <w:bCs/>
          <w:sz w:val="24"/>
          <w:szCs w:val="24"/>
          <w:lang w:val="zh-CN"/>
        </w:rPr>
        <w:t>的，即投标（响应）报价</w:t>
      </w:r>
      <w:r>
        <w:rPr>
          <w:rFonts w:ascii="宋体" w:hAnsi="宋体" w:eastAsia="宋体" w:cs="宋体"/>
          <w:b/>
          <w:bCs/>
          <w:sz w:val="24"/>
          <w:szCs w:val="24"/>
          <w:lang w:val="zh-CN"/>
        </w:rPr>
        <w:t>&lt;</w:t>
      </w:r>
      <w:r>
        <w:rPr>
          <w:rFonts w:hint="eastAsia" w:ascii="宋体" w:hAnsi="宋体" w:eastAsia="宋体" w:cs="宋体"/>
          <w:b/>
          <w:bCs/>
          <w:sz w:val="24"/>
          <w:szCs w:val="24"/>
          <w:lang w:val="zh-CN"/>
        </w:rPr>
        <w:t>采购项目预算×</w:t>
      </w:r>
      <w:r>
        <w:rPr>
          <w:rFonts w:ascii="宋体" w:hAnsi="宋体" w:eastAsia="宋体" w:cs="宋体"/>
          <w:b/>
          <w:bCs/>
          <w:sz w:val="24"/>
          <w:szCs w:val="24"/>
          <w:lang w:val="zh-CN"/>
        </w:rPr>
        <w:t>50%</w:t>
      </w:r>
      <w:r>
        <w:rPr>
          <w:rFonts w:hint="eastAsia" w:ascii="宋体" w:hAnsi="宋体" w:eastAsia="宋体" w:cs="宋体"/>
          <w:b/>
          <w:bCs/>
          <w:sz w:val="24"/>
          <w:szCs w:val="24"/>
          <w:lang w:val="zh-CN"/>
        </w:rPr>
        <w:t>；</w:t>
      </w:r>
    </w:p>
    <w:p w14:paraId="03DC9A1E">
      <w:pPr>
        <w:ind w:firstLine="422"/>
        <w:rPr>
          <w:rFonts w:ascii="宋体" w:hAnsi="宋体" w:eastAsia="宋体" w:cs="宋体"/>
          <w:b/>
          <w:bCs/>
          <w:sz w:val="24"/>
          <w:szCs w:val="24"/>
          <w:lang w:val="zh-CN"/>
        </w:rPr>
      </w:pPr>
      <w:r>
        <w:rPr>
          <w:rFonts w:ascii="宋体" w:hAnsi="宋体" w:eastAsia="宋体" w:cs="宋体"/>
          <w:b/>
          <w:bCs/>
          <w:sz w:val="24"/>
          <w:szCs w:val="24"/>
          <w:lang w:val="zh-CN"/>
        </w:rPr>
        <w:t>2</w:t>
      </w:r>
      <w:r>
        <w:rPr>
          <w:rFonts w:hint="eastAsia" w:ascii="宋体" w:hAnsi="宋体" w:eastAsia="宋体" w:cs="宋体"/>
          <w:b/>
          <w:bCs/>
          <w:sz w:val="24"/>
          <w:szCs w:val="24"/>
          <w:lang w:val="zh-CN"/>
        </w:rPr>
        <w:t>．投标（响应）报价低于采购项目最高限价</w:t>
      </w:r>
      <w:r>
        <w:rPr>
          <w:rFonts w:ascii="宋体" w:hAnsi="宋体" w:eastAsia="宋体" w:cs="宋体"/>
          <w:b/>
          <w:bCs/>
          <w:sz w:val="24"/>
          <w:szCs w:val="24"/>
          <w:lang w:val="zh-CN"/>
        </w:rPr>
        <w:t>45%</w:t>
      </w:r>
      <w:r>
        <w:rPr>
          <w:rFonts w:hint="eastAsia" w:ascii="宋体" w:hAnsi="宋体" w:eastAsia="宋体" w:cs="宋体"/>
          <w:b/>
          <w:bCs/>
          <w:sz w:val="24"/>
          <w:szCs w:val="24"/>
          <w:lang w:val="zh-CN"/>
        </w:rPr>
        <w:t>的，即投标（响应）报价&lt;采购项目最高限价×</w:t>
      </w:r>
      <w:r>
        <w:rPr>
          <w:rFonts w:ascii="宋体" w:hAnsi="宋体" w:eastAsia="宋体" w:cs="宋体"/>
          <w:b/>
          <w:bCs/>
          <w:sz w:val="24"/>
          <w:szCs w:val="24"/>
          <w:lang w:val="zh-CN"/>
        </w:rPr>
        <w:t>45%</w:t>
      </w:r>
      <w:r>
        <w:rPr>
          <w:rFonts w:hint="eastAsia" w:ascii="宋体" w:hAnsi="宋体" w:eastAsia="宋体" w:cs="宋体"/>
          <w:b/>
          <w:bCs/>
          <w:sz w:val="24"/>
          <w:szCs w:val="24"/>
          <w:lang w:val="zh-CN"/>
        </w:rPr>
        <w:t>；</w:t>
      </w:r>
    </w:p>
    <w:p w14:paraId="228D1286">
      <w:pPr>
        <w:ind w:firstLine="422"/>
        <w:rPr>
          <w:rFonts w:ascii="宋体" w:hAnsi="宋体" w:eastAsia="宋体" w:cs="宋体"/>
          <w:b/>
          <w:bCs/>
          <w:sz w:val="24"/>
          <w:szCs w:val="24"/>
          <w:lang w:val="zh-CN"/>
        </w:rPr>
      </w:pPr>
      <w:r>
        <w:rPr>
          <w:rFonts w:ascii="宋体" w:hAnsi="宋体" w:eastAsia="宋体" w:cs="宋体"/>
          <w:b/>
          <w:bCs/>
          <w:sz w:val="24"/>
          <w:szCs w:val="24"/>
          <w:lang w:val="zh-CN"/>
        </w:rPr>
        <w:t>3</w:t>
      </w:r>
      <w:r>
        <w:rPr>
          <w:rFonts w:hint="eastAsia" w:ascii="宋体" w:hAnsi="宋体" w:eastAsia="宋体" w:cs="宋体"/>
          <w:b/>
          <w:bCs/>
          <w:sz w:val="24"/>
          <w:szCs w:val="24"/>
          <w:lang w:val="zh-CN"/>
        </w:rPr>
        <w:t>.</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评审委员会认定的供应商报价过低、有可能影响产品质量或者不能诚信履约的其他情形。</w:t>
      </w:r>
    </w:p>
    <w:p w14:paraId="35B09F0B">
      <w:pPr>
        <w:ind w:firstLine="422"/>
        <w:rPr>
          <w:rFonts w:ascii="宋体" w:hAnsi="宋体" w:eastAsia="宋体" w:cs="宋体"/>
          <w:b/>
          <w:bCs/>
          <w:sz w:val="24"/>
          <w:szCs w:val="24"/>
          <w:lang w:val="zh-CN"/>
        </w:rPr>
      </w:pPr>
      <w:r>
        <w:rPr>
          <w:rFonts w:hint="eastAsia" w:ascii="宋体" w:hAnsi="宋体" w:eastAsia="宋体" w:cs="宋体"/>
          <w:b/>
          <w:bCs/>
          <w:sz w:val="24"/>
          <w:szCs w:val="24"/>
          <w:lang w:val="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5017F2B">
      <w:pPr>
        <w:spacing w:line="276" w:lineRule="auto"/>
        <w:ind w:firstLine="420"/>
        <w:rPr>
          <w:rFonts w:hint="eastAsia" w:ascii="宋体" w:hAnsi="宋体" w:eastAsia="宋体" w:cs="Trebuchet MS"/>
          <w:b/>
          <w:bCs/>
          <w:sz w:val="24"/>
          <w:szCs w:val="24"/>
        </w:rPr>
      </w:pPr>
      <w:r>
        <w:rPr>
          <w:rFonts w:hint="eastAsia" w:ascii="宋体" w:hAnsi="宋体" w:eastAsia="宋体" w:cs="Trebuchet MS"/>
          <w:b/>
          <w:bCs/>
          <w:sz w:val="24"/>
          <w:szCs w:val="24"/>
          <w:lang w:val="zh-CN"/>
        </w:rPr>
        <w:t>8、磋商保证金：本项目不收取保证金。</w:t>
      </w:r>
    </w:p>
    <w:p w14:paraId="3527E78A">
      <w:pPr>
        <w:pStyle w:val="411"/>
        <w:spacing w:line="276" w:lineRule="auto"/>
        <w:rPr>
          <w:rFonts w:hint="eastAsia" w:ascii="宋体" w:hAnsi="宋体" w:eastAsia="宋体"/>
          <w:bCs/>
          <w:sz w:val="24"/>
          <w:szCs w:val="24"/>
          <w:shd w:val="clear" w:color="auto" w:fill="FFFFFF"/>
        </w:rPr>
      </w:pPr>
      <w:bookmarkStart w:id="20" w:name="_Toc85525786"/>
      <w:bookmarkStart w:id="21" w:name="_Toc190329534"/>
      <w:r>
        <w:rPr>
          <w:rFonts w:hint="eastAsia" w:ascii="宋体" w:hAnsi="宋体" w:eastAsia="宋体"/>
          <w:sz w:val="24"/>
          <w:szCs w:val="24"/>
          <w:shd w:val="clear" w:color="auto" w:fill="FFFFFF"/>
        </w:rPr>
        <w:t>三、电子磋商响应文件的</w:t>
      </w:r>
      <w:bookmarkEnd w:id="20"/>
      <w:r>
        <w:rPr>
          <w:rFonts w:hint="eastAsia" w:ascii="宋体" w:hAnsi="宋体" w:eastAsia="宋体"/>
          <w:sz w:val="24"/>
          <w:szCs w:val="24"/>
          <w:shd w:val="clear" w:color="auto" w:fill="FFFFFF"/>
        </w:rPr>
        <w:t>提交</w:t>
      </w:r>
      <w:bookmarkEnd w:id="21"/>
    </w:p>
    <w:p w14:paraId="45B352F2">
      <w:pPr>
        <w:spacing w:line="276" w:lineRule="auto"/>
        <w:ind w:firstLine="420"/>
        <w:rPr>
          <w:rFonts w:hint="eastAsia" w:ascii="宋体" w:hAnsi="宋体" w:eastAsia="宋体" w:cs="Trebuchet MS"/>
          <w:bCs/>
          <w:sz w:val="24"/>
          <w:szCs w:val="24"/>
          <w:shd w:val="clear" w:color="auto" w:fill="FFFFFF"/>
        </w:rPr>
      </w:pPr>
      <w:r>
        <w:rPr>
          <w:rFonts w:hint="eastAsia" w:ascii="宋体" w:hAnsi="宋体" w:eastAsia="宋体" w:cs="Trebuchet MS"/>
          <w:b/>
          <w:sz w:val="24"/>
          <w:szCs w:val="24"/>
          <w:shd w:val="clear" w:color="auto" w:fill="FFFFFF"/>
        </w:rPr>
        <w:t>9、电子磋商响应文件的密封和提交</w:t>
      </w:r>
    </w:p>
    <w:p w14:paraId="2B3F9AB6">
      <w:pPr>
        <w:spacing w:line="276" w:lineRule="auto"/>
        <w:ind w:firstLine="420"/>
        <w:jc w:val="left"/>
        <w:rPr>
          <w:rFonts w:hint="eastAsia" w:ascii="宋体" w:hAnsi="宋体" w:eastAsia="宋体"/>
          <w:bCs/>
          <w:sz w:val="24"/>
          <w:szCs w:val="24"/>
        </w:rPr>
      </w:pPr>
      <w:r>
        <w:rPr>
          <w:rFonts w:hint="eastAsia" w:ascii="宋体" w:hAnsi="宋体" w:eastAsia="宋体"/>
          <w:bCs/>
          <w:sz w:val="24"/>
          <w:szCs w:val="24"/>
        </w:rPr>
        <w:t>9.1供应商应当按照《操作手册》规定，在磋商公告规定的提交响应文件截止时间前制作并上传电子响应文件。</w:t>
      </w:r>
    </w:p>
    <w:p w14:paraId="16C30E67">
      <w:pPr>
        <w:spacing w:line="276" w:lineRule="auto"/>
        <w:ind w:firstLine="420"/>
        <w:jc w:val="left"/>
        <w:rPr>
          <w:rFonts w:hint="eastAsia" w:ascii="宋体" w:hAnsi="宋体" w:eastAsia="宋体"/>
          <w:bCs/>
          <w:sz w:val="24"/>
          <w:szCs w:val="24"/>
        </w:rPr>
      </w:pPr>
      <w:r>
        <w:rPr>
          <w:rFonts w:hint="eastAsia" w:ascii="宋体" w:hAnsi="宋体" w:eastAsia="宋体"/>
          <w:bCs/>
          <w:sz w:val="24"/>
          <w:szCs w:val="24"/>
        </w:rPr>
        <w:t>9.2供应商应充分考虑网络环境、网络带宽等因素可能对磋商产生的影响，如因供应商自身原因造成的电子响应文件上传不成功的，按照本磋商文件第二章第14.5条规定做无效响应处理。</w:t>
      </w:r>
    </w:p>
    <w:p w14:paraId="58A8CE35">
      <w:pPr>
        <w:pStyle w:val="263"/>
        <w:spacing w:line="276" w:lineRule="auto"/>
        <w:ind w:firstLine="420"/>
        <w:rPr>
          <w:rFonts w:hint="eastAsia" w:ascii="宋体" w:hAnsi="宋体" w:eastAsia="宋体"/>
          <w:sz w:val="24"/>
          <w:szCs w:val="24"/>
          <w:lang w:val="en-US"/>
        </w:rPr>
      </w:pPr>
      <w:r>
        <w:rPr>
          <w:rFonts w:hint="eastAsia" w:ascii="宋体" w:hAnsi="宋体" w:eastAsia="宋体"/>
          <w:bCs/>
          <w:sz w:val="24"/>
          <w:szCs w:val="24"/>
          <w:lang w:val="en-US"/>
        </w:rPr>
        <w:t>9.3有下列情形之一的电子磋商响应文件将拒收：</w:t>
      </w:r>
    </w:p>
    <w:p w14:paraId="6CEC61EF">
      <w:pPr>
        <w:spacing w:line="276" w:lineRule="auto"/>
        <w:ind w:firstLine="420"/>
        <w:rPr>
          <w:rFonts w:hint="eastAsia" w:ascii="宋体" w:hAnsi="宋体" w:eastAsia="宋体"/>
          <w:bCs/>
          <w:sz w:val="24"/>
          <w:szCs w:val="24"/>
        </w:rPr>
      </w:pPr>
      <w:r>
        <w:rPr>
          <w:rFonts w:hint="eastAsia" w:ascii="宋体" w:hAnsi="宋体" w:eastAsia="宋体"/>
          <w:bCs/>
          <w:sz w:val="24"/>
          <w:szCs w:val="24"/>
        </w:rPr>
        <w:t>（1）在磋商文件要求提交电子磋商响应文件的截止时间之后上传送达的。</w:t>
      </w:r>
    </w:p>
    <w:p w14:paraId="1031CE8A">
      <w:pPr>
        <w:spacing w:line="276" w:lineRule="auto"/>
        <w:ind w:firstLine="422"/>
        <w:jc w:val="left"/>
        <w:rPr>
          <w:rFonts w:hint="eastAsia" w:ascii="宋体" w:hAnsi="宋体" w:eastAsia="宋体" w:cs="宋体"/>
          <w:b/>
          <w:bCs/>
          <w:sz w:val="24"/>
          <w:szCs w:val="24"/>
          <w:lang w:val="zh-CN"/>
        </w:rPr>
      </w:pPr>
      <w:r>
        <w:rPr>
          <w:rFonts w:hint="eastAsia" w:ascii="宋体" w:hAnsi="宋体" w:eastAsia="宋体" w:cs="宋体"/>
          <w:b/>
          <w:bCs/>
          <w:sz w:val="24"/>
          <w:szCs w:val="24"/>
        </w:rPr>
        <w:t>10</w:t>
      </w:r>
      <w:r>
        <w:rPr>
          <w:rFonts w:hint="eastAsia" w:ascii="宋体" w:hAnsi="宋体" w:eastAsia="宋体" w:cs="宋体"/>
          <w:b/>
          <w:bCs/>
          <w:sz w:val="24"/>
          <w:szCs w:val="24"/>
          <w:lang w:val="zh-CN"/>
        </w:rPr>
        <w:t>.电子响应文件的撤回和修改</w:t>
      </w:r>
    </w:p>
    <w:p w14:paraId="7D4E3ED8">
      <w:pPr>
        <w:spacing w:line="276" w:lineRule="auto"/>
        <w:ind w:firstLine="420"/>
        <w:jc w:val="left"/>
        <w:rPr>
          <w:rFonts w:hint="eastAsia" w:ascii="宋体" w:hAnsi="宋体" w:eastAsia="宋体" w:cs="宋体"/>
          <w:sz w:val="24"/>
          <w:szCs w:val="24"/>
          <w:lang w:val="zh-CN"/>
        </w:rPr>
      </w:pPr>
      <w:r>
        <w:rPr>
          <w:rFonts w:hint="eastAsia" w:ascii="宋体" w:hAnsi="宋体" w:eastAsia="宋体" w:cs="宋体"/>
          <w:sz w:val="24"/>
          <w:szCs w:val="24"/>
        </w:rPr>
        <w:t>10</w:t>
      </w:r>
      <w:r>
        <w:rPr>
          <w:rFonts w:hint="eastAsia" w:ascii="宋体" w:hAnsi="宋体" w:eastAsia="宋体" w:cs="宋体"/>
          <w:sz w:val="24"/>
          <w:szCs w:val="24"/>
          <w:lang w:val="zh-CN"/>
        </w:rPr>
        <w:t>.1电子响应文件的撤回</w:t>
      </w:r>
    </w:p>
    <w:p w14:paraId="4054B815">
      <w:pPr>
        <w:spacing w:line="276" w:lineRule="auto"/>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（1）供应商可在提交响应文件截止时间前撤回其电子响应文件，具体操作方法见《操作手册》。</w:t>
      </w:r>
    </w:p>
    <w:p w14:paraId="30A741E3">
      <w:pPr>
        <w:spacing w:line="276" w:lineRule="auto"/>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（2）供应商撤回电子响应文件，则认为其不再参与本项目磋商活动。</w:t>
      </w:r>
    </w:p>
    <w:p w14:paraId="057011E0">
      <w:pPr>
        <w:spacing w:line="276" w:lineRule="auto"/>
        <w:ind w:firstLine="420"/>
        <w:jc w:val="left"/>
        <w:rPr>
          <w:rFonts w:hint="eastAsia" w:ascii="宋体" w:hAnsi="宋体" w:eastAsia="宋体" w:cs="宋体"/>
          <w:sz w:val="24"/>
          <w:szCs w:val="24"/>
          <w:lang w:val="zh-CN"/>
        </w:rPr>
      </w:pPr>
      <w:r>
        <w:rPr>
          <w:rFonts w:hint="eastAsia" w:ascii="宋体" w:hAnsi="宋体" w:eastAsia="宋体" w:cs="宋体"/>
          <w:sz w:val="24"/>
          <w:szCs w:val="24"/>
        </w:rPr>
        <w:t>10</w:t>
      </w:r>
      <w:r>
        <w:rPr>
          <w:rFonts w:hint="eastAsia" w:ascii="宋体" w:hAnsi="宋体" w:eastAsia="宋体" w:cs="宋体"/>
          <w:sz w:val="24"/>
          <w:szCs w:val="24"/>
          <w:lang w:val="zh-CN"/>
        </w:rPr>
        <w:t>.2响应文件的修改</w:t>
      </w:r>
    </w:p>
    <w:p w14:paraId="1D148F6D">
      <w:pPr>
        <w:spacing w:line="276" w:lineRule="auto"/>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（1）供应商可在提交响应文件截止时间前对其电子响应文件进行修改，具体操作方法见《操作手册》。</w:t>
      </w:r>
    </w:p>
    <w:p w14:paraId="508468A1">
      <w:pPr>
        <w:spacing w:line="276" w:lineRule="auto"/>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（2）提交响应文件截止时间之后，供应商不得对其电子响应文件作任何修改。</w:t>
      </w:r>
    </w:p>
    <w:p w14:paraId="255150D0">
      <w:pPr>
        <w:spacing w:line="276" w:lineRule="auto"/>
        <w:ind w:firstLine="420"/>
        <w:jc w:val="left"/>
        <w:rPr>
          <w:rFonts w:ascii="宋体" w:hAnsi="宋体" w:eastAsia="宋体" w:cs="宋体"/>
          <w:sz w:val="24"/>
          <w:szCs w:val="24"/>
          <w:lang w:val="zh-CN"/>
        </w:rPr>
      </w:pPr>
      <w:r>
        <w:rPr>
          <w:rFonts w:hint="eastAsia" w:ascii="宋体" w:hAnsi="宋体" w:eastAsia="宋体" w:cs="宋体"/>
          <w:sz w:val="24"/>
          <w:szCs w:val="24"/>
        </w:rPr>
        <w:t>10</w:t>
      </w:r>
      <w:r>
        <w:rPr>
          <w:rFonts w:hint="eastAsia" w:ascii="宋体" w:hAnsi="宋体" w:eastAsia="宋体" w:cs="宋体"/>
          <w:sz w:val="24"/>
          <w:szCs w:val="24"/>
          <w:lang w:val="zh-CN"/>
        </w:rPr>
        <w:t>.3在提交响应文件截止时间至磋商文件中规定的磋商有效期满之间的这段时间内，供应商不得撤回其响应文件。</w:t>
      </w:r>
    </w:p>
    <w:p w14:paraId="7D35C5D3">
      <w:pPr>
        <w:spacing w:line="276" w:lineRule="auto"/>
        <w:ind w:firstLine="420"/>
        <w:rPr>
          <w:rFonts w:ascii="宋体" w:hAnsi="宋体" w:eastAsia="宋体" w:cs="Trebuchet MS"/>
          <w:bCs/>
          <w:sz w:val="24"/>
          <w:szCs w:val="24"/>
        </w:rPr>
      </w:pPr>
      <w:r>
        <w:rPr>
          <w:rFonts w:hint="eastAsia" w:ascii="宋体" w:hAnsi="宋体" w:eastAsia="宋体" w:cs="Trebuchet MS"/>
          <w:b/>
          <w:sz w:val="24"/>
          <w:szCs w:val="24"/>
        </w:rPr>
        <w:t>11、诚实信用</w:t>
      </w:r>
    </w:p>
    <w:p w14:paraId="7B2749D0">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11.1供应商之间不得相互串通报价，不得妨碍其他供应商的公平竞争，不得损害采购单位或者其他供应商的合法权益。</w:t>
      </w:r>
    </w:p>
    <w:p w14:paraId="32CA86DA">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11.2供应商不得以向工作人员、磋商</w:t>
      </w:r>
      <w:r>
        <w:rPr>
          <w:rFonts w:hint="eastAsia" w:ascii="宋体" w:hAnsi="宋体" w:eastAsia="宋体" w:cs="Trebuchet MS"/>
          <w:sz w:val="24"/>
          <w:szCs w:val="24"/>
          <w:lang w:val="zh-CN"/>
        </w:rPr>
        <w:t>委员会</w:t>
      </w:r>
      <w:r>
        <w:rPr>
          <w:rFonts w:hint="eastAsia" w:ascii="宋体" w:hAnsi="宋体" w:eastAsia="宋体" w:cs="Trebuchet MS"/>
          <w:bCs/>
          <w:sz w:val="24"/>
          <w:szCs w:val="24"/>
        </w:rPr>
        <w:t>成员行贿或者采取其他不正当手段谋取成交。</w:t>
      </w:r>
    </w:p>
    <w:p w14:paraId="01733C11">
      <w:pPr>
        <w:pStyle w:val="411"/>
        <w:spacing w:line="276" w:lineRule="auto"/>
        <w:rPr>
          <w:rFonts w:ascii="宋体" w:hAnsi="宋体" w:eastAsia="宋体"/>
          <w:sz w:val="24"/>
          <w:szCs w:val="24"/>
        </w:rPr>
      </w:pPr>
      <w:bookmarkStart w:id="22" w:name="_Toc491954287"/>
      <w:bookmarkStart w:id="23" w:name="_Toc85525787"/>
      <w:bookmarkStart w:id="24" w:name="_Toc190329535"/>
      <w:bookmarkStart w:id="25" w:name="_Toc488660168"/>
      <w:r>
        <w:rPr>
          <w:rFonts w:hint="eastAsia" w:ascii="宋体" w:hAnsi="宋体" w:eastAsia="宋体"/>
          <w:sz w:val="24"/>
          <w:szCs w:val="24"/>
        </w:rPr>
        <w:t>四、磋商</w:t>
      </w:r>
      <w:bookmarkEnd w:id="22"/>
      <w:bookmarkEnd w:id="23"/>
      <w:bookmarkEnd w:id="24"/>
      <w:bookmarkEnd w:id="25"/>
    </w:p>
    <w:p w14:paraId="477A42DC">
      <w:pPr>
        <w:spacing w:line="276" w:lineRule="auto"/>
        <w:ind w:firstLine="422"/>
        <w:jc w:val="left"/>
        <w:rPr>
          <w:rFonts w:hint="eastAsia" w:ascii="宋体" w:hAnsi="宋体" w:eastAsia="宋体" w:cs="宋体"/>
          <w:b/>
          <w:bCs/>
          <w:sz w:val="24"/>
          <w:szCs w:val="24"/>
          <w:lang w:val="zh-CN"/>
        </w:rPr>
      </w:pPr>
      <w:r>
        <w:rPr>
          <w:rFonts w:hint="eastAsia" w:ascii="宋体" w:hAnsi="宋体" w:eastAsia="宋体" w:cs="宋体"/>
          <w:b/>
          <w:bCs/>
          <w:sz w:val="24"/>
          <w:szCs w:val="24"/>
        </w:rPr>
        <w:t>12</w:t>
      </w:r>
      <w:r>
        <w:rPr>
          <w:rFonts w:hint="eastAsia" w:ascii="宋体" w:hAnsi="宋体" w:eastAsia="宋体" w:cs="宋体"/>
          <w:b/>
          <w:bCs/>
          <w:sz w:val="24"/>
          <w:szCs w:val="24"/>
          <w:lang w:val="zh-CN"/>
        </w:rPr>
        <w:t>.</w:t>
      </w:r>
      <w:r>
        <w:rPr>
          <w:rFonts w:hint="eastAsia" w:ascii="宋体" w:hAnsi="宋体" w:eastAsia="宋体" w:cs="Trebuchet MS"/>
          <w:b/>
          <w:sz w:val="24"/>
          <w:szCs w:val="24"/>
          <w:lang w:bidi="ar"/>
        </w:rPr>
        <w:t>磋商响应文件</w:t>
      </w:r>
      <w:r>
        <w:rPr>
          <w:rFonts w:hint="eastAsia" w:ascii="宋体" w:hAnsi="宋体" w:eastAsia="宋体" w:cs="Trebuchet MS"/>
          <w:b/>
          <w:sz w:val="24"/>
          <w:szCs w:val="24"/>
          <w:lang w:val="zh-CN" w:bidi="ar"/>
        </w:rPr>
        <w:t>解密</w:t>
      </w:r>
    </w:p>
    <w:p w14:paraId="55B0AA36">
      <w:pPr>
        <w:spacing w:line="276" w:lineRule="auto"/>
        <w:ind w:firstLine="420"/>
        <w:rPr>
          <w:rFonts w:hint="eastAsia" w:ascii="宋体" w:hAnsi="宋体" w:eastAsia="宋体" w:cs="Trebuchet MS"/>
          <w:sz w:val="24"/>
          <w:szCs w:val="24"/>
          <w:lang w:val="zh-CN" w:bidi="ar"/>
        </w:rPr>
      </w:pPr>
      <w:r>
        <w:rPr>
          <w:rFonts w:hint="eastAsia" w:ascii="宋体" w:hAnsi="宋体" w:eastAsia="宋体" w:cs="Trebuchet MS"/>
          <w:sz w:val="24"/>
          <w:szCs w:val="24"/>
          <w:lang w:bidi="ar"/>
        </w:rPr>
        <w:t>12</w:t>
      </w:r>
      <w:r>
        <w:rPr>
          <w:rFonts w:hint="eastAsia" w:ascii="宋体" w:hAnsi="宋体" w:eastAsia="宋体" w:cs="Trebuchet MS"/>
          <w:sz w:val="24"/>
          <w:szCs w:val="24"/>
          <w:lang w:val="zh-CN" w:bidi="ar"/>
        </w:rPr>
        <w:t>.1供应商应当按照《操作手册》规定，在苏采云系统规定的时间内对磋商响应文件进行解密。</w:t>
      </w:r>
    </w:p>
    <w:p w14:paraId="35087BFC">
      <w:pPr>
        <w:spacing w:line="276" w:lineRule="auto"/>
        <w:ind w:firstLine="420"/>
        <w:rPr>
          <w:rFonts w:hint="eastAsia" w:ascii="宋体" w:hAnsi="宋体" w:eastAsia="宋体" w:cs="Trebuchet MS"/>
          <w:b/>
          <w:bCs/>
          <w:sz w:val="24"/>
          <w:szCs w:val="24"/>
          <w:lang w:val="zh-CN"/>
        </w:rPr>
      </w:pPr>
      <w:r>
        <w:rPr>
          <w:rFonts w:hint="eastAsia" w:ascii="宋体" w:hAnsi="宋体" w:eastAsia="宋体" w:cs="Trebuchet MS"/>
          <w:b/>
          <w:bCs/>
          <w:sz w:val="24"/>
          <w:szCs w:val="24"/>
          <w:lang w:val="zh-CN"/>
        </w:rPr>
        <w:t>1</w:t>
      </w:r>
      <w:r>
        <w:rPr>
          <w:rFonts w:hint="eastAsia" w:ascii="宋体" w:hAnsi="宋体" w:eastAsia="宋体" w:cs="Trebuchet MS"/>
          <w:b/>
          <w:bCs/>
          <w:sz w:val="24"/>
          <w:szCs w:val="24"/>
        </w:rPr>
        <w:t>3</w:t>
      </w:r>
      <w:r>
        <w:rPr>
          <w:rFonts w:hint="eastAsia" w:ascii="宋体" w:hAnsi="宋体" w:eastAsia="宋体" w:cs="Trebuchet MS"/>
          <w:b/>
          <w:sz w:val="24"/>
          <w:szCs w:val="24"/>
          <w:lang w:bidi="ar"/>
        </w:rPr>
        <w:t>磋商组织</w:t>
      </w:r>
    </w:p>
    <w:p w14:paraId="3694F83F">
      <w:pPr>
        <w:spacing w:line="276" w:lineRule="auto"/>
        <w:ind w:firstLine="420"/>
        <w:rPr>
          <w:rFonts w:hint="eastAsia" w:ascii="宋体" w:hAnsi="宋体" w:eastAsia="宋体" w:cs="Trebuchet MS"/>
          <w:sz w:val="24"/>
          <w:szCs w:val="24"/>
        </w:rPr>
      </w:pPr>
      <w:r>
        <w:rPr>
          <w:rFonts w:hint="eastAsia" w:ascii="宋体" w:hAnsi="宋体" w:eastAsia="宋体" w:cs="Trebuchet MS"/>
          <w:sz w:val="24"/>
          <w:szCs w:val="24"/>
          <w:lang w:bidi="ar"/>
        </w:rPr>
        <w:t>13.1在提交磋商响应文件时间截止后，采购代理机构在规定的时间和平台组织磋商小组与供应商进行磋商。</w:t>
      </w:r>
    </w:p>
    <w:p w14:paraId="46320FC8">
      <w:pPr>
        <w:spacing w:line="276" w:lineRule="auto"/>
        <w:ind w:firstLine="420"/>
        <w:rPr>
          <w:rFonts w:hint="eastAsia" w:ascii="宋体" w:hAnsi="宋体" w:eastAsia="宋体" w:cs="Trebuchet MS"/>
          <w:sz w:val="24"/>
          <w:szCs w:val="24"/>
        </w:rPr>
      </w:pPr>
      <w:r>
        <w:rPr>
          <w:rFonts w:hint="eastAsia" w:ascii="宋体" w:hAnsi="宋体" w:eastAsia="宋体" w:cs="Trebuchet MS"/>
          <w:sz w:val="24"/>
          <w:szCs w:val="24"/>
          <w:lang w:bidi="ar"/>
        </w:rPr>
        <w:t>13.2磋商工作由采购代理机构负责组织，具体磋商事务由依法组建的磋商小组负责。</w:t>
      </w:r>
    </w:p>
    <w:p w14:paraId="3862CC6C">
      <w:pPr>
        <w:spacing w:line="276" w:lineRule="auto"/>
        <w:ind w:firstLine="422"/>
        <w:rPr>
          <w:rFonts w:ascii="宋体" w:hAnsi="宋体" w:eastAsia="宋体" w:cs="Trebuchet MS"/>
          <w:b/>
          <w:bCs/>
          <w:sz w:val="24"/>
          <w:szCs w:val="24"/>
          <w:lang w:val="zh-CN"/>
        </w:rPr>
      </w:pPr>
      <w:r>
        <w:rPr>
          <w:rFonts w:hint="eastAsia" w:ascii="宋体" w:hAnsi="宋体" w:eastAsia="宋体" w:cs="Trebuchet MS"/>
          <w:b/>
          <w:bCs/>
          <w:sz w:val="24"/>
          <w:szCs w:val="24"/>
          <w:lang w:val="zh-CN"/>
        </w:rPr>
        <w:t>1</w:t>
      </w:r>
      <w:r>
        <w:rPr>
          <w:rFonts w:hint="eastAsia" w:ascii="宋体" w:hAnsi="宋体" w:eastAsia="宋体" w:cs="Trebuchet MS"/>
          <w:b/>
          <w:bCs/>
          <w:sz w:val="24"/>
          <w:szCs w:val="24"/>
        </w:rPr>
        <w:t>4</w:t>
      </w:r>
      <w:r>
        <w:rPr>
          <w:rFonts w:hint="eastAsia" w:ascii="宋体" w:hAnsi="宋体" w:eastAsia="宋体" w:cs="Trebuchet MS"/>
          <w:b/>
          <w:sz w:val="24"/>
          <w:szCs w:val="24"/>
          <w:lang w:bidi="ar"/>
        </w:rPr>
        <w:t>磋商程序</w:t>
      </w:r>
    </w:p>
    <w:p w14:paraId="7091E5E7">
      <w:pPr>
        <w:spacing w:line="276" w:lineRule="auto"/>
        <w:ind w:firstLine="420"/>
        <w:rPr>
          <w:rFonts w:hint="eastAsia" w:ascii="宋体" w:hAnsi="宋体" w:eastAsia="宋体" w:cs="宋体"/>
          <w:b/>
          <w:bCs/>
          <w:sz w:val="24"/>
          <w:szCs w:val="24"/>
          <w:lang w:val="zh-CN"/>
        </w:rPr>
      </w:pPr>
      <w:r>
        <w:rPr>
          <w:rFonts w:hint="eastAsia" w:ascii="宋体" w:hAnsi="宋体" w:eastAsia="宋体" w:cs="Trebuchet MS"/>
          <w:b/>
          <w:bCs/>
          <w:sz w:val="24"/>
          <w:szCs w:val="24"/>
          <w:lang w:val="zh-CN"/>
        </w:rPr>
        <w:t>1</w:t>
      </w:r>
      <w:r>
        <w:rPr>
          <w:rFonts w:hint="eastAsia" w:ascii="宋体" w:hAnsi="宋体" w:eastAsia="宋体" w:cs="Trebuchet MS"/>
          <w:b/>
          <w:bCs/>
          <w:sz w:val="24"/>
          <w:szCs w:val="24"/>
        </w:rPr>
        <w:t>4</w:t>
      </w:r>
      <w:r>
        <w:rPr>
          <w:rFonts w:hint="eastAsia" w:ascii="宋体" w:hAnsi="宋体" w:eastAsia="宋体" w:cs="Trebuchet MS"/>
          <w:b/>
          <w:bCs/>
          <w:sz w:val="24"/>
          <w:szCs w:val="24"/>
          <w:lang w:val="zh-CN"/>
        </w:rPr>
        <w:t>.1</w:t>
      </w:r>
      <w:r>
        <w:rPr>
          <w:rFonts w:hint="eastAsia" w:ascii="宋体" w:hAnsi="宋体" w:eastAsia="宋体" w:cs="Trebuchet MS"/>
          <w:sz w:val="24"/>
          <w:szCs w:val="24"/>
          <w:lang w:val="zh-CN"/>
        </w:rPr>
        <w:t>磋商</w:t>
      </w:r>
      <w:r>
        <w:rPr>
          <w:rFonts w:hint="eastAsia" w:ascii="宋体" w:hAnsi="宋体" w:eastAsia="宋体" w:cs="宋体"/>
          <w:sz w:val="24"/>
          <w:szCs w:val="24"/>
          <w:lang w:val="zh-CN"/>
        </w:rPr>
        <w:t>响应文件审查分为资格审查和符合性审查</w:t>
      </w:r>
    </w:p>
    <w:p w14:paraId="14FD20F6">
      <w:pPr>
        <w:spacing w:line="276" w:lineRule="auto"/>
        <w:ind w:firstLine="420"/>
        <w:rPr>
          <w:rFonts w:hint="eastAsia" w:ascii="宋体" w:hAnsi="宋体" w:eastAsia="宋体" w:cs="宋体"/>
          <w:sz w:val="24"/>
          <w:szCs w:val="24"/>
          <w:lang w:bidi="ar"/>
        </w:rPr>
      </w:pPr>
      <w:r>
        <w:rPr>
          <w:rFonts w:hint="eastAsia" w:ascii="宋体" w:hAnsi="宋体" w:eastAsia="宋体" w:cs="宋体"/>
          <w:sz w:val="24"/>
          <w:szCs w:val="24"/>
        </w:rPr>
        <w:t>14.1.1</w:t>
      </w:r>
      <w:r>
        <w:rPr>
          <w:rFonts w:hint="eastAsia" w:ascii="宋体" w:hAnsi="宋体" w:eastAsia="宋体" w:cs="宋体"/>
          <w:sz w:val="24"/>
          <w:szCs w:val="24"/>
          <w:lang w:val="zh-CN"/>
        </w:rPr>
        <w:t>资格审查。</w:t>
      </w:r>
      <w:r>
        <w:rPr>
          <w:rFonts w:hint="eastAsia" w:ascii="宋体" w:hAnsi="宋体" w:eastAsia="宋体" w:cs="宋体"/>
          <w:sz w:val="24"/>
          <w:szCs w:val="24"/>
        </w:rPr>
        <w:t>依据法律法规和竞争性磋商文件的规定，磋商小组对磋商响应文件中的资格证明文件进行审查，以确定供应商是否具备参加磋商的资格。</w:t>
      </w:r>
    </w:p>
    <w:p w14:paraId="625D5AA0">
      <w:pPr>
        <w:spacing w:line="276"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磋商小组进行资格审查时，将在“信用中国”网站查询供应商的信用记录，以确定供应商是否具备磋商资格,查询结果留存并归档。</w:t>
      </w:r>
    </w:p>
    <w:p w14:paraId="55B7ED53">
      <w:pPr>
        <w:spacing w:line="276" w:lineRule="auto"/>
        <w:ind w:firstLine="420"/>
        <w:rPr>
          <w:rFonts w:hint="eastAsia" w:ascii="宋体" w:hAnsi="宋体" w:eastAsia="宋体" w:cs="宋体"/>
          <w:sz w:val="24"/>
          <w:szCs w:val="24"/>
          <w:lang w:val="zh-CN"/>
        </w:rPr>
      </w:pPr>
      <w:r>
        <w:rPr>
          <w:rFonts w:hint="eastAsia" w:ascii="宋体" w:hAnsi="宋体" w:eastAsia="宋体" w:cs="宋体"/>
          <w:sz w:val="24"/>
          <w:szCs w:val="24"/>
          <w:lang w:val="zh-CN"/>
        </w:rPr>
        <w:t>接受联合体的项目，联合体成员存在不良信用记录的，视同联合体存在不良信用记录。</w:t>
      </w:r>
    </w:p>
    <w:p w14:paraId="750DD2AC">
      <w:pPr>
        <w:spacing w:line="276" w:lineRule="auto"/>
        <w:ind w:firstLine="484"/>
        <w:rPr>
          <w:rFonts w:hint="eastAsia" w:ascii="宋体" w:hAnsi="宋体" w:eastAsia="宋体" w:cs="宋体"/>
          <w:sz w:val="24"/>
          <w:szCs w:val="24"/>
          <w:lang w:val="zh-CN"/>
        </w:rPr>
      </w:pPr>
      <w:r>
        <w:rPr>
          <w:rFonts w:hint="eastAsia" w:ascii="宋体" w:hAnsi="宋体" w:eastAsia="宋体" w:cs="宋体"/>
          <w:sz w:val="24"/>
          <w:szCs w:val="24"/>
        </w:rPr>
        <w:t>14</w:t>
      </w:r>
      <w:r>
        <w:rPr>
          <w:rFonts w:hint="eastAsia" w:ascii="宋体" w:hAnsi="宋体" w:eastAsia="宋体" w:cs="宋体"/>
          <w:sz w:val="24"/>
          <w:szCs w:val="24"/>
          <w:lang w:val="zh-CN"/>
        </w:rPr>
        <w:t>.1.2符合性审查。依据竞争性磋商文件的规定，由磋商小组从有效性、完整性和对磋商文件的响应程度等方面对磋商响应文件进行审查，以确定是否对竞争性磋商文件的实质性要求作出响应。</w:t>
      </w:r>
    </w:p>
    <w:p w14:paraId="35673B63">
      <w:pPr>
        <w:spacing w:line="276" w:lineRule="auto"/>
        <w:ind w:firstLine="484"/>
        <w:rPr>
          <w:rFonts w:hint="eastAsia" w:ascii="宋体" w:hAnsi="宋体" w:eastAsia="宋体" w:cs="宋体"/>
          <w:sz w:val="24"/>
          <w:szCs w:val="24"/>
          <w:lang w:val="zh-CN"/>
        </w:rPr>
      </w:pPr>
      <w:r>
        <w:rPr>
          <w:rFonts w:hint="eastAsia" w:ascii="宋体" w:hAnsi="宋体" w:eastAsia="宋体" w:cs="宋体"/>
          <w:sz w:val="24"/>
          <w:szCs w:val="24"/>
        </w:rPr>
        <w:t>14</w:t>
      </w:r>
      <w:r>
        <w:rPr>
          <w:rFonts w:hint="eastAsia" w:ascii="宋体" w:hAnsi="宋体" w:eastAsia="宋体" w:cs="宋体"/>
          <w:sz w:val="24"/>
          <w:szCs w:val="24"/>
          <w:lang w:val="zh-CN"/>
        </w:rPr>
        <w:t>.1.3未通过资格审查或符合性审查的供应商，磋商小组将通过苏采云系统告知具体原因，评审结束后将不再接受有关询问。</w:t>
      </w:r>
    </w:p>
    <w:p w14:paraId="2C04B942">
      <w:pPr>
        <w:spacing w:line="276" w:lineRule="auto"/>
        <w:ind w:firstLine="484"/>
        <w:rPr>
          <w:rFonts w:hint="eastAsia" w:ascii="宋体" w:hAnsi="宋体" w:eastAsia="宋体" w:cs="宋体"/>
          <w:sz w:val="24"/>
          <w:szCs w:val="24"/>
          <w:lang w:val="zh-CN"/>
        </w:rPr>
      </w:pPr>
      <w:r>
        <w:rPr>
          <w:rFonts w:hint="eastAsia" w:ascii="宋体" w:hAnsi="宋体" w:eastAsia="宋体" w:cs="宋体"/>
          <w:sz w:val="24"/>
          <w:szCs w:val="24"/>
        </w:rPr>
        <w:t>14</w:t>
      </w:r>
      <w:r>
        <w:rPr>
          <w:rFonts w:hint="eastAsia" w:ascii="宋体" w:hAnsi="宋体" w:eastAsia="宋体" w:cs="宋体"/>
          <w:sz w:val="24"/>
          <w:szCs w:val="24"/>
          <w:lang w:val="zh-CN"/>
        </w:rPr>
        <w:t>.2在详细评审之前，磋商小组将首先审查每份磋商响应文件是否实质性响应了竞争性磋商文件的要求。实质性响应的磋商响应文件应该是与竞争性磋商文件要求的条款、条件和规格相符，没有重大偏离或保留的文件。如果磋商响应文件实质上没有响应竞争性磋商文件的要求，磋商小组将予以拒绝，供应商不得通过修改或撤销不合要求的偏离或保留而使其成为实质性响应的文件。</w:t>
      </w:r>
    </w:p>
    <w:p w14:paraId="1C8FF737">
      <w:pPr>
        <w:pStyle w:val="2"/>
        <w:spacing w:line="276" w:lineRule="auto"/>
        <w:ind w:firstLine="420"/>
        <w:jc w:val="left"/>
        <w:rPr>
          <w:rFonts w:hint="eastAsia" w:ascii="宋体" w:hAnsi="宋体" w:eastAsia="宋体" w:cs="宋体"/>
          <w:sz w:val="24"/>
          <w:szCs w:val="24"/>
        </w:rPr>
      </w:pPr>
      <w:r>
        <w:rPr>
          <w:rFonts w:hint="eastAsia" w:ascii="宋体" w:hAnsi="宋体" w:eastAsia="宋体" w:cs="宋体"/>
          <w:b w:val="0"/>
          <w:bCs w:val="0"/>
          <w:sz w:val="24"/>
          <w:szCs w:val="24"/>
          <w:lang w:val="zh-CN"/>
        </w:rPr>
        <w:t>所谓重大偏离或保留是指与竞争性磋商文件规定的实质性要求存在负偏离，或者在实质上与竞争性磋商文件不一致，而且限制了合同中采购人的权利或供应商的义务，纠正这些偏离或保留将会对其他实质性响应的供应商产生不公正的影响。重大偏离的认定由磋商小组按照少数服从多数的原则作出结论。磋商小组认定磋商响应文件的响应性只根据磋商响应文件本身的内容，而不寻求外部的证据。</w:t>
      </w:r>
    </w:p>
    <w:p w14:paraId="47DDAB74">
      <w:pPr>
        <w:spacing w:line="276"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14.3.1磋商小组所有成员集中与所有通过资格条件审查、符合性审查通过的供应商就竞争性磋商采购项目的商务和价格进行磋商，本次磋商原则将采用二轮报价的形式。供应商提供最终报价的方式：</w:t>
      </w:r>
      <w:r>
        <w:rPr>
          <w:rFonts w:hint="eastAsia" w:ascii="宋体" w:hAnsi="宋体" w:eastAsia="宋体" w:cs="宋体"/>
          <w:sz w:val="24"/>
          <w:szCs w:val="24"/>
          <w:lang w:val="zh-CN"/>
        </w:rPr>
        <w:t>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sz w:val="24"/>
          <w:szCs w:val="24"/>
        </w:rPr>
        <w:t>提交最后报价的供应商不得少于3家，最后报价是供应商磋商响应文件的有效组成部分。</w:t>
      </w:r>
    </w:p>
    <w:p w14:paraId="47F31CB2">
      <w:pPr>
        <w:spacing w:line="276" w:lineRule="auto"/>
        <w:ind w:firstLine="420"/>
        <w:rPr>
          <w:rFonts w:hint="eastAsia" w:ascii="宋体" w:hAnsi="宋体" w:eastAsia="宋体" w:cs="Trebuchet MS"/>
          <w:sz w:val="24"/>
          <w:szCs w:val="24"/>
          <w:lang w:bidi="ar"/>
        </w:rPr>
      </w:pPr>
      <w:r>
        <w:rPr>
          <w:rFonts w:hint="eastAsia" w:ascii="宋体" w:hAnsi="宋体" w:eastAsia="宋体" w:cs="宋体"/>
          <w:sz w:val="24"/>
          <w:szCs w:val="24"/>
          <w:lang w:bidi="ar"/>
        </w:rPr>
        <w:t>14.3.2磋商小组制定一个符合采购人要求的最优方案，或直接根据响应性文件要求所有供应商在规定时间内作最后报价。</w:t>
      </w:r>
    </w:p>
    <w:p w14:paraId="579170E8">
      <w:pPr>
        <w:widowControl/>
        <w:shd w:val="clear" w:color="auto" w:fill="FFFFFF"/>
        <w:spacing w:line="276" w:lineRule="auto"/>
        <w:ind w:firstLine="422"/>
        <w:jc w:val="left"/>
        <w:rPr>
          <w:rFonts w:hint="eastAsia" w:ascii="宋体" w:hAnsi="宋体" w:eastAsia="宋体"/>
          <w:sz w:val="24"/>
          <w:szCs w:val="24"/>
        </w:rPr>
      </w:pPr>
      <w:r>
        <w:rPr>
          <w:rFonts w:hint="eastAsia" w:ascii="宋体" w:hAnsi="宋体" w:eastAsia="宋体" w:cs="宋体"/>
          <w:b/>
          <w:sz w:val="24"/>
          <w:szCs w:val="24"/>
        </w:rPr>
        <w:t>14</w:t>
      </w:r>
      <w:r>
        <w:rPr>
          <w:rFonts w:hint="eastAsia" w:ascii="宋体" w:hAnsi="宋体" w:eastAsia="宋体" w:cs="宋体"/>
          <w:b/>
          <w:sz w:val="24"/>
          <w:szCs w:val="24"/>
          <w:lang w:val="zh-CN"/>
        </w:rPr>
        <w:t>.</w:t>
      </w:r>
      <w:r>
        <w:rPr>
          <w:rFonts w:hint="eastAsia" w:ascii="宋体" w:hAnsi="宋体" w:eastAsia="宋体" w:cs="宋体"/>
          <w:b/>
          <w:sz w:val="24"/>
          <w:szCs w:val="24"/>
        </w:rPr>
        <w:t>4</w:t>
      </w:r>
      <w:r>
        <w:rPr>
          <w:rFonts w:hint="eastAsia" w:ascii="宋体" w:hAnsi="宋体" w:eastAsia="宋体"/>
          <w:b/>
          <w:bCs/>
          <w:sz w:val="24"/>
          <w:szCs w:val="24"/>
        </w:rPr>
        <w:t>评审过程中的澄清</w:t>
      </w:r>
    </w:p>
    <w:p w14:paraId="0755A29E">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14.4.1项目评审期间，磋商小组有权要求供应商对磋商响应文件中含义不明确、同类问题表述不一致或者有明显文字和计算错误的内容等作出必要的澄清、说明或者补正。</w:t>
      </w:r>
    </w:p>
    <w:p w14:paraId="71A3B973">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供应商的澄清、说明或者补正不得超出磋商响应文件的范围或者改变磋商响应文件的实质性内容。</w:t>
      </w:r>
    </w:p>
    <w:p w14:paraId="6FCE87FB">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磋商小组并非对全部供应商都作澄清要求。</w:t>
      </w:r>
    </w:p>
    <w:p w14:paraId="44108D7E">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14.4.2需要供应商进行澄清、说明和补正的，磋商小组将通过苏采云系统向供应商发出《澄清要求函》，接到《澄清要求函》的供应商应当按照要求在苏采云系统中提交《澄清要求函》并加盖电子公章。澄清、说明和补正的内容作为磋商响应文件的补充部分，具体操作方式见《操作手册》。</w:t>
      </w:r>
    </w:p>
    <w:p w14:paraId="57A6B813">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14.4.3接到磋商小组澄清、说明和补正要求的供应商如未按规定做出澄清、说明和补正，其风险由供应商自行承担。</w:t>
      </w:r>
    </w:p>
    <w:p w14:paraId="6B436C19">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14.4.4磋商响应文件报价出现前后不一致的，除竞争性磋商文件另有规定外，按照下列规定修正：</w:t>
      </w:r>
    </w:p>
    <w:p w14:paraId="116746C8">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(1)大写金额和小写金额不一致的，以大写金额为准；</w:t>
      </w:r>
    </w:p>
    <w:p w14:paraId="7336E61B">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(2)单价金额小数点或者百分比有明显错位的，以报价表的总价为准，并修改单价；</w:t>
      </w:r>
    </w:p>
    <w:p w14:paraId="4CAA9E75">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(3)总价金额与按单价汇总金额不一致的，以单价金额计算结果为准。</w:t>
      </w:r>
    </w:p>
    <w:p w14:paraId="3C26415A">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同时出现两种以上不一致的，按照前款规定的顺序修正。</w:t>
      </w:r>
    </w:p>
    <w:p w14:paraId="1396EC66">
      <w:pPr>
        <w:widowControl/>
        <w:shd w:val="clear" w:color="auto" w:fill="FFFFFF"/>
        <w:spacing w:line="276" w:lineRule="auto"/>
        <w:ind w:firstLine="420"/>
        <w:jc w:val="left"/>
        <w:rPr>
          <w:rFonts w:hint="eastAsia" w:ascii="宋体" w:hAnsi="宋体" w:eastAsia="宋体"/>
          <w:sz w:val="24"/>
          <w:szCs w:val="24"/>
        </w:rPr>
      </w:pPr>
      <w:r>
        <w:rPr>
          <w:rFonts w:hint="eastAsia" w:ascii="宋体" w:hAnsi="宋体" w:eastAsia="宋体"/>
          <w:sz w:val="24"/>
          <w:szCs w:val="24"/>
        </w:rPr>
        <w:t>评标委员会将按上述修正错误的方法调整磋商响应文件中的磋商报价，并通过苏采云系统告知供应商，调整后的价格对供应商具有约束力。如果供应商不接受修正后的价格，则将被拒绝。</w:t>
      </w:r>
    </w:p>
    <w:p w14:paraId="71C2123F">
      <w:pPr>
        <w:spacing w:line="276" w:lineRule="auto"/>
        <w:ind w:firstLine="422"/>
        <w:rPr>
          <w:rFonts w:hint="eastAsia" w:ascii="宋体" w:hAnsi="宋体" w:eastAsia="宋体" w:cs="Trebuchet MS"/>
          <w:b/>
          <w:sz w:val="24"/>
          <w:szCs w:val="24"/>
          <w:lang w:bidi="ar"/>
        </w:rPr>
      </w:pPr>
      <w:bookmarkStart w:id="26" w:name="_Toc85525789"/>
      <w:bookmarkStart w:id="27" w:name="_Toc503948068"/>
      <w:bookmarkStart w:id="28" w:name="_Toc400722722"/>
      <w:bookmarkStart w:id="29" w:name="_Toc503948575"/>
      <w:bookmarkStart w:id="30" w:name="_Toc402966376"/>
      <w:r>
        <w:rPr>
          <w:rFonts w:hint="eastAsia" w:ascii="宋体" w:hAnsi="宋体" w:eastAsia="宋体" w:cs="Trebuchet MS"/>
          <w:b/>
          <w:sz w:val="24"/>
          <w:szCs w:val="24"/>
          <w:lang w:bidi="ar"/>
        </w:rPr>
        <w:t>14.5出现下列情形之一的磋商响应文件按照无效处理：</w:t>
      </w:r>
    </w:p>
    <w:p w14:paraId="5E3345C3">
      <w:pPr>
        <w:spacing w:line="276" w:lineRule="auto"/>
        <w:ind w:firstLine="420"/>
        <w:jc w:val="left"/>
        <w:rPr>
          <w:rFonts w:hint="eastAsia" w:ascii="宋体" w:hAnsi="宋体" w:eastAsia="宋体"/>
          <w:sz w:val="24"/>
          <w:szCs w:val="24"/>
        </w:rPr>
      </w:pPr>
      <w:r>
        <w:rPr>
          <w:rFonts w:hint="eastAsia" w:ascii="宋体" w:hAnsi="宋体" w:eastAsia="宋体"/>
          <w:sz w:val="24"/>
          <w:szCs w:val="24"/>
        </w:rPr>
        <w:t>如果磋商响应文件实质上没有响应竞争性磋商文件的要求，磋商小组将予以拒绝，供应商不得通过修改或撤销不合要求的偏离或保留而使其投标成为实质性响应的投标。</w:t>
      </w:r>
    </w:p>
    <w:p w14:paraId="1894821F">
      <w:pPr>
        <w:spacing w:line="276" w:lineRule="auto"/>
        <w:ind w:firstLine="420"/>
        <w:jc w:val="left"/>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1）</w:t>
      </w:r>
      <w:r>
        <w:rPr>
          <w:rFonts w:hint="eastAsia" w:ascii="宋体" w:hAnsi="宋体" w:eastAsia="宋体"/>
          <w:sz w:val="24"/>
          <w:szCs w:val="24"/>
        </w:rPr>
        <w:t>供应商在苏采云系统规定的时间内未成功解密磋商响应文件</w:t>
      </w:r>
      <w:r>
        <w:rPr>
          <w:rFonts w:ascii="宋体" w:hAnsi="宋体" w:eastAsia="宋体"/>
          <w:sz w:val="24"/>
          <w:szCs w:val="24"/>
        </w:rPr>
        <w:t>；</w:t>
      </w:r>
    </w:p>
    <w:p w14:paraId="749B8C75">
      <w:pPr>
        <w:spacing w:line="276" w:lineRule="auto"/>
        <w:ind w:firstLine="420"/>
        <w:jc w:val="left"/>
        <w:rPr>
          <w:rFonts w:hint="eastAsia" w:ascii="宋体" w:hAnsi="宋体" w:eastAsia="宋体"/>
          <w:sz w:val="24"/>
          <w:szCs w:val="24"/>
        </w:rPr>
      </w:pPr>
      <w:bookmarkStart w:id="31" w:name="OLE_LINK9"/>
      <w:r>
        <w:rPr>
          <w:rFonts w:hint="eastAsia" w:ascii="宋体" w:hAnsi="宋体" w:eastAsia="宋体"/>
          <w:sz w:val="24"/>
          <w:szCs w:val="24"/>
        </w:rPr>
        <w:t>（2</w:t>
      </w:r>
      <w:r>
        <w:rPr>
          <w:rFonts w:ascii="宋体" w:hAnsi="宋体" w:eastAsia="宋体"/>
          <w:sz w:val="24"/>
          <w:szCs w:val="24"/>
        </w:rPr>
        <w:t>）</w:t>
      </w:r>
      <w:bookmarkEnd w:id="31"/>
      <w:r>
        <w:rPr>
          <w:rFonts w:hint="eastAsia" w:ascii="宋体" w:hAnsi="宋体" w:eastAsia="宋体"/>
          <w:sz w:val="24"/>
          <w:szCs w:val="24"/>
        </w:rPr>
        <w:t>供应商未按照竞争性磋商文件要求上传磋商响应文件；</w:t>
      </w:r>
    </w:p>
    <w:p w14:paraId="5ED1CFF7">
      <w:pPr>
        <w:spacing w:line="276" w:lineRule="auto"/>
        <w:ind w:firstLine="420"/>
        <w:jc w:val="left"/>
        <w:rPr>
          <w:rFonts w:hint="eastAsia" w:ascii="宋体" w:hAnsi="宋体" w:eastAsia="宋体"/>
          <w:sz w:val="24"/>
          <w:szCs w:val="24"/>
        </w:rPr>
      </w:pPr>
      <w:r>
        <w:rPr>
          <w:rFonts w:hint="eastAsia" w:ascii="宋体" w:hAnsi="宋体" w:eastAsia="宋体"/>
          <w:sz w:val="24"/>
          <w:szCs w:val="24"/>
        </w:rPr>
        <w:t>（3</w:t>
      </w:r>
      <w:r>
        <w:rPr>
          <w:rFonts w:ascii="宋体" w:hAnsi="宋体" w:eastAsia="宋体"/>
          <w:sz w:val="24"/>
          <w:szCs w:val="24"/>
        </w:rPr>
        <w:t>）</w:t>
      </w:r>
      <w:r>
        <w:rPr>
          <w:rFonts w:hint="eastAsia" w:ascii="宋体" w:hAnsi="宋体" w:eastAsia="宋体" w:cs="Trebuchet MS"/>
          <w:sz w:val="24"/>
          <w:szCs w:val="24"/>
          <w:lang w:bidi="ar"/>
        </w:rPr>
        <w:t>磋商响应文件未按竞争性磋商文件要求签署、盖章或加盖电子公章的</w:t>
      </w:r>
      <w:r>
        <w:rPr>
          <w:rFonts w:hint="eastAsia" w:ascii="宋体" w:hAnsi="宋体" w:eastAsia="宋体"/>
          <w:sz w:val="24"/>
          <w:szCs w:val="24"/>
        </w:rPr>
        <w:t>；</w:t>
      </w:r>
    </w:p>
    <w:p w14:paraId="5BDE13BC">
      <w:pPr>
        <w:spacing w:line="276" w:lineRule="auto"/>
        <w:ind w:firstLine="420"/>
        <w:jc w:val="left"/>
        <w:rPr>
          <w:rFonts w:hint="eastAsia" w:ascii="宋体" w:hAnsi="宋体" w:eastAsia="宋体"/>
          <w:sz w:val="24"/>
          <w:szCs w:val="24"/>
        </w:rPr>
      </w:pPr>
      <w:r>
        <w:rPr>
          <w:rFonts w:hint="eastAsia" w:ascii="宋体" w:hAnsi="宋体" w:eastAsia="宋体"/>
          <w:sz w:val="24"/>
          <w:szCs w:val="24"/>
        </w:rPr>
        <w:t>（4</w:t>
      </w:r>
      <w:r>
        <w:rPr>
          <w:rFonts w:ascii="宋体" w:hAnsi="宋体" w:eastAsia="宋体"/>
          <w:sz w:val="24"/>
          <w:szCs w:val="24"/>
        </w:rPr>
        <w:t>）</w:t>
      </w:r>
      <w:r>
        <w:rPr>
          <w:rFonts w:hint="eastAsia" w:ascii="宋体" w:hAnsi="宋体" w:eastAsia="宋体"/>
          <w:sz w:val="24"/>
          <w:szCs w:val="24"/>
        </w:rPr>
        <w:t>同一供应商提交两个（含两个）以上不同的磋商响应文件或者最后报价；</w:t>
      </w:r>
    </w:p>
    <w:p w14:paraId="46D6982E">
      <w:pPr>
        <w:spacing w:line="276" w:lineRule="auto"/>
        <w:ind w:firstLine="420"/>
        <w:jc w:val="left"/>
        <w:rPr>
          <w:rFonts w:hint="eastAsia" w:ascii="宋体" w:hAnsi="宋体" w:eastAsia="宋体"/>
          <w:sz w:val="24"/>
          <w:szCs w:val="24"/>
        </w:rPr>
      </w:pPr>
      <w:r>
        <w:rPr>
          <w:rFonts w:hint="eastAsia" w:ascii="宋体" w:hAnsi="宋体" w:eastAsia="宋体"/>
          <w:sz w:val="24"/>
          <w:szCs w:val="24"/>
        </w:rPr>
        <w:t>（5</w:t>
      </w:r>
      <w:r>
        <w:rPr>
          <w:rFonts w:ascii="宋体" w:hAnsi="宋体" w:eastAsia="宋体"/>
          <w:sz w:val="24"/>
          <w:szCs w:val="24"/>
        </w:rPr>
        <w:t>）不具备</w:t>
      </w:r>
      <w:r>
        <w:rPr>
          <w:rFonts w:hint="eastAsia" w:ascii="宋体" w:hAnsi="宋体" w:eastAsia="宋体"/>
          <w:sz w:val="24"/>
          <w:szCs w:val="24"/>
        </w:rPr>
        <w:t>竞争性磋商文件</w:t>
      </w:r>
      <w:r>
        <w:rPr>
          <w:rFonts w:ascii="宋体" w:hAnsi="宋体" w:eastAsia="宋体"/>
          <w:sz w:val="24"/>
          <w:szCs w:val="24"/>
        </w:rPr>
        <w:t>中规定资格要求的；</w:t>
      </w:r>
    </w:p>
    <w:p w14:paraId="25D7CD09">
      <w:pPr>
        <w:spacing w:line="276" w:lineRule="auto"/>
        <w:ind w:firstLine="420"/>
        <w:jc w:val="left"/>
        <w:rPr>
          <w:rFonts w:hint="eastAsia" w:ascii="宋体" w:hAnsi="宋体" w:eastAsia="宋体"/>
          <w:sz w:val="24"/>
          <w:szCs w:val="24"/>
        </w:rPr>
      </w:pPr>
      <w:r>
        <w:rPr>
          <w:rFonts w:hint="eastAsia" w:ascii="宋体" w:hAnsi="宋体" w:eastAsia="宋体"/>
          <w:sz w:val="24"/>
          <w:szCs w:val="24"/>
        </w:rPr>
        <w:t>（6</w:t>
      </w:r>
      <w:r>
        <w:rPr>
          <w:rFonts w:ascii="宋体" w:hAnsi="宋体" w:eastAsia="宋体"/>
          <w:sz w:val="24"/>
          <w:szCs w:val="24"/>
        </w:rPr>
        <w:t>）</w:t>
      </w:r>
      <w:r>
        <w:rPr>
          <w:rFonts w:hint="eastAsia" w:ascii="宋体" w:hAnsi="宋体" w:eastAsia="宋体"/>
          <w:sz w:val="24"/>
          <w:szCs w:val="24"/>
        </w:rPr>
        <w:t>磋商总价超出采购项目预算或者最高限价的；供应商的每一轮报价均超出最高限价的</w:t>
      </w:r>
      <w:r>
        <w:rPr>
          <w:rFonts w:ascii="宋体" w:hAnsi="宋体" w:eastAsia="宋体"/>
          <w:sz w:val="24"/>
          <w:szCs w:val="24"/>
        </w:rPr>
        <w:t>；</w:t>
      </w:r>
    </w:p>
    <w:p w14:paraId="071CB70D">
      <w:pPr>
        <w:pStyle w:val="263"/>
        <w:spacing w:line="276" w:lineRule="auto"/>
        <w:ind w:firstLine="420"/>
        <w:rPr>
          <w:rFonts w:hint="eastAsia" w:ascii="宋体" w:hAnsi="宋体" w:eastAsia="宋体"/>
          <w:sz w:val="24"/>
          <w:szCs w:val="24"/>
        </w:rPr>
      </w:pPr>
      <w:r>
        <w:rPr>
          <w:rFonts w:hint="eastAsia" w:ascii="宋体" w:hAnsi="宋体" w:eastAsia="宋体" w:cs="Trebuchet MS"/>
          <w:sz w:val="24"/>
          <w:szCs w:val="24"/>
          <w:lang w:bidi="ar"/>
        </w:rPr>
        <w:t>（</w:t>
      </w:r>
      <w:r>
        <w:rPr>
          <w:rFonts w:hint="eastAsia" w:ascii="宋体" w:hAnsi="宋体" w:eastAsia="宋体" w:cs="Trebuchet MS"/>
          <w:sz w:val="24"/>
          <w:szCs w:val="24"/>
          <w:lang w:val="en-US" w:bidi="ar"/>
        </w:rPr>
        <w:t>7</w:t>
      </w:r>
      <w:r>
        <w:rPr>
          <w:rFonts w:hint="eastAsia" w:ascii="宋体" w:hAnsi="宋体" w:eastAsia="宋体" w:cs="Trebuchet MS"/>
          <w:sz w:val="24"/>
          <w:szCs w:val="24"/>
          <w:lang w:bidi="ar"/>
        </w:rPr>
        <w:t>）未按要求提供《南京市政府采购供应商信用记录表暨信用承诺书》。</w:t>
      </w:r>
    </w:p>
    <w:p w14:paraId="4BFA5167">
      <w:pPr>
        <w:spacing w:line="276" w:lineRule="auto"/>
        <w:ind w:firstLine="420"/>
        <w:jc w:val="left"/>
        <w:rPr>
          <w:rFonts w:hint="eastAsia" w:ascii="宋体" w:hAnsi="宋体" w:eastAsia="宋体"/>
          <w:sz w:val="24"/>
          <w:szCs w:val="24"/>
        </w:rPr>
      </w:pPr>
      <w:r>
        <w:rPr>
          <w:rFonts w:hint="eastAsia" w:ascii="宋体" w:hAnsi="宋体" w:eastAsia="宋体"/>
          <w:sz w:val="24"/>
          <w:szCs w:val="24"/>
        </w:rPr>
        <w:t>（8</w:t>
      </w:r>
      <w:r>
        <w:rPr>
          <w:rFonts w:ascii="宋体" w:hAnsi="宋体" w:eastAsia="宋体"/>
          <w:sz w:val="24"/>
          <w:szCs w:val="24"/>
        </w:rPr>
        <w:t>）</w:t>
      </w:r>
      <w:r>
        <w:rPr>
          <w:rFonts w:hint="eastAsia" w:ascii="宋体" w:hAnsi="宋体" w:eastAsia="宋体"/>
          <w:sz w:val="24"/>
          <w:szCs w:val="24"/>
        </w:rPr>
        <w:t>磋商小组认为供应商的报价明显低于其他通过符合性审查供应商的报价，有可能影响服务质量或者不能诚信履约的，将通过苏采云系统要求其在评审时间内提供说明，必要时提交相关证明材料加盖公章上传。供应商不能证明其报价合理性的，磋商小组应当将其作为无效响应处理；</w:t>
      </w:r>
    </w:p>
    <w:p w14:paraId="2357805F">
      <w:pPr>
        <w:spacing w:line="276" w:lineRule="auto"/>
        <w:ind w:firstLine="420"/>
        <w:jc w:val="left"/>
        <w:rPr>
          <w:rFonts w:hint="eastAsia" w:ascii="宋体" w:hAnsi="宋体" w:eastAsia="宋体"/>
          <w:sz w:val="24"/>
          <w:szCs w:val="24"/>
        </w:rPr>
      </w:pPr>
      <w:r>
        <w:rPr>
          <w:rFonts w:hint="eastAsia" w:ascii="宋体" w:hAnsi="宋体" w:eastAsia="宋体"/>
          <w:sz w:val="24"/>
          <w:szCs w:val="24"/>
        </w:rPr>
        <w:t>（9</w:t>
      </w:r>
      <w:r>
        <w:rPr>
          <w:rFonts w:ascii="宋体" w:hAnsi="宋体" w:eastAsia="宋体"/>
          <w:sz w:val="24"/>
          <w:szCs w:val="24"/>
        </w:rPr>
        <w:t>）</w:t>
      </w:r>
      <w:r>
        <w:rPr>
          <w:rFonts w:hint="eastAsia" w:ascii="宋体" w:hAnsi="宋体" w:eastAsia="宋体"/>
          <w:sz w:val="24"/>
          <w:szCs w:val="24"/>
        </w:rPr>
        <w:t>磋商</w:t>
      </w:r>
      <w:r>
        <w:rPr>
          <w:rFonts w:ascii="宋体" w:hAnsi="宋体" w:eastAsia="宋体"/>
          <w:sz w:val="24"/>
          <w:szCs w:val="24"/>
        </w:rPr>
        <w:t>响应文件含有采购人不能接受的附加条件的；</w:t>
      </w:r>
    </w:p>
    <w:p w14:paraId="6ECBF335">
      <w:pPr>
        <w:spacing w:line="276" w:lineRule="auto"/>
        <w:ind w:firstLine="420"/>
        <w:jc w:val="left"/>
        <w:rPr>
          <w:rFonts w:hint="eastAsia" w:ascii="宋体" w:hAnsi="宋体" w:eastAsia="宋体" w:cs="宋体"/>
          <w:sz w:val="24"/>
          <w:szCs w:val="24"/>
          <w:lang w:val="zh-CN"/>
        </w:rPr>
      </w:pPr>
      <w:r>
        <w:rPr>
          <w:rFonts w:hint="eastAsia" w:ascii="宋体" w:hAnsi="宋体" w:eastAsia="宋体"/>
          <w:sz w:val="24"/>
          <w:szCs w:val="24"/>
        </w:rPr>
        <w:t>（10</w:t>
      </w:r>
      <w:r>
        <w:rPr>
          <w:rFonts w:ascii="宋体" w:hAnsi="宋体" w:eastAsia="宋体"/>
          <w:sz w:val="24"/>
          <w:szCs w:val="24"/>
        </w:rPr>
        <w:t>）不符合法律、法规和</w:t>
      </w:r>
      <w:r>
        <w:rPr>
          <w:rFonts w:hint="eastAsia" w:ascii="宋体" w:hAnsi="宋体" w:eastAsia="宋体"/>
          <w:sz w:val="24"/>
          <w:szCs w:val="24"/>
        </w:rPr>
        <w:t>竞争性磋商文件</w:t>
      </w:r>
      <w:r>
        <w:rPr>
          <w:rFonts w:ascii="宋体" w:hAnsi="宋体" w:eastAsia="宋体"/>
          <w:sz w:val="24"/>
          <w:szCs w:val="24"/>
        </w:rPr>
        <w:t>规定的其他实质性要求的</w:t>
      </w:r>
      <w:r>
        <w:rPr>
          <w:rFonts w:hint="eastAsia" w:ascii="宋体" w:hAnsi="宋体" w:eastAsia="宋体" w:cs="宋体"/>
          <w:sz w:val="24"/>
          <w:szCs w:val="24"/>
          <w:lang w:val="zh-CN"/>
        </w:rPr>
        <w:t>。</w:t>
      </w:r>
    </w:p>
    <w:p w14:paraId="16DD1DEC">
      <w:pPr>
        <w:spacing w:line="276" w:lineRule="auto"/>
        <w:ind w:firstLine="422"/>
        <w:rPr>
          <w:rFonts w:hint="eastAsia" w:ascii="宋体" w:hAnsi="宋体" w:eastAsia="宋体" w:cs="Trebuchet MS"/>
          <w:b/>
          <w:sz w:val="24"/>
          <w:szCs w:val="24"/>
          <w:lang w:val="zh-CN" w:bidi="ar"/>
        </w:rPr>
      </w:pPr>
      <w:r>
        <w:rPr>
          <w:rFonts w:hint="eastAsia" w:ascii="宋体" w:hAnsi="宋体" w:eastAsia="宋体" w:cs="Trebuchet MS"/>
          <w:b/>
          <w:sz w:val="24"/>
          <w:szCs w:val="24"/>
          <w:lang w:bidi="ar"/>
        </w:rPr>
        <w:t>14.6</w:t>
      </w:r>
      <w:r>
        <w:rPr>
          <w:rFonts w:hint="eastAsia" w:ascii="宋体" w:hAnsi="宋体" w:eastAsia="宋体" w:cs="Trebuchet MS"/>
          <w:b/>
          <w:sz w:val="24"/>
          <w:szCs w:val="24"/>
          <w:lang w:val="zh-CN" w:bidi="ar"/>
        </w:rPr>
        <w:t>有下列情形之一的，视为供应商串通投标，其投标无效：</w:t>
      </w:r>
    </w:p>
    <w:p w14:paraId="04EF940F">
      <w:pPr>
        <w:widowControl/>
        <w:spacing w:line="276" w:lineRule="auto"/>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ascii="宋体" w:hAnsi="宋体" w:eastAsia="宋体" w:cs="宋体"/>
          <w:sz w:val="24"/>
          <w:szCs w:val="24"/>
          <w:lang w:val="zh-CN"/>
        </w:rPr>
        <w:t>1</w:t>
      </w:r>
      <w:r>
        <w:rPr>
          <w:rFonts w:hint="eastAsia" w:ascii="宋体" w:hAnsi="宋体" w:eastAsia="宋体" w:cs="宋体"/>
          <w:sz w:val="24"/>
          <w:szCs w:val="24"/>
          <w:lang w:val="zh-CN"/>
        </w:rPr>
        <w:t>）不同供应商的</w:t>
      </w:r>
      <w:r>
        <w:rPr>
          <w:rFonts w:hint="eastAsia" w:ascii="宋体" w:hAnsi="宋体" w:eastAsia="宋体"/>
          <w:sz w:val="24"/>
          <w:szCs w:val="24"/>
        </w:rPr>
        <w:t>磋商</w:t>
      </w:r>
      <w:r>
        <w:rPr>
          <w:rFonts w:hint="eastAsia" w:ascii="宋体" w:hAnsi="宋体" w:eastAsia="宋体" w:cs="宋体"/>
          <w:sz w:val="24"/>
          <w:szCs w:val="24"/>
          <w:lang w:val="zh-CN"/>
        </w:rPr>
        <w:t>响应文件由同一单位或者个人编制；</w:t>
      </w:r>
    </w:p>
    <w:p w14:paraId="2C317C04">
      <w:pPr>
        <w:widowControl/>
        <w:spacing w:line="276" w:lineRule="auto"/>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ascii="宋体" w:hAnsi="宋体" w:eastAsia="宋体" w:cs="宋体"/>
          <w:sz w:val="24"/>
          <w:szCs w:val="24"/>
          <w:lang w:val="zh-CN"/>
        </w:rPr>
        <w:t>2</w:t>
      </w:r>
      <w:r>
        <w:rPr>
          <w:rFonts w:hint="eastAsia" w:ascii="宋体" w:hAnsi="宋体" w:eastAsia="宋体" w:cs="宋体"/>
          <w:sz w:val="24"/>
          <w:szCs w:val="24"/>
          <w:lang w:val="zh-CN"/>
        </w:rPr>
        <w:t>）不同供应商委托同一单位或者个人办理投标事宜；</w:t>
      </w:r>
    </w:p>
    <w:p w14:paraId="152E9A7A">
      <w:pPr>
        <w:widowControl/>
        <w:spacing w:line="276" w:lineRule="auto"/>
        <w:ind w:firstLine="420"/>
        <w:jc w:val="left"/>
        <w:rPr>
          <w:rFonts w:ascii="宋体" w:hAnsi="宋体" w:eastAsia="宋体" w:cs="宋体"/>
          <w:sz w:val="24"/>
          <w:szCs w:val="24"/>
          <w:lang w:val="zh-CN"/>
        </w:rPr>
      </w:pPr>
      <w:r>
        <w:rPr>
          <w:rFonts w:hint="eastAsia" w:ascii="宋体" w:hAnsi="宋体" w:eastAsia="宋体" w:cs="宋体"/>
          <w:sz w:val="24"/>
          <w:szCs w:val="24"/>
          <w:lang w:val="zh-CN"/>
        </w:rPr>
        <w:t>（</w:t>
      </w:r>
      <w:r>
        <w:rPr>
          <w:rFonts w:ascii="宋体" w:hAnsi="宋体" w:eastAsia="宋体" w:cs="宋体"/>
          <w:sz w:val="24"/>
          <w:szCs w:val="24"/>
          <w:lang w:val="zh-CN"/>
        </w:rPr>
        <w:t>3</w:t>
      </w:r>
      <w:r>
        <w:rPr>
          <w:rFonts w:hint="eastAsia" w:ascii="宋体" w:hAnsi="宋体" w:eastAsia="宋体" w:cs="宋体"/>
          <w:sz w:val="24"/>
          <w:szCs w:val="24"/>
          <w:lang w:val="zh-CN"/>
        </w:rPr>
        <w:t>）不同供应商的</w:t>
      </w:r>
      <w:r>
        <w:rPr>
          <w:rFonts w:hint="eastAsia" w:ascii="宋体" w:hAnsi="宋体" w:eastAsia="宋体"/>
          <w:sz w:val="24"/>
          <w:szCs w:val="24"/>
        </w:rPr>
        <w:t>磋商</w:t>
      </w:r>
      <w:r>
        <w:rPr>
          <w:rFonts w:hint="eastAsia" w:ascii="宋体" w:hAnsi="宋体" w:eastAsia="宋体" w:cs="宋体"/>
          <w:sz w:val="24"/>
          <w:szCs w:val="24"/>
          <w:lang w:val="zh-CN"/>
        </w:rPr>
        <w:t>响应文件载明的项目管理成员或者联系人员为同一人；</w:t>
      </w:r>
    </w:p>
    <w:p w14:paraId="3B67F452">
      <w:pPr>
        <w:widowControl/>
        <w:spacing w:line="276" w:lineRule="auto"/>
        <w:ind w:firstLine="420"/>
        <w:jc w:val="left"/>
        <w:rPr>
          <w:rFonts w:ascii="宋体" w:hAnsi="宋体" w:eastAsia="宋体" w:cs="宋体"/>
          <w:sz w:val="24"/>
          <w:szCs w:val="24"/>
          <w:lang w:val="zh-CN"/>
        </w:rPr>
      </w:pPr>
      <w:r>
        <w:rPr>
          <w:rFonts w:hint="eastAsia" w:ascii="宋体" w:hAnsi="宋体" w:eastAsia="宋体" w:cs="宋体"/>
          <w:sz w:val="24"/>
          <w:szCs w:val="24"/>
          <w:lang w:val="zh-CN"/>
        </w:rPr>
        <w:t>（4）不同供应商的</w:t>
      </w:r>
      <w:r>
        <w:rPr>
          <w:rFonts w:hint="eastAsia" w:ascii="宋体" w:hAnsi="宋体" w:eastAsia="宋体"/>
          <w:sz w:val="24"/>
          <w:szCs w:val="24"/>
        </w:rPr>
        <w:t>磋商</w:t>
      </w:r>
      <w:r>
        <w:rPr>
          <w:rFonts w:hint="eastAsia" w:ascii="宋体" w:hAnsi="宋体" w:eastAsia="宋体" w:cs="宋体"/>
          <w:sz w:val="24"/>
          <w:szCs w:val="24"/>
          <w:lang w:val="zh-CN"/>
        </w:rPr>
        <w:t>响应文件异常一致或者投标报价呈规律性差异；</w:t>
      </w:r>
    </w:p>
    <w:p w14:paraId="372781F5">
      <w:pPr>
        <w:spacing w:line="276" w:lineRule="auto"/>
        <w:ind w:firstLine="420"/>
        <w:rPr>
          <w:rFonts w:hint="eastAsia" w:ascii="宋体" w:hAnsi="宋体" w:eastAsia="宋体"/>
          <w:sz w:val="24"/>
          <w:szCs w:val="24"/>
        </w:rPr>
      </w:pPr>
      <w:r>
        <w:rPr>
          <w:rFonts w:hint="eastAsia" w:ascii="宋体" w:hAnsi="宋体" w:eastAsia="宋体" w:cs="宋体"/>
          <w:sz w:val="24"/>
          <w:szCs w:val="24"/>
          <w:lang w:val="zh-CN"/>
        </w:rPr>
        <w:t>（5）不同供应商的ip地址、MAC地址、标书制作工具客户端标识码一致的（待系统供应商核查，以核查结果为准）；</w:t>
      </w:r>
    </w:p>
    <w:p w14:paraId="35867C24">
      <w:pPr>
        <w:spacing w:line="276" w:lineRule="auto"/>
        <w:ind w:firstLine="422"/>
        <w:rPr>
          <w:rFonts w:hint="eastAsia" w:ascii="宋体" w:hAnsi="宋体" w:eastAsia="宋体" w:cs="Trebuchet MS"/>
          <w:b/>
          <w:sz w:val="24"/>
          <w:szCs w:val="24"/>
          <w:lang w:bidi="ar"/>
        </w:rPr>
      </w:pPr>
      <w:bookmarkStart w:id="32" w:name="_Toc518485126"/>
      <w:r>
        <w:rPr>
          <w:rFonts w:hint="eastAsia" w:ascii="宋体" w:hAnsi="宋体" w:eastAsia="宋体" w:cs="Trebuchet MS"/>
          <w:b/>
          <w:sz w:val="24"/>
          <w:szCs w:val="24"/>
          <w:lang w:bidi="ar"/>
        </w:rPr>
        <w:t>14.7出现下列情形之一的磋商终止，无成交供应商：</w:t>
      </w:r>
      <w:bookmarkEnd w:id="32"/>
    </w:p>
    <w:p w14:paraId="2B549CBA">
      <w:pPr>
        <w:spacing w:line="276" w:lineRule="auto"/>
        <w:ind w:firstLine="420"/>
        <w:rPr>
          <w:rFonts w:hint="eastAsia" w:ascii="宋体" w:hAnsi="宋体" w:eastAsia="宋体" w:cs="Trebuchet MS"/>
          <w:sz w:val="24"/>
          <w:szCs w:val="24"/>
          <w:lang w:bidi="ar"/>
        </w:rPr>
      </w:pPr>
      <w:r>
        <w:rPr>
          <w:rFonts w:hint="eastAsia" w:ascii="宋体" w:hAnsi="宋体" w:eastAsia="宋体" w:cs="Trebuchet MS"/>
          <w:sz w:val="24"/>
          <w:szCs w:val="24"/>
          <w:lang w:bidi="ar"/>
        </w:rPr>
        <w:t>（1）在磋商过程中符合要求的供应商或者报价未超过采购预算的供应商不足2家的；</w:t>
      </w:r>
    </w:p>
    <w:p w14:paraId="00E8EA6A">
      <w:pPr>
        <w:spacing w:line="276" w:lineRule="auto"/>
        <w:ind w:firstLine="420"/>
        <w:rPr>
          <w:rFonts w:hint="eastAsia" w:ascii="宋体" w:hAnsi="宋体" w:eastAsia="宋体" w:cs="Trebuchet MS"/>
          <w:sz w:val="24"/>
          <w:szCs w:val="24"/>
          <w:lang w:bidi="ar"/>
        </w:rPr>
      </w:pPr>
      <w:r>
        <w:rPr>
          <w:rFonts w:hint="eastAsia" w:ascii="宋体" w:hAnsi="宋体" w:eastAsia="宋体" w:cs="Trebuchet MS"/>
          <w:sz w:val="24"/>
          <w:szCs w:val="24"/>
          <w:lang w:bidi="ar"/>
        </w:rPr>
        <w:t>（2）出现影响采购公正的违法、违规行为的；</w:t>
      </w:r>
    </w:p>
    <w:p w14:paraId="33D559D9">
      <w:pPr>
        <w:spacing w:line="276" w:lineRule="auto"/>
        <w:ind w:firstLine="420"/>
        <w:rPr>
          <w:rFonts w:hint="eastAsia" w:ascii="宋体" w:hAnsi="宋体" w:eastAsia="宋体" w:cs="Trebuchet MS"/>
          <w:sz w:val="24"/>
          <w:szCs w:val="24"/>
          <w:lang w:bidi="ar"/>
        </w:rPr>
      </w:pPr>
      <w:r>
        <w:rPr>
          <w:rFonts w:hint="eastAsia" w:ascii="宋体" w:hAnsi="宋体" w:eastAsia="宋体" w:cs="Trebuchet MS"/>
          <w:sz w:val="24"/>
          <w:szCs w:val="24"/>
          <w:lang w:bidi="ar"/>
        </w:rPr>
        <w:t>（3）因重大变故，采购任务取消的；</w:t>
      </w:r>
    </w:p>
    <w:p w14:paraId="3DD47CC4">
      <w:pPr>
        <w:spacing w:line="276" w:lineRule="auto"/>
        <w:ind w:firstLine="420"/>
        <w:rPr>
          <w:rFonts w:hint="eastAsia" w:ascii="宋体" w:hAnsi="宋体" w:eastAsia="宋体" w:cs="Trebuchet MS"/>
          <w:sz w:val="24"/>
          <w:szCs w:val="24"/>
          <w:lang w:bidi="ar"/>
        </w:rPr>
      </w:pPr>
      <w:r>
        <w:rPr>
          <w:rFonts w:hint="eastAsia" w:ascii="宋体" w:hAnsi="宋体" w:eastAsia="宋体" w:cs="Trebuchet MS"/>
          <w:sz w:val="24"/>
          <w:szCs w:val="24"/>
          <w:lang w:bidi="ar"/>
        </w:rPr>
        <w:t>（4）因情况变化，不再符合规定的竞争性磋商采购方式适用情形的。</w:t>
      </w:r>
    </w:p>
    <w:p w14:paraId="11149AD1">
      <w:pPr>
        <w:spacing w:line="276" w:lineRule="auto"/>
        <w:ind w:firstLine="420"/>
        <w:rPr>
          <w:rFonts w:hint="eastAsia" w:ascii="宋体" w:hAnsi="宋体" w:eastAsia="宋体" w:cs="Trebuchet MS"/>
          <w:b/>
          <w:bCs/>
          <w:sz w:val="24"/>
          <w:szCs w:val="24"/>
        </w:rPr>
      </w:pPr>
      <w:bookmarkStart w:id="33" w:name="_Toc518485127"/>
      <w:r>
        <w:rPr>
          <w:rFonts w:hint="eastAsia" w:ascii="宋体" w:hAnsi="宋体" w:eastAsia="宋体" w:cs="Trebuchet MS"/>
          <w:b/>
          <w:bCs/>
          <w:sz w:val="24"/>
          <w:szCs w:val="24"/>
        </w:rPr>
        <w:t>15、评审方法和标准。</w:t>
      </w:r>
      <w:bookmarkEnd w:id="33"/>
    </w:p>
    <w:p w14:paraId="3AEBE4F5">
      <w:pPr>
        <w:spacing w:line="276" w:lineRule="auto"/>
        <w:ind w:firstLine="420"/>
        <w:rPr>
          <w:rFonts w:ascii="宋体" w:hAnsi="宋体" w:eastAsia="宋体"/>
          <w:b/>
          <w:sz w:val="24"/>
          <w:szCs w:val="24"/>
          <w:lang w:val="zh-CN"/>
        </w:rPr>
      </w:pPr>
      <w:r>
        <w:rPr>
          <w:rFonts w:hint="eastAsia" w:ascii="宋体" w:hAnsi="宋体" w:eastAsia="宋体"/>
          <w:sz w:val="24"/>
          <w:szCs w:val="24"/>
          <w:lang w:val="zh-CN"/>
        </w:rPr>
        <w:t>采用综合评分法。</w:t>
      </w:r>
      <w:r>
        <w:rPr>
          <w:rFonts w:hint="eastAsia" w:ascii="宋体" w:hAnsi="宋体" w:eastAsia="宋体" w:cs="Trebuchet MS"/>
          <w:bCs/>
          <w:sz w:val="24"/>
          <w:szCs w:val="24"/>
        </w:rPr>
        <w:t>即磋商响应文件满足竞争性磋商文件全部实质性要求，且按照磋商评审因素的量化指标评审得分最高的磋商供应商为成交候选人的磋商方法。</w:t>
      </w:r>
      <w:r>
        <w:rPr>
          <w:rFonts w:hint="eastAsia" w:ascii="宋体" w:hAnsi="宋体" w:eastAsia="宋体"/>
          <w:b/>
          <w:sz w:val="24"/>
          <w:szCs w:val="24"/>
          <w:lang w:val="zh-CN"/>
        </w:rPr>
        <w:t>具体评分标准详见第</w:t>
      </w:r>
      <w:r>
        <w:rPr>
          <w:rFonts w:hint="eastAsia" w:ascii="宋体" w:hAnsi="宋体" w:eastAsia="宋体"/>
          <w:b/>
          <w:sz w:val="24"/>
          <w:szCs w:val="24"/>
        </w:rPr>
        <w:t>三</w:t>
      </w:r>
      <w:r>
        <w:rPr>
          <w:rFonts w:hint="eastAsia" w:ascii="宋体" w:hAnsi="宋体" w:eastAsia="宋体"/>
          <w:b/>
          <w:sz w:val="24"/>
          <w:szCs w:val="24"/>
          <w:lang w:val="zh-CN"/>
        </w:rPr>
        <w:t>章。</w:t>
      </w:r>
    </w:p>
    <w:p w14:paraId="64474ACD">
      <w:pPr>
        <w:spacing w:line="276" w:lineRule="auto"/>
        <w:ind w:firstLine="420"/>
        <w:rPr>
          <w:rFonts w:hint="eastAsia" w:ascii="宋体" w:hAnsi="宋体" w:eastAsia="宋体" w:cs="Trebuchet MS"/>
          <w:b/>
          <w:sz w:val="24"/>
          <w:szCs w:val="24"/>
          <w:lang w:bidi="ar"/>
        </w:rPr>
      </w:pPr>
      <w:r>
        <w:rPr>
          <w:rFonts w:hint="eastAsia" w:ascii="宋体" w:hAnsi="宋体" w:eastAsia="宋体" w:cs="Trebuchet MS"/>
          <w:b/>
          <w:bCs/>
          <w:sz w:val="24"/>
          <w:szCs w:val="24"/>
        </w:rPr>
        <w:t>16、</w:t>
      </w:r>
      <w:r>
        <w:rPr>
          <w:rFonts w:hint="eastAsia" w:ascii="宋体" w:hAnsi="宋体" w:eastAsia="宋体" w:cs="Trebuchet MS"/>
          <w:b/>
          <w:sz w:val="24"/>
          <w:szCs w:val="24"/>
          <w:lang w:bidi="ar"/>
        </w:rPr>
        <w:t>确定成交供应商</w:t>
      </w:r>
    </w:p>
    <w:p w14:paraId="040D9DAC">
      <w:pPr>
        <w:spacing w:line="276" w:lineRule="auto"/>
        <w:ind w:firstLine="420"/>
        <w:rPr>
          <w:rFonts w:ascii="宋体" w:hAnsi="宋体" w:eastAsia="宋体" w:cs="Trebuchet MS"/>
          <w:sz w:val="24"/>
          <w:szCs w:val="24"/>
          <w:lang w:val="zh-CN"/>
        </w:rPr>
      </w:pPr>
      <w:r>
        <w:rPr>
          <w:rFonts w:hint="eastAsia" w:ascii="宋体" w:hAnsi="宋体" w:eastAsia="宋体" w:cs="Trebuchet MS"/>
          <w:sz w:val="24"/>
          <w:szCs w:val="24"/>
          <w:lang w:val="zh-CN"/>
        </w:rPr>
        <w:t>磋商小组对质量和服务均能满足竞争性磋商文件实质性要求的供应商，综合比较与评价后，按评审后得分由高到低顺序排列。得分相同的，按磋商报价由低到高顺序排列。得分且磋商报价相同的并列。磋商响应文件满足竞争性磋商文件全部实质性要求，且按照评审因素的量化指标评审得分最高的供应商为排名第一的成交候选人。</w:t>
      </w:r>
    </w:p>
    <w:p w14:paraId="14EC4C9D">
      <w:pPr>
        <w:spacing w:line="276" w:lineRule="auto"/>
        <w:ind w:firstLine="420"/>
        <w:rPr>
          <w:rFonts w:ascii="宋体" w:hAnsi="宋体" w:eastAsia="宋体" w:cs="Trebuchet MS"/>
          <w:b/>
          <w:bCs/>
          <w:sz w:val="24"/>
          <w:szCs w:val="24"/>
        </w:rPr>
      </w:pPr>
      <w:r>
        <w:rPr>
          <w:rFonts w:hint="eastAsia" w:ascii="宋体" w:hAnsi="宋体" w:eastAsia="宋体" w:cs="Trebuchet MS"/>
          <w:b/>
          <w:bCs/>
          <w:sz w:val="24"/>
          <w:szCs w:val="24"/>
          <w:lang w:val="zh-CN"/>
        </w:rPr>
        <w:t>1</w:t>
      </w:r>
      <w:r>
        <w:rPr>
          <w:rFonts w:hint="eastAsia" w:ascii="宋体" w:hAnsi="宋体" w:eastAsia="宋体" w:cs="Trebuchet MS"/>
          <w:b/>
          <w:bCs/>
          <w:sz w:val="24"/>
          <w:szCs w:val="24"/>
        </w:rPr>
        <w:t>7</w:t>
      </w:r>
      <w:r>
        <w:rPr>
          <w:rFonts w:hint="eastAsia" w:ascii="宋体" w:hAnsi="宋体" w:eastAsia="宋体" w:cs="Trebuchet MS"/>
          <w:b/>
          <w:bCs/>
          <w:sz w:val="24"/>
          <w:szCs w:val="24"/>
          <w:lang w:val="zh-CN"/>
        </w:rPr>
        <w:t>．编写磋商报告</w:t>
      </w:r>
    </w:p>
    <w:p w14:paraId="59C680CC">
      <w:pPr>
        <w:spacing w:line="276" w:lineRule="auto"/>
        <w:ind w:firstLine="420"/>
        <w:rPr>
          <w:rFonts w:ascii="宋体" w:hAnsi="宋体" w:eastAsia="宋体" w:cs="Trebuchet MS"/>
          <w:sz w:val="24"/>
          <w:szCs w:val="24"/>
        </w:rPr>
      </w:pPr>
      <w:r>
        <w:rPr>
          <w:rFonts w:hint="eastAsia" w:ascii="宋体" w:hAnsi="宋体" w:eastAsia="宋体" w:cs="Trebuchet MS"/>
          <w:sz w:val="24"/>
          <w:szCs w:val="24"/>
          <w:lang w:val="zh-CN"/>
        </w:rPr>
        <w:t>磋商委员会根据全体磋商成员签字的原始评标记录和评标结果编写磋商报告或由苏采云系统签章生成的磋商报告。</w:t>
      </w:r>
    </w:p>
    <w:p w14:paraId="73EA1889">
      <w:pPr>
        <w:spacing w:line="276" w:lineRule="auto"/>
        <w:ind w:firstLine="413"/>
        <w:rPr>
          <w:rFonts w:ascii="宋体" w:hAnsi="宋体" w:eastAsia="宋体" w:cs="Trebuchet MS"/>
          <w:b/>
          <w:bCs/>
          <w:sz w:val="24"/>
          <w:szCs w:val="24"/>
          <w:lang w:val="zh-CN"/>
        </w:rPr>
      </w:pPr>
      <w:r>
        <w:rPr>
          <w:rFonts w:hint="eastAsia" w:ascii="宋体" w:hAnsi="宋体" w:eastAsia="宋体" w:cs="Trebuchet MS"/>
          <w:b/>
          <w:bCs/>
          <w:sz w:val="24"/>
          <w:szCs w:val="24"/>
          <w:lang w:val="zh-CN"/>
        </w:rPr>
        <w:t>1</w:t>
      </w:r>
      <w:r>
        <w:rPr>
          <w:rFonts w:hint="eastAsia" w:ascii="宋体" w:hAnsi="宋体" w:eastAsia="宋体" w:cs="Trebuchet MS"/>
          <w:b/>
          <w:bCs/>
          <w:sz w:val="24"/>
          <w:szCs w:val="24"/>
        </w:rPr>
        <w:t>8</w:t>
      </w:r>
      <w:r>
        <w:rPr>
          <w:rFonts w:hint="eastAsia" w:ascii="宋体" w:hAnsi="宋体" w:eastAsia="宋体" w:cs="Trebuchet MS"/>
          <w:b/>
          <w:bCs/>
          <w:sz w:val="24"/>
          <w:szCs w:val="24"/>
          <w:lang w:val="zh-CN"/>
        </w:rPr>
        <w:t>.成交通知书</w:t>
      </w:r>
    </w:p>
    <w:p w14:paraId="51F0A704">
      <w:pPr>
        <w:spacing w:line="276" w:lineRule="auto"/>
        <w:ind w:firstLine="420"/>
        <w:rPr>
          <w:rFonts w:hint="eastAsia" w:ascii="宋体" w:hAnsi="宋体" w:eastAsia="宋体" w:cs="Trebuchet MS"/>
          <w:sz w:val="24"/>
          <w:szCs w:val="24"/>
        </w:rPr>
      </w:pPr>
      <w:r>
        <w:rPr>
          <w:rFonts w:hint="eastAsia" w:ascii="宋体" w:hAnsi="宋体" w:eastAsia="宋体" w:cs="Trebuchet MS"/>
          <w:sz w:val="24"/>
          <w:szCs w:val="24"/>
        </w:rPr>
        <w:t>18.1（1）供应商在中标(成交)后，应按竞争性磋商文件要求，将前述6.8由信用承诺书替代的证明材料提交采购人或采购代理机构核验。经核验无误后，由采购人或采购代理机构发出中标(成交)通知书。</w:t>
      </w:r>
    </w:p>
    <w:p w14:paraId="63450986">
      <w:pPr>
        <w:spacing w:line="276" w:lineRule="auto"/>
        <w:ind w:firstLine="420"/>
        <w:rPr>
          <w:rFonts w:hint="eastAsia" w:ascii="宋体" w:hAnsi="宋体" w:eastAsia="宋体" w:cs="Trebuchet MS"/>
          <w:b/>
          <w:bCs/>
          <w:sz w:val="24"/>
          <w:szCs w:val="24"/>
          <w:lang w:val="zh-CN"/>
        </w:rPr>
      </w:pPr>
      <w:r>
        <w:rPr>
          <w:rFonts w:hint="eastAsia" w:ascii="宋体" w:hAnsi="宋体" w:eastAsia="宋体" w:cs="Trebuchet MS"/>
          <w:sz w:val="24"/>
          <w:szCs w:val="24"/>
        </w:rPr>
        <w:t>（2）成交供应商确定后将在江苏政府采购网网站进行公示，公示期为1个工作日，公示结束后向成交供应商发出成交通知书。成交通知书对采购人和成交供应商具有同等法律效力。</w:t>
      </w:r>
    </w:p>
    <w:p w14:paraId="59790A9F">
      <w:pPr>
        <w:spacing w:line="276" w:lineRule="auto"/>
        <w:ind w:firstLine="420"/>
        <w:rPr>
          <w:rFonts w:ascii="宋体" w:hAnsi="宋体" w:eastAsia="宋体" w:cs="Trebuchet MS"/>
          <w:sz w:val="24"/>
          <w:szCs w:val="24"/>
          <w:lang w:val="zh-CN"/>
        </w:rPr>
      </w:pPr>
      <w:r>
        <w:rPr>
          <w:rFonts w:hint="eastAsia" w:ascii="宋体" w:hAnsi="宋体" w:eastAsia="宋体" w:cs="Trebuchet MS"/>
          <w:bCs/>
          <w:sz w:val="24"/>
          <w:szCs w:val="24"/>
          <w:lang w:val="zh-CN"/>
        </w:rPr>
        <w:t>（3）</w:t>
      </w:r>
      <w:r>
        <w:rPr>
          <w:rFonts w:hint="eastAsia" w:ascii="宋体" w:hAnsi="宋体" w:eastAsia="宋体" w:cs="Trebuchet MS"/>
          <w:sz w:val="24"/>
          <w:szCs w:val="24"/>
          <w:lang w:val="zh-CN"/>
        </w:rPr>
        <w:t>在投标有效期期满之前,采购单位将以书面形式通知成交供应商，并确认其磋商响应已被接受。</w:t>
      </w:r>
    </w:p>
    <w:p w14:paraId="3F3A2309">
      <w:pPr>
        <w:spacing w:line="276" w:lineRule="auto"/>
        <w:ind w:firstLine="420"/>
        <w:rPr>
          <w:rFonts w:ascii="宋体" w:hAnsi="宋体" w:eastAsia="宋体" w:cs="Trebuchet MS"/>
          <w:sz w:val="24"/>
          <w:szCs w:val="24"/>
          <w:lang w:val="zh-CN"/>
        </w:rPr>
      </w:pPr>
      <w:r>
        <w:rPr>
          <w:rFonts w:hint="eastAsia" w:ascii="宋体" w:hAnsi="宋体" w:eastAsia="宋体" w:cs="Trebuchet MS"/>
          <w:bCs/>
          <w:sz w:val="24"/>
          <w:szCs w:val="24"/>
          <w:lang w:val="zh-CN"/>
        </w:rPr>
        <w:t>1</w:t>
      </w:r>
      <w:r>
        <w:rPr>
          <w:rFonts w:hint="eastAsia" w:ascii="宋体" w:hAnsi="宋体" w:eastAsia="宋体" w:cs="Trebuchet MS"/>
          <w:bCs/>
          <w:sz w:val="24"/>
          <w:szCs w:val="24"/>
        </w:rPr>
        <w:t>8</w:t>
      </w:r>
      <w:r>
        <w:rPr>
          <w:rFonts w:hint="eastAsia" w:ascii="宋体" w:hAnsi="宋体" w:eastAsia="宋体" w:cs="Trebuchet MS"/>
          <w:bCs/>
          <w:sz w:val="24"/>
          <w:szCs w:val="24"/>
          <w:lang w:val="zh-CN"/>
        </w:rPr>
        <w:t>.2</w:t>
      </w:r>
      <w:r>
        <w:rPr>
          <w:rFonts w:hint="eastAsia" w:ascii="宋体" w:hAnsi="宋体" w:eastAsia="宋体" w:cs="Trebuchet MS"/>
          <w:sz w:val="24"/>
          <w:szCs w:val="24"/>
          <w:lang w:val="zh-CN"/>
        </w:rPr>
        <w:t>成交通知书将是合同的一个组成部分。</w:t>
      </w:r>
    </w:p>
    <w:p w14:paraId="54D9EB73">
      <w:pPr>
        <w:spacing w:line="276" w:lineRule="auto"/>
        <w:ind w:firstLine="420"/>
        <w:rPr>
          <w:rFonts w:ascii="宋体" w:hAnsi="宋体" w:eastAsia="宋体" w:cs="Trebuchet MS"/>
          <w:b/>
          <w:sz w:val="24"/>
          <w:szCs w:val="24"/>
        </w:rPr>
      </w:pPr>
      <w:r>
        <w:rPr>
          <w:rFonts w:hint="eastAsia" w:ascii="宋体" w:hAnsi="宋体" w:eastAsia="宋体" w:cs="Trebuchet MS"/>
          <w:sz w:val="24"/>
          <w:szCs w:val="24"/>
        </w:rPr>
        <w:t>18.3</w:t>
      </w:r>
      <w:r>
        <w:rPr>
          <w:rFonts w:hint="eastAsia" w:ascii="宋体" w:hAnsi="宋体" w:eastAsia="宋体" w:cs="Trebuchet MS"/>
          <w:b/>
          <w:sz w:val="24"/>
          <w:szCs w:val="24"/>
        </w:rPr>
        <w:t>成交通知书发出后，成交供应商除发生法律规定的不能预见、不能避免并不能克服的客观情况外不得放弃或拒绝签订合同的。</w:t>
      </w:r>
    </w:p>
    <w:p w14:paraId="320E3468">
      <w:pPr>
        <w:tabs>
          <w:tab w:val="left" w:pos="1260"/>
        </w:tabs>
        <w:spacing w:line="276" w:lineRule="auto"/>
        <w:ind w:firstLine="420"/>
        <w:rPr>
          <w:rFonts w:ascii="宋体" w:hAnsi="宋体" w:eastAsia="宋体" w:cs="Trebuchet MS"/>
          <w:sz w:val="24"/>
          <w:szCs w:val="24"/>
        </w:rPr>
      </w:pPr>
      <w:r>
        <w:rPr>
          <w:rFonts w:hint="eastAsia" w:ascii="宋体" w:hAnsi="宋体" w:eastAsia="宋体" w:cs="Trebuchet MS"/>
          <w:sz w:val="24"/>
          <w:szCs w:val="24"/>
        </w:rPr>
        <w:t>18.4采购代理机构对未成交的供应商不作未成交原因的解释。</w:t>
      </w:r>
    </w:p>
    <w:p w14:paraId="6438C098">
      <w:pPr>
        <w:spacing w:line="276" w:lineRule="auto"/>
        <w:ind w:firstLine="420"/>
        <w:rPr>
          <w:rFonts w:hint="eastAsia" w:ascii="宋体" w:hAnsi="宋体" w:eastAsia="宋体" w:cs="Trebuchet MS"/>
          <w:sz w:val="24"/>
          <w:szCs w:val="24"/>
        </w:rPr>
      </w:pPr>
      <w:r>
        <w:rPr>
          <w:rFonts w:hint="eastAsia" w:ascii="宋体" w:hAnsi="宋体" w:eastAsia="宋体" w:cs="Trebuchet MS"/>
          <w:sz w:val="24"/>
          <w:szCs w:val="24"/>
        </w:rPr>
        <w:t>18.5所有磋商响应文件都将作为档案保存，不论成交与否，采购代理机构均不退回。</w:t>
      </w:r>
    </w:p>
    <w:p w14:paraId="0B223333">
      <w:pPr>
        <w:spacing w:line="276" w:lineRule="auto"/>
        <w:ind w:firstLine="420"/>
        <w:rPr>
          <w:rFonts w:ascii="宋体" w:hAnsi="宋体" w:eastAsia="宋体" w:cs="Trebuchet MS"/>
          <w:bCs/>
          <w:sz w:val="24"/>
          <w:szCs w:val="24"/>
        </w:rPr>
      </w:pPr>
      <w:r>
        <w:rPr>
          <w:rFonts w:hint="eastAsia" w:ascii="宋体" w:hAnsi="宋体" w:eastAsia="宋体" w:cs="Trebuchet MS"/>
          <w:b/>
          <w:sz w:val="24"/>
          <w:szCs w:val="24"/>
        </w:rPr>
        <w:t>19、签订合同</w:t>
      </w:r>
    </w:p>
    <w:p w14:paraId="1C550407">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19.1成交供应商应当自成交通知书发出之日起三十日内，与采购单位签订政府采购合同，所签订的合同不得对</w:t>
      </w:r>
      <w:r>
        <w:rPr>
          <w:rFonts w:hint="eastAsia" w:ascii="宋体" w:hAnsi="宋体" w:eastAsia="宋体" w:cs="Trebuchet MS"/>
          <w:sz w:val="24"/>
          <w:szCs w:val="24"/>
          <w:lang w:val="zh-CN"/>
        </w:rPr>
        <w:t>竞争性磋商文件</w:t>
      </w:r>
      <w:r>
        <w:rPr>
          <w:rFonts w:hint="eastAsia" w:ascii="宋体" w:hAnsi="宋体" w:eastAsia="宋体" w:cs="Trebuchet MS"/>
          <w:bCs/>
          <w:sz w:val="24"/>
          <w:szCs w:val="24"/>
        </w:rPr>
        <w:t>和磋商响应文件作实质性修改。</w:t>
      </w:r>
    </w:p>
    <w:p w14:paraId="3FD07CEB">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19.2采购单位不得向成交供应商提出任何不合理的要求作为签订合同的条件，不得与成交供应商私下订立背离合同实质性内容的协议。</w:t>
      </w:r>
    </w:p>
    <w:p w14:paraId="60F61C7D">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19.3成交通知书发出后，采购单位改变成交结果或拒绝签订合同的，应至少向成交供应商支付与磋商保证金相等的补偿金，以及供应商为参加磋商所发生的有关费用和双方商定的其他补偿，并承担相应的法律责任。</w:t>
      </w:r>
    </w:p>
    <w:p w14:paraId="19C4008B">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19.4成交供应商因不可抗力或者自身原因不能履行政府采购合同的，采购单位可以视情与排位在成交供应商之后第一位的成交候选供应商签订政府采购合同，以此类推。</w:t>
      </w:r>
    </w:p>
    <w:p w14:paraId="4CB28310">
      <w:pPr>
        <w:spacing w:line="276" w:lineRule="auto"/>
        <w:ind w:firstLine="420"/>
        <w:rPr>
          <w:rFonts w:ascii="宋体" w:hAnsi="宋体" w:eastAsia="宋体" w:cs="Trebuchet MS"/>
          <w:bCs/>
          <w:sz w:val="24"/>
          <w:szCs w:val="24"/>
        </w:rPr>
      </w:pPr>
      <w:r>
        <w:rPr>
          <w:rFonts w:hint="eastAsia" w:ascii="宋体" w:hAnsi="宋体" w:eastAsia="宋体" w:cs="Trebuchet MS"/>
          <w:bCs/>
          <w:sz w:val="24"/>
          <w:szCs w:val="24"/>
        </w:rPr>
        <w:t>19.5政府采购合同履行中，经双方协商一致，在不改变合同其他条款的前提下，可以与成交供应商签订补充合同，但所有补充合同的采购金额不得超过原合同采购金额的百分之十。</w:t>
      </w:r>
    </w:p>
    <w:p w14:paraId="6D0F91F1">
      <w:pPr>
        <w:pStyle w:val="411"/>
        <w:spacing w:line="276" w:lineRule="auto"/>
        <w:rPr>
          <w:rFonts w:ascii="宋体" w:hAnsi="宋体" w:eastAsia="宋体"/>
          <w:bCs/>
        </w:rPr>
      </w:pPr>
      <w:bookmarkStart w:id="34" w:name="_Toc85525788"/>
      <w:bookmarkStart w:id="35" w:name="_Toc190329536"/>
      <w:bookmarkStart w:id="36" w:name="_Toc187996572"/>
      <w:r>
        <w:rPr>
          <w:rFonts w:hint="eastAsia" w:ascii="宋体" w:hAnsi="宋体" w:eastAsia="宋体"/>
        </w:rPr>
        <w:t>五、质疑和投诉</w:t>
      </w:r>
      <w:bookmarkEnd w:id="34"/>
      <w:bookmarkEnd w:id="35"/>
      <w:bookmarkEnd w:id="36"/>
    </w:p>
    <w:p w14:paraId="4856CEAB">
      <w:pPr>
        <w:spacing w:line="276" w:lineRule="auto"/>
        <w:ind w:firstLine="420"/>
        <w:rPr>
          <w:rFonts w:ascii="宋体" w:hAnsi="宋体" w:eastAsia="宋体" w:cs="Trebuchet MS"/>
          <w:bCs/>
        </w:rPr>
      </w:pPr>
      <w:r>
        <w:rPr>
          <w:rFonts w:hint="eastAsia" w:ascii="宋体" w:hAnsi="宋体" w:eastAsia="宋体" w:cs="Trebuchet MS"/>
          <w:b/>
        </w:rPr>
        <w:t>20、质疑</w:t>
      </w:r>
    </w:p>
    <w:p w14:paraId="0D3901E3">
      <w:pPr>
        <w:spacing w:line="276" w:lineRule="auto"/>
        <w:ind w:firstLine="420"/>
        <w:rPr>
          <w:rFonts w:ascii="宋体" w:hAnsi="宋体" w:eastAsia="宋体" w:cs="Trebuchet MS"/>
          <w:bCs/>
        </w:rPr>
      </w:pPr>
      <w:r>
        <w:rPr>
          <w:rFonts w:hint="eastAsia" w:ascii="宋体" w:hAnsi="宋体" w:eastAsia="宋体" w:cs="Trebuchet MS"/>
          <w:bCs/>
        </w:rPr>
        <w:t>20.1供应商对招标活动事项有疑问的，可以向采购单位提出询问，采购单位将依法作出答复，但答复的内容不涉及商业秘密。</w:t>
      </w:r>
    </w:p>
    <w:p w14:paraId="3BCE185F">
      <w:pPr>
        <w:spacing w:line="276" w:lineRule="auto"/>
        <w:ind w:firstLine="420"/>
        <w:rPr>
          <w:rFonts w:ascii="宋体" w:hAnsi="宋体" w:eastAsia="宋体" w:cs="Trebuchet MS"/>
          <w:bCs/>
        </w:rPr>
      </w:pPr>
      <w:r>
        <w:rPr>
          <w:rFonts w:hint="eastAsia" w:ascii="宋体" w:hAnsi="宋体" w:eastAsia="宋体" w:cs="Trebuchet MS"/>
          <w:bCs/>
        </w:rPr>
        <w:t>20.2供应商认为竞争性磋商文件、采购过程和成交结果使自己的合法权益受到损害的，可以在知道或者应当知道其权益受到损害之日起</w:t>
      </w:r>
      <w:r>
        <w:rPr>
          <w:rFonts w:hint="eastAsia" w:ascii="宋体" w:hAnsi="宋体" w:eastAsia="宋体" w:cs="Trebuchet MS"/>
          <w:b/>
        </w:rPr>
        <w:t>七个工作日</w:t>
      </w:r>
      <w:r>
        <w:rPr>
          <w:rFonts w:hint="eastAsia" w:ascii="宋体" w:hAnsi="宋体" w:eastAsia="宋体" w:cs="Trebuchet MS"/>
          <w:bCs/>
        </w:rPr>
        <w:t>内，将质疑文件原件送达采购单位。</w:t>
      </w:r>
    </w:p>
    <w:p w14:paraId="18BC14E2">
      <w:pPr>
        <w:spacing w:line="276" w:lineRule="auto"/>
        <w:ind w:firstLine="420"/>
        <w:rPr>
          <w:rFonts w:ascii="宋体" w:hAnsi="宋体" w:eastAsia="宋体" w:cs="Trebuchet MS"/>
          <w:bCs/>
        </w:rPr>
      </w:pPr>
      <w:r>
        <w:rPr>
          <w:rFonts w:hint="eastAsia" w:ascii="宋体" w:hAnsi="宋体" w:eastAsia="宋体" w:cs="Trebuchet MS"/>
          <w:bCs/>
        </w:rPr>
        <w:t>20.3质疑文件应包括以下主要内容，并按照“谁主张、谁举证”的原则，附上相关证明材料。否则，不予受理：</w:t>
      </w:r>
    </w:p>
    <w:p w14:paraId="584DEB61">
      <w:pPr>
        <w:spacing w:line="276" w:lineRule="auto"/>
        <w:ind w:firstLine="420"/>
        <w:rPr>
          <w:rFonts w:ascii="宋体" w:hAnsi="宋体" w:eastAsia="宋体" w:cs="Trebuchet MS"/>
          <w:bCs/>
        </w:rPr>
      </w:pPr>
      <w:r>
        <w:rPr>
          <w:rFonts w:hint="eastAsia" w:ascii="宋体" w:hAnsi="宋体" w:eastAsia="宋体" w:cs="Trebuchet MS"/>
          <w:bCs/>
        </w:rPr>
        <w:t>（1）质疑项目名称、项目编号、包号、招标公告发布时间、开标时间；</w:t>
      </w:r>
    </w:p>
    <w:p w14:paraId="61DA170C">
      <w:pPr>
        <w:spacing w:line="276" w:lineRule="auto"/>
        <w:ind w:firstLine="420"/>
        <w:rPr>
          <w:rFonts w:ascii="宋体" w:hAnsi="宋体" w:eastAsia="宋体" w:cs="Trebuchet MS"/>
          <w:bCs/>
        </w:rPr>
      </w:pPr>
      <w:r>
        <w:rPr>
          <w:rFonts w:hint="eastAsia" w:ascii="宋体" w:hAnsi="宋体" w:eastAsia="宋体" w:cs="Trebuchet MS"/>
          <w:bCs/>
        </w:rPr>
        <w:t>（2）具体的质疑事项及法律依据（具体条款）；</w:t>
      </w:r>
    </w:p>
    <w:p w14:paraId="1F408004">
      <w:pPr>
        <w:spacing w:line="276" w:lineRule="auto"/>
        <w:ind w:firstLine="420"/>
        <w:rPr>
          <w:rFonts w:ascii="宋体" w:hAnsi="宋体" w:eastAsia="宋体" w:cs="Trebuchet MS"/>
          <w:bCs/>
        </w:rPr>
      </w:pPr>
      <w:r>
        <w:rPr>
          <w:rFonts w:hint="eastAsia" w:ascii="宋体" w:hAnsi="宋体" w:eastAsia="宋体" w:cs="Trebuchet MS"/>
          <w:bCs/>
        </w:rPr>
        <w:t>（3）质疑相关证明文件或证明材料；</w:t>
      </w:r>
    </w:p>
    <w:p w14:paraId="5640BF5D">
      <w:pPr>
        <w:spacing w:line="276" w:lineRule="auto"/>
        <w:ind w:firstLine="420"/>
        <w:rPr>
          <w:rFonts w:ascii="宋体" w:hAnsi="宋体" w:eastAsia="宋体" w:cs="Trebuchet MS"/>
          <w:bCs/>
        </w:rPr>
      </w:pPr>
      <w:r>
        <w:rPr>
          <w:rFonts w:hint="eastAsia" w:ascii="宋体" w:hAnsi="宋体" w:eastAsia="宋体" w:cs="Trebuchet MS"/>
          <w:bCs/>
        </w:rPr>
        <w:t>（4）质疑供应商名称、地址、联系方式（包括手机、传真号码）；</w:t>
      </w:r>
    </w:p>
    <w:p w14:paraId="1660216E">
      <w:pPr>
        <w:spacing w:line="276" w:lineRule="auto"/>
        <w:ind w:firstLine="420"/>
        <w:rPr>
          <w:rFonts w:hint="eastAsia" w:ascii="宋体" w:hAnsi="宋体" w:eastAsia="宋体" w:cs="Trebuchet MS"/>
          <w:bCs/>
        </w:rPr>
      </w:pPr>
      <w:r>
        <w:rPr>
          <w:rFonts w:hint="eastAsia" w:ascii="宋体" w:hAnsi="宋体" w:eastAsia="宋体" w:cs="Trebuchet MS"/>
          <w:bCs/>
        </w:rPr>
        <w:t>（5）法定代表人签署本人姓名或印盖本人姓名章并加盖单位公章，或法定代表人授权委托代理人加盖单位公章，并由参加采购项目的授权委托代理人签署本人姓名或印盖本人姓名章等。</w:t>
      </w:r>
    </w:p>
    <w:p w14:paraId="23171346">
      <w:pPr>
        <w:spacing w:line="276" w:lineRule="auto"/>
        <w:ind w:firstLine="420"/>
        <w:rPr>
          <w:rFonts w:hint="eastAsia" w:ascii="宋体" w:hAnsi="宋体" w:eastAsia="宋体" w:cs="Trebuchet MS"/>
          <w:bCs/>
        </w:rPr>
      </w:pPr>
      <w:r>
        <w:rPr>
          <w:rFonts w:hint="eastAsia" w:ascii="宋体" w:hAnsi="宋体" w:eastAsia="宋体" w:cs="Trebuchet MS"/>
          <w:bCs/>
        </w:rPr>
        <w:t>20.4质疑供应商是指直接参加本项目采购活动的供应商；对竞争性磋商文件提出质疑的，应自供应商获得竞争性磋商文件之日起计算，且应当在提交磋商响应文件截止之日前提出；对采购过程提出质疑的，自采购程序环节结束之日起计算；对成交结果提出质疑的，自成交结果公告之日起计算。</w:t>
      </w:r>
    </w:p>
    <w:p w14:paraId="3146A6F6">
      <w:pPr>
        <w:spacing w:line="276" w:lineRule="auto"/>
        <w:ind w:firstLine="420"/>
        <w:rPr>
          <w:rFonts w:hint="eastAsia" w:ascii="宋体" w:hAnsi="宋体" w:eastAsia="宋体" w:cs="宋体"/>
          <w:szCs w:val="21"/>
        </w:rPr>
      </w:pPr>
      <w:r>
        <w:rPr>
          <w:rFonts w:hint="eastAsia" w:ascii="宋体" w:hAnsi="宋体" w:eastAsia="宋体" w:cs="宋体"/>
          <w:szCs w:val="21"/>
        </w:rPr>
        <w:t>20.5</w:t>
      </w:r>
      <w:r>
        <w:rPr>
          <w:rFonts w:hint="eastAsia" w:ascii="宋体" w:hAnsi="宋体" w:eastAsia="宋体" w:cs="宋体"/>
          <w:szCs w:val="21"/>
          <w:lang w:val="zh-CN"/>
        </w:rPr>
        <w:t>供应商不得虚假质疑和恶意质疑，并对质疑内容的真实性承担责任。</w:t>
      </w:r>
      <w:r>
        <w:rPr>
          <w:rFonts w:hint="eastAsia" w:ascii="宋体" w:hAnsi="宋体" w:eastAsia="宋体" w:cs="宋体"/>
          <w:szCs w:val="21"/>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5101EA43">
      <w:pPr>
        <w:spacing w:line="276" w:lineRule="auto"/>
        <w:ind w:firstLine="420"/>
        <w:rPr>
          <w:rFonts w:hint="eastAsia" w:ascii="宋体" w:hAnsi="宋体" w:eastAsia="宋体" w:cs="Trebuchet MS"/>
          <w:bCs/>
        </w:rPr>
      </w:pPr>
      <w:r>
        <w:rPr>
          <w:rFonts w:hint="eastAsia" w:ascii="宋体" w:hAnsi="宋体" w:eastAsia="宋体" w:cs="宋体"/>
          <w:szCs w:val="21"/>
        </w:rPr>
        <w:t>20.6代理机构在收到供应商的书面质疑后将及时组织调查核实，在</w:t>
      </w:r>
      <w:r>
        <w:rPr>
          <w:rFonts w:hint="eastAsia" w:ascii="宋体" w:hAnsi="宋体" w:eastAsia="宋体" w:cs="宋体"/>
          <w:b/>
          <w:bCs/>
          <w:szCs w:val="21"/>
          <w:lang w:val="zh-CN"/>
        </w:rPr>
        <w:t>七个工作日内</w:t>
      </w:r>
      <w:r>
        <w:rPr>
          <w:rFonts w:hint="eastAsia" w:ascii="宋体" w:hAnsi="宋体" w:eastAsia="宋体" w:cs="宋体"/>
          <w:szCs w:val="21"/>
          <w:lang w:val="zh-CN"/>
        </w:rPr>
        <w:t>作出答复，并以书面或在网站公告形式通知质疑供应商和其他有关供应商，答复的内容不涉及商业秘密。</w:t>
      </w:r>
      <w:r>
        <w:rPr>
          <w:rFonts w:hint="eastAsia" w:ascii="宋体" w:hAnsi="宋体" w:eastAsia="宋体" w:cs="宋体"/>
          <w:szCs w:val="21"/>
        </w:rPr>
        <w:t>代理机构遵循“谁过错谁负担”的原则，有过错的一方承担调查论证费用。</w:t>
      </w:r>
    </w:p>
    <w:p w14:paraId="2D23D6B0">
      <w:pPr>
        <w:spacing w:line="276" w:lineRule="auto"/>
        <w:ind w:firstLine="422"/>
        <w:rPr>
          <w:rFonts w:ascii="宋体" w:hAnsi="宋体" w:eastAsia="宋体" w:cs="Trebuchet MS"/>
          <w:b/>
          <w:szCs w:val="21"/>
          <w:lang w:bidi="ar"/>
        </w:rPr>
      </w:pPr>
      <w:r>
        <w:rPr>
          <w:rFonts w:hint="eastAsia" w:ascii="宋体" w:hAnsi="宋体" w:eastAsia="宋体"/>
          <w:b/>
        </w:rPr>
        <w:t>21</w:t>
      </w:r>
      <w:r>
        <w:rPr>
          <w:rFonts w:hint="eastAsia" w:ascii="宋体" w:hAnsi="宋体" w:eastAsia="宋体"/>
          <w:b/>
          <w:lang w:val="zh-CN"/>
        </w:rPr>
        <w:t>.</w:t>
      </w:r>
      <w:r>
        <w:rPr>
          <w:rFonts w:hint="eastAsia" w:ascii="宋体" w:hAnsi="宋体" w:eastAsia="宋体" w:cs="Trebuchet MS"/>
          <w:b/>
          <w:szCs w:val="21"/>
          <w:lang w:bidi="ar"/>
        </w:rPr>
        <w:t>投诉</w:t>
      </w:r>
    </w:p>
    <w:p w14:paraId="205E6CDD">
      <w:pPr>
        <w:spacing w:line="276" w:lineRule="auto"/>
        <w:ind w:firstLine="420"/>
        <w:rPr>
          <w:rFonts w:hint="eastAsia" w:ascii="宋体" w:hAnsi="宋体" w:eastAsia="宋体" w:cs="Trebuchet MS"/>
          <w:bCs/>
        </w:rPr>
      </w:pPr>
      <w:r>
        <w:rPr>
          <w:rFonts w:hint="eastAsia" w:ascii="宋体" w:hAnsi="宋体" w:eastAsia="宋体" w:cs="Trebuchet MS"/>
          <w:bCs/>
        </w:rPr>
        <w:t>质疑供应商对采购单位或代理机构的答复不满意或者采购单位或代理机构未在规定的时间内作出答复的，可以在答复期满后十五个工作日内向政府采购监督管理部门投诉。</w:t>
      </w:r>
    </w:p>
    <w:p w14:paraId="6CF02896">
      <w:pPr>
        <w:spacing w:line="276" w:lineRule="auto"/>
        <w:ind w:firstLine="420"/>
        <w:rPr>
          <w:rFonts w:hint="eastAsia" w:ascii="宋体" w:hAnsi="宋体" w:eastAsia="宋体"/>
          <w:b/>
          <w:lang w:val="zh-CN"/>
        </w:rPr>
      </w:pPr>
      <w:r>
        <w:rPr>
          <w:rFonts w:hint="eastAsia" w:ascii="宋体" w:hAnsi="宋体" w:eastAsia="宋体"/>
          <w:b/>
          <w:lang w:val="zh-CN"/>
        </w:rPr>
        <w:t>2</w:t>
      </w:r>
      <w:r>
        <w:rPr>
          <w:rFonts w:hint="eastAsia" w:ascii="宋体" w:hAnsi="宋体" w:eastAsia="宋体"/>
          <w:b/>
        </w:rPr>
        <w:t>2</w:t>
      </w:r>
      <w:r>
        <w:rPr>
          <w:rFonts w:hint="eastAsia" w:ascii="宋体" w:hAnsi="宋体" w:eastAsia="宋体"/>
          <w:b/>
          <w:lang w:val="zh-CN"/>
        </w:rPr>
        <w:t>、诚实信用</w:t>
      </w:r>
    </w:p>
    <w:p w14:paraId="0C34D679">
      <w:pPr>
        <w:spacing w:line="276" w:lineRule="auto"/>
        <w:ind w:firstLine="420"/>
        <w:rPr>
          <w:rFonts w:hint="eastAsia" w:ascii="宋体" w:hAnsi="宋体" w:eastAsia="宋体"/>
          <w:lang w:val="zh-CN"/>
        </w:rPr>
      </w:pPr>
      <w:r>
        <w:rPr>
          <w:rFonts w:ascii="宋体" w:hAnsi="宋体" w:eastAsia="宋体"/>
          <w:lang w:val="zh-CN"/>
        </w:rPr>
        <w:t>2</w:t>
      </w:r>
      <w:r>
        <w:rPr>
          <w:rFonts w:hint="eastAsia" w:ascii="宋体" w:hAnsi="宋体" w:eastAsia="宋体"/>
        </w:rPr>
        <w:t>2</w:t>
      </w:r>
      <w:r>
        <w:rPr>
          <w:rFonts w:ascii="宋体" w:hAnsi="宋体" w:eastAsia="宋体"/>
          <w:lang w:val="zh-CN"/>
        </w:rPr>
        <w:t>.1</w:t>
      </w:r>
      <w:r>
        <w:rPr>
          <w:rFonts w:hint="eastAsia" w:ascii="宋体" w:hAnsi="宋体" w:eastAsia="宋体"/>
          <w:lang w:val="zh-CN"/>
        </w:rPr>
        <w:t>供应商之间不得相互串通磋商报价，不得妨碍其他供应商的公平竞争，不得损害采购人和其他供应商的合法权益。</w:t>
      </w:r>
    </w:p>
    <w:p w14:paraId="1F998A0B">
      <w:pPr>
        <w:spacing w:line="276" w:lineRule="auto"/>
        <w:ind w:firstLine="420"/>
        <w:rPr>
          <w:rFonts w:hint="eastAsia" w:ascii="宋体" w:hAnsi="宋体" w:eastAsia="宋体"/>
        </w:rPr>
      </w:pPr>
      <w:r>
        <w:rPr>
          <w:rFonts w:hint="eastAsia" w:ascii="宋体" w:hAnsi="宋体" w:eastAsia="宋体"/>
          <w:lang w:val="zh-CN"/>
        </w:rPr>
        <w:t>2</w:t>
      </w:r>
      <w:r>
        <w:rPr>
          <w:rFonts w:hint="eastAsia" w:ascii="宋体" w:hAnsi="宋体" w:eastAsia="宋体"/>
        </w:rPr>
        <w:t>2</w:t>
      </w:r>
      <w:r>
        <w:rPr>
          <w:rFonts w:hint="eastAsia" w:ascii="宋体" w:hAnsi="宋体" w:eastAsia="宋体"/>
          <w:lang w:val="zh-CN"/>
        </w:rPr>
        <w:t>.2供应商不得以向代理机构工作人员、评标委员会成员行贿或者采取其他不正当手段谋取中标。经查实供应商有此行为的，</w:t>
      </w:r>
      <w:r>
        <w:rPr>
          <w:rFonts w:ascii="宋体" w:hAnsi="宋体" w:eastAsia="宋体"/>
        </w:rPr>
        <w:t>政府采购管理部门将供应商列入不良行为记录名单，按照《政府采购法》有关规定处理。</w:t>
      </w:r>
    </w:p>
    <w:p w14:paraId="51F347D2">
      <w:pPr>
        <w:spacing w:line="276" w:lineRule="auto"/>
        <w:ind w:firstLine="420"/>
        <w:rPr>
          <w:rFonts w:hint="eastAsia" w:ascii="宋体" w:hAnsi="宋体" w:eastAsia="宋体"/>
          <w:color w:val="000000" w:themeColor="text1"/>
        </w:rPr>
      </w:pPr>
      <w:r>
        <w:rPr>
          <w:rFonts w:hint="eastAsia" w:ascii="宋体" w:hAnsi="宋体" w:eastAsia="宋体"/>
          <w:lang w:val="zh-CN"/>
        </w:rPr>
        <w:t>2</w:t>
      </w:r>
      <w:r>
        <w:rPr>
          <w:rFonts w:hint="eastAsia" w:ascii="宋体" w:hAnsi="宋体" w:eastAsia="宋体"/>
        </w:rPr>
        <w:t>2</w:t>
      </w:r>
      <w:r>
        <w:rPr>
          <w:rFonts w:hint="eastAsia" w:ascii="宋体" w:hAnsi="宋体" w:eastAsia="宋体"/>
          <w:lang w:val="zh-CN"/>
        </w:rPr>
        <w:t>.</w:t>
      </w:r>
      <w:r>
        <w:rPr>
          <w:rFonts w:hint="eastAsia" w:ascii="宋体" w:hAnsi="宋体" w:eastAsia="宋体"/>
          <w:color w:val="000000" w:themeColor="text1"/>
          <w:lang w:val="zh-CN"/>
        </w:rPr>
        <w:t>3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2CA33CDC">
      <w:pPr>
        <w:spacing w:line="276" w:lineRule="auto"/>
        <w:ind w:firstLine="420"/>
        <w:rPr>
          <w:rFonts w:hint="eastAsia" w:ascii="宋体" w:hAnsi="宋体" w:eastAsia="宋体"/>
          <w:lang w:val="zh-CN"/>
        </w:rPr>
      </w:pPr>
      <w:r>
        <w:rPr>
          <w:rFonts w:hint="eastAsia" w:ascii="宋体" w:hAnsi="宋体" w:eastAsia="宋体"/>
          <w:lang w:val="zh-CN"/>
        </w:rPr>
        <w:t>2</w:t>
      </w:r>
      <w:r>
        <w:rPr>
          <w:rFonts w:hint="eastAsia" w:ascii="宋体" w:hAnsi="宋体" w:eastAsia="宋体"/>
        </w:rPr>
        <w:t>2</w:t>
      </w:r>
      <w:r>
        <w:rPr>
          <w:rFonts w:hint="eastAsia" w:ascii="宋体" w:hAnsi="宋体" w:eastAsia="宋体"/>
          <w:lang w:val="zh-CN"/>
        </w:rPr>
        <w:t>.4供应商不得虚假承诺，否则，按照提供虚假材料谋取中标成交处理。</w:t>
      </w:r>
    </w:p>
    <w:p w14:paraId="74AECF63">
      <w:pPr>
        <w:pStyle w:val="347"/>
        <w:spacing w:line="276" w:lineRule="auto"/>
        <w:rPr>
          <w:rFonts w:hint="eastAsia" w:ascii="宋体" w:hAnsi="宋体" w:eastAsia="宋体"/>
          <w:color w:val="000000"/>
        </w:rPr>
      </w:pPr>
      <w:r>
        <w:rPr>
          <w:rFonts w:ascii="宋体" w:hAnsi="宋体" w:eastAsia="宋体"/>
          <w:color w:val="000000"/>
        </w:rPr>
        <w:br w:type="page" w:clear="all"/>
      </w:r>
      <w:bookmarkStart w:id="37" w:name="_Toc190329537"/>
      <w:r>
        <w:rPr>
          <w:rFonts w:hint="eastAsia" w:ascii="宋体" w:hAnsi="宋体" w:eastAsia="宋体"/>
          <w:color w:val="000000"/>
        </w:rPr>
        <w:t>第三章</w:t>
      </w:r>
      <w:bookmarkStart w:id="38" w:name="_Toc503948067"/>
      <w:bookmarkStart w:id="39" w:name="_Toc503948574"/>
      <w:r>
        <w:rPr>
          <w:rFonts w:hint="eastAsia" w:ascii="宋体" w:hAnsi="宋体" w:eastAsia="宋体"/>
          <w:color w:val="000000"/>
        </w:rPr>
        <w:t>磋商评审标准</w:t>
      </w:r>
      <w:bookmarkEnd w:id="26"/>
      <w:bookmarkEnd w:id="37"/>
      <w:bookmarkEnd w:id="38"/>
      <w:bookmarkEnd w:id="39"/>
      <w:bookmarkStart w:id="40" w:name="_Toc85525790"/>
    </w:p>
    <w:bookmarkEnd w:id="40"/>
    <w:p w14:paraId="25A0D843">
      <w:pPr>
        <w:spacing w:line="276" w:lineRule="auto"/>
        <w:rPr>
          <w:rFonts w:hint="eastAsia" w:ascii="宋体" w:hAnsi="宋体" w:eastAsia="宋体"/>
          <w:b/>
          <w:sz w:val="24"/>
          <w:szCs w:val="24"/>
        </w:rPr>
      </w:pPr>
      <w:r>
        <w:rPr>
          <w:rFonts w:hint="eastAsia" w:ascii="宋体" w:hAnsi="宋体" w:eastAsia="宋体"/>
          <w:b/>
          <w:sz w:val="24"/>
          <w:szCs w:val="24"/>
        </w:rPr>
        <w:t>一、采用综合评分法。即电子磋商响应文件满足磋商文件全部实质性要求，且按照磋商评审因素的量化指标评审得分最高的磋商供应商为成交候选人的磋商方法。</w:t>
      </w:r>
    </w:p>
    <w:p w14:paraId="3431130C">
      <w:pPr>
        <w:spacing w:line="276" w:lineRule="auto"/>
        <w:rPr>
          <w:rFonts w:ascii="宋体" w:hAnsi="宋体" w:eastAsia="宋体"/>
          <w:b/>
          <w:sz w:val="24"/>
          <w:szCs w:val="24"/>
        </w:rPr>
      </w:pPr>
      <w:r>
        <w:rPr>
          <w:rFonts w:hint="eastAsia" w:ascii="宋体" w:hAnsi="宋体" w:eastAsia="宋体"/>
          <w:b/>
          <w:sz w:val="24"/>
          <w:szCs w:val="24"/>
        </w:rPr>
        <w:t>二、综合评分法评审评分细则</w:t>
      </w:r>
    </w:p>
    <w:tbl>
      <w:tblPr>
        <w:tblStyle w:val="29"/>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2"/>
        <w:gridCol w:w="901"/>
        <w:gridCol w:w="8168"/>
        <w:gridCol w:w="709"/>
      </w:tblGrid>
      <w:tr w14:paraId="0851C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blHeader/>
          <w:jc w:val="center"/>
        </w:trPr>
        <w:tc>
          <w:tcPr>
            <w:tcW w:w="662" w:type="dxa"/>
            <w:tcBorders>
              <w:top w:val="single" w:color="000000" w:sz="4" w:space="0"/>
              <w:left w:val="single" w:color="000000" w:sz="4" w:space="0"/>
              <w:bottom w:val="single" w:color="000000" w:sz="4" w:space="0"/>
              <w:right w:val="single" w:color="000000" w:sz="4" w:space="0"/>
            </w:tcBorders>
            <w:noWrap w:val="0"/>
            <w:vAlign w:val="top"/>
          </w:tcPr>
          <w:p w14:paraId="144C1C30">
            <w:pPr>
              <w:spacing w:line="276" w:lineRule="auto"/>
              <w:jc w:val="center"/>
              <w:rPr>
                <w:rFonts w:ascii="宋体" w:hAnsi="宋体" w:eastAsia="宋体"/>
                <w:sz w:val="24"/>
                <w:szCs w:val="24"/>
              </w:rPr>
            </w:pPr>
            <w:bookmarkStart w:id="41" w:name="_Toc54118243"/>
            <w:r>
              <w:rPr>
                <w:rFonts w:hint="eastAsia" w:ascii="宋体" w:hAnsi="宋体" w:eastAsia="宋体"/>
                <w:sz w:val="24"/>
                <w:szCs w:val="24"/>
              </w:rPr>
              <w:t>序号</w:t>
            </w:r>
          </w:p>
        </w:tc>
        <w:tc>
          <w:tcPr>
            <w:tcW w:w="901" w:type="dxa"/>
            <w:tcBorders>
              <w:top w:val="single" w:color="000000" w:sz="4" w:space="0"/>
              <w:left w:val="single" w:color="000000" w:sz="4" w:space="0"/>
              <w:bottom w:val="single" w:color="000000" w:sz="4" w:space="0"/>
              <w:right w:val="single" w:color="000000" w:sz="4" w:space="0"/>
            </w:tcBorders>
            <w:noWrap w:val="0"/>
            <w:vAlign w:val="top"/>
          </w:tcPr>
          <w:p w14:paraId="440D8B00">
            <w:pPr>
              <w:spacing w:line="276" w:lineRule="auto"/>
              <w:jc w:val="center"/>
              <w:rPr>
                <w:rFonts w:hint="eastAsia" w:ascii="宋体" w:hAnsi="宋体" w:eastAsia="宋体"/>
                <w:sz w:val="24"/>
                <w:szCs w:val="24"/>
              </w:rPr>
            </w:pPr>
            <w:r>
              <w:rPr>
                <w:rFonts w:hint="eastAsia" w:ascii="宋体" w:hAnsi="宋体" w:eastAsia="宋体"/>
                <w:sz w:val="24"/>
                <w:szCs w:val="24"/>
              </w:rPr>
              <w:t>评分因素</w:t>
            </w:r>
          </w:p>
        </w:tc>
        <w:tc>
          <w:tcPr>
            <w:tcW w:w="8168" w:type="dxa"/>
            <w:tcBorders>
              <w:top w:val="single" w:color="000000" w:sz="4" w:space="0"/>
              <w:left w:val="single" w:color="000000" w:sz="4" w:space="0"/>
              <w:bottom w:val="single" w:color="000000" w:sz="4" w:space="0"/>
              <w:right w:val="single" w:color="000000" w:sz="4" w:space="0"/>
            </w:tcBorders>
            <w:noWrap w:val="0"/>
            <w:vAlign w:val="top"/>
          </w:tcPr>
          <w:p w14:paraId="7305E9DF">
            <w:pPr>
              <w:spacing w:line="276" w:lineRule="auto"/>
              <w:ind w:firstLine="2940"/>
              <w:rPr>
                <w:rFonts w:hint="eastAsia" w:ascii="宋体" w:hAnsi="宋体" w:eastAsia="宋体"/>
                <w:sz w:val="24"/>
                <w:szCs w:val="24"/>
              </w:rPr>
            </w:pPr>
            <w:r>
              <w:rPr>
                <w:rFonts w:hint="eastAsia" w:ascii="宋体" w:hAnsi="宋体" w:eastAsia="宋体"/>
                <w:sz w:val="24"/>
                <w:szCs w:val="24"/>
              </w:rPr>
              <w:t>评审标准</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158D1ED4">
            <w:pPr>
              <w:spacing w:line="276" w:lineRule="auto"/>
              <w:rPr>
                <w:rFonts w:hint="eastAsia" w:ascii="宋体" w:hAnsi="宋体" w:eastAsia="宋体"/>
                <w:sz w:val="24"/>
                <w:szCs w:val="24"/>
              </w:rPr>
            </w:pPr>
            <w:r>
              <w:rPr>
                <w:rFonts w:hint="eastAsia" w:ascii="宋体" w:hAnsi="宋体" w:eastAsia="宋体"/>
                <w:sz w:val="24"/>
                <w:szCs w:val="24"/>
              </w:rPr>
              <w:t>分值</w:t>
            </w:r>
          </w:p>
        </w:tc>
      </w:tr>
      <w:tr w14:paraId="11A7E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tblHeader/>
          <w:jc w:val="center"/>
        </w:trPr>
        <w:tc>
          <w:tcPr>
            <w:tcW w:w="662" w:type="dxa"/>
            <w:tcBorders>
              <w:top w:val="single" w:color="000000" w:sz="4" w:space="0"/>
              <w:left w:val="single" w:color="000000" w:sz="4" w:space="0"/>
              <w:bottom w:val="single" w:color="000000" w:sz="4" w:space="0"/>
              <w:right w:val="single" w:color="000000" w:sz="4" w:space="0"/>
            </w:tcBorders>
            <w:noWrap w:val="0"/>
            <w:vAlign w:val="center"/>
          </w:tcPr>
          <w:p w14:paraId="03EA2EE0">
            <w:pPr>
              <w:spacing w:line="276" w:lineRule="auto"/>
              <w:jc w:val="center"/>
              <w:rPr>
                <w:rFonts w:hint="eastAsia" w:ascii="宋体" w:hAnsi="宋体" w:eastAsia="宋体"/>
                <w:sz w:val="24"/>
                <w:szCs w:val="24"/>
              </w:rPr>
            </w:pPr>
            <w:r>
              <w:rPr>
                <w:rFonts w:hint="eastAsia" w:ascii="宋体" w:hAnsi="宋体" w:eastAsia="宋体"/>
                <w:sz w:val="24"/>
                <w:szCs w:val="24"/>
              </w:rPr>
              <w:t>1</w:t>
            </w:r>
          </w:p>
        </w:tc>
        <w:tc>
          <w:tcPr>
            <w:tcW w:w="901" w:type="dxa"/>
            <w:tcBorders>
              <w:top w:val="single" w:color="000000" w:sz="4" w:space="0"/>
              <w:left w:val="single" w:color="000000" w:sz="4" w:space="0"/>
              <w:bottom w:val="single" w:color="000000" w:sz="4" w:space="0"/>
              <w:right w:val="single" w:color="000000" w:sz="4" w:space="0"/>
            </w:tcBorders>
            <w:noWrap w:val="0"/>
            <w:vAlign w:val="center"/>
          </w:tcPr>
          <w:p w14:paraId="21AB5229">
            <w:pPr>
              <w:spacing w:line="276" w:lineRule="auto"/>
              <w:jc w:val="center"/>
              <w:rPr>
                <w:rFonts w:hint="eastAsia" w:ascii="宋体" w:hAnsi="宋体" w:eastAsia="宋体"/>
                <w:sz w:val="24"/>
                <w:szCs w:val="24"/>
                <w:lang w:val="zh-CN"/>
              </w:rPr>
            </w:pPr>
            <w:r>
              <w:rPr>
                <w:rFonts w:hint="eastAsia" w:ascii="宋体" w:hAnsi="宋体" w:eastAsia="宋体"/>
                <w:sz w:val="24"/>
                <w:szCs w:val="24"/>
                <w:lang w:val="zh-CN"/>
              </w:rPr>
              <w:t>报价</w:t>
            </w:r>
          </w:p>
          <w:p w14:paraId="74B786E6">
            <w:pPr>
              <w:spacing w:line="276" w:lineRule="auto"/>
              <w:jc w:val="center"/>
              <w:rPr>
                <w:rFonts w:hint="eastAsia" w:ascii="宋体" w:hAnsi="宋体" w:eastAsia="宋体"/>
                <w:sz w:val="24"/>
                <w:szCs w:val="24"/>
              </w:rPr>
            </w:pPr>
          </w:p>
        </w:tc>
        <w:tc>
          <w:tcPr>
            <w:tcW w:w="8168" w:type="dxa"/>
            <w:tcBorders>
              <w:top w:val="single" w:color="000000" w:sz="4" w:space="0"/>
              <w:left w:val="single" w:color="000000" w:sz="4" w:space="0"/>
              <w:bottom w:val="single" w:color="000000" w:sz="4" w:space="0"/>
              <w:right w:val="single" w:color="000000" w:sz="4" w:space="0"/>
            </w:tcBorders>
            <w:noWrap w:val="0"/>
            <w:vAlign w:val="center"/>
          </w:tcPr>
          <w:p w14:paraId="270C3FD9">
            <w:pPr>
              <w:spacing w:line="276" w:lineRule="auto"/>
              <w:ind w:firstLine="420"/>
              <w:jc w:val="left"/>
              <w:rPr>
                <w:rFonts w:hint="eastAsia" w:ascii="宋体" w:hAnsi="宋体" w:eastAsia="宋体"/>
                <w:sz w:val="24"/>
                <w:szCs w:val="24"/>
              </w:rPr>
            </w:pPr>
            <w:r>
              <w:rPr>
                <w:rFonts w:hint="eastAsia" w:ascii="宋体" w:hAnsi="宋体" w:eastAsia="宋体"/>
                <w:sz w:val="24"/>
                <w:szCs w:val="24"/>
              </w:rPr>
              <w:t>本项目采用低价优先法计算，即满足竞争性磋商文件要求且最终磋商报价最低的报价为评标基准价，其价格分为满分。其他供应商的价格分统一按照下列公式计算:投标报价得分=(评标基准价/最终磋商报价)×</w:t>
            </w:r>
            <w:r>
              <w:rPr>
                <w:rFonts w:hint="eastAsia" w:ascii="宋体" w:hAnsi="宋体" w:eastAsia="宋体"/>
                <w:sz w:val="24"/>
                <w:szCs w:val="24"/>
                <w:lang w:val="en-US" w:eastAsia="zh-CN"/>
              </w:rPr>
              <w:t>1</w:t>
            </w:r>
            <w:r>
              <w:rPr>
                <w:rFonts w:hint="eastAsia" w:ascii="宋体" w:hAnsi="宋体" w:eastAsia="宋体"/>
                <w:sz w:val="24"/>
                <w:szCs w:val="24"/>
              </w:rPr>
              <w:t>0（小数点保留两位）</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BF139C4">
            <w:pPr>
              <w:spacing w:line="276"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10</w:t>
            </w:r>
          </w:p>
        </w:tc>
      </w:tr>
      <w:tr w14:paraId="19F71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5" w:hRule="atLeast"/>
          <w:tblHeader/>
          <w:jc w:val="center"/>
        </w:trPr>
        <w:tc>
          <w:tcPr>
            <w:tcW w:w="662" w:type="dxa"/>
            <w:vMerge w:val="restart"/>
            <w:tcBorders>
              <w:top w:val="single" w:color="000000" w:sz="4" w:space="0"/>
              <w:left w:val="single" w:color="000000" w:sz="4" w:space="0"/>
              <w:bottom w:val="single" w:color="000000" w:sz="4" w:space="0"/>
              <w:right w:val="single" w:color="000000" w:sz="4" w:space="0"/>
            </w:tcBorders>
            <w:noWrap w:val="0"/>
            <w:vAlign w:val="center"/>
          </w:tcPr>
          <w:p w14:paraId="48644283">
            <w:pPr>
              <w:spacing w:line="276" w:lineRule="auto"/>
              <w:jc w:val="center"/>
              <w:rPr>
                <w:rFonts w:hint="eastAsia" w:ascii="宋体" w:hAnsi="宋体" w:eastAsia="宋体"/>
                <w:sz w:val="24"/>
                <w:szCs w:val="24"/>
              </w:rPr>
            </w:pPr>
            <w:r>
              <w:rPr>
                <w:rFonts w:hint="eastAsia" w:ascii="宋体" w:hAnsi="宋体" w:eastAsia="宋体"/>
                <w:sz w:val="24"/>
                <w:szCs w:val="24"/>
              </w:rPr>
              <w:t>2</w:t>
            </w:r>
          </w:p>
        </w:tc>
        <w:tc>
          <w:tcPr>
            <w:tcW w:w="901" w:type="dxa"/>
            <w:vMerge w:val="restart"/>
            <w:tcBorders>
              <w:top w:val="single" w:color="000000" w:sz="4" w:space="0"/>
              <w:left w:val="single" w:color="000000" w:sz="4" w:space="0"/>
              <w:bottom w:val="single" w:color="000000" w:sz="4" w:space="0"/>
              <w:right w:val="single" w:color="000000" w:sz="4" w:space="0"/>
            </w:tcBorders>
            <w:noWrap w:val="0"/>
            <w:vAlign w:val="center"/>
          </w:tcPr>
          <w:p w14:paraId="65254375">
            <w:pPr>
              <w:spacing w:line="276" w:lineRule="auto"/>
              <w:jc w:val="center"/>
              <w:rPr>
                <w:rFonts w:hint="eastAsia" w:ascii="宋体" w:hAnsi="宋体" w:eastAsia="宋体"/>
                <w:sz w:val="24"/>
                <w:szCs w:val="24"/>
              </w:rPr>
            </w:pPr>
            <w:r>
              <w:rPr>
                <w:rFonts w:ascii="宋体" w:hAnsi="宋体" w:eastAsia="宋体"/>
                <w:sz w:val="24"/>
                <w:szCs w:val="24"/>
              </w:rPr>
              <w:t>服务方案</w:t>
            </w:r>
          </w:p>
        </w:tc>
        <w:tc>
          <w:tcPr>
            <w:tcW w:w="8168" w:type="dxa"/>
            <w:tcBorders>
              <w:top w:val="single" w:color="000000" w:sz="4" w:space="0"/>
              <w:left w:val="single" w:color="000000" w:sz="4" w:space="0"/>
              <w:bottom w:val="single" w:color="000000" w:sz="4" w:space="0"/>
              <w:right w:val="single" w:color="000000" w:sz="4" w:space="0"/>
            </w:tcBorders>
            <w:noWrap w:val="0"/>
            <w:vAlign w:val="top"/>
          </w:tcPr>
          <w:p w14:paraId="42F5AA26">
            <w:pPr>
              <w:spacing w:line="276" w:lineRule="auto"/>
              <w:ind w:firstLine="420"/>
              <w:jc w:val="left"/>
              <w:rPr>
                <w:rFonts w:ascii="宋体" w:hAnsi="宋体" w:eastAsia="宋体"/>
                <w:sz w:val="24"/>
                <w:szCs w:val="24"/>
              </w:rPr>
            </w:pPr>
            <w:r>
              <w:rPr>
                <w:rFonts w:hint="eastAsia" w:ascii="宋体" w:hAnsi="宋体" w:eastAsia="宋体"/>
                <w:sz w:val="24"/>
                <w:szCs w:val="24"/>
              </w:rPr>
              <w:t>路灯维修养护服务方案：</w:t>
            </w:r>
            <w:r>
              <w:rPr>
                <w:rFonts w:ascii="宋体" w:hAnsi="宋体" w:eastAsia="宋体"/>
                <w:sz w:val="24"/>
                <w:szCs w:val="24"/>
              </w:rPr>
              <w:t>结合现有实际情况，制定详细、可行、有针对性的方案：内容合理可行且具有针对性的得1</w:t>
            </w:r>
            <w:r>
              <w:rPr>
                <w:rFonts w:hint="eastAsia" w:ascii="宋体" w:hAnsi="宋体" w:eastAsia="宋体"/>
                <w:sz w:val="24"/>
                <w:szCs w:val="24"/>
              </w:rPr>
              <w:t>5</w:t>
            </w:r>
            <w:r>
              <w:rPr>
                <w:rFonts w:ascii="宋体" w:hAnsi="宋体" w:eastAsia="宋体"/>
                <w:sz w:val="24"/>
                <w:szCs w:val="24"/>
              </w:rPr>
              <w:t>分</w:t>
            </w:r>
            <w:r>
              <w:rPr>
                <w:rFonts w:hint="eastAsia" w:ascii="宋体" w:hAnsi="宋体" w:eastAsia="宋体"/>
                <w:sz w:val="24"/>
                <w:szCs w:val="24"/>
              </w:rPr>
              <w:t>；</w:t>
            </w:r>
            <w:r>
              <w:rPr>
                <w:rFonts w:ascii="宋体" w:hAnsi="宋体" w:eastAsia="宋体"/>
                <w:sz w:val="24"/>
                <w:szCs w:val="24"/>
              </w:rPr>
              <w:t>内容合理可行但针对性不强的得1</w:t>
            </w:r>
            <w:r>
              <w:rPr>
                <w:rFonts w:hint="eastAsia" w:ascii="宋体" w:hAnsi="宋体" w:eastAsia="宋体"/>
                <w:sz w:val="24"/>
                <w:szCs w:val="24"/>
              </w:rPr>
              <w:t>2</w:t>
            </w:r>
            <w:r>
              <w:rPr>
                <w:rFonts w:ascii="宋体" w:hAnsi="宋体" w:eastAsia="宋体"/>
                <w:sz w:val="24"/>
                <w:szCs w:val="24"/>
              </w:rPr>
              <w:t>分</w:t>
            </w:r>
            <w:r>
              <w:rPr>
                <w:rFonts w:hint="eastAsia" w:ascii="宋体" w:hAnsi="宋体" w:eastAsia="宋体"/>
                <w:sz w:val="24"/>
                <w:szCs w:val="24"/>
              </w:rPr>
              <w:t>；</w:t>
            </w:r>
            <w:r>
              <w:rPr>
                <w:rFonts w:ascii="宋体" w:hAnsi="宋体" w:eastAsia="宋体"/>
                <w:sz w:val="24"/>
                <w:szCs w:val="24"/>
              </w:rPr>
              <w:t>内容针对性较差</w:t>
            </w:r>
            <w:r>
              <w:rPr>
                <w:rFonts w:hint="eastAsia" w:ascii="宋体" w:hAnsi="宋体" w:eastAsia="宋体"/>
                <w:sz w:val="24"/>
                <w:szCs w:val="24"/>
              </w:rPr>
              <w:t>的</w:t>
            </w:r>
            <w:r>
              <w:rPr>
                <w:rFonts w:ascii="宋体" w:hAnsi="宋体" w:eastAsia="宋体"/>
                <w:sz w:val="24"/>
                <w:szCs w:val="24"/>
              </w:rPr>
              <w:t>得</w:t>
            </w:r>
            <w:r>
              <w:rPr>
                <w:rFonts w:hint="eastAsia" w:ascii="宋体" w:hAnsi="宋体" w:eastAsia="宋体"/>
                <w:sz w:val="24"/>
                <w:szCs w:val="24"/>
              </w:rPr>
              <w:t>9</w:t>
            </w:r>
            <w:r>
              <w:rPr>
                <w:rFonts w:ascii="宋体" w:hAnsi="宋体" w:eastAsia="宋体"/>
                <w:sz w:val="24"/>
                <w:szCs w:val="24"/>
              </w:rPr>
              <w:t>分</w:t>
            </w:r>
            <w:r>
              <w:rPr>
                <w:rFonts w:hint="eastAsia" w:ascii="宋体" w:hAnsi="宋体" w:eastAsia="宋体"/>
                <w:sz w:val="24"/>
                <w:szCs w:val="24"/>
              </w:rPr>
              <w:t>；</w:t>
            </w:r>
            <w:r>
              <w:rPr>
                <w:rFonts w:ascii="宋体" w:hAnsi="宋体" w:eastAsia="宋体"/>
                <w:sz w:val="24"/>
                <w:szCs w:val="24"/>
              </w:rPr>
              <w:t>内容分析无重点，表述不明确</w:t>
            </w:r>
            <w:r>
              <w:rPr>
                <w:rFonts w:hint="eastAsia" w:ascii="宋体" w:hAnsi="宋体" w:eastAsia="宋体"/>
                <w:sz w:val="24"/>
                <w:szCs w:val="24"/>
              </w:rPr>
              <w:t>的</w:t>
            </w:r>
            <w:r>
              <w:rPr>
                <w:rFonts w:ascii="宋体" w:hAnsi="宋体" w:eastAsia="宋体"/>
                <w:sz w:val="24"/>
                <w:szCs w:val="24"/>
              </w:rPr>
              <w:t>得</w:t>
            </w:r>
            <w:r>
              <w:rPr>
                <w:rFonts w:hint="eastAsia" w:ascii="宋体" w:hAnsi="宋体" w:eastAsia="宋体"/>
                <w:sz w:val="24"/>
                <w:szCs w:val="24"/>
              </w:rPr>
              <w:t>6</w:t>
            </w:r>
            <w:r>
              <w:rPr>
                <w:rFonts w:ascii="宋体" w:hAnsi="宋体" w:eastAsia="宋体"/>
                <w:sz w:val="24"/>
                <w:szCs w:val="24"/>
              </w:rPr>
              <w:t>分</w:t>
            </w:r>
            <w:r>
              <w:rPr>
                <w:rFonts w:hint="eastAsia" w:ascii="宋体" w:hAnsi="宋体" w:eastAsia="宋体"/>
                <w:sz w:val="24"/>
                <w:szCs w:val="24"/>
              </w:rPr>
              <w:t>；无得0分。</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EBE3CCB">
            <w:pPr>
              <w:spacing w:line="276" w:lineRule="auto"/>
              <w:jc w:val="center"/>
              <w:rPr>
                <w:rFonts w:hint="eastAsia" w:ascii="宋体" w:hAnsi="宋体" w:eastAsia="宋体"/>
                <w:sz w:val="24"/>
                <w:szCs w:val="24"/>
              </w:rPr>
            </w:pPr>
            <w:r>
              <w:rPr>
                <w:rFonts w:hint="eastAsia" w:ascii="宋体" w:hAnsi="宋体" w:eastAsia="宋体"/>
                <w:sz w:val="24"/>
                <w:szCs w:val="24"/>
              </w:rPr>
              <w:t>15</w:t>
            </w:r>
          </w:p>
        </w:tc>
      </w:tr>
      <w:tr w14:paraId="10935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5" w:hRule="atLeast"/>
          <w:tblHeader/>
          <w:jc w:val="center"/>
        </w:trPr>
        <w:tc>
          <w:tcPr>
            <w:tcW w:w="6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520B57">
            <w:pPr>
              <w:widowControl/>
              <w:spacing w:line="276" w:lineRule="auto"/>
              <w:jc w:val="center"/>
              <w:rPr>
                <w:rFonts w:ascii="宋体" w:hAnsi="宋体" w:eastAsia="宋体"/>
                <w:sz w:val="24"/>
                <w:szCs w:val="24"/>
              </w:rPr>
            </w:pPr>
          </w:p>
        </w:tc>
        <w:tc>
          <w:tcPr>
            <w:tcW w:w="9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510B01">
            <w:pPr>
              <w:widowControl/>
              <w:spacing w:line="276" w:lineRule="auto"/>
              <w:jc w:val="center"/>
              <w:rPr>
                <w:rFonts w:ascii="宋体" w:hAnsi="宋体" w:eastAsia="宋体"/>
                <w:sz w:val="24"/>
                <w:szCs w:val="24"/>
              </w:rPr>
            </w:pPr>
          </w:p>
        </w:tc>
        <w:tc>
          <w:tcPr>
            <w:tcW w:w="8168" w:type="dxa"/>
            <w:tcBorders>
              <w:top w:val="single" w:color="000000" w:sz="4" w:space="0"/>
              <w:left w:val="single" w:color="000000" w:sz="4" w:space="0"/>
              <w:bottom w:val="single" w:color="000000" w:sz="4" w:space="0"/>
              <w:right w:val="single" w:color="000000" w:sz="4" w:space="0"/>
            </w:tcBorders>
            <w:noWrap w:val="0"/>
            <w:vAlign w:val="top"/>
          </w:tcPr>
          <w:p w14:paraId="3EB7CBE4">
            <w:pPr>
              <w:spacing w:line="276" w:lineRule="auto"/>
              <w:ind w:firstLine="420"/>
              <w:jc w:val="left"/>
              <w:rPr>
                <w:rFonts w:hint="eastAsia" w:ascii="宋体" w:hAnsi="宋体" w:eastAsia="宋体"/>
                <w:sz w:val="24"/>
                <w:szCs w:val="24"/>
              </w:rPr>
            </w:pPr>
            <w:r>
              <w:rPr>
                <w:rFonts w:hint="eastAsia" w:ascii="宋体" w:hAnsi="宋体" w:eastAsia="宋体"/>
                <w:sz w:val="24"/>
                <w:szCs w:val="24"/>
              </w:rPr>
              <w:t>路灯维修养护服务进度安排：科学合理切实可行的得15分；路灯维修养护服务进度安排较科学合理切实可行的得12分；路灯维修养护服务进度安排基本科学合理切实可行的得9分；路灯维修养护服务进度安排不科学不合理的得6分；无得0分。</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BF962FD">
            <w:pPr>
              <w:spacing w:line="276" w:lineRule="auto"/>
              <w:jc w:val="center"/>
              <w:rPr>
                <w:rFonts w:hint="eastAsia" w:ascii="宋体" w:hAnsi="宋体" w:eastAsia="宋体"/>
                <w:sz w:val="24"/>
                <w:szCs w:val="24"/>
              </w:rPr>
            </w:pPr>
            <w:r>
              <w:rPr>
                <w:rFonts w:hint="eastAsia" w:ascii="宋体" w:hAnsi="宋体" w:eastAsia="宋体"/>
                <w:sz w:val="24"/>
                <w:szCs w:val="24"/>
              </w:rPr>
              <w:t>15</w:t>
            </w:r>
          </w:p>
        </w:tc>
      </w:tr>
      <w:tr w14:paraId="06AA5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9" w:hRule="atLeast"/>
          <w:tblHeader/>
          <w:jc w:val="center"/>
        </w:trPr>
        <w:tc>
          <w:tcPr>
            <w:tcW w:w="6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5B55F0">
            <w:pPr>
              <w:widowControl/>
              <w:spacing w:line="276" w:lineRule="auto"/>
              <w:jc w:val="center"/>
              <w:rPr>
                <w:rFonts w:ascii="宋体" w:hAnsi="宋体" w:eastAsia="宋体"/>
                <w:sz w:val="24"/>
                <w:szCs w:val="24"/>
              </w:rPr>
            </w:pPr>
          </w:p>
        </w:tc>
        <w:tc>
          <w:tcPr>
            <w:tcW w:w="9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D52E70">
            <w:pPr>
              <w:widowControl/>
              <w:spacing w:line="276" w:lineRule="auto"/>
              <w:jc w:val="center"/>
              <w:rPr>
                <w:rFonts w:ascii="宋体" w:hAnsi="宋体" w:eastAsia="宋体"/>
                <w:sz w:val="24"/>
                <w:szCs w:val="24"/>
              </w:rPr>
            </w:pPr>
          </w:p>
        </w:tc>
        <w:tc>
          <w:tcPr>
            <w:tcW w:w="8168" w:type="dxa"/>
            <w:tcBorders>
              <w:top w:val="single" w:color="000000" w:sz="4" w:space="0"/>
              <w:left w:val="single" w:color="000000" w:sz="4" w:space="0"/>
              <w:bottom w:val="single" w:color="000000" w:sz="4" w:space="0"/>
              <w:right w:val="single" w:color="000000" w:sz="4" w:space="0"/>
            </w:tcBorders>
            <w:noWrap w:val="0"/>
            <w:vAlign w:val="top"/>
          </w:tcPr>
          <w:p w14:paraId="4E237576">
            <w:pPr>
              <w:spacing w:line="276" w:lineRule="auto"/>
              <w:ind w:firstLine="420"/>
              <w:jc w:val="left"/>
              <w:rPr>
                <w:rFonts w:hint="eastAsia" w:ascii="宋体" w:hAnsi="宋体" w:eastAsia="宋体"/>
                <w:sz w:val="24"/>
                <w:szCs w:val="24"/>
              </w:rPr>
            </w:pPr>
            <w:r>
              <w:rPr>
                <w:rFonts w:ascii="宋体" w:hAnsi="宋体" w:eastAsia="宋体"/>
                <w:sz w:val="24"/>
                <w:szCs w:val="24"/>
              </w:rPr>
              <w:t>突发事件应急处理预案：突发事件应急处理预案完备健全，对本项目针对性强，具有实际可操作性的得</w:t>
            </w:r>
            <w:r>
              <w:rPr>
                <w:rFonts w:hint="eastAsia" w:ascii="宋体" w:hAnsi="宋体" w:eastAsia="宋体"/>
                <w:sz w:val="24"/>
                <w:szCs w:val="24"/>
                <w:lang w:val="en-US" w:eastAsia="zh-CN"/>
              </w:rPr>
              <w:t>12</w:t>
            </w:r>
            <w:r>
              <w:rPr>
                <w:rFonts w:ascii="宋体" w:hAnsi="宋体" w:eastAsia="宋体"/>
                <w:sz w:val="24"/>
                <w:szCs w:val="24"/>
              </w:rPr>
              <w:t>分</w:t>
            </w:r>
            <w:r>
              <w:rPr>
                <w:rFonts w:hint="eastAsia" w:ascii="宋体" w:hAnsi="宋体" w:eastAsia="宋体"/>
                <w:sz w:val="24"/>
                <w:szCs w:val="24"/>
              </w:rPr>
              <w:t>；</w:t>
            </w:r>
            <w:r>
              <w:rPr>
                <w:rFonts w:ascii="宋体" w:hAnsi="宋体" w:eastAsia="宋体"/>
                <w:sz w:val="24"/>
                <w:szCs w:val="24"/>
              </w:rPr>
              <w:t>突发事件应急处理预案较完备，对本项目针对性较强，具有可操作性的得</w:t>
            </w:r>
            <w:r>
              <w:rPr>
                <w:rFonts w:hint="eastAsia" w:ascii="宋体" w:hAnsi="宋体" w:eastAsia="宋体"/>
                <w:sz w:val="24"/>
                <w:szCs w:val="24"/>
                <w:lang w:val="en-US" w:eastAsia="zh-CN"/>
              </w:rPr>
              <w:t>9</w:t>
            </w:r>
            <w:r>
              <w:rPr>
                <w:rFonts w:ascii="宋体" w:hAnsi="宋体" w:eastAsia="宋体"/>
                <w:sz w:val="24"/>
                <w:szCs w:val="24"/>
              </w:rPr>
              <w:t>分</w:t>
            </w:r>
            <w:r>
              <w:rPr>
                <w:rFonts w:hint="eastAsia" w:ascii="宋体" w:hAnsi="宋体" w:eastAsia="宋体"/>
                <w:sz w:val="24"/>
                <w:szCs w:val="24"/>
              </w:rPr>
              <w:t>；</w:t>
            </w:r>
            <w:r>
              <w:rPr>
                <w:rFonts w:ascii="宋体" w:hAnsi="宋体" w:eastAsia="宋体"/>
                <w:sz w:val="24"/>
                <w:szCs w:val="24"/>
              </w:rPr>
              <w:t>预案</w:t>
            </w:r>
            <w:r>
              <w:rPr>
                <w:rFonts w:hint="eastAsia" w:ascii="宋体" w:hAnsi="宋体" w:eastAsia="宋体"/>
                <w:sz w:val="24"/>
                <w:szCs w:val="24"/>
              </w:rPr>
              <w:t>较</w:t>
            </w:r>
            <w:r>
              <w:rPr>
                <w:rFonts w:ascii="宋体" w:hAnsi="宋体" w:eastAsia="宋体"/>
                <w:sz w:val="24"/>
                <w:szCs w:val="24"/>
              </w:rPr>
              <w:t>完备，但对本项目针对性不强，不具有实际可操作性的得</w:t>
            </w:r>
            <w:r>
              <w:rPr>
                <w:rFonts w:hint="eastAsia" w:ascii="宋体" w:hAnsi="宋体" w:eastAsia="宋体"/>
                <w:sz w:val="24"/>
                <w:szCs w:val="24"/>
              </w:rPr>
              <w:t>6</w:t>
            </w:r>
            <w:r>
              <w:rPr>
                <w:rFonts w:ascii="宋体" w:hAnsi="宋体" w:eastAsia="宋体"/>
                <w:sz w:val="24"/>
                <w:szCs w:val="24"/>
              </w:rPr>
              <w:t>分</w:t>
            </w:r>
            <w:r>
              <w:rPr>
                <w:rFonts w:hint="eastAsia" w:ascii="宋体" w:hAnsi="宋体" w:eastAsia="宋体"/>
                <w:sz w:val="24"/>
                <w:szCs w:val="24"/>
              </w:rPr>
              <w:t>；</w:t>
            </w:r>
            <w:r>
              <w:rPr>
                <w:rFonts w:ascii="宋体" w:hAnsi="宋体" w:eastAsia="宋体"/>
                <w:sz w:val="24"/>
                <w:szCs w:val="24"/>
              </w:rPr>
              <w:t>预案不完备、不健全的得</w:t>
            </w:r>
            <w:r>
              <w:rPr>
                <w:rFonts w:hint="eastAsia" w:ascii="宋体" w:hAnsi="宋体" w:eastAsia="宋体"/>
                <w:sz w:val="24"/>
                <w:szCs w:val="24"/>
              </w:rPr>
              <w:t>4分；无得0分</w:t>
            </w:r>
            <w:r>
              <w:rPr>
                <w:rFonts w:ascii="宋体" w:hAnsi="宋体" w:eastAsia="宋体"/>
                <w:sz w:val="24"/>
                <w:szCs w:val="24"/>
              </w:rPr>
              <w:t>。</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A0A1419">
            <w:pPr>
              <w:spacing w:line="276"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12</w:t>
            </w:r>
          </w:p>
        </w:tc>
      </w:tr>
      <w:tr w14:paraId="05987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1" w:hRule="atLeast"/>
          <w:tblHeader/>
          <w:jc w:val="center"/>
        </w:trPr>
        <w:tc>
          <w:tcPr>
            <w:tcW w:w="6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BE0477">
            <w:pPr>
              <w:widowControl/>
              <w:spacing w:line="276" w:lineRule="auto"/>
              <w:jc w:val="center"/>
              <w:rPr>
                <w:rFonts w:ascii="宋体" w:hAnsi="宋体" w:eastAsia="宋体"/>
                <w:sz w:val="24"/>
                <w:szCs w:val="24"/>
              </w:rPr>
            </w:pPr>
          </w:p>
        </w:tc>
        <w:tc>
          <w:tcPr>
            <w:tcW w:w="9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ACD7EC">
            <w:pPr>
              <w:widowControl/>
              <w:spacing w:line="276" w:lineRule="auto"/>
              <w:jc w:val="center"/>
              <w:rPr>
                <w:rFonts w:ascii="宋体" w:hAnsi="宋体" w:eastAsia="宋体"/>
                <w:sz w:val="24"/>
                <w:szCs w:val="24"/>
              </w:rPr>
            </w:pPr>
          </w:p>
        </w:tc>
        <w:tc>
          <w:tcPr>
            <w:tcW w:w="8168" w:type="dxa"/>
            <w:tcBorders>
              <w:top w:val="single" w:color="000000" w:sz="4" w:space="0"/>
              <w:left w:val="single" w:color="000000" w:sz="4" w:space="0"/>
              <w:bottom w:val="single" w:color="000000" w:sz="4" w:space="0"/>
              <w:right w:val="single" w:color="000000" w:sz="4" w:space="0"/>
            </w:tcBorders>
            <w:noWrap w:val="0"/>
            <w:vAlign w:val="top"/>
          </w:tcPr>
          <w:p w14:paraId="299526A7">
            <w:pPr>
              <w:spacing w:line="276" w:lineRule="auto"/>
              <w:ind w:firstLine="420"/>
              <w:jc w:val="left"/>
              <w:rPr>
                <w:rFonts w:hint="eastAsia" w:ascii="宋体" w:hAnsi="宋体" w:eastAsia="宋体"/>
                <w:sz w:val="24"/>
                <w:szCs w:val="24"/>
              </w:rPr>
            </w:pPr>
            <w:r>
              <w:rPr>
                <w:rFonts w:hint="eastAsia" w:ascii="宋体" w:hAnsi="宋体" w:eastAsia="宋体"/>
                <w:sz w:val="24"/>
                <w:szCs w:val="24"/>
              </w:rPr>
              <w:t>养护质量保保障措施：养护质量保障措施合理可行的得</w:t>
            </w:r>
            <w:r>
              <w:rPr>
                <w:rFonts w:hint="eastAsia" w:ascii="宋体" w:hAnsi="宋体" w:eastAsia="宋体"/>
                <w:sz w:val="24"/>
                <w:szCs w:val="24"/>
                <w:lang w:val="en-US" w:eastAsia="zh-CN"/>
              </w:rPr>
              <w:t>12</w:t>
            </w:r>
            <w:r>
              <w:rPr>
                <w:rFonts w:hint="eastAsia" w:ascii="宋体" w:hAnsi="宋体" w:eastAsia="宋体"/>
                <w:sz w:val="24"/>
                <w:szCs w:val="24"/>
              </w:rPr>
              <w:t>分，养护质量保障措施较合理可行的得</w:t>
            </w:r>
            <w:r>
              <w:rPr>
                <w:rFonts w:hint="eastAsia" w:ascii="宋体" w:hAnsi="宋体" w:eastAsia="宋体"/>
                <w:sz w:val="24"/>
                <w:szCs w:val="24"/>
                <w:lang w:val="en-US" w:eastAsia="zh-CN"/>
              </w:rPr>
              <w:t>9</w:t>
            </w:r>
            <w:r>
              <w:rPr>
                <w:rFonts w:hint="eastAsia" w:ascii="宋体" w:hAnsi="宋体" w:eastAsia="宋体"/>
                <w:sz w:val="24"/>
                <w:szCs w:val="24"/>
              </w:rPr>
              <w:t>分，养护质量保障措施基本合理可行得6分，养护质量保障措施基本合理可行性差的得4分，无得0分</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7E8EBB7">
            <w:pPr>
              <w:spacing w:line="276" w:lineRule="auto"/>
              <w:jc w:val="center"/>
              <w:rPr>
                <w:rFonts w:hint="default" w:ascii="宋体" w:hAnsi="宋体" w:eastAsia="宋体"/>
                <w:sz w:val="24"/>
                <w:szCs w:val="24"/>
                <w:lang w:val="en-US"/>
              </w:rPr>
            </w:pPr>
            <w:r>
              <w:rPr>
                <w:rFonts w:hint="eastAsia" w:ascii="宋体" w:hAnsi="宋体" w:eastAsia="宋体"/>
                <w:sz w:val="24"/>
                <w:szCs w:val="24"/>
                <w:lang w:val="en-US" w:eastAsia="zh-CN"/>
              </w:rPr>
              <w:t>12</w:t>
            </w:r>
          </w:p>
        </w:tc>
      </w:tr>
      <w:tr w14:paraId="0C957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6" w:hRule="atLeast"/>
          <w:tblHeader/>
          <w:jc w:val="center"/>
        </w:trPr>
        <w:tc>
          <w:tcPr>
            <w:tcW w:w="6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085BEC">
            <w:pPr>
              <w:widowControl/>
              <w:spacing w:line="276" w:lineRule="auto"/>
              <w:jc w:val="center"/>
              <w:rPr>
                <w:rFonts w:ascii="宋体" w:hAnsi="宋体" w:eastAsia="宋体"/>
                <w:sz w:val="24"/>
                <w:szCs w:val="24"/>
              </w:rPr>
            </w:pPr>
          </w:p>
        </w:tc>
        <w:tc>
          <w:tcPr>
            <w:tcW w:w="9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CBA1BB">
            <w:pPr>
              <w:widowControl/>
              <w:spacing w:line="276" w:lineRule="auto"/>
              <w:jc w:val="center"/>
              <w:rPr>
                <w:rFonts w:ascii="宋体" w:hAnsi="宋体" w:eastAsia="宋体"/>
                <w:sz w:val="24"/>
                <w:szCs w:val="24"/>
              </w:rPr>
            </w:pPr>
          </w:p>
        </w:tc>
        <w:tc>
          <w:tcPr>
            <w:tcW w:w="8168" w:type="dxa"/>
            <w:tcBorders>
              <w:top w:val="single" w:color="000000" w:sz="4" w:space="0"/>
              <w:left w:val="single" w:color="000000" w:sz="4" w:space="0"/>
              <w:bottom w:val="single" w:color="000000" w:sz="4" w:space="0"/>
              <w:right w:val="single" w:color="000000" w:sz="4" w:space="0"/>
            </w:tcBorders>
            <w:noWrap w:val="0"/>
            <w:vAlign w:val="top"/>
          </w:tcPr>
          <w:p w14:paraId="02C81FC2">
            <w:pPr>
              <w:spacing w:line="276" w:lineRule="auto"/>
              <w:ind w:firstLine="420"/>
              <w:jc w:val="left"/>
              <w:rPr>
                <w:rFonts w:hint="eastAsia" w:ascii="宋体" w:hAnsi="宋体" w:eastAsia="宋体"/>
                <w:sz w:val="24"/>
                <w:szCs w:val="24"/>
              </w:rPr>
            </w:pPr>
            <w:r>
              <w:rPr>
                <w:rFonts w:hint="eastAsia" w:ascii="宋体" w:hAnsi="宋体" w:eastAsia="宋体"/>
                <w:sz w:val="24"/>
                <w:szCs w:val="24"/>
              </w:rPr>
              <w:t>路灯维修养护时安全文明措施方案合理可行的得</w:t>
            </w:r>
            <w:r>
              <w:rPr>
                <w:rFonts w:hint="eastAsia" w:ascii="宋体" w:hAnsi="宋体" w:eastAsia="宋体"/>
                <w:sz w:val="24"/>
                <w:szCs w:val="24"/>
                <w:lang w:val="en-US" w:eastAsia="zh-CN"/>
              </w:rPr>
              <w:t>11</w:t>
            </w:r>
            <w:r>
              <w:rPr>
                <w:rFonts w:hint="eastAsia" w:ascii="宋体" w:hAnsi="宋体" w:eastAsia="宋体"/>
                <w:sz w:val="24"/>
                <w:szCs w:val="24"/>
              </w:rPr>
              <w:t>分；安全文明措施方案较合理可行的得</w:t>
            </w:r>
            <w:r>
              <w:rPr>
                <w:rFonts w:hint="eastAsia" w:ascii="宋体" w:hAnsi="宋体" w:eastAsia="宋体"/>
                <w:sz w:val="24"/>
                <w:szCs w:val="24"/>
                <w:lang w:val="en-US" w:eastAsia="zh-CN"/>
              </w:rPr>
              <w:t>8</w:t>
            </w:r>
            <w:r>
              <w:rPr>
                <w:rFonts w:hint="eastAsia" w:ascii="宋体" w:hAnsi="宋体" w:eastAsia="宋体"/>
                <w:sz w:val="24"/>
                <w:szCs w:val="24"/>
              </w:rPr>
              <w:t>分；安全文明措施方案基本合理可行的得6分；安全文明措施方案合理可行性差的得4分,无得0分。</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E652399">
            <w:pPr>
              <w:spacing w:line="276"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11</w:t>
            </w:r>
          </w:p>
        </w:tc>
      </w:tr>
      <w:tr w14:paraId="5763A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4" w:hRule="atLeast"/>
          <w:tblHeader/>
          <w:jc w:val="center"/>
        </w:trPr>
        <w:tc>
          <w:tcPr>
            <w:tcW w:w="662" w:type="dxa"/>
            <w:tcBorders>
              <w:top w:val="single" w:color="000000" w:sz="4" w:space="0"/>
              <w:left w:val="single" w:color="000000" w:sz="4" w:space="0"/>
              <w:bottom w:val="single" w:color="000000" w:sz="4" w:space="0"/>
              <w:right w:val="single" w:color="000000" w:sz="4" w:space="0"/>
            </w:tcBorders>
            <w:noWrap w:val="0"/>
            <w:vAlign w:val="center"/>
          </w:tcPr>
          <w:p w14:paraId="029D2F8B">
            <w:pPr>
              <w:spacing w:line="276" w:lineRule="auto"/>
              <w:jc w:val="center"/>
              <w:rPr>
                <w:rFonts w:hint="eastAsia" w:ascii="宋体" w:hAnsi="宋体" w:eastAsia="宋体"/>
                <w:sz w:val="24"/>
                <w:szCs w:val="24"/>
              </w:rPr>
            </w:pPr>
            <w:bookmarkStart w:id="42" w:name="OLE_LINK2"/>
            <w:bookmarkStart w:id="43" w:name="OLE_LINK3"/>
            <w:bookmarkStart w:id="44" w:name="_Hlk401005359"/>
            <w:bookmarkStart w:id="45" w:name="OLE_LINK4"/>
            <w:r>
              <w:rPr>
                <w:rFonts w:hint="eastAsia" w:ascii="宋体" w:hAnsi="宋体" w:eastAsia="宋体"/>
                <w:sz w:val="24"/>
                <w:szCs w:val="24"/>
              </w:rPr>
              <w:t>3</w:t>
            </w:r>
          </w:p>
        </w:tc>
        <w:tc>
          <w:tcPr>
            <w:tcW w:w="901" w:type="dxa"/>
            <w:tcBorders>
              <w:top w:val="single" w:color="000000" w:sz="4" w:space="0"/>
              <w:left w:val="single" w:color="000000" w:sz="4" w:space="0"/>
              <w:bottom w:val="single" w:color="000000" w:sz="4" w:space="0"/>
              <w:right w:val="single" w:color="000000" w:sz="4" w:space="0"/>
            </w:tcBorders>
            <w:noWrap w:val="0"/>
            <w:vAlign w:val="center"/>
          </w:tcPr>
          <w:p w14:paraId="2E1D2EC1">
            <w:pPr>
              <w:spacing w:line="240" w:lineRule="auto"/>
              <w:jc w:val="center"/>
              <w:rPr>
                <w:rFonts w:hint="eastAsia" w:ascii="宋体" w:hAnsi="宋体" w:eastAsia="宋体"/>
                <w:sz w:val="24"/>
                <w:szCs w:val="24"/>
              </w:rPr>
            </w:pPr>
            <w:r>
              <w:rPr>
                <w:rFonts w:hint="eastAsia" w:ascii="宋体" w:hAnsi="宋体" w:eastAsia="宋体"/>
                <w:sz w:val="24"/>
                <w:szCs w:val="24"/>
              </w:rPr>
              <w:t>业绩</w:t>
            </w:r>
          </w:p>
          <w:p w14:paraId="605D6749">
            <w:pPr>
              <w:spacing w:line="240" w:lineRule="auto"/>
              <w:jc w:val="center"/>
              <w:rPr>
                <w:rFonts w:hint="eastAsia" w:ascii="宋体" w:hAnsi="宋体" w:eastAsia="宋体"/>
                <w:sz w:val="24"/>
                <w:szCs w:val="24"/>
              </w:rPr>
            </w:pPr>
          </w:p>
        </w:tc>
        <w:tc>
          <w:tcPr>
            <w:tcW w:w="8168" w:type="dxa"/>
            <w:tcBorders>
              <w:top w:val="single" w:color="000000" w:sz="4" w:space="0"/>
              <w:left w:val="single" w:color="000000" w:sz="4" w:space="0"/>
              <w:bottom w:val="single" w:color="000000" w:sz="4" w:space="0"/>
              <w:right w:val="single" w:color="000000" w:sz="4" w:space="0"/>
            </w:tcBorders>
            <w:noWrap w:val="0"/>
            <w:vAlign w:val="center"/>
          </w:tcPr>
          <w:p w14:paraId="68F61103">
            <w:pPr>
              <w:spacing w:line="276" w:lineRule="auto"/>
              <w:ind w:firstLine="420"/>
              <w:jc w:val="left"/>
              <w:rPr>
                <w:rFonts w:hint="eastAsia" w:ascii="宋体" w:hAnsi="宋体" w:eastAsia="宋体"/>
                <w:sz w:val="24"/>
                <w:szCs w:val="24"/>
              </w:rPr>
            </w:pPr>
            <w:r>
              <w:rPr>
                <w:rFonts w:hint="eastAsia" w:ascii="宋体" w:hAnsi="宋体" w:eastAsia="宋体"/>
                <w:sz w:val="24"/>
                <w:szCs w:val="24"/>
              </w:rPr>
              <w:t>供应商自2022年1月1日（含）以来承担过类似业绩的，</w:t>
            </w:r>
            <w:r>
              <w:rPr>
                <w:rFonts w:hint="eastAsia" w:ascii="宋体" w:hAnsi="宋体" w:eastAsia="宋体"/>
                <w:sz w:val="24"/>
                <w:szCs w:val="24"/>
                <w:lang w:val="en-US" w:eastAsia="zh-CN"/>
              </w:rPr>
              <w:t>3</w:t>
            </w:r>
            <w:r>
              <w:rPr>
                <w:rFonts w:hint="eastAsia" w:ascii="宋体" w:hAnsi="宋体" w:eastAsia="宋体"/>
                <w:sz w:val="24"/>
                <w:szCs w:val="24"/>
              </w:rPr>
              <w:t>分/项，最高得</w:t>
            </w:r>
            <w:r>
              <w:rPr>
                <w:rFonts w:hint="eastAsia" w:ascii="宋体" w:hAnsi="宋体" w:eastAsia="宋体"/>
                <w:sz w:val="24"/>
                <w:szCs w:val="24"/>
                <w:lang w:val="en-US" w:eastAsia="zh-CN"/>
              </w:rPr>
              <w:t>9</w:t>
            </w:r>
            <w:r>
              <w:rPr>
                <w:rFonts w:hint="eastAsia" w:ascii="宋体" w:hAnsi="宋体" w:eastAsia="宋体"/>
                <w:sz w:val="24"/>
                <w:szCs w:val="24"/>
              </w:rPr>
              <w:t>分。（</w:t>
            </w:r>
            <w:r>
              <w:rPr>
                <w:rFonts w:hint="eastAsia" w:ascii="宋体" w:hAnsi="宋体" w:eastAsia="宋体"/>
                <w:sz w:val="24"/>
                <w:szCs w:val="24"/>
                <w:lang w:val="en-US" w:eastAsia="zh-CN"/>
              </w:rPr>
              <w:t>提供</w:t>
            </w:r>
            <w:r>
              <w:rPr>
                <w:rFonts w:hint="eastAsia" w:ascii="宋体" w:hAnsi="宋体" w:eastAsia="宋体"/>
                <w:sz w:val="24"/>
                <w:szCs w:val="24"/>
              </w:rPr>
              <w:t>合同原件扫描件上传。时间以合同签订时间为准，合同须能反映相关信息，否则视为未提供）</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BC9EEC3">
            <w:pPr>
              <w:spacing w:line="276" w:lineRule="auto"/>
              <w:jc w:val="center"/>
              <w:rPr>
                <w:rFonts w:hint="eastAsia" w:ascii="宋体" w:hAnsi="宋体" w:eastAsia="宋体"/>
                <w:sz w:val="24"/>
                <w:szCs w:val="24"/>
                <w:lang w:eastAsia="zh-CN"/>
              </w:rPr>
            </w:pPr>
            <w:r>
              <w:rPr>
                <w:rFonts w:hint="eastAsia" w:ascii="宋体" w:hAnsi="宋体" w:eastAsia="宋体"/>
                <w:sz w:val="24"/>
                <w:szCs w:val="24"/>
                <w:lang w:val="en-US" w:eastAsia="zh-CN"/>
              </w:rPr>
              <w:t>9</w:t>
            </w:r>
          </w:p>
        </w:tc>
      </w:tr>
      <w:tr w14:paraId="29FB4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4" w:hRule="atLeast"/>
          <w:tblHeader/>
          <w:jc w:val="center"/>
        </w:trPr>
        <w:tc>
          <w:tcPr>
            <w:tcW w:w="662" w:type="dxa"/>
            <w:vMerge w:val="restart"/>
            <w:tcBorders>
              <w:top w:val="single" w:color="000000" w:sz="4" w:space="0"/>
              <w:left w:val="single" w:color="000000" w:sz="4" w:space="0"/>
              <w:right w:val="single" w:color="000000" w:sz="4" w:space="0"/>
            </w:tcBorders>
            <w:noWrap w:val="0"/>
            <w:vAlign w:val="center"/>
          </w:tcPr>
          <w:p w14:paraId="6893C8D7">
            <w:pPr>
              <w:spacing w:line="276" w:lineRule="auto"/>
              <w:jc w:val="center"/>
              <w:rPr>
                <w:rFonts w:hint="eastAsia" w:ascii="宋体" w:hAnsi="宋体" w:eastAsia="宋体"/>
                <w:sz w:val="24"/>
                <w:szCs w:val="24"/>
              </w:rPr>
            </w:pPr>
            <w:r>
              <w:rPr>
                <w:rFonts w:hint="eastAsia" w:ascii="宋体" w:hAnsi="宋体" w:eastAsia="宋体"/>
                <w:sz w:val="24"/>
                <w:szCs w:val="24"/>
              </w:rPr>
              <w:t>4</w:t>
            </w:r>
          </w:p>
        </w:tc>
        <w:tc>
          <w:tcPr>
            <w:tcW w:w="901" w:type="dxa"/>
            <w:vMerge w:val="restart"/>
            <w:tcBorders>
              <w:top w:val="single" w:color="000000" w:sz="4" w:space="0"/>
              <w:left w:val="single" w:color="000000" w:sz="4" w:space="0"/>
              <w:right w:val="single" w:color="000000" w:sz="4" w:space="0"/>
            </w:tcBorders>
            <w:noWrap w:val="0"/>
            <w:vAlign w:val="center"/>
          </w:tcPr>
          <w:p w14:paraId="4C333DD1">
            <w:pPr>
              <w:spacing w:line="276" w:lineRule="auto"/>
              <w:jc w:val="center"/>
              <w:rPr>
                <w:rFonts w:hint="eastAsia" w:ascii="宋体" w:hAnsi="宋体" w:eastAsia="宋体"/>
                <w:sz w:val="24"/>
                <w:szCs w:val="24"/>
                <w:lang w:val="en-US" w:eastAsia="zh-CN"/>
              </w:rPr>
            </w:pPr>
            <w:r>
              <w:rPr>
                <w:rFonts w:hint="eastAsia" w:ascii="宋体" w:hAnsi="宋体" w:eastAsia="宋体"/>
                <w:sz w:val="24"/>
                <w:szCs w:val="24"/>
              </w:rPr>
              <w:t>企业实</w:t>
            </w:r>
            <w:r>
              <w:rPr>
                <w:rFonts w:hint="eastAsia" w:ascii="宋体" w:hAnsi="宋体" w:eastAsia="宋体"/>
                <w:sz w:val="24"/>
                <w:szCs w:val="24"/>
                <w:lang w:val="en-US" w:eastAsia="zh-CN"/>
              </w:rPr>
              <w:t>力</w:t>
            </w:r>
          </w:p>
        </w:tc>
        <w:tc>
          <w:tcPr>
            <w:tcW w:w="8168" w:type="dxa"/>
            <w:tcBorders>
              <w:top w:val="single" w:color="000000" w:sz="4" w:space="0"/>
              <w:left w:val="single" w:color="000000" w:sz="4" w:space="0"/>
              <w:bottom w:val="single" w:color="000000" w:sz="4" w:space="0"/>
              <w:right w:val="single" w:color="000000" w:sz="4" w:space="0"/>
            </w:tcBorders>
            <w:noWrap w:val="0"/>
            <w:vAlign w:val="center"/>
          </w:tcPr>
          <w:p w14:paraId="0390B158">
            <w:pPr>
              <w:spacing w:line="276" w:lineRule="auto"/>
              <w:ind w:firstLine="420"/>
              <w:jc w:val="left"/>
              <w:rPr>
                <w:rFonts w:hint="eastAsia" w:ascii="宋体" w:hAnsi="宋体" w:eastAsia="宋体"/>
                <w:sz w:val="24"/>
                <w:szCs w:val="24"/>
              </w:rPr>
            </w:pPr>
            <w:r>
              <w:rPr>
                <w:rFonts w:hint="eastAsia" w:ascii="宋体" w:hAnsi="宋体" w:eastAsia="宋体"/>
                <w:sz w:val="24"/>
                <w:szCs w:val="24"/>
              </w:rPr>
              <w:t>1</w:t>
            </w:r>
            <w:r>
              <w:rPr>
                <w:rFonts w:ascii="宋体" w:hAnsi="宋体" w:eastAsia="宋体"/>
                <w:sz w:val="24"/>
                <w:szCs w:val="24"/>
              </w:rPr>
              <w:t>.</w:t>
            </w:r>
            <w:r>
              <w:rPr>
                <w:rFonts w:hint="eastAsia" w:ascii="宋体" w:hAnsi="宋体" w:eastAsia="宋体"/>
                <w:sz w:val="24"/>
                <w:szCs w:val="24"/>
              </w:rPr>
              <w:t>供应商承诺</w:t>
            </w:r>
            <w:r>
              <w:rPr>
                <w:rFonts w:hint="eastAsia" w:ascii="宋体" w:hAnsi="宋体" w:eastAsia="宋体" w:cs="Arial"/>
                <w:sz w:val="24"/>
                <w:szCs w:val="24"/>
              </w:rPr>
              <w:t>设立24小时值班的路灯故障抢修电话，在接到报障后从报障时计120分钟内安排专业人员上门抢修现场得</w:t>
            </w:r>
            <w:r>
              <w:rPr>
                <w:rFonts w:hint="eastAsia" w:ascii="宋体" w:hAnsi="宋体" w:eastAsia="宋体" w:cs="Arial"/>
                <w:sz w:val="24"/>
                <w:szCs w:val="24"/>
                <w:lang w:val="en-US" w:eastAsia="zh-CN"/>
              </w:rPr>
              <w:t>5</w:t>
            </w:r>
            <w:r>
              <w:rPr>
                <w:rFonts w:hint="eastAsia" w:ascii="宋体" w:hAnsi="宋体" w:eastAsia="宋体" w:cs="Arial"/>
                <w:sz w:val="24"/>
                <w:szCs w:val="24"/>
              </w:rPr>
              <w:t>分。提供</w:t>
            </w:r>
            <w:r>
              <w:rPr>
                <w:rFonts w:hint="eastAsia" w:ascii="宋体" w:hAnsi="宋体" w:eastAsia="宋体"/>
                <w:sz w:val="24"/>
                <w:szCs w:val="24"/>
              </w:rPr>
              <w:t>承诺书加盖公章（格式自拟）</w:t>
            </w:r>
            <w:r>
              <w:rPr>
                <w:rFonts w:hint="eastAsia" w:ascii="宋体" w:hAnsi="宋体" w:eastAsia="宋体" w:cs="Trebuchet MS"/>
                <w:sz w:val="24"/>
                <w:szCs w:val="24"/>
              </w:rPr>
              <w:t>原件扫描件上传至投标文件。</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4B2B57E">
            <w:pPr>
              <w:spacing w:line="276" w:lineRule="auto"/>
              <w:jc w:val="center"/>
              <w:rPr>
                <w:rFonts w:hint="eastAsia" w:ascii="宋体" w:hAnsi="宋体" w:eastAsia="宋体"/>
                <w:sz w:val="24"/>
                <w:szCs w:val="24"/>
                <w:lang w:eastAsia="zh-CN"/>
              </w:rPr>
            </w:pPr>
            <w:r>
              <w:rPr>
                <w:rFonts w:hint="eastAsia" w:ascii="宋体" w:hAnsi="宋体" w:eastAsia="宋体"/>
                <w:sz w:val="24"/>
                <w:szCs w:val="24"/>
                <w:lang w:val="en-US" w:eastAsia="zh-CN"/>
              </w:rPr>
              <w:t>5</w:t>
            </w:r>
          </w:p>
        </w:tc>
      </w:tr>
      <w:tr w14:paraId="78F73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4" w:hRule="atLeast"/>
          <w:tblHeader/>
          <w:jc w:val="center"/>
        </w:trPr>
        <w:tc>
          <w:tcPr>
            <w:tcW w:w="662" w:type="dxa"/>
            <w:vMerge w:val="continue"/>
            <w:tcBorders>
              <w:left w:val="single" w:color="000000" w:sz="4" w:space="0"/>
              <w:right w:val="single" w:color="000000" w:sz="4" w:space="0"/>
            </w:tcBorders>
            <w:noWrap w:val="0"/>
            <w:vAlign w:val="center"/>
          </w:tcPr>
          <w:p w14:paraId="3787DCB3">
            <w:pPr>
              <w:spacing w:line="276" w:lineRule="auto"/>
              <w:jc w:val="center"/>
              <w:rPr>
                <w:rFonts w:hint="eastAsia" w:ascii="宋体" w:hAnsi="宋体" w:eastAsia="宋体"/>
                <w:sz w:val="24"/>
                <w:szCs w:val="24"/>
              </w:rPr>
            </w:pPr>
          </w:p>
        </w:tc>
        <w:tc>
          <w:tcPr>
            <w:tcW w:w="901" w:type="dxa"/>
            <w:vMerge w:val="continue"/>
            <w:tcBorders>
              <w:left w:val="single" w:color="000000" w:sz="4" w:space="0"/>
              <w:right w:val="single" w:color="000000" w:sz="4" w:space="0"/>
            </w:tcBorders>
            <w:noWrap w:val="0"/>
            <w:vAlign w:val="center"/>
          </w:tcPr>
          <w:p w14:paraId="47937FA9">
            <w:pPr>
              <w:spacing w:line="276" w:lineRule="auto"/>
              <w:jc w:val="center"/>
              <w:rPr>
                <w:rFonts w:hint="eastAsia" w:ascii="宋体" w:hAnsi="宋体" w:eastAsia="宋体"/>
                <w:sz w:val="24"/>
                <w:szCs w:val="24"/>
              </w:rPr>
            </w:pPr>
          </w:p>
        </w:tc>
        <w:tc>
          <w:tcPr>
            <w:tcW w:w="8168" w:type="dxa"/>
            <w:tcBorders>
              <w:top w:val="single" w:color="000000" w:sz="4" w:space="0"/>
              <w:left w:val="single" w:color="000000" w:sz="4" w:space="0"/>
              <w:bottom w:val="single" w:color="000000" w:sz="4" w:space="0"/>
              <w:right w:val="single" w:color="000000" w:sz="4" w:space="0"/>
            </w:tcBorders>
            <w:noWrap w:val="0"/>
            <w:vAlign w:val="center"/>
          </w:tcPr>
          <w:p w14:paraId="63E1EEF2">
            <w:pPr>
              <w:spacing w:line="276" w:lineRule="auto"/>
              <w:ind w:firstLine="420"/>
              <w:jc w:val="left"/>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w:t>
            </w:r>
            <w:r>
              <w:rPr>
                <w:rFonts w:hint="eastAsia" w:ascii="宋体" w:hAnsi="宋体" w:eastAsia="宋体"/>
                <w:sz w:val="24"/>
                <w:szCs w:val="24"/>
              </w:rPr>
              <w:t>项目组成员：拟派2年及以上工作经验（自证书批准日期计）的特种设备作业人员（具备流动式起重司机证，项目代码Q2），每提供1人得1分，最高得</w:t>
            </w:r>
            <w:r>
              <w:rPr>
                <w:rFonts w:hint="eastAsia" w:ascii="宋体" w:hAnsi="宋体" w:eastAsia="宋体"/>
                <w:sz w:val="24"/>
                <w:szCs w:val="24"/>
                <w:lang w:val="en-US" w:eastAsia="zh-CN"/>
              </w:rPr>
              <w:t>2</w:t>
            </w:r>
            <w:r>
              <w:rPr>
                <w:rFonts w:hint="eastAsia" w:ascii="宋体" w:hAnsi="宋体" w:eastAsia="宋体"/>
                <w:sz w:val="24"/>
                <w:szCs w:val="24"/>
              </w:rPr>
              <w:t>分；</w:t>
            </w:r>
          </w:p>
          <w:p w14:paraId="20587370">
            <w:pPr>
              <w:spacing w:line="276" w:lineRule="auto"/>
              <w:ind w:firstLine="420"/>
              <w:jc w:val="left"/>
              <w:rPr>
                <w:rFonts w:hint="eastAsia" w:ascii="宋体" w:hAnsi="宋体" w:eastAsia="宋体"/>
                <w:sz w:val="24"/>
                <w:szCs w:val="24"/>
              </w:rPr>
            </w:pPr>
            <w:r>
              <w:rPr>
                <w:rFonts w:hint="eastAsia" w:ascii="宋体" w:hAnsi="宋体" w:eastAsia="宋体"/>
                <w:sz w:val="24"/>
                <w:szCs w:val="24"/>
              </w:rPr>
              <w:t>拟派具有中华人民共和国应急管理部核发的特种作业操作证（低压电工证）的，每提供1人得</w:t>
            </w:r>
            <w:r>
              <w:rPr>
                <w:rFonts w:hint="eastAsia" w:ascii="宋体" w:hAnsi="宋体" w:eastAsia="宋体"/>
                <w:sz w:val="24"/>
                <w:szCs w:val="24"/>
                <w:lang w:val="en-US" w:eastAsia="zh-CN"/>
              </w:rPr>
              <w:t>1</w:t>
            </w:r>
            <w:r>
              <w:rPr>
                <w:rFonts w:hint="eastAsia" w:ascii="宋体" w:hAnsi="宋体" w:eastAsia="宋体"/>
                <w:sz w:val="24"/>
                <w:szCs w:val="24"/>
              </w:rPr>
              <w:t>分，最高得</w:t>
            </w:r>
            <w:r>
              <w:rPr>
                <w:rFonts w:hint="eastAsia" w:ascii="宋体" w:hAnsi="宋体" w:eastAsia="宋体"/>
                <w:sz w:val="24"/>
                <w:szCs w:val="24"/>
                <w:lang w:val="en-US" w:eastAsia="zh-CN"/>
              </w:rPr>
              <w:t>1</w:t>
            </w:r>
            <w:r>
              <w:rPr>
                <w:rFonts w:hint="eastAsia" w:ascii="宋体" w:hAnsi="宋体" w:eastAsia="宋体"/>
                <w:sz w:val="24"/>
                <w:szCs w:val="24"/>
              </w:rPr>
              <w:t>分；拟派具有中华人民共和国应急管理部核发的特种作业操作证（高处作业证）的，每提供1人得1分，最高得2分；</w:t>
            </w:r>
            <w:r>
              <w:rPr>
                <w:rFonts w:hint="eastAsia" w:ascii="宋体" w:hAnsi="宋体" w:eastAsia="宋体"/>
                <w:b/>
                <w:bCs/>
                <w:sz w:val="24"/>
                <w:szCs w:val="24"/>
              </w:rPr>
              <w:t>以上人员均须提供特种设备作业人员相关证书原件扫描件上传至投标文件。</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3DFAA22">
            <w:pPr>
              <w:spacing w:line="276" w:lineRule="auto"/>
              <w:jc w:val="center"/>
              <w:rPr>
                <w:rFonts w:hint="eastAsia" w:ascii="宋体" w:hAnsi="宋体" w:eastAsia="宋体"/>
                <w:sz w:val="24"/>
                <w:szCs w:val="24"/>
                <w:lang w:eastAsia="zh-CN"/>
              </w:rPr>
            </w:pPr>
            <w:r>
              <w:rPr>
                <w:rFonts w:hint="eastAsia" w:ascii="宋体" w:hAnsi="宋体" w:eastAsia="宋体"/>
                <w:sz w:val="24"/>
                <w:szCs w:val="24"/>
                <w:lang w:val="en-US" w:eastAsia="zh-CN"/>
              </w:rPr>
              <w:t>5</w:t>
            </w:r>
          </w:p>
        </w:tc>
      </w:tr>
      <w:tr w14:paraId="37C42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4" w:hRule="atLeast"/>
          <w:tblHeader/>
          <w:jc w:val="center"/>
        </w:trPr>
        <w:tc>
          <w:tcPr>
            <w:tcW w:w="662" w:type="dxa"/>
            <w:vMerge w:val="continue"/>
            <w:tcBorders>
              <w:left w:val="single" w:color="000000" w:sz="4" w:space="0"/>
              <w:right w:val="single" w:color="000000" w:sz="4" w:space="0"/>
            </w:tcBorders>
            <w:noWrap w:val="0"/>
            <w:vAlign w:val="center"/>
          </w:tcPr>
          <w:p w14:paraId="7DE209EA">
            <w:pPr>
              <w:spacing w:line="276" w:lineRule="auto"/>
              <w:jc w:val="center"/>
              <w:rPr>
                <w:rFonts w:hint="eastAsia" w:ascii="宋体" w:hAnsi="宋体" w:eastAsia="宋体"/>
                <w:sz w:val="24"/>
                <w:szCs w:val="24"/>
              </w:rPr>
            </w:pPr>
          </w:p>
        </w:tc>
        <w:tc>
          <w:tcPr>
            <w:tcW w:w="901" w:type="dxa"/>
            <w:vMerge w:val="continue"/>
            <w:tcBorders>
              <w:left w:val="single" w:color="000000" w:sz="4" w:space="0"/>
              <w:right w:val="single" w:color="000000" w:sz="4" w:space="0"/>
            </w:tcBorders>
            <w:noWrap w:val="0"/>
            <w:vAlign w:val="center"/>
          </w:tcPr>
          <w:p w14:paraId="0ECC1604">
            <w:pPr>
              <w:spacing w:line="276" w:lineRule="auto"/>
              <w:jc w:val="center"/>
              <w:rPr>
                <w:rFonts w:hint="eastAsia" w:ascii="宋体" w:hAnsi="宋体" w:eastAsia="宋体"/>
                <w:sz w:val="24"/>
                <w:szCs w:val="24"/>
              </w:rPr>
            </w:pPr>
          </w:p>
        </w:tc>
        <w:tc>
          <w:tcPr>
            <w:tcW w:w="8168" w:type="dxa"/>
            <w:tcBorders>
              <w:top w:val="single" w:color="000000" w:sz="4" w:space="0"/>
              <w:left w:val="single" w:color="000000" w:sz="4" w:space="0"/>
              <w:bottom w:val="single" w:color="000000" w:sz="4" w:space="0"/>
              <w:right w:val="single" w:color="000000" w:sz="4" w:space="0"/>
            </w:tcBorders>
            <w:noWrap w:val="0"/>
            <w:vAlign w:val="center"/>
          </w:tcPr>
          <w:p w14:paraId="703B205C">
            <w:pPr>
              <w:spacing w:line="276" w:lineRule="auto"/>
              <w:ind w:firstLine="420"/>
              <w:jc w:val="left"/>
              <w:rPr>
                <w:rFonts w:hint="eastAsia" w:ascii="宋体" w:hAnsi="宋体" w:eastAsia="宋体"/>
                <w:color w:val="000000" w:themeColor="text1"/>
                <w:sz w:val="24"/>
                <w:szCs w:val="24"/>
              </w:rPr>
            </w:pPr>
            <w:r>
              <w:rPr>
                <w:rFonts w:hint="eastAsia" w:ascii="宋体" w:hAnsi="宋体" w:eastAsia="宋体"/>
                <w:sz w:val="24"/>
                <w:szCs w:val="24"/>
              </w:rPr>
              <w:t>3</w:t>
            </w:r>
            <w:r>
              <w:rPr>
                <w:rFonts w:ascii="宋体" w:hAnsi="宋体" w:eastAsia="宋体"/>
                <w:sz w:val="24"/>
                <w:szCs w:val="24"/>
              </w:rPr>
              <w:t>.</w:t>
            </w:r>
            <w:r>
              <w:rPr>
                <w:rFonts w:hint="eastAsia" w:ascii="宋体" w:hAnsi="宋体" w:eastAsia="宋体"/>
                <w:sz w:val="24"/>
                <w:szCs w:val="24"/>
              </w:rPr>
              <w:t>拟投入本项目的车辆及设备：①高空作业车</w:t>
            </w:r>
            <w:r>
              <w:rPr>
                <w:rFonts w:hint="eastAsia" w:ascii="宋体" w:hAnsi="宋体" w:eastAsia="宋体"/>
                <w:sz w:val="24"/>
                <w:szCs w:val="24"/>
                <w:lang w:val="en-US" w:eastAsia="zh-CN"/>
              </w:rPr>
              <w:t>1</w:t>
            </w:r>
            <w:r>
              <w:rPr>
                <w:rFonts w:hint="eastAsia" w:ascii="宋体" w:hAnsi="宋体" w:eastAsia="宋体"/>
                <w:sz w:val="24"/>
                <w:szCs w:val="24"/>
              </w:rPr>
              <w:t>辆及以上得</w:t>
            </w:r>
            <w:r>
              <w:rPr>
                <w:rFonts w:hint="eastAsia" w:ascii="宋体" w:hAnsi="宋体" w:eastAsia="宋体"/>
                <w:sz w:val="24"/>
                <w:szCs w:val="24"/>
                <w:lang w:val="en-US" w:eastAsia="zh-CN"/>
              </w:rPr>
              <w:t>2</w:t>
            </w:r>
            <w:r>
              <w:rPr>
                <w:rFonts w:hint="eastAsia" w:ascii="宋体" w:hAnsi="宋体" w:eastAsia="宋体"/>
                <w:sz w:val="24"/>
                <w:szCs w:val="24"/>
              </w:rPr>
              <w:t>分；②工程作业车</w:t>
            </w:r>
            <w:r>
              <w:rPr>
                <w:rFonts w:ascii="宋体" w:hAnsi="宋体" w:eastAsia="宋体"/>
                <w:sz w:val="24"/>
                <w:szCs w:val="24"/>
              </w:rPr>
              <w:t>1</w:t>
            </w:r>
            <w:r>
              <w:rPr>
                <w:rFonts w:hint="eastAsia" w:ascii="宋体" w:hAnsi="宋体" w:eastAsia="宋体"/>
                <w:sz w:val="24"/>
                <w:szCs w:val="24"/>
              </w:rPr>
              <w:t>辆及以上的得</w:t>
            </w:r>
            <w:r>
              <w:rPr>
                <w:rFonts w:hint="eastAsia" w:ascii="宋体" w:hAnsi="宋体" w:eastAsia="宋体"/>
                <w:sz w:val="24"/>
                <w:szCs w:val="24"/>
                <w:lang w:val="en-US" w:eastAsia="zh-CN"/>
              </w:rPr>
              <w:t>1</w:t>
            </w:r>
            <w:r>
              <w:rPr>
                <w:rFonts w:hint="eastAsia" w:ascii="宋体" w:hAnsi="宋体" w:eastAsia="宋体"/>
                <w:sz w:val="24"/>
                <w:szCs w:val="24"/>
              </w:rPr>
              <w:t>分；③汽车起重机1辆及以上得</w:t>
            </w:r>
            <w:r>
              <w:rPr>
                <w:rFonts w:hint="eastAsia" w:ascii="宋体" w:hAnsi="宋体" w:eastAsia="宋体"/>
                <w:sz w:val="24"/>
                <w:szCs w:val="24"/>
                <w:lang w:val="en-US" w:eastAsia="zh-CN"/>
              </w:rPr>
              <w:t>2</w:t>
            </w:r>
            <w:r>
              <w:rPr>
                <w:rFonts w:hint="eastAsia" w:ascii="宋体" w:hAnsi="宋体" w:eastAsia="宋体"/>
                <w:sz w:val="24"/>
                <w:szCs w:val="24"/>
              </w:rPr>
              <w:t>分；④发电机2台及以上得</w:t>
            </w:r>
            <w:r>
              <w:rPr>
                <w:rFonts w:hint="eastAsia" w:ascii="宋体" w:hAnsi="宋体" w:eastAsia="宋体"/>
                <w:sz w:val="24"/>
                <w:szCs w:val="24"/>
                <w:lang w:val="en-US" w:eastAsia="zh-CN"/>
              </w:rPr>
              <w:t>1</w:t>
            </w:r>
            <w:r>
              <w:rPr>
                <w:rFonts w:hint="eastAsia" w:ascii="宋体" w:hAnsi="宋体" w:eastAsia="宋体"/>
                <w:sz w:val="24"/>
                <w:szCs w:val="24"/>
              </w:rPr>
              <w:t>分。本项满分</w:t>
            </w:r>
            <w:r>
              <w:rPr>
                <w:rFonts w:hint="eastAsia" w:ascii="宋体" w:hAnsi="宋体" w:eastAsia="宋体"/>
                <w:sz w:val="24"/>
                <w:szCs w:val="24"/>
                <w:lang w:val="en-US" w:eastAsia="zh-CN"/>
              </w:rPr>
              <w:t>6</w:t>
            </w:r>
            <w:r>
              <w:rPr>
                <w:rFonts w:hint="eastAsia" w:ascii="宋体" w:hAnsi="宋体" w:eastAsia="宋体"/>
                <w:sz w:val="24"/>
                <w:szCs w:val="24"/>
              </w:rPr>
              <w:t>分。</w:t>
            </w:r>
            <w:r>
              <w:rPr>
                <w:rFonts w:hint="eastAsia" w:ascii="宋体" w:hAnsi="宋体" w:eastAsia="宋体"/>
                <w:color w:val="000000" w:themeColor="text1"/>
                <w:sz w:val="24"/>
                <w:szCs w:val="24"/>
              </w:rPr>
              <w:t>（其中车辆为供应商自有的，须提供交管部门核发的车辆行驶证；车辆为租赁的须提供租赁车辆的租赁合同车辆行驶证，且租赁期3年及以上；发电机须为供应商自有，提供购置发票。相关证明材料的原件扫描件上传至投标文件中，缺一不可。）</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6B328CF">
            <w:pPr>
              <w:spacing w:line="276" w:lineRule="auto"/>
              <w:jc w:val="center"/>
              <w:rPr>
                <w:rFonts w:hint="eastAsia" w:ascii="宋体" w:hAnsi="宋体" w:eastAsia="宋体"/>
                <w:sz w:val="24"/>
                <w:szCs w:val="24"/>
                <w:lang w:eastAsia="zh-CN"/>
              </w:rPr>
            </w:pPr>
            <w:r>
              <w:rPr>
                <w:rFonts w:hint="eastAsia" w:ascii="宋体" w:hAnsi="宋体" w:eastAsia="宋体"/>
                <w:sz w:val="24"/>
                <w:szCs w:val="24"/>
                <w:lang w:val="en-US" w:eastAsia="zh-CN"/>
              </w:rPr>
              <w:t>6</w:t>
            </w:r>
          </w:p>
        </w:tc>
      </w:tr>
      <w:bookmarkEnd w:id="42"/>
      <w:bookmarkEnd w:id="43"/>
      <w:bookmarkEnd w:id="44"/>
      <w:bookmarkEnd w:id="45"/>
    </w:tbl>
    <w:p w14:paraId="4B9E7DCD">
      <w:pPr>
        <w:spacing w:line="276" w:lineRule="auto"/>
        <w:rPr>
          <w:rFonts w:hint="eastAsia" w:ascii="宋体" w:hAnsi="宋体" w:eastAsia="宋体"/>
          <w:b/>
          <w:sz w:val="24"/>
          <w:szCs w:val="24"/>
        </w:rPr>
      </w:pPr>
      <w:r>
        <w:rPr>
          <w:rFonts w:hint="eastAsia" w:ascii="宋体" w:hAnsi="宋体" w:eastAsia="宋体"/>
          <w:b/>
          <w:sz w:val="24"/>
          <w:szCs w:val="24"/>
        </w:rPr>
        <w:t>三、说明</w:t>
      </w:r>
    </w:p>
    <w:p w14:paraId="62FFD016">
      <w:pPr>
        <w:spacing w:line="276" w:lineRule="auto"/>
        <w:ind w:firstLine="416"/>
        <w:rPr>
          <w:rFonts w:ascii="宋体" w:hAnsi="宋体" w:eastAsia="宋体"/>
          <w:sz w:val="24"/>
          <w:szCs w:val="24"/>
        </w:rPr>
      </w:pPr>
      <w:r>
        <w:rPr>
          <w:rFonts w:hint="eastAsia" w:ascii="宋体" w:hAnsi="宋体" w:eastAsia="宋体"/>
          <w:sz w:val="24"/>
          <w:szCs w:val="24"/>
        </w:rPr>
        <w:t>1、评审评分标准涉及到的所有材料需按要求提供相应的证明材料盖章扫描上传至电子磋商响应文件中，未按要求提供的均不得分。提供的证明材料必须真实可靠，如发现弄虚作假者，将向政府采购</w:t>
      </w:r>
      <w:r>
        <w:rPr>
          <w:rFonts w:ascii="宋体" w:hAnsi="宋体" w:eastAsia="宋体"/>
          <w:sz w:val="24"/>
          <w:szCs w:val="24"/>
        </w:rPr>
        <w:t>管理部门</w:t>
      </w:r>
      <w:r>
        <w:rPr>
          <w:rFonts w:hint="eastAsia" w:ascii="宋体" w:hAnsi="宋体" w:eastAsia="宋体"/>
          <w:sz w:val="24"/>
          <w:szCs w:val="24"/>
        </w:rPr>
        <w:t>汇报，</w:t>
      </w:r>
      <w:r>
        <w:rPr>
          <w:rFonts w:ascii="宋体" w:hAnsi="宋体" w:eastAsia="宋体"/>
          <w:sz w:val="24"/>
          <w:szCs w:val="24"/>
        </w:rPr>
        <w:t>将供应商列入不良行为记录名单</w:t>
      </w:r>
      <w:r>
        <w:rPr>
          <w:rFonts w:hint="eastAsia" w:ascii="宋体" w:hAnsi="宋体" w:eastAsia="宋体"/>
          <w:sz w:val="24"/>
          <w:szCs w:val="24"/>
        </w:rPr>
        <w:t>，并依法予以处罚。</w:t>
      </w:r>
    </w:p>
    <w:p w14:paraId="49B61BF3">
      <w:pPr>
        <w:spacing w:line="276" w:lineRule="auto"/>
        <w:ind w:firstLine="416"/>
        <w:rPr>
          <w:rFonts w:hint="eastAsia" w:ascii="宋体" w:hAnsi="宋体" w:eastAsia="宋体"/>
          <w:sz w:val="24"/>
          <w:szCs w:val="24"/>
        </w:rPr>
      </w:pPr>
      <w:r>
        <w:rPr>
          <w:rFonts w:hint="eastAsia" w:ascii="宋体" w:hAnsi="宋体" w:eastAsia="宋体"/>
          <w:sz w:val="24"/>
          <w:szCs w:val="24"/>
        </w:rPr>
        <w:t>2、政策功能：</w:t>
      </w:r>
    </w:p>
    <w:p w14:paraId="59CC2D42">
      <w:pPr>
        <w:spacing w:line="276" w:lineRule="auto"/>
        <w:ind w:firstLine="416"/>
        <w:rPr>
          <w:rFonts w:hint="eastAsia" w:ascii="宋体" w:hAnsi="宋体" w:eastAsia="宋体"/>
          <w:sz w:val="24"/>
          <w:szCs w:val="24"/>
        </w:rPr>
      </w:pPr>
      <w:r>
        <w:rPr>
          <w:rFonts w:hint="eastAsia" w:ascii="宋体" w:hAnsi="宋体" w:eastAsia="宋体"/>
          <w:sz w:val="24"/>
          <w:szCs w:val="24"/>
        </w:rPr>
        <w:t>2.1本项目专门面向中小企业采购，供应商应为中小微企业、监狱企业、残疾人福利性单位。</w:t>
      </w:r>
    </w:p>
    <w:p w14:paraId="38DE3024">
      <w:pPr>
        <w:spacing w:line="276" w:lineRule="auto"/>
        <w:ind w:firstLine="416"/>
        <w:rPr>
          <w:rFonts w:hint="eastAsia" w:ascii="宋体" w:hAnsi="宋体" w:eastAsia="宋体"/>
          <w:sz w:val="24"/>
          <w:szCs w:val="24"/>
        </w:rPr>
      </w:pPr>
      <w:r>
        <w:rPr>
          <w:rFonts w:hint="eastAsia" w:ascii="宋体" w:hAnsi="宋体" w:eastAsia="宋体"/>
          <w:sz w:val="24"/>
          <w:szCs w:val="24"/>
        </w:rPr>
        <w:t>2.2中小企业（含小型、微型企业）应当符合以下条件：</w:t>
      </w:r>
    </w:p>
    <w:p w14:paraId="6F7880CE">
      <w:pPr>
        <w:spacing w:line="276" w:lineRule="auto"/>
        <w:ind w:firstLine="416"/>
        <w:rPr>
          <w:rFonts w:hint="eastAsia" w:ascii="宋体" w:hAnsi="宋体" w:eastAsia="宋体"/>
          <w:sz w:val="24"/>
          <w:szCs w:val="24"/>
        </w:rPr>
      </w:pPr>
      <w:r>
        <w:rPr>
          <w:rFonts w:hint="eastAsia" w:ascii="宋体" w:hAnsi="宋体" w:eastAsia="宋体"/>
          <w:sz w:val="24"/>
          <w:szCs w:val="24"/>
        </w:rPr>
        <w:t>（1）供应商为中小企业，且符合中小企业划分标准（中小企业划型标准按照《关于印发中小企业划型标准规定的通知》（工信部联企业〔2011〕300号）文认定），但与大企业的负责人为同一人，或者与大企业存在直接控股、管理关系的除外。</w:t>
      </w:r>
    </w:p>
    <w:p w14:paraId="3ED61544">
      <w:pPr>
        <w:spacing w:line="276" w:lineRule="auto"/>
        <w:ind w:firstLine="416"/>
        <w:rPr>
          <w:rFonts w:hint="eastAsia" w:ascii="宋体" w:hAnsi="宋体" w:eastAsia="宋体"/>
          <w:sz w:val="24"/>
          <w:szCs w:val="24"/>
        </w:rPr>
      </w:pPr>
      <w:r>
        <w:rPr>
          <w:rFonts w:hint="eastAsia" w:ascii="宋体" w:hAnsi="宋体" w:eastAsia="宋体"/>
          <w:sz w:val="24"/>
          <w:szCs w:val="24"/>
        </w:rPr>
        <w:t>（2）提供本企业制造的货物、承担的工程或者服务，或者提供其他小企业制造的货物。如果提供的货物为大中型企业注册商标的货物，视同大中型企业。</w:t>
      </w:r>
    </w:p>
    <w:p w14:paraId="3AA2D55A">
      <w:pPr>
        <w:spacing w:line="276" w:lineRule="auto"/>
        <w:ind w:firstLine="416"/>
        <w:rPr>
          <w:rFonts w:hint="eastAsia" w:ascii="宋体" w:hAnsi="宋体" w:eastAsia="宋体"/>
          <w:sz w:val="24"/>
          <w:szCs w:val="24"/>
        </w:rPr>
      </w:pPr>
      <w:r>
        <w:rPr>
          <w:rFonts w:hint="eastAsia" w:ascii="宋体" w:hAnsi="宋体" w:eastAsia="宋体"/>
          <w:sz w:val="24"/>
          <w:szCs w:val="24"/>
        </w:rPr>
        <w:t>（3）在货物采购项目中，供应商提供的货物既有中小企业制造货物，也有大型企业制造货物的，不享受本办法规定的中小企业扶持政策。</w:t>
      </w:r>
    </w:p>
    <w:p w14:paraId="0BAA6EFC">
      <w:pPr>
        <w:spacing w:line="276" w:lineRule="auto"/>
        <w:ind w:firstLine="416"/>
        <w:rPr>
          <w:rFonts w:hint="eastAsia" w:ascii="宋体" w:hAnsi="宋体" w:eastAsia="宋体"/>
          <w:sz w:val="24"/>
          <w:szCs w:val="24"/>
        </w:rPr>
      </w:pPr>
      <w:r>
        <w:rPr>
          <w:rFonts w:hint="eastAsia" w:ascii="宋体" w:hAnsi="宋体" w:eastAsia="宋体"/>
          <w:sz w:val="24"/>
          <w:szCs w:val="24"/>
        </w:rPr>
        <w:t>（4）以联合体形式参加政府采购活动，联合体各方均为中小企业的，联合体视同中小企业。其中，联合体各方均为小微企业的，联合体视同小微企业。</w:t>
      </w:r>
    </w:p>
    <w:p w14:paraId="0013A768">
      <w:pPr>
        <w:spacing w:line="276" w:lineRule="auto"/>
        <w:ind w:firstLine="416"/>
        <w:rPr>
          <w:rFonts w:hint="eastAsia" w:ascii="宋体" w:hAnsi="宋体" w:eastAsia="宋体"/>
          <w:sz w:val="24"/>
          <w:szCs w:val="24"/>
        </w:rPr>
      </w:pPr>
      <w:r>
        <w:rPr>
          <w:rFonts w:hint="eastAsia" w:ascii="宋体" w:hAnsi="宋体" w:eastAsia="宋体"/>
          <w:sz w:val="24"/>
          <w:szCs w:val="24"/>
        </w:rPr>
        <w:t>2.3监狱和戒毒企业</w:t>
      </w:r>
    </w:p>
    <w:p w14:paraId="327D063E">
      <w:pPr>
        <w:spacing w:line="276" w:lineRule="auto"/>
        <w:ind w:firstLine="416"/>
        <w:rPr>
          <w:rFonts w:hint="eastAsia" w:ascii="宋体" w:hAnsi="宋体" w:eastAsia="宋体"/>
          <w:sz w:val="24"/>
          <w:szCs w:val="24"/>
        </w:rPr>
      </w:pPr>
      <w:r>
        <w:rPr>
          <w:rFonts w:hint="eastAsia" w:ascii="宋体" w:hAnsi="宋体" w:eastAsia="宋体"/>
          <w:sz w:val="24"/>
          <w:szCs w:val="24"/>
        </w:rPr>
        <w:t>监狱企业需提供由省级以上监狱管理局、戒毒管理局（含新疆生产建设兵团）出具的属于监狱企业的证明文件。监狱企业标准请参照《关于政府采购支持监狱企业发展有关问题的通知》（财库[2014]68号）。</w:t>
      </w:r>
    </w:p>
    <w:p w14:paraId="3613CA3C">
      <w:pPr>
        <w:spacing w:line="276" w:lineRule="auto"/>
        <w:ind w:firstLine="416"/>
        <w:rPr>
          <w:rFonts w:hint="eastAsia" w:ascii="宋体" w:hAnsi="宋体" w:eastAsia="宋体"/>
          <w:sz w:val="24"/>
          <w:szCs w:val="24"/>
        </w:rPr>
      </w:pPr>
      <w:r>
        <w:rPr>
          <w:rFonts w:hint="eastAsia" w:ascii="宋体" w:hAnsi="宋体" w:eastAsia="宋体"/>
          <w:sz w:val="24"/>
          <w:szCs w:val="24"/>
        </w:rPr>
        <w:t>2.4残疾人福利性单位</w:t>
      </w:r>
    </w:p>
    <w:p w14:paraId="6FE3CC93">
      <w:pPr>
        <w:spacing w:line="276" w:lineRule="auto"/>
        <w:ind w:firstLine="416"/>
        <w:rPr>
          <w:rFonts w:hint="eastAsia" w:ascii="宋体" w:hAnsi="宋体" w:eastAsia="宋体"/>
          <w:sz w:val="24"/>
          <w:szCs w:val="24"/>
        </w:rPr>
      </w:pPr>
      <w:r>
        <w:rPr>
          <w:rFonts w:hint="eastAsia" w:ascii="宋体" w:hAnsi="宋体" w:eastAsia="宋体"/>
          <w:sz w:val="24"/>
          <w:szCs w:val="24"/>
        </w:rPr>
        <w:t>残疾人福利单位需按照采购文件的要求提供《残疾人福利性单位声明函》。残疾人福利单位标准请参照《关于促进残疾人就业政府采购政策的通知》（财库〔2017〕141号）。</w:t>
      </w:r>
    </w:p>
    <w:p w14:paraId="527BEFA8">
      <w:pPr>
        <w:spacing w:line="276" w:lineRule="auto"/>
        <w:ind w:firstLine="416"/>
        <w:rPr>
          <w:rFonts w:hint="eastAsia" w:ascii="宋体" w:hAnsi="宋体" w:eastAsia="宋体"/>
          <w:sz w:val="24"/>
          <w:szCs w:val="24"/>
        </w:rPr>
      </w:pPr>
      <w:r>
        <w:rPr>
          <w:rFonts w:hint="eastAsia" w:ascii="宋体" w:hAnsi="宋体" w:eastAsia="宋体"/>
          <w:sz w:val="24"/>
          <w:szCs w:val="24"/>
        </w:rPr>
        <w:t>2.5监狱企业、残疾人福利单位属于小型、微型企业的，不重复享受政策。</w:t>
      </w:r>
    </w:p>
    <w:p w14:paraId="6203AB21">
      <w:pPr>
        <w:spacing w:line="276" w:lineRule="auto"/>
        <w:ind w:firstLine="416"/>
        <w:rPr>
          <w:rFonts w:hint="eastAsia" w:ascii="宋体" w:hAnsi="宋体" w:eastAsia="宋体"/>
          <w:sz w:val="24"/>
          <w:szCs w:val="24"/>
        </w:rPr>
      </w:pPr>
      <w:r>
        <w:rPr>
          <w:rFonts w:hint="eastAsia" w:ascii="宋体" w:hAnsi="宋体" w:eastAsia="宋体"/>
          <w:sz w:val="24"/>
          <w:szCs w:val="24"/>
        </w:rPr>
        <w:t>2.6价格扣除</w:t>
      </w:r>
    </w:p>
    <w:p w14:paraId="63ADB53B">
      <w:pPr>
        <w:spacing w:line="276" w:lineRule="auto"/>
        <w:ind w:firstLine="416"/>
        <w:rPr>
          <w:rFonts w:hint="eastAsia" w:ascii="宋体" w:hAnsi="宋体" w:eastAsia="宋体"/>
          <w:sz w:val="24"/>
          <w:szCs w:val="24"/>
        </w:rPr>
      </w:pPr>
      <w:r>
        <w:rPr>
          <w:rFonts w:hint="eastAsia" w:ascii="宋体" w:hAnsi="宋体" w:eastAsia="宋体"/>
          <w:sz w:val="24"/>
          <w:szCs w:val="24"/>
        </w:rPr>
        <w:t>2.6.1对国家认定的节能产品和环保产品分别给予投标价的5%价格扣除，用扣除后的价格参与评审。</w:t>
      </w:r>
    </w:p>
    <w:p w14:paraId="317BF252">
      <w:pPr>
        <w:spacing w:line="276" w:lineRule="auto"/>
        <w:ind w:firstLine="416"/>
        <w:rPr>
          <w:rFonts w:hint="eastAsia" w:ascii="宋体" w:hAnsi="宋体" w:eastAsia="宋体"/>
          <w:sz w:val="24"/>
          <w:szCs w:val="24"/>
        </w:rPr>
      </w:pPr>
      <w:r>
        <w:rPr>
          <w:rFonts w:hint="eastAsia" w:ascii="宋体" w:hAnsi="宋体" w:eastAsia="宋体"/>
          <w:sz w:val="24"/>
          <w:szCs w:val="24"/>
        </w:rPr>
        <w:t>2.6.2小微企业价格扣除：本项目专门面向中小企业采购，评审时，采购人对小微企业的报价不给予价格扣除；本项目不允许中型企业向一家或者多家小微企业分包，采购人对中型企业的报价不给予价格扣除。</w:t>
      </w:r>
    </w:p>
    <w:p w14:paraId="238B76E6">
      <w:pPr>
        <w:spacing w:line="276" w:lineRule="auto"/>
        <w:ind w:firstLine="416"/>
        <w:rPr>
          <w:rFonts w:hint="eastAsia" w:ascii="宋体" w:hAnsi="宋体" w:eastAsia="宋体"/>
          <w:sz w:val="24"/>
          <w:szCs w:val="24"/>
        </w:rPr>
      </w:pPr>
    </w:p>
    <w:bookmarkEnd w:id="41"/>
    <w:p w14:paraId="113CBABC">
      <w:pPr>
        <w:pStyle w:val="347"/>
        <w:spacing w:line="276" w:lineRule="auto"/>
        <w:ind w:left="0" w:firstLine="0"/>
        <w:rPr>
          <w:rFonts w:ascii="宋体" w:hAnsi="宋体" w:eastAsia="宋体"/>
          <w:color w:val="000000"/>
          <w:sz w:val="18"/>
          <w:szCs w:val="18"/>
        </w:rPr>
      </w:pPr>
      <w:r>
        <w:rPr>
          <w:rFonts w:ascii="宋体" w:hAnsi="宋体" w:eastAsia="宋体" w:cs="Trebuchet MS"/>
          <w:bCs w:val="0"/>
          <w:color w:val="000000"/>
          <w:sz w:val="21"/>
          <w:lang w:val="en-US"/>
        </w:rPr>
        <w:br w:type="page" w:clear="all"/>
      </w:r>
      <w:bookmarkStart w:id="46" w:name="_Toc190329538"/>
      <w:bookmarkStart w:id="47" w:name="_Toc85525791"/>
      <w:r>
        <w:rPr>
          <w:rFonts w:hint="eastAsia" w:ascii="宋体" w:hAnsi="宋体" w:eastAsia="宋体"/>
          <w:color w:val="000000"/>
        </w:rPr>
        <w:t>★第四章招标项目说明及技术要求</w:t>
      </w:r>
      <w:bookmarkEnd w:id="27"/>
      <w:bookmarkEnd w:id="28"/>
      <w:bookmarkEnd w:id="29"/>
      <w:bookmarkEnd w:id="30"/>
      <w:bookmarkEnd w:id="46"/>
      <w:bookmarkEnd w:id="47"/>
      <w:bookmarkStart w:id="48" w:name="_Toc503948578"/>
      <w:bookmarkStart w:id="49" w:name="_Toc503948071"/>
      <w:bookmarkStart w:id="50" w:name="_Toc479949480"/>
      <w:bookmarkStart w:id="51" w:name="_Toc497829346"/>
    </w:p>
    <w:bookmarkEnd w:id="48"/>
    <w:bookmarkEnd w:id="49"/>
    <w:bookmarkEnd w:id="50"/>
    <w:bookmarkEnd w:id="51"/>
    <w:p w14:paraId="420745A7">
      <w:pPr>
        <w:spacing w:line="276" w:lineRule="auto"/>
        <w:rPr>
          <w:rFonts w:ascii="宋体" w:hAnsi="宋体" w:eastAsia="宋体" w:cs="宋体"/>
          <w:b/>
          <w:bCs/>
          <w:szCs w:val="21"/>
        </w:rPr>
      </w:pPr>
      <w:bookmarkStart w:id="52" w:name="_Toc507488578"/>
      <w:bookmarkStart w:id="53" w:name="_Toc14703"/>
      <w:bookmarkStart w:id="54" w:name="_Toc491694066"/>
      <w:bookmarkStart w:id="55" w:name="_Toc490947152"/>
      <w:bookmarkStart w:id="56" w:name="_Toc500148752"/>
      <w:bookmarkStart w:id="57" w:name="_Toc503948077"/>
      <w:bookmarkStart w:id="58" w:name="_Toc85525792"/>
      <w:bookmarkStart w:id="59" w:name="_Toc503948584"/>
      <w:r>
        <w:rPr>
          <w:rFonts w:hint="eastAsia" w:ascii="宋体" w:hAnsi="宋体" w:eastAsia="宋体" w:cs="宋体"/>
          <w:b/>
          <w:bCs/>
          <w:szCs w:val="21"/>
        </w:rPr>
        <w:t>一、</w:t>
      </w:r>
      <w:bookmarkEnd w:id="52"/>
      <w:bookmarkEnd w:id="53"/>
      <w:r>
        <w:rPr>
          <w:rFonts w:hint="eastAsia" w:ascii="宋体" w:hAnsi="宋体" w:eastAsia="宋体" w:cs="宋体"/>
          <w:b/>
          <w:bCs/>
          <w:szCs w:val="21"/>
        </w:rPr>
        <w:t>项目概况</w:t>
      </w:r>
    </w:p>
    <w:p w14:paraId="163FCFBD">
      <w:pPr>
        <w:spacing w:line="276" w:lineRule="auto"/>
        <w:ind w:firstLine="420"/>
        <w:rPr>
          <w:sz w:val="22"/>
          <w:szCs w:val="2"/>
          <w:lang w:val="zh-CN"/>
        </w:rPr>
      </w:pPr>
      <w:r>
        <w:rPr>
          <w:rFonts w:hint="eastAsia" w:ascii="宋体" w:hAnsi="宋体" w:eastAsia="宋体" w:cs="方正大黑简体"/>
          <w:color w:val="0000FF"/>
          <w:szCs w:val="21"/>
          <w:lang w:val="zh-CN"/>
        </w:rPr>
        <w:t>1、项目名称：</w:t>
      </w:r>
      <w:r>
        <w:rPr>
          <w:rFonts w:hint="eastAsia" w:ascii="宋体" w:hAnsi="宋体" w:eastAsia="宋体" w:cs="方正大黑简体"/>
          <w:color w:val="0000FF"/>
          <w:sz w:val="22"/>
          <w:szCs w:val="2"/>
          <w:lang w:val="zh-CN"/>
        </w:rPr>
        <w:t>2026-2028年度“村村亮”路灯管养维护服务项目</w:t>
      </w:r>
    </w:p>
    <w:p w14:paraId="4C69029E">
      <w:pPr>
        <w:spacing w:line="276" w:lineRule="auto"/>
        <w:ind w:firstLine="416"/>
        <w:rPr>
          <w:rFonts w:hint="eastAsia" w:ascii="宋体" w:hAnsi="宋体" w:eastAsia="宋体" w:cs="方正大黑简体"/>
          <w:color w:val="0000FF"/>
          <w:szCs w:val="21"/>
          <w:lang w:val="zh-CN"/>
        </w:rPr>
      </w:pPr>
      <w:r>
        <w:rPr>
          <w:rFonts w:ascii="宋体" w:hAnsi="宋体" w:eastAsia="宋体" w:cs="方正大黑简体"/>
          <w:color w:val="0000FF"/>
          <w:szCs w:val="21"/>
          <w:lang w:val="zh-CN"/>
        </w:rPr>
        <w:t>2</w:t>
      </w:r>
      <w:r>
        <w:rPr>
          <w:rFonts w:hint="eastAsia" w:ascii="宋体" w:hAnsi="宋体" w:eastAsia="宋体" w:cs="方正大黑简体"/>
          <w:color w:val="0000FF"/>
          <w:szCs w:val="21"/>
          <w:lang w:val="zh-CN"/>
        </w:rPr>
        <w:t>、采购需求：</w:t>
      </w:r>
    </w:p>
    <w:p w14:paraId="4A510B2D">
      <w:pPr>
        <w:spacing w:line="276" w:lineRule="auto"/>
        <w:ind w:firstLine="416"/>
        <w:rPr>
          <w:rFonts w:ascii="宋体" w:hAnsi="宋体" w:eastAsia="宋体" w:cs="方正大黑简体"/>
          <w:color w:val="0000FF"/>
          <w:szCs w:val="21"/>
          <w:lang w:val="zh-CN"/>
        </w:rPr>
      </w:pPr>
      <w:r>
        <w:rPr>
          <w:rFonts w:hint="eastAsia" w:ascii="宋体" w:hAnsi="宋体" w:eastAsia="宋体" w:cs="方正大黑简体"/>
          <w:color w:val="0000FF"/>
          <w:szCs w:val="21"/>
          <w:lang w:val="zh-CN"/>
        </w:rPr>
        <w:t>2026-2028年度“村村亮”路灯管养维护服务项目服务</w:t>
      </w:r>
      <w:r>
        <w:rPr>
          <w:rFonts w:hint="eastAsia" w:ascii="宋体" w:hAnsi="宋体" w:eastAsia="宋体"/>
          <w:color w:val="0000FF"/>
        </w:rPr>
        <w:t>，</w:t>
      </w:r>
      <w:r>
        <w:rPr>
          <w:rFonts w:hint="eastAsia" w:ascii="宋体" w:hAnsi="宋体" w:eastAsia="宋体" w:cs="方正大黑简体"/>
          <w:color w:val="0000FF"/>
          <w:szCs w:val="21"/>
          <w:lang w:val="zh-CN"/>
        </w:rPr>
        <w:t>具体详工作内容清单。</w:t>
      </w:r>
    </w:p>
    <w:p w14:paraId="3DA9ADA2">
      <w:pPr>
        <w:spacing w:line="276" w:lineRule="auto"/>
        <w:ind w:firstLine="420"/>
        <w:rPr>
          <w:rFonts w:hint="eastAsia" w:ascii="宋体" w:hAnsi="宋体" w:eastAsia="宋体" w:cs="方正大黑简体"/>
          <w:color w:val="0000FF"/>
          <w:szCs w:val="21"/>
          <w:lang w:val="zh-CN"/>
        </w:rPr>
      </w:pPr>
      <w:r>
        <w:rPr>
          <w:rFonts w:ascii="宋体" w:hAnsi="宋体" w:eastAsia="宋体" w:cs="方正大黑简体"/>
          <w:color w:val="0000FF"/>
          <w:szCs w:val="21"/>
          <w:lang w:val="zh-CN"/>
        </w:rPr>
        <w:t>3</w:t>
      </w:r>
      <w:r>
        <w:rPr>
          <w:rFonts w:hint="eastAsia" w:ascii="宋体" w:hAnsi="宋体" w:eastAsia="宋体" w:cs="方正大黑简体"/>
          <w:color w:val="0000FF"/>
          <w:szCs w:val="21"/>
          <w:lang w:val="zh-CN"/>
        </w:rPr>
        <w:t>、合同履行期限：一招三年，合同一年一签；</w:t>
      </w:r>
    </w:p>
    <w:bookmarkEnd w:id="54"/>
    <w:bookmarkEnd w:id="55"/>
    <w:bookmarkEnd w:id="56"/>
    <w:p w14:paraId="65727FBA">
      <w:pPr>
        <w:spacing w:line="276" w:lineRule="auto"/>
        <w:jc w:val="left"/>
        <w:rPr>
          <w:rFonts w:ascii="宋体" w:hAnsi="宋体" w:eastAsia="宋体" w:cs="宋体"/>
          <w:b/>
          <w:bCs/>
          <w:szCs w:val="21"/>
        </w:rPr>
      </w:pPr>
      <w:r>
        <w:rPr>
          <w:rFonts w:hint="eastAsia" w:ascii="宋体" w:hAnsi="宋体" w:eastAsia="宋体" w:cs="宋体"/>
          <w:b/>
          <w:bCs/>
          <w:szCs w:val="21"/>
        </w:rPr>
        <w:t>二、服务清单</w:t>
      </w:r>
    </w:p>
    <w:tbl>
      <w:tblPr>
        <w:tblStyle w:val="29"/>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3570"/>
        <w:gridCol w:w="2595"/>
        <w:gridCol w:w="2655"/>
      </w:tblGrid>
      <w:tr w14:paraId="30048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8" w:space="0"/>
              <w:left w:val="single" w:color="000000" w:sz="8" w:space="0"/>
              <w:bottom w:val="single" w:color="auto" w:sz="4" w:space="0"/>
              <w:right w:val="single" w:color="000000" w:sz="8" w:space="0"/>
            </w:tcBorders>
            <w:shd w:val="clear" w:color="auto" w:fill="auto"/>
            <w:noWrap/>
            <w:vAlign w:val="center"/>
          </w:tcPr>
          <w:p w14:paraId="6FF5856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序号</w:t>
            </w:r>
          </w:p>
        </w:tc>
        <w:tc>
          <w:tcPr>
            <w:tcW w:w="3570" w:type="dxa"/>
            <w:tcBorders>
              <w:top w:val="single" w:color="000000" w:sz="8" w:space="0"/>
              <w:left w:val="nil"/>
              <w:bottom w:val="single" w:color="auto" w:sz="4" w:space="0"/>
              <w:right w:val="single" w:color="000000" w:sz="8" w:space="0"/>
            </w:tcBorders>
            <w:shd w:val="clear" w:color="auto" w:fill="auto"/>
            <w:noWrap/>
            <w:vAlign w:val="center"/>
          </w:tcPr>
          <w:p w14:paraId="4A5C187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社区名称</w:t>
            </w:r>
          </w:p>
        </w:tc>
        <w:tc>
          <w:tcPr>
            <w:tcW w:w="2595" w:type="dxa"/>
            <w:tcBorders>
              <w:top w:val="single" w:color="000000" w:sz="8" w:space="0"/>
              <w:left w:val="nil"/>
              <w:bottom w:val="single" w:color="auto" w:sz="4" w:space="0"/>
              <w:right w:val="single" w:color="000000" w:sz="8" w:space="0"/>
            </w:tcBorders>
            <w:shd w:val="clear" w:color="auto" w:fill="auto"/>
            <w:vAlign w:val="center"/>
          </w:tcPr>
          <w:p w14:paraId="5F3330F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6米高太阳能LED路灯 数量</w:t>
            </w:r>
          </w:p>
        </w:tc>
        <w:tc>
          <w:tcPr>
            <w:tcW w:w="2655" w:type="dxa"/>
            <w:tcBorders>
              <w:top w:val="single" w:color="000000" w:sz="8" w:space="0"/>
              <w:left w:val="nil"/>
              <w:bottom w:val="single" w:color="auto" w:sz="4" w:space="0"/>
              <w:right w:val="single" w:color="000000" w:sz="8" w:space="0"/>
            </w:tcBorders>
            <w:shd w:val="clear" w:color="auto" w:fill="auto"/>
            <w:noWrap/>
            <w:vAlign w:val="center"/>
          </w:tcPr>
          <w:p w14:paraId="14D865F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备注</w:t>
            </w:r>
          </w:p>
        </w:tc>
      </w:tr>
      <w:tr w14:paraId="5670A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1A57A78">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26689DC0">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永兴社区</w:t>
            </w:r>
          </w:p>
        </w:tc>
        <w:tc>
          <w:tcPr>
            <w:tcW w:w="2595" w:type="dxa"/>
            <w:tcBorders>
              <w:top w:val="single" w:color="auto" w:sz="4" w:space="0"/>
              <w:left w:val="single" w:color="auto" w:sz="4" w:space="0"/>
              <w:bottom w:val="single" w:color="auto" w:sz="4" w:space="0"/>
              <w:right w:val="single" w:color="auto" w:sz="4" w:space="0"/>
            </w:tcBorders>
            <w:shd w:val="clear" w:color="auto" w:fill="auto"/>
            <w:vAlign w:val="center"/>
          </w:tcPr>
          <w:p w14:paraId="47561242">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45</w:t>
            </w:r>
          </w:p>
        </w:tc>
        <w:tc>
          <w:tcPr>
            <w:tcW w:w="265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63A8142">
            <w:pPr>
              <w:keepNext w:val="0"/>
              <w:keepLines w:val="0"/>
              <w:widowControl/>
              <w:suppressLineNumbers w:val="0"/>
              <w:spacing w:line="360" w:lineRule="auto"/>
              <w:jc w:val="lef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 xml:space="preserve"> 1、全费用综合单价包括人工费、材料费、交通费、人员保险、食宿费、管理费、利润、政策性文件规定的各项费用、招标文件明示或暗示的一切风险以及税金等，后期不作调整。</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 xml:space="preserve">     2、施工过程中出现一切安全事故与甲方无关，安全责任由乙方承担，费用包含在综合单价中，后期不作调整。</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 xml:space="preserve">     3、人员配置满足甲方质量进度要求的人员数量，随时接受甲方监督。派驻的相关人员需驻地禄口，随喊随到，相关的费用包含在全费用综合单价中，后期不作调整。</w:t>
            </w:r>
          </w:p>
        </w:tc>
      </w:tr>
      <w:tr w14:paraId="7243C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10DD72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2AC5A17E">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 xml:space="preserve">张桥社区 </w:t>
            </w:r>
          </w:p>
        </w:tc>
        <w:tc>
          <w:tcPr>
            <w:tcW w:w="2595" w:type="dxa"/>
            <w:tcBorders>
              <w:top w:val="single" w:color="auto" w:sz="4" w:space="0"/>
              <w:left w:val="single" w:color="auto" w:sz="4" w:space="0"/>
              <w:bottom w:val="single" w:color="auto" w:sz="4" w:space="0"/>
              <w:right w:val="single" w:color="auto" w:sz="4" w:space="0"/>
            </w:tcBorders>
            <w:shd w:val="clear" w:color="auto" w:fill="auto"/>
            <w:vAlign w:val="center"/>
          </w:tcPr>
          <w:p w14:paraId="75DF013F">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40</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EE07958">
            <w:pPr>
              <w:spacing w:line="360" w:lineRule="auto"/>
              <w:rPr>
                <w:rFonts w:hint="eastAsia" w:ascii="宋体" w:hAnsi="宋体" w:eastAsia="宋体" w:cs="宋体"/>
                <w:b w:val="0"/>
                <w:bCs w:val="0"/>
                <w:i w:val="0"/>
                <w:iCs w:val="0"/>
                <w:color w:val="000000"/>
                <w:sz w:val="20"/>
                <w:szCs w:val="20"/>
                <w:u w:val="none"/>
              </w:rPr>
            </w:pPr>
          </w:p>
        </w:tc>
      </w:tr>
      <w:tr w14:paraId="1DDF3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7499A7C">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55692028">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 xml:space="preserve">埂方社区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5DE0E2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135</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9F8246">
            <w:pPr>
              <w:spacing w:line="360" w:lineRule="auto"/>
              <w:rPr>
                <w:rFonts w:hint="eastAsia" w:ascii="宋体" w:hAnsi="宋体" w:eastAsia="宋体" w:cs="宋体"/>
                <w:b w:val="0"/>
                <w:bCs w:val="0"/>
                <w:i w:val="0"/>
                <w:iCs w:val="0"/>
                <w:color w:val="000000"/>
                <w:sz w:val="20"/>
                <w:szCs w:val="20"/>
                <w:u w:val="none"/>
              </w:rPr>
            </w:pPr>
          </w:p>
        </w:tc>
      </w:tr>
      <w:tr w14:paraId="62AC9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866400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33724BFF">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 xml:space="preserve">白云路社区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66BA6C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62</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66E823">
            <w:pPr>
              <w:spacing w:line="360" w:lineRule="auto"/>
              <w:rPr>
                <w:rFonts w:hint="eastAsia" w:ascii="宋体" w:hAnsi="宋体" w:eastAsia="宋体" w:cs="宋体"/>
                <w:b w:val="0"/>
                <w:bCs w:val="0"/>
                <w:i w:val="0"/>
                <w:iCs w:val="0"/>
                <w:color w:val="000000"/>
                <w:sz w:val="20"/>
                <w:szCs w:val="20"/>
                <w:u w:val="none"/>
              </w:rPr>
            </w:pPr>
          </w:p>
        </w:tc>
      </w:tr>
      <w:tr w14:paraId="4F093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48BEC5A">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0D8C5F05">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高伏社区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4E52A1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0</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E28D8E">
            <w:pPr>
              <w:spacing w:line="360" w:lineRule="auto"/>
              <w:rPr>
                <w:rFonts w:hint="eastAsia" w:ascii="宋体" w:hAnsi="宋体" w:eastAsia="宋体" w:cs="宋体"/>
                <w:b w:val="0"/>
                <w:bCs w:val="0"/>
                <w:i w:val="0"/>
                <w:iCs w:val="0"/>
                <w:color w:val="000000"/>
                <w:sz w:val="20"/>
                <w:szCs w:val="20"/>
                <w:u w:val="none"/>
              </w:rPr>
            </w:pPr>
          </w:p>
        </w:tc>
      </w:tr>
      <w:tr w14:paraId="62D6C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BD3C748">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6840DB2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彭福社区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2471C2B">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10</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3EBCC6">
            <w:pPr>
              <w:spacing w:line="360" w:lineRule="auto"/>
              <w:rPr>
                <w:rFonts w:hint="eastAsia" w:ascii="宋体" w:hAnsi="宋体" w:eastAsia="宋体" w:cs="宋体"/>
                <w:b w:val="0"/>
                <w:bCs w:val="0"/>
                <w:i w:val="0"/>
                <w:iCs w:val="0"/>
                <w:color w:val="000000"/>
                <w:sz w:val="20"/>
                <w:szCs w:val="20"/>
                <w:u w:val="none"/>
              </w:rPr>
            </w:pPr>
          </w:p>
        </w:tc>
      </w:tr>
      <w:tr w14:paraId="00D53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EA3EA98">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01F5D2C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上穆社区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543104A">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30</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998F395">
            <w:pPr>
              <w:spacing w:line="360" w:lineRule="auto"/>
              <w:rPr>
                <w:rFonts w:hint="eastAsia" w:ascii="宋体" w:hAnsi="宋体" w:eastAsia="宋体" w:cs="宋体"/>
                <w:b w:val="0"/>
                <w:bCs w:val="0"/>
                <w:i w:val="0"/>
                <w:iCs w:val="0"/>
                <w:color w:val="000000"/>
                <w:sz w:val="20"/>
                <w:szCs w:val="20"/>
                <w:u w:val="none"/>
              </w:rPr>
            </w:pPr>
          </w:p>
        </w:tc>
      </w:tr>
      <w:tr w14:paraId="1F265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8F27970">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45916E6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石埝社区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C88755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30</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23E88B">
            <w:pPr>
              <w:spacing w:line="360" w:lineRule="auto"/>
              <w:rPr>
                <w:rFonts w:hint="eastAsia" w:ascii="宋体" w:hAnsi="宋体" w:eastAsia="宋体" w:cs="宋体"/>
                <w:b w:val="0"/>
                <w:bCs w:val="0"/>
                <w:i w:val="0"/>
                <w:iCs w:val="0"/>
                <w:color w:val="000000"/>
                <w:sz w:val="20"/>
                <w:szCs w:val="20"/>
                <w:u w:val="none"/>
              </w:rPr>
            </w:pPr>
          </w:p>
        </w:tc>
      </w:tr>
      <w:tr w14:paraId="39A0F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51C10F4">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3C20CAA2">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尚洪社区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66343E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106</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D11CBF">
            <w:pPr>
              <w:spacing w:line="360" w:lineRule="auto"/>
              <w:rPr>
                <w:rFonts w:hint="eastAsia" w:ascii="宋体" w:hAnsi="宋体" w:eastAsia="宋体" w:cs="宋体"/>
                <w:b w:val="0"/>
                <w:bCs w:val="0"/>
                <w:i w:val="0"/>
                <w:iCs w:val="0"/>
                <w:color w:val="000000"/>
                <w:sz w:val="20"/>
                <w:szCs w:val="20"/>
                <w:u w:val="none"/>
              </w:rPr>
            </w:pPr>
          </w:p>
        </w:tc>
      </w:tr>
      <w:tr w14:paraId="03C94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BFD7C1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10</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28F91FCE">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新生社区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25F89EF">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48A8F1">
            <w:pPr>
              <w:spacing w:line="360" w:lineRule="auto"/>
              <w:rPr>
                <w:rFonts w:hint="eastAsia" w:ascii="宋体" w:hAnsi="宋体" w:eastAsia="宋体" w:cs="宋体"/>
                <w:b w:val="0"/>
                <w:bCs w:val="0"/>
                <w:i w:val="0"/>
                <w:iCs w:val="0"/>
                <w:color w:val="000000"/>
                <w:sz w:val="20"/>
                <w:szCs w:val="20"/>
                <w:u w:val="none"/>
              </w:rPr>
            </w:pPr>
          </w:p>
        </w:tc>
      </w:tr>
      <w:tr w14:paraId="69AB5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A6B1A0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11</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455463BC">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桑园社区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203B01E">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78</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5F1F637">
            <w:pPr>
              <w:spacing w:line="360" w:lineRule="auto"/>
              <w:rPr>
                <w:rFonts w:hint="eastAsia" w:ascii="宋体" w:hAnsi="宋体" w:eastAsia="宋体" w:cs="宋体"/>
                <w:b w:val="0"/>
                <w:bCs w:val="0"/>
                <w:i w:val="0"/>
                <w:iCs w:val="0"/>
                <w:color w:val="000000"/>
                <w:sz w:val="20"/>
                <w:szCs w:val="20"/>
                <w:u w:val="none"/>
              </w:rPr>
            </w:pPr>
          </w:p>
        </w:tc>
      </w:tr>
      <w:tr w14:paraId="531B9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875281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12</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72CD0EA4">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马铺社区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F19FA1F">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961425">
            <w:pPr>
              <w:spacing w:line="360" w:lineRule="auto"/>
              <w:rPr>
                <w:rFonts w:hint="eastAsia" w:ascii="宋体" w:hAnsi="宋体" w:eastAsia="宋体" w:cs="宋体"/>
                <w:b w:val="0"/>
                <w:bCs w:val="0"/>
                <w:i w:val="0"/>
                <w:iCs w:val="0"/>
                <w:color w:val="000000"/>
                <w:sz w:val="20"/>
                <w:szCs w:val="20"/>
                <w:u w:val="none"/>
              </w:rPr>
            </w:pPr>
          </w:p>
        </w:tc>
      </w:tr>
      <w:tr w14:paraId="36FC2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5B6B5C0">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13</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016CB5C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成功社区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E203E7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150</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9C14AF6">
            <w:pPr>
              <w:spacing w:line="360" w:lineRule="auto"/>
              <w:rPr>
                <w:rFonts w:hint="eastAsia" w:ascii="宋体" w:hAnsi="宋体" w:eastAsia="宋体" w:cs="宋体"/>
                <w:b w:val="0"/>
                <w:bCs w:val="0"/>
                <w:i w:val="0"/>
                <w:iCs w:val="0"/>
                <w:color w:val="000000"/>
                <w:sz w:val="20"/>
                <w:szCs w:val="20"/>
                <w:u w:val="none"/>
              </w:rPr>
            </w:pPr>
          </w:p>
        </w:tc>
      </w:tr>
      <w:tr w14:paraId="4721C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C9D73EB">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14</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2BE63618">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徒盖社区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2898606">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84685EA">
            <w:pPr>
              <w:spacing w:line="360" w:lineRule="auto"/>
              <w:rPr>
                <w:rFonts w:hint="eastAsia" w:ascii="宋体" w:hAnsi="宋体" w:eastAsia="宋体" w:cs="宋体"/>
                <w:b w:val="0"/>
                <w:bCs w:val="0"/>
                <w:i w:val="0"/>
                <w:iCs w:val="0"/>
                <w:color w:val="000000"/>
                <w:sz w:val="20"/>
                <w:szCs w:val="20"/>
                <w:u w:val="none"/>
              </w:rPr>
            </w:pPr>
          </w:p>
        </w:tc>
      </w:tr>
      <w:tr w14:paraId="2EED7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9BFD91E">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15</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34D1C36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茅亭社区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7505B1F">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0</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873987F">
            <w:pPr>
              <w:spacing w:line="360" w:lineRule="auto"/>
              <w:rPr>
                <w:rFonts w:hint="eastAsia" w:ascii="宋体" w:hAnsi="宋体" w:eastAsia="宋体" w:cs="宋体"/>
                <w:b w:val="0"/>
                <w:bCs w:val="0"/>
                <w:i w:val="0"/>
                <w:iCs w:val="0"/>
                <w:color w:val="000000"/>
                <w:sz w:val="20"/>
                <w:szCs w:val="20"/>
                <w:u w:val="none"/>
              </w:rPr>
            </w:pPr>
          </w:p>
        </w:tc>
      </w:tr>
      <w:tr w14:paraId="3255B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6505995">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16</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4FD55E6A">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曹村社区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46D08B4">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158</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78F34E">
            <w:pPr>
              <w:spacing w:line="360" w:lineRule="auto"/>
              <w:rPr>
                <w:rFonts w:hint="eastAsia" w:ascii="宋体" w:hAnsi="宋体" w:eastAsia="宋体" w:cs="宋体"/>
                <w:b w:val="0"/>
                <w:bCs w:val="0"/>
                <w:i w:val="0"/>
                <w:iCs w:val="0"/>
                <w:color w:val="000000"/>
                <w:sz w:val="20"/>
                <w:szCs w:val="20"/>
                <w:u w:val="none"/>
              </w:rPr>
            </w:pPr>
          </w:p>
        </w:tc>
      </w:tr>
      <w:tr w14:paraId="35A1F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5713A18">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17</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3A302777">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 xml:space="preserve">黄桥社区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7AF0ADE">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58</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B59137">
            <w:pPr>
              <w:spacing w:line="360" w:lineRule="auto"/>
              <w:rPr>
                <w:rFonts w:hint="eastAsia" w:ascii="宋体" w:hAnsi="宋体" w:eastAsia="宋体" w:cs="宋体"/>
                <w:b w:val="0"/>
                <w:bCs w:val="0"/>
                <w:i w:val="0"/>
                <w:iCs w:val="0"/>
                <w:color w:val="000000"/>
                <w:sz w:val="20"/>
                <w:szCs w:val="20"/>
                <w:u w:val="none"/>
              </w:rPr>
            </w:pPr>
          </w:p>
        </w:tc>
      </w:tr>
      <w:tr w14:paraId="68DA2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400D290">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18</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4ADC28C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谢村社区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B36556C">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72</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A77AA2">
            <w:pPr>
              <w:spacing w:line="360" w:lineRule="auto"/>
              <w:rPr>
                <w:rFonts w:hint="eastAsia" w:ascii="宋体" w:hAnsi="宋体" w:eastAsia="宋体" w:cs="宋体"/>
                <w:b w:val="0"/>
                <w:bCs w:val="0"/>
                <w:i w:val="0"/>
                <w:iCs w:val="0"/>
                <w:color w:val="000000"/>
                <w:sz w:val="20"/>
                <w:szCs w:val="20"/>
                <w:u w:val="none"/>
              </w:rPr>
            </w:pPr>
          </w:p>
        </w:tc>
      </w:tr>
      <w:tr w14:paraId="19E6F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4FCFD7E">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19</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1656FB9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 xml:space="preserve">陈巷社区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4FF0D4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59</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B2F313">
            <w:pPr>
              <w:spacing w:line="360" w:lineRule="auto"/>
              <w:rPr>
                <w:rFonts w:hint="eastAsia" w:ascii="宋体" w:hAnsi="宋体" w:eastAsia="宋体" w:cs="宋体"/>
                <w:b w:val="0"/>
                <w:bCs w:val="0"/>
                <w:i w:val="0"/>
                <w:iCs w:val="0"/>
                <w:color w:val="000000"/>
                <w:sz w:val="20"/>
                <w:szCs w:val="20"/>
                <w:u w:val="none"/>
              </w:rPr>
            </w:pPr>
          </w:p>
        </w:tc>
      </w:tr>
      <w:tr w14:paraId="7F5E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8C82A8C">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20</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619BAF9F">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小彭社区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94CE2E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84</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E12899">
            <w:pPr>
              <w:spacing w:line="360" w:lineRule="auto"/>
              <w:rPr>
                <w:rFonts w:hint="eastAsia" w:ascii="宋体" w:hAnsi="宋体" w:eastAsia="宋体" w:cs="宋体"/>
                <w:b w:val="0"/>
                <w:bCs w:val="0"/>
                <w:i w:val="0"/>
                <w:iCs w:val="0"/>
                <w:color w:val="000000"/>
                <w:sz w:val="20"/>
                <w:szCs w:val="20"/>
                <w:u w:val="none"/>
              </w:rPr>
            </w:pPr>
          </w:p>
        </w:tc>
      </w:tr>
      <w:tr w14:paraId="1CBD3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AC3767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21</w:t>
            </w: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3025325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杨树湾社区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7A64D38">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16</w:t>
            </w:r>
          </w:p>
        </w:tc>
        <w:tc>
          <w:tcPr>
            <w:tcW w:w="26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F0039D">
            <w:pPr>
              <w:spacing w:line="360" w:lineRule="auto"/>
              <w:rPr>
                <w:rFonts w:hint="eastAsia" w:ascii="宋体" w:hAnsi="宋体" w:eastAsia="宋体" w:cs="宋体"/>
                <w:b w:val="0"/>
                <w:bCs w:val="0"/>
                <w:i w:val="0"/>
                <w:iCs w:val="0"/>
                <w:color w:val="000000"/>
                <w:sz w:val="20"/>
                <w:szCs w:val="20"/>
                <w:u w:val="none"/>
              </w:rPr>
            </w:pPr>
          </w:p>
        </w:tc>
      </w:tr>
      <w:tr w14:paraId="111EA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A90E256">
            <w:pPr>
              <w:spacing w:line="360" w:lineRule="auto"/>
              <w:rPr>
                <w:rFonts w:hint="eastAsia" w:ascii="宋体" w:hAnsi="宋体" w:eastAsia="宋体" w:cs="宋体"/>
                <w:b w:val="0"/>
                <w:bCs w:val="0"/>
                <w:i w:val="0"/>
                <w:iCs w:val="0"/>
                <w:color w:val="000000"/>
                <w:sz w:val="22"/>
                <w:szCs w:val="22"/>
                <w:u w:val="none"/>
              </w:rPr>
            </w:pPr>
          </w:p>
        </w:tc>
        <w:tc>
          <w:tcPr>
            <w:tcW w:w="3570" w:type="dxa"/>
            <w:tcBorders>
              <w:top w:val="single" w:color="auto" w:sz="4" w:space="0"/>
              <w:left w:val="single" w:color="auto" w:sz="4" w:space="0"/>
              <w:bottom w:val="single" w:color="auto" w:sz="4" w:space="0"/>
              <w:right w:val="single" w:color="auto" w:sz="4" w:space="0"/>
            </w:tcBorders>
            <w:shd w:val="clear" w:color="auto" w:fill="auto"/>
            <w:vAlign w:val="center"/>
          </w:tcPr>
          <w:p w14:paraId="2E671D07">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数量</w:t>
            </w:r>
          </w:p>
        </w:tc>
        <w:tc>
          <w:tcPr>
            <w:tcW w:w="2595" w:type="dxa"/>
            <w:tcBorders>
              <w:top w:val="single" w:color="auto" w:sz="4" w:space="0"/>
              <w:left w:val="single" w:color="auto" w:sz="4" w:space="0"/>
              <w:bottom w:val="single" w:color="auto" w:sz="4" w:space="0"/>
              <w:right w:val="single" w:color="auto" w:sz="4" w:space="0"/>
            </w:tcBorders>
            <w:shd w:val="clear" w:color="auto" w:fill="auto"/>
            <w:vAlign w:val="center"/>
          </w:tcPr>
          <w:p w14:paraId="586C5214">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1147</w:t>
            </w:r>
          </w:p>
        </w:tc>
        <w:tc>
          <w:tcPr>
            <w:tcW w:w="2655" w:type="dxa"/>
            <w:tcBorders>
              <w:top w:val="single" w:color="auto" w:sz="4" w:space="0"/>
              <w:left w:val="single" w:color="auto" w:sz="4" w:space="0"/>
              <w:bottom w:val="single" w:color="auto" w:sz="4" w:space="0"/>
              <w:right w:val="single" w:color="auto" w:sz="4" w:space="0"/>
            </w:tcBorders>
            <w:shd w:val="clear" w:color="auto" w:fill="auto"/>
            <w:vAlign w:val="center"/>
          </w:tcPr>
          <w:p w14:paraId="145E9036">
            <w:pPr>
              <w:spacing w:line="360" w:lineRule="auto"/>
              <w:jc w:val="both"/>
              <w:rPr>
                <w:rFonts w:hint="eastAsia" w:ascii="宋体" w:hAnsi="宋体" w:eastAsia="宋体" w:cs="宋体"/>
                <w:b w:val="0"/>
                <w:bCs w:val="0"/>
                <w:i w:val="0"/>
                <w:iCs w:val="0"/>
                <w:color w:val="000000"/>
                <w:sz w:val="20"/>
                <w:szCs w:val="20"/>
                <w:u w:val="none"/>
              </w:rPr>
            </w:pPr>
          </w:p>
        </w:tc>
      </w:tr>
    </w:tbl>
    <w:p w14:paraId="749EEF42">
      <w:pPr>
        <w:pStyle w:val="2"/>
        <w:jc w:val="both"/>
        <w:rPr>
          <w:rFonts w:hint="eastAsia"/>
          <w:b w:val="0"/>
          <w:bCs w:val="0"/>
        </w:rPr>
      </w:pPr>
    </w:p>
    <w:tbl>
      <w:tblPr>
        <w:tblStyle w:val="29"/>
        <w:tblW w:w="100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3"/>
        <w:gridCol w:w="1530"/>
        <w:gridCol w:w="2035"/>
        <w:gridCol w:w="1702"/>
        <w:gridCol w:w="4058"/>
      </w:tblGrid>
      <w:tr w14:paraId="7AD42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69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1D03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530" w:type="dxa"/>
            <w:tcBorders>
              <w:top w:val="single" w:color="000000" w:sz="8" w:space="0"/>
              <w:left w:val="nil"/>
              <w:bottom w:val="single" w:color="000000" w:sz="8" w:space="0"/>
              <w:right w:val="single" w:color="000000" w:sz="8" w:space="0"/>
            </w:tcBorders>
            <w:shd w:val="clear" w:color="auto" w:fill="auto"/>
            <w:noWrap/>
            <w:vAlign w:val="center"/>
          </w:tcPr>
          <w:p w14:paraId="575D8D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社区名称</w:t>
            </w:r>
          </w:p>
        </w:tc>
        <w:tc>
          <w:tcPr>
            <w:tcW w:w="2035" w:type="dxa"/>
            <w:tcBorders>
              <w:top w:val="single" w:color="000000" w:sz="8" w:space="0"/>
              <w:left w:val="nil"/>
              <w:bottom w:val="nil"/>
              <w:right w:val="single" w:color="000000" w:sz="8" w:space="0"/>
            </w:tcBorders>
            <w:shd w:val="clear" w:color="auto" w:fill="auto"/>
            <w:vAlign w:val="center"/>
          </w:tcPr>
          <w:p w14:paraId="478226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6.5米高太阳能LED路灯 数量</w:t>
            </w:r>
          </w:p>
        </w:tc>
        <w:tc>
          <w:tcPr>
            <w:tcW w:w="1702" w:type="dxa"/>
            <w:tcBorders>
              <w:top w:val="single" w:color="000000" w:sz="8" w:space="0"/>
              <w:left w:val="nil"/>
              <w:bottom w:val="nil"/>
              <w:right w:val="single" w:color="000000" w:sz="8" w:space="0"/>
            </w:tcBorders>
            <w:shd w:val="clear" w:color="auto" w:fill="auto"/>
            <w:vAlign w:val="center"/>
          </w:tcPr>
          <w:p w14:paraId="218D6D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7.5米高太阳能LED路灯 数量</w:t>
            </w:r>
          </w:p>
        </w:tc>
        <w:tc>
          <w:tcPr>
            <w:tcW w:w="4058" w:type="dxa"/>
            <w:tcBorders>
              <w:top w:val="single" w:color="000000" w:sz="8" w:space="0"/>
              <w:left w:val="nil"/>
              <w:bottom w:val="nil"/>
              <w:right w:val="single" w:color="000000" w:sz="8" w:space="0"/>
            </w:tcBorders>
            <w:shd w:val="clear" w:color="auto" w:fill="auto"/>
            <w:noWrap/>
            <w:vAlign w:val="center"/>
          </w:tcPr>
          <w:p w14:paraId="54C65B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784EE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10E2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30" w:type="dxa"/>
            <w:tcBorders>
              <w:top w:val="nil"/>
              <w:left w:val="nil"/>
              <w:bottom w:val="single" w:color="000000" w:sz="8" w:space="0"/>
              <w:right w:val="nil"/>
            </w:tcBorders>
            <w:shd w:val="clear" w:color="auto" w:fill="auto"/>
            <w:vAlign w:val="center"/>
          </w:tcPr>
          <w:p w14:paraId="5BEAAE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上穆社区</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AA7B7">
            <w:pPr>
              <w:jc w:val="center"/>
              <w:rPr>
                <w:rFonts w:hint="eastAsia" w:ascii="宋体" w:hAnsi="宋体" w:eastAsia="宋体" w:cs="宋体"/>
                <w:i w:val="0"/>
                <w:iCs w:val="0"/>
                <w:color w:val="000000"/>
                <w:sz w:val="20"/>
                <w:szCs w:val="20"/>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D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w:t>
            </w:r>
          </w:p>
        </w:tc>
        <w:tc>
          <w:tcPr>
            <w:tcW w:w="4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585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1、全费用综合单价包括人工费、材料费、交通费、人员保险、食宿费、管理费、利润、政策性文件规定的各项费用、招标文件明示或暗示的一切风险以及税金等，后期不作调整。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2、施工过程中出现一切安全事故与甲方无关，安全责任由乙方承担，费用包含在综合单价中，后期不作调整。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3、人员配置满足甲方质量进度要求的人员数量，随时接受甲方监督。派驻的相关人员需驻地禄口，随喊随到，相关的费用包含在全费用综合单价中，后期不作调整。</w:t>
            </w:r>
          </w:p>
        </w:tc>
      </w:tr>
      <w:tr w14:paraId="05505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47B01B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30" w:type="dxa"/>
            <w:tcBorders>
              <w:top w:val="nil"/>
              <w:left w:val="nil"/>
              <w:bottom w:val="single" w:color="000000" w:sz="8" w:space="0"/>
              <w:right w:val="nil"/>
            </w:tcBorders>
            <w:shd w:val="clear" w:color="auto" w:fill="auto"/>
            <w:vAlign w:val="center"/>
          </w:tcPr>
          <w:p w14:paraId="350BE8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杨树湾社区</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11D8">
            <w:pPr>
              <w:jc w:val="center"/>
              <w:rPr>
                <w:rFonts w:hint="eastAsia" w:ascii="宋体" w:hAnsi="宋体" w:eastAsia="宋体" w:cs="宋体"/>
                <w:i w:val="0"/>
                <w:iCs w:val="0"/>
                <w:color w:val="000000"/>
                <w:sz w:val="20"/>
                <w:szCs w:val="20"/>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9D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6C68D">
            <w:pPr>
              <w:rPr>
                <w:rFonts w:hint="eastAsia" w:ascii="宋体" w:hAnsi="宋体" w:eastAsia="宋体" w:cs="宋体"/>
                <w:i w:val="0"/>
                <w:iCs w:val="0"/>
                <w:color w:val="000000"/>
                <w:sz w:val="20"/>
                <w:szCs w:val="20"/>
                <w:u w:val="none"/>
              </w:rPr>
            </w:pPr>
          </w:p>
        </w:tc>
      </w:tr>
      <w:tr w14:paraId="50D7C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0F1145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30" w:type="dxa"/>
            <w:tcBorders>
              <w:top w:val="nil"/>
              <w:left w:val="nil"/>
              <w:bottom w:val="single" w:color="000000" w:sz="8" w:space="0"/>
              <w:right w:val="nil"/>
            </w:tcBorders>
            <w:shd w:val="clear" w:color="auto" w:fill="auto"/>
            <w:vAlign w:val="center"/>
          </w:tcPr>
          <w:p w14:paraId="50B56C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徒盖社区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FB98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C59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7B304">
            <w:pPr>
              <w:rPr>
                <w:rFonts w:hint="eastAsia" w:ascii="宋体" w:hAnsi="宋体" w:eastAsia="宋体" w:cs="宋体"/>
                <w:i w:val="0"/>
                <w:iCs w:val="0"/>
                <w:color w:val="000000"/>
                <w:sz w:val="20"/>
                <w:szCs w:val="20"/>
                <w:u w:val="none"/>
              </w:rPr>
            </w:pPr>
          </w:p>
        </w:tc>
      </w:tr>
      <w:tr w14:paraId="4E84D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39F7B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30" w:type="dxa"/>
            <w:tcBorders>
              <w:top w:val="nil"/>
              <w:left w:val="nil"/>
              <w:bottom w:val="single" w:color="000000" w:sz="8" w:space="0"/>
              <w:right w:val="nil"/>
            </w:tcBorders>
            <w:shd w:val="clear" w:color="auto" w:fill="auto"/>
            <w:vAlign w:val="center"/>
          </w:tcPr>
          <w:p w14:paraId="65139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永兴社区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4A83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E5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A5211">
            <w:pPr>
              <w:rPr>
                <w:rFonts w:hint="eastAsia" w:ascii="宋体" w:hAnsi="宋体" w:eastAsia="宋体" w:cs="宋体"/>
                <w:i w:val="0"/>
                <w:iCs w:val="0"/>
                <w:color w:val="000000"/>
                <w:sz w:val="20"/>
                <w:szCs w:val="20"/>
                <w:u w:val="none"/>
              </w:rPr>
            </w:pPr>
          </w:p>
        </w:tc>
      </w:tr>
      <w:tr w14:paraId="50BA5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7BDD38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30" w:type="dxa"/>
            <w:tcBorders>
              <w:top w:val="nil"/>
              <w:left w:val="nil"/>
              <w:bottom w:val="single" w:color="000000" w:sz="8" w:space="0"/>
              <w:right w:val="nil"/>
            </w:tcBorders>
            <w:shd w:val="clear" w:color="auto" w:fill="auto"/>
            <w:vAlign w:val="center"/>
          </w:tcPr>
          <w:p w14:paraId="2604F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彭福社区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FB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6A3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6E102">
            <w:pPr>
              <w:rPr>
                <w:rFonts w:hint="eastAsia" w:ascii="宋体" w:hAnsi="宋体" w:eastAsia="宋体" w:cs="宋体"/>
                <w:i w:val="0"/>
                <w:iCs w:val="0"/>
                <w:color w:val="000000"/>
                <w:sz w:val="20"/>
                <w:szCs w:val="20"/>
                <w:u w:val="none"/>
              </w:rPr>
            </w:pPr>
          </w:p>
        </w:tc>
      </w:tr>
      <w:tr w14:paraId="58357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4E1F6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530" w:type="dxa"/>
            <w:tcBorders>
              <w:top w:val="nil"/>
              <w:left w:val="nil"/>
              <w:bottom w:val="single" w:color="000000" w:sz="8" w:space="0"/>
              <w:right w:val="nil"/>
            </w:tcBorders>
            <w:shd w:val="clear" w:color="auto" w:fill="auto"/>
            <w:vAlign w:val="center"/>
          </w:tcPr>
          <w:p w14:paraId="2E1BB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桑园社区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A21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2E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33015">
            <w:pPr>
              <w:rPr>
                <w:rFonts w:hint="eastAsia" w:ascii="宋体" w:hAnsi="宋体" w:eastAsia="宋体" w:cs="宋体"/>
                <w:i w:val="0"/>
                <w:iCs w:val="0"/>
                <w:color w:val="000000"/>
                <w:sz w:val="20"/>
                <w:szCs w:val="20"/>
                <w:u w:val="none"/>
              </w:rPr>
            </w:pPr>
          </w:p>
        </w:tc>
      </w:tr>
      <w:tr w14:paraId="0D232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01F0B2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530" w:type="dxa"/>
            <w:tcBorders>
              <w:top w:val="nil"/>
              <w:left w:val="nil"/>
              <w:bottom w:val="single" w:color="000000" w:sz="8" w:space="0"/>
              <w:right w:val="nil"/>
            </w:tcBorders>
            <w:shd w:val="clear" w:color="auto" w:fill="auto"/>
            <w:vAlign w:val="center"/>
          </w:tcPr>
          <w:p w14:paraId="779B4B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成功社区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C45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61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3CF5A">
            <w:pPr>
              <w:rPr>
                <w:rFonts w:hint="eastAsia" w:ascii="宋体" w:hAnsi="宋体" w:eastAsia="宋体" w:cs="宋体"/>
                <w:i w:val="0"/>
                <w:iCs w:val="0"/>
                <w:color w:val="000000"/>
                <w:sz w:val="20"/>
                <w:szCs w:val="20"/>
                <w:u w:val="none"/>
              </w:rPr>
            </w:pPr>
          </w:p>
        </w:tc>
      </w:tr>
      <w:tr w14:paraId="67F70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167F12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530" w:type="dxa"/>
            <w:tcBorders>
              <w:top w:val="nil"/>
              <w:left w:val="nil"/>
              <w:bottom w:val="single" w:color="000000" w:sz="8" w:space="0"/>
              <w:right w:val="nil"/>
            </w:tcBorders>
            <w:shd w:val="clear" w:color="auto" w:fill="auto"/>
            <w:vAlign w:val="center"/>
          </w:tcPr>
          <w:p w14:paraId="11FE12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溧塘社区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A18E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86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213</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71C13">
            <w:pPr>
              <w:rPr>
                <w:rFonts w:hint="eastAsia" w:ascii="宋体" w:hAnsi="宋体" w:eastAsia="宋体" w:cs="宋体"/>
                <w:i w:val="0"/>
                <w:iCs w:val="0"/>
                <w:color w:val="000000"/>
                <w:sz w:val="20"/>
                <w:szCs w:val="20"/>
                <w:u w:val="none"/>
              </w:rPr>
            </w:pPr>
          </w:p>
        </w:tc>
      </w:tr>
      <w:tr w14:paraId="0D29F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63D6A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530" w:type="dxa"/>
            <w:tcBorders>
              <w:top w:val="nil"/>
              <w:left w:val="nil"/>
              <w:bottom w:val="single" w:color="000000" w:sz="8" w:space="0"/>
              <w:right w:val="nil"/>
            </w:tcBorders>
            <w:shd w:val="clear" w:color="auto" w:fill="auto"/>
            <w:vAlign w:val="center"/>
          </w:tcPr>
          <w:p w14:paraId="3DF9A5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张桥社区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CFE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461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6C76E">
            <w:pPr>
              <w:rPr>
                <w:rFonts w:hint="eastAsia" w:ascii="宋体" w:hAnsi="宋体" w:eastAsia="宋体" w:cs="宋体"/>
                <w:i w:val="0"/>
                <w:iCs w:val="0"/>
                <w:color w:val="000000"/>
                <w:sz w:val="20"/>
                <w:szCs w:val="20"/>
                <w:u w:val="none"/>
              </w:rPr>
            </w:pPr>
          </w:p>
        </w:tc>
      </w:tr>
      <w:tr w14:paraId="6F658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7163D9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530" w:type="dxa"/>
            <w:tcBorders>
              <w:top w:val="nil"/>
              <w:left w:val="nil"/>
              <w:bottom w:val="single" w:color="000000" w:sz="8" w:space="0"/>
              <w:right w:val="nil"/>
            </w:tcBorders>
            <w:shd w:val="clear" w:color="auto" w:fill="auto"/>
            <w:vAlign w:val="center"/>
          </w:tcPr>
          <w:p w14:paraId="03DA6C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埂方社区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7F3F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CB9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B8EB4">
            <w:pPr>
              <w:rPr>
                <w:rFonts w:hint="eastAsia" w:ascii="宋体" w:hAnsi="宋体" w:eastAsia="宋体" w:cs="宋体"/>
                <w:i w:val="0"/>
                <w:iCs w:val="0"/>
                <w:color w:val="000000"/>
                <w:sz w:val="20"/>
                <w:szCs w:val="20"/>
                <w:u w:val="none"/>
              </w:rPr>
            </w:pPr>
          </w:p>
        </w:tc>
      </w:tr>
      <w:tr w14:paraId="58008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70248A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530" w:type="dxa"/>
            <w:tcBorders>
              <w:top w:val="nil"/>
              <w:left w:val="nil"/>
              <w:bottom w:val="single" w:color="000000" w:sz="8" w:space="0"/>
              <w:right w:val="nil"/>
            </w:tcBorders>
            <w:shd w:val="clear" w:color="auto" w:fill="auto"/>
            <w:vAlign w:val="center"/>
          </w:tcPr>
          <w:p w14:paraId="188B19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小彭社区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A93B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D72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C819D">
            <w:pPr>
              <w:rPr>
                <w:rFonts w:hint="eastAsia" w:ascii="宋体" w:hAnsi="宋体" w:eastAsia="宋体" w:cs="宋体"/>
                <w:i w:val="0"/>
                <w:iCs w:val="0"/>
                <w:color w:val="000000"/>
                <w:sz w:val="20"/>
                <w:szCs w:val="20"/>
                <w:u w:val="none"/>
              </w:rPr>
            </w:pPr>
          </w:p>
        </w:tc>
      </w:tr>
      <w:tr w14:paraId="55966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06B9EA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530" w:type="dxa"/>
            <w:tcBorders>
              <w:top w:val="nil"/>
              <w:left w:val="nil"/>
              <w:bottom w:val="single" w:color="000000" w:sz="8" w:space="0"/>
              <w:right w:val="nil"/>
            </w:tcBorders>
            <w:shd w:val="clear" w:color="auto" w:fill="auto"/>
            <w:vAlign w:val="center"/>
          </w:tcPr>
          <w:p w14:paraId="0ED12D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陈巷社区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C5C7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57A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4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97763">
            <w:pPr>
              <w:rPr>
                <w:rFonts w:hint="eastAsia" w:ascii="宋体" w:hAnsi="宋体" w:eastAsia="宋体" w:cs="宋体"/>
                <w:i w:val="0"/>
                <w:iCs w:val="0"/>
                <w:color w:val="000000"/>
                <w:sz w:val="20"/>
                <w:szCs w:val="20"/>
                <w:u w:val="none"/>
              </w:rPr>
            </w:pPr>
          </w:p>
        </w:tc>
      </w:tr>
      <w:tr w14:paraId="0A5AC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B4CDEB">
            <w:pPr>
              <w:rPr>
                <w:rFonts w:hint="eastAsia" w:ascii="宋体" w:hAnsi="宋体" w:eastAsia="宋体" w:cs="宋体"/>
                <w:i w:val="0"/>
                <w:iCs w:val="0"/>
                <w:color w:val="000000"/>
                <w:sz w:val="22"/>
                <w:szCs w:val="22"/>
                <w:u w:val="none"/>
              </w:rPr>
            </w:pPr>
          </w:p>
        </w:tc>
        <w:tc>
          <w:tcPr>
            <w:tcW w:w="1530" w:type="dxa"/>
            <w:tcBorders>
              <w:top w:val="single" w:color="000000" w:sz="8" w:space="0"/>
              <w:left w:val="nil"/>
              <w:bottom w:val="single" w:color="000000" w:sz="8" w:space="0"/>
              <w:right w:val="single" w:color="000000" w:sz="8" w:space="0"/>
            </w:tcBorders>
            <w:shd w:val="clear" w:color="auto" w:fill="auto"/>
            <w:vAlign w:val="center"/>
          </w:tcPr>
          <w:p w14:paraId="40644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2035" w:type="dxa"/>
            <w:tcBorders>
              <w:top w:val="single" w:color="000000" w:sz="8" w:space="0"/>
              <w:left w:val="nil"/>
              <w:bottom w:val="single" w:color="000000" w:sz="8" w:space="0"/>
              <w:right w:val="single" w:color="000000" w:sz="8" w:space="0"/>
            </w:tcBorders>
            <w:shd w:val="clear" w:color="auto" w:fill="auto"/>
            <w:vAlign w:val="center"/>
          </w:tcPr>
          <w:p w14:paraId="1BFD57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317</w:t>
            </w:r>
          </w:p>
        </w:tc>
        <w:tc>
          <w:tcPr>
            <w:tcW w:w="1702" w:type="dxa"/>
            <w:tcBorders>
              <w:top w:val="single" w:color="000000" w:sz="8" w:space="0"/>
              <w:left w:val="nil"/>
              <w:bottom w:val="single" w:color="000000" w:sz="8" w:space="0"/>
              <w:right w:val="single" w:color="000000" w:sz="8" w:space="0"/>
            </w:tcBorders>
            <w:shd w:val="clear" w:color="auto" w:fill="auto"/>
            <w:vAlign w:val="center"/>
          </w:tcPr>
          <w:p w14:paraId="0C452E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1164</w:t>
            </w:r>
          </w:p>
        </w:tc>
        <w:tc>
          <w:tcPr>
            <w:tcW w:w="4058" w:type="dxa"/>
            <w:tcBorders>
              <w:top w:val="single" w:color="000000" w:sz="8" w:space="0"/>
              <w:left w:val="nil"/>
              <w:bottom w:val="single" w:color="000000" w:sz="8" w:space="0"/>
              <w:right w:val="single" w:color="000000" w:sz="8" w:space="0"/>
            </w:tcBorders>
            <w:shd w:val="clear" w:color="auto" w:fill="auto"/>
            <w:vAlign w:val="center"/>
          </w:tcPr>
          <w:p w14:paraId="535557EE">
            <w:pPr>
              <w:jc w:val="both"/>
              <w:rPr>
                <w:rFonts w:hint="eastAsia" w:ascii="宋体" w:hAnsi="宋体" w:eastAsia="宋体" w:cs="宋体"/>
                <w:i w:val="0"/>
                <w:iCs w:val="0"/>
                <w:color w:val="000000"/>
                <w:sz w:val="20"/>
                <w:szCs w:val="20"/>
                <w:u w:val="none"/>
              </w:rPr>
            </w:pPr>
          </w:p>
        </w:tc>
      </w:tr>
    </w:tbl>
    <w:p w14:paraId="3D79C5D3">
      <w:pPr>
        <w:pStyle w:val="2"/>
        <w:jc w:val="both"/>
        <w:rPr>
          <w:rFonts w:hint="eastAsia"/>
        </w:rPr>
      </w:pPr>
    </w:p>
    <w:p w14:paraId="79666074">
      <w:pPr>
        <w:spacing w:line="360" w:lineRule="auto"/>
        <w:ind w:firstLine="420"/>
        <w:rPr>
          <w:rFonts w:hint="eastAsia" w:ascii="宋体" w:hAnsi="宋体" w:eastAsia="宋体" w:cs="Arial"/>
          <w:color w:val="000000" w:themeColor="text1"/>
          <w:szCs w:val="21"/>
        </w:rPr>
      </w:pPr>
      <w:r>
        <w:rPr>
          <w:rFonts w:hint="eastAsia" w:ascii="宋体" w:hAnsi="宋体" w:eastAsia="宋体" w:cs="Arial"/>
          <w:color w:val="000000" w:themeColor="text1"/>
          <w:szCs w:val="21"/>
        </w:rPr>
        <w:t>1、以上清单范围内的设施巡检维修服务。</w:t>
      </w:r>
    </w:p>
    <w:p w14:paraId="5A7E4235">
      <w:pPr>
        <w:spacing w:line="360" w:lineRule="auto"/>
        <w:ind w:firstLine="420"/>
        <w:rPr>
          <w:rFonts w:hint="eastAsia" w:ascii="宋体" w:hAnsi="宋体" w:eastAsia="宋体" w:cs="Arial"/>
          <w:szCs w:val="21"/>
        </w:rPr>
      </w:pPr>
      <w:r>
        <w:rPr>
          <w:rFonts w:hint="eastAsia" w:ascii="宋体" w:hAnsi="宋体" w:eastAsia="宋体" w:cs="Arial"/>
          <w:szCs w:val="21"/>
        </w:rPr>
        <w:t>2、工作时间：监控中心人员及维修人员24小时巡修。</w:t>
      </w:r>
    </w:p>
    <w:p w14:paraId="59752969">
      <w:pPr>
        <w:spacing w:line="360" w:lineRule="auto"/>
        <w:ind w:firstLine="420"/>
        <w:rPr>
          <w:rFonts w:hint="eastAsia" w:ascii="宋体" w:hAnsi="宋体" w:eastAsia="宋体" w:cs="Arial"/>
          <w:szCs w:val="21"/>
        </w:rPr>
      </w:pPr>
      <w:r>
        <w:rPr>
          <w:rFonts w:hint="eastAsia" w:ascii="宋体" w:hAnsi="宋体" w:eastAsia="宋体" w:cs="Arial"/>
          <w:szCs w:val="21"/>
        </w:rPr>
        <w:t>3、路灯、信号灯等的灯杆、灯具、电器及电缆管线的日常维护保养、路灯电缆被盗及线路故障恢复、变压器和控制箱（柜）检查维修、路灯监控中心和路灯监控终端维修与升级、喷泉设施维修、灯杆和灯具清洁（含牛皮癣、乱涂划清理）防锈、灯杆（具）损坏更换、灯杆歪斜校正、日常巡检、日常值班，以及个别路灯的安装和拆卸、调整工作（路灯改造项目除外）等工作。</w:t>
      </w:r>
    </w:p>
    <w:p w14:paraId="4596C7BA">
      <w:pPr>
        <w:spacing w:line="360" w:lineRule="auto"/>
        <w:ind w:firstLine="420"/>
        <w:rPr>
          <w:rFonts w:hint="eastAsia" w:ascii="宋体" w:hAnsi="宋体" w:eastAsia="宋体" w:cs="Arial"/>
          <w:szCs w:val="21"/>
        </w:rPr>
      </w:pPr>
      <w:r>
        <w:rPr>
          <w:rFonts w:hint="eastAsia" w:ascii="宋体" w:hAnsi="宋体" w:eastAsia="宋体" w:cs="Arial"/>
          <w:szCs w:val="21"/>
        </w:rPr>
        <w:t>4、对于市民投诉方面的问题要及时处理，做好投诉方面解释工作说明投诉问题的处理情况（态度诚恳积极接受社会各界的监督）。</w:t>
      </w:r>
    </w:p>
    <w:p w14:paraId="5F82831E">
      <w:pPr>
        <w:spacing w:line="360" w:lineRule="auto"/>
        <w:ind w:firstLine="420"/>
        <w:rPr>
          <w:rFonts w:hint="eastAsia" w:ascii="宋体" w:hAnsi="宋体" w:eastAsia="宋体" w:cs="Arial"/>
          <w:szCs w:val="21"/>
        </w:rPr>
      </w:pPr>
      <w:r>
        <w:rPr>
          <w:rFonts w:hint="eastAsia" w:ascii="宋体" w:hAnsi="宋体" w:eastAsia="宋体" w:cs="Arial"/>
          <w:szCs w:val="21"/>
        </w:rPr>
        <w:t>5、需指定2名或以上巡检人员配合采购人巡检员的检查工作。</w:t>
      </w:r>
    </w:p>
    <w:p w14:paraId="32F9CC37">
      <w:pPr>
        <w:widowControl/>
        <w:spacing w:before="161" w:after="161" w:line="360" w:lineRule="auto"/>
        <w:outlineLvl w:val="1"/>
        <w:rPr>
          <w:rFonts w:hint="eastAsia" w:ascii="宋体" w:hAnsi="宋体" w:eastAsia="宋体" w:cs="Arial"/>
          <w:b/>
          <w:bCs/>
          <w:szCs w:val="21"/>
        </w:rPr>
      </w:pPr>
      <w:bookmarkStart w:id="60" w:name="_Toc102653550"/>
      <w:r>
        <w:rPr>
          <w:rFonts w:hint="eastAsia" w:ascii="宋体" w:hAnsi="宋体" w:eastAsia="宋体" w:cs="Arial"/>
          <w:b/>
          <w:bCs/>
          <w:szCs w:val="21"/>
        </w:rPr>
        <w:t>四、维修养护服务要求</w:t>
      </w:r>
      <w:bookmarkEnd w:id="60"/>
    </w:p>
    <w:p w14:paraId="63C25C6F">
      <w:pPr>
        <w:spacing w:line="360" w:lineRule="auto"/>
        <w:ind w:firstLine="420"/>
        <w:rPr>
          <w:rFonts w:hint="eastAsia" w:ascii="宋体" w:hAnsi="宋体" w:eastAsia="宋体" w:cs="Arial"/>
          <w:szCs w:val="21"/>
        </w:rPr>
      </w:pPr>
      <w:r>
        <w:rPr>
          <w:rFonts w:hint="eastAsia" w:ascii="宋体" w:hAnsi="宋体" w:eastAsia="宋体" w:cs="Arial"/>
          <w:szCs w:val="21"/>
        </w:rPr>
        <w:t>1、按照国家现行的标准、规范和规程进行维修养护，根据采购人及其相关行业的要求，对维修养护质量负责。</w:t>
      </w:r>
    </w:p>
    <w:p w14:paraId="1A6C9097">
      <w:pPr>
        <w:spacing w:line="360" w:lineRule="auto"/>
        <w:ind w:firstLine="420"/>
        <w:rPr>
          <w:rFonts w:hint="eastAsia" w:ascii="宋体" w:hAnsi="宋体" w:eastAsia="宋体" w:cs="Arial"/>
          <w:szCs w:val="21"/>
        </w:rPr>
      </w:pPr>
      <w:r>
        <w:rPr>
          <w:rFonts w:hint="eastAsia" w:ascii="宋体" w:hAnsi="宋体" w:eastAsia="宋体" w:cs="Arial"/>
          <w:szCs w:val="21"/>
        </w:rPr>
        <w:t>2、接受采购人的指导、管理、监督。</w:t>
      </w:r>
    </w:p>
    <w:p w14:paraId="5DF72F01">
      <w:pPr>
        <w:spacing w:line="360" w:lineRule="auto"/>
        <w:ind w:firstLine="420"/>
        <w:rPr>
          <w:rFonts w:hint="eastAsia" w:ascii="宋体" w:hAnsi="宋体" w:eastAsia="宋体" w:cs="Arial"/>
          <w:szCs w:val="21"/>
        </w:rPr>
      </w:pPr>
      <w:r>
        <w:rPr>
          <w:rFonts w:hint="eastAsia" w:ascii="宋体" w:hAnsi="宋体" w:eastAsia="宋体" w:cs="Arial"/>
          <w:szCs w:val="21"/>
        </w:rPr>
        <w:t>3、维护养护使用的灯杆、灯具、控制箱、电缆、电源线等材料不低于原设备（或清单内参考品牌）的技术标准，并必须符合国家有关技术标准，应采用国家绿色照明产品。维护管养企业的养护方案中，需提交路灯维修管养材料清单明细表（明确材料的产品规格及品牌等资料，材料必须国家标准）。</w:t>
      </w:r>
    </w:p>
    <w:p w14:paraId="5E9D5CF8">
      <w:pPr>
        <w:spacing w:line="360" w:lineRule="auto"/>
        <w:ind w:firstLine="420"/>
        <w:rPr>
          <w:rFonts w:hint="eastAsia" w:ascii="宋体" w:hAnsi="宋体" w:eastAsia="宋体" w:cs="Arial"/>
          <w:szCs w:val="21"/>
        </w:rPr>
      </w:pPr>
      <w:r>
        <w:rPr>
          <w:rFonts w:hint="eastAsia" w:ascii="宋体" w:hAnsi="宋体" w:eastAsia="宋体" w:cs="Arial"/>
          <w:szCs w:val="21"/>
        </w:rPr>
        <w:t>4、确保管辖范围内路灯、信号灯亮灯率达到99%，主干道亮灯率达到100%，路灯、信号灯设施设备等完好率达到100%，如省、市、区政府政策另有要求的，必须按照省、市、区政府政策要求执行。</w:t>
      </w:r>
    </w:p>
    <w:p w14:paraId="07CAA7EC">
      <w:pPr>
        <w:spacing w:line="360" w:lineRule="auto"/>
        <w:ind w:firstLine="420"/>
        <w:rPr>
          <w:rFonts w:hint="eastAsia" w:ascii="宋体" w:hAnsi="宋体" w:eastAsia="宋体" w:cs="Arial"/>
          <w:szCs w:val="21"/>
        </w:rPr>
      </w:pPr>
      <w:r>
        <w:rPr>
          <w:rFonts w:hint="eastAsia" w:ascii="宋体" w:hAnsi="宋体" w:eastAsia="宋体" w:cs="Arial"/>
          <w:szCs w:val="21"/>
        </w:rPr>
        <w:t>5、维修管养单位必须有完善的交通安全教育、生产安全管理、应急事故处理管理、现场施工管理、考核及奖惩、岗位职责、文档管理等管理制度。</w:t>
      </w:r>
    </w:p>
    <w:p w14:paraId="49881F6A">
      <w:pPr>
        <w:spacing w:line="360" w:lineRule="auto"/>
        <w:ind w:firstLine="420"/>
        <w:rPr>
          <w:rFonts w:hint="eastAsia" w:ascii="宋体" w:hAnsi="宋体" w:eastAsia="宋体" w:cs="Arial"/>
          <w:szCs w:val="21"/>
        </w:rPr>
      </w:pPr>
      <w:r>
        <w:rPr>
          <w:rFonts w:hint="eastAsia" w:ascii="宋体" w:hAnsi="宋体" w:eastAsia="宋体" w:cs="Arial"/>
          <w:szCs w:val="21"/>
        </w:rPr>
        <w:t>6、应设立24小时值班的路灯故障抢修电话，在接到报障后，从报障时计120分钟内安排专业人员上门抢修现场。</w:t>
      </w:r>
    </w:p>
    <w:p w14:paraId="10B18F37">
      <w:pPr>
        <w:spacing w:line="360" w:lineRule="auto"/>
        <w:ind w:firstLine="420"/>
        <w:rPr>
          <w:rFonts w:hint="eastAsia" w:ascii="宋体" w:hAnsi="宋体" w:eastAsia="宋体" w:cs="Arial"/>
          <w:szCs w:val="21"/>
        </w:rPr>
      </w:pPr>
      <w:r>
        <w:rPr>
          <w:rFonts w:hint="eastAsia" w:ascii="宋体" w:hAnsi="宋体" w:eastAsia="宋体" w:cs="Arial"/>
          <w:szCs w:val="21"/>
        </w:rPr>
        <w:t>7、养护期间，维修养护单位必须按国家有关安全条例的规定对各种作业采取有效的安全保障措施，确保人员、器械、设施安全，任何由维修养护单位引起的纠纷、伤亡或损毁等事故概由维修养护单位负责解决及承担相关民事或法律责任。</w:t>
      </w:r>
    </w:p>
    <w:p w14:paraId="08AAB20E">
      <w:pPr>
        <w:spacing w:line="360" w:lineRule="auto"/>
        <w:ind w:firstLine="420"/>
        <w:rPr>
          <w:rFonts w:hint="eastAsia" w:ascii="宋体" w:hAnsi="宋体" w:eastAsia="宋体" w:cs="Arial"/>
          <w:szCs w:val="21"/>
        </w:rPr>
      </w:pPr>
      <w:r>
        <w:rPr>
          <w:rFonts w:hint="eastAsia" w:ascii="宋体" w:hAnsi="宋体" w:eastAsia="宋体" w:cs="Arial"/>
          <w:szCs w:val="21"/>
        </w:rPr>
        <w:t>8、维修养护单位应做好日常维护，保养记录的统计汇总，每月上报采购人备案。</w:t>
      </w:r>
    </w:p>
    <w:p w14:paraId="35F425BC">
      <w:pPr>
        <w:spacing w:line="360" w:lineRule="auto"/>
        <w:ind w:firstLine="420"/>
        <w:rPr>
          <w:rFonts w:hint="eastAsia" w:ascii="宋体" w:hAnsi="宋体" w:eastAsia="宋体" w:cs="Arial"/>
          <w:szCs w:val="21"/>
        </w:rPr>
      </w:pPr>
      <w:r>
        <w:rPr>
          <w:rFonts w:hint="eastAsia" w:ascii="宋体" w:hAnsi="宋体" w:eastAsia="宋体" w:cs="Arial"/>
          <w:szCs w:val="21"/>
        </w:rPr>
        <w:t>9、维修养护单位接管后，必须在1个月内对管辖范围内的路灯的灯杆、灯具、线路、控制箱、控制设备进行安全排查。移交前的路灯故障维修完毕后，如果日后出现漏电事故等安全责任由维修养护单位负全部责任。在1个月内经双方确定的路灯故障以外的故障，则由维修养护单位自行修复。</w:t>
      </w:r>
    </w:p>
    <w:p w14:paraId="0960BA33">
      <w:pPr>
        <w:spacing w:line="360" w:lineRule="auto"/>
        <w:ind w:firstLine="420"/>
        <w:rPr>
          <w:rFonts w:hint="eastAsia" w:ascii="宋体" w:hAnsi="宋体" w:eastAsia="宋体" w:cs="Arial"/>
          <w:szCs w:val="21"/>
        </w:rPr>
      </w:pPr>
      <w:r>
        <w:rPr>
          <w:rFonts w:hint="eastAsia" w:ascii="宋体" w:hAnsi="宋体" w:eastAsia="宋体" w:cs="Arial"/>
          <w:szCs w:val="21"/>
        </w:rPr>
        <w:t>10、在维修养护期间，发现线路故障需开挖时，维修养护单位必须经采购人及有关方面审批同意后方可进行开挖作业，施工完成后由维护单位负责原貌恢复。作业中如发生管线遭破坏，维修养护单位应承担一切损失和赔偿责任。</w:t>
      </w:r>
    </w:p>
    <w:p w14:paraId="276B8EDA">
      <w:pPr>
        <w:spacing w:line="360" w:lineRule="auto"/>
        <w:ind w:firstLine="420"/>
        <w:rPr>
          <w:rFonts w:hint="eastAsia" w:ascii="宋体" w:hAnsi="宋体" w:eastAsia="宋体" w:cs="Arial"/>
          <w:szCs w:val="21"/>
        </w:rPr>
      </w:pPr>
      <w:r>
        <w:rPr>
          <w:rFonts w:hint="eastAsia" w:ascii="宋体" w:hAnsi="宋体" w:eastAsia="宋体" w:cs="Arial"/>
          <w:szCs w:val="21"/>
        </w:rPr>
        <w:t>11、在维修养护期间，维修养护单位必须制定可靠的措施，对所维护的路灯及线路进行全面有效的保护，避免各种因素的破坏（如人为破坏、被盗、线路故障等），确保路灯及线路正常运行。如出现灯光、灯具、灯杆等问题，维修养护单位在接到群众投诉或采购人通知后，12小时内更换和修复，控制箱按国家供电部门有关技术要求进行维护、年检等，并确保合格（包括采购人组织的检查）。否则，采购人可不经维修养护单位同意直接委托其他单位进行处理，所需一切费用由维修养护单位承担，在每月的养护费中扣除，并且采购人将给予10000-50000元的经济处罚。</w:t>
      </w:r>
    </w:p>
    <w:p w14:paraId="20637F88">
      <w:pPr>
        <w:spacing w:line="360" w:lineRule="auto"/>
        <w:ind w:firstLine="420"/>
        <w:rPr>
          <w:rFonts w:hint="eastAsia" w:ascii="宋体" w:hAnsi="宋体" w:eastAsia="宋体" w:cs="Arial"/>
          <w:szCs w:val="21"/>
        </w:rPr>
      </w:pPr>
      <w:r>
        <w:rPr>
          <w:rFonts w:hint="eastAsia" w:ascii="宋体" w:hAnsi="宋体" w:eastAsia="宋体" w:cs="Arial"/>
          <w:szCs w:val="21"/>
        </w:rPr>
        <w:t>12、在不可抗力的自然灾害下，造成承包范围内的路灯杆、灯具、线路等损坏时，维修养护单位必须及时修复，并可按实际修复情况，向采购人申请维修费用，但须符合采购人的费用申请流程和结算办法。如果是施工、被盗、交通事故等造成的灯杆、灯具、线路、控制箱等设施不能正常运行维修养护单位必须及时修复，并自行承担相关费用。</w:t>
      </w:r>
    </w:p>
    <w:p w14:paraId="3BBF3DA0">
      <w:pPr>
        <w:widowControl/>
        <w:spacing w:before="161" w:after="161" w:line="360" w:lineRule="auto"/>
        <w:outlineLvl w:val="1"/>
        <w:rPr>
          <w:rFonts w:hint="eastAsia" w:ascii="宋体" w:hAnsi="宋体" w:eastAsia="宋体" w:cs="Arial"/>
          <w:b/>
          <w:bCs/>
          <w:szCs w:val="21"/>
        </w:rPr>
      </w:pPr>
      <w:bookmarkStart w:id="61" w:name="_Toc102653551"/>
      <w:r>
        <w:rPr>
          <w:rFonts w:hint="eastAsia" w:ascii="宋体" w:hAnsi="宋体" w:eastAsia="宋体" w:cs="Arial"/>
          <w:b/>
          <w:bCs/>
          <w:szCs w:val="21"/>
        </w:rPr>
        <w:t>五、维修养护人员、设备、场地要求</w:t>
      </w:r>
      <w:bookmarkEnd w:id="61"/>
    </w:p>
    <w:p w14:paraId="67CC3121">
      <w:pPr>
        <w:spacing w:line="360" w:lineRule="auto"/>
        <w:ind w:firstLine="420"/>
        <w:rPr>
          <w:rFonts w:hint="eastAsia" w:ascii="宋体" w:hAnsi="宋体" w:eastAsia="宋体" w:cs="Arial"/>
          <w:szCs w:val="21"/>
        </w:rPr>
      </w:pPr>
      <w:r>
        <w:rPr>
          <w:rFonts w:hint="eastAsia" w:ascii="宋体" w:hAnsi="宋体" w:eastAsia="宋体" w:cs="Arial"/>
          <w:szCs w:val="21"/>
        </w:rPr>
        <w:t>1、维修管养单位有固定的、足够面积的办公场地。</w:t>
      </w:r>
    </w:p>
    <w:p w14:paraId="3ADCEFFD">
      <w:pPr>
        <w:spacing w:line="360" w:lineRule="auto"/>
        <w:ind w:firstLine="420"/>
        <w:rPr>
          <w:rFonts w:hint="eastAsia" w:ascii="宋体" w:hAnsi="宋体" w:eastAsia="宋体" w:cs="Arial"/>
          <w:szCs w:val="21"/>
        </w:rPr>
      </w:pPr>
      <w:r>
        <w:rPr>
          <w:rFonts w:hint="eastAsia" w:ascii="宋体" w:hAnsi="宋体" w:eastAsia="宋体" w:cs="Arial"/>
          <w:szCs w:val="21"/>
        </w:rPr>
        <w:t>2、维修管养单位负责维护管理进程中的一切安全责任，其中包括万一发生的一切工伤事故及工作人员的作业或非作业性的人身安全等责任。</w:t>
      </w:r>
    </w:p>
    <w:p w14:paraId="46672F38">
      <w:pPr>
        <w:spacing w:line="360" w:lineRule="auto"/>
        <w:ind w:firstLine="420"/>
        <w:rPr>
          <w:rFonts w:hint="eastAsia" w:ascii="宋体" w:hAnsi="宋体" w:eastAsia="宋体" w:cs="Arial"/>
          <w:szCs w:val="21"/>
        </w:rPr>
      </w:pPr>
      <w:r>
        <w:rPr>
          <w:rFonts w:hint="eastAsia" w:ascii="宋体" w:hAnsi="宋体" w:eastAsia="宋体" w:cs="Arial"/>
          <w:szCs w:val="21"/>
        </w:rPr>
        <w:t>3、维修管养单位按时发工资，聘用人员工资待遇不能低于当地政府的最低工资待遇标准，任何劳资纠纷全由中标人负责。</w:t>
      </w:r>
    </w:p>
    <w:p w14:paraId="2C466335">
      <w:pPr>
        <w:spacing w:line="360" w:lineRule="auto"/>
        <w:ind w:firstLine="420"/>
        <w:rPr>
          <w:rFonts w:hint="eastAsia" w:ascii="宋体" w:hAnsi="宋体" w:eastAsia="宋体" w:cs="Arial"/>
          <w:szCs w:val="21"/>
        </w:rPr>
      </w:pPr>
      <w:r>
        <w:rPr>
          <w:rFonts w:hint="eastAsia" w:ascii="宋体" w:hAnsi="宋体" w:eastAsia="宋体" w:cs="Arial"/>
          <w:szCs w:val="21"/>
        </w:rPr>
        <w:t>4、维修管养单位必须执行国家劳动法的相关规定。</w:t>
      </w:r>
    </w:p>
    <w:p w14:paraId="0A3BC890">
      <w:pPr>
        <w:spacing w:line="360" w:lineRule="auto"/>
        <w:ind w:firstLine="420"/>
        <w:rPr>
          <w:rFonts w:hint="eastAsia" w:ascii="宋体" w:hAnsi="宋体" w:eastAsia="宋体" w:cs="Arial"/>
          <w:szCs w:val="21"/>
        </w:rPr>
      </w:pPr>
      <w:r>
        <w:rPr>
          <w:rFonts w:hint="eastAsia" w:ascii="宋体" w:hAnsi="宋体" w:eastAsia="宋体" w:cs="Arial"/>
          <w:szCs w:val="21"/>
        </w:rPr>
        <w:t>5、维修管养单位必须落实好安全生产的措施和配置安全作业的劳保用品。</w:t>
      </w:r>
    </w:p>
    <w:p w14:paraId="73652C35">
      <w:pPr>
        <w:spacing w:line="360" w:lineRule="auto"/>
        <w:ind w:firstLine="420"/>
        <w:rPr>
          <w:rFonts w:hint="eastAsia" w:ascii="宋体" w:hAnsi="宋体" w:eastAsia="宋体" w:cs="Arial"/>
          <w:szCs w:val="21"/>
        </w:rPr>
      </w:pPr>
      <w:r>
        <w:rPr>
          <w:rFonts w:hint="eastAsia" w:ascii="宋体" w:hAnsi="宋体" w:eastAsia="宋体" w:cs="Arial"/>
          <w:szCs w:val="21"/>
        </w:rPr>
        <w:t>6、维修管养单位的服务人员数量必须满足采购人的实际工作要求，且穿着统一标识的工作服。</w:t>
      </w:r>
    </w:p>
    <w:p w14:paraId="15B2E127">
      <w:pPr>
        <w:spacing w:line="360" w:lineRule="auto"/>
        <w:ind w:firstLine="420"/>
        <w:rPr>
          <w:rFonts w:hint="eastAsia" w:ascii="宋体" w:hAnsi="宋体" w:eastAsia="宋体" w:cs="Arial"/>
          <w:szCs w:val="21"/>
        </w:rPr>
      </w:pPr>
      <w:r>
        <w:rPr>
          <w:rFonts w:hint="eastAsia" w:ascii="宋体" w:hAnsi="宋体" w:eastAsia="宋体" w:cs="Arial"/>
          <w:bCs/>
          <w:szCs w:val="21"/>
        </w:rPr>
        <w:t>7、</w:t>
      </w:r>
      <w:r>
        <w:rPr>
          <w:rFonts w:hint="eastAsia" w:ascii="宋体" w:hAnsi="宋体" w:eastAsia="宋体" w:cs="Arial"/>
          <w:szCs w:val="21"/>
        </w:rPr>
        <w:t>维修管养单位应设立24小时值班的路灯故障抢修电话，在接到报障后，从报障时计120分钟内安排专业人员上门抢修现场。</w:t>
      </w:r>
    </w:p>
    <w:p w14:paraId="30A2A387">
      <w:pPr>
        <w:widowControl/>
        <w:spacing w:before="161" w:after="161" w:line="360" w:lineRule="auto"/>
        <w:outlineLvl w:val="1"/>
        <w:rPr>
          <w:rFonts w:hint="eastAsia" w:ascii="宋体" w:hAnsi="宋体" w:eastAsia="宋体" w:cs="Arial"/>
          <w:b/>
          <w:bCs/>
          <w:szCs w:val="21"/>
        </w:rPr>
      </w:pPr>
      <w:bookmarkStart w:id="62" w:name="_Toc102653552"/>
      <w:r>
        <w:rPr>
          <w:rFonts w:hint="eastAsia" w:ascii="宋体" w:hAnsi="宋体" w:eastAsia="宋体" w:cs="Arial"/>
          <w:b/>
          <w:bCs/>
          <w:szCs w:val="21"/>
        </w:rPr>
        <w:t>六、</w:t>
      </w:r>
      <w:bookmarkEnd w:id="62"/>
      <w:bookmarkStart w:id="63" w:name="_Toc102653553"/>
      <w:r>
        <w:rPr>
          <w:rFonts w:hint="eastAsia" w:ascii="宋体" w:hAnsi="宋体" w:eastAsia="宋体" w:cs="Arial"/>
          <w:b/>
          <w:bCs/>
          <w:szCs w:val="21"/>
        </w:rPr>
        <w:t>路灯维修养护考核：</w:t>
      </w:r>
      <w:bookmarkEnd w:id="63"/>
    </w:p>
    <w:p w14:paraId="65CCE08F">
      <w:pPr>
        <w:spacing w:line="360" w:lineRule="auto"/>
        <w:ind w:firstLine="420"/>
        <w:rPr>
          <w:rFonts w:hint="eastAsia" w:ascii="宋体" w:hAnsi="宋体" w:eastAsia="宋体" w:cs="Arial"/>
          <w:szCs w:val="21"/>
        </w:rPr>
      </w:pPr>
      <w:r>
        <w:rPr>
          <w:rFonts w:hint="eastAsia" w:ascii="宋体" w:hAnsi="宋体" w:eastAsia="宋体" w:cs="Arial"/>
          <w:szCs w:val="21"/>
        </w:rPr>
        <w:t>现场对承包项目进行综合验收检查，按评分细则进行综合评分。综合评分和专业评分均采用100分制。全月总评分结果达到85分（含85分）以上为合格，合格月份不作扣罚。全月总评分结果不合格的，视情况的严重程度作出10000-50000元的扣罚。累计有2次总评不合格的，除扣减服务费外，采购人有权终止本合同。</w:t>
      </w:r>
    </w:p>
    <w:p w14:paraId="743D9486">
      <w:pPr>
        <w:widowControl/>
        <w:spacing w:before="161" w:after="161" w:line="360" w:lineRule="auto"/>
        <w:outlineLvl w:val="1"/>
        <w:rPr>
          <w:rFonts w:hint="eastAsia" w:ascii="宋体" w:hAnsi="宋体" w:eastAsia="宋体" w:cs="Arial"/>
          <w:b/>
          <w:bCs/>
          <w:szCs w:val="21"/>
        </w:rPr>
      </w:pPr>
      <w:bookmarkStart w:id="64" w:name="_Toc102653554"/>
      <w:r>
        <w:rPr>
          <w:rFonts w:hint="eastAsia" w:ascii="宋体" w:hAnsi="宋体" w:eastAsia="宋体" w:cs="Arial"/>
          <w:b/>
          <w:bCs/>
          <w:szCs w:val="21"/>
        </w:rPr>
        <w:t>七、服务地点：</w:t>
      </w:r>
      <w:bookmarkEnd w:id="64"/>
    </w:p>
    <w:p w14:paraId="7D6596DD">
      <w:pPr>
        <w:spacing w:line="360" w:lineRule="auto"/>
        <w:ind w:firstLine="420"/>
        <w:rPr>
          <w:rFonts w:hint="eastAsia" w:ascii="宋体" w:hAnsi="宋体" w:eastAsia="宋体" w:cs="Arial"/>
          <w:szCs w:val="21"/>
        </w:rPr>
      </w:pPr>
      <w:r>
        <w:rPr>
          <w:rFonts w:hint="eastAsia" w:ascii="宋体" w:hAnsi="宋体" w:eastAsia="宋体" w:cs="Arial"/>
          <w:szCs w:val="21"/>
        </w:rPr>
        <w:t>采购人指定地点</w:t>
      </w:r>
    </w:p>
    <w:p w14:paraId="5D76C14F">
      <w:pPr>
        <w:widowControl/>
        <w:spacing w:before="161" w:after="161" w:line="360" w:lineRule="auto"/>
        <w:outlineLvl w:val="1"/>
        <w:rPr>
          <w:rFonts w:hint="eastAsia" w:ascii="宋体" w:hAnsi="宋体" w:eastAsia="宋体" w:cs="Arial"/>
          <w:b/>
          <w:bCs/>
          <w:szCs w:val="21"/>
        </w:rPr>
      </w:pPr>
      <w:bookmarkStart w:id="65" w:name="_Toc102653555"/>
      <w:r>
        <w:rPr>
          <w:rFonts w:hint="eastAsia" w:ascii="宋体" w:hAnsi="宋体" w:eastAsia="宋体" w:cs="Arial"/>
          <w:b/>
          <w:bCs/>
          <w:szCs w:val="21"/>
        </w:rPr>
        <w:t>八、路灯日检和月检标准</w:t>
      </w:r>
      <w:bookmarkEnd w:id="65"/>
    </w:p>
    <w:p w14:paraId="0131043D">
      <w:pPr>
        <w:spacing w:line="360" w:lineRule="auto"/>
        <w:ind w:firstLine="420"/>
        <w:rPr>
          <w:rFonts w:hint="eastAsia" w:ascii="宋体" w:hAnsi="宋体" w:eastAsia="宋体" w:cs="Arial"/>
          <w:szCs w:val="21"/>
        </w:rPr>
      </w:pPr>
      <w:r>
        <w:rPr>
          <w:rFonts w:hint="eastAsia" w:ascii="宋体" w:hAnsi="宋体" w:eastAsia="宋体" w:cs="Arial"/>
          <w:szCs w:val="21"/>
        </w:rPr>
        <w:t>路灯维修养护的各项质量检查分日常巡检和月检,由采购人执行。检查采取动态巡检和定期检查两种方式。动态巡检是每日不定期对承包范围内出现的路灯、信号灯问题进行现场作出扣罚处理。定期检查是每月按质量细则要求，对管理和维护项目实行评分。为做好路灯、信号灯的监督管理工作，招标人有权根据管理的实际情况修改日检、月检办法和扣罚办法。</w:t>
      </w:r>
    </w:p>
    <w:p w14:paraId="3D3424DE">
      <w:pPr>
        <w:spacing w:line="360" w:lineRule="auto"/>
        <w:ind w:firstLine="420"/>
        <w:rPr>
          <w:rFonts w:hint="eastAsia" w:ascii="宋体" w:hAnsi="宋体" w:eastAsia="宋体" w:cs="Arial"/>
          <w:szCs w:val="21"/>
        </w:rPr>
      </w:pPr>
      <w:r>
        <w:rPr>
          <w:rFonts w:hint="eastAsia" w:ascii="宋体" w:hAnsi="宋体" w:eastAsia="宋体" w:cs="Arial"/>
          <w:szCs w:val="21"/>
        </w:rPr>
        <w:t>1、检查办法:</w:t>
      </w:r>
    </w:p>
    <w:p w14:paraId="6AD2BD67">
      <w:pPr>
        <w:spacing w:line="360" w:lineRule="auto"/>
        <w:ind w:firstLine="420"/>
        <w:rPr>
          <w:rFonts w:hint="eastAsia" w:ascii="宋体" w:hAnsi="宋体" w:eastAsia="宋体" w:cs="Arial"/>
          <w:szCs w:val="21"/>
        </w:rPr>
      </w:pPr>
      <w:r>
        <w:rPr>
          <w:rFonts w:hint="eastAsia" w:ascii="宋体" w:hAnsi="宋体" w:eastAsia="宋体" w:cs="Arial"/>
          <w:szCs w:val="21"/>
        </w:rPr>
        <w:t>日检方式为每天进行，月检方式为每月一次。</w:t>
      </w:r>
    </w:p>
    <w:p w14:paraId="7EE4BBA3">
      <w:pPr>
        <w:spacing w:line="360" w:lineRule="auto"/>
        <w:ind w:firstLine="420"/>
        <w:rPr>
          <w:rFonts w:hint="eastAsia" w:ascii="宋体" w:hAnsi="宋体" w:eastAsia="宋体" w:cs="Arial"/>
          <w:szCs w:val="21"/>
        </w:rPr>
      </w:pPr>
      <w:r>
        <w:rPr>
          <w:rFonts w:hint="eastAsia" w:ascii="宋体" w:hAnsi="宋体" w:eastAsia="宋体" w:cs="Arial"/>
          <w:szCs w:val="21"/>
        </w:rPr>
        <w:t>2、检查流程:</w:t>
      </w:r>
    </w:p>
    <w:p w14:paraId="194EAC4C">
      <w:pPr>
        <w:spacing w:line="360" w:lineRule="auto"/>
        <w:ind w:firstLine="420"/>
        <w:rPr>
          <w:rFonts w:hint="eastAsia" w:ascii="宋体" w:hAnsi="宋体" w:eastAsia="宋体" w:cs="Arial"/>
          <w:szCs w:val="21"/>
        </w:rPr>
      </w:pPr>
      <w:r>
        <w:rPr>
          <w:rFonts w:hint="eastAsia" w:ascii="宋体" w:hAnsi="宋体" w:eastAsia="宋体" w:cs="Arial"/>
          <w:szCs w:val="21"/>
        </w:rPr>
        <w:t>（1）日检:</w:t>
      </w:r>
    </w:p>
    <w:p w14:paraId="69B0A981">
      <w:pPr>
        <w:spacing w:line="360" w:lineRule="auto"/>
        <w:ind w:firstLine="420"/>
        <w:rPr>
          <w:rFonts w:hint="eastAsia" w:ascii="宋体" w:hAnsi="宋体" w:eastAsia="宋体" w:cs="Arial"/>
          <w:szCs w:val="21"/>
        </w:rPr>
      </w:pPr>
      <w:r>
        <w:rPr>
          <w:rFonts w:hint="eastAsia" w:ascii="宋体" w:hAnsi="宋体" w:eastAsia="宋体" w:cs="Arial"/>
          <w:szCs w:val="21"/>
        </w:rPr>
        <w:t>A：维修养护管理范围巡检→发现维修事项→通知中标人→处理通知书→次月统计检查结果→上报结果。</w:t>
      </w:r>
    </w:p>
    <w:p w14:paraId="483072AA">
      <w:pPr>
        <w:spacing w:line="360" w:lineRule="auto"/>
        <w:ind w:firstLine="420"/>
        <w:rPr>
          <w:rFonts w:hint="eastAsia" w:ascii="宋体" w:hAnsi="宋体" w:eastAsia="宋体" w:cs="Arial"/>
          <w:szCs w:val="21"/>
        </w:rPr>
      </w:pPr>
      <w:r>
        <w:rPr>
          <w:rFonts w:hint="eastAsia" w:ascii="宋体" w:hAnsi="宋体" w:eastAsia="宋体" w:cs="Arial"/>
          <w:szCs w:val="21"/>
        </w:rPr>
        <w:t>B:维修养护理范围巡检→发现维修事项→通知中标人→处理通知书→不予及时处理→扣罚通知书→次月统计检查结果→上报结果。</w:t>
      </w:r>
    </w:p>
    <w:p w14:paraId="7AB1B424">
      <w:pPr>
        <w:spacing w:line="360" w:lineRule="auto"/>
        <w:ind w:firstLine="420"/>
        <w:rPr>
          <w:rFonts w:hint="eastAsia" w:ascii="宋体" w:hAnsi="宋体" w:eastAsia="宋体" w:cs="Arial"/>
          <w:szCs w:val="21"/>
        </w:rPr>
      </w:pPr>
      <w:r>
        <w:rPr>
          <w:rFonts w:hint="eastAsia" w:ascii="宋体" w:hAnsi="宋体" w:eastAsia="宋体" w:cs="Arial"/>
          <w:szCs w:val="21"/>
        </w:rPr>
        <w:t>（2）月检:</w:t>
      </w:r>
    </w:p>
    <w:p w14:paraId="42F7CB55">
      <w:pPr>
        <w:spacing w:line="360" w:lineRule="auto"/>
        <w:ind w:firstLine="420"/>
        <w:rPr>
          <w:rFonts w:hint="eastAsia" w:ascii="宋体" w:hAnsi="宋体" w:eastAsia="宋体" w:cs="Arial"/>
          <w:szCs w:val="21"/>
        </w:rPr>
      </w:pPr>
      <w:r>
        <w:rPr>
          <w:rFonts w:hint="eastAsia" w:ascii="宋体" w:hAnsi="宋体" w:eastAsia="宋体" w:cs="Arial"/>
          <w:szCs w:val="21"/>
        </w:rPr>
        <w:t>通知→现场检查→集中评分→计算结果→办理维护管理服务费手续。</w:t>
      </w:r>
    </w:p>
    <w:p w14:paraId="2F794CF1">
      <w:pPr>
        <w:spacing w:line="360" w:lineRule="auto"/>
        <w:ind w:firstLine="420"/>
        <w:rPr>
          <w:rFonts w:hint="eastAsia" w:ascii="宋体" w:hAnsi="宋体" w:eastAsia="宋体" w:cs="Arial"/>
          <w:szCs w:val="21"/>
        </w:rPr>
      </w:pPr>
      <w:r>
        <w:rPr>
          <w:rFonts w:hint="eastAsia" w:ascii="宋体" w:hAnsi="宋体" w:eastAsia="宋体" w:cs="Arial"/>
          <w:szCs w:val="21"/>
        </w:rPr>
        <w:t>3、巡检办法:</w:t>
      </w:r>
    </w:p>
    <w:p w14:paraId="4043C22A">
      <w:pPr>
        <w:spacing w:line="360" w:lineRule="auto"/>
        <w:ind w:firstLine="420"/>
        <w:rPr>
          <w:rFonts w:hint="eastAsia" w:ascii="宋体" w:hAnsi="宋体" w:eastAsia="宋体" w:cs="Arial"/>
          <w:szCs w:val="21"/>
        </w:rPr>
      </w:pPr>
      <w:r>
        <w:rPr>
          <w:rFonts w:hint="eastAsia" w:ascii="宋体" w:hAnsi="宋体" w:eastAsia="宋体" w:cs="Arial"/>
          <w:szCs w:val="21"/>
        </w:rPr>
        <w:t>每天对维修养护管理范围进行全面检查，对现场检查发现的存在问题，予以当场发出处理通知单，并提出限期整改要求。对整改期限仍未达到要求的，视情况的严重程度作出5000-10000元的扣罚，并再次发出整改通知，直至达到整改要求，从当月维修养护管理服务费内扣减。若经多次通知仍不完成整改的，当月评定为不合格，扣罚承包款，同时招标人有权直接委托其他公司进行路灯事项修复，所需费用在每月承包款中直接扣除。</w:t>
      </w:r>
    </w:p>
    <w:p w14:paraId="2C95F1EA">
      <w:pPr>
        <w:spacing w:line="360" w:lineRule="auto"/>
        <w:ind w:firstLine="420"/>
        <w:rPr>
          <w:rFonts w:hint="eastAsia" w:ascii="宋体" w:hAnsi="宋体" w:eastAsia="宋体" w:cs="Arial"/>
          <w:szCs w:val="21"/>
        </w:rPr>
      </w:pPr>
      <w:r>
        <w:rPr>
          <w:rFonts w:hint="eastAsia" w:ascii="宋体" w:hAnsi="宋体" w:eastAsia="宋体" w:cs="Arial"/>
          <w:szCs w:val="21"/>
        </w:rPr>
        <w:t>4、扣罚结果的确认:</w:t>
      </w:r>
    </w:p>
    <w:p w14:paraId="7AFD9EBB">
      <w:pPr>
        <w:spacing w:line="360" w:lineRule="auto"/>
        <w:ind w:firstLine="420"/>
        <w:rPr>
          <w:rFonts w:hint="eastAsia" w:ascii="宋体" w:hAnsi="宋体" w:eastAsia="宋体" w:cs="Arial"/>
          <w:szCs w:val="21"/>
        </w:rPr>
      </w:pPr>
      <w:r>
        <w:rPr>
          <w:rFonts w:hint="eastAsia" w:ascii="宋体" w:hAnsi="宋体" w:eastAsia="宋体" w:cs="Arial"/>
          <w:szCs w:val="21"/>
        </w:rPr>
        <w:t>（1）巡检:</w:t>
      </w:r>
    </w:p>
    <w:p w14:paraId="1F8F20F5">
      <w:pPr>
        <w:spacing w:line="360" w:lineRule="auto"/>
        <w:ind w:firstLine="420"/>
        <w:rPr>
          <w:rFonts w:hint="eastAsia" w:ascii="宋体" w:hAnsi="宋体" w:eastAsia="宋体" w:cs="Arial"/>
          <w:szCs w:val="21"/>
        </w:rPr>
      </w:pPr>
      <w:r>
        <w:rPr>
          <w:rFonts w:hint="eastAsia" w:ascii="宋体" w:hAnsi="宋体" w:eastAsia="宋体" w:cs="Arial"/>
          <w:szCs w:val="21"/>
        </w:rPr>
        <w:t>对日常巡检发出的扣罚通知单，由中标人代表到现场签字确认，接通知后30分钟内不到现场或拒不签字的，可由两名以上（含两名）采购人巡检员签名确认，并留存现场照片。中标人需指定2名或以上巡检人员配合采购人巡检员的检查工作。</w:t>
      </w:r>
    </w:p>
    <w:p w14:paraId="14F3BC5D">
      <w:pPr>
        <w:spacing w:line="360" w:lineRule="auto"/>
        <w:ind w:firstLine="420"/>
        <w:rPr>
          <w:rFonts w:hint="eastAsia" w:ascii="宋体" w:hAnsi="宋体" w:eastAsia="宋体" w:cs="Arial"/>
          <w:szCs w:val="21"/>
        </w:rPr>
      </w:pPr>
      <w:r>
        <w:rPr>
          <w:rFonts w:hint="eastAsia" w:ascii="宋体" w:hAnsi="宋体" w:eastAsia="宋体" w:cs="Arial"/>
          <w:szCs w:val="21"/>
        </w:rPr>
        <w:t>（2）月检:</w:t>
      </w:r>
    </w:p>
    <w:p w14:paraId="18194FD8">
      <w:pPr>
        <w:spacing w:line="360" w:lineRule="auto"/>
        <w:ind w:firstLine="420"/>
        <w:rPr>
          <w:rFonts w:hint="eastAsia" w:ascii="宋体" w:hAnsi="宋体" w:eastAsia="宋体" w:cs="Arial"/>
          <w:szCs w:val="21"/>
        </w:rPr>
      </w:pPr>
      <w:r>
        <w:rPr>
          <w:rFonts w:hint="eastAsia" w:ascii="宋体" w:hAnsi="宋体" w:eastAsia="宋体" w:cs="Arial"/>
          <w:szCs w:val="21"/>
        </w:rPr>
        <w:t>月检评分结果由采购人汇总通知中标人签名确认。</w:t>
      </w:r>
    </w:p>
    <w:p w14:paraId="12D101F8">
      <w:pPr>
        <w:spacing w:line="360" w:lineRule="auto"/>
        <w:ind w:firstLine="420"/>
        <w:rPr>
          <w:rFonts w:hint="eastAsia" w:ascii="宋体" w:hAnsi="宋体" w:eastAsia="宋体" w:cs="Arial"/>
          <w:szCs w:val="21"/>
        </w:rPr>
      </w:pPr>
      <w:r>
        <w:rPr>
          <w:rFonts w:hint="eastAsia" w:ascii="宋体" w:hAnsi="宋体" w:eastAsia="宋体" w:cs="Arial"/>
          <w:szCs w:val="21"/>
        </w:rPr>
        <w:t>5、</w:t>
      </w:r>
      <w:bookmarkStart w:id="66" w:name="_Hlk215046498"/>
      <w:r>
        <w:rPr>
          <w:rFonts w:hint="eastAsia" w:ascii="宋体" w:hAnsi="宋体" w:eastAsia="宋体" w:cs="Arial"/>
          <w:szCs w:val="21"/>
        </w:rPr>
        <w:t>道路路灯及景观灯维护管理考核标准（100分）</w:t>
      </w:r>
    </w:p>
    <w:tbl>
      <w:tblPr>
        <w:tblStyle w:val="29"/>
        <w:tblW w:w="10040" w:type="dxa"/>
        <w:tblInd w:w="93" w:type="dxa"/>
        <w:tblLayout w:type="autofit"/>
        <w:tblCellMar>
          <w:top w:w="0" w:type="dxa"/>
          <w:left w:w="108" w:type="dxa"/>
          <w:bottom w:w="0" w:type="dxa"/>
          <w:right w:w="108" w:type="dxa"/>
        </w:tblCellMar>
      </w:tblPr>
      <w:tblGrid>
        <w:gridCol w:w="4960"/>
        <w:gridCol w:w="1151"/>
        <w:gridCol w:w="3929"/>
      </w:tblGrid>
      <w:tr w14:paraId="422A3719">
        <w:trPr>
          <w:trHeight w:val="435" w:hRule="atLeast"/>
        </w:trPr>
        <w:tc>
          <w:tcPr>
            <w:tcW w:w="10040" w:type="dxa"/>
            <w:gridSpan w:val="3"/>
            <w:tcBorders>
              <w:top w:val="single" w:color="000000" w:sz="4" w:space="0"/>
              <w:left w:val="single" w:color="000000" w:sz="4" w:space="0"/>
              <w:bottom w:val="single" w:color="000000" w:sz="4" w:space="0"/>
              <w:right w:val="single" w:color="000000" w:sz="4" w:space="0"/>
            </w:tcBorders>
            <w:noWrap/>
            <w:vAlign w:val="center"/>
          </w:tcPr>
          <w:p w14:paraId="51745414">
            <w:pPr>
              <w:widowControl/>
              <w:jc w:val="center"/>
              <w:rPr>
                <w:rFonts w:ascii="宋体" w:hAnsi="宋体" w:eastAsia="宋体" w:cs="Arial"/>
                <w:szCs w:val="21"/>
              </w:rPr>
            </w:pPr>
            <w:r>
              <w:rPr>
                <w:rFonts w:hint="eastAsia" w:ascii="宋体" w:hAnsi="宋体" w:eastAsia="宋体" w:cs="Arial"/>
                <w:szCs w:val="21"/>
              </w:rPr>
              <w:t>（一）亮灯率（30分）</w:t>
            </w:r>
          </w:p>
        </w:tc>
      </w:tr>
      <w:tr w14:paraId="21D53931">
        <w:tblPrEx>
          <w:tblCellMar>
            <w:top w:w="0" w:type="dxa"/>
            <w:left w:w="108" w:type="dxa"/>
            <w:bottom w:w="0" w:type="dxa"/>
            <w:right w:w="108" w:type="dxa"/>
          </w:tblCellMar>
        </w:tblPrEx>
        <w:trPr>
          <w:trHeight w:val="645" w:hRule="atLeast"/>
        </w:trPr>
        <w:tc>
          <w:tcPr>
            <w:tcW w:w="4960" w:type="dxa"/>
            <w:tcBorders>
              <w:top w:val="nil"/>
              <w:left w:val="single" w:color="000000" w:sz="4" w:space="0"/>
              <w:bottom w:val="single" w:color="000000" w:sz="4" w:space="0"/>
              <w:right w:val="single" w:color="000000" w:sz="4" w:space="0"/>
            </w:tcBorders>
            <w:noWrap w:val="0"/>
            <w:vAlign w:val="center"/>
          </w:tcPr>
          <w:p w14:paraId="386555C8">
            <w:pPr>
              <w:widowControl/>
              <w:jc w:val="center"/>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44539ADF">
            <w:pPr>
              <w:widowControl/>
              <w:jc w:val="center"/>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5B1F5952">
            <w:pPr>
              <w:widowControl/>
              <w:jc w:val="center"/>
              <w:rPr>
                <w:rFonts w:ascii="宋体" w:hAnsi="宋体" w:eastAsia="宋体" w:cs="Arial"/>
                <w:szCs w:val="21"/>
              </w:rPr>
            </w:pPr>
            <w:r>
              <w:rPr>
                <w:rFonts w:hint="eastAsia" w:ascii="宋体" w:hAnsi="宋体" w:eastAsia="宋体" w:cs="Arial"/>
                <w:szCs w:val="21"/>
              </w:rPr>
              <w:t>考核标准</w:t>
            </w:r>
          </w:p>
        </w:tc>
      </w:tr>
      <w:tr w14:paraId="7F30100E">
        <w:tblPrEx>
          <w:tblCellMar>
            <w:top w:w="0" w:type="dxa"/>
            <w:left w:w="108" w:type="dxa"/>
            <w:bottom w:w="0" w:type="dxa"/>
            <w:right w:w="108" w:type="dxa"/>
          </w:tblCellMar>
        </w:tblPrEx>
        <w:trPr>
          <w:trHeight w:val="810" w:hRule="atLeast"/>
        </w:trPr>
        <w:tc>
          <w:tcPr>
            <w:tcW w:w="4960" w:type="dxa"/>
            <w:tcBorders>
              <w:top w:val="nil"/>
              <w:left w:val="single" w:color="000000" w:sz="4" w:space="0"/>
              <w:bottom w:val="single" w:color="000000" w:sz="4" w:space="0"/>
              <w:right w:val="single" w:color="000000" w:sz="4" w:space="0"/>
            </w:tcBorders>
            <w:noWrap w:val="0"/>
            <w:vAlign w:val="center"/>
          </w:tcPr>
          <w:p w14:paraId="27504A47">
            <w:pPr>
              <w:widowControl/>
              <w:jc w:val="left"/>
              <w:rPr>
                <w:rFonts w:ascii="宋体" w:hAnsi="宋体" w:eastAsia="宋体" w:cs="Arial"/>
                <w:szCs w:val="21"/>
              </w:rPr>
            </w:pPr>
            <w:r>
              <w:rPr>
                <w:rFonts w:hint="eastAsia" w:ascii="宋体" w:hAnsi="宋体" w:eastAsia="宋体" w:cs="Arial"/>
                <w:szCs w:val="21"/>
              </w:rPr>
              <w:t>1.1亮灯率（亮灯率指亮灯数与总路灯数之比）</w:t>
            </w:r>
            <w:r>
              <w:rPr>
                <w:rFonts w:hint="eastAsia" w:ascii="宋体" w:hAnsi="宋体" w:eastAsia="宋体" w:cs="Arial"/>
                <w:szCs w:val="21"/>
              </w:rPr>
              <w:br w:type="textWrapping" w:clear="all"/>
            </w:r>
            <w:r>
              <w:rPr>
                <w:rFonts w:hint="eastAsia" w:ascii="宋体" w:hAnsi="宋体" w:eastAsia="宋体" w:cs="Arial"/>
                <w:szCs w:val="21"/>
              </w:rPr>
              <w:t>1.2亮灯率达到99%。</w:t>
            </w:r>
          </w:p>
        </w:tc>
        <w:tc>
          <w:tcPr>
            <w:tcW w:w="1151" w:type="dxa"/>
            <w:tcBorders>
              <w:top w:val="nil"/>
              <w:left w:val="nil"/>
              <w:bottom w:val="single" w:color="000000" w:sz="4" w:space="0"/>
              <w:right w:val="single" w:color="000000" w:sz="4" w:space="0"/>
            </w:tcBorders>
            <w:noWrap w:val="0"/>
            <w:vAlign w:val="center"/>
          </w:tcPr>
          <w:p w14:paraId="58D8055B">
            <w:pPr>
              <w:widowControl/>
              <w:jc w:val="left"/>
              <w:rPr>
                <w:rFonts w:ascii="宋体" w:hAnsi="宋体" w:eastAsia="宋体" w:cs="Arial"/>
                <w:szCs w:val="21"/>
              </w:rPr>
            </w:pPr>
            <w:r>
              <w:rPr>
                <w:rFonts w:hint="eastAsia" w:ascii="宋体" w:hAnsi="宋体" w:eastAsia="宋体" w:cs="Arial"/>
                <w:szCs w:val="21"/>
              </w:rPr>
              <w:t>30</w:t>
            </w:r>
          </w:p>
        </w:tc>
        <w:tc>
          <w:tcPr>
            <w:tcW w:w="3929" w:type="dxa"/>
            <w:tcBorders>
              <w:top w:val="nil"/>
              <w:left w:val="nil"/>
              <w:bottom w:val="single" w:color="000000" w:sz="4" w:space="0"/>
              <w:right w:val="single" w:color="000000" w:sz="4" w:space="0"/>
            </w:tcBorders>
            <w:noWrap w:val="0"/>
            <w:vAlign w:val="center"/>
          </w:tcPr>
          <w:p w14:paraId="5B4C5745">
            <w:pPr>
              <w:widowControl/>
              <w:jc w:val="left"/>
              <w:rPr>
                <w:rFonts w:ascii="宋体" w:hAnsi="宋体" w:eastAsia="宋体" w:cs="Arial"/>
                <w:szCs w:val="21"/>
              </w:rPr>
            </w:pPr>
            <w:r>
              <w:rPr>
                <w:rFonts w:hint="eastAsia" w:ascii="宋体" w:hAnsi="宋体" w:eastAsia="宋体" w:cs="Arial"/>
                <w:szCs w:val="21"/>
              </w:rPr>
              <w:t>凡发现达到5盏或以上不亮扣5分，整条道路均不亮此项计分全扣。</w:t>
            </w:r>
          </w:p>
        </w:tc>
      </w:tr>
      <w:tr w14:paraId="6FA2D6B7">
        <w:tblPrEx>
          <w:tblCellMar>
            <w:top w:w="0" w:type="dxa"/>
            <w:left w:w="108" w:type="dxa"/>
            <w:bottom w:w="0" w:type="dxa"/>
            <w:right w:w="108" w:type="dxa"/>
          </w:tblCellMar>
        </w:tblPrEx>
        <w:trPr>
          <w:trHeight w:val="510" w:hRule="atLeast"/>
        </w:trPr>
        <w:tc>
          <w:tcPr>
            <w:tcW w:w="10040" w:type="dxa"/>
            <w:gridSpan w:val="3"/>
            <w:tcBorders>
              <w:top w:val="single" w:color="000000" w:sz="4" w:space="0"/>
              <w:left w:val="single" w:color="000000" w:sz="4" w:space="0"/>
              <w:bottom w:val="single" w:color="000000" w:sz="4" w:space="0"/>
              <w:right w:val="single" w:color="000000" w:sz="4" w:space="0"/>
            </w:tcBorders>
            <w:noWrap w:val="0"/>
            <w:vAlign w:val="center"/>
          </w:tcPr>
          <w:p w14:paraId="2F8B2EED">
            <w:pPr>
              <w:widowControl/>
              <w:jc w:val="center"/>
              <w:rPr>
                <w:rFonts w:ascii="宋体" w:hAnsi="宋体" w:eastAsia="宋体" w:cs="Arial"/>
                <w:szCs w:val="21"/>
              </w:rPr>
            </w:pPr>
            <w:r>
              <w:rPr>
                <w:rFonts w:hint="eastAsia" w:ascii="宋体" w:hAnsi="宋体" w:eastAsia="宋体" w:cs="Arial"/>
                <w:szCs w:val="21"/>
              </w:rPr>
              <w:t>(二)照明设施及其附属设备完好率（20分）</w:t>
            </w:r>
          </w:p>
        </w:tc>
      </w:tr>
      <w:tr w14:paraId="2BED8904">
        <w:tblPrEx>
          <w:tblCellMar>
            <w:top w:w="0" w:type="dxa"/>
            <w:left w:w="108" w:type="dxa"/>
            <w:bottom w:w="0" w:type="dxa"/>
            <w:right w:w="108" w:type="dxa"/>
          </w:tblCellMar>
        </w:tblPrEx>
        <w:trPr>
          <w:trHeight w:val="645" w:hRule="atLeast"/>
        </w:trPr>
        <w:tc>
          <w:tcPr>
            <w:tcW w:w="4960" w:type="dxa"/>
            <w:tcBorders>
              <w:top w:val="nil"/>
              <w:left w:val="single" w:color="000000" w:sz="4" w:space="0"/>
              <w:bottom w:val="single" w:color="000000" w:sz="4" w:space="0"/>
              <w:right w:val="single" w:color="000000" w:sz="4" w:space="0"/>
            </w:tcBorders>
            <w:noWrap w:val="0"/>
            <w:vAlign w:val="center"/>
          </w:tcPr>
          <w:p w14:paraId="44ED8E7C">
            <w:pPr>
              <w:widowControl/>
              <w:jc w:val="center"/>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6BD84E7B">
            <w:pPr>
              <w:widowControl/>
              <w:jc w:val="center"/>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0104F704">
            <w:pPr>
              <w:widowControl/>
              <w:jc w:val="center"/>
              <w:rPr>
                <w:rFonts w:ascii="宋体" w:hAnsi="宋体" w:eastAsia="宋体" w:cs="Arial"/>
                <w:szCs w:val="21"/>
              </w:rPr>
            </w:pPr>
            <w:r>
              <w:rPr>
                <w:rFonts w:hint="eastAsia" w:ascii="宋体" w:hAnsi="宋体" w:eastAsia="宋体" w:cs="Arial"/>
                <w:szCs w:val="21"/>
              </w:rPr>
              <w:t>考核标准</w:t>
            </w:r>
          </w:p>
        </w:tc>
      </w:tr>
      <w:tr w14:paraId="0C640B9A">
        <w:tblPrEx>
          <w:tblCellMar>
            <w:top w:w="0" w:type="dxa"/>
            <w:left w:w="108" w:type="dxa"/>
            <w:bottom w:w="0" w:type="dxa"/>
            <w:right w:w="108" w:type="dxa"/>
          </w:tblCellMar>
        </w:tblPrEx>
        <w:trPr>
          <w:trHeight w:val="557" w:hRule="atLeast"/>
        </w:trPr>
        <w:tc>
          <w:tcPr>
            <w:tcW w:w="4960" w:type="dxa"/>
            <w:tcBorders>
              <w:top w:val="nil"/>
              <w:left w:val="single" w:color="000000" w:sz="4" w:space="0"/>
              <w:bottom w:val="single" w:color="000000" w:sz="4" w:space="0"/>
              <w:right w:val="single" w:color="000000" w:sz="4" w:space="0"/>
            </w:tcBorders>
            <w:noWrap w:val="0"/>
            <w:vAlign w:val="center"/>
          </w:tcPr>
          <w:p w14:paraId="623F834F">
            <w:pPr>
              <w:widowControl/>
              <w:jc w:val="left"/>
              <w:rPr>
                <w:rFonts w:ascii="宋体" w:hAnsi="宋体" w:eastAsia="宋体" w:cs="Arial"/>
                <w:szCs w:val="21"/>
              </w:rPr>
            </w:pPr>
            <w:r>
              <w:rPr>
                <w:rFonts w:hint="eastAsia" w:ascii="宋体" w:hAnsi="宋体" w:eastAsia="宋体" w:cs="Arial"/>
                <w:szCs w:val="21"/>
              </w:rPr>
              <w:t>2.1照明设施及其附属设备管理</w:t>
            </w:r>
            <w:r>
              <w:rPr>
                <w:rFonts w:hint="eastAsia" w:ascii="宋体" w:hAnsi="宋体" w:eastAsia="宋体" w:cs="Arial"/>
                <w:szCs w:val="21"/>
              </w:rPr>
              <w:br w:type="textWrapping" w:clear="all"/>
            </w:r>
            <w:r>
              <w:rPr>
                <w:rFonts w:hint="eastAsia" w:ascii="宋体" w:hAnsi="宋体" w:eastAsia="宋体" w:cs="Arial"/>
                <w:szCs w:val="21"/>
              </w:rPr>
              <w:t>2.2照明设施及其附属设备完好率100%。主要包括灯杆灯具完好率、线路完好率、配电箱完好率、照明设施清洁率等。</w:t>
            </w:r>
            <w:r>
              <w:rPr>
                <w:rFonts w:hint="eastAsia" w:ascii="宋体" w:hAnsi="宋体" w:eastAsia="宋体" w:cs="Arial"/>
                <w:szCs w:val="21"/>
              </w:rPr>
              <w:br w:type="textWrapping" w:clear="all"/>
            </w:r>
            <w:r>
              <w:rPr>
                <w:rFonts w:hint="eastAsia" w:ascii="宋体" w:hAnsi="宋体" w:eastAsia="宋体" w:cs="Arial"/>
                <w:szCs w:val="21"/>
              </w:rPr>
              <w:t>2.3灯杆、灯具、变压器、检查井、控制箱等设置规范，保持清洁，无乱贴乱画、歪斜、锈蚀、油漆脱落等现象；每月对道路路灯、控制箱接地等情况进行测试，每年应对辖区内有专变箱的配电设施要申请供电局进行安全检测，测试完成后应及时向采购人上报测试报告，并立即对测试不合格的进行整改。</w:t>
            </w:r>
          </w:p>
        </w:tc>
        <w:tc>
          <w:tcPr>
            <w:tcW w:w="1151" w:type="dxa"/>
            <w:tcBorders>
              <w:top w:val="nil"/>
              <w:left w:val="nil"/>
              <w:bottom w:val="single" w:color="000000" w:sz="4" w:space="0"/>
              <w:right w:val="single" w:color="000000" w:sz="4" w:space="0"/>
            </w:tcBorders>
            <w:noWrap w:val="0"/>
            <w:vAlign w:val="center"/>
          </w:tcPr>
          <w:p w14:paraId="2AADEF4D">
            <w:pPr>
              <w:widowControl/>
              <w:jc w:val="left"/>
              <w:rPr>
                <w:rFonts w:ascii="宋体" w:hAnsi="宋体" w:eastAsia="宋体" w:cs="Arial"/>
                <w:szCs w:val="21"/>
              </w:rPr>
            </w:pPr>
            <w:r>
              <w:rPr>
                <w:rFonts w:hint="eastAsia" w:ascii="宋体" w:hAnsi="宋体" w:eastAsia="宋体" w:cs="Arial"/>
                <w:szCs w:val="21"/>
              </w:rPr>
              <w:t>20</w:t>
            </w:r>
          </w:p>
        </w:tc>
        <w:tc>
          <w:tcPr>
            <w:tcW w:w="3929" w:type="dxa"/>
            <w:tcBorders>
              <w:top w:val="nil"/>
              <w:left w:val="nil"/>
              <w:bottom w:val="single" w:color="000000" w:sz="4" w:space="0"/>
              <w:right w:val="single" w:color="000000" w:sz="4" w:space="0"/>
            </w:tcBorders>
            <w:noWrap w:val="0"/>
            <w:vAlign w:val="center"/>
          </w:tcPr>
          <w:p w14:paraId="56580E86">
            <w:pPr>
              <w:widowControl/>
              <w:jc w:val="left"/>
              <w:rPr>
                <w:rFonts w:ascii="宋体" w:hAnsi="宋体" w:eastAsia="宋体" w:cs="Arial"/>
                <w:szCs w:val="21"/>
              </w:rPr>
            </w:pPr>
            <w:r>
              <w:rPr>
                <w:rFonts w:hint="eastAsia" w:ascii="宋体" w:hAnsi="宋体" w:eastAsia="宋体" w:cs="Arial"/>
                <w:szCs w:val="21"/>
              </w:rPr>
              <w:t>凡发现灯杆灯具、照明线路、配电箱等照明设施倾倒、歪斜、锈蚀、残缺、损坏、被盗、未按规定进行测试、以及有严重不安全隐患和污渍的，发现一处一次扣5分。同时，中标人要及时修复整改，否则，采购人将按本招标文件有关条款处理。</w:t>
            </w:r>
          </w:p>
        </w:tc>
      </w:tr>
      <w:tr w14:paraId="2333E41E">
        <w:tblPrEx>
          <w:tblCellMar>
            <w:top w:w="0" w:type="dxa"/>
            <w:left w:w="108" w:type="dxa"/>
            <w:bottom w:w="0" w:type="dxa"/>
            <w:right w:w="108" w:type="dxa"/>
          </w:tblCellMar>
        </w:tblPrEx>
        <w:trPr>
          <w:trHeight w:val="570" w:hRule="atLeast"/>
        </w:trPr>
        <w:tc>
          <w:tcPr>
            <w:tcW w:w="10040" w:type="dxa"/>
            <w:gridSpan w:val="3"/>
            <w:tcBorders>
              <w:top w:val="single" w:color="000000" w:sz="4" w:space="0"/>
              <w:left w:val="single" w:color="000000" w:sz="4" w:space="0"/>
              <w:bottom w:val="single" w:color="000000" w:sz="4" w:space="0"/>
              <w:right w:val="single" w:color="000000" w:sz="4" w:space="0"/>
            </w:tcBorders>
            <w:noWrap w:val="0"/>
            <w:vAlign w:val="center"/>
          </w:tcPr>
          <w:p w14:paraId="5E90E8B4">
            <w:pPr>
              <w:widowControl/>
              <w:jc w:val="center"/>
              <w:rPr>
                <w:rFonts w:ascii="宋体" w:hAnsi="宋体" w:eastAsia="宋体" w:cs="Arial"/>
                <w:szCs w:val="21"/>
              </w:rPr>
            </w:pPr>
            <w:r>
              <w:rPr>
                <w:rFonts w:hint="eastAsia" w:ascii="宋体" w:hAnsi="宋体" w:eastAsia="宋体" w:cs="Arial"/>
                <w:szCs w:val="21"/>
              </w:rPr>
              <w:t>(三)开关时限（5分）</w:t>
            </w:r>
          </w:p>
        </w:tc>
      </w:tr>
      <w:tr w14:paraId="17BA3E76">
        <w:tblPrEx>
          <w:tblCellMar>
            <w:top w:w="0" w:type="dxa"/>
            <w:left w:w="108" w:type="dxa"/>
            <w:bottom w:w="0" w:type="dxa"/>
            <w:right w:w="108" w:type="dxa"/>
          </w:tblCellMar>
        </w:tblPrEx>
        <w:trPr>
          <w:trHeight w:val="675" w:hRule="atLeast"/>
        </w:trPr>
        <w:tc>
          <w:tcPr>
            <w:tcW w:w="4960" w:type="dxa"/>
            <w:tcBorders>
              <w:top w:val="nil"/>
              <w:left w:val="single" w:color="000000" w:sz="4" w:space="0"/>
              <w:bottom w:val="single" w:color="auto" w:sz="4" w:space="0"/>
              <w:right w:val="single" w:color="000000" w:sz="4" w:space="0"/>
            </w:tcBorders>
            <w:noWrap w:val="0"/>
            <w:vAlign w:val="center"/>
          </w:tcPr>
          <w:p w14:paraId="4AB5E170">
            <w:pPr>
              <w:widowControl/>
              <w:jc w:val="center"/>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auto" w:sz="4" w:space="0"/>
              <w:right w:val="single" w:color="000000" w:sz="4" w:space="0"/>
            </w:tcBorders>
            <w:noWrap w:val="0"/>
            <w:vAlign w:val="center"/>
          </w:tcPr>
          <w:p w14:paraId="1DEB5DA1">
            <w:pPr>
              <w:widowControl/>
              <w:jc w:val="center"/>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auto" w:sz="4" w:space="0"/>
              <w:right w:val="single" w:color="000000" w:sz="4" w:space="0"/>
            </w:tcBorders>
            <w:noWrap w:val="0"/>
            <w:vAlign w:val="center"/>
          </w:tcPr>
          <w:p w14:paraId="5E181545">
            <w:pPr>
              <w:widowControl/>
              <w:jc w:val="center"/>
              <w:rPr>
                <w:rFonts w:ascii="宋体" w:hAnsi="宋体" w:eastAsia="宋体" w:cs="Arial"/>
                <w:szCs w:val="21"/>
              </w:rPr>
            </w:pPr>
            <w:r>
              <w:rPr>
                <w:rFonts w:hint="eastAsia" w:ascii="宋体" w:hAnsi="宋体" w:eastAsia="宋体" w:cs="Arial"/>
                <w:szCs w:val="21"/>
              </w:rPr>
              <w:t>考核标准</w:t>
            </w:r>
          </w:p>
        </w:tc>
      </w:tr>
      <w:tr w14:paraId="467C2753">
        <w:tblPrEx>
          <w:tblCellMar>
            <w:top w:w="0" w:type="dxa"/>
            <w:left w:w="108" w:type="dxa"/>
            <w:bottom w:w="0" w:type="dxa"/>
            <w:right w:w="108" w:type="dxa"/>
          </w:tblCellMar>
        </w:tblPrEx>
        <w:trPr>
          <w:trHeight w:val="1620" w:hRule="atLeast"/>
        </w:trPr>
        <w:tc>
          <w:tcPr>
            <w:tcW w:w="4960" w:type="dxa"/>
            <w:tcBorders>
              <w:top w:val="single" w:color="auto" w:sz="4" w:space="0"/>
              <w:left w:val="single" w:color="auto" w:sz="4" w:space="0"/>
              <w:bottom w:val="single" w:color="auto" w:sz="4" w:space="0"/>
              <w:right w:val="single" w:color="auto" w:sz="4" w:space="0"/>
            </w:tcBorders>
            <w:noWrap w:val="0"/>
            <w:vAlign w:val="center"/>
          </w:tcPr>
          <w:p w14:paraId="183978AC">
            <w:pPr>
              <w:widowControl/>
              <w:jc w:val="left"/>
              <w:rPr>
                <w:rFonts w:ascii="宋体" w:hAnsi="宋体" w:eastAsia="宋体" w:cs="Arial"/>
                <w:szCs w:val="21"/>
              </w:rPr>
            </w:pPr>
            <w:r>
              <w:rPr>
                <w:rFonts w:hint="eastAsia" w:ascii="宋体" w:hAnsi="宋体" w:eastAsia="宋体" w:cs="Arial"/>
                <w:szCs w:val="21"/>
              </w:rPr>
              <w:t>3.1开关时限。</w:t>
            </w:r>
            <w:r>
              <w:rPr>
                <w:rFonts w:hint="eastAsia" w:ascii="宋体" w:hAnsi="宋体" w:eastAsia="宋体" w:cs="Arial"/>
                <w:szCs w:val="21"/>
              </w:rPr>
              <w:br w:type="textWrapping" w:clear="all"/>
            </w:r>
            <w:r>
              <w:rPr>
                <w:rFonts w:hint="eastAsia" w:ascii="宋体" w:hAnsi="宋体" w:eastAsia="宋体" w:cs="Arial"/>
                <w:szCs w:val="21"/>
              </w:rPr>
              <w:t>3.2路灯开闭时间。路灯每天开闭时间根据季节变化进行调整，满足市民出行需要。</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67D9C56F">
            <w:pPr>
              <w:widowControl/>
              <w:jc w:val="left"/>
              <w:rPr>
                <w:rFonts w:ascii="宋体" w:hAnsi="宋体" w:eastAsia="宋体" w:cs="Arial"/>
                <w:szCs w:val="21"/>
              </w:rPr>
            </w:pPr>
            <w:r>
              <w:rPr>
                <w:rFonts w:hint="eastAsia" w:ascii="宋体" w:hAnsi="宋体" w:eastAsia="宋体" w:cs="Arial"/>
                <w:szCs w:val="21"/>
              </w:rPr>
              <w:t>5</w:t>
            </w:r>
          </w:p>
        </w:tc>
        <w:tc>
          <w:tcPr>
            <w:tcW w:w="3929" w:type="dxa"/>
            <w:tcBorders>
              <w:top w:val="single" w:color="auto" w:sz="4" w:space="0"/>
              <w:left w:val="single" w:color="auto" w:sz="4" w:space="0"/>
              <w:bottom w:val="single" w:color="auto" w:sz="4" w:space="0"/>
              <w:right w:val="single" w:color="auto" w:sz="4" w:space="0"/>
            </w:tcBorders>
            <w:noWrap w:val="0"/>
            <w:vAlign w:val="center"/>
          </w:tcPr>
          <w:p w14:paraId="5055C881">
            <w:pPr>
              <w:widowControl/>
              <w:jc w:val="left"/>
              <w:rPr>
                <w:rFonts w:ascii="宋体" w:hAnsi="宋体" w:eastAsia="宋体" w:cs="Arial"/>
                <w:szCs w:val="21"/>
              </w:rPr>
            </w:pPr>
            <w:r>
              <w:rPr>
                <w:rFonts w:hint="eastAsia" w:ascii="宋体" w:hAnsi="宋体" w:eastAsia="宋体" w:cs="Arial"/>
                <w:szCs w:val="21"/>
              </w:rPr>
              <w:t>凡查实发现未按规定时间进行调整或设置路灯开闭时间的，发现1次扣1分，累计发现3次或以上此项计分全扣。同时，一旦发现擅自更改、关闭、破坏路灯设备的，此项计分全扣，并进行通报批评和追究相关责任。</w:t>
            </w:r>
          </w:p>
        </w:tc>
      </w:tr>
      <w:tr w14:paraId="48BCB64B">
        <w:tblPrEx>
          <w:tblCellMar>
            <w:top w:w="0" w:type="dxa"/>
            <w:left w:w="108" w:type="dxa"/>
            <w:bottom w:w="0" w:type="dxa"/>
            <w:right w:w="108" w:type="dxa"/>
          </w:tblCellMar>
        </w:tblPrEx>
        <w:trPr>
          <w:trHeight w:val="480" w:hRule="atLeast"/>
        </w:trPr>
        <w:tc>
          <w:tcPr>
            <w:tcW w:w="10040" w:type="dxa"/>
            <w:gridSpan w:val="3"/>
            <w:tcBorders>
              <w:top w:val="single" w:color="auto" w:sz="4" w:space="0"/>
              <w:left w:val="single" w:color="000000" w:sz="4" w:space="0"/>
              <w:bottom w:val="single" w:color="000000" w:sz="4" w:space="0"/>
              <w:right w:val="single" w:color="000000" w:sz="4" w:space="0"/>
            </w:tcBorders>
            <w:noWrap w:val="0"/>
            <w:vAlign w:val="center"/>
          </w:tcPr>
          <w:p w14:paraId="4CA33877">
            <w:pPr>
              <w:widowControl/>
              <w:jc w:val="center"/>
              <w:rPr>
                <w:rFonts w:ascii="宋体" w:hAnsi="宋体" w:eastAsia="宋体" w:cs="Arial"/>
                <w:szCs w:val="21"/>
              </w:rPr>
            </w:pPr>
            <w:r>
              <w:rPr>
                <w:rFonts w:hint="eastAsia" w:ascii="宋体" w:hAnsi="宋体" w:eastAsia="宋体" w:cs="Arial"/>
                <w:szCs w:val="21"/>
              </w:rPr>
              <w:t>（四）事故处理率（30分）</w:t>
            </w:r>
          </w:p>
        </w:tc>
      </w:tr>
      <w:tr w14:paraId="0BD6B19E">
        <w:tblPrEx>
          <w:tblCellMar>
            <w:top w:w="0" w:type="dxa"/>
            <w:left w:w="108" w:type="dxa"/>
            <w:bottom w:w="0" w:type="dxa"/>
            <w:right w:w="108" w:type="dxa"/>
          </w:tblCellMar>
        </w:tblPrEx>
        <w:trPr>
          <w:trHeight w:val="675" w:hRule="atLeast"/>
        </w:trPr>
        <w:tc>
          <w:tcPr>
            <w:tcW w:w="4960" w:type="dxa"/>
            <w:tcBorders>
              <w:top w:val="nil"/>
              <w:left w:val="single" w:color="000000" w:sz="4" w:space="0"/>
              <w:bottom w:val="single" w:color="000000" w:sz="4" w:space="0"/>
              <w:right w:val="single" w:color="000000" w:sz="4" w:space="0"/>
            </w:tcBorders>
            <w:noWrap w:val="0"/>
            <w:vAlign w:val="center"/>
          </w:tcPr>
          <w:p w14:paraId="30E65571">
            <w:pPr>
              <w:widowControl/>
              <w:jc w:val="left"/>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766DC667">
            <w:pPr>
              <w:widowControl/>
              <w:jc w:val="left"/>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38A7A899">
            <w:pPr>
              <w:widowControl/>
              <w:jc w:val="left"/>
              <w:rPr>
                <w:rFonts w:ascii="宋体" w:hAnsi="宋体" w:eastAsia="宋体" w:cs="Arial"/>
                <w:szCs w:val="21"/>
              </w:rPr>
            </w:pPr>
            <w:r>
              <w:rPr>
                <w:rFonts w:hint="eastAsia" w:ascii="宋体" w:hAnsi="宋体" w:eastAsia="宋体" w:cs="Arial"/>
                <w:szCs w:val="21"/>
              </w:rPr>
              <w:t>考核标准</w:t>
            </w:r>
          </w:p>
        </w:tc>
      </w:tr>
      <w:tr w14:paraId="06789F0E">
        <w:tblPrEx>
          <w:tblCellMar>
            <w:top w:w="0" w:type="dxa"/>
            <w:left w:w="108" w:type="dxa"/>
            <w:bottom w:w="0" w:type="dxa"/>
            <w:right w:w="108" w:type="dxa"/>
          </w:tblCellMar>
        </w:tblPrEx>
        <w:trPr>
          <w:trHeight w:val="557" w:hRule="atLeast"/>
        </w:trPr>
        <w:tc>
          <w:tcPr>
            <w:tcW w:w="4960" w:type="dxa"/>
            <w:tcBorders>
              <w:top w:val="nil"/>
              <w:left w:val="single" w:color="000000" w:sz="4" w:space="0"/>
              <w:bottom w:val="single" w:color="000000" w:sz="4" w:space="0"/>
              <w:right w:val="single" w:color="000000" w:sz="4" w:space="0"/>
            </w:tcBorders>
            <w:noWrap w:val="0"/>
            <w:vAlign w:val="center"/>
          </w:tcPr>
          <w:p w14:paraId="658DF357">
            <w:pPr>
              <w:widowControl/>
              <w:jc w:val="left"/>
              <w:rPr>
                <w:rFonts w:ascii="宋体" w:hAnsi="宋体" w:eastAsia="宋体" w:cs="Arial"/>
                <w:szCs w:val="21"/>
              </w:rPr>
            </w:pPr>
            <w:r>
              <w:rPr>
                <w:rFonts w:hint="eastAsia" w:ascii="宋体" w:hAnsi="宋体" w:eastAsia="宋体" w:cs="Arial"/>
                <w:szCs w:val="21"/>
              </w:rPr>
              <w:t>4.1故障修复及时率</w:t>
            </w:r>
            <w:r>
              <w:rPr>
                <w:rFonts w:hint="eastAsia" w:ascii="宋体" w:hAnsi="宋体" w:eastAsia="宋体" w:cs="Arial"/>
                <w:szCs w:val="21"/>
              </w:rPr>
              <w:br w:type="textWrapping" w:clear="all"/>
            </w:r>
            <w:r>
              <w:rPr>
                <w:rFonts w:hint="eastAsia" w:ascii="宋体" w:hAnsi="宋体" w:eastAsia="宋体" w:cs="Arial"/>
                <w:szCs w:val="21"/>
              </w:rPr>
              <w:t>4.2自接到通知之时起，有可能危及人身安全和扩大设备损失的故障，在30分钟内到现场处理；线路短路、断线、设备零部件损坏等一般性故障在24小时内修复；线路、设备被盗或其他原因造成路灯不亮24小时内无法修复的，应及时向主管部门报告，并在主管部门规定的时间内修复，线路、设备被盗应同时向公安部门报案。故障修复及时率合格标准为100％。</w:t>
            </w:r>
          </w:p>
        </w:tc>
        <w:tc>
          <w:tcPr>
            <w:tcW w:w="1151" w:type="dxa"/>
            <w:tcBorders>
              <w:top w:val="nil"/>
              <w:left w:val="nil"/>
              <w:bottom w:val="single" w:color="000000" w:sz="4" w:space="0"/>
              <w:right w:val="single" w:color="000000" w:sz="4" w:space="0"/>
            </w:tcBorders>
            <w:noWrap w:val="0"/>
            <w:vAlign w:val="center"/>
          </w:tcPr>
          <w:p w14:paraId="4AAA409A">
            <w:pPr>
              <w:widowControl/>
              <w:jc w:val="left"/>
              <w:rPr>
                <w:rFonts w:ascii="宋体" w:hAnsi="宋体" w:eastAsia="宋体" w:cs="Arial"/>
                <w:szCs w:val="21"/>
              </w:rPr>
            </w:pPr>
            <w:r>
              <w:rPr>
                <w:rFonts w:hint="eastAsia" w:ascii="宋体" w:hAnsi="宋体" w:eastAsia="宋体" w:cs="Arial"/>
                <w:szCs w:val="21"/>
              </w:rPr>
              <w:t>15</w:t>
            </w:r>
          </w:p>
        </w:tc>
        <w:tc>
          <w:tcPr>
            <w:tcW w:w="3929" w:type="dxa"/>
            <w:tcBorders>
              <w:top w:val="nil"/>
              <w:left w:val="nil"/>
              <w:bottom w:val="single" w:color="000000" w:sz="4" w:space="0"/>
              <w:right w:val="single" w:color="000000" w:sz="4" w:space="0"/>
            </w:tcBorders>
            <w:noWrap w:val="0"/>
            <w:vAlign w:val="center"/>
          </w:tcPr>
          <w:p w14:paraId="7AF97F5B">
            <w:pPr>
              <w:widowControl/>
              <w:jc w:val="left"/>
              <w:rPr>
                <w:rFonts w:ascii="宋体" w:hAnsi="宋体" w:eastAsia="宋体" w:cs="Arial"/>
                <w:szCs w:val="21"/>
              </w:rPr>
            </w:pPr>
            <w:r>
              <w:rPr>
                <w:rFonts w:hint="eastAsia" w:ascii="宋体" w:hAnsi="宋体" w:eastAsia="宋体" w:cs="Arial"/>
                <w:szCs w:val="21"/>
              </w:rPr>
              <w:t>对重大事件，未在规定时间内修复的，发现一起一次扣5分，2起（含）以上此项计分为零；对一般性故障，未在规定时间内修复的，发现一起1次扣2.5分，以此类推；因相关原因导致无法在规定时间内完成修复工作，而未及时向主管部门报告的，发现1次此项计分全扣。</w:t>
            </w:r>
          </w:p>
        </w:tc>
      </w:tr>
      <w:tr w14:paraId="51BF4913">
        <w:tblPrEx>
          <w:tblCellMar>
            <w:top w:w="0" w:type="dxa"/>
            <w:left w:w="108" w:type="dxa"/>
            <w:bottom w:w="0" w:type="dxa"/>
            <w:right w:w="108" w:type="dxa"/>
          </w:tblCellMar>
        </w:tblPrEx>
        <w:trPr>
          <w:trHeight w:val="1620" w:hRule="atLeast"/>
        </w:trPr>
        <w:tc>
          <w:tcPr>
            <w:tcW w:w="4960" w:type="dxa"/>
            <w:tcBorders>
              <w:top w:val="nil"/>
              <w:left w:val="single" w:color="000000" w:sz="4" w:space="0"/>
              <w:bottom w:val="single" w:color="000000" w:sz="4" w:space="0"/>
              <w:right w:val="single" w:color="000000" w:sz="4" w:space="0"/>
            </w:tcBorders>
            <w:noWrap w:val="0"/>
            <w:vAlign w:val="center"/>
          </w:tcPr>
          <w:p w14:paraId="283BCA46">
            <w:pPr>
              <w:widowControl/>
              <w:jc w:val="left"/>
              <w:rPr>
                <w:rFonts w:ascii="宋体" w:hAnsi="宋体" w:eastAsia="宋体" w:cs="Arial"/>
                <w:szCs w:val="21"/>
              </w:rPr>
            </w:pPr>
            <w:r>
              <w:rPr>
                <w:rFonts w:hint="eastAsia" w:ascii="宋体" w:hAnsi="宋体" w:eastAsia="宋体" w:cs="Arial"/>
                <w:szCs w:val="21"/>
              </w:rPr>
              <w:t>4.3若光源电器等出现损坏，应立即更换相同规格品种的产品，如无相同的，须经采购人同意后，更换同等价值产品作为替换，维护材料质量合格率须达100%。若发现其它事故，应立即采取安全防护及应急处理措施，限时24小时内抢修完毕。</w:t>
            </w:r>
          </w:p>
        </w:tc>
        <w:tc>
          <w:tcPr>
            <w:tcW w:w="1151" w:type="dxa"/>
            <w:tcBorders>
              <w:top w:val="nil"/>
              <w:left w:val="nil"/>
              <w:bottom w:val="single" w:color="000000" w:sz="4" w:space="0"/>
              <w:right w:val="single" w:color="000000" w:sz="4" w:space="0"/>
            </w:tcBorders>
            <w:noWrap w:val="0"/>
            <w:vAlign w:val="center"/>
          </w:tcPr>
          <w:p w14:paraId="49E7008B">
            <w:pPr>
              <w:widowControl/>
              <w:jc w:val="left"/>
              <w:rPr>
                <w:rFonts w:ascii="宋体" w:hAnsi="宋体" w:eastAsia="宋体" w:cs="Arial"/>
                <w:szCs w:val="21"/>
              </w:rPr>
            </w:pPr>
            <w:r>
              <w:rPr>
                <w:rFonts w:hint="eastAsia" w:ascii="宋体" w:hAnsi="宋体" w:eastAsia="宋体" w:cs="Arial"/>
                <w:szCs w:val="21"/>
              </w:rPr>
              <w:t>5</w:t>
            </w:r>
          </w:p>
        </w:tc>
        <w:tc>
          <w:tcPr>
            <w:tcW w:w="3929" w:type="dxa"/>
            <w:tcBorders>
              <w:top w:val="nil"/>
              <w:left w:val="nil"/>
              <w:bottom w:val="single" w:color="000000" w:sz="4" w:space="0"/>
              <w:right w:val="single" w:color="000000" w:sz="4" w:space="0"/>
            </w:tcBorders>
            <w:noWrap w:val="0"/>
            <w:vAlign w:val="center"/>
          </w:tcPr>
          <w:p w14:paraId="6E9D7410">
            <w:pPr>
              <w:widowControl/>
              <w:jc w:val="left"/>
              <w:rPr>
                <w:rFonts w:ascii="宋体" w:hAnsi="宋体" w:eastAsia="宋体" w:cs="Arial"/>
                <w:szCs w:val="21"/>
              </w:rPr>
            </w:pPr>
            <w:r>
              <w:rPr>
                <w:rFonts w:hint="eastAsia" w:ascii="宋体" w:hAnsi="宋体" w:eastAsia="宋体" w:cs="Arial"/>
                <w:szCs w:val="21"/>
              </w:rPr>
              <w:t>未按采用相同规格品种的产品发现1次，扣1分，发生安全事故此项计分全扣，并由中标人承担全部经济、法律等一切责任。</w:t>
            </w:r>
          </w:p>
        </w:tc>
      </w:tr>
      <w:tr w14:paraId="4850B300">
        <w:tblPrEx>
          <w:tblCellMar>
            <w:top w:w="0" w:type="dxa"/>
            <w:left w:w="108" w:type="dxa"/>
            <w:bottom w:w="0" w:type="dxa"/>
            <w:right w:w="108" w:type="dxa"/>
          </w:tblCellMar>
        </w:tblPrEx>
        <w:trPr>
          <w:trHeight w:val="1350" w:hRule="atLeast"/>
        </w:trPr>
        <w:tc>
          <w:tcPr>
            <w:tcW w:w="4960" w:type="dxa"/>
            <w:tcBorders>
              <w:top w:val="nil"/>
              <w:left w:val="single" w:color="000000" w:sz="4" w:space="0"/>
              <w:bottom w:val="single" w:color="000000" w:sz="4" w:space="0"/>
              <w:right w:val="single" w:color="000000" w:sz="4" w:space="0"/>
            </w:tcBorders>
            <w:noWrap w:val="0"/>
            <w:vAlign w:val="center"/>
          </w:tcPr>
          <w:p w14:paraId="38EA56A8">
            <w:pPr>
              <w:widowControl/>
              <w:jc w:val="left"/>
              <w:rPr>
                <w:rFonts w:ascii="宋体" w:hAnsi="宋体" w:eastAsia="宋体" w:cs="Arial"/>
                <w:szCs w:val="21"/>
              </w:rPr>
            </w:pPr>
            <w:r>
              <w:rPr>
                <w:rFonts w:hint="eastAsia" w:ascii="宋体" w:hAnsi="宋体" w:eastAsia="宋体" w:cs="Arial"/>
                <w:szCs w:val="21"/>
              </w:rPr>
              <w:t>4.4做好安全生产措施。维修人员出车、上路维修灯杆、灯具、线路均需做好安全防护措施，设置符合规范长度的安全标志筒、安全指示灯、人员穿着反光衣等安全措施。</w:t>
            </w:r>
          </w:p>
        </w:tc>
        <w:tc>
          <w:tcPr>
            <w:tcW w:w="1151" w:type="dxa"/>
            <w:tcBorders>
              <w:top w:val="nil"/>
              <w:left w:val="nil"/>
              <w:bottom w:val="single" w:color="000000" w:sz="4" w:space="0"/>
              <w:right w:val="single" w:color="000000" w:sz="4" w:space="0"/>
            </w:tcBorders>
            <w:noWrap w:val="0"/>
            <w:vAlign w:val="center"/>
          </w:tcPr>
          <w:p w14:paraId="60EEE3B8">
            <w:pPr>
              <w:widowControl/>
              <w:jc w:val="left"/>
              <w:rPr>
                <w:rFonts w:ascii="宋体" w:hAnsi="宋体" w:eastAsia="宋体" w:cs="Arial"/>
                <w:szCs w:val="21"/>
              </w:rPr>
            </w:pPr>
            <w:r>
              <w:rPr>
                <w:rFonts w:hint="eastAsia" w:ascii="宋体" w:hAnsi="宋体" w:eastAsia="宋体" w:cs="Arial"/>
                <w:szCs w:val="21"/>
              </w:rPr>
              <w:t>10</w:t>
            </w:r>
          </w:p>
        </w:tc>
        <w:tc>
          <w:tcPr>
            <w:tcW w:w="3929" w:type="dxa"/>
            <w:tcBorders>
              <w:top w:val="nil"/>
              <w:left w:val="nil"/>
              <w:bottom w:val="single" w:color="000000" w:sz="4" w:space="0"/>
              <w:right w:val="single" w:color="000000" w:sz="4" w:space="0"/>
            </w:tcBorders>
            <w:noWrap w:val="0"/>
            <w:vAlign w:val="center"/>
          </w:tcPr>
          <w:p w14:paraId="52EB4B32">
            <w:pPr>
              <w:widowControl/>
              <w:jc w:val="left"/>
              <w:rPr>
                <w:rFonts w:ascii="宋体" w:hAnsi="宋体" w:eastAsia="宋体" w:cs="Arial"/>
                <w:szCs w:val="21"/>
              </w:rPr>
            </w:pPr>
            <w:r>
              <w:rPr>
                <w:rFonts w:hint="eastAsia" w:ascii="宋体" w:hAnsi="宋体" w:eastAsia="宋体" w:cs="Arial"/>
                <w:szCs w:val="21"/>
              </w:rPr>
              <w:t>在维护路灯工作中，若发现一次扣5分。直至扣完为止。</w:t>
            </w:r>
          </w:p>
        </w:tc>
      </w:tr>
      <w:tr w14:paraId="545C5E59">
        <w:tblPrEx>
          <w:tblCellMar>
            <w:top w:w="0" w:type="dxa"/>
            <w:left w:w="108" w:type="dxa"/>
            <w:bottom w:w="0" w:type="dxa"/>
            <w:right w:w="108" w:type="dxa"/>
          </w:tblCellMar>
        </w:tblPrEx>
        <w:trPr>
          <w:trHeight w:val="525" w:hRule="atLeast"/>
        </w:trPr>
        <w:tc>
          <w:tcPr>
            <w:tcW w:w="10040" w:type="dxa"/>
            <w:gridSpan w:val="3"/>
            <w:tcBorders>
              <w:top w:val="single" w:color="000000" w:sz="4" w:space="0"/>
              <w:left w:val="single" w:color="000000" w:sz="4" w:space="0"/>
              <w:bottom w:val="single" w:color="000000" w:sz="4" w:space="0"/>
              <w:right w:val="single" w:color="000000" w:sz="4" w:space="0"/>
            </w:tcBorders>
            <w:noWrap w:val="0"/>
            <w:vAlign w:val="center"/>
          </w:tcPr>
          <w:p w14:paraId="484782BD">
            <w:pPr>
              <w:widowControl/>
              <w:jc w:val="center"/>
              <w:rPr>
                <w:rFonts w:ascii="宋体" w:hAnsi="宋体" w:eastAsia="宋体" w:cs="Arial"/>
                <w:szCs w:val="21"/>
              </w:rPr>
            </w:pPr>
            <w:r>
              <w:rPr>
                <w:rFonts w:hint="eastAsia" w:ascii="宋体" w:hAnsi="宋体" w:eastAsia="宋体" w:cs="Arial"/>
                <w:szCs w:val="21"/>
              </w:rPr>
              <w:t>(五)投诉发生率（15分）</w:t>
            </w:r>
          </w:p>
        </w:tc>
      </w:tr>
      <w:tr w14:paraId="37868513">
        <w:tblPrEx>
          <w:tblCellMar>
            <w:top w:w="0" w:type="dxa"/>
            <w:left w:w="108" w:type="dxa"/>
            <w:bottom w:w="0" w:type="dxa"/>
            <w:right w:w="108" w:type="dxa"/>
          </w:tblCellMar>
        </w:tblPrEx>
        <w:trPr>
          <w:trHeight w:val="555" w:hRule="atLeast"/>
        </w:trPr>
        <w:tc>
          <w:tcPr>
            <w:tcW w:w="4960" w:type="dxa"/>
            <w:tcBorders>
              <w:top w:val="nil"/>
              <w:left w:val="single" w:color="000000" w:sz="4" w:space="0"/>
              <w:bottom w:val="single" w:color="000000" w:sz="4" w:space="0"/>
              <w:right w:val="single" w:color="000000" w:sz="4" w:space="0"/>
            </w:tcBorders>
            <w:noWrap w:val="0"/>
            <w:vAlign w:val="center"/>
          </w:tcPr>
          <w:p w14:paraId="381B510C">
            <w:pPr>
              <w:widowControl/>
              <w:jc w:val="center"/>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0856770A">
            <w:pPr>
              <w:widowControl/>
              <w:jc w:val="center"/>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326AE69B">
            <w:pPr>
              <w:widowControl/>
              <w:jc w:val="center"/>
              <w:rPr>
                <w:rFonts w:ascii="宋体" w:hAnsi="宋体" w:eastAsia="宋体" w:cs="Arial"/>
                <w:szCs w:val="21"/>
              </w:rPr>
            </w:pPr>
            <w:r>
              <w:rPr>
                <w:rFonts w:hint="eastAsia" w:ascii="宋体" w:hAnsi="宋体" w:eastAsia="宋体" w:cs="Arial"/>
                <w:szCs w:val="21"/>
              </w:rPr>
              <w:t>考核标准</w:t>
            </w:r>
          </w:p>
        </w:tc>
      </w:tr>
      <w:tr w14:paraId="21B0D8EF">
        <w:tblPrEx>
          <w:tblCellMar>
            <w:top w:w="0" w:type="dxa"/>
            <w:left w:w="108" w:type="dxa"/>
            <w:bottom w:w="0" w:type="dxa"/>
            <w:right w:w="108" w:type="dxa"/>
          </w:tblCellMar>
        </w:tblPrEx>
        <w:trPr>
          <w:trHeight w:val="931" w:hRule="atLeast"/>
        </w:trPr>
        <w:tc>
          <w:tcPr>
            <w:tcW w:w="4960" w:type="dxa"/>
            <w:tcBorders>
              <w:top w:val="nil"/>
              <w:left w:val="single" w:color="000000" w:sz="4" w:space="0"/>
              <w:bottom w:val="single" w:color="000000" w:sz="4" w:space="0"/>
              <w:right w:val="single" w:color="000000" w:sz="4" w:space="0"/>
            </w:tcBorders>
            <w:noWrap w:val="0"/>
            <w:vAlign w:val="center"/>
          </w:tcPr>
          <w:p w14:paraId="3B16A0B7">
            <w:pPr>
              <w:widowControl/>
              <w:jc w:val="left"/>
              <w:rPr>
                <w:rFonts w:ascii="宋体" w:hAnsi="宋体" w:eastAsia="宋体" w:cs="Arial"/>
                <w:szCs w:val="21"/>
              </w:rPr>
            </w:pPr>
            <w:r>
              <w:rPr>
                <w:rFonts w:hint="eastAsia" w:ascii="宋体" w:hAnsi="宋体" w:eastAsia="宋体" w:cs="Arial"/>
                <w:szCs w:val="21"/>
              </w:rPr>
              <w:t>5.1接受社会各界的监督，做好本职工作管好工作人员不胡乱说话表态。</w:t>
            </w:r>
            <w:r>
              <w:rPr>
                <w:rFonts w:hint="eastAsia" w:ascii="宋体" w:hAnsi="宋体" w:eastAsia="宋体" w:cs="Arial"/>
                <w:szCs w:val="21"/>
              </w:rPr>
              <w:br w:type="textWrapping" w:clear="all"/>
            </w:r>
            <w:r>
              <w:rPr>
                <w:rFonts w:hint="eastAsia" w:ascii="宋体" w:hAnsi="宋体" w:eastAsia="宋体" w:cs="Arial"/>
                <w:szCs w:val="21"/>
              </w:rPr>
              <w:t>5.2热情接待各方面的投诉问题，积极处理好所投诉事项并及时答复投诉人。</w:t>
            </w:r>
          </w:p>
        </w:tc>
        <w:tc>
          <w:tcPr>
            <w:tcW w:w="1151" w:type="dxa"/>
            <w:tcBorders>
              <w:top w:val="nil"/>
              <w:left w:val="nil"/>
              <w:bottom w:val="single" w:color="000000" w:sz="4" w:space="0"/>
              <w:right w:val="single" w:color="000000" w:sz="4" w:space="0"/>
            </w:tcBorders>
            <w:noWrap w:val="0"/>
            <w:vAlign w:val="center"/>
          </w:tcPr>
          <w:p w14:paraId="615F0BAD">
            <w:pPr>
              <w:widowControl/>
              <w:jc w:val="left"/>
              <w:rPr>
                <w:rFonts w:ascii="宋体" w:hAnsi="宋体" w:eastAsia="宋体" w:cs="Arial"/>
                <w:szCs w:val="21"/>
              </w:rPr>
            </w:pPr>
            <w:r>
              <w:rPr>
                <w:rFonts w:hint="eastAsia" w:ascii="宋体" w:hAnsi="宋体" w:eastAsia="宋体" w:cs="Arial"/>
                <w:szCs w:val="21"/>
              </w:rPr>
              <w:t>15</w:t>
            </w:r>
          </w:p>
        </w:tc>
        <w:tc>
          <w:tcPr>
            <w:tcW w:w="3929" w:type="dxa"/>
            <w:tcBorders>
              <w:top w:val="nil"/>
              <w:left w:val="nil"/>
              <w:bottom w:val="single" w:color="000000" w:sz="4" w:space="0"/>
              <w:right w:val="single" w:color="000000" w:sz="4" w:space="0"/>
            </w:tcBorders>
            <w:noWrap w:val="0"/>
            <w:vAlign w:val="center"/>
          </w:tcPr>
          <w:p w14:paraId="1AD3CBC7">
            <w:pPr>
              <w:widowControl/>
              <w:jc w:val="left"/>
              <w:rPr>
                <w:rFonts w:ascii="宋体" w:hAnsi="宋体" w:eastAsia="宋体" w:cs="Arial"/>
                <w:szCs w:val="21"/>
              </w:rPr>
            </w:pPr>
            <w:r>
              <w:rPr>
                <w:rFonts w:hint="eastAsia" w:ascii="宋体" w:hAnsi="宋体" w:eastAsia="宋体" w:cs="Arial"/>
                <w:szCs w:val="21"/>
              </w:rPr>
              <w:t>凡政务热线12345、电话投诉发生一次扣1分，网络问政、平面媒体、电视台等方面投诉发生一次扣3分。维修管养单位在接到报障后，从报障时计120分钟内安排专业人员上门抢修现场，解决故障后不扣分。</w:t>
            </w:r>
          </w:p>
        </w:tc>
      </w:tr>
      <w:bookmarkEnd w:id="66"/>
    </w:tbl>
    <w:p w14:paraId="1125406E">
      <w:pPr>
        <w:pStyle w:val="356"/>
        <w:spacing w:line="480" w:lineRule="auto"/>
        <w:ind w:firstLine="0"/>
        <w:rPr>
          <w:rFonts w:hint="eastAsia" w:ascii="宋体" w:hAnsi="宋体" w:eastAsia="宋体"/>
          <w:b/>
          <w:szCs w:val="21"/>
        </w:rPr>
      </w:pPr>
    </w:p>
    <w:p w14:paraId="4E9FA649">
      <w:pPr>
        <w:pStyle w:val="356"/>
        <w:ind w:firstLine="0"/>
        <w:rPr>
          <w:rFonts w:ascii="宋体" w:hAnsi="宋体" w:eastAsia="宋体"/>
          <w:b/>
          <w:bCs/>
          <w:szCs w:val="21"/>
        </w:rPr>
      </w:pPr>
      <w:bookmarkStart w:id="67" w:name="_Toc190329539"/>
    </w:p>
    <w:p w14:paraId="7AFA9883">
      <w:pPr>
        <w:pStyle w:val="347"/>
        <w:spacing w:line="276" w:lineRule="auto"/>
        <w:ind w:left="0" w:firstLine="0"/>
        <w:rPr>
          <w:rFonts w:hint="eastAsia" w:ascii="宋体" w:hAnsi="宋体" w:eastAsia="宋体"/>
        </w:rPr>
      </w:pPr>
      <w:r>
        <w:rPr>
          <w:rFonts w:ascii="宋体" w:hAnsi="宋体" w:eastAsia="宋体"/>
          <w:color w:val="000000"/>
        </w:rPr>
        <w:br w:type="page" w:clear="all"/>
      </w:r>
      <w:r>
        <w:rPr>
          <w:rFonts w:hint="eastAsia" w:ascii="宋体" w:hAnsi="宋体" w:eastAsia="宋体"/>
          <w:color w:val="000000"/>
        </w:rPr>
        <w:t>第五章合同主要条款及格式</w:t>
      </w:r>
      <w:bookmarkEnd w:id="57"/>
      <w:bookmarkEnd w:id="58"/>
      <w:bookmarkEnd w:id="59"/>
      <w:bookmarkEnd w:id="67"/>
      <w:bookmarkStart w:id="68" w:name="_Toc503948078"/>
      <w:bookmarkStart w:id="69" w:name="_Toc503948585"/>
      <w:r>
        <w:rPr>
          <w:rFonts w:hint="eastAsia" w:ascii="宋体" w:hAnsi="宋体" w:eastAsia="宋体"/>
        </w:rPr>
        <w:br w:type="textWrapping" w:clear="all"/>
      </w:r>
      <w:r>
        <w:rPr>
          <w:rFonts w:hint="eastAsia" w:ascii="宋体" w:hAnsi="宋体" w:eastAsia="宋体"/>
        </w:rPr>
        <w:br w:type="textWrapping" w:clear="all"/>
      </w:r>
    </w:p>
    <w:p w14:paraId="4536D8DF">
      <w:pPr>
        <w:widowControl/>
        <w:shd w:val="clear" w:color="auto" w:fill="FFFFFF"/>
        <w:spacing w:line="276" w:lineRule="auto"/>
        <w:jc w:val="center"/>
        <w:rPr>
          <w:rFonts w:hint="eastAsia" w:ascii="宋体" w:hAnsi="宋体" w:eastAsia="宋体"/>
          <w:sz w:val="52"/>
          <w:szCs w:val="52"/>
        </w:rPr>
      </w:pPr>
    </w:p>
    <w:p w14:paraId="5B87543A">
      <w:pPr>
        <w:widowControl/>
        <w:shd w:val="clear" w:color="auto" w:fill="FFFFFF"/>
        <w:spacing w:line="276" w:lineRule="auto"/>
        <w:jc w:val="center"/>
        <w:rPr>
          <w:rFonts w:hint="eastAsia" w:ascii="宋体" w:hAnsi="宋体" w:eastAsia="宋体"/>
          <w:szCs w:val="21"/>
        </w:rPr>
      </w:pPr>
      <w:r>
        <w:rPr>
          <w:rFonts w:hint="eastAsia" w:ascii="宋体" w:hAnsi="宋体" w:eastAsia="宋体"/>
          <w:sz w:val="52"/>
          <w:szCs w:val="52"/>
        </w:rPr>
        <w:t>南京市政府采购合同</w:t>
      </w:r>
    </w:p>
    <w:p w14:paraId="1A918D8F">
      <w:pPr>
        <w:widowControl/>
        <w:shd w:val="clear" w:color="auto" w:fill="FFFFFF"/>
        <w:spacing w:line="276" w:lineRule="auto"/>
        <w:ind w:firstLine="315"/>
        <w:rPr>
          <w:rFonts w:hint="eastAsia" w:ascii="宋体" w:hAnsi="宋体" w:eastAsia="宋体"/>
          <w:szCs w:val="21"/>
        </w:rPr>
      </w:pPr>
      <w:r>
        <w:rPr>
          <w:rFonts w:ascii="宋体" w:hAnsi="宋体" w:eastAsia="宋体"/>
          <w:b/>
          <w:bCs/>
          <w:sz w:val="32"/>
          <w:szCs w:val="32"/>
        </w:rPr>
        <w:t>           </w:t>
      </w:r>
      <w:r>
        <w:rPr>
          <w:rFonts w:ascii="宋体" w:hAnsi="宋体" w:eastAsia="宋体"/>
          <w:b/>
          <w:bCs/>
          <w:sz w:val="32"/>
          <w:szCs w:val="21"/>
        </w:rPr>
        <w:t> </w:t>
      </w:r>
      <w:r>
        <w:rPr>
          <w:rFonts w:ascii="宋体" w:hAnsi="宋体" w:eastAsia="宋体"/>
          <w:sz w:val="32"/>
          <w:szCs w:val="32"/>
        </w:rPr>
        <w:t> </w:t>
      </w:r>
    </w:p>
    <w:p w14:paraId="3A90699A">
      <w:pPr>
        <w:widowControl/>
        <w:shd w:val="clear" w:color="auto" w:fill="FFFFFF"/>
        <w:spacing w:line="276" w:lineRule="auto"/>
        <w:ind w:firstLine="315"/>
        <w:rPr>
          <w:rFonts w:hint="eastAsia" w:ascii="宋体" w:hAnsi="宋体" w:eastAsia="宋体"/>
          <w:szCs w:val="21"/>
        </w:rPr>
      </w:pPr>
      <w:r>
        <w:rPr>
          <w:rFonts w:ascii="宋体" w:hAnsi="宋体" w:eastAsia="宋体"/>
          <w:sz w:val="32"/>
          <w:szCs w:val="32"/>
        </w:rPr>
        <w:t> </w:t>
      </w:r>
    </w:p>
    <w:p w14:paraId="3D4EB08D">
      <w:pPr>
        <w:widowControl/>
        <w:shd w:val="clear" w:color="auto" w:fill="FFFFFF"/>
        <w:spacing w:line="276" w:lineRule="auto"/>
        <w:ind w:firstLine="315"/>
        <w:rPr>
          <w:rFonts w:hint="eastAsia" w:ascii="宋体" w:hAnsi="宋体" w:eastAsia="宋体"/>
          <w:b/>
          <w:bCs/>
          <w:sz w:val="36"/>
          <w:szCs w:val="36"/>
        </w:rPr>
      </w:pPr>
      <w:r>
        <w:rPr>
          <w:rFonts w:ascii="宋体" w:hAnsi="宋体" w:eastAsia="宋体"/>
          <w:b/>
          <w:bCs/>
          <w:sz w:val="36"/>
          <w:szCs w:val="36"/>
        </w:rPr>
        <w:t> </w:t>
      </w:r>
    </w:p>
    <w:p w14:paraId="1DB5F70B">
      <w:pPr>
        <w:widowControl/>
        <w:shd w:val="clear" w:color="auto" w:fill="FFFFFF"/>
        <w:spacing w:line="276" w:lineRule="auto"/>
        <w:ind w:firstLine="315"/>
        <w:rPr>
          <w:rFonts w:hint="eastAsia" w:ascii="宋体" w:hAnsi="宋体" w:eastAsia="宋体"/>
          <w:szCs w:val="21"/>
        </w:rPr>
      </w:pPr>
    </w:p>
    <w:p w14:paraId="6F0B6FB9">
      <w:pPr>
        <w:widowControl/>
        <w:shd w:val="clear" w:color="auto" w:fill="FFFFFF"/>
        <w:spacing w:line="276" w:lineRule="auto"/>
        <w:ind w:firstLine="315"/>
        <w:rPr>
          <w:rFonts w:hint="eastAsia" w:ascii="宋体" w:hAnsi="宋体" w:eastAsia="宋体"/>
          <w:szCs w:val="21"/>
        </w:rPr>
      </w:pPr>
      <w:r>
        <w:rPr>
          <w:rFonts w:ascii="宋体" w:hAnsi="宋体" w:eastAsia="宋体"/>
          <w:b/>
          <w:bCs/>
          <w:sz w:val="36"/>
          <w:szCs w:val="36"/>
        </w:rPr>
        <w:t> </w:t>
      </w:r>
    </w:p>
    <w:p w14:paraId="27E0D528">
      <w:pPr>
        <w:widowControl/>
        <w:shd w:val="clear" w:color="auto" w:fill="FFFFFF"/>
        <w:spacing w:line="276" w:lineRule="auto"/>
        <w:ind w:firstLine="1918"/>
        <w:rPr>
          <w:rFonts w:hint="eastAsia" w:ascii="宋体" w:hAnsi="宋体" w:eastAsia="宋体"/>
          <w:sz w:val="36"/>
          <w:szCs w:val="36"/>
        </w:rPr>
      </w:pPr>
      <w:r>
        <w:rPr>
          <w:rFonts w:hint="eastAsia" w:ascii="宋体" w:hAnsi="宋体" w:eastAsia="宋体"/>
          <w:b/>
          <w:bCs/>
          <w:sz w:val="36"/>
          <w:szCs w:val="36"/>
        </w:rPr>
        <w:t>项目编号：</w:t>
      </w:r>
      <w:r>
        <w:rPr>
          <w:rFonts w:ascii="宋体" w:hAnsi="宋体" w:eastAsia="宋体"/>
          <w:b/>
          <w:bCs/>
          <w:sz w:val="36"/>
          <w:szCs w:val="36"/>
          <w:u w:val="single"/>
        </w:rPr>
        <w:t>          </w:t>
      </w:r>
    </w:p>
    <w:p w14:paraId="0F3220C8">
      <w:pPr>
        <w:widowControl/>
        <w:shd w:val="clear" w:color="auto" w:fill="FFFFFF"/>
        <w:spacing w:line="276" w:lineRule="auto"/>
        <w:ind w:firstLine="1918"/>
        <w:rPr>
          <w:rFonts w:hint="eastAsia" w:ascii="宋体" w:hAnsi="宋体" w:eastAsia="宋体"/>
          <w:sz w:val="36"/>
          <w:szCs w:val="36"/>
        </w:rPr>
      </w:pPr>
      <w:r>
        <w:rPr>
          <w:rFonts w:hint="eastAsia" w:ascii="宋体" w:hAnsi="宋体" w:eastAsia="宋体"/>
          <w:b/>
          <w:bCs/>
          <w:sz w:val="36"/>
          <w:szCs w:val="36"/>
        </w:rPr>
        <w:t>项目名称：</w:t>
      </w:r>
      <w:r>
        <w:rPr>
          <w:rFonts w:ascii="宋体" w:hAnsi="宋体" w:eastAsia="宋体"/>
          <w:b/>
          <w:bCs/>
          <w:sz w:val="36"/>
          <w:szCs w:val="36"/>
          <w:u w:val="single"/>
        </w:rPr>
        <w:t>          </w:t>
      </w:r>
    </w:p>
    <w:p w14:paraId="015101B0">
      <w:pPr>
        <w:widowControl/>
        <w:shd w:val="clear" w:color="auto" w:fill="FFFFFF"/>
        <w:spacing w:line="276" w:lineRule="auto"/>
        <w:ind w:firstLine="1918"/>
        <w:rPr>
          <w:rFonts w:hint="eastAsia" w:ascii="宋体" w:hAnsi="宋体" w:eastAsia="宋体"/>
          <w:sz w:val="36"/>
          <w:szCs w:val="36"/>
        </w:rPr>
      </w:pPr>
      <w:r>
        <w:rPr>
          <w:rFonts w:hint="eastAsia" w:ascii="宋体" w:hAnsi="宋体" w:eastAsia="宋体"/>
          <w:b/>
          <w:bCs/>
          <w:sz w:val="36"/>
          <w:szCs w:val="36"/>
        </w:rPr>
        <w:t>使用单位：</w:t>
      </w:r>
      <w:r>
        <w:rPr>
          <w:rFonts w:ascii="宋体" w:hAnsi="宋体" w:eastAsia="宋体"/>
          <w:b/>
          <w:bCs/>
          <w:sz w:val="36"/>
          <w:szCs w:val="36"/>
          <w:u w:val="single"/>
        </w:rPr>
        <w:t>          </w:t>
      </w:r>
    </w:p>
    <w:p w14:paraId="7868D84D">
      <w:pPr>
        <w:widowControl/>
        <w:shd w:val="clear" w:color="auto" w:fill="FFFFFF"/>
        <w:spacing w:line="276" w:lineRule="auto"/>
        <w:ind w:firstLine="1916"/>
        <w:rPr>
          <w:rFonts w:hint="eastAsia" w:ascii="宋体" w:hAnsi="宋体" w:eastAsia="宋体"/>
          <w:sz w:val="36"/>
          <w:szCs w:val="36"/>
        </w:rPr>
      </w:pPr>
      <w:r>
        <w:rPr>
          <w:rFonts w:hint="eastAsia" w:ascii="宋体" w:hAnsi="宋体" w:eastAsia="宋体"/>
          <w:b/>
          <w:bCs/>
          <w:sz w:val="36"/>
          <w:szCs w:val="36"/>
        </w:rPr>
        <w:t>服务单位：</w:t>
      </w:r>
      <w:r>
        <w:rPr>
          <w:rFonts w:ascii="宋体" w:hAnsi="宋体" w:eastAsia="宋体"/>
          <w:b/>
          <w:bCs/>
          <w:sz w:val="36"/>
          <w:szCs w:val="36"/>
          <w:u w:val="single"/>
        </w:rPr>
        <w:t>          </w:t>
      </w:r>
    </w:p>
    <w:p w14:paraId="57FE3834">
      <w:pPr>
        <w:widowControl/>
        <w:shd w:val="clear" w:color="auto" w:fill="FFFFFF"/>
        <w:spacing w:line="276" w:lineRule="auto"/>
        <w:ind w:firstLine="1916"/>
        <w:rPr>
          <w:rFonts w:hint="eastAsia" w:ascii="宋体" w:hAnsi="宋体" w:eastAsia="宋体"/>
          <w:sz w:val="36"/>
          <w:szCs w:val="36"/>
        </w:rPr>
      </w:pPr>
      <w:r>
        <w:rPr>
          <w:rFonts w:hint="eastAsia" w:ascii="宋体" w:hAnsi="宋体" w:eastAsia="宋体"/>
          <w:b/>
          <w:bCs/>
          <w:sz w:val="36"/>
          <w:szCs w:val="36"/>
        </w:rPr>
        <w:t>签订日期：</w:t>
      </w:r>
      <w:r>
        <w:rPr>
          <w:rFonts w:ascii="宋体" w:hAnsi="宋体" w:eastAsia="宋体"/>
          <w:b/>
          <w:bCs/>
          <w:sz w:val="36"/>
          <w:szCs w:val="36"/>
          <w:u w:val="single"/>
        </w:rPr>
        <w:t>          </w:t>
      </w:r>
    </w:p>
    <w:p w14:paraId="3682AE70">
      <w:pPr>
        <w:widowControl/>
        <w:shd w:val="clear" w:color="auto" w:fill="FFFFFF"/>
        <w:spacing w:line="276" w:lineRule="auto"/>
        <w:rPr>
          <w:rFonts w:hint="eastAsia" w:ascii="宋体" w:hAnsi="宋体" w:eastAsia="宋体"/>
          <w:szCs w:val="21"/>
        </w:rPr>
      </w:pPr>
      <w:r>
        <w:rPr>
          <w:rFonts w:ascii="宋体" w:hAnsi="宋体" w:eastAsia="宋体"/>
          <w:sz w:val="36"/>
          <w:szCs w:val="36"/>
        </w:rPr>
        <w:t>      </w:t>
      </w:r>
      <w:r>
        <w:rPr>
          <w:rFonts w:ascii="宋体" w:hAnsi="宋体" w:eastAsia="宋体"/>
          <w:b/>
          <w:bCs/>
          <w:sz w:val="36"/>
          <w:szCs w:val="36"/>
        </w:rPr>
        <w:t> </w:t>
      </w:r>
    </w:p>
    <w:p w14:paraId="2C666449">
      <w:pPr>
        <w:widowControl/>
        <w:shd w:val="clear" w:color="auto" w:fill="FFFFFF"/>
        <w:spacing w:line="276" w:lineRule="auto"/>
        <w:ind w:firstLine="2984"/>
        <w:rPr>
          <w:rFonts w:hint="eastAsia" w:ascii="宋体" w:hAnsi="宋体" w:eastAsia="宋体"/>
          <w:szCs w:val="21"/>
        </w:rPr>
      </w:pPr>
      <w:r>
        <w:rPr>
          <w:rFonts w:ascii="宋体" w:hAnsi="宋体" w:eastAsia="宋体"/>
          <w:b/>
          <w:bCs/>
          <w:sz w:val="36"/>
          <w:szCs w:val="36"/>
        </w:rPr>
        <w:t>  </w:t>
      </w:r>
    </w:p>
    <w:p w14:paraId="7D994BB2">
      <w:pPr>
        <w:widowControl/>
        <w:shd w:val="clear" w:color="auto" w:fill="FFFFFF"/>
        <w:spacing w:line="276" w:lineRule="auto"/>
        <w:ind w:firstLine="2984"/>
        <w:rPr>
          <w:rFonts w:hint="eastAsia" w:ascii="宋体" w:hAnsi="宋体" w:eastAsia="宋体"/>
          <w:szCs w:val="21"/>
        </w:rPr>
      </w:pPr>
      <w:r>
        <w:rPr>
          <w:rFonts w:ascii="宋体" w:hAnsi="宋体" w:eastAsia="宋体"/>
          <w:b/>
          <w:bCs/>
          <w:sz w:val="36"/>
          <w:szCs w:val="36"/>
        </w:rPr>
        <w:t> </w:t>
      </w:r>
    </w:p>
    <w:p w14:paraId="1FCC105E">
      <w:pPr>
        <w:widowControl/>
        <w:shd w:val="clear" w:color="auto" w:fill="FFFFFF"/>
        <w:spacing w:line="276" w:lineRule="auto"/>
        <w:ind w:firstLine="2984"/>
        <w:rPr>
          <w:rFonts w:hint="eastAsia" w:ascii="宋体" w:hAnsi="宋体" w:eastAsia="宋体"/>
          <w:szCs w:val="21"/>
        </w:rPr>
      </w:pPr>
    </w:p>
    <w:p w14:paraId="4BD3B126">
      <w:pPr>
        <w:widowControl/>
        <w:spacing w:line="276" w:lineRule="auto"/>
        <w:jc w:val="left"/>
        <w:rPr>
          <w:rFonts w:ascii="宋体" w:hAnsi="宋体" w:eastAsia="宋体" w:cs="宋体"/>
          <w:sz w:val="24"/>
        </w:rPr>
        <w:sectPr>
          <w:pgSz w:w="11906" w:h="16838"/>
          <w:pgMar w:top="1440" w:right="1440" w:bottom="1440" w:left="1440" w:header="851" w:footer="992" w:gutter="0"/>
          <w:cols w:space="720" w:num="1"/>
          <w:docGrid w:linePitch="360" w:charSpace="0"/>
        </w:sectPr>
      </w:pPr>
    </w:p>
    <w:tbl>
      <w:tblPr>
        <w:tblStyle w:val="29"/>
        <w:tblW w:w="0" w:type="auto"/>
        <w:tblInd w:w="108" w:type="dxa"/>
        <w:tblLayout w:type="fixed"/>
        <w:tblCellMar>
          <w:top w:w="0" w:type="dxa"/>
          <w:left w:w="0" w:type="dxa"/>
          <w:bottom w:w="0" w:type="dxa"/>
          <w:right w:w="0" w:type="dxa"/>
        </w:tblCellMar>
      </w:tblPr>
      <w:tblGrid>
        <w:gridCol w:w="4271"/>
        <w:gridCol w:w="4251"/>
      </w:tblGrid>
      <w:tr w14:paraId="610CDE48">
        <w:tblPrEx>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top w:w="0" w:type="dxa"/>
              <w:left w:w="108" w:type="dxa"/>
              <w:bottom w:w="0" w:type="dxa"/>
              <w:right w:w="108" w:type="dxa"/>
            </w:tcMar>
            <w:vAlign w:val="top"/>
          </w:tcPr>
          <w:p w14:paraId="553551D8">
            <w:pPr>
              <w:widowControl/>
              <w:spacing w:line="276" w:lineRule="auto"/>
              <w:jc w:val="left"/>
              <w:rPr>
                <w:rFonts w:hint="eastAsia" w:ascii="宋体" w:hAnsi="宋体" w:eastAsia="宋体"/>
              </w:rPr>
            </w:pPr>
            <w:r>
              <w:rPr>
                <w:rFonts w:hint="eastAsia" w:ascii="宋体" w:hAnsi="宋体" w:eastAsia="宋体"/>
              </w:rPr>
              <w:t>采购人（以下称甲方）：</w:t>
            </w:r>
          </w:p>
        </w:tc>
        <w:tc>
          <w:tcPr>
            <w:tcW w:w="4251" w:type="dxa"/>
            <w:tcBorders>
              <w:top w:val="nil"/>
              <w:left w:val="nil"/>
              <w:bottom w:val="nil"/>
              <w:right w:val="nil"/>
            </w:tcBorders>
            <w:shd w:val="clear" w:color="auto" w:fill="FFFFFF"/>
            <w:noWrap w:val="0"/>
            <w:tcMar>
              <w:top w:w="0" w:type="dxa"/>
              <w:left w:w="108" w:type="dxa"/>
              <w:bottom w:w="0" w:type="dxa"/>
              <w:right w:w="108" w:type="dxa"/>
            </w:tcMar>
            <w:vAlign w:val="top"/>
          </w:tcPr>
          <w:p w14:paraId="77D72632">
            <w:pPr>
              <w:widowControl/>
              <w:spacing w:line="276" w:lineRule="auto"/>
              <w:jc w:val="left"/>
              <w:rPr>
                <w:rFonts w:hint="eastAsia" w:ascii="宋体" w:hAnsi="宋体" w:eastAsia="宋体"/>
              </w:rPr>
            </w:pPr>
            <w:r>
              <w:rPr>
                <w:rFonts w:hint="eastAsia" w:ascii="宋体" w:hAnsi="宋体" w:eastAsia="宋体"/>
              </w:rPr>
              <w:t>供应商：（以下称乙方）</w:t>
            </w:r>
          </w:p>
        </w:tc>
      </w:tr>
      <w:tr w14:paraId="63BC33CC">
        <w:tblPrEx>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top w:w="0" w:type="dxa"/>
              <w:left w:w="108" w:type="dxa"/>
              <w:bottom w:w="0" w:type="dxa"/>
              <w:right w:w="108" w:type="dxa"/>
            </w:tcMar>
            <w:vAlign w:val="top"/>
          </w:tcPr>
          <w:p w14:paraId="4C4BDB65">
            <w:pPr>
              <w:widowControl/>
              <w:spacing w:line="276" w:lineRule="auto"/>
              <w:jc w:val="left"/>
              <w:rPr>
                <w:rFonts w:hint="eastAsia" w:ascii="宋体" w:hAnsi="宋体" w:eastAsia="宋体"/>
              </w:rPr>
            </w:pPr>
            <w:r>
              <w:rPr>
                <w:rFonts w:hint="eastAsia" w:ascii="宋体" w:hAnsi="宋体" w:eastAsia="宋体"/>
              </w:rPr>
              <w:t>住所地：</w:t>
            </w:r>
          </w:p>
        </w:tc>
        <w:tc>
          <w:tcPr>
            <w:tcW w:w="4251" w:type="dxa"/>
            <w:tcBorders>
              <w:top w:val="nil"/>
              <w:left w:val="nil"/>
              <w:bottom w:val="nil"/>
              <w:right w:val="nil"/>
            </w:tcBorders>
            <w:shd w:val="clear" w:color="auto" w:fill="FFFFFF"/>
            <w:noWrap w:val="0"/>
            <w:tcMar>
              <w:top w:w="0" w:type="dxa"/>
              <w:left w:w="108" w:type="dxa"/>
              <w:bottom w:w="0" w:type="dxa"/>
              <w:right w:w="108" w:type="dxa"/>
            </w:tcMar>
            <w:vAlign w:val="top"/>
          </w:tcPr>
          <w:p w14:paraId="00EB6E04">
            <w:pPr>
              <w:widowControl/>
              <w:spacing w:line="276" w:lineRule="auto"/>
              <w:jc w:val="left"/>
              <w:rPr>
                <w:rFonts w:hint="eastAsia" w:ascii="宋体" w:hAnsi="宋体" w:eastAsia="宋体"/>
              </w:rPr>
            </w:pPr>
            <w:r>
              <w:rPr>
                <w:rFonts w:hint="eastAsia" w:ascii="宋体" w:hAnsi="宋体" w:eastAsia="宋体"/>
              </w:rPr>
              <w:t>住所地：</w:t>
            </w:r>
          </w:p>
        </w:tc>
      </w:tr>
    </w:tbl>
    <w:p w14:paraId="0642519B">
      <w:pPr>
        <w:widowControl/>
        <w:shd w:val="clear" w:color="auto" w:fill="FFFFFF"/>
        <w:spacing w:line="276" w:lineRule="auto"/>
        <w:ind w:firstLine="420"/>
        <w:jc w:val="left"/>
        <w:rPr>
          <w:rFonts w:hint="eastAsia" w:ascii="宋体" w:hAnsi="宋体" w:eastAsia="宋体"/>
        </w:rPr>
      </w:pPr>
      <w:r>
        <w:rPr>
          <w:rFonts w:ascii="宋体" w:hAnsi="宋体" w:eastAsia="宋体"/>
        </w:rPr>
        <w:t> </w:t>
      </w:r>
    </w:p>
    <w:p w14:paraId="6232F429">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根据《中华人民共和国政府采购法》、《中华人民共和国民法典》等法律法规的规定，甲乙双方按照</w:t>
      </w:r>
      <w:r>
        <w:rPr>
          <w:rFonts w:hint="eastAsia" w:ascii="宋体" w:hAnsi="宋体" w:eastAsia="宋体"/>
          <w:lang w:eastAsia="zh-CN"/>
        </w:rPr>
        <w:t>南京富弘工程项目管理有限公司</w:t>
      </w:r>
      <w:r>
        <w:rPr>
          <w:rFonts w:hint="eastAsia" w:ascii="宋体" w:hAnsi="宋体" w:eastAsia="宋体"/>
        </w:rPr>
        <w:t>的采购结果签订本合同。</w:t>
      </w:r>
    </w:p>
    <w:p w14:paraId="3DB0E792">
      <w:pPr>
        <w:widowControl/>
        <w:shd w:val="clear" w:color="auto" w:fill="FFFFFF"/>
        <w:spacing w:line="276" w:lineRule="auto"/>
        <w:ind w:firstLine="422"/>
        <w:rPr>
          <w:rFonts w:hint="eastAsia" w:ascii="宋体" w:hAnsi="宋体" w:eastAsia="宋体"/>
        </w:rPr>
      </w:pPr>
      <w:r>
        <w:rPr>
          <w:rFonts w:hint="eastAsia" w:ascii="宋体" w:hAnsi="宋体" w:eastAsia="宋体"/>
          <w:b/>
          <w:bCs/>
        </w:rPr>
        <w:t>第一条合同标的</w:t>
      </w:r>
      <w:r>
        <w:rPr>
          <w:rFonts w:ascii="宋体" w:hAnsi="宋体" w:eastAsia="宋体"/>
        </w:rPr>
        <w:t> </w:t>
      </w:r>
    </w:p>
    <w:p w14:paraId="5254497D">
      <w:pPr>
        <w:widowControl/>
        <w:shd w:val="clear" w:color="auto" w:fill="FFFFFF"/>
        <w:spacing w:line="276" w:lineRule="auto"/>
        <w:ind w:firstLine="422"/>
        <w:rPr>
          <w:rFonts w:hint="eastAsia" w:ascii="宋体" w:hAnsi="宋体" w:eastAsia="宋体"/>
          <w:lang w:eastAsia="zh-CN"/>
        </w:rPr>
      </w:pPr>
      <w:r>
        <w:rPr>
          <w:rFonts w:hint="eastAsia" w:ascii="宋体" w:hAnsi="宋体" w:eastAsia="宋体"/>
        </w:rPr>
        <w:t>乙方根据甲方要求提供下列服务：</w:t>
      </w:r>
    </w:p>
    <w:p w14:paraId="6DA8CB1F">
      <w:pPr>
        <w:widowControl/>
        <w:shd w:val="clear" w:color="auto" w:fill="FFFFFF"/>
        <w:spacing w:line="276" w:lineRule="auto"/>
        <w:ind w:firstLine="422"/>
        <w:rPr>
          <w:rFonts w:hint="eastAsia" w:ascii="宋体" w:hAnsi="宋体" w:eastAsia="宋体"/>
        </w:rPr>
      </w:pPr>
      <w:r>
        <w:rPr>
          <w:rFonts w:hint="eastAsia" w:ascii="宋体" w:hAnsi="宋体" w:eastAsia="宋体"/>
          <w:bCs/>
          <w:color w:val="0000FF"/>
          <w:u w:val="single"/>
          <w:lang w:eastAsia="zh-CN"/>
        </w:rPr>
        <w:t>2026-2028年度“村村亮”路灯管养维护服务项目</w:t>
      </w:r>
      <w:r>
        <w:rPr>
          <w:rFonts w:hint="eastAsia" w:ascii="宋体" w:hAnsi="宋体" w:eastAsia="宋体"/>
        </w:rPr>
        <w:t>，服务内容详见乙方响应性文件等。</w:t>
      </w:r>
    </w:p>
    <w:p w14:paraId="40C1DEEA">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第二条 合同总价款</w:t>
      </w:r>
      <w:r>
        <w:rPr>
          <w:rFonts w:ascii="宋体" w:hAnsi="宋体" w:eastAsia="宋体"/>
        </w:rPr>
        <w:t> </w:t>
      </w:r>
    </w:p>
    <w:p w14:paraId="4A327A21">
      <w:pPr>
        <w:widowControl/>
        <w:shd w:val="clear" w:color="auto" w:fill="FFFFFF"/>
        <w:spacing w:line="360" w:lineRule="auto"/>
        <w:ind w:firstLine="420"/>
        <w:jc w:val="left"/>
        <w:rPr>
          <w:rFonts w:hint="eastAsia" w:ascii="宋体" w:hAnsi="宋体" w:eastAsia="宋体"/>
        </w:rPr>
      </w:pPr>
      <w:r>
        <w:rPr>
          <w:rFonts w:hint="eastAsia" w:ascii="宋体" w:hAnsi="宋体" w:eastAsia="宋体"/>
        </w:rPr>
        <w:t>本合同项下服务总价款为</w:t>
      </w:r>
      <w:r>
        <w:rPr>
          <w:rFonts w:hint="eastAsia" w:ascii="宋体" w:hAnsi="宋体" w:eastAsia="宋体"/>
          <w:u w:val="none"/>
        </w:rPr>
        <w:t>___________</w:t>
      </w:r>
      <w:r>
        <w:rPr>
          <w:rFonts w:hint="eastAsia" w:ascii="宋体" w:hAnsi="宋体" w:eastAsia="宋体"/>
        </w:rPr>
        <w:t>（大写）人民币（后期结算时以实际完成工作量为准。）</w:t>
      </w:r>
    </w:p>
    <w:p w14:paraId="2852CB9E">
      <w:pPr>
        <w:widowControl/>
        <w:shd w:val="clear" w:color="auto" w:fill="FFFFFF"/>
        <w:spacing w:line="276" w:lineRule="auto"/>
        <w:ind w:firstLine="413"/>
        <w:rPr>
          <w:rFonts w:hint="eastAsia" w:ascii="宋体" w:hAnsi="宋体" w:eastAsia="宋体"/>
        </w:rPr>
      </w:pPr>
      <w:r>
        <w:rPr>
          <w:rFonts w:hint="eastAsia" w:ascii="宋体" w:hAnsi="宋体" w:eastAsia="宋体"/>
          <w:b/>
          <w:bCs/>
        </w:rPr>
        <w:t>第三条</w:t>
      </w:r>
      <w:r>
        <w:rPr>
          <w:rFonts w:ascii="宋体" w:hAnsi="宋体" w:eastAsia="宋体"/>
          <w:b/>
          <w:bCs/>
        </w:rPr>
        <w:t> </w:t>
      </w:r>
      <w:r>
        <w:rPr>
          <w:rFonts w:hint="eastAsia" w:ascii="宋体" w:hAnsi="宋体" w:eastAsia="宋体"/>
          <w:b/>
          <w:bCs/>
        </w:rPr>
        <w:t>组成本合同的有关文件</w:t>
      </w:r>
      <w:r>
        <w:rPr>
          <w:rFonts w:ascii="宋体" w:hAnsi="宋体" w:eastAsia="宋体"/>
        </w:rPr>
        <w:t>  </w:t>
      </w:r>
    </w:p>
    <w:p w14:paraId="7B533673">
      <w:pPr>
        <w:widowControl/>
        <w:shd w:val="clear" w:color="auto" w:fill="FFFFFF"/>
        <w:spacing w:line="276" w:lineRule="auto"/>
        <w:ind w:firstLine="412"/>
        <w:rPr>
          <w:rFonts w:hint="eastAsia" w:ascii="宋体" w:hAnsi="宋体" w:eastAsia="宋体"/>
        </w:rPr>
      </w:pPr>
      <w:r>
        <w:rPr>
          <w:rFonts w:hint="eastAsia" w:ascii="宋体" w:hAnsi="宋体" w:eastAsia="宋体"/>
        </w:rPr>
        <w:t>甲方采购文件、乙方响应文件和有关附件是本合同不可分割的组成部分，与本合同具有同等法律效力。</w:t>
      </w:r>
    </w:p>
    <w:p w14:paraId="5300BEBA">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第四条</w:t>
      </w:r>
      <w:r>
        <w:rPr>
          <w:rFonts w:ascii="宋体" w:hAnsi="宋体" w:eastAsia="宋体"/>
          <w:b/>
          <w:bCs/>
        </w:rPr>
        <w:t> </w:t>
      </w:r>
      <w:r>
        <w:rPr>
          <w:rFonts w:hint="eastAsia" w:ascii="宋体" w:hAnsi="宋体" w:eastAsia="宋体"/>
          <w:b/>
          <w:bCs/>
        </w:rPr>
        <w:t>权利保证</w:t>
      </w:r>
    </w:p>
    <w:p w14:paraId="7FE770F8">
      <w:pPr>
        <w:widowControl/>
        <w:shd w:val="clear" w:color="auto" w:fill="FFFFFF"/>
        <w:spacing w:line="276" w:lineRule="auto"/>
        <w:ind w:firstLine="420"/>
        <w:jc w:val="left"/>
        <w:rPr>
          <w:rFonts w:ascii="宋体" w:hAnsi="宋体" w:eastAsia="宋体"/>
        </w:rPr>
      </w:pPr>
      <w:r>
        <w:rPr>
          <w:rFonts w:hint="eastAsia" w:ascii="宋体" w:hAnsi="宋体" w:eastAsia="宋体"/>
        </w:rPr>
        <w:t>乙方应保证为甲方提供货物和服务任何一部分时不受第三方提出侵犯其专利权、版权、商标权或其他权利的起诉。一旦出现侵权，乙方应承担全部责任。</w:t>
      </w:r>
    </w:p>
    <w:p w14:paraId="76BAE440">
      <w:pPr>
        <w:spacing w:line="276" w:lineRule="auto"/>
        <w:ind w:firstLine="420"/>
        <w:jc w:val="left"/>
        <w:rPr>
          <w:rFonts w:hint="eastAsia" w:ascii="宋体" w:hAnsi="宋体" w:eastAsia="宋体" w:cs="宋体"/>
          <w:szCs w:val="21"/>
        </w:rPr>
      </w:pPr>
      <w:r>
        <w:rPr>
          <w:rFonts w:hint="eastAsia" w:ascii="宋体" w:hAnsi="宋体" w:eastAsia="宋体" w:cs="宋体"/>
          <w:szCs w:val="21"/>
        </w:rPr>
        <w:t>合同期内除国家政策性调整外，其他一律不予调整。</w:t>
      </w:r>
    </w:p>
    <w:p w14:paraId="39C32DCC">
      <w:pPr>
        <w:widowControl/>
        <w:shd w:val="clear" w:color="auto" w:fill="FFFFFF"/>
        <w:spacing w:line="276" w:lineRule="auto"/>
        <w:ind w:firstLine="420"/>
        <w:jc w:val="left"/>
        <w:rPr>
          <w:rFonts w:hint="eastAsia" w:ascii="宋体" w:hAnsi="宋体" w:eastAsia="宋体"/>
          <w:b/>
          <w:bCs/>
        </w:rPr>
      </w:pPr>
      <w:r>
        <w:rPr>
          <w:rFonts w:hint="eastAsia" w:ascii="宋体" w:hAnsi="宋体" w:eastAsia="宋体"/>
          <w:b/>
          <w:bCs/>
        </w:rPr>
        <w:t>第五条</w:t>
      </w:r>
      <w:r>
        <w:rPr>
          <w:rFonts w:ascii="宋体" w:hAnsi="宋体" w:eastAsia="宋体"/>
          <w:b/>
          <w:bCs/>
        </w:rPr>
        <w:t> </w:t>
      </w:r>
      <w:r>
        <w:rPr>
          <w:rFonts w:hint="eastAsia" w:ascii="宋体" w:hAnsi="宋体" w:eastAsia="宋体"/>
          <w:b/>
          <w:bCs/>
        </w:rPr>
        <w:t>质量保证</w:t>
      </w:r>
    </w:p>
    <w:p w14:paraId="1A540561">
      <w:pPr>
        <w:widowControl/>
        <w:spacing w:before="161" w:after="161" w:line="360" w:lineRule="auto"/>
        <w:ind w:firstLine="420"/>
        <w:outlineLvl w:val="1"/>
        <w:rPr>
          <w:rFonts w:hint="eastAsia" w:ascii="宋体" w:hAnsi="宋体" w:eastAsia="宋体" w:cs="Arial"/>
          <w:szCs w:val="21"/>
        </w:rPr>
      </w:pPr>
      <w:r>
        <w:rPr>
          <w:rFonts w:hint="eastAsia" w:ascii="宋体" w:hAnsi="宋体" w:eastAsia="宋体" w:cs="Arial"/>
          <w:szCs w:val="21"/>
        </w:rPr>
        <w:t>维修养护服务要求：</w:t>
      </w:r>
    </w:p>
    <w:p w14:paraId="160B165B">
      <w:pPr>
        <w:spacing w:line="360" w:lineRule="auto"/>
        <w:ind w:firstLine="420"/>
        <w:rPr>
          <w:rFonts w:hint="eastAsia" w:ascii="宋体" w:hAnsi="宋体" w:eastAsia="宋体" w:cs="Arial"/>
          <w:szCs w:val="21"/>
        </w:rPr>
      </w:pPr>
      <w:r>
        <w:rPr>
          <w:rFonts w:hint="eastAsia" w:ascii="宋体" w:hAnsi="宋体" w:eastAsia="宋体" w:cs="Arial"/>
          <w:szCs w:val="21"/>
        </w:rPr>
        <w:t>1、按照国家现行的标准、规范和规程进行维修养护，根据采购人及其相关行业的要求，对维修养护质量负责。</w:t>
      </w:r>
    </w:p>
    <w:p w14:paraId="3E430F4D">
      <w:pPr>
        <w:spacing w:line="360" w:lineRule="auto"/>
        <w:ind w:firstLine="420"/>
        <w:rPr>
          <w:rFonts w:hint="eastAsia" w:ascii="宋体" w:hAnsi="宋体" w:eastAsia="宋体" w:cs="Arial"/>
          <w:szCs w:val="21"/>
        </w:rPr>
      </w:pPr>
      <w:r>
        <w:rPr>
          <w:rFonts w:hint="eastAsia" w:ascii="宋体" w:hAnsi="宋体" w:eastAsia="宋体" w:cs="Arial"/>
          <w:szCs w:val="21"/>
        </w:rPr>
        <w:t>2、接受采购人的指导、管理、监督。</w:t>
      </w:r>
    </w:p>
    <w:p w14:paraId="13DE9E8A">
      <w:pPr>
        <w:spacing w:line="360" w:lineRule="auto"/>
        <w:ind w:firstLine="420"/>
        <w:rPr>
          <w:rFonts w:hint="eastAsia" w:ascii="宋体" w:hAnsi="宋体" w:eastAsia="宋体" w:cs="Arial"/>
          <w:szCs w:val="21"/>
        </w:rPr>
      </w:pPr>
      <w:r>
        <w:rPr>
          <w:rFonts w:hint="eastAsia" w:ascii="宋体" w:hAnsi="宋体" w:eastAsia="宋体" w:cs="Arial"/>
          <w:szCs w:val="21"/>
        </w:rPr>
        <w:t>3、维护养护使用的灯杆、灯具、控制箱、电缆、电源线等材料不低于原设备（或清单内参考品牌）的技术标准，并必须符合国家有关技术标准，应采用国家绿色照明产品。维护管养企业的养护方案中，需提交路灯维修管养材料清单明细表（明确材料的产品规格及品牌等资料，材料必须国家标准）。</w:t>
      </w:r>
    </w:p>
    <w:p w14:paraId="10D68F2F">
      <w:pPr>
        <w:spacing w:line="360" w:lineRule="auto"/>
        <w:ind w:firstLine="420"/>
        <w:rPr>
          <w:rFonts w:hint="eastAsia" w:ascii="宋体" w:hAnsi="宋体" w:eastAsia="宋体" w:cs="Arial"/>
          <w:szCs w:val="21"/>
        </w:rPr>
      </w:pPr>
      <w:r>
        <w:rPr>
          <w:rFonts w:hint="eastAsia" w:ascii="宋体" w:hAnsi="宋体" w:eastAsia="宋体" w:cs="Arial"/>
          <w:szCs w:val="21"/>
        </w:rPr>
        <w:t>4、确保管辖范围内路灯、信号灯亮灯率达到99%，主干道亮灯率达到100%，路灯、信号灯设施设备等完好率达到100%，如省、市、区政府政策另有要求的，必须按照省、市、区政府政策要求执行。</w:t>
      </w:r>
    </w:p>
    <w:p w14:paraId="00C67ADD">
      <w:pPr>
        <w:spacing w:line="360" w:lineRule="auto"/>
        <w:ind w:firstLine="420"/>
        <w:rPr>
          <w:rFonts w:hint="eastAsia" w:ascii="宋体" w:hAnsi="宋体" w:eastAsia="宋体" w:cs="Arial"/>
          <w:szCs w:val="21"/>
        </w:rPr>
      </w:pPr>
      <w:r>
        <w:rPr>
          <w:rFonts w:hint="eastAsia" w:ascii="宋体" w:hAnsi="宋体" w:eastAsia="宋体" w:cs="Arial"/>
          <w:szCs w:val="21"/>
        </w:rPr>
        <w:t>5、维修管养单位必须有完善的交通安全教育、生产安全管理、应急事故处理管理、现场施工管理、考核及奖惩、岗位职责、文档管理等管理制度。</w:t>
      </w:r>
    </w:p>
    <w:p w14:paraId="09340F85">
      <w:pPr>
        <w:spacing w:line="360" w:lineRule="auto"/>
        <w:ind w:firstLine="420"/>
        <w:rPr>
          <w:rFonts w:hint="eastAsia" w:ascii="宋体" w:hAnsi="宋体" w:eastAsia="宋体" w:cs="Arial"/>
          <w:szCs w:val="21"/>
        </w:rPr>
      </w:pPr>
      <w:r>
        <w:rPr>
          <w:rFonts w:hint="eastAsia" w:ascii="宋体" w:hAnsi="宋体" w:eastAsia="宋体" w:cs="Arial"/>
          <w:szCs w:val="21"/>
        </w:rPr>
        <w:t>6、应设立24小时值班的路灯故障抢修电话，在接到报障后，从报障时计120分钟内安排专业人员上门抢修现场。</w:t>
      </w:r>
    </w:p>
    <w:p w14:paraId="312B8EB8">
      <w:pPr>
        <w:spacing w:line="360" w:lineRule="auto"/>
        <w:ind w:firstLine="420"/>
        <w:rPr>
          <w:rFonts w:hint="eastAsia" w:ascii="宋体" w:hAnsi="宋体" w:eastAsia="宋体" w:cs="Arial"/>
          <w:szCs w:val="21"/>
        </w:rPr>
      </w:pPr>
      <w:r>
        <w:rPr>
          <w:rFonts w:hint="eastAsia" w:ascii="宋体" w:hAnsi="宋体" w:eastAsia="宋体" w:cs="Arial"/>
          <w:szCs w:val="21"/>
        </w:rPr>
        <w:t>7、养护期间，维修养护单位必须按国家有关安全条例的规定对各种作业采取有效的安全保障措施，确保人员、器械、设施安全，任何由维修养护单位引起的纠纷、伤亡或损毁等事故概由维修养护单位负责解决及承担相关民事或法律责任。</w:t>
      </w:r>
    </w:p>
    <w:p w14:paraId="48190B35">
      <w:pPr>
        <w:spacing w:line="360" w:lineRule="auto"/>
        <w:ind w:firstLine="420"/>
        <w:rPr>
          <w:rFonts w:hint="eastAsia" w:ascii="宋体" w:hAnsi="宋体" w:eastAsia="宋体" w:cs="Arial"/>
          <w:szCs w:val="21"/>
        </w:rPr>
      </w:pPr>
      <w:r>
        <w:rPr>
          <w:rFonts w:hint="eastAsia" w:ascii="宋体" w:hAnsi="宋体" w:eastAsia="宋体" w:cs="Arial"/>
          <w:szCs w:val="21"/>
        </w:rPr>
        <w:t>8、维修养护单位应做好日常维护，保养记录的统计汇总，每月上报采购人备案。</w:t>
      </w:r>
    </w:p>
    <w:p w14:paraId="15F31C2D">
      <w:pPr>
        <w:spacing w:line="360" w:lineRule="auto"/>
        <w:ind w:firstLine="420"/>
        <w:rPr>
          <w:rFonts w:hint="eastAsia" w:ascii="宋体" w:hAnsi="宋体" w:eastAsia="宋体" w:cs="Arial"/>
          <w:szCs w:val="21"/>
        </w:rPr>
      </w:pPr>
      <w:r>
        <w:rPr>
          <w:rFonts w:hint="eastAsia" w:ascii="宋体" w:hAnsi="宋体" w:eastAsia="宋体" w:cs="Arial"/>
          <w:szCs w:val="21"/>
        </w:rPr>
        <w:t>9、维修养护单位接管后，必须在1个月内对管辖范围内的路灯的灯杆、灯具、线路、控制箱、控制设备进行安全排查。移交前的路灯故障维修完毕后，如果日后出现漏电事故等安全责任由维修养护单位负全部责任。在1个月内经双方确定的路灯故障以外的故障，则由维修养护单位自行修复。</w:t>
      </w:r>
    </w:p>
    <w:p w14:paraId="0C267D2B">
      <w:pPr>
        <w:spacing w:line="360" w:lineRule="auto"/>
        <w:ind w:firstLine="420"/>
        <w:rPr>
          <w:rFonts w:hint="eastAsia" w:ascii="宋体" w:hAnsi="宋体" w:eastAsia="宋体" w:cs="Arial"/>
          <w:szCs w:val="21"/>
        </w:rPr>
      </w:pPr>
      <w:r>
        <w:rPr>
          <w:rFonts w:hint="eastAsia" w:ascii="宋体" w:hAnsi="宋体" w:eastAsia="宋体" w:cs="Arial"/>
          <w:szCs w:val="21"/>
        </w:rPr>
        <w:t>10、在维修养护期间，发现线路故障需开挖时，维修养护单位必须经采购人及有关方面审批同意后方可进行开挖作业，施工完成后由维护单位负责原貌恢复。作业中如发生管线遭破坏，维修养护单位应承担一切损失和赔偿责任。</w:t>
      </w:r>
    </w:p>
    <w:p w14:paraId="0F0AD421">
      <w:pPr>
        <w:spacing w:line="360" w:lineRule="auto"/>
        <w:ind w:firstLine="420"/>
        <w:rPr>
          <w:rFonts w:hint="eastAsia" w:ascii="宋体" w:hAnsi="宋体" w:eastAsia="宋体" w:cs="Arial"/>
          <w:szCs w:val="21"/>
        </w:rPr>
      </w:pPr>
      <w:r>
        <w:rPr>
          <w:rFonts w:hint="eastAsia" w:ascii="宋体" w:hAnsi="宋体" w:eastAsia="宋体" w:cs="Arial"/>
          <w:szCs w:val="21"/>
        </w:rPr>
        <w:t>11、在维修养护期间，维修养护单位必须制定可靠的措施，对所维护的路灯及线路进行全面有效的保护，避免各种因素的破坏（如人为破坏、被盗、线路故障等），确保路灯及线路正常运行。如出现灯光、灯具、灯杆等问题，维修养护单位在接到群众投诉或采购人通知后，12小时内更换和修复，控制箱按国家供电部门有关技术要求进行维护、年检等，并确保合格（包括采购人组织的检查）。否则，采购人可不经维修养护单位同意直接委托其他单位进行处理，所需一切费用由维修养护单位承担，在每月的养护费中扣除，并且采购人将给予10000-50000元的经济处罚。</w:t>
      </w:r>
    </w:p>
    <w:p w14:paraId="36BF6E3F">
      <w:pPr>
        <w:spacing w:line="360" w:lineRule="auto"/>
        <w:ind w:firstLine="420"/>
        <w:rPr>
          <w:rFonts w:hint="eastAsia" w:ascii="宋体" w:hAnsi="宋体" w:eastAsia="宋体" w:cs="Arial"/>
          <w:szCs w:val="21"/>
        </w:rPr>
      </w:pPr>
      <w:r>
        <w:rPr>
          <w:rFonts w:hint="eastAsia" w:ascii="宋体" w:hAnsi="宋体" w:eastAsia="宋体" w:cs="Arial"/>
          <w:szCs w:val="21"/>
        </w:rPr>
        <w:t>12、在不可抗力的自然灾害下，造成承包范围内的路灯杆、灯具、线路等损坏时，维修养护单位必须及时修复，并可按实际修复情况，向采购人申请维修费用，但须符合采购人的费用申请流程和结算办法。如果是施工、被盗、交通事故等造成的灯杆、灯具、线路、控制箱等设施不能正常运行维修养护单位必须及时修复，并自行承担相关费用。</w:t>
      </w:r>
    </w:p>
    <w:p w14:paraId="555D2236">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第六条</w:t>
      </w:r>
      <w:r>
        <w:rPr>
          <w:rFonts w:ascii="宋体" w:hAnsi="宋体" w:eastAsia="宋体"/>
          <w:b/>
          <w:bCs/>
        </w:rPr>
        <w:t> </w:t>
      </w:r>
      <w:r>
        <w:rPr>
          <w:rFonts w:hint="eastAsia" w:ascii="宋体" w:hAnsi="宋体" w:eastAsia="宋体"/>
          <w:b/>
          <w:bCs/>
        </w:rPr>
        <w:t>交付使用和验收</w:t>
      </w:r>
    </w:p>
    <w:p w14:paraId="35ECF4D3">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1、乙方应当在合同签订后天内完成采购文件规定的项目并交付甲方使用。采购文件有约定的，从其约定。</w:t>
      </w:r>
    </w:p>
    <w:p w14:paraId="2470736C">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2、甲方自行组织或视情邀请相关专家或国家认可的质量检测机构参加验收，乙方提供的服务不符合采购文件和合同规定的，甲方有权拒收，并承担验收费用等。</w:t>
      </w:r>
    </w:p>
    <w:p w14:paraId="33883D6E">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第七条</w:t>
      </w:r>
      <w:r>
        <w:rPr>
          <w:rFonts w:ascii="宋体" w:hAnsi="宋体" w:eastAsia="宋体"/>
          <w:b/>
          <w:bCs/>
        </w:rPr>
        <w:t> </w:t>
      </w:r>
      <w:r>
        <w:rPr>
          <w:rFonts w:hint="eastAsia" w:ascii="宋体" w:hAnsi="宋体" w:eastAsia="宋体"/>
          <w:b/>
          <w:bCs/>
        </w:rPr>
        <w:t>合同款支付</w:t>
      </w:r>
    </w:p>
    <w:p w14:paraId="49051A84">
      <w:pPr>
        <w:spacing w:line="360" w:lineRule="auto"/>
        <w:ind w:firstLine="420"/>
        <w:rPr>
          <w:rFonts w:hint="eastAsia" w:ascii="宋体" w:hAnsi="宋体" w:eastAsia="宋体"/>
          <w:szCs w:val="21"/>
        </w:rPr>
      </w:pPr>
      <w:r>
        <w:rPr>
          <w:rFonts w:hint="eastAsia" w:ascii="宋体" w:hAnsi="宋体" w:eastAsia="宋体"/>
          <w:szCs w:val="21"/>
        </w:rPr>
        <w:t>1、本合同项下所有款项均以人民币支付，后期结算时以实际完成工作量，</w:t>
      </w:r>
      <w:r>
        <w:rPr>
          <w:rFonts w:hint="eastAsia" w:ascii="宋体" w:hAnsi="宋体" w:eastAsia="宋体"/>
        </w:rPr>
        <w:t>结算金额=中标价格-考核扣款。</w:t>
      </w:r>
    </w:p>
    <w:p w14:paraId="2D7D02CC">
      <w:pPr>
        <w:widowControl/>
        <w:shd w:val="clear" w:color="auto" w:fill="FFFFFF"/>
        <w:spacing w:line="360" w:lineRule="auto"/>
        <w:ind w:firstLine="420"/>
        <w:jc w:val="left"/>
        <w:rPr>
          <w:rFonts w:hint="eastAsia" w:ascii="宋体" w:hAnsi="宋体" w:eastAsia="宋体"/>
        </w:rPr>
      </w:pPr>
      <w:r>
        <w:rPr>
          <w:rFonts w:hint="eastAsia" w:ascii="宋体" w:hAnsi="宋体" w:eastAsia="宋体"/>
        </w:rPr>
        <w:t>2、本合同项下的采购资金由甲方自行支付，乙方向甲方开具发票。</w:t>
      </w:r>
    </w:p>
    <w:p w14:paraId="2BDB6AD3">
      <w:pPr>
        <w:widowControl/>
        <w:shd w:val="clear" w:color="auto" w:fill="FFFFFF"/>
        <w:spacing w:line="360" w:lineRule="auto"/>
        <w:ind w:firstLine="420"/>
        <w:jc w:val="left"/>
        <w:rPr>
          <w:rFonts w:hint="eastAsia" w:ascii="宋体" w:hAnsi="宋体" w:eastAsia="宋体"/>
          <w:highlight w:val="yellow"/>
        </w:rPr>
      </w:pPr>
      <w:r>
        <w:rPr>
          <w:rFonts w:hint="eastAsia" w:ascii="宋体" w:hAnsi="宋体" w:eastAsia="宋体"/>
          <w:highlight w:val="yellow"/>
        </w:rPr>
        <w:t>3、付款方式：</w:t>
      </w:r>
    </w:p>
    <w:p w14:paraId="1D637767">
      <w:pPr>
        <w:widowControl/>
        <w:shd w:val="clear" w:color="auto" w:fill="FFFFFF"/>
        <w:spacing w:line="276" w:lineRule="auto"/>
        <w:ind w:firstLine="420"/>
        <w:jc w:val="left"/>
        <w:rPr>
          <w:rFonts w:hint="eastAsia" w:ascii="宋体" w:hAnsi="宋体" w:eastAsia="宋体" w:cs="Arial"/>
          <w:szCs w:val="21"/>
          <w:highlight w:val="yellow"/>
        </w:rPr>
      </w:pPr>
      <w:r>
        <w:rPr>
          <w:rFonts w:hint="eastAsia" w:ascii="宋体" w:hAnsi="宋体" w:eastAsia="宋体" w:cs="Arial"/>
          <w:szCs w:val="21"/>
          <w:highlight w:val="yellow"/>
        </w:rPr>
        <w:t>预付款：甲方凭乙方开具的等额合规发票，支付合同总金额的10%作为预付款。</w:t>
      </w:r>
    </w:p>
    <w:p w14:paraId="508A4176">
      <w:pPr>
        <w:widowControl/>
        <w:shd w:val="clear" w:color="auto" w:fill="FFFFFF"/>
        <w:spacing w:line="276" w:lineRule="auto"/>
        <w:ind w:firstLine="420"/>
        <w:jc w:val="left"/>
        <w:rPr>
          <w:rFonts w:hint="eastAsia" w:ascii="宋体" w:hAnsi="宋体" w:eastAsia="宋体" w:cs="Arial"/>
          <w:szCs w:val="21"/>
          <w:highlight w:val="yellow"/>
        </w:rPr>
      </w:pPr>
      <w:r>
        <w:rPr>
          <w:rFonts w:hint="eastAsia" w:ascii="宋体" w:hAnsi="宋体" w:eastAsia="宋体" w:cs="Arial"/>
          <w:szCs w:val="21"/>
          <w:highlight w:val="yellow"/>
        </w:rPr>
        <w:t>乙方完成全部服务并经甲方验收合格后，双方委托第三方审计机构完成结算审计。审计报告出具且双方无异议后 ，甲方扣除预付款后付清剩余款项。</w:t>
      </w:r>
    </w:p>
    <w:p w14:paraId="7432E4BF">
      <w:pPr>
        <w:widowControl/>
        <w:shd w:val="clear" w:color="auto" w:fill="FFFFFF"/>
        <w:spacing w:line="276" w:lineRule="auto"/>
        <w:ind w:firstLine="420"/>
        <w:jc w:val="left"/>
        <w:rPr>
          <w:rFonts w:ascii="宋体" w:hAnsi="宋体" w:eastAsia="宋体"/>
        </w:rPr>
      </w:pPr>
      <w:r>
        <w:rPr>
          <w:rFonts w:hint="eastAsia" w:ascii="宋体" w:hAnsi="宋体" w:eastAsia="宋体"/>
          <w:b/>
          <w:bCs/>
        </w:rPr>
        <w:t>第八条</w:t>
      </w:r>
      <w:r>
        <w:rPr>
          <w:rFonts w:ascii="宋体" w:hAnsi="宋体" w:eastAsia="宋体"/>
          <w:b/>
          <w:bCs/>
        </w:rPr>
        <w:t> </w:t>
      </w:r>
      <w:r>
        <w:rPr>
          <w:rFonts w:hint="eastAsia" w:ascii="宋体" w:hAnsi="宋体" w:eastAsia="宋体"/>
          <w:b/>
          <w:bCs/>
        </w:rPr>
        <w:t>违约责任</w:t>
      </w:r>
      <w:r>
        <w:rPr>
          <w:rFonts w:ascii="宋体" w:hAnsi="宋体" w:eastAsia="宋体"/>
          <w:b/>
          <w:bCs/>
        </w:rPr>
        <w:t>  </w:t>
      </w:r>
    </w:p>
    <w:p w14:paraId="50030A02">
      <w:pPr>
        <w:widowControl/>
        <w:shd w:val="clear" w:color="auto" w:fill="FFFFFF"/>
        <w:spacing w:line="360" w:lineRule="auto"/>
        <w:ind w:firstLine="420"/>
        <w:jc w:val="left"/>
        <w:rPr>
          <w:rFonts w:hint="eastAsia" w:ascii="宋体" w:hAnsi="宋体" w:eastAsia="宋体"/>
        </w:rPr>
      </w:pPr>
      <w:r>
        <w:rPr>
          <w:rFonts w:hint="eastAsia" w:ascii="宋体" w:hAnsi="宋体" w:eastAsia="宋体"/>
        </w:rPr>
        <w:t>1.乙方逾期交付的，每逾期1天，甲方可按应付合同费用的万分之三向乙方减付。延误超过30天的，甲方有权解除合同，乙方应向甲方返还该阶段已收合同费用。乙方逾期交付的，今后参加政府采购信誉将受到影响。</w:t>
      </w:r>
      <w:r>
        <w:rPr>
          <w:rFonts w:hint="eastAsia" w:ascii="宋体" w:hAnsi="宋体" w:eastAsia="宋体" w:cs="Arial"/>
          <w:szCs w:val="21"/>
        </w:rPr>
        <w:t>项目验收合格</w:t>
      </w:r>
      <w:r>
        <w:rPr>
          <w:rFonts w:hint="eastAsia" w:ascii="宋体" w:hAnsi="宋体" w:eastAsia="宋体"/>
        </w:rPr>
        <w:t>后，应协助甲方根据审计结果负责不超出本合同约定的服务内容范围内的必要调整补充，乙方不再就上述工作向甲方收取任何费用。</w:t>
      </w:r>
    </w:p>
    <w:p w14:paraId="76E4192A">
      <w:pPr>
        <w:widowControl/>
        <w:shd w:val="clear" w:color="auto" w:fill="FFFFFF"/>
        <w:spacing w:line="360" w:lineRule="auto"/>
        <w:ind w:firstLine="420"/>
        <w:jc w:val="left"/>
        <w:rPr>
          <w:rFonts w:hint="eastAsia" w:ascii="宋体" w:hAnsi="宋体" w:eastAsia="宋体"/>
        </w:rPr>
      </w:pPr>
      <w:r>
        <w:rPr>
          <w:rFonts w:hint="eastAsia" w:ascii="宋体" w:hAnsi="宋体" w:eastAsia="宋体"/>
        </w:rPr>
        <w:t>2.乙方在承担违约责任后，仍应继续履行合同规定的义务（甲方解除合同的除外）。甲方未能及时追究乙方的任何一项违约责任并不表明甲方放弃追究乙方该项或其他违约责任。</w:t>
      </w:r>
    </w:p>
    <w:p w14:paraId="1D323DA4">
      <w:pPr>
        <w:widowControl/>
        <w:shd w:val="clear" w:color="auto" w:fill="FFFFFF"/>
        <w:spacing w:line="360" w:lineRule="auto"/>
        <w:ind w:firstLine="420"/>
        <w:jc w:val="left"/>
        <w:rPr>
          <w:rFonts w:hint="eastAsia" w:ascii="宋体" w:hAnsi="宋体" w:eastAsia="宋体"/>
        </w:rPr>
      </w:pPr>
      <w:r>
        <w:rPr>
          <w:rFonts w:hint="eastAsia" w:ascii="宋体" w:hAnsi="宋体" w:eastAsia="宋体"/>
        </w:rPr>
        <w:t>3.乙方虚假承诺，或经权威部门检测提供的货物和服务不能满足采购文件要求，或是由于乙方的过错造成合同无法继续履行的，还应向甲方支付不少于合同总价30%赔偿金。</w:t>
      </w:r>
    </w:p>
    <w:p w14:paraId="55B3AD47">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第九条</w:t>
      </w:r>
      <w:r>
        <w:rPr>
          <w:rFonts w:ascii="宋体" w:hAnsi="宋体" w:eastAsia="宋体"/>
          <w:b/>
          <w:bCs/>
        </w:rPr>
        <w:t> </w:t>
      </w:r>
      <w:r>
        <w:rPr>
          <w:rFonts w:hint="eastAsia" w:ascii="宋体" w:hAnsi="宋体" w:eastAsia="宋体"/>
          <w:b/>
          <w:bCs/>
        </w:rPr>
        <w:t>合同的变更和终止</w:t>
      </w:r>
    </w:p>
    <w:p w14:paraId="0464026C">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1、除《政府采购法》第50条第二款规定的情形外，本合同一经签订，甲乙双方不得擅自变更、中止或终止合同。</w:t>
      </w:r>
    </w:p>
    <w:p w14:paraId="76DA3820">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2、除发生法律规定的不能预见、不能避免并不能克服的客观情况外，甲乙双方不得放弃或拒绝履行合同。</w:t>
      </w:r>
    </w:p>
    <w:p w14:paraId="47A7A87B">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第十条</w:t>
      </w:r>
      <w:r>
        <w:rPr>
          <w:rFonts w:ascii="宋体" w:hAnsi="宋体" w:eastAsia="宋体"/>
          <w:b/>
          <w:bCs/>
        </w:rPr>
        <w:t> </w:t>
      </w:r>
      <w:r>
        <w:rPr>
          <w:rFonts w:hint="eastAsia" w:ascii="宋体" w:hAnsi="宋体" w:eastAsia="宋体"/>
          <w:b/>
          <w:bCs/>
        </w:rPr>
        <w:t>合同的转让</w:t>
      </w:r>
    </w:p>
    <w:p w14:paraId="5D39BCD2">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乙方不得擅自部分或全部转让其应履行的合同义务。</w:t>
      </w:r>
    </w:p>
    <w:p w14:paraId="73F498B6">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第十一条</w:t>
      </w:r>
      <w:r>
        <w:rPr>
          <w:rFonts w:ascii="宋体" w:hAnsi="宋体" w:eastAsia="宋体"/>
          <w:b/>
          <w:bCs/>
        </w:rPr>
        <w:t> </w:t>
      </w:r>
      <w:r>
        <w:rPr>
          <w:rFonts w:hint="eastAsia" w:ascii="宋体" w:hAnsi="宋体" w:eastAsia="宋体"/>
          <w:b/>
          <w:bCs/>
        </w:rPr>
        <w:t>争议的解决</w:t>
      </w:r>
    </w:p>
    <w:p w14:paraId="5C4C76BA">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1、因履行本合同引起的或与本合同有关的争议，甲、乙双方应首先通过友好协商解决，如果协商不能解决争议，则采取以下第（1）种方式解决争议：</w:t>
      </w:r>
    </w:p>
    <w:p w14:paraId="186EE72E">
      <w:pPr>
        <w:widowControl/>
        <w:shd w:val="clear" w:color="auto" w:fill="FFFFFF"/>
        <w:spacing w:line="276" w:lineRule="auto"/>
        <w:ind w:firstLine="560"/>
        <w:jc w:val="left"/>
        <w:rPr>
          <w:rFonts w:hint="eastAsia" w:ascii="宋体" w:hAnsi="宋体" w:eastAsia="宋体"/>
        </w:rPr>
      </w:pPr>
      <w:r>
        <w:rPr>
          <w:rFonts w:hint="eastAsia" w:ascii="宋体" w:hAnsi="宋体" w:eastAsia="宋体"/>
        </w:rPr>
        <w:t>（1）向甲方所在地有管辖权的人民法院提起诉讼；</w:t>
      </w:r>
    </w:p>
    <w:p w14:paraId="17C4F6F1">
      <w:pPr>
        <w:widowControl/>
        <w:shd w:val="clear" w:color="auto" w:fill="FFFFFF"/>
        <w:spacing w:line="276" w:lineRule="auto"/>
        <w:ind w:firstLine="560"/>
        <w:jc w:val="left"/>
        <w:rPr>
          <w:rFonts w:hint="eastAsia" w:ascii="宋体" w:hAnsi="宋体" w:eastAsia="宋体"/>
        </w:rPr>
      </w:pPr>
      <w:r>
        <w:rPr>
          <w:rFonts w:hint="eastAsia" w:ascii="宋体" w:hAnsi="宋体" w:eastAsia="宋体"/>
        </w:rPr>
        <w:t>（2）向南京仲裁委员会按其仲裁规则申请仲裁。</w:t>
      </w:r>
    </w:p>
    <w:p w14:paraId="6E6B2513">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2、在仲裁期间，本合同应继续履行。</w:t>
      </w:r>
    </w:p>
    <w:p w14:paraId="553156F6">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第十二条</w:t>
      </w:r>
      <w:r>
        <w:rPr>
          <w:rFonts w:ascii="宋体" w:hAnsi="宋体" w:eastAsia="宋体"/>
          <w:b/>
          <w:bCs/>
        </w:rPr>
        <w:t> </w:t>
      </w:r>
      <w:r>
        <w:rPr>
          <w:rFonts w:hint="eastAsia" w:ascii="宋体" w:hAnsi="宋体" w:eastAsia="宋体"/>
          <w:b/>
          <w:bCs/>
        </w:rPr>
        <w:t>诚实信用</w:t>
      </w:r>
    </w:p>
    <w:p w14:paraId="008AE18E">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乙方应诚实信用，严格按照采购文件要求和承诺履行合同，不向甲方进行商业贿赂或者提供不正当利益。</w:t>
      </w:r>
    </w:p>
    <w:p w14:paraId="4D3D7B6D">
      <w:pPr>
        <w:widowControl/>
        <w:shd w:val="clear" w:color="auto" w:fill="FFFFFF"/>
        <w:spacing w:line="276" w:lineRule="auto"/>
        <w:ind w:firstLine="420"/>
        <w:jc w:val="left"/>
        <w:rPr>
          <w:rFonts w:hint="eastAsia" w:ascii="宋体" w:hAnsi="宋体" w:eastAsia="宋体"/>
        </w:rPr>
      </w:pPr>
      <w:r>
        <w:rPr>
          <w:rFonts w:hint="eastAsia" w:ascii="宋体" w:hAnsi="宋体" w:eastAsia="宋体"/>
          <w:b/>
          <w:bCs/>
        </w:rPr>
        <w:t>第十三条</w:t>
      </w:r>
      <w:r>
        <w:rPr>
          <w:rFonts w:ascii="宋体" w:hAnsi="宋体" w:eastAsia="宋体"/>
          <w:b/>
          <w:bCs/>
        </w:rPr>
        <w:t> </w:t>
      </w:r>
      <w:r>
        <w:rPr>
          <w:rFonts w:hint="eastAsia" w:ascii="宋体" w:hAnsi="宋体" w:eastAsia="宋体"/>
          <w:b/>
          <w:bCs/>
        </w:rPr>
        <w:t>合同生效及其他</w:t>
      </w:r>
    </w:p>
    <w:p w14:paraId="1FAA0584">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1、本合同自签订之日起生效。</w:t>
      </w:r>
    </w:p>
    <w:p w14:paraId="71955557">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2、本合同所载地址，联系电话均为约定送达方式（包括法院诉讼文书），任何一方发生变化应提前5日通知对方，否则，由此引起的无法送达的后果，由未履行告知义务的一方自行承担，视为送达成功。</w:t>
      </w:r>
    </w:p>
    <w:p w14:paraId="794A0D8B">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3、本合同一式捌份，甲方执陆份，乙方执贰份。</w:t>
      </w:r>
    </w:p>
    <w:p w14:paraId="37D3F0A1">
      <w:pPr>
        <w:widowControl/>
        <w:shd w:val="clear" w:color="auto" w:fill="FFFFFF"/>
        <w:spacing w:line="276" w:lineRule="auto"/>
        <w:ind w:firstLine="420"/>
        <w:jc w:val="left"/>
        <w:rPr>
          <w:rFonts w:ascii="宋体" w:hAnsi="宋体" w:eastAsia="宋体"/>
        </w:rPr>
      </w:pPr>
      <w:r>
        <w:rPr>
          <w:rFonts w:hint="eastAsia" w:ascii="宋体" w:hAnsi="宋体" w:eastAsia="宋体"/>
        </w:rPr>
        <w:t>4、本合同应按照中华人民共和国的现行法律进行解释。</w:t>
      </w:r>
    </w:p>
    <w:tbl>
      <w:tblPr>
        <w:tblStyle w:val="29"/>
        <w:tblW w:w="0" w:type="auto"/>
        <w:tblInd w:w="108" w:type="dxa"/>
        <w:tblLayout w:type="fixed"/>
        <w:tblCellMar>
          <w:top w:w="0" w:type="dxa"/>
          <w:left w:w="108" w:type="dxa"/>
          <w:bottom w:w="0" w:type="dxa"/>
          <w:right w:w="108" w:type="dxa"/>
        </w:tblCellMar>
      </w:tblPr>
      <w:tblGrid>
        <w:gridCol w:w="4643"/>
        <w:gridCol w:w="4643"/>
      </w:tblGrid>
      <w:tr w14:paraId="757497CF">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noWrap w:val="0"/>
            <w:vAlign w:val="center"/>
          </w:tcPr>
          <w:p w14:paraId="71598ECA">
            <w:pPr>
              <w:widowControl/>
              <w:shd w:val="clear" w:color="auto" w:fill="FFFFFF"/>
              <w:spacing w:line="276" w:lineRule="auto"/>
              <w:ind w:firstLine="420"/>
              <w:jc w:val="left"/>
              <w:rPr>
                <w:rFonts w:ascii="宋体" w:hAnsi="宋体" w:eastAsia="宋体"/>
                <w:lang w:val="zh-CN"/>
              </w:rPr>
            </w:pPr>
          </w:p>
          <w:p w14:paraId="672CAF55">
            <w:pPr>
              <w:widowControl/>
              <w:shd w:val="clear" w:color="auto" w:fill="FFFFFF"/>
              <w:spacing w:line="276" w:lineRule="auto"/>
              <w:ind w:firstLine="420"/>
              <w:jc w:val="left"/>
              <w:rPr>
                <w:rFonts w:hint="eastAsia" w:ascii="宋体" w:hAnsi="宋体" w:eastAsia="宋体"/>
                <w:lang w:val="zh-CN"/>
              </w:rPr>
            </w:pPr>
            <w:r>
              <w:rPr>
                <w:rFonts w:hint="eastAsia" w:ascii="宋体" w:hAnsi="宋体" w:eastAsia="宋体"/>
                <w:lang w:val="zh-CN"/>
              </w:rPr>
              <w:t>甲方（委托方）：（盖章）</w:t>
            </w:r>
          </w:p>
        </w:tc>
        <w:tc>
          <w:tcPr>
            <w:tcW w:w="4643" w:type="dxa"/>
            <w:tcBorders>
              <w:top w:val="nil"/>
              <w:left w:val="nil"/>
              <w:bottom w:val="nil"/>
              <w:right w:val="nil"/>
            </w:tcBorders>
            <w:noWrap w:val="0"/>
            <w:vAlign w:val="center"/>
          </w:tcPr>
          <w:p w14:paraId="7B8524BC">
            <w:pPr>
              <w:widowControl/>
              <w:shd w:val="clear" w:color="auto" w:fill="FFFFFF"/>
              <w:spacing w:line="276" w:lineRule="auto"/>
              <w:ind w:firstLine="420"/>
              <w:jc w:val="left"/>
              <w:rPr>
                <w:rFonts w:hint="eastAsia" w:ascii="宋体" w:hAnsi="宋体" w:eastAsia="宋体"/>
                <w:lang w:val="zh-CN"/>
              </w:rPr>
            </w:pPr>
            <w:r>
              <w:rPr>
                <w:rFonts w:hint="eastAsia" w:ascii="宋体" w:hAnsi="宋体" w:eastAsia="宋体"/>
                <w:lang w:val="zh-CN"/>
              </w:rPr>
              <w:t>乙方：（盖章）</w:t>
            </w:r>
          </w:p>
        </w:tc>
      </w:tr>
      <w:tr w14:paraId="5A38380A">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noWrap w:val="0"/>
            <w:vAlign w:val="center"/>
          </w:tcPr>
          <w:p w14:paraId="1E0E7BD0">
            <w:pPr>
              <w:widowControl/>
              <w:shd w:val="clear" w:color="auto" w:fill="FFFFFF"/>
              <w:spacing w:line="276" w:lineRule="auto"/>
              <w:ind w:firstLine="420"/>
              <w:jc w:val="left"/>
              <w:rPr>
                <w:rFonts w:hint="eastAsia" w:ascii="宋体" w:hAnsi="宋体" w:eastAsia="宋体"/>
              </w:rPr>
            </w:pPr>
            <w:r>
              <w:rPr>
                <w:rFonts w:hint="eastAsia" w:ascii="宋体" w:hAnsi="宋体" w:eastAsia="宋体"/>
                <w:lang w:val="zh-CN"/>
              </w:rPr>
              <w:t>法定代表人：</w:t>
            </w:r>
          </w:p>
        </w:tc>
        <w:tc>
          <w:tcPr>
            <w:tcW w:w="4643" w:type="dxa"/>
            <w:tcBorders>
              <w:top w:val="nil"/>
              <w:left w:val="nil"/>
              <w:bottom w:val="nil"/>
              <w:right w:val="nil"/>
            </w:tcBorders>
            <w:noWrap w:val="0"/>
            <w:vAlign w:val="center"/>
          </w:tcPr>
          <w:p w14:paraId="6603BCCC">
            <w:pPr>
              <w:widowControl/>
              <w:shd w:val="clear" w:color="auto" w:fill="FFFFFF"/>
              <w:spacing w:line="276" w:lineRule="auto"/>
              <w:ind w:firstLine="420"/>
              <w:jc w:val="left"/>
              <w:rPr>
                <w:rFonts w:hint="eastAsia" w:ascii="宋体" w:hAnsi="宋体" w:eastAsia="宋体"/>
              </w:rPr>
            </w:pPr>
            <w:r>
              <w:rPr>
                <w:rFonts w:hint="eastAsia" w:ascii="宋体" w:hAnsi="宋体" w:eastAsia="宋体"/>
                <w:lang w:val="zh-CN"/>
              </w:rPr>
              <w:t>法定或委托代表人</w:t>
            </w:r>
            <w:r>
              <w:rPr>
                <w:rFonts w:hint="eastAsia" w:ascii="宋体" w:hAnsi="宋体" w:eastAsia="宋体"/>
              </w:rPr>
              <w:t>：</w:t>
            </w:r>
          </w:p>
        </w:tc>
      </w:tr>
      <w:tr w14:paraId="7578997E">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noWrap w:val="0"/>
            <w:vAlign w:val="center"/>
          </w:tcPr>
          <w:p w14:paraId="6D8992D6">
            <w:pPr>
              <w:widowControl/>
              <w:shd w:val="clear" w:color="auto" w:fill="FFFFFF"/>
              <w:spacing w:line="276" w:lineRule="auto"/>
              <w:ind w:firstLine="420"/>
              <w:jc w:val="left"/>
              <w:rPr>
                <w:rFonts w:hint="eastAsia" w:ascii="宋体" w:hAnsi="宋体" w:eastAsia="宋体"/>
              </w:rPr>
            </w:pPr>
            <w:r>
              <w:rPr>
                <w:rFonts w:hint="eastAsia" w:ascii="宋体" w:hAnsi="宋体" w:eastAsia="宋体"/>
                <w:lang w:val="zh-CN"/>
              </w:rPr>
              <w:t>电话：</w:t>
            </w:r>
          </w:p>
        </w:tc>
        <w:tc>
          <w:tcPr>
            <w:tcW w:w="4643" w:type="dxa"/>
            <w:tcBorders>
              <w:top w:val="nil"/>
              <w:left w:val="nil"/>
              <w:bottom w:val="nil"/>
              <w:right w:val="nil"/>
            </w:tcBorders>
            <w:noWrap w:val="0"/>
            <w:vAlign w:val="center"/>
          </w:tcPr>
          <w:p w14:paraId="7599A217">
            <w:pPr>
              <w:widowControl/>
              <w:shd w:val="clear" w:color="auto" w:fill="FFFFFF"/>
              <w:spacing w:line="276" w:lineRule="auto"/>
              <w:ind w:firstLine="420"/>
              <w:jc w:val="left"/>
              <w:rPr>
                <w:rFonts w:hint="eastAsia" w:ascii="宋体" w:hAnsi="宋体" w:eastAsia="宋体"/>
              </w:rPr>
            </w:pPr>
            <w:r>
              <w:rPr>
                <w:rFonts w:hint="eastAsia" w:ascii="宋体" w:hAnsi="宋体" w:eastAsia="宋体"/>
                <w:lang w:val="zh-CN"/>
              </w:rPr>
              <w:t>电话：</w:t>
            </w:r>
          </w:p>
        </w:tc>
      </w:tr>
      <w:tr w14:paraId="3EB4B2AF">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noWrap w:val="0"/>
            <w:vAlign w:val="center"/>
          </w:tcPr>
          <w:p w14:paraId="36B284DF">
            <w:pPr>
              <w:widowControl/>
              <w:shd w:val="clear" w:color="auto" w:fill="FFFFFF"/>
              <w:spacing w:line="276" w:lineRule="auto"/>
              <w:ind w:firstLine="420"/>
              <w:jc w:val="left"/>
              <w:rPr>
                <w:rFonts w:hint="eastAsia" w:ascii="宋体" w:hAnsi="宋体" w:eastAsia="宋体"/>
              </w:rPr>
            </w:pPr>
            <w:r>
              <w:rPr>
                <w:rFonts w:hint="eastAsia" w:ascii="宋体" w:hAnsi="宋体" w:eastAsia="宋体"/>
                <w:lang w:val="zh-CN"/>
              </w:rPr>
              <w:t>开户银行：</w:t>
            </w:r>
          </w:p>
        </w:tc>
        <w:tc>
          <w:tcPr>
            <w:tcW w:w="4643" w:type="dxa"/>
            <w:tcBorders>
              <w:top w:val="nil"/>
              <w:left w:val="nil"/>
              <w:bottom w:val="nil"/>
              <w:right w:val="nil"/>
            </w:tcBorders>
            <w:noWrap w:val="0"/>
            <w:vAlign w:val="center"/>
          </w:tcPr>
          <w:p w14:paraId="23BA6EFA">
            <w:pPr>
              <w:widowControl/>
              <w:shd w:val="clear" w:color="auto" w:fill="FFFFFF"/>
              <w:spacing w:line="276" w:lineRule="auto"/>
              <w:ind w:firstLine="420"/>
              <w:jc w:val="left"/>
              <w:rPr>
                <w:rFonts w:hint="eastAsia" w:ascii="宋体" w:hAnsi="宋体" w:eastAsia="宋体"/>
              </w:rPr>
            </w:pPr>
            <w:r>
              <w:rPr>
                <w:rFonts w:hint="eastAsia" w:ascii="宋体" w:hAnsi="宋体" w:eastAsia="宋体"/>
                <w:lang w:val="zh-CN"/>
              </w:rPr>
              <w:t>开户银行：</w:t>
            </w:r>
          </w:p>
        </w:tc>
      </w:tr>
      <w:tr w14:paraId="2560F1AF">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noWrap w:val="0"/>
            <w:vAlign w:val="center"/>
          </w:tcPr>
          <w:p w14:paraId="317A11D0">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账</w:t>
            </w:r>
            <w:r>
              <w:rPr>
                <w:rFonts w:hint="eastAsia" w:ascii="宋体" w:hAnsi="宋体" w:eastAsia="宋体"/>
                <w:lang w:val="zh-CN"/>
              </w:rPr>
              <w:t>号：</w:t>
            </w:r>
          </w:p>
        </w:tc>
        <w:tc>
          <w:tcPr>
            <w:tcW w:w="4643" w:type="dxa"/>
            <w:tcBorders>
              <w:top w:val="nil"/>
              <w:left w:val="nil"/>
              <w:bottom w:val="nil"/>
              <w:right w:val="nil"/>
            </w:tcBorders>
            <w:noWrap w:val="0"/>
            <w:vAlign w:val="center"/>
          </w:tcPr>
          <w:p w14:paraId="4A7CED16">
            <w:pPr>
              <w:widowControl/>
              <w:shd w:val="clear" w:color="auto" w:fill="FFFFFF"/>
              <w:spacing w:line="276" w:lineRule="auto"/>
              <w:ind w:firstLine="420"/>
              <w:jc w:val="left"/>
              <w:rPr>
                <w:rFonts w:hint="eastAsia" w:ascii="宋体" w:hAnsi="宋体" w:eastAsia="宋体"/>
              </w:rPr>
            </w:pPr>
            <w:r>
              <w:rPr>
                <w:rFonts w:hint="eastAsia" w:ascii="宋体" w:hAnsi="宋体" w:eastAsia="宋体"/>
              </w:rPr>
              <w:t>账</w:t>
            </w:r>
            <w:r>
              <w:rPr>
                <w:rFonts w:hint="eastAsia" w:ascii="宋体" w:hAnsi="宋体" w:eastAsia="宋体"/>
                <w:lang w:val="zh-CN"/>
              </w:rPr>
              <w:t>号：</w:t>
            </w:r>
          </w:p>
        </w:tc>
      </w:tr>
      <w:tr w14:paraId="55873355">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noWrap w:val="0"/>
            <w:vAlign w:val="center"/>
          </w:tcPr>
          <w:p w14:paraId="720228BB">
            <w:pPr>
              <w:widowControl/>
              <w:shd w:val="clear" w:color="auto" w:fill="FFFFFF"/>
              <w:spacing w:line="276" w:lineRule="auto"/>
              <w:ind w:firstLine="420"/>
              <w:jc w:val="left"/>
              <w:rPr>
                <w:rFonts w:hint="eastAsia" w:ascii="宋体" w:hAnsi="宋体" w:eastAsia="宋体"/>
                <w:lang w:val="zh-CN"/>
              </w:rPr>
            </w:pPr>
            <w:r>
              <w:rPr>
                <w:rFonts w:hint="eastAsia" w:ascii="宋体" w:hAnsi="宋体" w:eastAsia="宋体"/>
                <w:lang w:val="zh-CN"/>
              </w:rPr>
              <w:t>日期：年月日</w:t>
            </w:r>
          </w:p>
        </w:tc>
        <w:tc>
          <w:tcPr>
            <w:tcW w:w="4643" w:type="dxa"/>
            <w:tcBorders>
              <w:top w:val="nil"/>
              <w:left w:val="nil"/>
              <w:bottom w:val="nil"/>
              <w:right w:val="nil"/>
            </w:tcBorders>
            <w:noWrap w:val="0"/>
            <w:vAlign w:val="center"/>
          </w:tcPr>
          <w:p w14:paraId="63E79AF7">
            <w:pPr>
              <w:widowControl/>
              <w:shd w:val="clear" w:color="auto" w:fill="FFFFFF"/>
              <w:spacing w:line="276" w:lineRule="auto"/>
              <w:ind w:firstLine="420"/>
              <w:jc w:val="left"/>
              <w:rPr>
                <w:rFonts w:hint="eastAsia" w:ascii="宋体" w:hAnsi="宋体" w:eastAsia="宋体"/>
                <w:lang w:val="zh-CN"/>
              </w:rPr>
            </w:pPr>
            <w:r>
              <w:rPr>
                <w:rFonts w:hint="eastAsia" w:ascii="宋体" w:hAnsi="宋体" w:eastAsia="宋体"/>
                <w:lang w:val="zh-CN"/>
              </w:rPr>
              <w:t>日期：年月日</w:t>
            </w:r>
          </w:p>
        </w:tc>
      </w:tr>
    </w:tbl>
    <w:p w14:paraId="17D784B9">
      <w:pPr>
        <w:spacing w:line="360" w:lineRule="auto"/>
        <w:ind w:firstLine="422"/>
        <w:rPr>
          <w:rFonts w:hint="eastAsia" w:ascii="宋体" w:hAnsi="宋体" w:eastAsia="宋体" w:cs="Arial"/>
          <w:szCs w:val="21"/>
        </w:rPr>
      </w:pPr>
      <w:bookmarkStart w:id="70" w:name="_Toc85525793"/>
      <w:r>
        <w:rPr>
          <w:rFonts w:ascii="宋体" w:hAnsi="宋体" w:eastAsia="宋体" w:cs="宋体"/>
          <w:b/>
          <w:bCs/>
          <w:szCs w:val="21"/>
        </w:rPr>
        <w:br w:type="page" w:clear="all"/>
      </w:r>
      <w:r>
        <w:rPr>
          <w:rFonts w:hint="eastAsia" w:ascii="宋体" w:hAnsi="宋体" w:eastAsia="宋体" w:cs="Arial"/>
          <w:szCs w:val="21"/>
        </w:rPr>
        <w:t>附件：</w:t>
      </w:r>
      <w:bookmarkStart w:id="71" w:name="_Toc190329540"/>
      <w:r>
        <w:rPr>
          <w:rFonts w:hint="eastAsia" w:ascii="宋体" w:hAnsi="宋体" w:eastAsia="宋体" w:cs="Arial"/>
          <w:szCs w:val="21"/>
        </w:rPr>
        <w:t>道路路灯维护管理考核标准（100分）</w:t>
      </w:r>
    </w:p>
    <w:tbl>
      <w:tblPr>
        <w:tblStyle w:val="29"/>
        <w:tblW w:w="10040" w:type="dxa"/>
        <w:tblInd w:w="93" w:type="dxa"/>
        <w:tblLayout w:type="autofit"/>
        <w:tblCellMar>
          <w:top w:w="0" w:type="dxa"/>
          <w:left w:w="108" w:type="dxa"/>
          <w:bottom w:w="0" w:type="dxa"/>
          <w:right w:w="108" w:type="dxa"/>
        </w:tblCellMar>
      </w:tblPr>
      <w:tblGrid>
        <w:gridCol w:w="4960"/>
        <w:gridCol w:w="1151"/>
        <w:gridCol w:w="3929"/>
      </w:tblGrid>
      <w:tr w14:paraId="60236E76">
        <w:tblPrEx>
          <w:tblCellMar>
            <w:top w:w="0" w:type="dxa"/>
            <w:left w:w="108" w:type="dxa"/>
            <w:bottom w:w="0" w:type="dxa"/>
            <w:right w:w="108" w:type="dxa"/>
          </w:tblCellMar>
        </w:tblPrEx>
        <w:trPr>
          <w:trHeight w:val="435" w:hRule="atLeast"/>
        </w:trPr>
        <w:tc>
          <w:tcPr>
            <w:tcW w:w="10040" w:type="dxa"/>
            <w:gridSpan w:val="3"/>
            <w:tcBorders>
              <w:top w:val="single" w:color="000000" w:sz="4" w:space="0"/>
              <w:left w:val="single" w:color="000000" w:sz="4" w:space="0"/>
              <w:bottom w:val="single" w:color="000000" w:sz="4" w:space="0"/>
              <w:right w:val="single" w:color="000000" w:sz="4" w:space="0"/>
            </w:tcBorders>
            <w:noWrap/>
            <w:vAlign w:val="center"/>
          </w:tcPr>
          <w:p w14:paraId="14AC7C86">
            <w:pPr>
              <w:widowControl/>
              <w:jc w:val="center"/>
              <w:rPr>
                <w:rFonts w:ascii="宋体" w:hAnsi="宋体" w:eastAsia="宋体" w:cs="Arial"/>
                <w:szCs w:val="21"/>
              </w:rPr>
            </w:pPr>
            <w:r>
              <w:rPr>
                <w:rFonts w:hint="eastAsia" w:ascii="宋体" w:hAnsi="宋体" w:eastAsia="宋体" w:cs="Arial"/>
                <w:szCs w:val="21"/>
              </w:rPr>
              <w:t>（一）亮灯率（30分）</w:t>
            </w:r>
          </w:p>
        </w:tc>
      </w:tr>
      <w:tr w14:paraId="086FC097">
        <w:tblPrEx>
          <w:tblCellMar>
            <w:top w:w="0" w:type="dxa"/>
            <w:left w:w="108" w:type="dxa"/>
            <w:bottom w:w="0" w:type="dxa"/>
            <w:right w:w="108" w:type="dxa"/>
          </w:tblCellMar>
        </w:tblPrEx>
        <w:trPr>
          <w:trHeight w:val="645" w:hRule="atLeast"/>
        </w:trPr>
        <w:tc>
          <w:tcPr>
            <w:tcW w:w="4960" w:type="dxa"/>
            <w:tcBorders>
              <w:top w:val="nil"/>
              <w:left w:val="single" w:color="000000" w:sz="4" w:space="0"/>
              <w:bottom w:val="single" w:color="000000" w:sz="4" w:space="0"/>
              <w:right w:val="single" w:color="000000" w:sz="4" w:space="0"/>
            </w:tcBorders>
            <w:noWrap w:val="0"/>
            <w:vAlign w:val="center"/>
          </w:tcPr>
          <w:p w14:paraId="65F5E2AA">
            <w:pPr>
              <w:widowControl/>
              <w:jc w:val="center"/>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166CB5A8">
            <w:pPr>
              <w:widowControl/>
              <w:jc w:val="center"/>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522D8127">
            <w:pPr>
              <w:widowControl/>
              <w:jc w:val="center"/>
              <w:rPr>
                <w:rFonts w:ascii="宋体" w:hAnsi="宋体" w:eastAsia="宋体" w:cs="Arial"/>
                <w:szCs w:val="21"/>
              </w:rPr>
            </w:pPr>
            <w:r>
              <w:rPr>
                <w:rFonts w:hint="eastAsia" w:ascii="宋体" w:hAnsi="宋体" w:eastAsia="宋体" w:cs="Arial"/>
                <w:szCs w:val="21"/>
              </w:rPr>
              <w:t>考核标准</w:t>
            </w:r>
          </w:p>
        </w:tc>
      </w:tr>
      <w:tr w14:paraId="57C85E93">
        <w:tblPrEx>
          <w:tblCellMar>
            <w:top w:w="0" w:type="dxa"/>
            <w:left w:w="108" w:type="dxa"/>
            <w:bottom w:w="0" w:type="dxa"/>
            <w:right w:w="108" w:type="dxa"/>
          </w:tblCellMar>
        </w:tblPrEx>
        <w:trPr>
          <w:trHeight w:val="705" w:hRule="atLeast"/>
        </w:trPr>
        <w:tc>
          <w:tcPr>
            <w:tcW w:w="4960" w:type="dxa"/>
            <w:tcBorders>
              <w:top w:val="nil"/>
              <w:left w:val="single" w:color="000000" w:sz="4" w:space="0"/>
              <w:bottom w:val="single" w:color="000000" w:sz="4" w:space="0"/>
              <w:right w:val="single" w:color="000000" w:sz="4" w:space="0"/>
            </w:tcBorders>
            <w:noWrap w:val="0"/>
            <w:vAlign w:val="center"/>
          </w:tcPr>
          <w:p w14:paraId="725E1D01">
            <w:pPr>
              <w:widowControl/>
              <w:jc w:val="left"/>
              <w:rPr>
                <w:rFonts w:ascii="宋体" w:hAnsi="宋体" w:eastAsia="宋体" w:cs="Arial"/>
                <w:szCs w:val="21"/>
              </w:rPr>
            </w:pPr>
            <w:r>
              <w:rPr>
                <w:rFonts w:hint="eastAsia" w:ascii="宋体" w:hAnsi="宋体" w:eastAsia="宋体" w:cs="Arial"/>
                <w:szCs w:val="21"/>
              </w:rPr>
              <w:t>1.1亮灯率（亮灯率指亮灯数与总路灯数之比）</w:t>
            </w:r>
            <w:r>
              <w:rPr>
                <w:rFonts w:hint="eastAsia" w:ascii="宋体" w:hAnsi="宋体" w:eastAsia="宋体" w:cs="Arial"/>
                <w:szCs w:val="21"/>
              </w:rPr>
              <w:br w:type="textWrapping" w:clear="all"/>
            </w:r>
            <w:r>
              <w:rPr>
                <w:rFonts w:hint="eastAsia" w:ascii="宋体" w:hAnsi="宋体" w:eastAsia="宋体" w:cs="Arial"/>
                <w:szCs w:val="21"/>
              </w:rPr>
              <w:t>1.2亮灯率达到99%。</w:t>
            </w:r>
          </w:p>
        </w:tc>
        <w:tc>
          <w:tcPr>
            <w:tcW w:w="1151" w:type="dxa"/>
            <w:tcBorders>
              <w:top w:val="nil"/>
              <w:left w:val="nil"/>
              <w:bottom w:val="single" w:color="000000" w:sz="4" w:space="0"/>
              <w:right w:val="single" w:color="000000" w:sz="4" w:space="0"/>
            </w:tcBorders>
            <w:noWrap w:val="0"/>
            <w:vAlign w:val="center"/>
          </w:tcPr>
          <w:p w14:paraId="74583425">
            <w:pPr>
              <w:widowControl/>
              <w:jc w:val="left"/>
              <w:rPr>
                <w:rFonts w:ascii="宋体" w:hAnsi="宋体" w:eastAsia="宋体" w:cs="Arial"/>
                <w:szCs w:val="21"/>
              </w:rPr>
            </w:pPr>
            <w:r>
              <w:rPr>
                <w:rFonts w:hint="eastAsia" w:ascii="宋体" w:hAnsi="宋体" w:eastAsia="宋体" w:cs="Arial"/>
                <w:szCs w:val="21"/>
              </w:rPr>
              <w:t>30</w:t>
            </w:r>
          </w:p>
        </w:tc>
        <w:tc>
          <w:tcPr>
            <w:tcW w:w="3929" w:type="dxa"/>
            <w:tcBorders>
              <w:top w:val="nil"/>
              <w:left w:val="nil"/>
              <w:bottom w:val="single" w:color="000000" w:sz="4" w:space="0"/>
              <w:right w:val="single" w:color="000000" w:sz="4" w:space="0"/>
            </w:tcBorders>
            <w:noWrap w:val="0"/>
            <w:vAlign w:val="center"/>
          </w:tcPr>
          <w:p w14:paraId="5F8FE7BE">
            <w:pPr>
              <w:widowControl/>
              <w:jc w:val="left"/>
              <w:rPr>
                <w:rFonts w:ascii="宋体" w:hAnsi="宋体" w:eastAsia="宋体" w:cs="Arial"/>
                <w:szCs w:val="21"/>
              </w:rPr>
            </w:pPr>
            <w:r>
              <w:rPr>
                <w:rFonts w:hint="eastAsia" w:ascii="宋体" w:hAnsi="宋体" w:eastAsia="宋体" w:cs="Arial"/>
                <w:szCs w:val="21"/>
              </w:rPr>
              <w:t>凡发现达到5盏或以上不亮扣5分，整条道路均不亮此项计分全扣。</w:t>
            </w:r>
          </w:p>
        </w:tc>
      </w:tr>
      <w:tr w14:paraId="34C69884">
        <w:tblPrEx>
          <w:tblCellMar>
            <w:top w:w="0" w:type="dxa"/>
            <w:left w:w="108" w:type="dxa"/>
            <w:bottom w:w="0" w:type="dxa"/>
            <w:right w:w="108" w:type="dxa"/>
          </w:tblCellMar>
        </w:tblPrEx>
        <w:trPr>
          <w:trHeight w:val="510" w:hRule="atLeast"/>
        </w:trPr>
        <w:tc>
          <w:tcPr>
            <w:tcW w:w="10040" w:type="dxa"/>
            <w:gridSpan w:val="3"/>
            <w:tcBorders>
              <w:top w:val="single" w:color="000000" w:sz="4" w:space="0"/>
              <w:left w:val="single" w:color="000000" w:sz="4" w:space="0"/>
              <w:bottom w:val="single" w:color="000000" w:sz="4" w:space="0"/>
              <w:right w:val="single" w:color="000000" w:sz="4" w:space="0"/>
            </w:tcBorders>
            <w:noWrap w:val="0"/>
            <w:vAlign w:val="center"/>
          </w:tcPr>
          <w:p w14:paraId="7CCEBE75">
            <w:pPr>
              <w:widowControl/>
              <w:jc w:val="center"/>
              <w:rPr>
                <w:rFonts w:ascii="宋体" w:hAnsi="宋体" w:eastAsia="宋体" w:cs="Arial"/>
                <w:szCs w:val="21"/>
              </w:rPr>
            </w:pPr>
            <w:r>
              <w:rPr>
                <w:rFonts w:hint="eastAsia" w:ascii="宋体" w:hAnsi="宋体" w:eastAsia="宋体" w:cs="Arial"/>
                <w:szCs w:val="21"/>
              </w:rPr>
              <w:t>(二)照明设施及其附属设备完好率（20分）</w:t>
            </w:r>
          </w:p>
        </w:tc>
      </w:tr>
      <w:tr w14:paraId="16E586DF">
        <w:tblPrEx>
          <w:tblCellMar>
            <w:top w:w="0" w:type="dxa"/>
            <w:left w:w="108" w:type="dxa"/>
            <w:bottom w:w="0" w:type="dxa"/>
            <w:right w:w="108" w:type="dxa"/>
          </w:tblCellMar>
        </w:tblPrEx>
        <w:trPr>
          <w:trHeight w:val="645" w:hRule="atLeast"/>
        </w:trPr>
        <w:tc>
          <w:tcPr>
            <w:tcW w:w="4960" w:type="dxa"/>
            <w:tcBorders>
              <w:top w:val="nil"/>
              <w:left w:val="single" w:color="000000" w:sz="4" w:space="0"/>
              <w:bottom w:val="single" w:color="000000" w:sz="4" w:space="0"/>
              <w:right w:val="single" w:color="000000" w:sz="4" w:space="0"/>
            </w:tcBorders>
            <w:noWrap w:val="0"/>
            <w:vAlign w:val="center"/>
          </w:tcPr>
          <w:p w14:paraId="434EE8A2">
            <w:pPr>
              <w:widowControl/>
              <w:jc w:val="center"/>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5367E3A1">
            <w:pPr>
              <w:widowControl/>
              <w:jc w:val="center"/>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5EDE1A76">
            <w:pPr>
              <w:widowControl/>
              <w:jc w:val="center"/>
              <w:rPr>
                <w:rFonts w:ascii="宋体" w:hAnsi="宋体" w:eastAsia="宋体" w:cs="Arial"/>
                <w:szCs w:val="21"/>
              </w:rPr>
            </w:pPr>
            <w:r>
              <w:rPr>
                <w:rFonts w:hint="eastAsia" w:ascii="宋体" w:hAnsi="宋体" w:eastAsia="宋体" w:cs="Arial"/>
                <w:szCs w:val="21"/>
              </w:rPr>
              <w:t>考核标准</w:t>
            </w:r>
          </w:p>
        </w:tc>
      </w:tr>
      <w:tr w14:paraId="1CD699E0">
        <w:tblPrEx>
          <w:tblCellMar>
            <w:top w:w="0" w:type="dxa"/>
            <w:left w:w="108" w:type="dxa"/>
            <w:bottom w:w="0" w:type="dxa"/>
            <w:right w:w="108" w:type="dxa"/>
          </w:tblCellMar>
        </w:tblPrEx>
        <w:trPr>
          <w:trHeight w:val="557" w:hRule="atLeast"/>
        </w:trPr>
        <w:tc>
          <w:tcPr>
            <w:tcW w:w="4960" w:type="dxa"/>
            <w:tcBorders>
              <w:top w:val="nil"/>
              <w:left w:val="single" w:color="000000" w:sz="4" w:space="0"/>
              <w:bottom w:val="single" w:color="000000" w:sz="4" w:space="0"/>
              <w:right w:val="single" w:color="000000" w:sz="4" w:space="0"/>
            </w:tcBorders>
            <w:noWrap w:val="0"/>
            <w:vAlign w:val="center"/>
          </w:tcPr>
          <w:p w14:paraId="0056F303">
            <w:pPr>
              <w:widowControl/>
              <w:jc w:val="left"/>
              <w:rPr>
                <w:rFonts w:ascii="宋体" w:hAnsi="宋体" w:eastAsia="宋体" w:cs="Arial"/>
                <w:szCs w:val="21"/>
              </w:rPr>
            </w:pPr>
            <w:r>
              <w:rPr>
                <w:rFonts w:hint="eastAsia" w:ascii="宋体" w:hAnsi="宋体" w:eastAsia="宋体" w:cs="Arial"/>
                <w:szCs w:val="21"/>
              </w:rPr>
              <w:t>2.1照明设施及其附属设备管理</w:t>
            </w:r>
            <w:r>
              <w:rPr>
                <w:rFonts w:hint="eastAsia" w:ascii="宋体" w:hAnsi="宋体" w:eastAsia="宋体" w:cs="Arial"/>
                <w:szCs w:val="21"/>
              </w:rPr>
              <w:br w:type="textWrapping" w:clear="all"/>
            </w:r>
            <w:r>
              <w:rPr>
                <w:rFonts w:hint="eastAsia" w:ascii="宋体" w:hAnsi="宋体" w:eastAsia="宋体" w:cs="Arial"/>
                <w:szCs w:val="21"/>
              </w:rPr>
              <w:t>2.2照明设施及其附属设备完好率100%。主要包括灯杆灯具完好率、线路完好率、配电箱完好率、照明设施清洁率等。</w:t>
            </w:r>
            <w:r>
              <w:rPr>
                <w:rFonts w:hint="eastAsia" w:ascii="宋体" w:hAnsi="宋体" w:eastAsia="宋体" w:cs="Arial"/>
                <w:szCs w:val="21"/>
              </w:rPr>
              <w:br w:type="textWrapping" w:clear="all"/>
            </w:r>
            <w:r>
              <w:rPr>
                <w:rFonts w:hint="eastAsia" w:ascii="宋体" w:hAnsi="宋体" w:eastAsia="宋体" w:cs="Arial"/>
                <w:szCs w:val="21"/>
              </w:rPr>
              <w:t>2.3灯杆、灯具、变压器、检查井、控制箱等设置规范，保持清洁，无乱贴乱画、歪斜、锈蚀、油漆脱落等现象；每月对道路路灯、控制箱接地等情况进行测试，每年应对辖区内有专变箱的配电设施要申请供电局进行安全检测，测试完成后应及时向采购人上报测试报告，并立即对测试不合格的进行整改。</w:t>
            </w:r>
          </w:p>
        </w:tc>
        <w:tc>
          <w:tcPr>
            <w:tcW w:w="1151" w:type="dxa"/>
            <w:tcBorders>
              <w:top w:val="nil"/>
              <w:left w:val="nil"/>
              <w:bottom w:val="single" w:color="000000" w:sz="4" w:space="0"/>
              <w:right w:val="single" w:color="000000" w:sz="4" w:space="0"/>
            </w:tcBorders>
            <w:noWrap w:val="0"/>
            <w:vAlign w:val="center"/>
          </w:tcPr>
          <w:p w14:paraId="057EAF51">
            <w:pPr>
              <w:widowControl/>
              <w:jc w:val="left"/>
              <w:rPr>
                <w:rFonts w:ascii="宋体" w:hAnsi="宋体" w:eastAsia="宋体" w:cs="Arial"/>
                <w:szCs w:val="21"/>
              </w:rPr>
            </w:pPr>
            <w:r>
              <w:rPr>
                <w:rFonts w:hint="eastAsia" w:ascii="宋体" w:hAnsi="宋体" w:eastAsia="宋体" w:cs="Arial"/>
                <w:szCs w:val="21"/>
              </w:rPr>
              <w:t>20</w:t>
            </w:r>
          </w:p>
        </w:tc>
        <w:tc>
          <w:tcPr>
            <w:tcW w:w="3929" w:type="dxa"/>
            <w:tcBorders>
              <w:top w:val="nil"/>
              <w:left w:val="nil"/>
              <w:bottom w:val="single" w:color="000000" w:sz="4" w:space="0"/>
              <w:right w:val="single" w:color="000000" w:sz="4" w:space="0"/>
            </w:tcBorders>
            <w:noWrap w:val="0"/>
            <w:vAlign w:val="center"/>
          </w:tcPr>
          <w:p w14:paraId="4CD7C27D">
            <w:pPr>
              <w:widowControl/>
              <w:jc w:val="left"/>
              <w:rPr>
                <w:rFonts w:ascii="宋体" w:hAnsi="宋体" w:eastAsia="宋体" w:cs="Arial"/>
                <w:szCs w:val="21"/>
              </w:rPr>
            </w:pPr>
            <w:r>
              <w:rPr>
                <w:rFonts w:hint="eastAsia" w:ascii="宋体" w:hAnsi="宋体" w:eastAsia="宋体" w:cs="Arial"/>
                <w:szCs w:val="21"/>
              </w:rPr>
              <w:t>凡发现灯杆灯具、照明线路、配电箱等照明设施倾倒、歪斜、锈蚀、残缺、损坏、被盗、未按规定进行测试、以及有严重不安全隐患和污渍的，发现一处一次扣5分。同时，中标人要及时修复整改，否则，采购人将按本招标文件有关条款处理。</w:t>
            </w:r>
          </w:p>
        </w:tc>
      </w:tr>
      <w:tr w14:paraId="53987AC3">
        <w:tblPrEx>
          <w:tblCellMar>
            <w:top w:w="0" w:type="dxa"/>
            <w:left w:w="108" w:type="dxa"/>
            <w:bottom w:w="0" w:type="dxa"/>
            <w:right w:w="108" w:type="dxa"/>
          </w:tblCellMar>
        </w:tblPrEx>
        <w:trPr>
          <w:trHeight w:val="570" w:hRule="atLeast"/>
        </w:trPr>
        <w:tc>
          <w:tcPr>
            <w:tcW w:w="10040" w:type="dxa"/>
            <w:gridSpan w:val="3"/>
            <w:tcBorders>
              <w:top w:val="single" w:color="000000" w:sz="4" w:space="0"/>
              <w:left w:val="single" w:color="000000" w:sz="4" w:space="0"/>
              <w:bottom w:val="single" w:color="000000" w:sz="4" w:space="0"/>
              <w:right w:val="single" w:color="000000" w:sz="4" w:space="0"/>
            </w:tcBorders>
            <w:noWrap w:val="0"/>
            <w:vAlign w:val="center"/>
          </w:tcPr>
          <w:p w14:paraId="614D4C4F">
            <w:pPr>
              <w:widowControl/>
              <w:jc w:val="center"/>
              <w:rPr>
                <w:rFonts w:ascii="宋体" w:hAnsi="宋体" w:eastAsia="宋体" w:cs="Arial"/>
                <w:szCs w:val="21"/>
              </w:rPr>
            </w:pPr>
            <w:r>
              <w:rPr>
                <w:rFonts w:hint="eastAsia" w:ascii="宋体" w:hAnsi="宋体" w:eastAsia="宋体" w:cs="Arial"/>
                <w:szCs w:val="21"/>
              </w:rPr>
              <w:t>(三)开关时限（5分）</w:t>
            </w:r>
          </w:p>
        </w:tc>
      </w:tr>
      <w:tr w14:paraId="2686590B">
        <w:tblPrEx>
          <w:tblCellMar>
            <w:top w:w="0" w:type="dxa"/>
            <w:left w:w="108" w:type="dxa"/>
            <w:bottom w:w="0" w:type="dxa"/>
            <w:right w:w="108" w:type="dxa"/>
          </w:tblCellMar>
        </w:tblPrEx>
        <w:trPr>
          <w:trHeight w:val="675" w:hRule="atLeast"/>
        </w:trPr>
        <w:tc>
          <w:tcPr>
            <w:tcW w:w="4960" w:type="dxa"/>
            <w:tcBorders>
              <w:top w:val="nil"/>
              <w:left w:val="single" w:color="000000" w:sz="4" w:space="0"/>
              <w:bottom w:val="single" w:color="000000" w:sz="4" w:space="0"/>
              <w:right w:val="single" w:color="000000" w:sz="4" w:space="0"/>
            </w:tcBorders>
            <w:noWrap w:val="0"/>
            <w:vAlign w:val="center"/>
          </w:tcPr>
          <w:p w14:paraId="7D582ECE">
            <w:pPr>
              <w:widowControl/>
              <w:jc w:val="center"/>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30EFDAC6">
            <w:pPr>
              <w:widowControl/>
              <w:jc w:val="center"/>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560CB764">
            <w:pPr>
              <w:widowControl/>
              <w:jc w:val="center"/>
              <w:rPr>
                <w:rFonts w:ascii="宋体" w:hAnsi="宋体" w:eastAsia="宋体" w:cs="Arial"/>
                <w:szCs w:val="21"/>
              </w:rPr>
            </w:pPr>
            <w:r>
              <w:rPr>
                <w:rFonts w:hint="eastAsia" w:ascii="宋体" w:hAnsi="宋体" w:eastAsia="宋体" w:cs="Arial"/>
                <w:szCs w:val="21"/>
              </w:rPr>
              <w:t>考核标准</w:t>
            </w:r>
          </w:p>
        </w:tc>
      </w:tr>
      <w:tr w14:paraId="40FD73E2">
        <w:tblPrEx>
          <w:tblCellMar>
            <w:top w:w="0" w:type="dxa"/>
            <w:left w:w="108" w:type="dxa"/>
            <w:bottom w:w="0" w:type="dxa"/>
            <w:right w:w="108" w:type="dxa"/>
          </w:tblCellMar>
        </w:tblPrEx>
        <w:trPr>
          <w:trHeight w:val="1094" w:hRule="atLeast"/>
        </w:trPr>
        <w:tc>
          <w:tcPr>
            <w:tcW w:w="4960" w:type="dxa"/>
            <w:tcBorders>
              <w:top w:val="nil"/>
              <w:left w:val="single" w:color="000000" w:sz="4" w:space="0"/>
              <w:bottom w:val="single" w:color="000000" w:sz="4" w:space="0"/>
              <w:right w:val="single" w:color="000000" w:sz="4" w:space="0"/>
            </w:tcBorders>
            <w:noWrap w:val="0"/>
            <w:vAlign w:val="center"/>
          </w:tcPr>
          <w:p w14:paraId="43F7D343">
            <w:pPr>
              <w:widowControl/>
              <w:jc w:val="left"/>
              <w:rPr>
                <w:rFonts w:ascii="宋体" w:hAnsi="宋体" w:eastAsia="宋体" w:cs="Arial"/>
                <w:szCs w:val="21"/>
              </w:rPr>
            </w:pPr>
            <w:r>
              <w:rPr>
                <w:rFonts w:hint="eastAsia" w:ascii="宋体" w:hAnsi="宋体" w:eastAsia="宋体" w:cs="Arial"/>
                <w:szCs w:val="21"/>
              </w:rPr>
              <w:t>3.1开关时限。</w:t>
            </w:r>
            <w:r>
              <w:rPr>
                <w:rFonts w:hint="eastAsia" w:ascii="宋体" w:hAnsi="宋体" w:eastAsia="宋体" w:cs="Arial"/>
                <w:szCs w:val="21"/>
              </w:rPr>
              <w:br w:type="textWrapping" w:clear="all"/>
            </w:r>
            <w:r>
              <w:rPr>
                <w:rFonts w:hint="eastAsia" w:ascii="宋体" w:hAnsi="宋体" w:eastAsia="宋体" w:cs="Arial"/>
                <w:szCs w:val="21"/>
              </w:rPr>
              <w:t>3.2路灯开闭时间。路灯每天开闭时间根据季节变化进行调整，满足市民出行需要。</w:t>
            </w:r>
          </w:p>
        </w:tc>
        <w:tc>
          <w:tcPr>
            <w:tcW w:w="1151" w:type="dxa"/>
            <w:tcBorders>
              <w:top w:val="nil"/>
              <w:left w:val="nil"/>
              <w:bottom w:val="single" w:color="000000" w:sz="4" w:space="0"/>
              <w:right w:val="single" w:color="000000" w:sz="4" w:space="0"/>
            </w:tcBorders>
            <w:noWrap w:val="0"/>
            <w:vAlign w:val="center"/>
          </w:tcPr>
          <w:p w14:paraId="44D7173C">
            <w:pPr>
              <w:widowControl/>
              <w:jc w:val="left"/>
              <w:rPr>
                <w:rFonts w:ascii="宋体" w:hAnsi="宋体" w:eastAsia="宋体" w:cs="Arial"/>
                <w:szCs w:val="21"/>
              </w:rPr>
            </w:pPr>
            <w:r>
              <w:rPr>
                <w:rFonts w:hint="eastAsia" w:ascii="宋体" w:hAnsi="宋体" w:eastAsia="宋体" w:cs="Arial"/>
                <w:szCs w:val="21"/>
              </w:rPr>
              <w:t>5</w:t>
            </w:r>
          </w:p>
        </w:tc>
        <w:tc>
          <w:tcPr>
            <w:tcW w:w="3929" w:type="dxa"/>
            <w:tcBorders>
              <w:top w:val="nil"/>
              <w:left w:val="nil"/>
              <w:bottom w:val="single" w:color="000000" w:sz="4" w:space="0"/>
              <w:right w:val="single" w:color="000000" w:sz="4" w:space="0"/>
            </w:tcBorders>
            <w:noWrap w:val="0"/>
            <w:vAlign w:val="center"/>
          </w:tcPr>
          <w:p w14:paraId="52746917">
            <w:pPr>
              <w:widowControl/>
              <w:jc w:val="left"/>
              <w:rPr>
                <w:rFonts w:ascii="宋体" w:hAnsi="宋体" w:eastAsia="宋体" w:cs="Arial"/>
                <w:szCs w:val="21"/>
              </w:rPr>
            </w:pPr>
            <w:r>
              <w:rPr>
                <w:rFonts w:hint="eastAsia" w:ascii="宋体" w:hAnsi="宋体" w:eastAsia="宋体" w:cs="Arial"/>
                <w:szCs w:val="21"/>
              </w:rPr>
              <w:t>凡查实发现未按规定时间进行调整或设置路灯开闭时间的，发现1次扣1分，累计发现3次或以上此项计分全扣。同时，一旦发现擅自更改、关闭、破坏路灯设备的，此项计分全扣，并进行通报批评和追究相关责任。</w:t>
            </w:r>
          </w:p>
        </w:tc>
      </w:tr>
      <w:tr w14:paraId="59705989">
        <w:tblPrEx>
          <w:tblCellMar>
            <w:top w:w="0" w:type="dxa"/>
            <w:left w:w="108" w:type="dxa"/>
            <w:bottom w:w="0" w:type="dxa"/>
            <w:right w:w="108" w:type="dxa"/>
          </w:tblCellMar>
        </w:tblPrEx>
        <w:trPr>
          <w:trHeight w:val="480" w:hRule="atLeast"/>
        </w:trPr>
        <w:tc>
          <w:tcPr>
            <w:tcW w:w="10040" w:type="dxa"/>
            <w:gridSpan w:val="3"/>
            <w:tcBorders>
              <w:top w:val="single" w:color="000000" w:sz="4" w:space="0"/>
              <w:left w:val="single" w:color="000000" w:sz="4" w:space="0"/>
              <w:bottom w:val="single" w:color="000000" w:sz="4" w:space="0"/>
              <w:right w:val="single" w:color="000000" w:sz="4" w:space="0"/>
            </w:tcBorders>
            <w:noWrap w:val="0"/>
            <w:vAlign w:val="center"/>
          </w:tcPr>
          <w:p w14:paraId="038FA9D2">
            <w:pPr>
              <w:widowControl/>
              <w:jc w:val="center"/>
              <w:rPr>
                <w:rFonts w:ascii="宋体" w:hAnsi="宋体" w:eastAsia="宋体" w:cs="Arial"/>
                <w:szCs w:val="21"/>
              </w:rPr>
            </w:pPr>
            <w:bookmarkStart w:id="72" w:name="RANGE!A10"/>
            <w:r>
              <w:rPr>
                <w:rFonts w:hint="eastAsia" w:ascii="宋体" w:hAnsi="宋体" w:eastAsia="宋体" w:cs="Arial"/>
                <w:szCs w:val="21"/>
              </w:rPr>
              <w:t>（四）事故处理率（30分）</w:t>
            </w:r>
            <w:bookmarkEnd w:id="72"/>
          </w:p>
        </w:tc>
      </w:tr>
      <w:tr w14:paraId="02F7E991">
        <w:tblPrEx>
          <w:tblCellMar>
            <w:top w:w="0" w:type="dxa"/>
            <w:left w:w="108" w:type="dxa"/>
            <w:bottom w:w="0" w:type="dxa"/>
            <w:right w:w="108" w:type="dxa"/>
          </w:tblCellMar>
        </w:tblPrEx>
        <w:trPr>
          <w:trHeight w:val="675" w:hRule="atLeast"/>
        </w:trPr>
        <w:tc>
          <w:tcPr>
            <w:tcW w:w="4960" w:type="dxa"/>
            <w:tcBorders>
              <w:top w:val="nil"/>
              <w:left w:val="single" w:color="000000" w:sz="4" w:space="0"/>
              <w:bottom w:val="single" w:color="000000" w:sz="4" w:space="0"/>
              <w:right w:val="single" w:color="000000" w:sz="4" w:space="0"/>
            </w:tcBorders>
            <w:noWrap w:val="0"/>
            <w:vAlign w:val="center"/>
          </w:tcPr>
          <w:p w14:paraId="4F26988E">
            <w:pPr>
              <w:widowControl/>
              <w:jc w:val="left"/>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7337AB93">
            <w:pPr>
              <w:widowControl/>
              <w:jc w:val="left"/>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344E9396">
            <w:pPr>
              <w:widowControl/>
              <w:jc w:val="left"/>
              <w:rPr>
                <w:rFonts w:ascii="宋体" w:hAnsi="宋体" w:eastAsia="宋体" w:cs="Arial"/>
                <w:szCs w:val="21"/>
              </w:rPr>
            </w:pPr>
            <w:r>
              <w:rPr>
                <w:rFonts w:hint="eastAsia" w:ascii="宋体" w:hAnsi="宋体" w:eastAsia="宋体" w:cs="Arial"/>
                <w:szCs w:val="21"/>
              </w:rPr>
              <w:t>考核标准</w:t>
            </w:r>
          </w:p>
        </w:tc>
      </w:tr>
      <w:tr w14:paraId="738A65B4">
        <w:tblPrEx>
          <w:tblCellMar>
            <w:top w:w="0" w:type="dxa"/>
            <w:left w:w="108" w:type="dxa"/>
            <w:bottom w:w="0" w:type="dxa"/>
            <w:right w:w="108" w:type="dxa"/>
          </w:tblCellMar>
        </w:tblPrEx>
        <w:trPr>
          <w:trHeight w:val="557" w:hRule="atLeast"/>
        </w:trPr>
        <w:tc>
          <w:tcPr>
            <w:tcW w:w="4960" w:type="dxa"/>
            <w:tcBorders>
              <w:top w:val="nil"/>
              <w:left w:val="single" w:color="000000" w:sz="4" w:space="0"/>
              <w:bottom w:val="single" w:color="auto" w:sz="4" w:space="0"/>
              <w:right w:val="single" w:color="000000" w:sz="4" w:space="0"/>
            </w:tcBorders>
            <w:noWrap w:val="0"/>
            <w:vAlign w:val="center"/>
          </w:tcPr>
          <w:p w14:paraId="6AB978B0">
            <w:pPr>
              <w:widowControl/>
              <w:jc w:val="left"/>
              <w:rPr>
                <w:rFonts w:ascii="宋体" w:hAnsi="宋体" w:eastAsia="宋体" w:cs="Arial"/>
                <w:szCs w:val="21"/>
              </w:rPr>
            </w:pPr>
            <w:r>
              <w:rPr>
                <w:rFonts w:hint="eastAsia" w:ascii="宋体" w:hAnsi="宋体" w:eastAsia="宋体" w:cs="Arial"/>
                <w:szCs w:val="21"/>
              </w:rPr>
              <w:t>4.1故障修复及时率</w:t>
            </w:r>
            <w:r>
              <w:rPr>
                <w:rFonts w:hint="eastAsia" w:ascii="宋体" w:hAnsi="宋体" w:eastAsia="宋体" w:cs="Arial"/>
                <w:szCs w:val="21"/>
              </w:rPr>
              <w:br w:type="textWrapping" w:clear="all"/>
            </w:r>
            <w:r>
              <w:rPr>
                <w:rFonts w:hint="eastAsia" w:ascii="宋体" w:hAnsi="宋体" w:eastAsia="宋体" w:cs="Arial"/>
                <w:szCs w:val="21"/>
              </w:rPr>
              <w:t>4.2自接到通知之时起，有可能危及人身安全和扩大设备损失的故障，在30分钟内到现场处理；线路短路、断线、设备零部件损坏等一般性故障在24小时内修复；线路、设备被盗或其他原因造成路灯不亮24小时内无法修复的，应及时向主管部门报告，并在主管部门规定的时间内修复，线路、设备被盗应同时向公安部门报案。故障修复及时率合格标准为100％。</w:t>
            </w:r>
          </w:p>
        </w:tc>
        <w:tc>
          <w:tcPr>
            <w:tcW w:w="1151" w:type="dxa"/>
            <w:tcBorders>
              <w:top w:val="nil"/>
              <w:left w:val="nil"/>
              <w:bottom w:val="single" w:color="auto" w:sz="4" w:space="0"/>
              <w:right w:val="single" w:color="000000" w:sz="4" w:space="0"/>
            </w:tcBorders>
            <w:noWrap w:val="0"/>
            <w:vAlign w:val="center"/>
          </w:tcPr>
          <w:p w14:paraId="54501A93">
            <w:pPr>
              <w:widowControl/>
              <w:jc w:val="left"/>
              <w:rPr>
                <w:rFonts w:ascii="宋体" w:hAnsi="宋体" w:eastAsia="宋体" w:cs="Arial"/>
                <w:szCs w:val="21"/>
              </w:rPr>
            </w:pPr>
            <w:r>
              <w:rPr>
                <w:rFonts w:hint="eastAsia" w:ascii="宋体" w:hAnsi="宋体" w:eastAsia="宋体" w:cs="Arial"/>
                <w:szCs w:val="21"/>
              </w:rPr>
              <w:t>15</w:t>
            </w:r>
          </w:p>
        </w:tc>
        <w:tc>
          <w:tcPr>
            <w:tcW w:w="3929" w:type="dxa"/>
            <w:tcBorders>
              <w:top w:val="nil"/>
              <w:left w:val="nil"/>
              <w:bottom w:val="single" w:color="auto" w:sz="4" w:space="0"/>
              <w:right w:val="single" w:color="000000" w:sz="4" w:space="0"/>
            </w:tcBorders>
            <w:noWrap w:val="0"/>
            <w:vAlign w:val="center"/>
          </w:tcPr>
          <w:p w14:paraId="1190E7D5">
            <w:pPr>
              <w:widowControl/>
              <w:jc w:val="left"/>
              <w:rPr>
                <w:rFonts w:ascii="宋体" w:hAnsi="宋体" w:eastAsia="宋体" w:cs="Arial"/>
                <w:szCs w:val="21"/>
              </w:rPr>
            </w:pPr>
            <w:r>
              <w:rPr>
                <w:rFonts w:hint="eastAsia" w:ascii="宋体" w:hAnsi="宋体" w:eastAsia="宋体" w:cs="Arial"/>
                <w:szCs w:val="21"/>
              </w:rPr>
              <w:t>对重大事件，未在规定时间内修复的，发现一起一次扣5分，2起（含）以上此项计分为零；对一般性故障，未在规定时间内修复的，发现一起1次扣2.5分，以此类推；因相关原因导致无法在规定时间内完成修复工作，而未及时向主管部门报告的，发现1次此项计分全扣。</w:t>
            </w:r>
          </w:p>
        </w:tc>
      </w:tr>
      <w:tr w14:paraId="27F0A15F">
        <w:tblPrEx>
          <w:tblCellMar>
            <w:top w:w="0" w:type="dxa"/>
            <w:left w:w="108" w:type="dxa"/>
            <w:bottom w:w="0" w:type="dxa"/>
            <w:right w:w="108" w:type="dxa"/>
          </w:tblCellMar>
        </w:tblPrEx>
        <w:trPr>
          <w:trHeight w:val="1620" w:hRule="atLeast"/>
        </w:trPr>
        <w:tc>
          <w:tcPr>
            <w:tcW w:w="4960" w:type="dxa"/>
            <w:tcBorders>
              <w:top w:val="single" w:color="auto" w:sz="4" w:space="0"/>
              <w:left w:val="single" w:color="auto" w:sz="4" w:space="0"/>
              <w:bottom w:val="single" w:color="auto" w:sz="4" w:space="0"/>
              <w:right w:val="single" w:color="auto" w:sz="4" w:space="0"/>
            </w:tcBorders>
            <w:noWrap w:val="0"/>
            <w:vAlign w:val="center"/>
          </w:tcPr>
          <w:p w14:paraId="21C1C1A2">
            <w:pPr>
              <w:widowControl/>
              <w:jc w:val="left"/>
              <w:rPr>
                <w:rFonts w:ascii="宋体" w:hAnsi="宋体" w:eastAsia="宋体" w:cs="Arial"/>
                <w:szCs w:val="21"/>
              </w:rPr>
            </w:pPr>
            <w:r>
              <w:rPr>
                <w:rFonts w:hint="eastAsia" w:ascii="宋体" w:hAnsi="宋体" w:eastAsia="宋体" w:cs="Arial"/>
                <w:szCs w:val="21"/>
              </w:rPr>
              <w:t>4.3若光源电器等出现损坏，应立即更换相同规格品种的产品，如无相同的，须经采购人同意后，更换同等价值产品作为替换，维护材料质量合格率须达100%。若发现其它事故，应立即采取安全防护及应急处理措施，限时24小时内抢修完毕。</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69E3BECD">
            <w:pPr>
              <w:widowControl/>
              <w:jc w:val="left"/>
              <w:rPr>
                <w:rFonts w:ascii="宋体" w:hAnsi="宋体" w:eastAsia="宋体" w:cs="Arial"/>
                <w:szCs w:val="21"/>
              </w:rPr>
            </w:pPr>
            <w:r>
              <w:rPr>
                <w:rFonts w:hint="eastAsia" w:ascii="宋体" w:hAnsi="宋体" w:eastAsia="宋体" w:cs="Arial"/>
                <w:szCs w:val="21"/>
              </w:rPr>
              <w:t>5</w:t>
            </w:r>
          </w:p>
        </w:tc>
        <w:tc>
          <w:tcPr>
            <w:tcW w:w="3929" w:type="dxa"/>
            <w:tcBorders>
              <w:top w:val="single" w:color="auto" w:sz="4" w:space="0"/>
              <w:left w:val="single" w:color="auto" w:sz="4" w:space="0"/>
              <w:bottom w:val="single" w:color="auto" w:sz="4" w:space="0"/>
              <w:right w:val="single" w:color="auto" w:sz="4" w:space="0"/>
            </w:tcBorders>
            <w:noWrap w:val="0"/>
            <w:vAlign w:val="center"/>
          </w:tcPr>
          <w:p w14:paraId="5164947A">
            <w:pPr>
              <w:widowControl/>
              <w:jc w:val="left"/>
              <w:rPr>
                <w:rFonts w:ascii="宋体" w:hAnsi="宋体" w:eastAsia="宋体" w:cs="Arial"/>
                <w:szCs w:val="21"/>
              </w:rPr>
            </w:pPr>
            <w:r>
              <w:rPr>
                <w:rFonts w:hint="eastAsia" w:ascii="宋体" w:hAnsi="宋体" w:eastAsia="宋体" w:cs="Arial"/>
                <w:szCs w:val="21"/>
              </w:rPr>
              <w:t>未按采用相同规格品种的产品发现1次，扣1分，发生安全事故此项计分全扣，并由中标人承担全部经济、法律等一切责任。</w:t>
            </w:r>
          </w:p>
        </w:tc>
      </w:tr>
      <w:tr w14:paraId="45824B10">
        <w:tblPrEx>
          <w:tblCellMar>
            <w:top w:w="0" w:type="dxa"/>
            <w:left w:w="108" w:type="dxa"/>
            <w:bottom w:w="0" w:type="dxa"/>
            <w:right w:w="108" w:type="dxa"/>
          </w:tblCellMar>
        </w:tblPrEx>
        <w:trPr>
          <w:trHeight w:val="1350" w:hRule="atLeast"/>
        </w:trPr>
        <w:tc>
          <w:tcPr>
            <w:tcW w:w="4960" w:type="dxa"/>
            <w:tcBorders>
              <w:top w:val="single" w:color="auto" w:sz="4" w:space="0"/>
              <w:left w:val="single" w:color="000000" w:sz="4" w:space="0"/>
              <w:bottom w:val="single" w:color="000000" w:sz="4" w:space="0"/>
              <w:right w:val="single" w:color="000000" w:sz="4" w:space="0"/>
            </w:tcBorders>
            <w:noWrap w:val="0"/>
            <w:vAlign w:val="center"/>
          </w:tcPr>
          <w:p w14:paraId="4DAD1D78">
            <w:pPr>
              <w:widowControl/>
              <w:jc w:val="left"/>
              <w:rPr>
                <w:rFonts w:ascii="宋体" w:hAnsi="宋体" w:eastAsia="宋体" w:cs="Arial"/>
                <w:szCs w:val="21"/>
              </w:rPr>
            </w:pPr>
            <w:r>
              <w:rPr>
                <w:rFonts w:hint="eastAsia" w:ascii="宋体" w:hAnsi="宋体" w:eastAsia="宋体" w:cs="Arial"/>
                <w:szCs w:val="21"/>
              </w:rPr>
              <w:t>4.4做好安全生产措施。维修人员出车、上路维修灯杆、灯具、线路均需做好安全防护措施，设置符合规范长度的安全标志筒、安全指示灯、人员穿着反光衣等安全措施。</w:t>
            </w:r>
          </w:p>
        </w:tc>
        <w:tc>
          <w:tcPr>
            <w:tcW w:w="1151" w:type="dxa"/>
            <w:tcBorders>
              <w:top w:val="single" w:color="auto" w:sz="4" w:space="0"/>
              <w:left w:val="nil"/>
              <w:bottom w:val="single" w:color="000000" w:sz="4" w:space="0"/>
              <w:right w:val="single" w:color="000000" w:sz="4" w:space="0"/>
            </w:tcBorders>
            <w:noWrap w:val="0"/>
            <w:vAlign w:val="center"/>
          </w:tcPr>
          <w:p w14:paraId="2A33F1A7">
            <w:pPr>
              <w:widowControl/>
              <w:jc w:val="left"/>
              <w:rPr>
                <w:rFonts w:ascii="宋体" w:hAnsi="宋体" w:eastAsia="宋体" w:cs="Arial"/>
                <w:szCs w:val="21"/>
              </w:rPr>
            </w:pPr>
            <w:r>
              <w:rPr>
                <w:rFonts w:hint="eastAsia" w:ascii="宋体" w:hAnsi="宋体" w:eastAsia="宋体" w:cs="Arial"/>
                <w:szCs w:val="21"/>
              </w:rPr>
              <w:t>10</w:t>
            </w:r>
          </w:p>
        </w:tc>
        <w:tc>
          <w:tcPr>
            <w:tcW w:w="3929" w:type="dxa"/>
            <w:tcBorders>
              <w:top w:val="single" w:color="auto" w:sz="4" w:space="0"/>
              <w:left w:val="nil"/>
              <w:bottom w:val="single" w:color="000000" w:sz="4" w:space="0"/>
              <w:right w:val="single" w:color="000000" w:sz="4" w:space="0"/>
            </w:tcBorders>
            <w:noWrap w:val="0"/>
            <w:vAlign w:val="center"/>
          </w:tcPr>
          <w:p w14:paraId="639B56A3">
            <w:pPr>
              <w:widowControl/>
              <w:jc w:val="left"/>
              <w:rPr>
                <w:rFonts w:ascii="宋体" w:hAnsi="宋体" w:eastAsia="宋体" w:cs="Arial"/>
                <w:szCs w:val="21"/>
              </w:rPr>
            </w:pPr>
            <w:r>
              <w:rPr>
                <w:rFonts w:hint="eastAsia" w:ascii="宋体" w:hAnsi="宋体" w:eastAsia="宋体" w:cs="Arial"/>
                <w:szCs w:val="21"/>
              </w:rPr>
              <w:t>在维护路灯工作中，若发现一次扣5分。直至扣完为止。</w:t>
            </w:r>
          </w:p>
        </w:tc>
      </w:tr>
      <w:tr w14:paraId="476BAAB8">
        <w:tblPrEx>
          <w:tblCellMar>
            <w:top w:w="0" w:type="dxa"/>
            <w:left w:w="108" w:type="dxa"/>
            <w:bottom w:w="0" w:type="dxa"/>
            <w:right w:w="108" w:type="dxa"/>
          </w:tblCellMar>
        </w:tblPrEx>
        <w:trPr>
          <w:trHeight w:val="525" w:hRule="atLeast"/>
        </w:trPr>
        <w:tc>
          <w:tcPr>
            <w:tcW w:w="10040" w:type="dxa"/>
            <w:gridSpan w:val="3"/>
            <w:tcBorders>
              <w:top w:val="single" w:color="000000" w:sz="4" w:space="0"/>
              <w:left w:val="single" w:color="000000" w:sz="4" w:space="0"/>
              <w:bottom w:val="single" w:color="000000" w:sz="4" w:space="0"/>
              <w:right w:val="single" w:color="000000" w:sz="4" w:space="0"/>
            </w:tcBorders>
            <w:noWrap w:val="0"/>
            <w:vAlign w:val="center"/>
          </w:tcPr>
          <w:p w14:paraId="0EB0B0EB">
            <w:pPr>
              <w:widowControl/>
              <w:jc w:val="center"/>
              <w:rPr>
                <w:rFonts w:ascii="宋体" w:hAnsi="宋体" w:eastAsia="宋体" w:cs="Arial"/>
                <w:szCs w:val="21"/>
              </w:rPr>
            </w:pPr>
            <w:r>
              <w:rPr>
                <w:rFonts w:hint="eastAsia" w:ascii="宋体" w:hAnsi="宋体" w:eastAsia="宋体" w:cs="Arial"/>
                <w:szCs w:val="21"/>
              </w:rPr>
              <w:t>(五)投诉发生率（15分）</w:t>
            </w:r>
          </w:p>
        </w:tc>
      </w:tr>
      <w:tr w14:paraId="7BACDEA7">
        <w:tblPrEx>
          <w:tblCellMar>
            <w:top w:w="0" w:type="dxa"/>
            <w:left w:w="108" w:type="dxa"/>
            <w:bottom w:w="0" w:type="dxa"/>
            <w:right w:w="108" w:type="dxa"/>
          </w:tblCellMar>
        </w:tblPrEx>
        <w:trPr>
          <w:trHeight w:val="555" w:hRule="atLeast"/>
        </w:trPr>
        <w:tc>
          <w:tcPr>
            <w:tcW w:w="4960" w:type="dxa"/>
            <w:tcBorders>
              <w:top w:val="nil"/>
              <w:left w:val="single" w:color="000000" w:sz="4" w:space="0"/>
              <w:bottom w:val="single" w:color="000000" w:sz="4" w:space="0"/>
              <w:right w:val="single" w:color="000000" w:sz="4" w:space="0"/>
            </w:tcBorders>
            <w:noWrap w:val="0"/>
            <w:vAlign w:val="center"/>
          </w:tcPr>
          <w:p w14:paraId="66FD394B">
            <w:pPr>
              <w:widowControl/>
              <w:jc w:val="center"/>
              <w:rPr>
                <w:rFonts w:ascii="宋体" w:hAnsi="宋体" w:eastAsia="宋体" w:cs="Arial"/>
                <w:szCs w:val="21"/>
              </w:rPr>
            </w:pPr>
            <w:r>
              <w:rPr>
                <w:rFonts w:hint="eastAsia" w:ascii="宋体" w:hAnsi="宋体" w:eastAsia="宋体" w:cs="Arial"/>
                <w:szCs w:val="21"/>
              </w:rPr>
              <w:t>考核项目</w:t>
            </w:r>
          </w:p>
        </w:tc>
        <w:tc>
          <w:tcPr>
            <w:tcW w:w="1151" w:type="dxa"/>
            <w:tcBorders>
              <w:top w:val="nil"/>
              <w:left w:val="nil"/>
              <w:bottom w:val="single" w:color="000000" w:sz="4" w:space="0"/>
              <w:right w:val="single" w:color="000000" w:sz="4" w:space="0"/>
            </w:tcBorders>
            <w:noWrap w:val="0"/>
            <w:vAlign w:val="center"/>
          </w:tcPr>
          <w:p w14:paraId="4AB0BC34">
            <w:pPr>
              <w:widowControl/>
              <w:jc w:val="center"/>
              <w:rPr>
                <w:rFonts w:ascii="宋体" w:hAnsi="宋体" w:eastAsia="宋体" w:cs="Arial"/>
                <w:szCs w:val="21"/>
              </w:rPr>
            </w:pPr>
            <w:r>
              <w:rPr>
                <w:rFonts w:hint="eastAsia" w:ascii="宋体" w:hAnsi="宋体" w:eastAsia="宋体" w:cs="Arial"/>
                <w:szCs w:val="21"/>
              </w:rPr>
              <w:t>单项分值</w:t>
            </w:r>
          </w:p>
        </w:tc>
        <w:tc>
          <w:tcPr>
            <w:tcW w:w="3929" w:type="dxa"/>
            <w:tcBorders>
              <w:top w:val="nil"/>
              <w:left w:val="nil"/>
              <w:bottom w:val="single" w:color="000000" w:sz="4" w:space="0"/>
              <w:right w:val="single" w:color="000000" w:sz="4" w:space="0"/>
            </w:tcBorders>
            <w:noWrap w:val="0"/>
            <w:vAlign w:val="center"/>
          </w:tcPr>
          <w:p w14:paraId="30384F6D">
            <w:pPr>
              <w:widowControl/>
              <w:jc w:val="center"/>
              <w:rPr>
                <w:rFonts w:ascii="宋体" w:hAnsi="宋体" w:eastAsia="宋体" w:cs="Arial"/>
                <w:szCs w:val="21"/>
              </w:rPr>
            </w:pPr>
            <w:r>
              <w:rPr>
                <w:rFonts w:hint="eastAsia" w:ascii="宋体" w:hAnsi="宋体" w:eastAsia="宋体" w:cs="Arial"/>
                <w:szCs w:val="21"/>
              </w:rPr>
              <w:t>考核标准</w:t>
            </w:r>
          </w:p>
        </w:tc>
      </w:tr>
      <w:tr w14:paraId="28A0C5A0">
        <w:tblPrEx>
          <w:tblCellMar>
            <w:top w:w="0" w:type="dxa"/>
            <w:left w:w="108" w:type="dxa"/>
            <w:bottom w:w="0" w:type="dxa"/>
            <w:right w:w="108" w:type="dxa"/>
          </w:tblCellMar>
        </w:tblPrEx>
        <w:trPr>
          <w:trHeight w:val="60" w:hRule="atLeast"/>
        </w:trPr>
        <w:tc>
          <w:tcPr>
            <w:tcW w:w="4960" w:type="dxa"/>
            <w:tcBorders>
              <w:top w:val="nil"/>
              <w:left w:val="single" w:color="000000" w:sz="4" w:space="0"/>
              <w:bottom w:val="single" w:color="000000" w:sz="4" w:space="0"/>
              <w:right w:val="single" w:color="000000" w:sz="4" w:space="0"/>
            </w:tcBorders>
            <w:noWrap w:val="0"/>
            <w:vAlign w:val="center"/>
          </w:tcPr>
          <w:p w14:paraId="6D5641A4">
            <w:pPr>
              <w:widowControl/>
              <w:jc w:val="left"/>
              <w:rPr>
                <w:rFonts w:ascii="宋体" w:hAnsi="宋体" w:eastAsia="宋体" w:cs="Arial"/>
                <w:szCs w:val="21"/>
              </w:rPr>
            </w:pPr>
            <w:r>
              <w:rPr>
                <w:rFonts w:hint="eastAsia" w:ascii="宋体" w:hAnsi="宋体" w:eastAsia="宋体" w:cs="Arial"/>
                <w:szCs w:val="21"/>
              </w:rPr>
              <w:t>5.1接受社会各界的监督，做好本职工作管好工作人员不胡乱说话表态。</w:t>
            </w:r>
            <w:r>
              <w:rPr>
                <w:rFonts w:hint="eastAsia" w:ascii="宋体" w:hAnsi="宋体" w:eastAsia="宋体" w:cs="Arial"/>
                <w:szCs w:val="21"/>
              </w:rPr>
              <w:br w:type="textWrapping" w:clear="all"/>
            </w:r>
            <w:r>
              <w:rPr>
                <w:rFonts w:hint="eastAsia" w:ascii="宋体" w:hAnsi="宋体" w:eastAsia="宋体" w:cs="Arial"/>
                <w:szCs w:val="21"/>
              </w:rPr>
              <w:t>5.2热情接待各方面的投诉问题，积极处理好所投诉事项并及时答复投诉人。</w:t>
            </w:r>
          </w:p>
        </w:tc>
        <w:tc>
          <w:tcPr>
            <w:tcW w:w="1151" w:type="dxa"/>
            <w:tcBorders>
              <w:top w:val="nil"/>
              <w:left w:val="nil"/>
              <w:bottom w:val="single" w:color="000000" w:sz="4" w:space="0"/>
              <w:right w:val="single" w:color="000000" w:sz="4" w:space="0"/>
            </w:tcBorders>
            <w:noWrap w:val="0"/>
            <w:vAlign w:val="center"/>
          </w:tcPr>
          <w:p w14:paraId="05F5F532">
            <w:pPr>
              <w:widowControl/>
              <w:jc w:val="left"/>
              <w:rPr>
                <w:rFonts w:ascii="宋体" w:hAnsi="宋体" w:eastAsia="宋体" w:cs="Arial"/>
                <w:szCs w:val="21"/>
              </w:rPr>
            </w:pPr>
            <w:r>
              <w:rPr>
                <w:rFonts w:hint="eastAsia" w:ascii="宋体" w:hAnsi="宋体" w:eastAsia="宋体" w:cs="Arial"/>
                <w:szCs w:val="21"/>
              </w:rPr>
              <w:t>15</w:t>
            </w:r>
          </w:p>
        </w:tc>
        <w:tc>
          <w:tcPr>
            <w:tcW w:w="3929" w:type="dxa"/>
            <w:tcBorders>
              <w:top w:val="nil"/>
              <w:left w:val="nil"/>
              <w:bottom w:val="single" w:color="000000" w:sz="4" w:space="0"/>
              <w:right w:val="single" w:color="000000" w:sz="4" w:space="0"/>
            </w:tcBorders>
            <w:noWrap w:val="0"/>
            <w:vAlign w:val="center"/>
          </w:tcPr>
          <w:p w14:paraId="0FE08619">
            <w:pPr>
              <w:widowControl/>
              <w:jc w:val="left"/>
              <w:rPr>
                <w:rFonts w:ascii="宋体" w:hAnsi="宋体" w:eastAsia="宋体" w:cs="Arial"/>
                <w:szCs w:val="21"/>
              </w:rPr>
            </w:pPr>
            <w:r>
              <w:rPr>
                <w:rFonts w:hint="eastAsia" w:ascii="宋体" w:hAnsi="宋体" w:eastAsia="宋体" w:cs="Arial"/>
                <w:szCs w:val="21"/>
              </w:rPr>
              <w:t>凡政务热线12345、电话投诉发生一次扣1分，网络问政、平面媒体、电视台等方面投诉发生一次扣3分。维修管养单位在接到报障后，从报障时计120分钟内安排专业人员上门抢修现场，解决故障后不扣分。</w:t>
            </w:r>
          </w:p>
        </w:tc>
      </w:tr>
    </w:tbl>
    <w:p w14:paraId="42045C77">
      <w:pPr>
        <w:spacing w:line="276" w:lineRule="auto"/>
        <w:rPr>
          <w:rFonts w:hint="eastAsia" w:ascii="宋体" w:hAnsi="宋体" w:eastAsia="宋体" w:cs="宋体"/>
          <w:b/>
          <w:bCs/>
          <w:sz w:val="22"/>
          <w:szCs w:val="22"/>
        </w:rPr>
      </w:pPr>
    </w:p>
    <w:p w14:paraId="5508397E">
      <w:pPr>
        <w:pStyle w:val="347"/>
        <w:spacing w:line="276" w:lineRule="auto"/>
        <w:rPr>
          <w:rFonts w:ascii="宋体" w:hAnsi="宋体" w:eastAsia="宋体"/>
          <w:color w:val="000000"/>
        </w:rPr>
      </w:pPr>
      <w:r>
        <w:rPr>
          <w:rFonts w:ascii="宋体" w:hAnsi="宋体" w:eastAsia="宋体" w:cs="宋体"/>
          <w:color w:val="000000"/>
        </w:rPr>
        <w:br w:type="page" w:clear="all"/>
      </w:r>
      <w:r>
        <w:rPr>
          <w:rFonts w:hint="eastAsia" w:ascii="宋体" w:hAnsi="宋体" w:eastAsia="宋体" w:cs="宋体"/>
          <w:color w:val="000000"/>
        </w:rPr>
        <w:t>第六章电子磋商响应文件格式</w:t>
      </w:r>
      <w:bookmarkEnd w:id="68"/>
      <w:bookmarkEnd w:id="69"/>
      <w:bookmarkEnd w:id="70"/>
      <w:bookmarkEnd w:id="71"/>
    </w:p>
    <w:p w14:paraId="235A2018">
      <w:pPr>
        <w:spacing w:line="276" w:lineRule="auto"/>
        <w:outlineLvl w:val="1"/>
        <w:rPr>
          <w:rFonts w:ascii="宋体" w:hAnsi="宋体" w:eastAsia="宋体"/>
          <w:b/>
          <w:szCs w:val="21"/>
          <w:lang w:val="zh-CN"/>
        </w:rPr>
      </w:pPr>
      <w:bookmarkStart w:id="73" w:name="_Toc190329541"/>
      <w:r>
        <w:rPr>
          <w:rFonts w:hint="eastAsia" w:ascii="宋体" w:hAnsi="宋体" w:eastAsia="宋体"/>
          <w:b/>
          <w:szCs w:val="21"/>
          <w:lang w:val="zh-CN"/>
        </w:rPr>
        <w:t>附件一、磋商申请及声明格式</w:t>
      </w:r>
      <w:bookmarkEnd w:id="73"/>
    </w:p>
    <w:p w14:paraId="2AFA301D">
      <w:pPr>
        <w:spacing w:line="276" w:lineRule="auto"/>
        <w:jc w:val="center"/>
        <w:rPr>
          <w:rFonts w:ascii="宋体" w:hAnsi="宋体" w:eastAsia="宋体"/>
          <w:sz w:val="36"/>
        </w:rPr>
      </w:pPr>
      <w:bookmarkStart w:id="74" w:name="_Toc503948586"/>
      <w:bookmarkStart w:id="75" w:name="_Toc503948079"/>
      <w:r>
        <w:rPr>
          <w:rFonts w:hint="eastAsia" w:ascii="宋体" w:hAnsi="宋体" w:eastAsia="宋体"/>
          <w:sz w:val="36"/>
        </w:rPr>
        <w:t>磋商申请及声明</w:t>
      </w:r>
      <w:bookmarkEnd w:id="74"/>
      <w:bookmarkEnd w:id="75"/>
    </w:p>
    <w:p w14:paraId="02B1B967">
      <w:pPr>
        <w:spacing w:line="276" w:lineRule="auto"/>
        <w:rPr>
          <w:rFonts w:hint="eastAsia" w:ascii="宋体" w:hAnsi="宋体" w:eastAsia="宋体"/>
          <w:lang w:eastAsia="zh-CN"/>
        </w:rPr>
      </w:pPr>
      <w:bookmarkStart w:id="76" w:name="_Toc503948080"/>
      <w:bookmarkStart w:id="77" w:name="_Toc503948587"/>
      <w:r>
        <w:rPr>
          <w:rFonts w:hint="eastAsia" w:ascii="宋体" w:hAnsi="宋体" w:eastAsia="宋体"/>
        </w:rPr>
        <w:t>致：</w:t>
      </w:r>
      <w:bookmarkEnd w:id="76"/>
      <w:bookmarkEnd w:id="77"/>
      <w:r>
        <w:rPr>
          <w:rFonts w:hint="eastAsia" w:ascii="宋体" w:hAnsi="宋体" w:eastAsia="宋体"/>
          <w:lang w:eastAsia="zh-CN"/>
        </w:rPr>
        <w:t>南京富弘工程项目管理有限公司</w:t>
      </w:r>
    </w:p>
    <w:p w14:paraId="4DA9F154">
      <w:pPr>
        <w:spacing w:line="276" w:lineRule="auto"/>
        <w:ind w:firstLine="420"/>
        <w:rPr>
          <w:rFonts w:ascii="宋体" w:hAnsi="宋体" w:eastAsia="宋体"/>
          <w:szCs w:val="21"/>
          <w:lang w:val="zh-CN"/>
        </w:rPr>
      </w:pPr>
      <w:r>
        <w:rPr>
          <w:rFonts w:hint="eastAsia" w:ascii="宋体" w:hAnsi="宋体" w:eastAsia="宋体"/>
          <w:szCs w:val="21"/>
          <w:lang w:val="zh-CN"/>
        </w:rPr>
        <w:t>根据贵方</w:t>
      </w:r>
      <w:r>
        <w:rPr>
          <w:rFonts w:hint="eastAsia" w:ascii="宋体" w:hAnsi="宋体" w:eastAsia="宋体"/>
          <w:szCs w:val="21"/>
          <w:u w:val="single"/>
          <w:lang w:val="zh-CN"/>
        </w:rPr>
        <w:t>（项目名称）（项目编号）</w:t>
      </w:r>
      <w:r>
        <w:rPr>
          <w:rFonts w:hint="eastAsia" w:ascii="宋体" w:hAnsi="宋体" w:eastAsia="宋体"/>
          <w:szCs w:val="21"/>
          <w:lang w:val="zh-CN"/>
        </w:rPr>
        <w:t>磋商邀请，正式授权下述</w:t>
      </w:r>
      <w:r>
        <w:rPr>
          <w:rFonts w:hint="eastAsia" w:ascii="宋体" w:hAnsi="宋体" w:eastAsia="宋体"/>
          <w:szCs w:val="21"/>
          <w:u w:val="single"/>
          <w:lang w:val="zh-CN"/>
        </w:rPr>
        <w:t>签字人</w:t>
      </w:r>
      <w:r>
        <w:rPr>
          <w:rFonts w:ascii="宋体" w:hAnsi="宋体" w:eastAsia="宋体"/>
          <w:szCs w:val="21"/>
          <w:u w:val="single"/>
          <w:lang w:val="zh-CN"/>
        </w:rPr>
        <w:t>(</w:t>
      </w:r>
      <w:r>
        <w:rPr>
          <w:rFonts w:hint="eastAsia" w:ascii="宋体" w:hAnsi="宋体" w:eastAsia="宋体"/>
          <w:szCs w:val="21"/>
          <w:u w:val="single"/>
          <w:lang w:val="zh-CN"/>
        </w:rPr>
        <w:t>姓名和职务</w:t>
      </w:r>
      <w:r>
        <w:rPr>
          <w:rFonts w:ascii="宋体" w:hAnsi="宋体" w:eastAsia="宋体"/>
          <w:szCs w:val="21"/>
          <w:u w:val="single"/>
          <w:lang w:val="zh-CN"/>
        </w:rPr>
        <w:t>)</w:t>
      </w:r>
      <w:r>
        <w:rPr>
          <w:rFonts w:hint="eastAsia" w:ascii="宋体" w:hAnsi="宋体" w:eastAsia="宋体"/>
          <w:szCs w:val="21"/>
          <w:lang w:val="zh-CN"/>
        </w:rPr>
        <w:t>代表</w:t>
      </w:r>
      <w:r>
        <w:rPr>
          <w:rFonts w:hint="eastAsia" w:ascii="宋体" w:hAnsi="宋体" w:eastAsia="宋体"/>
          <w:szCs w:val="21"/>
          <w:u w:val="single"/>
          <w:lang w:val="zh-CN"/>
        </w:rPr>
        <w:t>磋商供应商（磋商供应商名称）</w:t>
      </w:r>
      <w:r>
        <w:rPr>
          <w:rFonts w:hint="eastAsia" w:ascii="宋体" w:hAnsi="宋体" w:eastAsia="宋体"/>
          <w:szCs w:val="21"/>
          <w:lang w:val="zh-CN"/>
        </w:rPr>
        <w:t>，提交电子磋商文件。</w:t>
      </w:r>
    </w:p>
    <w:p w14:paraId="75C8177B">
      <w:pPr>
        <w:spacing w:line="276" w:lineRule="auto"/>
        <w:ind w:firstLine="420"/>
        <w:rPr>
          <w:rFonts w:ascii="宋体" w:hAnsi="宋体" w:eastAsia="宋体"/>
          <w:szCs w:val="21"/>
          <w:lang w:val="zh-CN"/>
        </w:rPr>
      </w:pPr>
      <w:r>
        <w:rPr>
          <w:rFonts w:hint="eastAsia" w:ascii="宋体" w:hAnsi="宋体" w:eastAsia="宋体"/>
          <w:szCs w:val="21"/>
          <w:lang w:val="zh-CN"/>
        </w:rPr>
        <w:t>据此函，签字人兹宣布声明和承诺如下：</w:t>
      </w:r>
    </w:p>
    <w:p w14:paraId="5E77CE92">
      <w:pPr>
        <w:spacing w:line="276" w:lineRule="auto"/>
        <w:ind w:firstLine="420"/>
        <w:rPr>
          <w:rFonts w:ascii="宋体" w:hAnsi="宋体" w:eastAsia="宋体"/>
        </w:rPr>
      </w:pPr>
      <w:r>
        <w:rPr>
          <w:rFonts w:ascii="宋体" w:hAnsi="宋体" w:eastAsia="宋体"/>
          <w:szCs w:val="21"/>
          <w:lang w:val="zh-CN"/>
        </w:rPr>
        <w:t>1</w:t>
      </w:r>
      <w:r>
        <w:rPr>
          <w:rFonts w:hint="eastAsia" w:ascii="宋体" w:hAnsi="宋体" w:eastAsia="宋体"/>
          <w:szCs w:val="21"/>
          <w:lang w:val="zh-CN"/>
        </w:rPr>
        <w:t>、</w:t>
      </w:r>
      <w:r>
        <w:rPr>
          <w:rFonts w:hint="eastAsia" w:ascii="宋体" w:hAnsi="宋体" w:eastAsia="宋体"/>
          <w:b/>
          <w:szCs w:val="21"/>
          <w:lang w:val="zh-CN"/>
        </w:rPr>
        <w:t>我们的资格条件完全符合政府采购法和本次招标要求</w:t>
      </w:r>
      <w:r>
        <w:rPr>
          <w:rFonts w:hint="eastAsia" w:ascii="宋体" w:hAnsi="宋体" w:eastAsia="宋体"/>
          <w:szCs w:val="21"/>
          <w:lang w:val="zh-CN"/>
        </w:rPr>
        <w:t>，</w:t>
      </w:r>
      <w:r>
        <w:rPr>
          <w:rFonts w:hint="eastAsia" w:ascii="宋体" w:hAnsi="宋体" w:eastAsia="宋体"/>
        </w:rPr>
        <w:t>我们</w:t>
      </w:r>
      <w:r>
        <w:rPr>
          <w:rFonts w:hint="eastAsia" w:ascii="宋体" w:hAnsi="宋体" w:eastAsia="宋体"/>
          <w:szCs w:val="21"/>
          <w:lang w:val="zh-CN"/>
        </w:rPr>
        <w:t>同意并向贵方提供了与磋商有关的所有证据和资料。</w:t>
      </w:r>
    </w:p>
    <w:p w14:paraId="68134F62">
      <w:pPr>
        <w:spacing w:line="276" w:lineRule="auto"/>
        <w:ind w:firstLine="420"/>
        <w:rPr>
          <w:rFonts w:ascii="宋体" w:hAnsi="宋体" w:eastAsia="宋体"/>
          <w:szCs w:val="21"/>
        </w:rPr>
      </w:pPr>
      <w:r>
        <w:rPr>
          <w:rFonts w:hint="eastAsia" w:ascii="宋体" w:hAnsi="宋体" w:eastAsia="宋体"/>
        </w:rPr>
        <w:t>2、</w:t>
      </w:r>
      <w:r>
        <w:rPr>
          <w:rFonts w:hint="eastAsia" w:ascii="宋体" w:hAnsi="宋体" w:eastAsia="宋体"/>
          <w:szCs w:val="21"/>
          <w:lang w:val="zh-CN"/>
        </w:rPr>
        <w:t>按招标要求，我们的磋商</w:t>
      </w:r>
      <w:r>
        <w:rPr>
          <w:rFonts w:hint="eastAsia" w:ascii="宋体" w:hAnsi="宋体" w:eastAsia="宋体"/>
          <w:b/>
          <w:szCs w:val="21"/>
          <w:u w:val="single"/>
          <w:lang w:val="zh-CN"/>
        </w:rPr>
        <w:t>（项目名称）</w:t>
      </w:r>
      <w:r>
        <w:rPr>
          <w:rFonts w:hint="eastAsia" w:ascii="宋体" w:hAnsi="宋体" w:eastAsia="宋体"/>
          <w:szCs w:val="21"/>
        </w:rPr>
        <w:t>服务报价：总价为：</w:t>
      </w:r>
      <w:r>
        <w:rPr>
          <w:rFonts w:hint="eastAsia" w:ascii="宋体" w:hAnsi="宋体" w:eastAsia="宋体"/>
          <w:szCs w:val="21"/>
          <w:u w:val="single"/>
        </w:rPr>
        <w:t xml:space="preserve">          </w:t>
      </w:r>
      <w:r>
        <w:rPr>
          <w:rFonts w:hint="eastAsia" w:ascii="宋体" w:hAnsi="宋体" w:eastAsia="宋体"/>
          <w:szCs w:val="21"/>
        </w:rPr>
        <w:t>（大写）人民币（¥）</w:t>
      </w:r>
      <w:r>
        <w:rPr>
          <w:rFonts w:hint="eastAsia" w:ascii="宋体" w:hAnsi="宋体" w:eastAsia="宋体"/>
          <w:szCs w:val="21"/>
          <w:u w:val="single"/>
        </w:rPr>
        <w:t xml:space="preserve">          </w:t>
      </w:r>
      <w:r>
        <w:rPr>
          <w:rFonts w:hint="eastAsia" w:ascii="宋体" w:hAnsi="宋体" w:eastAsia="宋体"/>
          <w:szCs w:val="21"/>
        </w:rPr>
        <w:t>；</w:t>
      </w:r>
    </w:p>
    <w:p w14:paraId="3C009DF5">
      <w:pPr>
        <w:spacing w:line="276" w:lineRule="auto"/>
        <w:ind w:firstLine="420"/>
        <w:rPr>
          <w:rFonts w:ascii="宋体" w:hAnsi="宋体" w:eastAsia="宋体"/>
          <w:szCs w:val="21"/>
          <w:lang w:val="zh-CN"/>
        </w:rPr>
      </w:pPr>
      <w:r>
        <w:rPr>
          <w:rFonts w:hint="eastAsia" w:ascii="宋体" w:hAnsi="宋体" w:eastAsia="宋体"/>
          <w:szCs w:val="21"/>
          <w:lang w:val="zh-CN"/>
        </w:rPr>
        <w:t>3、我们已详细审核全部磋商文件及其有效补充文件，我们放弃对磋商文件任何误解的权利，提交磋商文件后，</w:t>
      </w:r>
      <w:r>
        <w:rPr>
          <w:rFonts w:hint="eastAsia" w:ascii="宋体" w:hAnsi="宋体" w:eastAsia="宋体"/>
          <w:b/>
          <w:szCs w:val="21"/>
          <w:lang w:val="zh-CN"/>
        </w:rPr>
        <w:t>不对磋商文件本身提出质疑</w:t>
      </w:r>
      <w:r>
        <w:rPr>
          <w:rFonts w:hint="eastAsia" w:ascii="宋体" w:hAnsi="宋体" w:eastAsia="宋体"/>
          <w:szCs w:val="21"/>
          <w:lang w:val="zh-CN"/>
        </w:rPr>
        <w:t>。</w:t>
      </w:r>
    </w:p>
    <w:p w14:paraId="739BD77F">
      <w:pPr>
        <w:spacing w:line="276" w:lineRule="auto"/>
        <w:ind w:firstLine="420"/>
        <w:rPr>
          <w:rFonts w:ascii="宋体" w:hAnsi="宋体" w:eastAsia="宋体"/>
          <w:szCs w:val="21"/>
          <w:lang w:val="zh-CN"/>
        </w:rPr>
      </w:pPr>
      <w:r>
        <w:rPr>
          <w:rFonts w:hint="eastAsia" w:ascii="宋体" w:hAnsi="宋体" w:eastAsia="宋体"/>
          <w:szCs w:val="21"/>
          <w:lang w:val="zh-CN"/>
        </w:rPr>
        <w:t>4、我们同意从规定的磋商日期起遵循本磋商文件，并在规定的磋商有效期期满之前均具有约束力。</w:t>
      </w:r>
    </w:p>
    <w:p w14:paraId="0E2267E1">
      <w:pPr>
        <w:spacing w:line="276" w:lineRule="auto"/>
        <w:ind w:firstLine="420"/>
        <w:rPr>
          <w:rFonts w:ascii="宋体" w:hAnsi="宋体" w:eastAsia="宋体"/>
          <w:szCs w:val="21"/>
          <w:lang w:val="zh-CN"/>
        </w:rPr>
      </w:pPr>
      <w:r>
        <w:rPr>
          <w:rFonts w:hint="eastAsia" w:ascii="宋体" w:hAnsi="宋体" w:eastAsia="宋体"/>
          <w:szCs w:val="21"/>
          <w:lang w:val="zh-CN"/>
        </w:rPr>
        <w:t>5、</w:t>
      </w:r>
      <w:r>
        <w:rPr>
          <w:rFonts w:hint="eastAsia" w:ascii="宋体" w:hAnsi="宋体" w:eastAsia="宋体"/>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14:paraId="1244CE7E">
      <w:pPr>
        <w:spacing w:line="276" w:lineRule="auto"/>
        <w:ind w:firstLine="420"/>
        <w:rPr>
          <w:rFonts w:ascii="宋体" w:hAnsi="宋体" w:eastAsia="宋体"/>
          <w:szCs w:val="21"/>
          <w:lang w:val="zh-CN"/>
        </w:rPr>
      </w:pPr>
      <w:r>
        <w:rPr>
          <w:rFonts w:hint="eastAsia" w:ascii="宋体" w:hAnsi="宋体" w:eastAsia="宋体"/>
          <w:szCs w:val="21"/>
          <w:lang w:val="zh-CN"/>
        </w:rPr>
        <w:t>6、一旦我方中标，我方将根据磋商文件的规定严格履行合同，并保证于承诺的时间完成货物的启动</w:t>
      </w:r>
      <w:r>
        <w:rPr>
          <w:rFonts w:ascii="宋体" w:hAnsi="宋体" w:eastAsia="宋体"/>
          <w:szCs w:val="21"/>
          <w:lang w:val="zh-CN"/>
        </w:rPr>
        <w:t>/</w:t>
      </w:r>
      <w:r>
        <w:rPr>
          <w:rFonts w:hint="eastAsia" w:ascii="宋体" w:hAnsi="宋体" w:eastAsia="宋体"/>
          <w:szCs w:val="21"/>
          <w:lang w:val="zh-CN"/>
        </w:rPr>
        <w:t>集成、调试等服务，交付采购人验收、使用。</w:t>
      </w:r>
    </w:p>
    <w:p w14:paraId="314F6CBA">
      <w:pPr>
        <w:spacing w:line="276" w:lineRule="auto"/>
        <w:ind w:firstLine="420"/>
        <w:rPr>
          <w:rFonts w:ascii="宋体" w:hAnsi="宋体" w:eastAsia="宋体"/>
          <w:szCs w:val="21"/>
          <w:lang w:val="zh-CN"/>
        </w:rPr>
      </w:pPr>
      <w:r>
        <w:rPr>
          <w:rFonts w:hint="eastAsia" w:ascii="宋体" w:hAnsi="宋体" w:eastAsia="宋体"/>
          <w:szCs w:val="21"/>
          <w:lang w:val="zh-CN"/>
        </w:rPr>
        <w:t>7、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44894D0A">
      <w:pPr>
        <w:spacing w:line="276" w:lineRule="auto"/>
        <w:ind w:firstLine="420"/>
        <w:rPr>
          <w:rFonts w:hint="eastAsia" w:ascii="宋体" w:hAnsi="宋体" w:eastAsia="宋体"/>
          <w:szCs w:val="21"/>
          <w:lang w:val="zh-CN"/>
        </w:rPr>
      </w:pPr>
      <w:r>
        <w:rPr>
          <w:rFonts w:hint="eastAsia" w:ascii="宋体" w:hAnsi="宋体" w:eastAsia="宋体"/>
          <w:szCs w:val="21"/>
        </w:rPr>
        <w:t>8</w:t>
      </w:r>
      <w:r>
        <w:rPr>
          <w:rFonts w:hint="eastAsia" w:ascii="宋体" w:hAnsi="宋体" w:eastAsia="宋体"/>
          <w:szCs w:val="21"/>
          <w:lang w:val="zh-CN"/>
        </w:rPr>
        <w:t>、本项目拟派项目负责人，联系方式：</w:t>
      </w:r>
      <w:r>
        <w:rPr>
          <w:rFonts w:hint="eastAsia" w:ascii="宋体" w:hAnsi="宋体" w:eastAsia="宋体"/>
          <w:szCs w:val="21"/>
          <w:u w:val="single"/>
        </w:rPr>
        <w:t xml:space="preserve">          </w:t>
      </w:r>
      <w:r>
        <w:rPr>
          <w:rFonts w:hint="eastAsia" w:ascii="宋体" w:hAnsi="宋体" w:eastAsia="宋体"/>
          <w:szCs w:val="21"/>
          <w:lang w:val="zh-CN"/>
        </w:rPr>
        <w:t>。</w:t>
      </w:r>
    </w:p>
    <w:p w14:paraId="62140ECB">
      <w:pPr>
        <w:spacing w:line="276" w:lineRule="auto"/>
        <w:ind w:firstLine="420"/>
        <w:rPr>
          <w:rFonts w:ascii="宋体" w:hAnsi="宋体" w:eastAsia="宋体"/>
          <w:szCs w:val="21"/>
          <w:lang w:val="zh-CN"/>
        </w:rPr>
      </w:pPr>
      <w:r>
        <w:rPr>
          <w:rFonts w:hint="eastAsia" w:ascii="宋体" w:hAnsi="宋体" w:eastAsia="宋体"/>
          <w:szCs w:val="21"/>
        </w:rPr>
        <w:t>9</w:t>
      </w:r>
      <w:r>
        <w:rPr>
          <w:rFonts w:hint="eastAsia" w:ascii="宋体" w:hAnsi="宋体" w:eastAsia="宋体"/>
          <w:szCs w:val="21"/>
          <w:lang w:val="zh-CN"/>
        </w:rPr>
        <w:t>、与本磋商有关的正式联系方式为：</w:t>
      </w:r>
    </w:p>
    <w:p w14:paraId="7359FFEA">
      <w:pPr>
        <w:spacing w:line="276" w:lineRule="auto"/>
        <w:ind w:firstLine="420"/>
        <w:rPr>
          <w:rFonts w:ascii="宋体" w:hAnsi="宋体" w:eastAsia="宋体"/>
          <w:szCs w:val="21"/>
          <w:u w:val="single"/>
          <w:lang w:val="zh-CN"/>
        </w:rPr>
      </w:pPr>
      <w:r>
        <w:rPr>
          <w:rFonts w:hint="eastAsia" w:ascii="宋体" w:hAnsi="宋体" w:eastAsia="宋体"/>
          <w:szCs w:val="21"/>
          <w:lang w:val="zh-CN"/>
        </w:rPr>
        <w:t xml:space="preserve">地址： </w:t>
      </w:r>
      <w:r>
        <w:rPr>
          <w:rFonts w:ascii="宋体" w:hAnsi="宋体" w:eastAsia="宋体"/>
          <w:szCs w:val="21"/>
          <w:lang w:val="zh-CN"/>
        </w:rPr>
        <w:t xml:space="preserve">         </w:t>
      </w:r>
      <w:r>
        <w:rPr>
          <w:rFonts w:hint="eastAsia" w:ascii="宋体" w:hAnsi="宋体" w:eastAsia="宋体"/>
          <w:szCs w:val="21"/>
          <w:lang w:val="zh-CN"/>
        </w:rPr>
        <w:t>电话：</w:t>
      </w:r>
    </w:p>
    <w:p w14:paraId="76190FFB">
      <w:pPr>
        <w:spacing w:line="276" w:lineRule="auto"/>
        <w:ind w:firstLine="420"/>
        <w:rPr>
          <w:rFonts w:ascii="宋体" w:hAnsi="宋体" w:eastAsia="宋体"/>
          <w:szCs w:val="21"/>
          <w:lang w:val="zh-CN"/>
        </w:rPr>
      </w:pPr>
      <w:r>
        <w:rPr>
          <w:rFonts w:hint="eastAsia" w:ascii="宋体" w:hAnsi="宋体" w:eastAsia="宋体"/>
          <w:szCs w:val="21"/>
          <w:lang w:val="zh-CN"/>
        </w:rPr>
        <w:t xml:space="preserve">传真： </w:t>
      </w:r>
      <w:r>
        <w:rPr>
          <w:rFonts w:ascii="宋体" w:hAnsi="宋体" w:eastAsia="宋体"/>
          <w:szCs w:val="21"/>
          <w:lang w:val="zh-CN"/>
        </w:rPr>
        <w:t xml:space="preserve">         </w:t>
      </w:r>
      <w:r>
        <w:rPr>
          <w:rFonts w:hint="eastAsia" w:ascii="宋体" w:hAnsi="宋体" w:eastAsia="宋体"/>
          <w:szCs w:val="21"/>
          <w:lang w:val="zh-CN"/>
        </w:rPr>
        <w:t>开户银行：</w:t>
      </w:r>
    </w:p>
    <w:p w14:paraId="718DA531">
      <w:pPr>
        <w:spacing w:line="276" w:lineRule="auto"/>
        <w:ind w:firstLine="420"/>
        <w:rPr>
          <w:rFonts w:ascii="宋体" w:hAnsi="宋体" w:eastAsia="宋体"/>
          <w:szCs w:val="21"/>
          <w:lang w:val="zh-CN"/>
        </w:rPr>
      </w:pPr>
      <w:r>
        <w:rPr>
          <w:rFonts w:hint="eastAsia" w:ascii="宋体" w:hAnsi="宋体" w:eastAsia="宋体"/>
          <w:szCs w:val="21"/>
          <w:lang w:val="zh-CN"/>
        </w:rPr>
        <w:t>银行账号：</w:t>
      </w:r>
    </w:p>
    <w:p w14:paraId="359C8285">
      <w:pPr>
        <w:spacing w:line="276" w:lineRule="auto"/>
        <w:ind w:firstLine="420"/>
        <w:rPr>
          <w:rFonts w:ascii="宋体" w:hAnsi="宋体" w:eastAsia="宋体"/>
          <w:szCs w:val="21"/>
          <w:u w:val="single"/>
          <w:lang w:val="zh-CN"/>
        </w:rPr>
      </w:pPr>
      <w:r>
        <w:rPr>
          <w:rFonts w:hint="eastAsia" w:ascii="宋体" w:hAnsi="宋体" w:eastAsia="宋体" w:cs="宋体"/>
          <w:szCs w:val="21"/>
        </w:rPr>
        <w:t>供应商名称（加盖电子公章）</w:t>
      </w:r>
      <w:r>
        <w:rPr>
          <w:rFonts w:hint="eastAsia" w:ascii="宋体" w:hAnsi="宋体" w:eastAsia="宋体"/>
          <w:szCs w:val="21"/>
          <w:lang w:val="zh-CN"/>
        </w:rPr>
        <w:t>：</w:t>
      </w:r>
    </w:p>
    <w:p w14:paraId="291BFF5E">
      <w:pPr>
        <w:spacing w:line="276" w:lineRule="auto"/>
        <w:ind w:firstLine="420"/>
        <w:rPr>
          <w:rFonts w:ascii="宋体" w:hAnsi="宋体" w:eastAsia="宋体"/>
          <w:szCs w:val="21"/>
          <w:lang w:val="zh-CN"/>
        </w:rPr>
      </w:pPr>
      <w:r>
        <w:rPr>
          <w:rFonts w:hint="eastAsia" w:ascii="宋体" w:hAnsi="宋体" w:eastAsia="宋体"/>
          <w:szCs w:val="21"/>
          <w:lang w:val="zh-CN"/>
        </w:rPr>
        <w:t>日期： 年 月 日</w:t>
      </w:r>
    </w:p>
    <w:p w14:paraId="2B0C9AFE">
      <w:pPr>
        <w:spacing w:line="276" w:lineRule="auto"/>
        <w:jc w:val="left"/>
        <w:outlineLvl w:val="1"/>
        <w:rPr>
          <w:rFonts w:ascii="宋体" w:hAnsi="宋体" w:eastAsia="宋体"/>
          <w:b/>
          <w:szCs w:val="21"/>
        </w:rPr>
      </w:pPr>
      <w:r>
        <w:rPr>
          <w:rFonts w:ascii="宋体" w:hAnsi="宋体" w:eastAsia="宋体"/>
          <w:b/>
          <w:szCs w:val="21"/>
        </w:rPr>
        <w:br w:type="page" w:clear="all"/>
      </w:r>
      <w:bookmarkStart w:id="78" w:name="_Toc190329542"/>
      <w:r>
        <w:rPr>
          <w:rFonts w:hint="eastAsia" w:ascii="宋体" w:hAnsi="宋体" w:eastAsia="宋体"/>
          <w:b/>
          <w:szCs w:val="21"/>
        </w:rPr>
        <w:t>附件二、法定代表人授权委托书格式</w:t>
      </w:r>
      <w:bookmarkEnd w:id="78"/>
    </w:p>
    <w:p w14:paraId="1FE76C9A">
      <w:pPr>
        <w:spacing w:line="276" w:lineRule="auto"/>
        <w:jc w:val="center"/>
        <w:rPr>
          <w:rFonts w:ascii="宋体" w:hAnsi="宋体" w:eastAsia="宋体"/>
          <w:b/>
          <w:sz w:val="24"/>
        </w:rPr>
      </w:pPr>
      <w:bookmarkStart w:id="79" w:name="_Toc503948081"/>
      <w:bookmarkStart w:id="80" w:name="_Toc503948588"/>
      <w:r>
        <w:rPr>
          <w:rFonts w:hint="eastAsia" w:ascii="宋体" w:hAnsi="宋体" w:eastAsia="宋体"/>
          <w:b/>
          <w:sz w:val="24"/>
        </w:rPr>
        <w:t>法定代表人授权委托书</w:t>
      </w:r>
      <w:bookmarkEnd w:id="79"/>
      <w:bookmarkEnd w:id="80"/>
    </w:p>
    <w:p w14:paraId="37FFE53F">
      <w:pPr>
        <w:widowControl/>
        <w:spacing w:line="276" w:lineRule="auto"/>
        <w:jc w:val="left"/>
        <w:rPr>
          <w:rFonts w:ascii="宋体" w:hAnsi="宋体" w:eastAsia="宋体" w:cs="Trebuchet MS"/>
          <w:szCs w:val="21"/>
          <w:lang w:val="zh-CN"/>
        </w:rPr>
      </w:pPr>
      <w:r>
        <w:rPr>
          <w:rFonts w:hint="eastAsia" w:ascii="宋体" w:hAnsi="宋体" w:eastAsia="宋体"/>
          <w:szCs w:val="21"/>
          <w:lang w:val="zh-CN"/>
        </w:rPr>
        <w:t>南京富弘工程项目管理有限公司</w:t>
      </w:r>
      <w:r>
        <w:rPr>
          <w:rFonts w:hint="eastAsia" w:ascii="宋体" w:hAnsi="宋体" w:eastAsia="宋体" w:cs="Trebuchet MS"/>
          <w:szCs w:val="21"/>
          <w:lang w:val="zh-CN"/>
        </w:rPr>
        <w:t>：</w:t>
      </w:r>
    </w:p>
    <w:p w14:paraId="2A8B5B54">
      <w:pPr>
        <w:widowControl/>
        <w:spacing w:line="276" w:lineRule="auto"/>
        <w:ind w:firstLine="420"/>
        <w:jc w:val="left"/>
        <w:rPr>
          <w:rFonts w:ascii="宋体" w:hAnsi="宋体" w:eastAsia="宋体" w:cs="Trebuchet MS"/>
          <w:szCs w:val="21"/>
          <w:lang w:val="zh-CN"/>
        </w:rPr>
      </w:pPr>
      <w:r>
        <w:rPr>
          <w:rFonts w:hint="eastAsia" w:ascii="宋体" w:hAnsi="宋体" w:eastAsia="宋体" w:cs="Trebuchet MS"/>
          <w:szCs w:val="21"/>
          <w:lang w:val="zh-CN"/>
        </w:rPr>
        <w:t>本授权书声明：注册于</w:t>
      </w:r>
      <w:r>
        <w:rPr>
          <w:rFonts w:hint="eastAsia" w:ascii="宋体" w:hAnsi="宋体" w:eastAsia="宋体" w:cs="Trebuchet MS"/>
          <w:szCs w:val="21"/>
          <w:u w:val="single"/>
          <w:lang w:val="zh-CN"/>
        </w:rPr>
        <w:t>（磋商供应商住址）</w:t>
      </w:r>
      <w:r>
        <w:rPr>
          <w:rFonts w:hint="eastAsia" w:ascii="宋体" w:hAnsi="宋体" w:eastAsia="宋体" w:cs="Trebuchet MS"/>
          <w:szCs w:val="21"/>
          <w:lang w:val="zh-CN"/>
        </w:rPr>
        <w:t>的</w:t>
      </w:r>
      <w:r>
        <w:rPr>
          <w:rFonts w:hint="eastAsia" w:ascii="宋体" w:hAnsi="宋体" w:eastAsia="宋体" w:cs="Trebuchet MS"/>
          <w:szCs w:val="21"/>
          <w:u w:val="single"/>
          <w:lang w:val="zh-CN"/>
        </w:rPr>
        <w:t>（磋商供应商名称）</w:t>
      </w:r>
      <w:r>
        <w:rPr>
          <w:rFonts w:hint="eastAsia" w:ascii="宋体" w:hAnsi="宋体" w:eastAsia="宋体" w:cs="Trebuchet MS"/>
          <w:szCs w:val="21"/>
          <w:lang w:val="zh-CN"/>
        </w:rPr>
        <w:t>法定代表人</w:t>
      </w:r>
      <w:r>
        <w:rPr>
          <w:rFonts w:hint="eastAsia" w:ascii="宋体" w:hAnsi="宋体" w:eastAsia="宋体" w:cs="Trebuchet MS"/>
          <w:szCs w:val="21"/>
          <w:u w:val="single"/>
          <w:lang w:val="zh-CN"/>
        </w:rPr>
        <w:t>（法定代表人姓名、职务）</w:t>
      </w:r>
      <w:r>
        <w:rPr>
          <w:rFonts w:hint="eastAsia" w:ascii="宋体" w:hAnsi="宋体" w:eastAsia="宋体" w:cs="Trebuchet MS"/>
          <w:szCs w:val="21"/>
          <w:lang w:val="zh-CN"/>
        </w:rPr>
        <w:t>代表本公司授权在下面签字的</w:t>
      </w:r>
      <w:r>
        <w:rPr>
          <w:rFonts w:hint="eastAsia" w:ascii="宋体" w:hAnsi="宋体" w:eastAsia="宋体" w:cs="Trebuchet MS"/>
          <w:szCs w:val="21"/>
          <w:u w:val="single"/>
          <w:lang w:val="zh-CN"/>
        </w:rPr>
        <w:t>（磋商供应商代表姓名、职务）</w:t>
      </w:r>
      <w:r>
        <w:rPr>
          <w:rFonts w:hint="eastAsia" w:ascii="宋体" w:hAnsi="宋体" w:eastAsia="宋体" w:cs="Trebuchet MS"/>
          <w:szCs w:val="21"/>
          <w:lang w:val="zh-CN"/>
        </w:rPr>
        <w:t>为本公司的合法代理人，就贵方组织的（项目名称）(</w:t>
      </w:r>
      <w:r>
        <w:rPr>
          <w:rFonts w:hint="eastAsia" w:ascii="宋体" w:hAnsi="宋体" w:eastAsia="宋体" w:cs="Trebuchet MS"/>
          <w:szCs w:val="21"/>
          <w:u w:val="single"/>
          <w:lang w:val="zh-CN"/>
        </w:rPr>
        <w:t>项目编号:</w:t>
      </w:r>
      <w:r>
        <w:rPr>
          <w:rFonts w:hint="eastAsia" w:ascii="宋体" w:hAnsi="宋体" w:eastAsia="宋体" w:cs="Trebuchet MS"/>
          <w:szCs w:val="21"/>
          <w:lang w:val="zh-CN"/>
        </w:rPr>
        <w:t>）磋商，以本公司名义处理一切与之有关的事务。</w:t>
      </w:r>
    </w:p>
    <w:p w14:paraId="302269CD">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本授权书于 年 月 日签字生效，特此声明。</w:t>
      </w:r>
    </w:p>
    <w:p w14:paraId="072CB272">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法定代表人签字或盖章：</w:t>
      </w:r>
    </w:p>
    <w:p w14:paraId="13F92874">
      <w:pPr>
        <w:widowControl/>
        <w:spacing w:line="276" w:lineRule="auto"/>
        <w:jc w:val="left"/>
        <w:rPr>
          <w:rFonts w:ascii="宋体" w:hAnsi="宋体" w:eastAsia="宋体" w:cs="Trebuchet MS"/>
          <w:szCs w:val="21"/>
          <w:lang w:val="zh-CN"/>
        </w:rPr>
      </w:pPr>
      <w:r>
        <w:rPr>
          <w:rFonts w:hint="eastAsia" w:ascii="宋体" w:hAnsi="宋体" w:eastAsia="宋体" w:cs="宋体"/>
          <w:szCs w:val="21"/>
        </w:rPr>
        <w:t>供应商名称（加盖电子公章）</w:t>
      </w:r>
      <w:r>
        <w:rPr>
          <w:rFonts w:hint="eastAsia" w:ascii="宋体" w:hAnsi="宋体" w:eastAsia="宋体" w:cs="Trebuchet MS"/>
          <w:szCs w:val="21"/>
          <w:lang w:val="zh-CN"/>
        </w:rPr>
        <w:t>：</w:t>
      </w:r>
    </w:p>
    <w:p w14:paraId="6FF2CBBD">
      <w:pPr>
        <w:widowControl/>
        <w:tabs>
          <w:tab w:val="left" w:pos="1440"/>
        </w:tabs>
        <w:spacing w:line="276" w:lineRule="auto"/>
        <w:ind w:firstLine="420"/>
        <w:jc w:val="left"/>
        <w:rPr>
          <w:rFonts w:ascii="宋体" w:hAnsi="宋体" w:eastAsia="宋体" w:cs="Trebuchet MS"/>
          <w:szCs w:val="21"/>
          <w:lang w:val="zh-CN"/>
        </w:rPr>
      </w:pPr>
      <w:r>
        <w:rPr>
          <w:rFonts w:hint="eastAsia" w:ascii="宋体" w:hAnsi="宋体" w:eastAsia="宋体" w:cs="Trebuchet MS"/>
          <w:szCs w:val="21"/>
          <w:lang w:val="zh-CN"/>
        </w:rPr>
        <w:t>日期： 年 月 日</w:t>
      </w:r>
    </w:p>
    <w:p w14:paraId="16444F7A">
      <w:pPr>
        <w:widowControl/>
        <w:tabs>
          <w:tab w:val="left" w:pos="1440"/>
        </w:tabs>
        <w:spacing w:line="276" w:lineRule="auto"/>
        <w:ind w:firstLine="420"/>
        <w:jc w:val="left"/>
        <w:rPr>
          <w:rFonts w:ascii="宋体" w:hAnsi="宋体" w:eastAsia="宋体" w:cs="Trebuchet MS"/>
          <w:szCs w:val="21"/>
          <w:lang w:val="zh-CN"/>
        </w:rPr>
      </w:pPr>
    </w:p>
    <w:p w14:paraId="055ED6BE">
      <w:pPr>
        <w:widowControl/>
        <w:spacing w:line="276" w:lineRule="auto"/>
        <w:jc w:val="left"/>
        <w:outlineLvl w:val="1"/>
        <w:rPr>
          <w:rFonts w:ascii="宋体" w:hAnsi="宋体" w:eastAsia="宋体" w:cs="Trebuchet MS"/>
          <w:b/>
          <w:szCs w:val="21"/>
          <w:lang w:val="zh-CN"/>
        </w:rPr>
      </w:pPr>
      <w:r>
        <w:rPr>
          <w:rFonts w:ascii="宋体" w:hAnsi="宋体" w:eastAsia="宋体" w:cs="Trebuchet MS"/>
          <w:b/>
          <w:szCs w:val="21"/>
          <w:lang w:val="zh-CN"/>
        </w:rPr>
        <w:br w:type="page" w:clear="all"/>
      </w:r>
      <w:bookmarkStart w:id="81" w:name="_Toc190329543"/>
      <w:r>
        <w:rPr>
          <w:rFonts w:hint="eastAsia" w:ascii="宋体" w:hAnsi="宋体" w:eastAsia="宋体" w:cs="Trebuchet MS"/>
          <w:b/>
          <w:szCs w:val="21"/>
          <w:lang w:val="zh-CN"/>
        </w:rPr>
        <w:t>附件三、磋商报价表</w:t>
      </w:r>
      <w:bookmarkEnd w:id="81"/>
    </w:p>
    <w:p w14:paraId="66D04E17">
      <w:pPr>
        <w:widowControl/>
        <w:spacing w:line="276" w:lineRule="auto"/>
        <w:jc w:val="center"/>
        <w:rPr>
          <w:rFonts w:ascii="宋体" w:hAnsi="宋体" w:eastAsia="宋体" w:cs="Trebuchet MS"/>
          <w:sz w:val="32"/>
          <w:szCs w:val="32"/>
          <w:lang w:val="zh-CN"/>
        </w:rPr>
      </w:pPr>
      <w:r>
        <w:rPr>
          <w:rFonts w:hint="eastAsia" w:ascii="宋体" w:hAnsi="宋体" w:eastAsia="宋体" w:cs="Trebuchet MS"/>
          <w:sz w:val="32"/>
          <w:szCs w:val="32"/>
          <w:lang w:val="zh-CN"/>
        </w:rPr>
        <w:t>磋商报价表（第</w:t>
      </w:r>
      <w:r>
        <w:rPr>
          <w:rFonts w:ascii="宋体" w:hAnsi="宋体" w:eastAsia="宋体" w:cs="Trebuchet MS"/>
          <w:sz w:val="32"/>
          <w:szCs w:val="32"/>
          <w:lang w:val="zh-CN"/>
        </w:rPr>
        <w:t xml:space="preserve">  </w:t>
      </w:r>
      <w:r>
        <w:rPr>
          <w:rFonts w:hint="eastAsia" w:ascii="宋体" w:hAnsi="宋体" w:eastAsia="宋体" w:cs="Trebuchet MS"/>
          <w:sz w:val="32"/>
          <w:szCs w:val="32"/>
          <w:lang w:val="zh-CN"/>
        </w:rPr>
        <w:t>轮）</w:t>
      </w:r>
    </w:p>
    <w:tbl>
      <w:tblPr>
        <w:tblStyle w:val="29"/>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5"/>
        <w:gridCol w:w="2160"/>
        <w:gridCol w:w="2340"/>
        <w:gridCol w:w="433"/>
        <w:gridCol w:w="1187"/>
        <w:gridCol w:w="2160"/>
      </w:tblGrid>
      <w:tr w14:paraId="1FCB3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4"/>
            <w:tcBorders>
              <w:top w:val="nil"/>
              <w:left w:val="nil"/>
              <w:right w:val="nil"/>
            </w:tcBorders>
            <w:noWrap w:val="0"/>
            <w:vAlign w:val="center"/>
          </w:tcPr>
          <w:p w14:paraId="6ABDA5EB">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项目名称：</w:t>
            </w:r>
          </w:p>
        </w:tc>
        <w:tc>
          <w:tcPr>
            <w:tcW w:w="3347" w:type="dxa"/>
            <w:gridSpan w:val="2"/>
            <w:tcBorders>
              <w:top w:val="nil"/>
              <w:left w:val="nil"/>
              <w:right w:val="nil"/>
            </w:tcBorders>
            <w:noWrap w:val="0"/>
            <w:vAlign w:val="center"/>
          </w:tcPr>
          <w:p w14:paraId="7F87E166">
            <w:pPr>
              <w:widowControl/>
              <w:spacing w:line="276" w:lineRule="auto"/>
              <w:jc w:val="left"/>
              <w:rPr>
                <w:rFonts w:hint="eastAsia" w:ascii="宋体" w:hAnsi="宋体" w:eastAsia="宋体" w:cs="Trebuchet MS"/>
                <w:szCs w:val="21"/>
                <w:lang w:val="zh-CN"/>
              </w:rPr>
            </w:pPr>
            <w:r>
              <w:rPr>
                <w:rFonts w:hint="eastAsia" w:ascii="宋体" w:hAnsi="宋体" w:eastAsia="宋体" w:cs="Trebuchet MS"/>
                <w:szCs w:val="21"/>
                <w:lang w:val="zh-CN"/>
              </w:rPr>
              <w:t>项目编号：</w:t>
            </w:r>
          </w:p>
        </w:tc>
      </w:tr>
      <w:tr w14:paraId="51F5E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noWrap w:val="0"/>
            <w:vAlign w:val="center"/>
          </w:tcPr>
          <w:p w14:paraId="1CD18EB8">
            <w:pPr>
              <w:spacing w:line="276" w:lineRule="auto"/>
              <w:jc w:val="center"/>
              <w:rPr>
                <w:rFonts w:ascii="宋体" w:hAnsi="宋体" w:eastAsia="宋体"/>
                <w:szCs w:val="21"/>
                <w:lang w:val="zh-CN"/>
              </w:rPr>
            </w:pPr>
            <w:r>
              <w:rPr>
                <w:rFonts w:hint="eastAsia" w:ascii="宋体" w:hAnsi="宋体" w:eastAsia="宋体"/>
                <w:szCs w:val="21"/>
                <w:lang w:val="zh-CN"/>
              </w:rPr>
              <w:t>序号</w:t>
            </w:r>
          </w:p>
        </w:tc>
        <w:tc>
          <w:tcPr>
            <w:tcW w:w="4500" w:type="dxa"/>
            <w:gridSpan w:val="2"/>
            <w:noWrap w:val="0"/>
            <w:vAlign w:val="center"/>
          </w:tcPr>
          <w:p w14:paraId="0DCA98DD">
            <w:pPr>
              <w:spacing w:line="276" w:lineRule="auto"/>
              <w:jc w:val="center"/>
              <w:rPr>
                <w:rFonts w:ascii="宋体" w:hAnsi="宋体" w:eastAsia="宋体"/>
                <w:szCs w:val="21"/>
                <w:lang w:val="zh-CN"/>
              </w:rPr>
            </w:pPr>
            <w:r>
              <w:rPr>
                <w:rFonts w:hint="eastAsia" w:ascii="宋体" w:hAnsi="宋体" w:eastAsia="宋体"/>
                <w:szCs w:val="21"/>
                <w:lang w:val="zh-CN"/>
              </w:rPr>
              <w:t>名称</w:t>
            </w:r>
          </w:p>
        </w:tc>
        <w:tc>
          <w:tcPr>
            <w:tcW w:w="1620" w:type="dxa"/>
            <w:gridSpan w:val="2"/>
            <w:noWrap w:val="0"/>
            <w:vAlign w:val="center"/>
          </w:tcPr>
          <w:p w14:paraId="3FDA3B10">
            <w:pPr>
              <w:spacing w:line="276" w:lineRule="auto"/>
              <w:jc w:val="center"/>
              <w:rPr>
                <w:rFonts w:ascii="宋体" w:hAnsi="宋体" w:eastAsia="宋体"/>
                <w:szCs w:val="21"/>
                <w:lang w:val="zh-CN"/>
              </w:rPr>
            </w:pPr>
            <w:r>
              <w:rPr>
                <w:rFonts w:hint="eastAsia" w:ascii="宋体" w:hAnsi="宋体" w:eastAsia="宋体"/>
                <w:szCs w:val="21"/>
                <w:lang w:val="zh-CN"/>
              </w:rPr>
              <w:t>报价（元）</w:t>
            </w:r>
          </w:p>
        </w:tc>
        <w:tc>
          <w:tcPr>
            <w:tcW w:w="2160" w:type="dxa"/>
            <w:noWrap w:val="0"/>
            <w:vAlign w:val="center"/>
          </w:tcPr>
          <w:p w14:paraId="14E18D37">
            <w:pPr>
              <w:spacing w:line="276" w:lineRule="auto"/>
              <w:jc w:val="center"/>
              <w:rPr>
                <w:rFonts w:ascii="宋体" w:hAnsi="宋体" w:eastAsia="宋体"/>
                <w:szCs w:val="21"/>
                <w:lang w:val="zh-CN"/>
              </w:rPr>
            </w:pPr>
            <w:r>
              <w:rPr>
                <w:rFonts w:hint="eastAsia" w:ascii="宋体" w:hAnsi="宋体" w:eastAsia="宋体"/>
                <w:szCs w:val="21"/>
                <w:lang w:val="zh-CN"/>
              </w:rPr>
              <w:t>其中，</w:t>
            </w:r>
            <w:r>
              <w:rPr>
                <w:rFonts w:hint="eastAsia" w:ascii="宋体" w:hAnsi="宋体" w:eastAsia="宋体" w:cs="Trebuchet MS"/>
                <w:b/>
                <w:szCs w:val="21"/>
              </w:rPr>
              <w:t>小、微型企业报价（元）</w:t>
            </w:r>
          </w:p>
        </w:tc>
      </w:tr>
      <w:tr w14:paraId="2B61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noWrap w:val="0"/>
            <w:vAlign w:val="center"/>
          </w:tcPr>
          <w:p w14:paraId="417FEE8C">
            <w:pPr>
              <w:spacing w:line="276" w:lineRule="auto"/>
              <w:jc w:val="center"/>
              <w:rPr>
                <w:rFonts w:ascii="宋体" w:hAnsi="宋体" w:eastAsia="宋体"/>
                <w:spacing w:val="-2"/>
                <w:szCs w:val="21"/>
              </w:rPr>
            </w:pPr>
            <w:r>
              <w:rPr>
                <w:rFonts w:hint="eastAsia" w:ascii="宋体" w:hAnsi="宋体" w:eastAsia="宋体"/>
                <w:spacing w:val="-2"/>
                <w:szCs w:val="21"/>
              </w:rPr>
              <w:t>1</w:t>
            </w:r>
          </w:p>
        </w:tc>
        <w:tc>
          <w:tcPr>
            <w:tcW w:w="4500" w:type="dxa"/>
            <w:gridSpan w:val="2"/>
            <w:noWrap w:val="0"/>
            <w:vAlign w:val="center"/>
          </w:tcPr>
          <w:p w14:paraId="27E81A7B">
            <w:pPr>
              <w:spacing w:line="276" w:lineRule="auto"/>
              <w:rPr>
                <w:rFonts w:ascii="宋体" w:hAnsi="宋体" w:eastAsia="宋体"/>
                <w:spacing w:val="-2"/>
                <w:szCs w:val="21"/>
              </w:rPr>
            </w:pPr>
          </w:p>
        </w:tc>
        <w:tc>
          <w:tcPr>
            <w:tcW w:w="1620" w:type="dxa"/>
            <w:gridSpan w:val="2"/>
            <w:noWrap w:val="0"/>
            <w:vAlign w:val="center"/>
          </w:tcPr>
          <w:p w14:paraId="36E54E91">
            <w:pPr>
              <w:spacing w:line="276" w:lineRule="auto"/>
              <w:jc w:val="center"/>
              <w:rPr>
                <w:rFonts w:ascii="宋体" w:hAnsi="宋体" w:eastAsia="宋体"/>
                <w:szCs w:val="21"/>
                <w:lang w:val="zh-CN"/>
              </w:rPr>
            </w:pPr>
          </w:p>
        </w:tc>
        <w:tc>
          <w:tcPr>
            <w:tcW w:w="2160" w:type="dxa"/>
            <w:noWrap w:val="0"/>
            <w:vAlign w:val="center"/>
          </w:tcPr>
          <w:p w14:paraId="0962B84D">
            <w:pPr>
              <w:spacing w:line="276" w:lineRule="auto"/>
              <w:jc w:val="center"/>
              <w:rPr>
                <w:rFonts w:ascii="宋体" w:hAnsi="宋体" w:eastAsia="宋体"/>
                <w:szCs w:val="21"/>
                <w:lang w:val="zh-CN"/>
              </w:rPr>
            </w:pPr>
          </w:p>
        </w:tc>
      </w:tr>
      <w:tr w14:paraId="0EB1C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noWrap w:val="0"/>
            <w:vAlign w:val="center"/>
          </w:tcPr>
          <w:p w14:paraId="16560A18">
            <w:pPr>
              <w:spacing w:line="276" w:lineRule="auto"/>
              <w:jc w:val="center"/>
              <w:rPr>
                <w:rFonts w:ascii="宋体" w:hAnsi="宋体" w:eastAsia="宋体"/>
                <w:spacing w:val="-2"/>
                <w:szCs w:val="21"/>
              </w:rPr>
            </w:pPr>
            <w:r>
              <w:rPr>
                <w:rFonts w:hint="eastAsia" w:ascii="宋体" w:hAnsi="宋体" w:eastAsia="宋体"/>
                <w:spacing w:val="-2"/>
                <w:szCs w:val="21"/>
              </w:rPr>
              <w:t>2</w:t>
            </w:r>
          </w:p>
        </w:tc>
        <w:tc>
          <w:tcPr>
            <w:tcW w:w="4500" w:type="dxa"/>
            <w:gridSpan w:val="2"/>
            <w:noWrap w:val="0"/>
            <w:vAlign w:val="center"/>
          </w:tcPr>
          <w:p w14:paraId="45DD8FAB">
            <w:pPr>
              <w:spacing w:line="276" w:lineRule="auto"/>
              <w:rPr>
                <w:rFonts w:ascii="宋体" w:hAnsi="宋体" w:eastAsia="宋体"/>
                <w:spacing w:val="-2"/>
                <w:szCs w:val="21"/>
              </w:rPr>
            </w:pPr>
          </w:p>
        </w:tc>
        <w:tc>
          <w:tcPr>
            <w:tcW w:w="1620" w:type="dxa"/>
            <w:gridSpan w:val="2"/>
            <w:noWrap w:val="0"/>
            <w:vAlign w:val="center"/>
          </w:tcPr>
          <w:p w14:paraId="3615F464">
            <w:pPr>
              <w:spacing w:line="276" w:lineRule="auto"/>
              <w:jc w:val="center"/>
              <w:rPr>
                <w:rFonts w:ascii="宋体" w:hAnsi="宋体" w:eastAsia="宋体"/>
                <w:szCs w:val="21"/>
                <w:lang w:val="zh-CN"/>
              </w:rPr>
            </w:pPr>
          </w:p>
        </w:tc>
        <w:tc>
          <w:tcPr>
            <w:tcW w:w="2160" w:type="dxa"/>
            <w:noWrap w:val="0"/>
            <w:vAlign w:val="center"/>
          </w:tcPr>
          <w:p w14:paraId="526A8521">
            <w:pPr>
              <w:spacing w:line="276" w:lineRule="auto"/>
              <w:jc w:val="center"/>
              <w:rPr>
                <w:rFonts w:ascii="宋体" w:hAnsi="宋体" w:eastAsia="宋体"/>
                <w:szCs w:val="21"/>
                <w:lang w:val="zh-CN"/>
              </w:rPr>
            </w:pPr>
          </w:p>
        </w:tc>
      </w:tr>
      <w:tr w14:paraId="4ADDE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noWrap w:val="0"/>
            <w:vAlign w:val="center"/>
          </w:tcPr>
          <w:p w14:paraId="3FA41113">
            <w:pPr>
              <w:spacing w:line="276" w:lineRule="auto"/>
              <w:jc w:val="center"/>
              <w:rPr>
                <w:rFonts w:ascii="宋体" w:hAnsi="宋体" w:eastAsia="宋体"/>
                <w:spacing w:val="-2"/>
                <w:szCs w:val="21"/>
              </w:rPr>
            </w:pPr>
          </w:p>
        </w:tc>
        <w:tc>
          <w:tcPr>
            <w:tcW w:w="4500" w:type="dxa"/>
            <w:gridSpan w:val="2"/>
            <w:noWrap w:val="0"/>
            <w:vAlign w:val="center"/>
          </w:tcPr>
          <w:p w14:paraId="5BF8B12B">
            <w:pPr>
              <w:spacing w:line="276" w:lineRule="auto"/>
              <w:rPr>
                <w:rFonts w:ascii="宋体" w:hAnsi="宋体" w:eastAsia="宋体"/>
                <w:spacing w:val="-2"/>
                <w:szCs w:val="21"/>
              </w:rPr>
            </w:pPr>
          </w:p>
        </w:tc>
        <w:tc>
          <w:tcPr>
            <w:tcW w:w="1620" w:type="dxa"/>
            <w:gridSpan w:val="2"/>
            <w:noWrap w:val="0"/>
            <w:vAlign w:val="center"/>
          </w:tcPr>
          <w:p w14:paraId="41939A0F">
            <w:pPr>
              <w:spacing w:line="276" w:lineRule="auto"/>
              <w:jc w:val="center"/>
              <w:rPr>
                <w:rFonts w:ascii="宋体" w:hAnsi="宋体" w:eastAsia="宋体"/>
                <w:szCs w:val="21"/>
                <w:lang w:val="zh-CN"/>
              </w:rPr>
            </w:pPr>
          </w:p>
        </w:tc>
        <w:tc>
          <w:tcPr>
            <w:tcW w:w="2160" w:type="dxa"/>
            <w:noWrap w:val="0"/>
            <w:vAlign w:val="center"/>
          </w:tcPr>
          <w:p w14:paraId="1D3DC2CA">
            <w:pPr>
              <w:spacing w:line="276" w:lineRule="auto"/>
              <w:jc w:val="center"/>
              <w:rPr>
                <w:rFonts w:ascii="宋体" w:hAnsi="宋体" w:eastAsia="宋体"/>
                <w:szCs w:val="21"/>
                <w:lang w:val="zh-CN"/>
              </w:rPr>
            </w:pPr>
          </w:p>
        </w:tc>
      </w:tr>
      <w:tr w14:paraId="4C046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noWrap w:val="0"/>
            <w:vAlign w:val="center"/>
          </w:tcPr>
          <w:p w14:paraId="60913582">
            <w:pPr>
              <w:spacing w:line="276" w:lineRule="auto"/>
              <w:jc w:val="center"/>
              <w:rPr>
                <w:rFonts w:ascii="宋体" w:hAnsi="宋体" w:eastAsia="宋体"/>
                <w:spacing w:val="-2"/>
                <w:szCs w:val="21"/>
              </w:rPr>
            </w:pPr>
          </w:p>
        </w:tc>
        <w:tc>
          <w:tcPr>
            <w:tcW w:w="4500" w:type="dxa"/>
            <w:gridSpan w:val="2"/>
            <w:noWrap w:val="0"/>
            <w:vAlign w:val="center"/>
          </w:tcPr>
          <w:p w14:paraId="04C1E986">
            <w:pPr>
              <w:spacing w:line="276" w:lineRule="auto"/>
              <w:rPr>
                <w:rFonts w:ascii="宋体" w:hAnsi="宋体" w:eastAsia="宋体"/>
                <w:spacing w:val="-2"/>
                <w:szCs w:val="21"/>
              </w:rPr>
            </w:pPr>
          </w:p>
        </w:tc>
        <w:tc>
          <w:tcPr>
            <w:tcW w:w="1620" w:type="dxa"/>
            <w:gridSpan w:val="2"/>
            <w:noWrap w:val="0"/>
            <w:vAlign w:val="center"/>
          </w:tcPr>
          <w:p w14:paraId="203F89BA">
            <w:pPr>
              <w:spacing w:line="276" w:lineRule="auto"/>
              <w:jc w:val="center"/>
              <w:rPr>
                <w:rFonts w:ascii="宋体" w:hAnsi="宋体" w:eastAsia="宋体"/>
                <w:szCs w:val="21"/>
                <w:lang w:val="zh-CN"/>
              </w:rPr>
            </w:pPr>
          </w:p>
        </w:tc>
        <w:tc>
          <w:tcPr>
            <w:tcW w:w="2160" w:type="dxa"/>
            <w:noWrap w:val="0"/>
            <w:vAlign w:val="center"/>
          </w:tcPr>
          <w:p w14:paraId="1D33174C">
            <w:pPr>
              <w:spacing w:line="276" w:lineRule="auto"/>
              <w:jc w:val="center"/>
              <w:rPr>
                <w:rFonts w:ascii="宋体" w:hAnsi="宋体" w:eastAsia="宋体"/>
                <w:szCs w:val="21"/>
                <w:lang w:val="zh-CN"/>
              </w:rPr>
            </w:pPr>
          </w:p>
        </w:tc>
      </w:tr>
      <w:tr w14:paraId="210E9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noWrap w:val="0"/>
            <w:vAlign w:val="center"/>
          </w:tcPr>
          <w:p w14:paraId="078ED497">
            <w:pPr>
              <w:spacing w:line="276" w:lineRule="auto"/>
              <w:jc w:val="center"/>
              <w:rPr>
                <w:rFonts w:ascii="宋体" w:hAnsi="宋体" w:eastAsia="宋体"/>
                <w:spacing w:val="-2"/>
                <w:szCs w:val="21"/>
              </w:rPr>
            </w:pPr>
          </w:p>
        </w:tc>
        <w:tc>
          <w:tcPr>
            <w:tcW w:w="4500" w:type="dxa"/>
            <w:gridSpan w:val="2"/>
            <w:noWrap w:val="0"/>
            <w:vAlign w:val="center"/>
          </w:tcPr>
          <w:p w14:paraId="3EE645BA">
            <w:pPr>
              <w:spacing w:line="276" w:lineRule="auto"/>
              <w:rPr>
                <w:rFonts w:ascii="宋体" w:hAnsi="宋体" w:eastAsia="宋体"/>
                <w:spacing w:val="-2"/>
                <w:szCs w:val="21"/>
              </w:rPr>
            </w:pPr>
          </w:p>
        </w:tc>
        <w:tc>
          <w:tcPr>
            <w:tcW w:w="1620" w:type="dxa"/>
            <w:gridSpan w:val="2"/>
            <w:noWrap w:val="0"/>
            <w:vAlign w:val="center"/>
          </w:tcPr>
          <w:p w14:paraId="1D9D8439">
            <w:pPr>
              <w:spacing w:line="276" w:lineRule="auto"/>
              <w:jc w:val="center"/>
              <w:rPr>
                <w:rFonts w:ascii="宋体" w:hAnsi="宋体" w:eastAsia="宋体"/>
                <w:szCs w:val="21"/>
                <w:lang w:val="zh-CN"/>
              </w:rPr>
            </w:pPr>
          </w:p>
        </w:tc>
        <w:tc>
          <w:tcPr>
            <w:tcW w:w="2160" w:type="dxa"/>
            <w:noWrap w:val="0"/>
            <w:vAlign w:val="center"/>
          </w:tcPr>
          <w:p w14:paraId="00E18084">
            <w:pPr>
              <w:spacing w:line="276" w:lineRule="auto"/>
              <w:jc w:val="center"/>
              <w:rPr>
                <w:rFonts w:ascii="宋体" w:hAnsi="宋体" w:eastAsia="宋体"/>
                <w:szCs w:val="21"/>
                <w:lang w:val="zh-CN"/>
              </w:rPr>
            </w:pPr>
          </w:p>
        </w:tc>
      </w:tr>
      <w:tr w14:paraId="7AB63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05" w:type="dxa"/>
            <w:noWrap w:val="0"/>
            <w:vAlign w:val="center"/>
          </w:tcPr>
          <w:p w14:paraId="4F7E6BEA">
            <w:pPr>
              <w:spacing w:line="276" w:lineRule="auto"/>
              <w:jc w:val="center"/>
              <w:rPr>
                <w:rFonts w:ascii="宋体" w:hAnsi="宋体" w:eastAsia="宋体"/>
                <w:spacing w:val="-2"/>
                <w:szCs w:val="21"/>
              </w:rPr>
            </w:pPr>
          </w:p>
        </w:tc>
        <w:tc>
          <w:tcPr>
            <w:tcW w:w="4500" w:type="dxa"/>
            <w:gridSpan w:val="2"/>
            <w:noWrap w:val="0"/>
            <w:vAlign w:val="center"/>
          </w:tcPr>
          <w:p w14:paraId="79938FA1">
            <w:pPr>
              <w:spacing w:line="276" w:lineRule="auto"/>
              <w:rPr>
                <w:rFonts w:ascii="宋体" w:hAnsi="宋体" w:eastAsia="宋体"/>
                <w:spacing w:val="-2"/>
                <w:szCs w:val="21"/>
              </w:rPr>
            </w:pPr>
          </w:p>
        </w:tc>
        <w:tc>
          <w:tcPr>
            <w:tcW w:w="1620" w:type="dxa"/>
            <w:gridSpan w:val="2"/>
            <w:noWrap w:val="0"/>
            <w:vAlign w:val="center"/>
          </w:tcPr>
          <w:p w14:paraId="78E8739D">
            <w:pPr>
              <w:spacing w:line="276" w:lineRule="auto"/>
              <w:jc w:val="center"/>
              <w:rPr>
                <w:rFonts w:ascii="宋体" w:hAnsi="宋体" w:eastAsia="宋体"/>
                <w:szCs w:val="21"/>
                <w:lang w:val="zh-CN"/>
              </w:rPr>
            </w:pPr>
          </w:p>
        </w:tc>
        <w:tc>
          <w:tcPr>
            <w:tcW w:w="2160" w:type="dxa"/>
            <w:noWrap w:val="0"/>
            <w:vAlign w:val="center"/>
          </w:tcPr>
          <w:p w14:paraId="7BDC52E4">
            <w:pPr>
              <w:spacing w:line="276" w:lineRule="auto"/>
              <w:jc w:val="center"/>
              <w:rPr>
                <w:rFonts w:ascii="宋体" w:hAnsi="宋体" w:eastAsia="宋体"/>
                <w:szCs w:val="21"/>
                <w:lang w:val="zh-CN"/>
              </w:rPr>
            </w:pPr>
          </w:p>
        </w:tc>
      </w:tr>
      <w:tr w14:paraId="423BB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66918106">
            <w:pPr>
              <w:widowControl/>
              <w:spacing w:line="276" w:lineRule="auto"/>
              <w:jc w:val="center"/>
              <w:rPr>
                <w:rFonts w:ascii="宋体" w:hAnsi="宋体" w:eastAsia="宋体" w:cs="Trebuchet MS"/>
                <w:szCs w:val="21"/>
                <w:lang w:val="zh-CN"/>
              </w:rPr>
            </w:pPr>
            <w:r>
              <w:rPr>
                <w:rFonts w:hint="eastAsia" w:ascii="宋体" w:hAnsi="宋体" w:eastAsia="宋体" w:cs="Trebuchet MS"/>
                <w:szCs w:val="21"/>
                <w:lang w:val="zh-CN"/>
              </w:rPr>
              <w:t>磋商总价（人民币，大写）</w:t>
            </w:r>
          </w:p>
        </w:tc>
        <w:tc>
          <w:tcPr>
            <w:tcW w:w="6120" w:type="dxa"/>
            <w:gridSpan w:val="4"/>
            <w:noWrap w:val="0"/>
            <w:vAlign w:val="center"/>
          </w:tcPr>
          <w:p w14:paraId="038B37DD">
            <w:pPr>
              <w:widowControl/>
              <w:spacing w:line="276" w:lineRule="auto"/>
              <w:ind w:firstLine="3990"/>
              <w:jc w:val="left"/>
              <w:rPr>
                <w:rFonts w:ascii="宋体" w:hAnsi="宋体" w:eastAsia="宋体" w:cs="Trebuchet MS"/>
                <w:szCs w:val="21"/>
                <w:lang w:val="zh-CN"/>
              </w:rPr>
            </w:pPr>
            <w:r>
              <w:rPr>
                <w:rFonts w:hint="eastAsia" w:ascii="宋体" w:hAnsi="宋体" w:eastAsia="宋体" w:cs="Trebuchet MS"/>
                <w:szCs w:val="21"/>
                <w:lang w:val="zh-CN"/>
              </w:rPr>
              <w:t>元</w:t>
            </w:r>
          </w:p>
        </w:tc>
      </w:tr>
      <w:tr w14:paraId="6116F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5BAB063A">
            <w:pPr>
              <w:widowControl/>
              <w:spacing w:line="276" w:lineRule="auto"/>
              <w:jc w:val="center"/>
              <w:rPr>
                <w:rFonts w:ascii="宋体" w:hAnsi="宋体" w:eastAsia="宋体" w:cs="Georgia"/>
                <w:szCs w:val="21"/>
                <w:lang w:val="zh-CN"/>
              </w:rPr>
            </w:pPr>
            <w:r>
              <w:rPr>
                <w:rFonts w:hint="eastAsia" w:ascii="宋体" w:hAnsi="宋体" w:eastAsia="宋体" w:cs="Georgia"/>
                <w:szCs w:val="21"/>
                <w:lang w:val="zh-CN"/>
              </w:rPr>
              <w:t>磋商货物中有无进口产品</w:t>
            </w:r>
          </w:p>
        </w:tc>
        <w:tc>
          <w:tcPr>
            <w:tcW w:w="6120" w:type="dxa"/>
            <w:gridSpan w:val="4"/>
            <w:noWrap w:val="0"/>
            <w:vAlign w:val="center"/>
          </w:tcPr>
          <w:p w14:paraId="7165B71E">
            <w:pPr>
              <w:widowControl/>
              <w:spacing w:line="276" w:lineRule="auto"/>
              <w:jc w:val="left"/>
              <w:rPr>
                <w:rFonts w:ascii="宋体" w:hAnsi="宋体" w:eastAsia="宋体" w:cs="Georgia"/>
                <w:szCs w:val="21"/>
                <w:lang w:val="zh-CN"/>
              </w:rPr>
            </w:pPr>
            <w:r>
              <w:rPr>
                <w:rFonts w:hint="eastAsia" w:ascii="宋体" w:hAnsi="宋体" w:eastAsia="宋体" w:cs="Georgia"/>
                <w:szCs w:val="21"/>
                <w:lang w:val="zh-CN"/>
              </w:rPr>
              <w:t xml:space="preserve">有 </w:t>
            </w:r>
            <w:r>
              <w:rPr>
                <w:rFonts w:ascii="宋体" w:hAnsi="宋体" w:eastAsia="宋体" w:cs="Georgia"/>
                <w:szCs w:val="21"/>
                <w:lang w:val="zh-CN"/>
              </w:rPr>
              <w:t xml:space="preserve"> </w:t>
            </w:r>
            <w:r>
              <w:rPr>
                <w:rFonts w:hint="eastAsia" w:ascii="宋体" w:hAnsi="宋体" w:eastAsia="宋体" w:cs="Georgia"/>
                <w:szCs w:val="21"/>
                <w:lang w:val="zh-CN"/>
              </w:rPr>
              <w:t>无</w:t>
            </w:r>
          </w:p>
        </w:tc>
      </w:tr>
      <w:tr w14:paraId="58694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714605FF">
            <w:pPr>
              <w:widowControl/>
              <w:spacing w:line="276" w:lineRule="auto"/>
              <w:jc w:val="center"/>
              <w:rPr>
                <w:rFonts w:ascii="宋体" w:hAnsi="宋体" w:eastAsia="宋体" w:cs="Trebuchet MS"/>
                <w:szCs w:val="21"/>
                <w:lang w:val="zh-CN"/>
              </w:rPr>
            </w:pPr>
            <w:r>
              <w:rPr>
                <w:rFonts w:hint="eastAsia" w:ascii="宋体" w:hAnsi="宋体" w:eastAsia="宋体" w:cs="Trebuchet MS"/>
                <w:szCs w:val="21"/>
                <w:lang w:val="zh-CN"/>
              </w:rPr>
              <w:t>供应商是否属于小微型企业</w:t>
            </w:r>
          </w:p>
        </w:tc>
        <w:tc>
          <w:tcPr>
            <w:tcW w:w="6120" w:type="dxa"/>
            <w:gridSpan w:val="4"/>
            <w:noWrap w:val="0"/>
            <w:vAlign w:val="center"/>
          </w:tcPr>
          <w:p w14:paraId="490E5C25">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 xml:space="preserve">是 </w:t>
            </w:r>
            <w:r>
              <w:rPr>
                <w:rFonts w:ascii="宋体" w:hAnsi="宋体" w:eastAsia="宋体" w:cs="Trebuchet MS"/>
                <w:szCs w:val="21"/>
                <w:lang w:val="zh-CN"/>
              </w:rPr>
              <w:t xml:space="preserve"> </w:t>
            </w:r>
            <w:r>
              <w:rPr>
                <w:rFonts w:hint="eastAsia" w:ascii="宋体" w:hAnsi="宋体" w:eastAsia="宋体" w:cs="Trebuchet MS"/>
                <w:szCs w:val="21"/>
                <w:lang w:val="zh-CN"/>
              </w:rPr>
              <w:t>否</w:t>
            </w:r>
          </w:p>
        </w:tc>
      </w:tr>
      <w:tr w14:paraId="45DF3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6D4DDE20">
            <w:pPr>
              <w:widowControl/>
              <w:spacing w:line="276" w:lineRule="auto"/>
              <w:jc w:val="center"/>
              <w:rPr>
                <w:rFonts w:ascii="宋体" w:hAnsi="宋体" w:eastAsia="宋体" w:cs="Trebuchet MS"/>
                <w:szCs w:val="21"/>
                <w:lang w:val="zh-CN"/>
              </w:rPr>
            </w:pPr>
            <w:r>
              <w:rPr>
                <w:rFonts w:hint="eastAsia" w:ascii="宋体" w:hAnsi="宋体" w:eastAsia="宋体" w:cs="Trebuchet MS"/>
                <w:szCs w:val="21"/>
                <w:lang w:val="zh-CN"/>
              </w:rPr>
              <w:t>人民币与美元汇率</w:t>
            </w:r>
          </w:p>
        </w:tc>
        <w:tc>
          <w:tcPr>
            <w:tcW w:w="6120" w:type="dxa"/>
            <w:gridSpan w:val="4"/>
            <w:noWrap w:val="0"/>
            <w:vAlign w:val="center"/>
          </w:tcPr>
          <w:p w14:paraId="46AD7E2E">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10：X</w:t>
            </w:r>
          </w:p>
        </w:tc>
      </w:tr>
    </w:tbl>
    <w:p w14:paraId="50F19A04">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供应商名称:（</w:t>
      </w:r>
      <w:r>
        <w:rPr>
          <w:rFonts w:hint="eastAsia" w:ascii="宋体" w:hAnsi="宋体" w:eastAsia="宋体" w:cs="宋体"/>
          <w:szCs w:val="21"/>
        </w:rPr>
        <w:t>加盖电子公章</w:t>
      </w:r>
      <w:r>
        <w:rPr>
          <w:rFonts w:hint="eastAsia" w:ascii="宋体" w:hAnsi="宋体" w:eastAsia="宋体" w:cs="Trebuchet MS"/>
          <w:szCs w:val="21"/>
          <w:lang w:val="zh-CN"/>
        </w:rPr>
        <w:t>）</w:t>
      </w:r>
    </w:p>
    <w:p w14:paraId="1C416195">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说明：</w:t>
      </w:r>
    </w:p>
    <w:p w14:paraId="0755265A">
      <w:pPr>
        <w:widowControl/>
        <w:spacing w:line="276" w:lineRule="auto"/>
        <w:ind w:firstLine="420"/>
        <w:jc w:val="left"/>
        <w:rPr>
          <w:rFonts w:ascii="宋体" w:hAnsi="宋体" w:eastAsia="宋体" w:cs="Georgia"/>
          <w:szCs w:val="21"/>
          <w:lang w:val="zh-CN"/>
        </w:rPr>
      </w:pPr>
      <w:r>
        <w:rPr>
          <w:rFonts w:hint="eastAsia" w:ascii="宋体" w:hAnsi="宋体" w:eastAsia="宋体" w:cs="Trebuchet MS"/>
          <w:b/>
          <w:szCs w:val="21"/>
        </w:rPr>
        <w:t>1</w:t>
      </w:r>
      <w:r>
        <w:rPr>
          <w:rFonts w:hint="eastAsia" w:ascii="宋体" w:hAnsi="宋体" w:eastAsia="宋体" w:cs="Trebuchet MS"/>
          <w:b/>
          <w:szCs w:val="21"/>
          <w:lang w:val="zh-CN"/>
        </w:rPr>
        <w:t>、</w:t>
      </w:r>
      <w:r>
        <w:rPr>
          <w:rFonts w:hint="eastAsia" w:ascii="宋体" w:hAnsi="宋体" w:eastAsia="宋体" w:cs="Georgia"/>
          <w:szCs w:val="21"/>
          <w:lang w:val="zh-CN"/>
        </w:rPr>
        <w:t>在“磋商货物中有无进口产品”栏后“有”或“无”上打“√”。</w:t>
      </w:r>
    </w:p>
    <w:p w14:paraId="7AE74A35">
      <w:pPr>
        <w:widowControl/>
        <w:spacing w:line="276" w:lineRule="auto"/>
        <w:ind w:firstLine="420"/>
        <w:jc w:val="left"/>
        <w:rPr>
          <w:rFonts w:ascii="宋体" w:hAnsi="宋体" w:eastAsia="宋体" w:cs="Georgia"/>
          <w:szCs w:val="21"/>
          <w:lang w:val="zh-CN"/>
        </w:rPr>
      </w:pPr>
      <w:r>
        <w:rPr>
          <w:rFonts w:hint="eastAsia" w:ascii="宋体" w:hAnsi="宋体" w:eastAsia="宋体" w:cs="Georgia"/>
          <w:szCs w:val="21"/>
        </w:rPr>
        <w:t>2</w:t>
      </w:r>
      <w:r>
        <w:rPr>
          <w:rFonts w:hint="eastAsia" w:ascii="宋体" w:hAnsi="宋体" w:eastAsia="宋体" w:cs="Georgia"/>
          <w:szCs w:val="21"/>
          <w:lang w:val="zh-CN"/>
        </w:rPr>
        <w:t>、在“供应商是否属于小和微型企业”栏后“是”或“否”上打“√”。</w:t>
      </w:r>
    </w:p>
    <w:p w14:paraId="542F1A35">
      <w:pPr>
        <w:widowControl/>
        <w:spacing w:line="276" w:lineRule="auto"/>
        <w:ind w:firstLine="420"/>
        <w:jc w:val="left"/>
        <w:rPr>
          <w:rFonts w:ascii="宋体" w:hAnsi="宋体" w:eastAsia="宋体" w:cs="Georgia"/>
          <w:szCs w:val="21"/>
          <w:lang w:val="zh-CN"/>
        </w:rPr>
      </w:pPr>
      <w:r>
        <w:rPr>
          <w:rFonts w:hint="eastAsia" w:ascii="宋体" w:hAnsi="宋体" w:eastAsia="宋体" w:cs="Georgia"/>
          <w:szCs w:val="21"/>
        </w:rPr>
        <w:t>3</w:t>
      </w:r>
      <w:r>
        <w:rPr>
          <w:rFonts w:hint="eastAsia" w:ascii="宋体" w:hAnsi="宋体" w:eastAsia="宋体" w:cs="Georgia"/>
          <w:szCs w:val="21"/>
          <w:lang w:val="zh-CN"/>
        </w:rPr>
        <w:t>.请注明是第几轮报价。</w:t>
      </w:r>
    </w:p>
    <w:p w14:paraId="7F18ECF2">
      <w:pPr>
        <w:widowControl/>
        <w:ind w:firstLine="420"/>
        <w:jc w:val="left"/>
        <w:rPr>
          <w:rFonts w:hint="eastAsia" w:ascii="宋体" w:hAnsi="宋体" w:eastAsia="宋体" w:cs="Georgia"/>
          <w:szCs w:val="21"/>
          <w:lang w:val="zh-CN"/>
        </w:rPr>
      </w:pPr>
      <w:r>
        <w:rPr>
          <w:rFonts w:hint="eastAsia" w:ascii="宋体" w:hAnsi="宋体" w:eastAsia="宋体" w:cs="Georgia"/>
          <w:szCs w:val="21"/>
          <w:lang w:val="zh-CN"/>
        </w:rPr>
        <w:t>5.第一轮报价表装订在磋商响应文件中；第二轮的报价表应提前加盖单位公章，并单独携带，不需密封，供磋商报价时使用。</w:t>
      </w:r>
    </w:p>
    <w:p w14:paraId="7ABD2A4E">
      <w:pPr>
        <w:widowControl/>
        <w:spacing w:line="276" w:lineRule="auto"/>
        <w:jc w:val="left"/>
        <w:outlineLvl w:val="1"/>
        <w:rPr>
          <w:rFonts w:hint="eastAsia" w:ascii="宋体" w:hAnsi="宋体" w:eastAsia="宋体" w:cs="Trebuchet MS"/>
          <w:b/>
          <w:bCs/>
          <w:szCs w:val="21"/>
          <w:lang w:val="zh-CN"/>
        </w:rPr>
      </w:pPr>
      <w:r>
        <w:rPr>
          <w:rFonts w:ascii="宋体" w:hAnsi="宋体" w:eastAsia="宋体" w:cs="Trebuchet MS"/>
          <w:b/>
          <w:bCs/>
          <w:szCs w:val="21"/>
          <w:lang w:val="zh-CN"/>
        </w:rPr>
        <w:br w:type="page" w:clear="all"/>
      </w:r>
      <w:bookmarkStart w:id="82" w:name="_Toc190329544"/>
      <w:r>
        <w:rPr>
          <w:rFonts w:hint="eastAsia" w:ascii="宋体" w:hAnsi="宋体" w:eastAsia="宋体" w:cs="Trebuchet MS"/>
          <w:b/>
          <w:bCs/>
          <w:szCs w:val="21"/>
          <w:lang w:val="zh-CN"/>
        </w:rPr>
        <w:t>附件四、</w:t>
      </w:r>
      <w:r>
        <w:rPr>
          <w:rFonts w:hint="eastAsia" w:ascii="宋体" w:hAnsi="宋体" w:eastAsia="宋体" w:cs="Trebuchet MS"/>
          <w:b/>
          <w:bCs/>
          <w:szCs w:val="21"/>
        </w:rPr>
        <w:t>对</w:t>
      </w:r>
      <w:r>
        <w:rPr>
          <w:rFonts w:hint="eastAsia" w:ascii="宋体" w:hAnsi="宋体" w:eastAsia="宋体" w:cs="Trebuchet MS"/>
          <w:b/>
          <w:bCs/>
          <w:szCs w:val="21"/>
          <w:lang w:val="zh-CN"/>
        </w:rPr>
        <w:t>第一章磋商邀请中《中华人民共和国政府采购法》规定的资格条件</w:t>
      </w:r>
      <w:r>
        <w:rPr>
          <w:rFonts w:hint="eastAsia" w:ascii="宋体" w:hAnsi="宋体" w:eastAsia="宋体" w:cs="Trebuchet MS"/>
          <w:b/>
          <w:bCs/>
          <w:szCs w:val="21"/>
        </w:rPr>
        <w:t>作出的书面承诺书</w:t>
      </w:r>
      <w:bookmarkEnd w:id="82"/>
    </w:p>
    <w:p w14:paraId="7B87FC28">
      <w:pPr>
        <w:widowControl/>
        <w:spacing w:line="276" w:lineRule="auto"/>
        <w:jc w:val="center"/>
        <w:rPr>
          <w:rFonts w:hint="eastAsia" w:ascii="宋体" w:hAnsi="宋体" w:eastAsia="宋体" w:cs="Trebuchet MS"/>
          <w:b/>
          <w:bCs/>
          <w:sz w:val="36"/>
          <w:szCs w:val="36"/>
          <w:lang w:val="zh-CN"/>
        </w:rPr>
      </w:pPr>
    </w:p>
    <w:p w14:paraId="248957A4">
      <w:pPr>
        <w:widowControl/>
        <w:spacing w:line="276" w:lineRule="auto"/>
        <w:jc w:val="center"/>
        <w:rPr>
          <w:rFonts w:hint="eastAsia" w:ascii="宋体" w:hAnsi="宋体" w:eastAsia="宋体" w:cs="Trebuchet MS"/>
          <w:b/>
          <w:bCs/>
          <w:sz w:val="36"/>
          <w:szCs w:val="36"/>
          <w:lang w:val="zh-CN"/>
        </w:rPr>
      </w:pPr>
      <w:r>
        <w:rPr>
          <w:rFonts w:hint="eastAsia" w:ascii="宋体" w:hAnsi="宋体" w:eastAsia="宋体" w:cs="Trebuchet MS"/>
          <w:b/>
          <w:bCs/>
          <w:sz w:val="36"/>
          <w:szCs w:val="36"/>
          <w:lang w:val="zh-CN"/>
        </w:rPr>
        <w:t>南京市政府采购供应商信用记录表暨信用承诺书</w:t>
      </w:r>
    </w:p>
    <w:p w14:paraId="378A9473">
      <w:pPr>
        <w:pStyle w:val="211"/>
        <w:spacing w:line="276" w:lineRule="auto"/>
        <w:rPr>
          <w:rFonts w:ascii="宋体" w:hAnsi="宋体" w:eastAsia="宋体" w:cs="Trebuchet MS"/>
          <w:b/>
          <w:bCs/>
          <w:szCs w:val="30"/>
        </w:rPr>
      </w:pPr>
      <w:r>
        <w:rPr>
          <w:rFonts w:hint="eastAsia" w:ascii="宋体" w:hAnsi="宋体" w:eastAsia="宋体" w:cs="Trebuchet MS"/>
          <w:sz w:val="21"/>
          <w:szCs w:val="21"/>
        </w:rPr>
        <w:t>20</w:t>
      </w:r>
      <w:r>
        <w:rPr>
          <w:rFonts w:ascii="宋体" w:hAnsi="宋体" w:eastAsia="宋体" w:cs="Trebuchet MS"/>
          <w:sz w:val="21"/>
          <w:szCs w:val="21"/>
        </w:rPr>
        <w:t xml:space="preserve">  </w:t>
      </w:r>
      <w:r>
        <w:rPr>
          <w:rFonts w:hint="eastAsia" w:ascii="宋体" w:hAnsi="宋体" w:eastAsia="宋体" w:cs="Trebuchet MS"/>
          <w:sz w:val="21"/>
          <w:szCs w:val="21"/>
        </w:rPr>
        <w:t xml:space="preserve">年 </w:t>
      </w:r>
      <w:r>
        <w:rPr>
          <w:rFonts w:ascii="宋体" w:hAnsi="宋体" w:eastAsia="宋体" w:cs="Trebuchet MS"/>
          <w:sz w:val="21"/>
          <w:szCs w:val="21"/>
        </w:rPr>
        <w:t xml:space="preserve"> </w:t>
      </w:r>
      <w:r>
        <w:rPr>
          <w:rFonts w:hint="eastAsia" w:ascii="宋体" w:hAnsi="宋体" w:eastAsia="宋体" w:cs="Trebuchet MS"/>
          <w:sz w:val="21"/>
          <w:szCs w:val="21"/>
        </w:rPr>
        <w:t xml:space="preserve">月 </w:t>
      </w:r>
      <w:r>
        <w:rPr>
          <w:rFonts w:ascii="宋体" w:hAnsi="宋体" w:eastAsia="宋体" w:cs="Trebuchet MS"/>
          <w:sz w:val="21"/>
          <w:szCs w:val="21"/>
        </w:rPr>
        <w:t xml:space="preserve"> </w:t>
      </w:r>
      <w:r>
        <w:rPr>
          <w:rFonts w:hint="eastAsia" w:ascii="宋体" w:hAnsi="宋体" w:eastAsia="宋体" w:cs="Trebuchet MS"/>
          <w:sz w:val="21"/>
          <w:szCs w:val="21"/>
        </w:rPr>
        <w:t>日</w:t>
      </w:r>
    </w:p>
    <w:tbl>
      <w:tblPr>
        <w:tblStyle w:val="29"/>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10"/>
        <w:gridCol w:w="2365"/>
        <w:gridCol w:w="2184"/>
        <w:gridCol w:w="2901"/>
      </w:tblGrid>
      <w:tr w14:paraId="6CB3F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noWrap w:val="0"/>
            <w:vAlign w:val="center"/>
          </w:tcPr>
          <w:p w14:paraId="3A07D65C">
            <w:pPr>
              <w:pStyle w:val="211"/>
              <w:spacing w:line="276" w:lineRule="auto"/>
              <w:jc w:val="both"/>
              <w:rPr>
                <w:rFonts w:hint="eastAsia" w:ascii="宋体" w:hAnsi="宋体" w:eastAsia="宋体"/>
                <w:sz w:val="24"/>
                <w:szCs w:val="24"/>
              </w:rPr>
            </w:pPr>
            <w:r>
              <w:rPr>
                <w:rFonts w:hint="eastAsia" w:ascii="宋体" w:hAnsi="宋体" w:eastAsia="宋体"/>
                <w:sz w:val="24"/>
                <w:szCs w:val="24"/>
              </w:rPr>
              <w:t>单位名称</w:t>
            </w:r>
          </w:p>
        </w:tc>
        <w:tc>
          <w:tcPr>
            <w:tcW w:w="2365" w:type="dxa"/>
            <w:noWrap w:val="0"/>
            <w:vAlign w:val="center"/>
          </w:tcPr>
          <w:p w14:paraId="52264933">
            <w:pPr>
              <w:pStyle w:val="211"/>
              <w:spacing w:line="276" w:lineRule="auto"/>
              <w:jc w:val="both"/>
              <w:rPr>
                <w:rFonts w:hint="eastAsia" w:ascii="宋体" w:hAnsi="宋体" w:eastAsia="宋体"/>
                <w:sz w:val="24"/>
                <w:szCs w:val="24"/>
                <w:lang w:val="zh-CN"/>
              </w:rPr>
            </w:pPr>
          </w:p>
        </w:tc>
        <w:tc>
          <w:tcPr>
            <w:tcW w:w="2184" w:type="dxa"/>
            <w:noWrap w:val="0"/>
            <w:vAlign w:val="center"/>
          </w:tcPr>
          <w:p w14:paraId="32583667">
            <w:pPr>
              <w:pStyle w:val="211"/>
              <w:spacing w:line="276" w:lineRule="auto"/>
              <w:jc w:val="both"/>
              <w:rPr>
                <w:rFonts w:hint="eastAsia" w:ascii="宋体" w:hAnsi="宋体" w:eastAsia="宋体"/>
                <w:sz w:val="24"/>
                <w:szCs w:val="24"/>
              </w:rPr>
            </w:pPr>
            <w:r>
              <w:rPr>
                <w:rFonts w:hint="eastAsia" w:ascii="宋体" w:hAnsi="宋体" w:eastAsia="宋体"/>
                <w:sz w:val="24"/>
                <w:szCs w:val="24"/>
              </w:rPr>
              <w:t>统一社会信用代码</w:t>
            </w:r>
          </w:p>
        </w:tc>
        <w:tc>
          <w:tcPr>
            <w:tcW w:w="2901" w:type="dxa"/>
            <w:noWrap w:val="0"/>
            <w:vAlign w:val="top"/>
          </w:tcPr>
          <w:p w14:paraId="22D9C47F">
            <w:pPr>
              <w:pStyle w:val="211"/>
              <w:spacing w:line="276" w:lineRule="auto"/>
              <w:rPr>
                <w:rFonts w:hint="eastAsia" w:ascii="宋体" w:hAnsi="宋体" w:eastAsia="宋体"/>
                <w:lang w:val="zh-CN"/>
              </w:rPr>
            </w:pPr>
          </w:p>
        </w:tc>
      </w:tr>
      <w:tr w14:paraId="604FE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210" w:type="dxa"/>
            <w:noWrap w:val="0"/>
            <w:vAlign w:val="center"/>
          </w:tcPr>
          <w:p w14:paraId="614B7D2B">
            <w:pPr>
              <w:pStyle w:val="211"/>
              <w:spacing w:line="276" w:lineRule="auto"/>
              <w:jc w:val="both"/>
              <w:rPr>
                <w:rFonts w:hint="eastAsia" w:ascii="宋体" w:hAnsi="宋体" w:eastAsia="宋体"/>
                <w:sz w:val="24"/>
                <w:szCs w:val="24"/>
              </w:rPr>
            </w:pPr>
            <w:r>
              <w:rPr>
                <w:rFonts w:hint="eastAsia" w:ascii="宋体" w:hAnsi="宋体" w:eastAsia="宋体"/>
                <w:sz w:val="24"/>
                <w:szCs w:val="24"/>
              </w:rPr>
              <w:t>法定代表人</w:t>
            </w:r>
          </w:p>
        </w:tc>
        <w:tc>
          <w:tcPr>
            <w:tcW w:w="2365" w:type="dxa"/>
            <w:noWrap w:val="0"/>
            <w:vAlign w:val="center"/>
          </w:tcPr>
          <w:p w14:paraId="3A03D992">
            <w:pPr>
              <w:pStyle w:val="211"/>
              <w:spacing w:line="276" w:lineRule="auto"/>
              <w:jc w:val="both"/>
              <w:rPr>
                <w:rFonts w:hint="eastAsia" w:ascii="宋体" w:hAnsi="宋体" w:eastAsia="宋体"/>
                <w:sz w:val="24"/>
                <w:szCs w:val="24"/>
                <w:lang w:val="zh-CN"/>
              </w:rPr>
            </w:pPr>
          </w:p>
        </w:tc>
        <w:tc>
          <w:tcPr>
            <w:tcW w:w="2184" w:type="dxa"/>
            <w:noWrap w:val="0"/>
            <w:vAlign w:val="center"/>
          </w:tcPr>
          <w:p w14:paraId="41E6BC96">
            <w:pPr>
              <w:pStyle w:val="211"/>
              <w:spacing w:line="276" w:lineRule="auto"/>
              <w:jc w:val="both"/>
              <w:rPr>
                <w:rFonts w:hint="eastAsia" w:ascii="宋体" w:hAnsi="宋体" w:eastAsia="宋体"/>
                <w:sz w:val="24"/>
                <w:szCs w:val="24"/>
              </w:rPr>
            </w:pPr>
            <w:r>
              <w:rPr>
                <w:rFonts w:hint="eastAsia" w:ascii="宋体" w:hAnsi="宋体" w:eastAsia="宋体"/>
                <w:sz w:val="24"/>
                <w:szCs w:val="24"/>
              </w:rPr>
              <w:t>联系人</w:t>
            </w:r>
          </w:p>
        </w:tc>
        <w:tc>
          <w:tcPr>
            <w:tcW w:w="2901" w:type="dxa"/>
            <w:noWrap w:val="0"/>
            <w:vAlign w:val="top"/>
          </w:tcPr>
          <w:p w14:paraId="5D09F979">
            <w:pPr>
              <w:pStyle w:val="211"/>
              <w:spacing w:line="276" w:lineRule="auto"/>
              <w:rPr>
                <w:rFonts w:hint="eastAsia" w:ascii="宋体" w:hAnsi="宋体" w:eastAsia="宋体"/>
                <w:lang w:val="zh-CN"/>
              </w:rPr>
            </w:pPr>
          </w:p>
        </w:tc>
      </w:tr>
      <w:tr w14:paraId="3BF15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noWrap w:val="0"/>
            <w:vAlign w:val="center"/>
          </w:tcPr>
          <w:p w14:paraId="30D5B852">
            <w:pPr>
              <w:pStyle w:val="211"/>
              <w:spacing w:line="276" w:lineRule="auto"/>
              <w:jc w:val="both"/>
              <w:rPr>
                <w:rFonts w:hint="eastAsia" w:ascii="宋体" w:hAnsi="宋体" w:eastAsia="宋体"/>
                <w:sz w:val="24"/>
                <w:szCs w:val="24"/>
              </w:rPr>
            </w:pPr>
            <w:r>
              <w:rPr>
                <w:rFonts w:hint="eastAsia" w:ascii="宋体" w:hAnsi="宋体" w:eastAsia="宋体"/>
                <w:sz w:val="24"/>
                <w:szCs w:val="24"/>
              </w:rPr>
              <w:t>联系地址</w:t>
            </w:r>
          </w:p>
        </w:tc>
        <w:tc>
          <w:tcPr>
            <w:tcW w:w="2365" w:type="dxa"/>
            <w:noWrap w:val="0"/>
            <w:vAlign w:val="center"/>
          </w:tcPr>
          <w:p w14:paraId="652F7802">
            <w:pPr>
              <w:pStyle w:val="211"/>
              <w:spacing w:line="276" w:lineRule="auto"/>
              <w:jc w:val="both"/>
              <w:rPr>
                <w:rFonts w:hint="eastAsia" w:ascii="宋体" w:hAnsi="宋体" w:eastAsia="宋体"/>
                <w:sz w:val="24"/>
                <w:szCs w:val="24"/>
                <w:lang w:val="zh-CN"/>
              </w:rPr>
            </w:pPr>
          </w:p>
        </w:tc>
        <w:tc>
          <w:tcPr>
            <w:tcW w:w="2184" w:type="dxa"/>
            <w:noWrap w:val="0"/>
            <w:vAlign w:val="center"/>
          </w:tcPr>
          <w:p w14:paraId="7D0DCA73">
            <w:pPr>
              <w:pStyle w:val="211"/>
              <w:spacing w:line="276" w:lineRule="auto"/>
              <w:jc w:val="both"/>
              <w:rPr>
                <w:rFonts w:hint="eastAsia" w:ascii="宋体" w:hAnsi="宋体" w:eastAsia="宋体"/>
                <w:sz w:val="24"/>
                <w:szCs w:val="24"/>
              </w:rPr>
            </w:pPr>
            <w:r>
              <w:rPr>
                <w:rFonts w:hint="eastAsia" w:ascii="宋体" w:hAnsi="宋体" w:eastAsia="宋体"/>
                <w:sz w:val="24"/>
                <w:szCs w:val="24"/>
              </w:rPr>
              <w:t>联系电话</w:t>
            </w:r>
          </w:p>
        </w:tc>
        <w:tc>
          <w:tcPr>
            <w:tcW w:w="2901" w:type="dxa"/>
            <w:noWrap w:val="0"/>
            <w:vAlign w:val="top"/>
          </w:tcPr>
          <w:p w14:paraId="48F1AFF0">
            <w:pPr>
              <w:pStyle w:val="211"/>
              <w:spacing w:line="276" w:lineRule="auto"/>
              <w:rPr>
                <w:rFonts w:hint="eastAsia" w:ascii="宋体" w:hAnsi="宋体" w:eastAsia="宋体"/>
                <w:lang w:val="zh-CN"/>
              </w:rPr>
            </w:pPr>
          </w:p>
        </w:tc>
      </w:tr>
      <w:tr w14:paraId="2DC29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10" w:type="dxa"/>
            <w:noWrap w:val="0"/>
            <w:vAlign w:val="center"/>
          </w:tcPr>
          <w:p w14:paraId="4BB0B730">
            <w:pPr>
              <w:pStyle w:val="211"/>
              <w:spacing w:line="276" w:lineRule="auto"/>
              <w:jc w:val="both"/>
              <w:rPr>
                <w:rFonts w:hint="eastAsia" w:ascii="宋体" w:hAnsi="宋体" w:eastAsia="宋体"/>
                <w:sz w:val="24"/>
                <w:szCs w:val="24"/>
              </w:rPr>
            </w:pPr>
            <w:r>
              <w:rPr>
                <w:rFonts w:hint="eastAsia" w:ascii="宋体" w:hAnsi="宋体" w:eastAsia="宋体"/>
                <w:sz w:val="24"/>
                <w:szCs w:val="24"/>
              </w:rPr>
              <w:t>诚信档案记录情况</w:t>
            </w:r>
          </w:p>
        </w:tc>
        <w:tc>
          <w:tcPr>
            <w:tcW w:w="7450" w:type="dxa"/>
            <w:gridSpan w:val="3"/>
            <w:noWrap w:val="0"/>
            <w:vAlign w:val="top"/>
          </w:tcPr>
          <w:p w14:paraId="7FE80349">
            <w:pPr>
              <w:pStyle w:val="211"/>
              <w:spacing w:line="276" w:lineRule="auto"/>
              <w:rPr>
                <w:rFonts w:hint="eastAsia" w:ascii="宋体" w:hAnsi="宋体" w:eastAsia="宋体"/>
                <w:lang w:val="zh-CN"/>
              </w:rPr>
            </w:pPr>
          </w:p>
        </w:tc>
      </w:tr>
      <w:tr w14:paraId="44275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7" w:hRule="atLeast"/>
        </w:trPr>
        <w:tc>
          <w:tcPr>
            <w:tcW w:w="2210" w:type="dxa"/>
            <w:noWrap w:val="0"/>
            <w:vAlign w:val="center"/>
          </w:tcPr>
          <w:p w14:paraId="721468AA">
            <w:pPr>
              <w:pStyle w:val="211"/>
              <w:spacing w:line="276" w:lineRule="auto"/>
              <w:jc w:val="both"/>
              <w:rPr>
                <w:rFonts w:hint="eastAsia" w:ascii="宋体" w:hAnsi="宋体" w:eastAsia="宋体"/>
                <w:sz w:val="24"/>
                <w:szCs w:val="24"/>
              </w:rPr>
            </w:pPr>
            <w:r>
              <w:rPr>
                <w:rFonts w:hint="eastAsia" w:ascii="宋体" w:hAnsi="宋体" w:eastAsia="宋体"/>
                <w:sz w:val="24"/>
                <w:szCs w:val="24"/>
              </w:rPr>
              <w:t>信用承诺</w:t>
            </w:r>
          </w:p>
        </w:tc>
        <w:tc>
          <w:tcPr>
            <w:tcW w:w="7450" w:type="dxa"/>
            <w:gridSpan w:val="3"/>
            <w:noWrap w:val="0"/>
            <w:vAlign w:val="top"/>
          </w:tcPr>
          <w:p w14:paraId="3C15080A">
            <w:pPr>
              <w:pStyle w:val="211"/>
              <w:spacing w:line="276" w:lineRule="auto"/>
              <w:ind w:firstLine="420"/>
              <w:jc w:val="both"/>
              <w:rPr>
                <w:rFonts w:hint="eastAsia" w:ascii="宋体" w:hAnsi="宋体" w:eastAsia="宋体" w:cs="Trebuchet MS"/>
                <w:sz w:val="21"/>
                <w:szCs w:val="21"/>
                <w:lang w:val="zh-CN"/>
              </w:rPr>
            </w:pPr>
            <w:r>
              <w:rPr>
                <w:rFonts w:hint="eastAsia" w:ascii="宋体" w:hAnsi="宋体" w:eastAsia="宋体" w:cs="Trebuchet MS"/>
                <w:sz w:val="21"/>
                <w:szCs w:val="21"/>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28B0699E">
            <w:pPr>
              <w:pStyle w:val="211"/>
              <w:spacing w:line="276" w:lineRule="auto"/>
              <w:rPr>
                <w:rFonts w:hint="eastAsia" w:ascii="宋体" w:hAnsi="宋体" w:eastAsia="宋体" w:cs="Trebuchet MS"/>
                <w:sz w:val="21"/>
                <w:szCs w:val="21"/>
                <w:lang w:val="zh-CN"/>
              </w:rPr>
            </w:pPr>
          </w:p>
          <w:p w14:paraId="1C5BBAD5">
            <w:pPr>
              <w:pStyle w:val="211"/>
              <w:spacing w:line="276"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供应商名称(</w:t>
            </w:r>
            <w:r>
              <w:rPr>
                <w:rFonts w:hint="eastAsia" w:ascii="宋体" w:hAnsi="宋体" w:eastAsia="宋体" w:cs="Trebuchet MS"/>
                <w:sz w:val="21"/>
                <w:szCs w:val="21"/>
              </w:rPr>
              <w:t>加盖电子公章</w:t>
            </w:r>
            <w:r>
              <w:rPr>
                <w:rFonts w:hint="eastAsia" w:ascii="宋体" w:hAnsi="宋体" w:eastAsia="宋体" w:cs="Trebuchet MS"/>
                <w:sz w:val="21"/>
                <w:szCs w:val="21"/>
                <w:lang w:val="zh-CN"/>
              </w:rPr>
              <w:t>):</w:t>
            </w:r>
          </w:p>
          <w:p w14:paraId="266F5A5F">
            <w:pPr>
              <w:pStyle w:val="211"/>
              <w:spacing w:line="276"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法定代表人(签字):</w:t>
            </w:r>
          </w:p>
          <w:p w14:paraId="6F8F2A3E">
            <w:pPr>
              <w:pStyle w:val="211"/>
              <w:spacing w:line="276"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二</w:t>
            </w:r>
            <w:r>
              <w:rPr>
                <w:rFonts w:hint="eastAsia" w:ascii="宋体" w:hAnsi="宋体" w:eastAsia="宋体" w:cs="Trebuchet MS"/>
                <w:sz w:val="21"/>
                <w:szCs w:val="21"/>
              </w:rPr>
              <w:t>〇</w:t>
            </w:r>
            <w:r>
              <w:rPr>
                <w:rFonts w:hint="eastAsia" w:ascii="宋体" w:hAnsi="宋体" w:eastAsia="宋体" w:cs="Trebuchet MS"/>
                <w:sz w:val="21"/>
                <w:szCs w:val="21"/>
                <w:lang w:val="zh-CN"/>
              </w:rPr>
              <w:t>年月日</w:t>
            </w:r>
          </w:p>
        </w:tc>
      </w:tr>
    </w:tbl>
    <w:p w14:paraId="15E931E3">
      <w:pPr>
        <w:pStyle w:val="211"/>
        <w:spacing w:line="276" w:lineRule="auto"/>
        <w:jc w:val="both"/>
        <w:rPr>
          <w:rFonts w:hint="eastAsia" w:ascii="宋体" w:hAnsi="宋体" w:eastAsia="宋体" w:cs="Trebuchet MS"/>
          <w:b/>
          <w:bCs/>
          <w:sz w:val="21"/>
          <w:szCs w:val="21"/>
        </w:rPr>
      </w:pPr>
    </w:p>
    <w:p w14:paraId="0716A75C">
      <w:pPr>
        <w:pStyle w:val="211"/>
        <w:spacing w:line="276" w:lineRule="auto"/>
        <w:jc w:val="both"/>
        <w:rPr>
          <w:rFonts w:hint="eastAsia" w:ascii="宋体" w:hAnsi="宋体" w:eastAsia="宋体" w:cs="Trebuchet MS"/>
          <w:sz w:val="21"/>
          <w:szCs w:val="21"/>
        </w:rPr>
      </w:pPr>
      <w:r>
        <w:rPr>
          <w:rFonts w:hint="eastAsia" w:ascii="宋体" w:hAnsi="宋体" w:eastAsia="宋体" w:cs="Trebuchet MS"/>
          <w:b/>
          <w:bCs/>
          <w:sz w:val="21"/>
          <w:szCs w:val="21"/>
        </w:rPr>
        <w:t>说明</w:t>
      </w:r>
      <w:r>
        <w:rPr>
          <w:rFonts w:hint="eastAsia" w:ascii="宋体" w:hAnsi="宋体" w:eastAsia="宋体" w:cs="Trebuchet MS"/>
          <w:sz w:val="21"/>
          <w:szCs w:val="21"/>
        </w:rPr>
        <w:t>：</w:t>
      </w:r>
    </w:p>
    <w:p w14:paraId="0942BDF9">
      <w:pPr>
        <w:pStyle w:val="211"/>
        <w:spacing w:line="276" w:lineRule="auto"/>
        <w:ind w:firstLine="420"/>
        <w:jc w:val="both"/>
        <w:rPr>
          <w:rFonts w:hint="eastAsia" w:ascii="宋体" w:hAnsi="宋体" w:eastAsia="宋体" w:cs="Trebuchet MS"/>
          <w:sz w:val="21"/>
          <w:szCs w:val="21"/>
        </w:rPr>
      </w:pPr>
      <w:r>
        <w:rPr>
          <w:rFonts w:hint="eastAsia" w:ascii="宋体" w:hAnsi="宋体" w:eastAsia="宋体" w:cs="Trebuchet MS"/>
          <w:sz w:val="21"/>
          <w:szCs w:val="21"/>
        </w:rPr>
        <w:t>1、不适用信用承诺的情形</w:t>
      </w:r>
    </w:p>
    <w:p w14:paraId="5BDE297A">
      <w:pPr>
        <w:pStyle w:val="211"/>
        <w:spacing w:line="276" w:lineRule="auto"/>
        <w:ind w:firstLine="420"/>
        <w:jc w:val="both"/>
        <w:rPr>
          <w:rFonts w:hint="eastAsia" w:ascii="宋体" w:hAnsi="宋体" w:eastAsia="宋体" w:cs="Trebuchet MS"/>
          <w:sz w:val="21"/>
          <w:szCs w:val="21"/>
        </w:rPr>
      </w:pPr>
      <w:r>
        <w:rPr>
          <w:rFonts w:hint="eastAsia" w:ascii="宋体" w:hAnsi="宋体" w:eastAsia="宋体" w:cs="Trebuchet MS"/>
          <w:sz w:val="21"/>
          <w:szCs w:val="21"/>
        </w:rPr>
        <w:t>（1）供应商被列入严重失信主体名单；</w:t>
      </w:r>
    </w:p>
    <w:p w14:paraId="2D4BAF5F">
      <w:pPr>
        <w:pStyle w:val="211"/>
        <w:spacing w:line="276" w:lineRule="auto"/>
        <w:ind w:firstLine="420"/>
        <w:jc w:val="both"/>
        <w:rPr>
          <w:rFonts w:hint="eastAsia" w:ascii="宋体" w:hAnsi="宋体" w:eastAsia="宋体" w:cs="Trebuchet MS"/>
          <w:sz w:val="21"/>
          <w:szCs w:val="21"/>
        </w:rPr>
      </w:pPr>
      <w:r>
        <w:rPr>
          <w:rFonts w:hint="eastAsia" w:ascii="宋体" w:hAnsi="宋体" w:eastAsia="宋体" w:cs="Trebuchet MS"/>
          <w:sz w:val="21"/>
          <w:szCs w:val="21"/>
        </w:rPr>
        <w:t>（2）南京市政府采购供应商诚信档案管理系统中诚信档案分在40分以下；</w:t>
      </w:r>
    </w:p>
    <w:p w14:paraId="6B114383">
      <w:pPr>
        <w:pStyle w:val="211"/>
        <w:spacing w:line="276" w:lineRule="auto"/>
        <w:ind w:firstLine="420"/>
        <w:jc w:val="both"/>
        <w:rPr>
          <w:rFonts w:hint="eastAsia" w:ascii="宋体" w:hAnsi="宋体" w:eastAsia="宋体" w:cs="Trebuchet MS"/>
          <w:sz w:val="21"/>
          <w:szCs w:val="21"/>
        </w:rPr>
      </w:pPr>
      <w:r>
        <w:rPr>
          <w:rFonts w:hint="eastAsia" w:ascii="宋体" w:hAnsi="宋体" w:eastAsia="宋体" w:cs="Trebuchet MS"/>
          <w:sz w:val="21"/>
          <w:szCs w:val="21"/>
        </w:rPr>
        <w:t>（3）被相关监管部门作出行政处罚且尚在处罚有效期内；</w:t>
      </w:r>
    </w:p>
    <w:p w14:paraId="6AD07DF1">
      <w:pPr>
        <w:pStyle w:val="211"/>
        <w:spacing w:line="276" w:lineRule="auto"/>
        <w:ind w:firstLine="420"/>
        <w:jc w:val="both"/>
        <w:rPr>
          <w:rFonts w:hint="eastAsia" w:ascii="宋体" w:hAnsi="宋体" w:eastAsia="宋体" w:cs="Trebuchet MS"/>
          <w:sz w:val="21"/>
          <w:szCs w:val="21"/>
        </w:rPr>
      </w:pPr>
      <w:r>
        <w:rPr>
          <w:rFonts w:hint="eastAsia" w:ascii="宋体" w:hAnsi="宋体" w:eastAsia="宋体" w:cs="Trebuchet MS"/>
          <w:sz w:val="21"/>
          <w:szCs w:val="21"/>
        </w:rPr>
        <w:t>（4）其他法律、行政法规规定的不适用信用承诺的情形。</w:t>
      </w:r>
    </w:p>
    <w:p w14:paraId="2AE49C5D">
      <w:pPr>
        <w:pStyle w:val="211"/>
        <w:spacing w:line="276" w:lineRule="auto"/>
        <w:ind w:firstLine="420"/>
        <w:jc w:val="both"/>
        <w:rPr>
          <w:rFonts w:hint="eastAsia" w:ascii="宋体" w:hAnsi="宋体" w:eastAsia="宋体" w:cs="Trebuchet MS"/>
          <w:sz w:val="21"/>
          <w:szCs w:val="21"/>
        </w:rPr>
      </w:pPr>
      <w:r>
        <w:rPr>
          <w:rFonts w:hint="eastAsia" w:ascii="宋体" w:hAnsi="宋体" w:eastAsia="宋体" w:cs="Trebuchet MS"/>
          <w:sz w:val="21"/>
          <w:szCs w:val="21"/>
        </w:rPr>
        <w:t>2、违反信用承诺的法律责任</w:t>
      </w:r>
    </w:p>
    <w:p w14:paraId="4A1F10E1">
      <w:pPr>
        <w:pStyle w:val="211"/>
        <w:spacing w:line="276" w:lineRule="auto"/>
        <w:ind w:firstLine="420"/>
        <w:jc w:val="both"/>
        <w:rPr>
          <w:rFonts w:hint="eastAsia" w:ascii="宋体" w:hAnsi="宋体" w:eastAsia="宋体" w:cs="Trebuchet MS"/>
          <w:sz w:val="21"/>
          <w:szCs w:val="21"/>
        </w:rPr>
      </w:pPr>
      <w:r>
        <w:rPr>
          <w:rFonts w:hint="eastAsia" w:ascii="宋体" w:hAnsi="宋体" w:eastAsia="宋体" w:cs="Trebuchet MS"/>
          <w:sz w:val="21"/>
          <w:szCs w:val="21"/>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70DE0FAC">
      <w:pPr>
        <w:widowControl/>
        <w:spacing w:line="276" w:lineRule="auto"/>
        <w:jc w:val="left"/>
        <w:outlineLvl w:val="1"/>
        <w:rPr>
          <w:rFonts w:ascii="宋体" w:hAnsi="宋体" w:eastAsia="宋体" w:cs="Trebuchet MS"/>
          <w:b/>
          <w:bCs/>
          <w:szCs w:val="21"/>
          <w:lang w:val="zh-CN"/>
        </w:rPr>
      </w:pPr>
      <w:bookmarkStart w:id="83" w:name="_Toc190329545"/>
      <w:r>
        <w:rPr>
          <w:rFonts w:ascii="宋体" w:hAnsi="宋体" w:eastAsia="宋体" w:cs="Trebuchet MS"/>
          <w:b/>
          <w:bCs/>
          <w:szCs w:val="21"/>
          <w:lang w:val="zh-CN"/>
        </w:rPr>
        <w:br w:type="page" w:clear="all"/>
      </w:r>
      <w:r>
        <w:rPr>
          <w:rFonts w:hint="eastAsia" w:ascii="宋体" w:hAnsi="宋体" w:eastAsia="宋体" w:cs="Trebuchet MS"/>
          <w:b/>
          <w:bCs/>
          <w:szCs w:val="21"/>
          <w:lang w:val="zh-CN"/>
        </w:rPr>
        <w:t>附件五、第一章磋商邀请中采购人根据采购项目的特殊要求规定的特定条件证明文件；</w:t>
      </w:r>
      <w:bookmarkEnd w:id="83"/>
    </w:p>
    <w:p w14:paraId="7813E024">
      <w:pPr>
        <w:spacing w:line="276" w:lineRule="auto"/>
        <w:outlineLvl w:val="1"/>
        <w:rPr>
          <w:rFonts w:hint="eastAsia" w:ascii="宋体" w:hAnsi="宋体" w:eastAsia="宋体" w:cs="Trebuchet MS"/>
          <w:b/>
          <w:szCs w:val="21"/>
          <w:lang w:bidi="ar"/>
        </w:rPr>
      </w:pPr>
      <w:bookmarkStart w:id="84" w:name="_Toc190329546"/>
      <w:r>
        <w:rPr>
          <w:rFonts w:hint="eastAsia" w:ascii="宋体" w:hAnsi="宋体" w:eastAsia="宋体" w:cs="Trebuchet MS"/>
          <w:b/>
          <w:szCs w:val="21"/>
          <w:lang w:val="zh-CN"/>
        </w:rPr>
        <w:t>附件六、</w:t>
      </w:r>
      <w:r>
        <w:rPr>
          <w:rFonts w:hint="eastAsia" w:ascii="宋体" w:hAnsi="宋体" w:eastAsia="宋体" w:cs="Trebuchet MS"/>
          <w:b/>
          <w:szCs w:val="21"/>
        </w:rPr>
        <w:t>分项报价明细表</w:t>
      </w:r>
      <w:bookmarkEnd w:id="84"/>
    </w:p>
    <w:p w14:paraId="7B51F296">
      <w:pPr>
        <w:pStyle w:val="211"/>
        <w:spacing w:line="276" w:lineRule="auto"/>
        <w:rPr>
          <w:rFonts w:hint="eastAsia" w:ascii="宋体" w:hAnsi="宋体" w:eastAsia="宋体" w:cs="Trebuchet MS"/>
          <w:b/>
          <w:szCs w:val="21"/>
        </w:rPr>
      </w:pPr>
      <w:r>
        <w:rPr>
          <w:rFonts w:hint="eastAsia" w:ascii="宋体" w:hAnsi="宋体" w:eastAsia="宋体" w:cs="Trebuchet MS"/>
          <w:b/>
          <w:szCs w:val="21"/>
        </w:rPr>
        <w:t>分项报价明细表</w:t>
      </w:r>
    </w:p>
    <w:p w14:paraId="6F64248C">
      <w:pPr>
        <w:pStyle w:val="211"/>
        <w:rPr>
          <w:rFonts w:hint="default" w:ascii="宋体" w:hAnsi="宋体" w:eastAsia="宋体"/>
          <w:lang w:val="en-US" w:eastAsia="zh-CN"/>
        </w:rPr>
      </w:pPr>
      <w:r>
        <w:rPr>
          <w:rFonts w:hint="eastAsia" w:ascii="宋体" w:hAnsi="宋体" w:eastAsia="宋体"/>
          <w:lang w:val="en-US" w:eastAsia="zh-CN"/>
        </w:rPr>
        <w:t>参照服务清单</w:t>
      </w:r>
    </w:p>
    <w:p w14:paraId="35AA7CFA">
      <w:pPr>
        <w:rPr>
          <w:rFonts w:hint="eastAsia" w:ascii="宋体" w:hAnsi="宋体" w:eastAsia="宋体"/>
        </w:rPr>
      </w:pPr>
    </w:p>
    <w:p w14:paraId="79301F55">
      <w:pPr>
        <w:pStyle w:val="2"/>
        <w:rPr>
          <w:rFonts w:hint="eastAsia" w:ascii="宋体" w:hAnsi="宋体" w:eastAsia="宋体"/>
        </w:rPr>
      </w:pPr>
    </w:p>
    <w:p w14:paraId="6BE62C5C">
      <w:pPr>
        <w:pStyle w:val="2"/>
        <w:rPr>
          <w:rFonts w:hint="eastAsia" w:ascii="宋体" w:hAnsi="宋体" w:eastAsia="宋体"/>
        </w:rPr>
      </w:pPr>
    </w:p>
    <w:p w14:paraId="7457B158">
      <w:pPr>
        <w:pStyle w:val="2"/>
        <w:rPr>
          <w:rFonts w:hint="eastAsia" w:ascii="宋体" w:hAnsi="宋体" w:eastAsia="宋体"/>
        </w:rPr>
      </w:pPr>
    </w:p>
    <w:p w14:paraId="65BE9EC5">
      <w:pPr>
        <w:pStyle w:val="2"/>
        <w:rPr>
          <w:rFonts w:hint="eastAsia" w:ascii="宋体" w:hAnsi="宋体" w:eastAsia="宋体"/>
        </w:rPr>
      </w:pPr>
    </w:p>
    <w:p w14:paraId="6DC821EA">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供应商（</w:t>
      </w:r>
      <w:r>
        <w:rPr>
          <w:rFonts w:hint="eastAsia" w:ascii="宋体" w:hAnsi="宋体" w:eastAsia="宋体" w:cs="宋体"/>
          <w:szCs w:val="21"/>
        </w:rPr>
        <w:t>加盖电子公章</w:t>
      </w:r>
      <w:r>
        <w:rPr>
          <w:rFonts w:hint="eastAsia" w:ascii="宋体" w:hAnsi="宋体" w:eastAsia="宋体" w:cs="Trebuchet MS"/>
          <w:szCs w:val="21"/>
          <w:lang w:val="zh-CN"/>
        </w:rPr>
        <w:t>）：</w:t>
      </w:r>
    </w:p>
    <w:p w14:paraId="0AEFF008">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法定代表人签字或盖章：</w:t>
      </w:r>
    </w:p>
    <w:p w14:paraId="38B9C352">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日期：年 月 日</w:t>
      </w:r>
    </w:p>
    <w:p w14:paraId="34272777">
      <w:pPr>
        <w:widowControl/>
        <w:jc w:val="left"/>
        <w:rPr>
          <w:rFonts w:ascii="宋体" w:hAnsi="宋体" w:eastAsia="宋体" w:cs="Trebuchet MS"/>
          <w:b/>
          <w:szCs w:val="21"/>
          <w:lang w:val="zh-CN"/>
        </w:rPr>
      </w:pPr>
      <w:bookmarkStart w:id="85" w:name="_Toc190329547"/>
      <w:r>
        <w:rPr>
          <w:rFonts w:hint="eastAsia" w:ascii="宋体" w:hAnsi="宋体" w:eastAsia="宋体" w:cs="Trebuchet MS"/>
          <w:b/>
          <w:szCs w:val="21"/>
          <w:lang w:val="zh-CN"/>
        </w:rPr>
        <w:t>说明：</w:t>
      </w:r>
    </w:p>
    <w:p w14:paraId="3ABEC130">
      <w:pPr>
        <w:widowControl/>
        <w:shd w:val="clear" w:color="auto" w:fill="FFFFFF"/>
        <w:jc w:val="left"/>
        <w:rPr>
          <w:rFonts w:ascii="宋体" w:hAnsi="宋体" w:eastAsia="宋体"/>
          <w:b/>
          <w:szCs w:val="21"/>
          <w:u w:val="single"/>
        </w:rPr>
      </w:pPr>
      <w:r>
        <w:rPr>
          <w:rFonts w:hint="eastAsia" w:ascii="宋体" w:hAnsi="宋体" w:eastAsia="宋体"/>
          <w:b/>
          <w:szCs w:val="21"/>
          <w:u w:val="single"/>
        </w:rPr>
        <w:t>1、不提供此表格的将视为没有实质性响应磋商文件。</w:t>
      </w:r>
    </w:p>
    <w:p w14:paraId="414B86D2">
      <w:pPr>
        <w:widowControl/>
        <w:shd w:val="clear" w:color="auto" w:fill="FFFFFF"/>
        <w:jc w:val="left"/>
        <w:rPr>
          <w:rFonts w:ascii="宋体" w:hAnsi="宋体" w:eastAsia="宋体"/>
          <w:b/>
          <w:szCs w:val="21"/>
          <w:u w:val="single"/>
        </w:rPr>
      </w:pPr>
      <w:r>
        <w:rPr>
          <w:rFonts w:hint="eastAsia" w:ascii="宋体" w:hAnsi="宋体" w:eastAsia="宋体"/>
          <w:b/>
          <w:szCs w:val="21"/>
          <w:u w:val="single"/>
        </w:rPr>
        <w:t>2、如果行、列数不够，请自行增加。</w:t>
      </w:r>
    </w:p>
    <w:p w14:paraId="76ED17FC">
      <w:pPr>
        <w:jc w:val="left"/>
        <w:rPr>
          <w:rFonts w:ascii="宋体" w:hAnsi="宋体" w:eastAsia="宋体" w:cs="Trebuchet MS"/>
          <w:b/>
          <w:szCs w:val="21"/>
        </w:rPr>
        <w:sectPr>
          <w:headerReference r:id="rId5" w:type="default"/>
          <w:footerReference r:id="rId6" w:type="default"/>
          <w:pgSz w:w="12240" w:h="15840"/>
          <w:pgMar w:top="1418" w:right="1418" w:bottom="1418" w:left="1418" w:header="720" w:footer="720" w:gutter="0"/>
          <w:cols w:space="720" w:num="1"/>
          <w:docGrid w:linePitch="360" w:charSpace="0"/>
        </w:sectPr>
      </w:pPr>
    </w:p>
    <w:p w14:paraId="52CE8258">
      <w:pPr>
        <w:widowControl/>
        <w:shd w:val="clear" w:color="auto" w:fill="FFFFFF"/>
        <w:spacing w:line="276" w:lineRule="auto"/>
        <w:outlineLvl w:val="1"/>
        <w:rPr>
          <w:rFonts w:ascii="宋体" w:hAnsi="宋体" w:eastAsia="宋体"/>
          <w:b/>
          <w:szCs w:val="21"/>
        </w:rPr>
      </w:pPr>
      <w:r>
        <w:rPr>
          <w:rFonts w:hint="eastAsia" w:ascii="宋体" w:hAnsi="宋体" w:eastAsia="宋体"/>
          <w:b/>
          <w:szCs w:val="21"/>
        </w:rPr>
        <w:t>附件七、商务条款偏离表</w:t>
      </w:r>
      <w:bookmarkEnd w:id="85"/>
    </w:p>
    <w:p w14:paraId="1431AC43">
      <w:pPr>
        <w:widowControl/>
        <w:shd w:val="clear" w:color="auto" w:fill="FFFFFF"/>
        <w:spacing w:line="276" w:lineRule="auto"/>
        <w:ind w:left="420"/>
        <w:jc w:val="center"/>
        <w:rPr>
          <w:rFonts w:ascii="宋体" w:hAnsi="宋体" w:eastAsia="宋体"/>
          <w:b/>
          <w:szCs w:val="21"/>
        </w:rPr>
      </w:pPr>
      <w:r>
        <w:rPr>
          <w:rFonts w:hint="eastAsia" w:ascii="宋体" w:hAnsi="宋体" w:eastAsia="宋体"/>
          <w:b/>
          <w:szCs w:val="21"/>
        </w:rPr>
        <w:t>商务条款偏离表</w:t>
      </w:r>
    </w:p>
    <w:p w14:paraId="6FCAF158">
      <w:pPr>
        <w:widowControl/>
        <w:shd w:val="clear" w:color="auto" w:fill="FFFFFF"/>
        <w:spacing w:line="276" w:lineRule="auto"/>
        <w:ind w:firstLine="620"/>
        <w:rPr>
          <w:rFonts w:ascii="宋体" w:hAnsi="宋体" w:eastAsia="宋体"/>
          <w:b/>
          <w:bCs/>
          <w:szCs w:val="21"/>
          <w:u w:val="single"/>
        </w:rPr>
      </w:pPr>
      <w:r>
        <w:rPr>
          <w:rFonts w:hint="eastAsia" w:ascii="宋体" w:hAnsi="宋体" w:eastAsia="宋体"/>
          <w:b/>
          <w:szCs w:val="21"/>
        </w:rPr>
        <w:t>项目名称：</w:t>
      </w:r>
    </w:p>
    <w:p w14:paraId="12118015">
      <w:pPr>
        <w:widowControl/>
        <w:shd w:val="clear" w:color="auto" w:fill="FFFFFF"/>
        <w:spacing w:line="276" w:lineRule="auto"/>
        <w:ind w:firstLine="620"/>
        <w:rPr>
          <w:rFonts w:hint="eastAsia" w:ascii="宋体" w:hAnsi="宋体" w:eastAsia="宋体"/>
          <w:b/>
          <w:bCs/>
          <w:szCs w:val="21"/>
        </w:rPr>
      </w:pPr>
      <w:r>
        <w:rPr>
          <w:rFonts w:hint="eastAsia" w:ascii="宋体" w:hAnsi="宋体" w:eastAsia="宋体"/>
          <w:b/>
          <w:bCs/>
          <w:szCs w:val="21"/>
        </w:rPr>
        <w:t>项目编号：</w:t>
      </w:r>
    </w:p>
    <w:tbl>
      <w:tblPr>
        <w:tblStyle w:val="29"/>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15CEFD38">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5E2E13AA">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序号</w:t>
            </w: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2EB7A7E4">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竞争性磋商文件条目号</w:t>
            </w: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22A3E8EB">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竞争性磋商文件要求的商务条款</w:t>
            </w: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7B6AD9FD">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C0C0394">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是否偏离</w:t>
            </w:r>
          </w:p>
        </w:tc>
        <w:tc>
          <w:tcPr>
            <w:tcW w:w="1668" w:type="dxa"/>
            <w:tcBorders>
              <w:top w:val="single" w:color="000000" w:sz="6" w:space="0"/>
              <w:left w:val="single" w:color="000000" w:sz="6" w:space="0"/>
              <w:bottom w:val="single" w:color="000000" w:sz="6" w:space="0"/>
              <w:right w:val="single" w:color="000000" w:sz="6" w:space="0"/>
            </w:tcBorders>
            <w:noWrap w:val="0"/>
            <w:vAlign w:val="center"/>
          </w:tcPr>
          <w:p w14:paraId="67F820D3">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供应商的承诺或说明</w:t>
            </w:r>
          </w:p>
        </w:tc>
      </w:tr>
      <w:tr w14:paraId="365D2CFE">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02E3E975">
            <w:pPr>
              <w:widowControl/>
              <w:spacing w:line="276" w:lineRule="auto"/>
              <w:jc w:val="center"/>
              <w:rPr>
                <w:rFonts w:hint="eastAsia" w:ascii="宋体" w:hAnsi="宋体" w:eastAsia="宋体" w:cs="宋体"/>
                <w:szCs w:val="21"/>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55267A61">
            <w:pPr>
              <w:widowControl/>
              <w:spacing w:line="276" w:lineRule="auto"/>
              <w:jc w:val="center"/>
              <w:rPr>
                <w:rFonts w:hint="eastAsia" w:ascii="宋体" w:hAnsi="宋体" w:eastAsia="宋体" w:cs="宋体"/>
                <w:szCs w:val="21"/>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F5DBCF3">
            <w:pPr>
              <w:widowControl/>
              <w:spacing w:line="276" w:lineRule="auto"/>
              <w:jc w:val="center"/>
              <w:rPr>
                <w:rFonts w:hint="eastAsia" w:ascii="宋体" w:hAnsi="宋体" w:eastAsia="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6BF967AE">
            <w:pPr>
              <w:widowControl/>
              <w:spacing w:line="276" w:lineRule="auto"/>
              <w:jc w:val="center"/>
              <w:rPr>
                <w:rFonts w:hint="eastAsia" w:ascii="宋体" w:hAnsi="宋体" w:eastAsia="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98BDD38">
            <w:pPr>
              <w:widowControl/>
              <w:spacing w:line="276" w:lineRule="auto"/>
              <w:jc w:val="center"/>
              <w:rPr>
                <w:rFonts w:hint="eastAsia" w:ascii="宋体" w:hAnsi="宋体" w:eastAsia="宋体" w:cs="宋体"/>
                <w:szCs w:val="21"/>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112FDAAD">
            <w:pPr>
              <w:widowControl/>
              <w:spacing w:line="276" w:lineRule="auto"/>
              <w:jc w:val="center"/>
              <w:rPr>
                <w:rFonts w:hint="eastAsia" w:ascii="宋体" w:hAnsi="宋体" w:eastAsia="宋体" w:cs="宋体"/>
                <w:szCs w:val="21"/>
                <w:lang w:val="zh-CN"/>
              </w:rPr>
            </w:pPr>
          </w:p>
        </w:tc>
      </w:tr>
      <w:tr w14:paraId="6D01D5CE">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137CD41">
            <w:pPr>
              <w:widowControl/>
              <w:spacing w:line="276" w:lineRule="auto"/>
              <w:jc w:val="center"/>
              <w:rPr>
                <w:rFonts w:hint="eastAsia" w:ascii="宋体" w:hAnsi="宋体" w:eastAsia="宋体" w:cs="宋体"/>
                <w:szCs w:val="21"/>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4F6B654F">
            <w:pPr>
              <w:widowControl/>
              <w:spacing w:line="276" w:lineRule="auto"/>
              <w:jc w:val="center"/>
              <w:rPr>
                <w:rFonts w:hint="eastAsia" w:ascii="宋体" w:hAnsi="宋体" w:eastAsia="宋体" w:cs="宋体"/>
                <w:szCs w:val="21"/>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16E530A2">
            <w:pPr>
              <w:widowControl/>
              <w:spacing w:line="276" w:lineRule="auto"/>
              <w:jc w:val="center"/>
              <w:rPr>
                <w:rFonts w:hint="eastAsia" w:ascii="宋体" w:hAnsi="宋体" w:eastAsia="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15B7CCCD">
            <w:pPr>
              <w:widowControl/>
              <w:spacing w:line="276" w:lineRule="auto"/>
              <w:jc w:val="center"/>
              <w:rPr>
                <w:rFonts w:hint="eastAsia" w:ascii="宋体" w:hAnsi="宋体" w:eastAsia="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585E87C">
            <w:pPr>
              <w:widowControl/>
              <w:spacing w:line="276" w:lineRule="auto"/>
              <w:jc w:val="center"/>
              <w:rPr>
                <w:rFonts w:hint="eastAsia" w:ascii="宋体" w:hAnsi="宋体" w:eastAsia="宋体" w:cs="宋体"/>
                <w:szCs w:val="21"/>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6F084B10">
            <w:pPr>
              <w:widowControl/>
              <w:spacing w:line="276" w:lineRule="auto"/>
              <w:jc w:val="center"/>
              <w:rPr>
                <w:rFonts w:hint="eastAsia" w:ascii="宋体" w:hAnsi="宋体" w:eastAsia="宋体" w:cs="宋体"/>
                <w:szCs w:val="21"/>
                <w:lang w:val="zh-CN"/>
              </w:rPr>
            </w:pPr>
          </w:p>
        </w:tc>
      </w:tr>
      <w:tr w14:paraId="1A1D2EA8">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15D45B0B">
            <w:pPr>
              <w:widowControl/>
              <w:spacing w:line="276" w:lineRule="auto"/>
              <w:jc w:val="center"/>
              <w:rPr>
                <w:rFonts w:hint="eastAsia" w:ascii="宋体" w:hAnsi="宋体" w:eastAsia="宋体" w:cs="宋体"/>
                <w:szCs w:val="21"/>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4559372">
            <w:pPr>
              <w:widowControl/>
              <w:spacing w:line="276" w:lineRule="auto"/>
              <w:jc w:val="center"/>
              <w:rPr>
                <w:rFonts w:hint="eastAsia" w:ascii="宋体" w:hAnsi="宋体" w:eastAsia="宋体" w:cs="宋体"/>
                <w:szCs w:val="21"/>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721FBB87">
            <w:pPr>
              <w:widowControl/>
              <w:spacing w:line="276" w:lineRule="auto"/>
              <w:jc w:val="center"/>
              <w:rPr>
                <w:rFonts w:hint="eastAsia" w:ascii="宋体" w:hAnsi="宋体" w:eastAsia="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748073EB">
            <w:pPr>
              <w:widowControl/>
              <w:spacing w:line="276" w:lineRule="auto"/>
              <w:jc w:val="center"/>
              <w:rPr>
                <w:rFonts w:hint="eastAsia" w:ascii="宋体" w:hAnsi="宋体" w:eastAsia="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E5B9299">
            <w:pPr>
              <w:widowControl/>
              <w:spacing w:line="276" w:lineRule="auto"/>
              <w:jc w:val="center"/>
              <w:rPr>
                <w:rFonts w:hint="eastAsia" w:ascii="宋体" w:hAnsi="宋体" w:eastAsia="宋体" w:cs="宋体"/>
                <w:szCs w:val="21"/>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3ACFDB92">
            <w:pPr>
              <w:widowControl/>
              <w:spacing w:line="276" w:lineRule="auto"/>
              <w:jc w:val="center"/>
              <w:rPr>
                <w:rFonts w:hint="eastAsia" w:ascii="宋体" w:hAnsi="宋体" w:eastAsia="宋体" w:cs="宋体"/>
                <w:szCs w:val="21"/>
                <w:lang w:val="zh-CN"/>
              </w:rPr>
            </w:pPr>
          </w:p>
        </w:tc>
      </w:tr>
      <w:tr w14:paraId="51171E62">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F6E642C">
            <w:pPr>
              <w:widowControl/>
              <w:spacing w:line="276" w:lineRule="auto"/>
              <w:jc w:val="center"/>
              <w:rPr>
                <w:rFonts w:hint="eastAsia" w:ascii="宋体" w:hAnsi="宋体" w:eastAsia="宋体" w:cs="宋体"/>
                <w:szCs w:val="21"/>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0956407B">
            <w:pPr>
              <w:widowControl/>
              <w:spacing w:line="276" w:lineRule="auto"/>
              <w:jc w:val="center"/>
              <w:rPr>
                <w:rFonts w:hint="eastAsia" w:ascii="宋体" w:hAnsi="宋体" w:eastAsia="宋体" w:cs="宋体"/>
                <w:szCs w:val="21"/>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949F3D6">
            <w:pPr>
              <w:widowControl/>
              <w:spacing w:line="276" w:lineRule="auto"/>
              <w:jc w:val="center"/>
              <w:rPr>
                <w:rFonts w:hint="eastAsia" w:ascii="宋体" w:hAnsi="宋体" w:eastAsia="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1430E4A5">
            <w:pPr>
              <w:widowControl/>
              <w:spacing w:line="276" w:lineRule="auto"/>
              <w:jc w:val="center"/>
              <w:rPr>
                <w:rFonts w:hint="eastAsia" w:ascii="宋体" w:hAnsi="宋体" w:eastAsia="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DC0A0C2">
            <w:pPr>
              <w:widowControl/>
              <w:spacing w:line="276" w:lineRule="auto"/>
              <w:jc w:val="center"/>
              <w:rPr>
                <w:rFonts w:hint="eastAsia" w:ascii="宋体" w:hAnsi="宋体" w:eastAsia="宋体" w:cs="宋体"/>
                <w:szCs w:val="21"/>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6EF1CA88">
            <w:pPr>
              <w:widowControl/>
              <w:spacing w:line="276" w:lineRule="auto"/>
              <w:jc w:val="center"/>
              <w:rPr>
                <w:rFonts w:hint="eastAsia" w:ascii="宋体" w:hAnsi="宋体" w:eastAsia="宋体" w:cs="宋体"/>
                <w:szCs w:val="21"/>
                <w:lang w:val="zh-CN"/>
              </w:rPr>
            </w:pPr>
          </w:p>
        </w:tc>
      </w:tr>
    </w:tbl>
    <w:p w14:paraId="6863BF93">
      <w:pPr>
        <w:pStyle w:val="263"/>
        <w:spacing w:line="276" w:lineRule="auto"/>
        <w:ind w:firstLine="420"/>
        <w:rPr>
          <w:rFonts w:hint="eastAsia" w:ascii="宋体" w:hAnsi="宋体" w:eastAsia="宋体"/>
          <w:lang w:val="en-US"/>
        </w:rPr>
      </w:pPr>
    </w:p>
    <w:p w14:paraId="5D2C01B9">
      <w:pPr>
        <w:widowControl/>
        <w:spacing w:line="276" w:lineRule="auto"/>
        <w:jc w:val="left"/>
        <w:rPr>
          <w:rFonts w:ascii="宋体" w:hAnsi="宋体" w:eastAsia="宋体" w:cs="Trebuchet MS"/>
          <w:b/>
          <w:szCs w:val="21"/>
          <w:lang w:val="zh-CN"/>
        </w:rPr>
      </w:pPr>
      <w:r>
        <w:rPr>
          <w:rFonts w:hint="eastAsia" w:ascii="宋体" w:hAnsi="宋体" w:eastAsia="宋体" w:cs="Trebuchet MS"/>
          <w:b/>
          <w:szCs w:val="21"/>
          <w:lang w:val="zh-CN"/>
        </w:rPr>
        <w:t>注：请磋商供应商根据实际情况填写，如果一字不漏照抄磋商文件要求，将作无效磋商处理。</w:t>
      </w:r>
    </w:p>
    <w:p w14:paraId="4D621301">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磋商供应商名称（</w:t>
      </w:r>
      <w:r>
        <w:rPr>
          <w:rFonts w:hint="eastAsia" w:ascii="宋体" w:hAnsi="宋体" w:eastAsia="宋体" w:cs="宋体"/>
          <w:szCs w:val="21"/>
        </w:rPr>
        <w:t>加盖电子公章</w:t>
      </w:r>
      <w:r>
        <w:rPr>
          <w:rFonts w:hint="eastAsia" w:ascii="宋体" w:hAnsi="宋体" w:eastAsia="宋体" w:cs="Trebuchet MS"/>
          <w:szCs w:val="21"/>
          <w:lang w:val="zh-CN"/>
        </w:rPr>
        <w:t>）:</w:t>
      </w:r>
    </w:p>
    <w:p w14:paraId="342E268E">
      <w:pPr>
        <w:widowControl/>
        <w:spacing w:line="276" w:lineRule="auto"/>
        <w:jc w:val="left"/>
        <w:rPr>
          <w:rFonts w:ascii="宋体" w:hAnsi="宋体" w:eastAsia="宋体"/>
          <w:szCs w:val="21"/>
        </w:rPr>
      </w:pPr>
      <w:r>
        <w:rPr>
          <w:rFonts w:hint="eastAsia" w:ascii="宋体" w:hAnsi="宋体" w:eastAsia="宋体"/>
          <w:szCs w:val="21"/>
        </w:rPr>
        <w:t>法定代表人（签字或盖章）：</w:t>
      </w:r>
    </w:p>
    <w:p w14:paraId="04A32F4E">
      <w:pPr>
        <w:widowControl/>
        <w:spacing w:line="276" w:lineRule="auto"/>
        <w:jc w:val="left"/>
        <w:rPr>
          <w:rFonts w:ascii="宋体" w:hAnsi="宋体" w:eastAsia="宋体" w:cs="Trebuchet MS"/>
          <w:szCs w:val="21"/>
          <w:lang w:val="zh-CN"/>
        </w:rPr>
      </w:pPr>
      <w:r>
        <w:rPr>
          <w:rFonts w:hint="eastAsia" w:ascii="宋体" w:hAnsi="宋体" w:eastAsia="宋体"/>
          <w:szCs w:val="21"/>
        </w:rPr>
        <w:t>日期：年 月 日</w:t>
      </w:r>
    </w:p>
    <w:p w14:paraId="0550EDEA">
      <w:pPr>
        <w:widowControl/>
        <w:shd w:val="clear" w:color="auto" w:fill="FFFFFF"/>
        <w:spacing w:line="276" w:lineRule="auto"/>
        <w:jc w:val="left"/>
        <w:rPr>
          <w:rFonts w:ascii="宋体" w:hAnsi="宋体" w:eastAsia="宋体"/>
          <w:b/>
          <w:bCs/>
          <w:szCs w:val="21"/>
        </w:rPr>
      </w:pPr>
    </w:p>
    <w:p w14:paraId="5E2D693A">
      <w:pPr>
        <w:spacing w:line="276" w:lineRule="auto"/>
        <w:jc w:val="left"/>
        <w:outlineLvl w:val="1"/>
        <w:rPr>
          <w:rFonts w:ascii="宋体" w:hAnsi="宋体" w:eastAsia="宋体" w:cs="Trebuchet MS"/>
          <w:spacing w:val="15"/>
          <w:szCs w:val="21"/>
          <w:u w:val="single"/>
        </w:rPr>
      </w:pPr>
      <w:r>
        <w:rPr>
          <w:rFonts w:ascii="宋体" w:hAnsi="宋体" w:eastAsia="宋体"/>
          <w:b/>
          <w:bCs/>
          <w:szCs w:val="21"/>
        </w:rPr>
        <w:br w:type="page" w:clear="all"/>
      </w:r>
      <w:bookmarkStart w:id="86" w:name="_Toc190329548"/>
      <w:r>
        <w:rPr>
          <w:rFonts w:hint="eastAsia" w:ascii="宋体" w:hAnsi="宋体" w:eastAsia="宋体"/>
          <w:b/>
          <w:bCs/>
          <w:szCs w:val="21"/>
        </w:rPr>
        <w:t>附件八、</w:t>
      </w:r>
      <w:bookmarkStart w:id="87" w:name="_Toc503948590"/>
      <w:bookmarkStart w:id="88" w:name="_Toc479949492"/>
      <w:bookmarkStart w:id="89" w:name="_Toc503948083"/>
      <w:bookmarkStart w:id="90" w:name="_Toc497829358"/>
      <w:r>
        <w:rPr>
          <w:rFonts w:hint="eastAsia" w:ascii="宋体" w:hAnsi="宋体" w:eastAsia="宋体" w:cs="ˎ̥"/>
          <w:b/>
          <w:bCs/>
          <w:szCs w:val="21"/>
          <w:lang w:val="zh-CN"/>
        </w:rPr>
        <w:t>技术条款偏离表</w:t>
      </w:r>
      <w:bookmarkEnd w:id="86"/>
      <w:bookmarkEnd w:id="87"/>
      <w:bookmarkEnd w:id="88"/>
      <w:bookmarkEnd w:id="89"/>
      <w:bookmarkEnd w:id="90"/>
    </w:p>
    <w:p w14:paraId="7E7F7A1C">
      <w:pPr>
        <w:widowControl/>
        <w:shd w:val="clear" w:color="auto" w:fill="FFFFFF"/>
        <w:spacing w:line="276" w:lineRule="auto"/>
        <w:ind w:left="420"/>
        <w:jc w:val="center"/>
        <w:rPr>
          <w:rFonts w:ascii="宋体" w:hAnsi="宋体" w:eastAsia="宋体"/>
          <w:b/>
          <w:szCs w:val="21"/>
        </w:rPr>
      </w:pPr>
      <w:r>
        <w:rPr>
          <w:rFonts w:hint="eastAsia" w:ascii="宋体" w:hAnsi="宋体" w:eastAsia="宋体"/>
          <w:b/>
          <w:szCs w:val="21"/>
        </w:rPr>
        <w:t>技术条款偏离表</w:t>
      </w:r>
    </w:p>
    <w:p w14:paraId="7ED552E3">
      <w:pPr>
        <w:widowControl/>
        <w:shd w:val="clear" w:color="auto" w:fill="FFFFFF"/>
        <w:spacing w:line="276" w:lineRule="auto"/>
        <w:rPr>
          <w:rFonts w:ascii="宋体" w:hAnsi="宋体" w:eastAsia="宋体"/>
          <w:b/>
          <w:bCs/>
          <w:szCs w:val="21"/>
          <w:u w:val="single"/>
        </w:rPr>
      </w:pPr>
      <w:r>
        <w:rPr>
          <w:rFonts w:hint="eastAsia" w:ascii="宋体" w:hAnsi="宋体" w:eastAsia="宋体"/>
          <w:b/>
          <w:szCs w:val="21"/>
        </w:rPr>
        <w:t>项目名称：</w:t>
      </w:r>
    </w:p>
    <w:p w14:paraId="60ABE06F">
      <w:pPr>
        <w:widowControl/>
        <w:shd w:val="clear" w:color="auto" w:fill="FFFFFF"/>
        <w:spacing w:line="276" w:lineRule="auto"/>
        <w:rPr>
          <w:rFonts w:ascii="宋体" w:hAnsi="宋体" w:eastAsia="宋体" w:cs="ˎ̥"/>
          <w:b/>
          <w:bCs/>
          <w:szCs w:val="21"/>
          <w:lang w:val="zh-CN"/>
        </w:rPr>
      </w:pPr>
      <w:r>
        <w:rPr>
          <w:rFonts w:hint="eastAsia" w:ascii="宋体" w:hAnsi="宋体" w:eastAsia="宋体"/>
          <w:b/>
          <w:bCs/>
          <w:szCs w:val="21"/>
        </w:rPr>
        <w:t>项目编号：</w:t>
      </w:r>
    </w:p>
    <w:tbl>
      <w:tblPr>
        <w:tblStyle w:val="29"/>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63ADAD41">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64B84CB2">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序号</w:t>
            </w: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53503862">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竞争性磋商文件条目号</w:t>
            </w: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FD3A057">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竞争性磋商文件要求的规格型号</w:t>
            </w: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4B5EC628">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参与投标的技术响应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8F8CBBE">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是否偏离</w:t>
            </w:r>
          </w:p>
        </w:tc>
        <w:tc>
          <w:tcPr>
            <w:tcW w:w="1668" w:type="dxa"/>
            <w:tcBorders>
              <w:top w:val="single" w:color="000000" w:sz="6" w:space="0"/>
              <w:left w:val="single" w:color="000000" w:sz="6" w:space="0"/>
              <w:bottom w:val="single" w:color="000000" w:sz="6" w:space="0"/>
              <w:right w:val="single" w:color="000000" w:sz="6" w:space="0"/>
            </w:tcBorders>
            <w:noWrap w:val="0"/>
            <w:vAlign w:val="center"/>
          </w:tcPr>
          <w:p w14:paraId="4B3D1037">
            <w:pPr>
              <w:widowControl/>
              <w:spacing w:line="276" w:lineRule="auto"/>
              <w:jc w:val="center"/>
              <w:rPr>
                <w:rFonts w:hint="eastAsia" w:ascii="宋体" w:hAnsi="宋体" w:eastAsia="宋体" w:cs="Trebuchet MS"/>
                <w:szCs w:val="21"/>
                <w:lang w:val="zh-CN"/>
              </w:rPr>
            </w:pPr>
            <w:r>
              <w:rPr>
                <w:rFonts w:hint="eastAsia" w:ascii="宋体" w:hAnsi="宋体" w:eastAsia="宋体" w:cs="Trebuchet MS"/>
                <w:szCs w:val="21"/>
                <w:lang w:val="zh-CN"/>
              </w:rPr>
              <w:t>偏离内容及原因</w:t>
            </w:r>
          </w:p>
        </w:tc>
      </w:tr>
      <w:tr w14:paraId="5A39C991">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732E4488">
            <w:pPr>
              <w:widowControl/>
              <w:spacing w:line="276" w:lineRule="auto"/>
              <w:jc w:val="center"/>
              <w:rPr>
                <w:rFonts w:hint="eastAsia" w:ascii="宋体" w:hAnsi="宋体" w:eastAsia="宋体" w:cs="宋体"/>
                <w:szCs w:val="21"/>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1619D8EA">
            <w:pPr>
              <w:widowControl/>
              <w:spacing w:line="276" w:lineRule="auto"/>
              <w:jc w:val="center"/>
              <w:rPr>
                <w:rFonts w:hint="eastAsia" w:ascii="宋体" w:hAnsi="宋体" w:eastAsia="宋体" w:cs="宋体"/>
                <w:szCs w:val="21"/>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19CFC5E0">
            <w:pPr>
              <w:widowControl/>
              <w:spacing w:line="276" w:lineRule="auto"/>
              <w:jc w:val="center"/>
              <w:rPr>
                <w:rFonts w:hint="eastAsia" w:ascii="宋体" w:hAnsi="宋体" w:eastAsia="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6A9FF309">
            <w:pPr>
              <w:widowControl/>
              <w:spacing w:line="276" w:lineRule="auto"/>
              <w:jc w:val="center"/>
              <w:rPr>
                <w:rFonts w:hint="eastAsia" w:ascii="宋体" w:hAnsi="宋体" w:eastAsia="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67A30B3">
            <w:pPr>
              <w:widowControl/>
              <w:spacing w:line="276" w:lineRule="auto"/>
              <w:jc w:val="center"/>
              <w:rPr>
                <w:rFonts w:hint="eastAsia" w:ascii="宋体" w:hAnsi="宋体" w:eastAsia="宋体" w:cs="宋体"/>
                <w:szCs w:val="21"/>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24520126">
            <w:pPr>
              <w:widowControl/>
              <w:spacing w:line="276" w:lineRule="auto"/>
              <w:jc w:val="center"/>
              <w:rPr>
                <w:rFonts w:hint="eastAsia" w:ascii="宋体" w:hAnsi="宋体" w:eastAsia="宋体" w:cs="宋体"/>
                <w:szCs w:val="21"/>
                <w:lang w:val="zh-CN"/>
              </w:rPr>
            </w:pPr>
          </w:p>
        </w:tc>
      </w:tr>
      <w:tr w14:paraId="550BF5F1">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12C5A81B">
            <w:pPr>
              <w:widowControl/>
              <w:spacing w:line="276" w:lineRule="auto"/>
              <w:jc w:val="center"/>
              <w:rPr>
                <w:rFonts w:hint="eastAsia" w:ascii="宋体" w:hAnsi="宋体" w:eastAsia="宋体" w:cs="宋体"/>
                <w:szCs w:val="21"/>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12401316">
            <w:pPr>
              <w:widowControl/>
              <w:spacing w:line="276" w:lineRule="auto"/>
              <w:jc w:val="center"/>
              <w:rPr>
                <w:rFonts w:hint="eastAsia" w:ascii="宋体" w:hAnsi="宋体" w:eastAsia="宋体" w:cs="宋体"/>
                <w:szCs w:val="21"/>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7524C903">
            <w:pPr>
              <w:widowControl/>
              <w:spacing w:line="276" w:lineRule="auto"/>
              <w:jc w:val="center"/>
              <w:rPr>
                <w:rFonts w:hint="eastAsia" w:ascii="宋体" w:hAnsi="宋体" w:eastAsia="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3C524786">
            <w:pPr>
              <w:widowControl/>
              <w:spacing w:line="276" w:lineRule="auto"/>
              <w:jc w:val="center"/>
              <w:rPr>
                <w:rFonts w:hint="eastAsia" w:ascii="宋体" w:hAnsi="宋体" w:eastAsia="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A1A9D74">
            <w:pPr>
              <w:widowControl/>
              <w:spacing w:line="276" w:lineRule="auto"/>
              <w:jc w:val="center"/>
              <w:rPr>
                <w:rFonts w:hint="eastAsia" w:ascii="宋体" w:hAnsi="宋体" w:eastAsia="宋体" w:cs="宋体"/>
                <w:szCs w:val="21"/>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5896E126">
            <w:pPr>
              <w:widowControl/>
              <w:spacing w:line="276" w:lineRule="auto"/>
              <w:jc w:val="center"/>
              <w:rPr>
                <w:rFonts w:hint="eastAsia" w:ascii="宋体" w:hAnsi="宋体" w:eastAsia="宋体" w:cs="宋体"/>
                <w:szCs w:val="21"/>
                <w:lang w:val="zh-CN"/>
              </w:rPr>
            </w:pPr>
          </w:p>
        </w:tc>
      </w:tr>
      <w:tr w14:paraId="3984C17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1E9A9A52">
            <w:pPr>
              <w:widowControl/>
              <w:spacing w:line="276" w:lineRule="auto"/>
              <w:jc w:val="center"/>
              <w:rPr>
                <w:rFonts w:hint="eastAsia" w:ascii="宋体" w:hAnsi="宋体" w:eastAsia="宋体" w:cs="宋体"/>
                <w:szCs w:val="21"/>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1D64F2C">
            <w:pPr>
              <w:widowControl/>
              <w:spacing w:line="276" w:lineRule="auto"/>
              <w:jc w:val="center"/>
              <w:rPr>
                <w:rFonts w:hint="eastAsia" w:ascii="宋体" w:hAnsi="宋体" w:eastAsia="宋体" w:cs="宋体"/>
                <w:szCs w:val="21"/>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1E373D75">
            <w:pPr>
              <w:widowControl/>
              <w:spacing w:line="276" w:lineRule="auto"/>
              <w:jc w:val="center"/>
              <w:rPr>
                <w:rFonts w:hint="eastAsia" w:ascii="宋体" w:hAnsi="宋体" w:eastAsia="宋体" w:cs="宋体"/>
                <w:szCs w:val="21"/>
                <w:lang w:val="zh-CN"/>
              </w:rPr>
            </w:pPr>
          </w:p>
        </w:tc>
        <w:tc>
          <w:tcPr>
            <w:tcW w:w="1961" w:type="dxa"/>
            <w:tcBorders>
              <w:top w:val="single" w:color="000000" w:sz="6" w:space="0"/>
              <w:left w:val="single" w:color="000000" w:sz="6" w:space="0"/>
              <w:bottom w:val="single" w:color="000000" w:sz="6" w:space="0"/>
              <w:right w:val="single" w:color="000000" w:sz="6" w:space="0"/>
            </w:tcBorders>
            <w:noWrap w:val="0"/>
            <w:vAlign w:val="center"/>
          </w:tcPr>
          <w:p w14:paraId="37C9269E">
            <w:pPr>
              <w:widowControl/>
              <w:spacing w:line="276" w:lineRule="auto"/>
              <w:jc w:val="center"/>
              <w:rPr>
                <w:rFonts w:hint="eastAsia" w:ascii="宋体" w:hAnsi="宋体" w:eastAsia="宋体" w:cs="宋体"/>
                <w:szCs w:val="21"/>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322A126">
            <w:pPr>
              <w:widowControl/>
              <w:spacing w:line="276" w:lineRule="auto"/>
              <w:jc w:val="center"/>
              <w:rPr>
                <w:rFonts w:hint="eastAsia" w:ascii="宋体" w:hAnsi="宋体" w:eastAsia="宋体" w:cs="宋体"/>
                <w:szCs w:val="21"/>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538F67F1">
            <w:pPr>
              <w:widowControl/>
              <w:spacing w:line="276" w:lineRule="auto"/>
              <w:jc w:val="center"/>
              <w:rPr>
                <w:rFonts w:hint="eastAsia" w:ascii="宋体" w:hAnsi="宋体" w:eastAsia="宋体" w:cs="宋体"/>
                <w:szCs w:val="21"/>
                <w:lang w:val="zh-CN"/>
              </w:rPr>
            </w:pPr>
          </w:p>
        </w:tc>
      </w:tr>
    </w:tbl>
    <w:p w14:paraId="14B519E0">
      <w:pPr>
        <w:widowControl/>
        <w:spacing w:line="276" w:lineRule="auto"/>
        <w:jc w:val="left"/>
        <w:rPr>
          <w:rFonts w:ascii="宋体" w:hAnsi="宋体" w:eastAsia="宋体" w:cs="Trebuchet MS"/>
          <w:b/>
          <w:szCs w:val="21"/>
          <w:lang w:val="zh-CN"/>
        </w:rPr>
      </w:pPr>
      <w:r>
        <w:rPr>
          <w:rFonts w:hint="eastAsia" w:ascii="宋体" w:hAnsi="宋体" w:eastAsia="宋体" w:cs="Trebuchet MS"/>
          <w:b/>
          <w:szCs w:val="21"/>
          <w:lang w:val="zh-CN"/>
        </w:rPr>
        <w:t>注：请磋商供应商根据实际情况填写，如果一字不漏照抄磋商文件要求，将作无效磋商处理。</w:t>
      </w:r>
    </w:p>
    <w:p w14:paraId="1848ABB5">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磋商供应商名称（</w:t>
      </w:r>
      <w:r>
        <w:rPr>
          <w:rFonts w:hint="eastAsia" w:ascii="宋体" w:hAnsi="宋体" w:eastAsia="宋体" w:cs="宋体"/>
          <w:szCs w:val="21"/>
        </w:rPr>
        <w:t>加盖电子公章</w:t>
      </w:r>
      <w:r>
        <w:rPr>
          <w:rFonts w:hint="eastAsia" w:ascii="宋体" w:hAnsi="宋体" w:eastAsia="宋体" w:cs="Trebuchet MS"/>
          <w:szCs w:val="21"/>
          <w:lang w:val="zh-CN"/>
        </w:rPr>
        <w:t>）:</w:t>
      </w:r>
    </w:p>
    <w:p w14:paraId="50B94DFF">
      <w:pPr>
        <w:widowControl/>
        <w:spacing w:line="276" w:lineRule="auto"/>
        <w:jc w:val="left"/>
        <w:rPr>
          <w:rFonts w:ascii="宋体" w:hAnsi="宋体" w:eastAsia="宋体"/>
          <w:szCs w:val="21"/>
        </w:rPr>
      </w:pPr>
      <w:r>
        <w:rPr>
          <w:rFonts w:hint="eastAsia" w:ascii="宋体" w:hAnsi="宋体" w:eastAsia="宋体"/>
          <w:szCs w:val="21"/>
        </w:rPr>
        <w:t>法定代表人（签字或盖章）：</w:t>
      </w:r>
    </w:p>
    <w:p w14:paraId="7E14FE14">
      <w:pPr>
        <w:widowControl/>
        <w:spacing w:line="276" w:lineRule="auto"/>
        <w:jc w:val="left"/>
        <w:rPr>
          <w:rFonts w:ascii="宋体" w:hAnsi="宋体" w:eastAsia="宋体" w:cs="Trebuchet MS"/>
          <w:szCs w:val="21"/>
          <w:lang w:val="zh-CN"/>
        </w:rPr>
      </w:pPr>
      <w:r>
        <w:rPr>
          <w:rFonts w:hint="eastAsia" w:ascii="宋体" w:hAnsi="宋体" w:eastAsia="宋体"/>
          <w:szCs w:val="21"/>
        </w:rPr>
        <w:t>日期：年 月 日</w:t>
      </w:r>
    </w:p>
    <w:p w14:paraId="5594B3C7">
      <w:pPr>
        <w:widowControl/>
        <w:shd w:val="clear" w:color="auto" w:fill="FFFFFF"/>
        <w:spacing w:line="276" w:lineRule="auto"/>
        <w:jc w:val="left"/>
        <w:rPr>
          <w:rFonts w:ascii="宋体" w:hAnsi="宋体" w:eastAsia="宋体" w:cs="Trebuchet MS"/>
          <w:szCs w:val="21"/>
          <w:lang w:val="zh-CN"/>
        </w:rPr>
      </w:pPr>
    </w:p>
    <w:p w14:paraId="1A1028BF">
      <w:pPr>
        <w:widowControl/>
        <w:shd w:val="clear" w:color="auto" w:fill="FFFFFF"/>
        <w:spacing w:line="276" w:lineRule="auto"/>
        <w:jc w:val="left"/>
        <w:outlineLvl w:val="1"/>
        <w:rPr>
          <w:rFonts w:ascii="宋体" w:hAnsi="宋体" w:eastAsia="宋体" w:cs="Trebuchet MS"/>
          <w:szCs w:val="21"/>
          <w:lang w:val="zh-CN"/>
        </w:rPr>
      </w:pPr>
      <w:bookmarkStart w:id="91" w:name="_Toc190329549"/>
      <w:r>
        <w:rPr>
          <w:rFonts w:hint="eastAsia" w:ascii="宋体" w:hAnsi="宋体" w:eastAsia="宋体"/>
          <w:b/>
          <w:bCs/>
          <w:szCs w:val="21"/>
        </w:rPr>
        <w:t>附件九、供应商项目业绩及人员情况</w:t>
      </w:r>
      <w:r>
        <w:rPr>
          <w:rFonts w:hint="eastAsia" w:ascii="宋体" w:hAnsi="宋体" w:eastAsia="宋体" w:cs="ˎ̥"/>
          <w:b/>
          <w:bCs/>
          <w:szCs w:val="21"/>
          <w:lang w:val="zh-CN"/>
        </w:rPr>
        <w:t>表</w:t>
      </w:r>
      <w:bookmarkEnd w:id="91"/>
    </w:p>
    <w:p w14:paraId="56517242">
      <w:pPr>
        <w:spacing w:line="276" w:lineRule="auto"/>
        <w:jc w:val="center"/>
        <w:rPr>
          <w:rFonts w:ascii="宋体" w:hAnsi="宋体" w:eastAsia="宋体" w:cs="ˎ̥"/>
          <w:b/>
          <w:bCs/>
          <w:szCs w:val="21"/>
          <w:lang w:val="zh-CN"/>
        </w:rPr>
      </w:pPr>
      <w:r>
        <w:rPr>
          <w:rFonts w:hint="eastAsia" w:ascii="宋体" w:hAnsi="宋体" w:eastAsia="宋体"/>
          <w:b/>
          <w:bCs/>
          <w:szCs w:val="21"/>
        </w:rPr>
        <w:t>供应商项目业绩情况</w:t>
      </w:r>
      <w:r>
        <w:rPr>
          <w:rFonts w:hint="eastAsia" w:ascii="宋体" w:hAnsi="宋体" w:eastAsia="宋体" w:cs="ˎ̥"/>
          <w:b/>
          <w:bCs/>
          <w:szCs w:val="21"/>
          <w:lang w:val="zh-CN"/>
        </w:rPr>
        <w:t>表（合同）</w:t>
      </w:r>
    </w:p>
    <w:tbl>
      <w:tblPr>
        <w:tblStyle w:val="29"/>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5C910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noWrap w:val="0"/>
            <w:vAlign w:val="center"/>
          </w:tcPr>
          <w:p w14:paraId="2AD9D056">
            <w:pPr>
              <w:spacing w:line="276" w:lineRule="auto"/>
              <w:jc w:val="center"/>
              <w:rPr>
                <w:rFonts w:ascii="宋体" w:hAnsi="宋体" w:eastAsia="宋体"/>
                <w:b/>
                <w:sz w:val="22"/>
              </w:rPr>
            </w:pPr>
            <w:r>
              <w:rPr>
                <w:rFonts w:hint="eastAsia" w:ascii="宋体" w:hAnsi="宋体" w:eastAsia="宋体"/>
                <w:b/>
                <w:sz w:val="22"/>
              </w:rPr>
              <w:t>序号</w:t>
            </w:r>
          </w:p>
        </w:tc>
        <w:tc>
          <w:tcPr>
            <w:tcW w:w="1677" w:type="dxa"/>
            <w:noWrap w:val="0"/>
            <w:vAlign w:val="center"/>
          </w:tcPr>
          <w:p w14:paraId="570E21D8">
            <w:pPr>
              <w:spacing w:line="276" w:lineRule="auto"/>
              <w:jc w:val="center"/>
              <w:rPr>
                <w:rFonts w:ascii="宋体" w:hAnsi="宋体" w:eastAsia="宋体"/>
                <w:b/>
                <w:sz w:val="22"/>
              </w:rPr>
            </w:pPr>
            <w:r>
              <w:rPr>
                <w:rFonts w:hint="eastAsia" w:ascii="宋体" w:hAnsi="宋体" w:eastAsia="宋体"/>
                <w:b/>
                <w:sz w:val="22"/>
              </w:rPr>
              <w:t>项目名称</w:t>
            </w:r>
          </w:p>
        </w:tc>
        <w:tc>
          <w:tcPr>
            <w:tcW w:w="1985" w:type="dxa"/>
            <w:noWrap w:val="0"/>
            <w:vAlign w:val="center"/>
          </w:tcPr>
          <w:p w14:paraId="2E8F3C82">
            <w:pPr>
              <w:spacing w:line="276" w:lineRule="auto"/>
              <w:jc w:val="center"/>
              <w:rPr>
                <w:rFonts w:ascii="宋体" w:hAnsi="宋体" w:eastAsia="宋体"/>
                <w:b/>
                <w:sz w:val="22"/>
              </w:rPr>
            </w:pPr>
            <w:r>
              <w:rPr>
                <w:rFonts w:hint="eastAsia" w:ascii="宋体" w:hAnsi="宋体" w:eastAsia="宋体"/>
                <w:b/>
                <w:sz w:val="22"/>
              </w:rPr>
              <w:t>委托人</w:t>
            </w:r>
          </w:p>
        </w:tc>
        <w:tc>
          <w:tcPr>
            <w:tcW w:w="1984" w:type="dxa"/>
            <w:noWrap w:val="0"/>
            <w:vAlign w:val="center"/>
          </w:tcPr>
          <w:p w14:paraId="3616B77C">
            <w:pPr>
              <w:spacing w:line="276" w:lineRule="auto"/>
              <w:jc w:val="center"/>
              <w:rPr>
                <w:rFonts w:ascii="宋体" w:hAnsi="宋体" w:eastAsia="宋体"/>
                <w:b/>
                <w:sz w:val="22"/>
              </w:rPr>
            </w:pPr>
            <w:r>
              <w:rPr>
                <w:rFonts w:hint="eastAsia" w:ascii="宋体" w:hAnsi="宋体" w:eastAsia="宋体"/>
                <w:b/>
                <w:sz w:val="22"/>
              </w:rPr>
              <w:t>合同约定主要工作内容</w:t>
            </w:r>
          </w:p>
        </w:tc>
        <w:tc>
          <w:tcPr>
            <w:tcW w:w="1276" w:type="dxa"/>
            <w:noWrap w:val="0"/>
            <w:vAlign w:val="center"/>
          </w:tcPr>
          <w:p w14:paraId="664B5343">
            <w:pPr>
              <w:spacing w:line="276" w:lineRule="auto"/>
              <w:jc w:val="center"/>
              <w:rPr>
                <w:rFonts w:ascii="宋体" w:hAnsi="宋体" w:eastAsia="宋体"/>
                <w:b/>
                <w:sz w:val="22"/>
              </w:rPr>
            </w:pPr>
            <w:r>
              <w:rPr>
                <w:rFonts w:hint="eastAsia" w:ascii="宋体" w:hAnsi="宋体" w:eastAsia="宋体"/>
                <w:b/>
                <w:sz w:val="22"/>
              </w:rPr>
              <w:t>备注</w:t>
            </w:r>
          </w:p>
        </w:tc>
      </w:tr>
      <w:tr w14:paraId="3A9D6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70654681">
            <w:pPr>
              <w:spacing w:line="276" w:lineRule="auto"/>
              <w:rPr>
                <w:rFonts w:ascii="宋体" w:hAnsi="宋体" w:eastAsia="宋体"/>
                <w:sz w:val="22"/>
              </w:rPr>
            </w:pPr>
          </w:p>
        </w:tc>
        <w:tc>
          <w:tcPr>
            <w:tcW w:w="1677" w:type="dxa"/>
            <w:noWrap w:val="0"/>
            <w:vAlign w:val="center"/>
          </w:tcPr>
          <w:p w14:paraId="0A68D3C9">
            <w:pPr>
              <w:spacing w:line="276" w:lineRule="auto"/>
              <w:rPr>
                <w:rFonts w:ascii="宋体" w:hAnsi="宋体" w:eastAsia="宋体"/>
                <w:sz w:val="22"/>
              </w:rPr>
            </w:pPr>
          </w:p>
        </w:tc>
        <w:tc>
          <w:tcPr>
            <w:tcW w:w="1985" w:type="dxa"/>
            <w:noWrap w:val="0"/>
            <w:vAlign w:val="center"/>
          </w:tcPr>
          <w:p w14:paraId="19215EF0">
            <w:pPr>
              <w:spacing w:line="276" w:lineRule="auto"/>
              <w:rPr>
                <w:rFonts w:ascii="宋体" w:hAnsi="宋体" w:eastAsia="宋体"/>
                <w:sz w:val="22"/>
              </w:rPr>
            </w:pPr>
          </w:p>
        </w:tc>
        <w:tc>
          <w:tcPr>
            <w:tcW w:w="1984" w:type="dxa"/>
            <w:noWrap w:val="0"/>
            <w:vAlign w:val="center"/>
          </w:tcPr>
          <w:p w14:paraId="34EFB76B">
            <w:pPr>
              <w:spacing w:line="276" w:lineRule="auto"/>
              <w:rPr>
                <w:rFonts w:ascii="宋体" w:hAnsi="宋体" w:eastAsia="宋体"/>
                <w:sz w:val="22"/>
              </w:rPr>
            </w:pPr>
          </w:p>
        </w:tc>
        <w:tc>
          <w:tcPr>
            <w:tcW w:w="1276" w:type="dxa"/>
            <w:noWrap w:val="0"/>
            <w:vAlign w:val="center"/>
          </w:tcPr>
          <w:p w14:paraId="1725D63E">
            <w:pPr>
              <w:spacing w:line="276" w:lineRule="auto"/>
              <w:rPr>
                <w:rFonts w:ascii="宋体" w:hAnsi="宋体" w:eastAsia="宋体"/>
                <w:sz w:val="22"/>
              </w:rPr>
            </w:pPr>
          </w:p>
        </w:tc>
      </w:tr>
      <w:tr w14:paraId="16890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835" w:type="dxa"/>
            <w:noWrap w:val="0"/>
            <w:vAlign w:val="center"/>
          </w:tcPr>
          <w:p w14:paraId="3977FBE1">
            <w:pPr>
              <w:spacing w:line="276" w:lineRule="auto"/>
              <w:rPr>
                <w:rFonts w:ascii="宋体" w:hAnsi="宋体" w:eastAsia="宋体"/>
                <w:sz w:val="22"/>
              </w:rPr>
            </w:pPr>
          </w:p>
        </w:tc>
        <w:tc>
          <w:tcPr>
            <w:tcW w:w="1677" w:type="dxa"/>
            <w:noWrap w:val="0"/>
            <w:vAlign w:val="center"/>
          </w:tcPr>
          <w:p w14:paraId="5E89FF6E">
            <w:pPr>
              <w:spacing w:line="276" w:lineRule="auto"/>
              <w:rPr>
                <w:rFonts w:ascii="宋体" w:hAnsi="宋体" w:eastAsia="宋体"/>
                <w:sz w:val="22"/>
              </w:rPr>
            </w:pPr>
          </w:p>
        </w:tc>
        <w:tc>
          <w:tcPr>
            <w:tcW w:w="1985" w:type="dxa"/>
            <w:noWrap w:val="0"/>
            <w:vAlign w:val="center"/>
          </w:tcPr>
          <w:p w14:paraId="29F4A724">
            <w:pPr>
              <w:spacing w:line="276" w:lineRule="auto"/>
              <w:rPr>
                <w:rFonts w:ascii="宋体" w:hAnsi="宋体" w:eastAsia="宋体"/>
                <w:sz w:val="22"/>
              </w:rPr>
            </w:pPr>
          </w:p>
        </w:tc>
        <w:tc>
          <w:tcPr>
            <w:tcW w:w="1984" w:type="dxa"/>
            <w:noWrap w:val="0"/>
            <w:vAlign w:val="center"/>
          </w:tcPr>
          <w:p w14:paraId="7D33B918">
            <w:pPr>
              <w:spacing w:line="276" w:lineRule="auto"/>
              <w:rPr>
                <w:rFonts w:ascii="宋体" w:hAnsi="宋体" w:eastAsia="宋体"/>
                <w:sz w:val="22"/>
              </w:rPr>
            </w:pPr>
          </w:p>
        </w:tc>
        <w:tc>
          <w:tcPr>
            <w:tcW w:w="1276" w:type="dxa"/>
            <w:noWrap w:val="0"/>
            <w:vAlign w:val="center"/>
          </w:tcPr>
          <w:p w14:paraId="1983CB9A">
            <w:pPr>
              <w:spacing w:line="276" w:lineRule="auto"/>
              <w:rPr>
                <w:rFonts w:ascii="宋体" w:hAnsi="宋体" w:eastAsia="宋体"/>
                <w:sz w:val="22"/>
              </w:rPr>
            </w:pPr>
          </w:p>
        </w:tc>
      </w:tr>
      <w:tr w14:paraId="2BCF6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01825FF7">
            <w:pPr>
              <w:spacing w:line="276" w:lineRule="auto"/>
              <w:rPr>
                <w:rFonts w:ascii="宋体" w:hAnsi="宋体" w:eastAsia="宋体"/>
                <w:sz w:val="22"/>
              </w:rPr>
            </w:pPr>
          </w:p>
        </w:tc>
        <w:tc>
          <w:tcPr>
            <w:tcW w:w="1677" w:type="dxa"/>
            <w:noWrap w:val="0"/>
            <w:vAlign w:val="center"/>
          </w:tcPr>
          <w:p w14:paraId="2386CC6C">
            <w:pPr>
              <w:spacing w:line="276" w:lineRule="auto"/>
              <w:rPr>
                <w:rFonts w:ascii="宋体" w:hAnsi="宋体" w:eastAsia="宋体"/>
                <w:sz w:val="22"/>
              </w:rPr>
            </w:pPr>
          </w:p>
        </w:tc>
        <w:tc>
          <w:tcPr>
            <w:tcW w:w="1985" w:type="dxa"/>
            <w:noWrap w:val="0"/>
            <w:vAlign w:val="center"/>
          </w:tcPr>
          <w:p w14:paraId="310D40F6">
            <w:pPr>
              <w:spacing w:line="276" w:lineRule="auto"/>
              <w:rPr>
                <w:rFonts w:ascii="宋体" w:hAnsi="宋体" w:eastAsia="宋体"/>
                <w:sz w:val="22"/>
              </w:rPr>
            </w:pPr>
          </w:p>
        </w:tc>
        <w:tc>
          <w:tcPr>
            <w:tcW w:w="1984" w:type="dxa"/>
            <w:noWrap w:val="0"/>
            <w:vAlign w:val="center"/>
          </w:tcPr>
          <w:p w14:paraId="49626D07">
            <w:pPr>
              <w:spacing w:line="276" w:lineRule="auto"/>
              <w:rPr>
                <w:rFonts w:ascii="宋体" w:hAnsi="宋体" w:eastAsia="宋体"/>
                <w:sz w:val="22"/>
              </w:rPr>
            </w:pPr>
          </w:p>
        </w:tc>
        <w:tc>
          <w:tcPr>
            <w:tcW w:w="1276" w:type="dxa"/>
            <w:noWrap w:val="0"/>
            <w:vAlign w:val="center"/>
          </w:tcPr>
          <w:p w14:paraId="60B9E3C2">
            <w:pPr>
              <w:spacing w:line="276" w:lineRule="auto"/>
              <w:rPr>
                <w:rFonts w:ascii="宋体" w:hAnsi="宋体" w:eastAsia="宋体"/>
                <w:sz w:val="22"/>
              </w:rPr>
            </w:pPr>
          </w:p>
        </w:tc>
      </w:tr>
    </w:tbl>
    <w:p w14:paraId="367A9F15">
      <w:pPr>
        <w:widowControl/>
        <w:spacing w:line="276" w:lineRule="auto"/>
        <w:ind w:firstLine="105"/>
        <w:jc w:val="left"/>
        <w:rPr>
          <w:rFonts w:ascii="宋体" w:hAnsi="宋体" w:eastAsia="宋体" w:cs="Trebuchet MS"/>
          <w:szCs w:val="21"/>
          <w:lang w:val="zh-CN"/>
        </w:rPr>
      </w:pPr>
    </w:p>
    <w:p w14:paraId="2EA1C3E6">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磋商供应商名称（</w:t>
      </w:r>
      <w:r>
        <w:rPr>
          <w:rFonts w:hint="eastAsia" w:ascii="宋体" w:hAnsi="宋体" w:eastAsia="宋体" w:cs="宋体"/>
          <w:szCs w:val="21"/>
        </w:rPr>
        <w:t>加盖电子公章</w:t>
      </w:r>
      <w:r>
        <w:rPr>
          <w:rFonts w:hint="eastAsia" w:ascii="宋体" w:hAnsi="宋体" w:eastAsia="宋体" w:cs="Trebuchet MS"/>
          <w:szCs w:val="21"/>
          <w:lang w:val="zh-CN"/>
        </w:rPr>
        <w:t>）:</w:t>
      </w:r>
    </w:p>
    <w:p w14:paraId="2A28E621">
      <w:pPr>
        <w:widowControl/>
        <w:spacing w:line="276" w:lineRule="auto"/>
        <w:jc w:val="left"/>
        <w:rPr>
          <w:rFonts w:ascii="宋体" w:hAnsi="宋体" w:eastAsia="宋体"/>
          <w:szCs w:val="21"/>
        </w:rPr>
      </w:pPr>
      <w:r>
        <w:rPr>
          <w:rFonts w:hint="eastAsia" w:ascii="宋体" w:hAnsi="宋体" w:eastAsia="宋体"/>
          <w:szCs w:val="21"/>
        </w:rPr>
        <w:t>法定代表人（签字或盖章）：</w:t>
      </w:r>
    </w:p>
    <w:p w14:paraId="627FE123">
      <w:pPr>
        <w:widowControl/>
        <w:spacing w:line="276" w:lineRule="auto"/>
        <w:ind w:firstLine="105"/>
        <w:jc w:val="left"/>
        <w:rPr>
          <w:rFonts w:ascii="宋体" w:hAnsi="宋体" w:eastAsia="宋体" w:cs="Trebuchet MS"/>
          <w:szCs w:val="21"/>
          <w:lang w:val="zh-CN"/>
        </w:rPr>
      </w:pPr>
      <w:r>
        <w:rPr>
          <w:rFonts w:hint="eastAsia" w:ascii="宋体" w:hAnsi="宋体" w:eastAsia="宋体"/>
          <w:szCs w:val="21"/>
        </w:rPr>
        <w:t>日期：年 月 日</w:t>
      </w:r>
    </w:p>
    <w:p w14:paraId="3330B82C">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说明：</w:t>
      </w:r>
    </w:p>
    <w:p w14:paraId="76CEDB07">
      <w:pPr>
        <w:spacing w:line="276" w:lineRule="auto"/>
        <w:rPr>
          <w:rFonts w:ascii="宋体" w:hAnsi="宋体" w:eastAsia="宋体"/>
          <w:b/>
          <w:szCs w:val="21"/>
          <w:lang w:val="zh-CN"/>
        </w:rPr>
      </w:pPr>
      <w:r>
        <w:rPr>
          <w:rFonts w:hint="eastAsia" w:ascii="宋体" w:hAnsi="宋体" w:eastAsia="宋体" w:cs="Trebuchet MS"/>
          <w:szCs w:val="21"/>
          <w:lang w:val="zh-CN"/>
        </w:rPr>
        <w:t>1、如果行、列数不够，请自行增加。</w:t>
      </w:r>
    </w:p>
    <w:p w14:paraId="441141A1">
      <w:pPr>
        <w:spacing w:line="276" w:lineRule="auto"/>
        <w:jc w:val="left"/>
        <w:rPr>
          <w:rFonts w:ascii="宋体" w:hAnsi="宋体" w:eastAsia="宋体" w:cs="Trebuchet MS"/>
          <w:b/>
          <w:bCs/>
          <w:spacing w:val="15"/>
          <w:szCs w:val="21"/>
        </w:rPr>
      </w:pPr>
      <w:r>
        <w:rPr>
          <w:rFonts w:hint="eastAsia" w:ascii="宋体" w:hAnsi="宋体" w:eastAsia="宋体" w:cs="Trebuchet MS"/>
          <w:b/>
          <w:bCs/>
          <w:szCs w:val="21"/>
          <w:lang w:val="zh-CN"/>
        </w:rPr>
        <w:t>2、请同时提供以上业绩的合同等文件</w:t>
      </w:r>
      <w:r>
        <w:rPr>
          <w:rFonts w:hint="eastAsia" w:ascii="宋体" w:hAnsi="宋体" w:eastAsia="宋体" w:cs="Trebuchet MS"/>
          <w:b/>
          <w:bCs/>
          <w:szCs w:val="21"/>
        </w:rPr>
        <w:t>原件</w:t>
      </w:r>
      <w:r>
        <w:rPr>
          <w:rFonts w:hint="eastAsia" w:ascii="宋体" w:hAnsi="宋体" w:eastAsia="宋体" w:cs="Trebuchet MS"/>
          <w:b/>
          <w:bCs/>
          <w:szCs w:val="21"/>
          <w:lang w:val="zh-CN"/>
        </w:rPr>
        <w:t>扫描上传</w:t>
      </w:r>
      <w:r>
        <w:rPr>
          <w:rFonts w:hint="eastAsia" w:ascii="宋体" w:hAnsi="宋体" w:eastAsia="宋体" w:cs="Trebuchet MS"/>
          <w:b/>
          <w:bCs/>
          <w:szCs w:val="21"/>
        </w:rPr>
        <w:t>至投标文件</w:t>
      </w:r>
      <w:r>
        <w:rPr>
          <w:rFonts w:hint="eastAsia" w:ascii="宋体" w:hAnsi="宋体" w:eastAsia="宋体" w:cs="Trebuchet MS"/>
          <w:b/>
          <w:bCs/>
          <w:szCs w:val="21"/>
          <w:lang w:val="zh-CN"/>
        </w:rPr>
        <w:t>。</w:t>
      </w:r>
    </w:p>
    <w:p w14:paraId="60C43E64">
      <w:pPr>
        <w:pStyle w:val="202"/>
        <w:spacing w:line="276" w:lineRule="auto"/>
        <w:ind w:firstLine="0"/>
        <w:rPr>
          <w:rFonts w:hint="eastAsia" w:ascii="宋体" w:hAnsi="宋体" w:eastAsia="宋体"/>
        </w:rPr>
      </w:pPr>
    </w:p>
    <w:p w14:paraId="2DC96976">
      <w:pPr>
        <w:spacing w:line="276" w:lineRule="auto"/>
        <w:jc w:val="center"/>
        <w:rPr>
          <w:rFonts w:ascii="宋体" w:hAnsi="宋体" w:eastAsia="宋体"/>
          <w:b/>
          <w:bCs/>
          <w:szCs w:val="21"/>
        </w:rPr>
      </w:pPr>
      <w:bookmarkStart w:id="92" w:name="_Toc341184788"/>
      <w:r>
        <w:rPr>
          <w:rFonts w:hint="eastAsia" w:ascii="宋体" w:hAnsi="宋体" w:eastAsia="宋体"/>
          <w:b/>
          <w:bCs/>
          <w:szCs w:val="21"/>
        </w:rPr>
        <w:br w:type="page" w:clear="all"/>
      </w:r>
      <w:r>
        <w:rPr>
          <w:rFonts w:hint="eastAsia" w:ascii="宋体" w:hAnsi="宋体" w:eastAsia="宋体"/>
          <w:b/>
          <w:bCs/>
          <w:szCs w:val="21"/>
        </w:rPr>
        <w:t>拟投入项目的人员汇总表</w:t>
      </w:r>
    </w:p>
    <w:tbl>
      <w:tblPr>
        <w:tblStyle w:val="29"/>
        <w:tblW w:w="9626" w:type="dxa"/>
        <w:tblInd w:w="0" w:type="dxa"/>
        <w:tblLayout w:type="fixed"/>
        <w:tblCellMar>
          <w:top w:w="0" w:type="dxa"/>
          <w:left w:w="108" w:type="dxa"/>
          <w:bottom w:w="0" w:type="dxa"/>
          <w:right w:w="108" w:type="dxa"/>
        </w:tblCellMar>
      </w:tblPr>
      <w:tblGrid>
        <w:gridCol w:w="1263"/>
        <w:gridCol w:w="2019"/>
        <w:gridCol w:w="3605"/>
        <w:gridCol w:w="2739"/>
      </w:tblGrid>
      <w:tr w14:paraId="576F2DC6">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300D0D6">
            <w:pPr>
              <w:spacing w:line="276" w:lineRule="auto"/>
              <w:jc w:val="center"/>
              <w:rPr>
                <w:rFonts w:ascii="宋体" w:hAnsi="宋体" w:eastAsia="宋体" w:cs="Trebuchet MS"/>
                <w:szCs w:val="21"/>
              </w:rPr>
            </w:pPr>
            <w:r>
              <w:rPr>
                <w:rFonts w:hint="eastAsia" w:ascii="宋体" w:hAnsi="宋体" w:eastAsia="宋体" w:cs="Trebuchet MS"/>
                <w:szCs w:val="21"/>
              </w:rPr>
              <w:t>姓名</w:t>
            </w:r>
          </w:p>
        </w:tc>
        <w:tc>
          <w:tcPr>
            <w:tcW w:w="2019" w:type="dxa"/>
            <w:tcBorders>
              <w:top w:val="single" w:color="000000" w:sz="4" w:space="0"/>
              <w:left w:val="nil"/>
              <w:bottom w:val="single" w:color="000000" w:sz="4" w:space="0"/>
              <w:right w:val="single" w:color="000000" w:sz="4" w:space="0"/>
            </w:tcBorders>
            <w:noWrap w:val="0"/>
            <w:vAlign w:val="center"/>
          </w:tcPr>
          <w:p w14:paraId="4279B966">
            <w:pPr>
              <w:spacing w:line="276" w:lineRule="auto"/>
              <w:jc w:val="center"/>
              <w:rPr>
                <w:rFonts w:ascii="宋体" w:hAnsi="宋体" w:eastAsia="宋体" w:cs="Trebuchet MS"/>
                <w:szCs w:val="21"/>
              </w:rPr>
            </w:pPr>
            <w:r>
              <w:rPr>
                <w:rFonts w:hint="eastAsia" w:ascii="宋体" w:hAnsi="宋体" w:eastAsia="宋体" w:cs="Trebuchet MS"/>
                <w:szCs w:val="21"/>
              </w:rPr>
              <w:t>年龄</w:t>
            </w:r>
          </w:p>
        </w:tc>
        <w:tc>
          <w:tcPr>
            <w:tcW w:w="3605" w:type="dxa"/>
            <w:tcBorders>
              <w:top w:val="single" w:color="000000" w:sz="4" w:space="0"/>
              <w:left w:val="nil"/>
              <w:bottom w:val="single" w:color="000000" w:sz="4" w:space="0"/>
              <w:right w:val="single" w:color="000000" w:sz="4" w:space="0"/>
            </w:tcBorders>
            <w:noWrap w:val="0"/>
            <w:vAlign w:val="center"/>
          </w:tcPr>
          <w:p w14:paraId="572C74F7">
            <w:pPr>
              <w:spacing w:line="276" w:lineRule="auto"/>
              <w:jc w:val="center"/>
              <w:rPr>
                <w:rFonts w:ascii="宋体" w:hAnsi="宋体" w:eastAsia="宋体" w:cs="Trebuchet MS"/>
                <w:szCs w:val="21"/>
              </w:rPr>
            </w:pPr>
            <w:r>
              <w:rPr>
                <w:rFonts w:hint="eastAsia" w:ascii="宋体" w:hAnsi="宋体" w:eastAsia="宋体" w:cs="Trebuchet MS"/>
                <w:szCs w:val="21"/>
              </w:rPr>
              <w:t>证书名称及证书号</w:t>
            </w:r>
          </w:p>
        </w:tc>
        <w:tc>
          <w:tcPr>
            <w:tcW w:w="2739" w:type="dxa"/>
            <w:tcBorders>
              <w:top w:val="single" w:color="000000" w:sz="4" w:space="0"/>
              <w:left w:val="nil"/>
              <w:bottom w:val="single" w:color="000000" w:sz="4" w:space="0"/>
              <w:right w:val="single" w:color="000000" w:sz="4" w:space="0"/>
            </w:tcBorders>
            <w:noWrap w:val="0"/>
            <w:vAlign w:val="center"/>
          </w:tcPr>
          <w:p w14:paraId="33E0C731">
            <w:pPr>
              <w:spacing w:line="276" w:lineRule="auto"/>
              <w:jc w:val="center"/>
              <w:rPr>
                <w:rFonts w:ascii="宋体" w:hAnsi="宋体" w:eastAsia="宋体" w:cs="Trebuchet MS"/>
                <w:szCs w:val="21"/>
              </w:rPr>
            </w:pPr>
            <w:r>
              <w:rPr>
                <w:rFonts w:hint="eastAsia" w:ascii="宋体" w:hAnsi="宋体" w:eastAsia="宋体" w:cs="Trebuchet MS"/>
                <w:szCs w:val="21"/>
              </w:rPr>
              <w:t>在本项目拟任职务</w:t>
            </w:r>
          </w:p>
        </w:tc>
      </w:tr>
      <w:tr w14:paraId="6537DE68">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5869EF29">
            <w:pPr>
              <w:spacing w:line="276" w:lineRule="auto"/>
              <w:jc w:val="center"/>
              <w:rPr>
                <w:rFonts w:ascii="宋体" w:hAnsi="宋体" w:eastAsia="宋体" w:cs="Trebuchet MS"/>
                <w:szCs w:val="21"/>
              </w:rPr>
            </w:pPr>
            <w:r>
              <w:rPr>
                <w:rFonts w:ascii="宋体" w:hAnsi="宋体" w:eastAsia="宋体" w:cs="Trebuchet MS"/>
                <w:szCs w:val="21"/>
              </w:rPr>
              <w:t>…</w:t>
            </w:r>
          </w:p>
        </w:tc>
        <w:tc>
          <w:tcPr>
            <w:tcW w:w="2019" w:type="dxa"/>
            <w:tcBorders>
              <w:top w:val="single" w:color="000000" w:sz="4" w:space="0"/>
              <w:left w:val="nil"/>
              <w:bottom w:val="single" w:color="000000" w:sz="4" w:space="0"/>
              <w:right w:val="single" w:color="000000" w:sz="4" w:space="0"/>
            </w:tcBorders>
            <w:noWrap w:val="0"/>
            <w:vAlign w:val="center"/>
          </w:tcPr>
          <w:p w14:paraId="4CC74F0D">
            <w:pPr>
              <w:spacing w:line="276" w:lineRule="auto"/>
              <w:jc w:val="center"/>
              <w:rPr>
                <w:rFonts w:ascii="宋体" w:hAnsi="宋体" w:eastAsia="宋体" w:cs="Trebuchet MS"/>
                <w:szCs w:val="21"/>
              </w:rPr>
            </w:pPr>
          </w:p>
        </w:tc>
        <w:tc>
          <w:tcPr>
            <w:tcW w:w="3605" w:type="dxa"/>
            <w:tcBorders>
              <w:top w:val="single" w:color="000000" w:sz="4" w:space="0"/>
              <w:left w:val="nil"/>
              <w:bottom w:val="single" w:color="000000" w:sz="4" w:space="0"/>
              <w:right w:val="single" w:color="000000" w:sz="4" w:space="0"/>
            </w:tcBorders>
            <w:noWrap w:val="0"/>
            <w:vAlign w:val="center"/>
          </w:tcPr>
          <w:p w14:paraId="224F85AF">
            <w:pPr>
              <w:spacing w:line="276" w:lineRule="auto"/>
              <w:jc w:val="center"/>
              <w:rPr>
                <w:rFonts w:ascii="宋体" w:hAnsi="宋体" w:eastAsia="宋体" w:cs="Trebuchet MS"/>
                <w:szCs w:val="21"/>
              </w:rPr>
            </w:pPr>
          </w:p>
        </w:tc>
        <w:tc>
          <w:tcPr>
            <w:tcW w:w="2739" w:type="dxa"/>
            <w:tcBorders>
              <w:top w:val="single" w:color="000000" w:sz="4" w:space="0"/>
              <w:left w:val="nil"/>
              <w:bottom w:val="single" w:color="000000" w:sz="4" w:space="0"/>
              <w:right w:val="single" w:color="000000" w:sz="4" w:space="0"/>
            </w:tcBorders>
            <w:noWrap w:val="0"/>
            <w:vAlign w:val="center"/>
          </w:tcPr>
          <w:p w14:paraId="6C98223C">
            <w:pPr>
              <w:spacing w:line="276" w:lineRule="auto"/>
              <w:jc w:val="center"/>
              <w:rPr>
                <w:rFonts w:ascii="宋体" w:hAnsi="宋体" w:eastAsia="宋体" w:cs="Trebuchet MS"/>
                <w:szCs w:val="21"/>
              </w:rPr>
            </w:pPr>
            <w:r>
              <w:rPr>
                <w:rFonts w:hint="eastAsia" w:ascii="宋体" w:hAnsi="宋体" w:eastAsia="宋体"/>
              </w:rPr>
              <w:t>项目负责人</w:t>
            </w:r>
          </w:p>
        </w:tc>
      </w:tr>
      <w:tr w14:paraId="51E42914">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6B372711">
            <w:pPr>
              <w:spacing w:line="276" w:lineRule="auto"/>
              <w:jc w:val="center"/>
              <w:rPr>
                <w:rFonts w:ascii="宋体" w:hAnsi="宋体" w:eastAsia="宋体" w:cs="Trebuchet MS"/>
                <w:szCs w:val="21"/>
              </w:rPr>
            </w:pPr>
            <w:r>
              <w:rPr>
                <w:rFonts w:ascii="宋体" w:hAnsi="宋体" w:eastAsia="宋体" w:cs="Trebuchet MS"/>
                <w:szCs w:val="21"/>
              </w:rPr>
              <w:t>…</w:t>
            </w:r>
          </w:p>
        </w:tc>
        <w:tc>
          <w:tcPr>
            <w:tcW w:w="2019" w:type="dxa"/>
            <w:tcBorders>
              <w:top w:val="single" w:color="000000" w:sz="4" w:space="0"/>
              <w:left w:val="nil"/>
              <w:bottom w:val="single" w:color="000000" w:sz="4" w:space="0"/>
              <w:right w:val="single" w:color="000000" w:sz="4" w:space="0"/>
            </w:tcBorders>
            <w:noWrap w:val="0"/>
            <w:vAlign w:val="center"/>
          </w:tcPr>
          <w:p w14:paraId="27F27C65">
            <w:pPr>
              <w:spacing w:line="276" w:lineRule="auto"/>
              <w:jc w:val="center"/>
              <w:rPr>
                <w:rFonts w:ascii="宋体" w:hAnsi="宋体" w:eastAsia="宋体" w:cs="Trebuchet MS"/>
                <w:szCs w:val="21"/>
              </w:rPr>
            </w:pPr>
          </w:p>
        </w:tc>
        <w:tc>
          <w:tcPr>
            <w:tcW w:w="3605" w:type="dxa"/>
            <w:tcBorders>
              <w:top w:val="single" w:color="000000" w:sz="4" w:space="0"/>
              <w:left w:val="nil"/>
              <w:bottom w:val="single" w:color="000000" w:sz="4" w:space="0"/>
              <w:right w:val="single" w:color="000000" w:sz="4" w:space="0"/>
            </w:tcBorders>
            <w:noWrap w:val="0"/>
            <w:vAlign w:val="center"/>
          </w:tcPr>
          <w:p w14:paraId="56B3251E">
            <w:pPr>
              <w:spacing w:line="276" w:lineRule="auto"/>
              <w:jc w:val="center"/>
              <w:rPr>
                <w:rFonts w:ascii="宋体" w:hAnsi="宋体" w:eastAsia="宋体" w:cs="Trebuchet MS"/>
                <w:szCs w:val="21"/>
              </w:rPr>
            </w:pPr>
          </w:p>
        </w:tc>
        <w:tc>
          <w:tcPr>
            <w:tcW w:w="2739" w:type="dxa"/>
            <w:tcBorders>
              <w:top w:val="single" w:color="000000" w:sz="4" w:space="0"/>
              <w:left w:val="nil"/>
              <w:bottom w:val="single" w:color="000000" w:sz="4" w:space="0"/>
              <w:right w:val="single" w:color="000000" w:sz="4" w:space="0"/>
            </w:tcBorders>
            <w:noWrap w:val="0"/>
            <w:vAlign w:val="center"/>
          </w:tcPr>
          <w:p w14:paraId="30D2408B">
            <w:pPr>
              <w:spacing w:line="276" w:lineRule="auto"/>
              <w:jc w:val="center"/>
              <w:rPr>
                <w:rFonts w:ascii="宋体" w:hAnsi="宋体" w:eastAsia="宋体" w:cs="Trebuchet MS"/>
                <w:szCs w:val="21"/>
              </w:rPr>
            </w:pPr>
            <w:r>
              <w:rPr>
                <w:rFonts w:hint="eastAsia" w:ascii="宋体" w:hAnsi="宋体" w:eastAsia="宋体"/>
              </w:rPr>
              <w:t>其他项目组成员</w:t>
            </w:r>
          </w:p>
        </w:tc>
      </w:tr>
      <w:tr w14:paraId="0113F01B">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64D2BFDA">
            <w:pPr>
              <w:spacing w:line="276" w:lineRule="auto"/>
              <w:jc w:val="center"/>
              <w:rPr>
                <w:rFonts w:ascii="宋体" w:hAnsi="宋体" w:eastAsia="宋体" w:cs="Trebuchet MS"/>
                <w:szCs w:val="21"/>
              </w:rPr>
            </w:pPr>
          </w:p>
        </w:tc>
        <w:tc>
          <w:tcPr>
            <w:tcW w:w="2019" w:type="dxa"/>
            <w:tcBorders>
              <w:top w:val="single" w:color="000000" w:sz="4" w:space="0"/>
              <w:left w:val="nil"/>
              <w:bottom w:val="single" w:color="000000" w:sz="4" w:space="0"/>
              <w:right w:val="single" w:color="000000" w:sz="4" w:space="0"/>
            </w:tcBorders>
            <w:noWrap w:val="0"/>
            <w:vAlign w:val="center"/>
          </w:tcPr>
          <w:p w14:paraId="104DA447">
            <w:pPr>
              <w:spacing w:line="276" w:lineRule="auto"/>
              <w:jc w:val="center"/>
              <w:rPr>
                <w:rFonts w:ascii="宋体" w:hAnsi="宋体" w:eastAsia="宋体" w:cs="Trebuchet MS"/>
                <w:szCs w:val="21"/>
              </w:rPr>
            </w:pPr>
          </w:p>
        </w:tc>
        <w:tc>
          <w:tcPr>
            <w:tcW w:w="3605" w:type="dxa"/>
            <w:tcBorders>
              <w:top w:val="single" w:color="000000" w:sz="4" w:space="0"/>
              <w:left w:val="nil"/>
              <w:bottom w:val="single" w:color="000000" w:sz="4" w:space="0"/>
              <w:right w:val="single" w:color="000000" w:sz="4" w:space="0"/>
            </w:tcBorders>
            <w:noWrap w:val="0"/>
            <w:vAlign w:val="center"/>
          </w:tcPr>
          <w:p w14:paraId="70875551">
            <w:pPr>
              <w:spacing w:line="276" w:lineRule="auto"/>
              <w:jc w:val="center"/>
              <w:rPr>
                <w:rFonts w:ascii="宋体" w:hAnsi="宋体" w:eastAsia="宋体" w:cs="Trebuchet MS"/>
                <w:szCs w:val="21"/>
              </w:rPr>
            </w:pPr>
          </w:p>
        </w:tc>
        <w:tc>
          <w:tcPr>
            <w:tcW w:w="2739" w:type="dxa"/>
            <w:tcBorders>
              <w:top w:val="single" w:color="000000" w:sz="4" w:space="0"/>
              <w:left w:val="nil"/>
              <w:bottom w:val="single" w:color="000000" w:sz="4" w:space="0"/>
              <w:right w:val="single" w:color="000000" w:sz="4" w:space="0"/>
            </w:tcBorders>
            <w:noWrap w:val="0"/>
            <w:vAlign w:val="center"/>
          </w:tcPr>
          <w:p w14:paraId="5E623546">
            <w:pPr>
              <w:spacing w:line="276" w:lineRule="auto"/>
              <w:jc w:val="center"/>
              <w:rPr>
                <w:rFonts w:ascii="宋体" w:hAnsi="宋体" w:eastAsia="宋体" w:cs="Trebuchet MS"/>
                <w:szCs w:val="21"/>
              </w:rPr>
            </w:pPr>
            <w:r>
              <w:rPr>
                <w:rFonts w:ascii="宋体" w:hAnsi="宋体" w:eastAsia="宋体" w:cs="Trebuchet MS"/>
                <w:szCs w:val="21"/>
              </w:rPr>
              <w:t>…</w:t>
            </w:r>
          </w:p>
        </w:tc>
      </w:tr>
      <w:tr w14:paraId="0D1DA9AE">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1092E849">
            <w:pPr>
              <w:spacing w:line="276" w:lineRule="auto"/>
              <w:jc w:val="center"/>
              <w:rPr>
                <w:rFonts w:ascii="宋体" w:hAnsi="宋体" w:eastAsia="宋体" w:cs="Trebuchet MS"/>
                <w:szCs w:val="21"/>
              </w:rPr>
            </w:pPr>
          </w:p>
        </w:tc>
        <w:tc>
          <w:tcPr>
            <w:tcW w:w="2019" w:type="dxa"/>
            <w:tcBorders>
              <w:top w:val="single" w:color="000000" w:sz="4" w:space="0"/>
              <w:left w:val="nil"/>
              <w:bottom w:val="single" w:color="000000" w:sz="4" w:space="0"/>
              <w:right w:val="single" w:color="000000" w:sz="4" w:space="0"/>
            </w:tcBorders>
            <w:noWrap w:val="0"/>
            <w:vAlign w:val="center"/>
          </w:tcPr>
          <w:p w14:paraId="2A15A85C">
            <w:pPr>
              <w:spacing w:line="276" w:lineRule="auto"/>
              <w:jc w:val="center"/>
              <w:rPr>
                <w:rFonts w:ascii="宋体" w:hAnsi="宋体" w:eastAsia="宋体" w:cs="Trebuchet MS"/>
                <w:szCs w:val="21"/>
              </w:rPr>
            </w:pPr>
          </w:p>
        </w:tc>
        <w:tc>
          <w:tcPr>
            <w:tcW w:w="3605" w:type="dxa"/>
            <w:tcBorders>
              <w:top w:val="single" w:color="000000" w:sz="4" w:space="0"/>
              <w:left w:val="nil"/>
              <w:bottom w:val="single" w:color="000000" w:sz="4" w:space="0"/>
              <w:right w:val="single" w:color="000000" w:sz="4" w:space="0"/>
            </w:tcBorders>
            <w:noWrap w:val="0"/>
            <w:vAlign w:val="center"/>
          </w:tcPr>
          <w:p w14:paraId="10548E1B">
            <w:pPr>
              <w:spacing w:line="276" w:lineRule="auto"/>
              <w:jc w:val="center"/>
              <w:rPr>
                <w:rFonts w:ascii="宋体" w:hAnsi="宋体" w:eastAsia="宋体" w:cs="Trebuchet MS"/>
                <w:szCs w:val="21"/>
              </w:rPr>
            </w:pPr>
          </w:p>
        </w:tc>
        <w:tc>
          <w:tcPr>
            <w:tcW w:w="2739" w:type="dxa"/>
            <w:tcBorders>
              <w:top w:val="single" w:color="000000" w:sz="4" w:space="0"/>
              <w:left w:val="nil"/>
              <w:bottom w:val="single" w:color="000000" w:sz="4" w:space="0"/>
              <w:right w:val="single" w:color="000000" w:sz="4" w:space="0"/>
            </w:tcBorders>
            <w:noWrap w:val="0"/>
            <w:vAlign w:val="center"/>
          </w:tcPr>
          <w:p w14:paraId="46899CC4">
            <w:pPr>
              <w:spacing w:line="276" w:lineRule="auto"/>
              <w:jc w:val="center"/>
              <w:rPr>
                <w:rFonts w:ascii="宋体" w:hAnsi="宋体" w:eastAsia="宋体" w:cs="Trebuchet MS"/>
                <w:szCs w:val="21"/>
              </w:rPr>
            </w:pPr>
          </w:p>
        </w:tc>
      </w:tr>
      <w:tr w14:paraId="03755A2B">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9B94ADA">
            <w:pPr>
              <w:spacing w:line="276" w:lineRule="auto"/>
              <w:jc w:val="center"/>
              <w:rPr>
                <w:rFonts w:ascii="宋体" w:hAnsi="宋体" w:eastAsia="宋体" w:cs="Trebuchet MS"/>
                <w:szCs w:val="21"/>
              </w:rPr>
            </w:pPr>
          </w:p>
        </w:tc>
        <w:tc>
          <w:tcPr>
            <w:tcW w:w="2019" w:type="dxa"/>
            <w:tcBorders>
              <w:top w:val="single" w:color="000000" w:sz="4" w:space="0"/>
              <w:left w:val="nil"/>
              <w:bottom w:val="single" w:color="000000" w:sz="4" w:space="0"/>
              <w:right w:val="single" w:color="000000" w:sz="4" w:space="0"/>
            </w:tcBorders>
            <w:noWrap w:val="0"/>
            <w:vAlign w:val="center"/>
          </w:tcPr>
          <w:p w14:paraId="3C5E4590">
            <w:pPr>
              <w:spacing w:line="276" w:lineRule="auto"/>
              <w:jc w:val="center"/>
              <w:rPr>
                <w:rFonts w:ascii="宋体" w:hAnsi="宋体" w:eastAsia="宋体" w:cs="Trebuchet MS"/>
                <w:szCs w:val="21"/>
              </w:rPr>
            </w:pPr>
          </w:p>
        </w:tc>
        <w:tc>
          <w:tcPr>
            <w:tcW w:w="3605" w:type="dxa"/>
            <w:tcBorders>
              <w:top w:val="single" w:color="000000" w:sz="4" w:space="0"/>
              <w:left w:val="nil"/>
              <w:bottom w:val="single" w:color="000000" w:sz="4" w:space="0"/>
              <w:right w:val="single" w:color="000000" w:sz="4" w:space="0"/>
            </w:tcBorders>
            <w:noWrap w:val="0"/>
            <w:vAlign w:val="center"/>
          </w:tcPr>
          <w:p w14:paraId="447199E6">
            <w:pPr>
              <w:spacing w:line="276" w:lineRule="auto"/>
              <w:jc w:val="center"/>
              <w:rPr>
                <w:rFonts w:ascii="宋体" w:hAnsi="宋体" w:eastAsia="宋体" w:cs="Trebuchet MS"/>
                <w:szCs w:val="21"/>
              </w:rPr>
            </w:pPr>
          </w:p>
        </w:tc>
        <w:tc>
          <w:tcPr>
            <w:tcW w:w="2739" w:type="dxa"/>
            <w:tcBorders>
              <w:top w:val="single" w:color="000000" w:sz="4" w:space="0"/>
              <w:left w:val="nil"/>
              <w:bottom w:val="single" w:color="000000" w:sz="4" w:space="0"/>
              <w:right w:val="single" w:color="000000" w:sz="4" w:space="0"/>
            </w:tcBorders>
            <w:noWrap w:val="0"/>
            <w:vAlign w:val="center"/>
          </w:tcPr>
          <w:p w14:paraId="55D8FCB0">
            <w:pPr>
              <w:spacing w:line="276" w:lineRule="auto"/>
              <w:jc w:val="center"/>
              <w:rPr>
                <w:rFonts w:ascii="宋体" w:hAnsi="宋体" w:eastAsia="宋体" w:cs="Trebuchet MS"/>
                <w:szCs w:val="21"/>
              </w:rPr>
            </w:pPr>
          </w:p>
        </w:tc>
      </w:tr>
      <w:tr w14:paraId="5F8D1E7A">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33BAB4F6">
            <w:pPr>
              <w:spacing w:line="276" w:lineRule="auto"/>
              <w:jc w:val="center"/>
              <w:rPr>
                <w:rFonts w:ascii="宋体" w:hAnsi="宋体" w:eastAsia="宋体" w:cs="Trebuchet MS"/>
                <w:szCs w:val="21"/>
              </w:rPr>
            </w:pPr>
          </w:p>
        </w:tc>
        <w:tc>
          <w:tcPr>
            <w:tcW w:w="2019" w:type="dxa"/>
            <w:tcBorders>
              <w:top w:val="single" w:color="000000" w:sz="4" w:space="0"/>
              <w:left w:val="nil"/>
              <w:bottom w:val="single" w:color="000000" w:sz="4" w:space="0"/>
              <w:right w:val="single" w:color="000000" w:sz="4" w:space="0"/>
            </w:tcBorders>
            <w:noWrap w:val="0"/>
            <w:vAlign w:val="center"/>
          </w:tcPr>
          <w:p w14:paraId="41BC3EE1">
            <w:pPr>
              <w:spacing w:line="276" w:lineRule="auto"/>
              <w:jc w:val="center"/>
              <w:rPr>
                <w:rFonts w:ascii="宋体" w:hAnsi="宋体" w:eastAsia="宋体" w:cs="Trebuchet MS"/>
                <w:szCs w:val="21"/>
              </w:rPr>
            </w:pPr>
          </w:p>
        </w:tc>
        <w:tc>
          <w:tcPr>
            <w:tcW w:w="3605" w:type="dxa"/>
            <w:tcBorders>
              <w:top w:val="single" w:color="000000" w:sz="4" w:space="0"/>
              <w:left w:val="nil"/>
              <w:bottom w:val="single" w:color="000000" w:sz="4" w:space="0"/>
              <w:right w:val="single" w:color="000000" w:sz="4" w:space="0"/>
            </w:tcBorders>
            <w:noWrap w:val="0"/>
            <w:vAlign w:val="center"/>
          </w:tcPr>
          <w:p w14:paraId="79E69C79">
            <w:pPr>
              <w:spacing w:line="276" w:lineRule="auto"/>
              <w:jc w:val="center"/>
              <w:rPr>
                <w:rFonts w:ascii="宋体" w:hAnsi="宋体" w:eastAsia="宋体" w:cs="Trebuchet MS"/>
                <w:szCs w:val="21"/>
              </w:rPr>
            </w:pPr>
          </w:p>
        </w:tc>
        <w:tc>
          <w:tcPr>
            <w:tcW w:w="2739" w:type="dxa"/>
            <w:tcBorders>
              <w:top w:val="single" w:color="000000" w:sz="4" w:space="0"/>
              <w:left w:val="nil"/>
              <w:bottom w:val="single" w:color="000000" w:sz="4" w:space="0"/>
              <w:right w:val="single" w:color="000000" w:sz="4" w:space="0"/>
            </w:tcBorders>
            <w:noWrap w:val="0"/>
            <w:vAlign w:val="center"/>
          </w:tcPr>
          <w:p w14:paraId="0F09502A">
            <w:pPr>
              <w:spacing w:line="276" w:lineRule="auto"/>
              <w:jc w:val="center"/>
              <w:rPr>
                <w:rFonts w:ascii="宋体" w:hAnsi="宋体" w:eastAsia="宋体" w:cs="Trebuchet MS"/>
                <w:szCs w:val="21"/>
              </w:rPr>
            </w:pPr>
          </w:p>
        </w:tc>
      </w:tr>
      <w:tr w14:paraId="4776518A">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F852668">
            <w:pPr>
              <w:spacing w:line="276" w:lineRule="auto"/>
              <w:jc w:val="center"/>
              <w:rPr>
                <w:rFonts w:ascii="宋体" w:hAnsi="宋体" w:eastAsia="宋体" w:cs="Trebuchet MS"/>
                <w:szCs w:val="21"/>
              </w:rPr>
            </w:pPr>
          </w:p>
        </w:tc>
        <w:tc>
          <w:tcPr>
            <w:tcW w:w="2019" w:type="dxa"/>
            <w:tcBorders>
              <w:top w:val="single" w:color="000000" w:sz="4" w:space="0"/>
              <w:left w:val="nil"/>
              <w:bottom w:val="single" w:color="000000" w:sz="4" w:space="0"/>
              <w:right w:val="single" w:color="000000" w:sz="4" w:space="0"/>
            </w:tcBorders>
            <w:noWrap w:val="0"/>
            <w:vAlign w:val="center"/>
          </w:tcPr>
          <w:p w14:paraId="249DF0AB">
            <w:pPr>
              <w:spacing w:line="276" w:lineRule="auto"/>
              <w:jc w:val="center"/>
              <w:rPr>
                <w:rFonts w:ascii="宋体" w:hAnsi="宋体" w:eastAsia="宋体" w:cs="Trebuchet MS"/>
                <w:szCs w:val="21"/>
              </w:rPr>
            </w:pPr>
          </w:p>
        </w:tc>
        <w:tc>
          <w:tcPr>
            <w:tcW w:w="3605" w:type="dxa"/>
            <w:tcBorders>
              <w:top w:val="single" w:color="000000" w:sz="4" w:space="0"/>
              <w:left w:val="nil"/>
              <w:bottom w:val="single" w:color="000000" w:sz="4" w:space="0"/>
              <w:right w:val="single" w:color="000000" w:sz="4" w:space="0"/>
            </w:tcBorders>
            <w:noWrap w:val="0"/>
            <w:vAlign w:val="center"/>
          </w:tcPr>
          <w:p w14:paraId="1F24F33D">
            <w:pPr>
              <w:spacing w:line="276" w:lineRule="auto"/>
              <w:jc w:val="center"/>
              <w:rPr>
                <w:rFonts w:ascii="宋体" w:hAnsi="宋体" w:eastAsia="宋体" w:cs="Trebuchet MS"/>
                <w:szCs w:val="21"/>
              </w:rPr>
            </w:pPr>
          </w:p>
        </w:tc>
        <w:tc>
          <w:tcPr>
            <w:tcW w:w="2739" w:type="dxa"/>
            <w:tcBorders>
              <w:top w:val="single" w:color="000000" w:sz="4" w:space="0"/>
              <w:left w:val="nil"/>
              <w:bottom w:val="single" w:color="000000" w:sz="4" w:space="0"/>
              <w:right w:val="single" w:color="000000" w:sz="4" w:space="0"/>
            </w:tcBorders>
            <w:noWrap w:val="0"/>
            <w:vAlign w:val="center"/>
          </w:tcPr>
          <w:p w14:paraId="60228AD8">
            <w:pPr>
              <w:spacing w:line="276" w:lineRule="auto"/>
              <w:jc w:val="center"/>
              <w:rPr>
                <w:rFonts w:ascii="宋体" w:hAnsi="宋体" w:eastAsia="宋体" w:cs="Trebuchet MS"/>
                <w:szCs w:val="21"/>
              </w:rPr>
            </w:pPr>
          </w:p>
        </w:tc>
      </w:tr>
    </w:tbl>
    <w:p w14:paraId="67BF1AEB">
      <w:pPr>
        <w:spacing w:line="276" w:lineRule="auto"/>
        <w:rPr>
          <w:rFonts w:ascii="宋体" w:hAnsi="宋体" w:eastAsia="宋体" w:cs="Trebuchet MS"/>
          <w:b/>
          <w:bCs/>
          <w:szCs w:val="21"/>
        </w:rPr>
      </w:pPr>
      <w:r>
        <w:rPr>
          <w:rFonts w:hint="eastAsia" w:ascii="宋体" w:hAnsi="宋体" w:eastAsia="宋体" w:cs="Trebuchet MS"/>
          <w:b/>
          <w:bCs/>
          <w:szCs w:val="21"/>
        </w:rPr>
        <w:t>注：本表后附相关证明材料原件扫描上传，按表中人员顺序进行排列。</w:t>
      </w:r>
    </w:p>
    <w:bookmarkEnd w:id="92"/>
    <w:p w14:paraId="456176ED">
      <w:pPr>
        <w:widowControl/>
        <w:shd w:val="clear" w:color="auto" w:fill="FFFFFF"/>
        <w:spacing w:before="100" w:beforeAutospacing="1" w:after="100" w:afterAutospacing="1" w:line="276" w:lineRule="auto"/>
        <w:rPr>
          <w:rFonts w:hint="eastAsia" w:ascii="宋体" w:hAnsi="宋体" w:eastAsia="宋体" w:cs="Trebuchet MS"/>
          <w:szCs w:val="21"/>
          <w:lang w:val="zh-CN"/>
        </w:rPr>
      </w:pPr>
      <w:r>
        <w:rPr>
          <w:rFonts w:hint="eastAsia" w:ascii="宋体" w:hAnsi="宋体" w:eastAsia="宋体" w:cs="Trebuchet MS"/>
          <w:szCs w:val="21"/>
          <w:lang w:val="zh-CN"/>
        </w:rPr>
        <w:t>供应商名称：                （</w:t>
      </w:r>
      <w:r>
        <w:rPr>
          <w:rFonts w:hint="eastAsia" w:ascii="宋体" w:hAnsi="宋体" w:eastAsia="宋体" w:cs="宋体"/>
          <w:szCs w:val="21"/>
        </w:rPr>
        <w:t>加盖电子公章</w:t>
      </w:r>
      <w:r>
        <w:rPr>
          <w:rFonts w:hint="eastAsia" w:ascii="宋体" w:hAnsi="宋体" w:eastAsia="宋体" w:cs="Trebuchet MS"/>
          <w:szCs w:val="21"/>
          <w:lang w:val="zh-CN"/>
        </w:rPr>
        <w:t>）</w:t>
      </w:r>
    </w:p>
    <w:p w14:paraId="0DD1E4B8">
      <w:pPr>
        <w:spacing w:line="276" w:lineRule="auto"/>
        <w:outlineLvl w:val="1"/>
        <w:rPr>
          <w:rFonts w:ascii="宋体" w:hAnsi="宋体" w:eastAsia="宋体"/>
          <w:b/>
          <w:szCs w:val="21"/>
        </w:rPr>
      </w:pPr>
      <w:r>
        <w:rPr>
          <w:rFonts w:ascii="宋体" w:hAnsi="宋体" w:eastAsia="宋体"/>
          <w:b/>
          <w:szCs w:val="21"/>
        </w:rPr>
        <w:br w:type="page" w:clear="all"/>
      </w:r>
      <w:bookmarkStart w:id="93" w:name="_Toc190329550"/>
      <w:r>
        <w:rPr>
          <w:rFonts w:hint="eastAsia" w:ascii="宋体" w:hAnsi="宋体" w:eastAsia="宋体"/>
          <w:b/>
          <w:szCs w:val="21"/>
        </w:rPr>
        <w:t>附件十、中小企业声明函格式</w:t>
      </w:r>
      <w:bookmarkEnd w:id="93"/>
    </w:p>
    <w:p w14:paraId="682B301A">
      <w:pPr>
        <w:spacing w:line="276" w:lineRule="auto"/>
        <w:rPr>
          <w:rFonts w:ascii="宋体" w:hAnsi="宋体" w:eastAsia="宋体"/>
        </w:rPr>
      </w:pPr>
    </w:p>
    <w:p w14:paraId="7D10B414">
      <w:pPr>
        <w:spacing w:line="276" w:lineRule="auto"/>
        <w:jc w:val="center"/>
        <w:rPr>
          <w:rFonts w:hint="eastAsia" w:ascii="宋体" w:hAnsi="宋体" w:eastAsia="宋体" w:cs="Trebuchet MS"/>
          <w:spacing w:val="15"/>
          <w:szCs w:val="21"/>
        </w:rPr>
      </w:pPr>
      <w:r>
        <w:rPr>
          <w:rFonts w:ascii="宋体" w:hAnsi="宋体" w:eastAsia="宋体" w:cs="Trebuchet MS"/>
          <w:spacing w:val="15"/>
          <w:szCs w:val="21"/>
        </w:rPr>
        <w:t>中小企业声明函</w:t>
      </w:r>
    </w:p>
    <w:p w14:paraId="40EF3EE2">
      <w:pPr>
        <w:spacing w:line="276" w:lineRule="auto"/>
        <w:rPr>
          <w:rFonts w:hint="eastAsia" w:ascii="宋体" w:hAnsi="宋体" w:eastAsia="宋体" w:cs="Trebuchet MS"/>
          <w:spacing w:val="15"/>
          <w:szCs w:val="21"/>
        </w:rPr>
      </w:pPr>
    </w:p>
    <w:p w14:paraId="0150BE15">
      <w:pPr>
        <w:spacing w:line="276" w:lineRule="auto"/>
        <w:ind w:firstLine="480"/>
        <w:rPr>
          <w:rFonts w:hint="eastAsia" w:ascii="宋体" w:hAnsi="宋体" w:eastAsia="宋体" w:cs="Trebuchet MS"/>
          <w:spacing w:val="15"/>
          <w:szCs w:val="21"/>
        </w:rPr>
      </w:pPr>
      <w:r>
        <w:rPr>
          <w:rFonts w:hint="eastAsia" w:ascii="宋体" w:hAnsi="宋体" w:eastAsia="宋体" w:cs="Trebuchet MS"/>
          <w:spacing w:val="15"/>
          <w:szCs w:val="21"/>
        </w:rPr>
        <w:t>本公司（联合体）郑重声明，根据《政府采购促进中小企业发展管理办法》（财库﹝2020﹞46号）的规定，本公司（联合体）参加</w:t>
      </w:r>
      <w:r>
        <w:rPr>
          <w:rFonts w:hint="eastAsia" w:ascii="宋体" w:hAnsi="宋体" w:eastAsia="宋体" w:cs="Trebuchet MS"/>
          <w:spacing w:val="15"/>
          <w:szCs w:val="21"/>
          <w:u w:val="single"/>
        </w:rPr>
        <w:t>（单位名称）</w:t>
      </w:r>
      <w:r>
        <w:rPr>
          <w:rFonts w:hint="eastAsia" w:ascii="宋体" w:hAnsi="宋体" w:eastAsia="宋体" w:cs="Trebuchet MS"/>
          <w:spacing w:val="15"/>
          <w:szCs w:val="21"/>
        </w:rPr>
        <w:t>的</w:t>
      </w:r>
      <w:r>
        <w:rPr>
          <w:rFonts w:hint="eastAsia" w:ascii="宋体" w:hAnsi="宋体" w:eastAsia="宋体" w:cs="Trebuchet MS"/>
          <w:spacing w:val="15"/>
          <w:szCs w:val="21"/>
          <w:u w:val="single"/>
        </w:rPr>
        <w:t>（项目名称）</w:t>
      </w:r>
      <w:r>
        <w:rPr>
          <w:rFonts w:hint="eastAsia" w:ascii="宋体" w:hAnsi="宋体" w:eastAsia="宋体" w:cs="Trebuchet MS"/>
          <w:spacing w:val="15"/>
          <w:szCs w:val="21"/>
        </w:rPr>
        <w:t>采购活动，工程的施工单位全部为符合政策要求的中小企业（或者：服务全部由符合政策要求的中小企业承接）。相关企业（含联合体中的中小企业、签订分包意向协议的中小企业）的具体情况如下：</w:t>
      </w:r>
    </w:p>
    <w:p w14:paraId="7D6AB249">
      <w:pPr>
        <w:spacing w:line="276" w:lineRule="auto"/>
        <w:ind w:firstLine="480"/>
        <w:rPr>
          <w:rFonts w:hint="eastAsia" w:ascii="宋体" w:hAnsi="宋体" w:eastAsia="宋体" w:cs="Trebuchet MS"/>
          <w:spacing w:val="15"/>
          <w:szCs w:val="21"/>
        </w:rPr>
      </w:pPr>
      <w:r>
        <w:rPr>
          <w:rFonts w:hint="eastAsia" w:ascii="宋体" w:hAnsi="宋体" w:eastAsia="宋体" w:cs="Trebuchet MS"/>
          <w:spacing w:val="15"/>
          <w:szCs w:val="21"/>
        </w:rPr>
        <w:t>1.</w:t>
      </w:r>
      <w:r>
        <w:rPr>
          <w:rFonts w:hint="eastAsia" w:ascii="宋体" w:hAnsi="宋体" w:eastAsia="宋体" w:cs="Trebuchet MS"/>
          <w:spacing w:val="15"/>
          <w:szCs w:val="21"/>
          <w:u w:val="single"/>
        </w:rPr>
        <w:t>（标的名称）</w:t>
      </w:r>
      <w:r>
        <w:rPr>
          <w:rFonts w:hint="eastAsia" w:ascii="宋体" w:hAnsi="宋体" w:eastAsia="宋体" w:cs="Trebuchet MS"/>
          <w:spacing w:val="15"/>
          <w:szCs w:val="21"/>
        </w:rPr>
        <w:t>，属于</w:t>
      </w:r>
      <w:r>
        <w:rPr>
          <w:rFonts w:hint="eastAsia" w:ascii="宋体" w:hAnsi="宋体" w:eastAsia="宋体" w:cs="Trebuchet MS"/>
          <w:spacing w:val="15"/>
          <w:szCs w:val="21"/>
          <w:u w:val="single"/>
        </w:rPr>
        <w:t>（采购文件中明确的所属行业）</w:t>
      </w:r>
      <w:r>
        <w:rPr>
          <w:rFonts w:hint="eastAsia" w:ascii="宋体" w:hAnsi="宋体" w:eastAsia="宋体" w:cs="Trebuchet MS"/>
          <w:spacing w:val="15"/>
          <w:szCs w:val="21"/>
        </w:rPr>
        <w:t>；承建（承接）企业为</w:t>
      </w:r>
      <w:r>
        <w:rPr>
          <w:rFonts w:hint="eastAsia" w:ascii="宋体" w:hAnsi="宋体" w:eastAsia="宋体" w:cs="Trebuchet MS"/>
          <w:spacing w:val="15"/>
          <w:szCs w:val="21"/>
          <w:u w:val="single"/>
        </w:rPr>
        <w:t>（企业名称）</w:t>
      </w:r>
      <w:r>
        <w:rPr>
          <w:rFonts w:hint="eastAsia" w:ascii="宋体" w:hAnsi="宋体" w:eastAsia="宋体" w:cs="Trebuchet MS"/>
          <w:spacing w:val="15"/>
          <w:szCs w:val="21"/>
        </w:rPr>
        <w:t>，从业人员人，营业收入为万元，资产总额为万元，属于</w:t>
      </w:r>
      <w:r>
        <w:rPr>
          <w:rFonts w:hint="eastAsia" w:ascii="宋体" w:hAnsi="宋体" w:eastAsia="宋体" w:cs="Trebuchet MS"/>
          <w:spacing w:val="15"/>
          <w:szCs w:val="21"/>
          <w:u w:val="single"/>
        </w:rPr>
        <w:t>（中型企业、小型企业、微型企业）</w:t>
      </w:r>
      <w:r>
        <w:rPr>
          <w:rFonts w:hint="eastAsia" w:ascii="宋体" w:hAnsi="宋体" w:eastAsia="宋体" w:cs="Trebuchet MS"/>
          <w:spacing w:val="15"/>
          <w:szCs w:val="21"/>
        </w:rPr>
        <w:t>；</w:t>
      </w:r>
    </w:p>
    <w:p w14:paraId="139D1721">
      <w:pPr>
        <w:spacing w:line="276" w:lineRule="auto"/>
        <w:ind w:firstLine="480"/>
        <w:rPr>
          <w:rFonts w:hint="eastAsia" w:ascii="宋体" w:hAnsi="宋体" w:eastAsia="宋体" w:cs="Trebuchet MS"/>
          <w:spacing w:val="15"/>
          <w:szCs w:val="21"/>
        </w:rPr>
      </w:pPr>
      <w:r>
        <w:rPr>
          <w:rFonts w:hint="eastAsia" w:ascii="宋体" w:hAnsi="宋体" w:eastAsia="宋体" w:cs="Trebuchet MS"/>
          <w:spacing w:val="15"/>
          <w:szCs w:val="21"/>
        </w:rPr>
        <w:t>2.</w:t>
      </w:r>
      <w:r>
        <w:rPr>
          <w:rFonts w:hint="eastAsia" w:ascii="宋体" w:hAnsi="宋体" w:eastAsia="宋体" w:cs="Trebuchet MS"/>
          <w:spacing w:val="15"/>
          <w:szCs w:val="21"/>
          <w:u w:val="single"/>
        </w:rPr>
        <w:t>（标的名称）</w:t>
      </w:r>
      <w:r>
        <w:rPr>
          <w:rFonts w:hint="eastAsia" w:ascii="宋体" w:hAnsi="宋体" w:eastAsia="宋体" w:cs="Trebuchet MS"/>
          <w:spacing w:val="15"/>
          <w:szCs w:val="21"/>
        </w:rPr>
        <w:t>，属于</w:t>
      </w:r>
      <w:r>
        <w:rPr>
          <w:rFonts w:hint="eastAsia" w:ascii="宋体" w:hAnsi="宋体" w:eastAsia="宋体" w:cs="Trebuchet MS"/>
          <w:spacing w:val="15"/>
          <w:szCs w:val="21"/>
          <w:u w:val="single"/>
        </w:rPr>
        <w:t>（采购文件中明确的所属行业）</w:t>
      </w:r>
      <w:r>
        <w:rPr>
          <w:rFonts w:hint="eastAsia" w:ascii="宋体" w:hAnsi="宋体" w:eastAsia="宋体" w:cs="Trebuchet MS"/>
          <w:spacing w:val="15"/>
          <w:szCs w:val="21"/>
        </w:rPr>
        <w:t>；承建（承接）企业为</w:t>
      </w:r>
      <w:r>
        <w:rPr>
          <w:rFonts w:hint="eastAsia" w:ascii="宋体" w:hAnsi="宋体" w:eastAsia="宋体" w:cs="Trebuchet MS"/>
          <w:spacing w:val="15"/>
          <w:szCs w:val="21"/>
          <w:u w:val="single"/>
        </w:rPr>
        <w:t>（企业名称）</w:t>
      </w:r>
      <w:r>
        <w:rPr>
          <w:rFonts w:hint="eastAsia" w:ascii="宋体" w:hAnsi="宋体" w:eastAsia="宋体" w:cs="Trebuchet MS"/>
          <w:spacing w:val="15"/>
          <w:szCs w:val="21"/>
        </w:rPr>
        <w:t>，从业人员人，营业收入为万元，资产总额为万元，属于</w:t>
      </w:r>
      <w:r>
        <w:rPr>
          <w:rFonts w:hint="eastAsia" w:ascii="宋体" w:hAnsi="宋体" w:eastAsia="宋体" w:cs="Trebuchet MS"/>
          <w:spacing w:val="15"/>
          <w:szCs w:val="21"/>
          <w:u w:val="single"/>
        </w:rPr>
        <w:t>（中型企业、小型企业、微型企业）</w:t>
      </w:r>
      <w:r>
        <w:rPr>
          <w:rFonts w:hint="eastAsia" w:ascii="宋体" w:hAnsi="宋体" w:eastAsia="宋体" w:cs="Trebuchet MS"/>
          <w:spacing w:val="15"/>
          <w:szCs w:val="21"/>
        </w:rPr>
        <w:t>；</w:t>
      </w:r>
    </w:p>
    <w:p w14:paraId="5776F721">
      <w:pPr>
        <w:spacing w:line="276" w:lineRule="auto"/>
        <w:ind w:firstLine="480"/>
        <w:rPr>
          <w:rFonts w:hint="eastAsia" w:ascii="宋体" w:hAnsi="宋体" w:eastAsia="宋体" w:cs="Trebuchet MS"/>
          <w:spacing w:val="15"/>
          <w:szCs w:val="21"/>
        </w:rPr>
      </w:pPr>
      <w:r>
        <w:rPr>
          <w:rFonts w:hint="eastAsia" w:ascii="宋体" w:hAnsi="宋体" w:eastAsia="宋体" w:cs="Trebuchet MS"/>
          <w:spacing w:val="15"/>
          <w:szCs w:val="21"/>
        </w:rPr>
        <w:t>……</w:t>
      </w:r>
    </w:p>
    <w:p w14:paraId="6D719C93">
      <w:pPr>
        <w:spacing w:line="276" w:lineRule="auto"/>
        <w:ind w:firstLine="480"/>
        <w:rPr>
          <w:rFonts w:hint="eastAsia" w:ascii="宋体" w:hAnsi="宋体" w:eastAsia="宋体" w:cs="Trebuchet MS"/>
          <w:spacing w:val="15"/>
          <w:szCs w:val="21"/>
        </w:rPr>
      </w:pPr>
      <w:r>
        <w:rPr>
          <w:rFonts w:hint="eastAsia" w:ascii="宋体" w:hAnsi="宋体" w:eastAsia="宋体" w:cs="Trebuchet MS"/>
          <w:spacing w:val="15"/>
          <w:szCs w:val="21"/>
        </w:rPr>
        <w:t>以上企业，不属于大企业的分支机构，不存在控股股东为大企业的情形，也不存在与大企业的负责人为同一人的情形。</w:t>
      </w:r>
    </w:p>
    <w:p w14:paraId="5AF7020C">
      <w:pPr>
        <w:spacing w:line="276" w:lineRule="auto"/>
        <w:ind w:firstLine="480"/>
        <w:rPr>
          <w:rFonts w:hint="eastAsia" w:ascii="宋体" w:hAnsi="宋体" w:eastAsia="宋体" w:cs="Trebuchet MS"/>
          <w:spacing w:val="15"/>
          <w:szCs w:val="21"/>
        </w:rPr>
      </w:pPr>
      <w:r>
        <w:rPr>
          <w:rFonts w:hint="eastAsia" w:ascii="宋体" w:hAnsi="宋体" w:eastAsia="宋体" w:cs="Trebuchet MS"/>
          <w:spacing w:val="15"/>
          <w:szCs w:val="21"/>
        </w:rPr>
        <w:t>本企业对上述声明内容的真实性负责。如有虚假，将依法承担相应责任。</w:t>
      </w:r>
    </w:p>
    <w:p w14:paraId="76948554">
      <w:pPr>
        <w:spacing w:line="276" w:lineRule="auto"/>
        <w:ind w:firstLine="480"/>
        <w:rPr>
          <w:rFonts w:ascii="宋体" w:hAnsi="宋体" w:eastAsia="宋体" w:cs="Trebuchet MS"/>
          <w:spacing w:val="15"/>
          <w:szCs w:val="21"/>
        </w:rPr>
      </w:pPr>
    </w:p>
    <w:p w14:paraId="17F3AC11">
      <w:pPr>
        <w:spacing w:line="276" w:lineRule="auto"/>
        <w:ind w:firstLine="480"/>
        <w:rPr>
          <w:rFonts w:hint="eastAsia" w:ascii="宋体" w:hAnsi="宋体" w:eastAsia="宋体" w:cs="Trebuchet MS"/>
          <w:spacing w:val="15"/>
          <w:szCs w:val="21"/>
        </w:rPr>
      </w:pPr>
    </w:p>
    <w:p w14:paraId="4212BAC5">
      <w:pPr>
        <w:spacing w:line="276" w:lineRule="auto"/>
        <w:ind w:firstLine="480"/>
        <w:rPr>
          <w:rFonts w:hint="eastAsia" w:ascii="宋体" w:hAnsi="宋体" w:eastAsia="宋体" w:cs="Trebuchet MS"/>
          <w:spacing w:val="15"/>
          <w:szCs w:val="21"/>
        </w:rPr>
      </w:pPr>
    </w:p>
    <w:p w14:paraId="141DF956">
      <w:pPr>
        <w:spacing w:line="276" w:lineRule="auto"/>
        <w:ind w:firstLine="4560"/>
        <w:rPr>
          <w:rFonts w:hint="eastAsia" w:ascii="宋体" w:hAnsi="宋体" w:eastAsia="宋体" w:cs="Trebuchet MS"/>
          <w:spacing w:val="15"/>
          <w:szCs w:val="21"/>
        </w:rPr>
      </w:pPr>
      <w:r>
        <w:rPr>
          <w:rFonts w:ascii="宋体" w:hAnsi="宋体" w:eastAsia="宋体" w:cs="Trebuchet MS"/>
          <w:spacing w:val="15"/>
          <w:szCs w:val="21"/>
        </w:rPr>
        <w:t>企业名称（</w:t>
      </w:r>
      <w:r>
        <w:rPr>
          <w:rFonts w:hint="eastAsia" w:ascii="宋体" w:hAnsi="宋体" w:eastAsia="宋体" w:cs="宋体"/>
          <w:szCs w:val="21"/>
        </w:rPr>
        <w:t>加盖电子公章</w:t>
      </w:r>
      <w:r>
        <w:rPr>
          <w:rFonts w:ascii="宋体" w:hAnsi="宋体" w:eastAsia="宋体" w:cs="Trebuchet MS"/>
          <w:spacing w:val="15"/>
          <w:szCs w:val="21"/>
        </w:rPr>
        <w:t>）：</w:t>
      </w:r>
    </w:p>
    <w:p w14:paraId="2352D134">
      <w:pPr>
        <w:spacing w:line="276" w:lineRule="auto"/>
        <w:ind w:firstLine="4560"/>
        <w:rPr>
          <w:rFonts w:ascii="宋体" w:hAnsi="宋体" w:eastAsia="宋体" w:cs="Trebuchet MS"/>
          <w:spacing w:val="15"/>
          <w:szCs w:val="21"/>
        </w:rPr>
      </w:pPr>
      <w:r>
        <w:rPr>
          <w:rFonts w:ascii="宋体" w:hAnsi="宋体" w:eastAsia="宋体" w:cs="Trebuchet MS"/>
          <w:spacing w:val="15"/>
          <w:szCs w:val="21"/>
        </w:rPr>
        <w:t>日期：</w:t>
      </w:r>
    </w:p>
    <w:p w14:paraId="17021431">
      <w:pPr>
        <w:spacing w:line="276" w:lineRule="auto"/>
        <w:outlineLvl w:val="1"/>
        <w:rPr>
          <w:rFonts w:ascii="宋体" w:hAnsi="宋体" w:eastAsia="宋体"/>
          <w:b/>
          <w:szCs w:val="21"/>
        </w:rPr>
      </w:pPr>
      <w:r>
        <w:rPr>
          <w:rFonts w:ascii="宋体" w:hAnsi="宋体" w:eastAsia="宋体"/>
          <w:b/>
          <w:szCs w:val="21"/>
        </w:rPr>
        <w:br w:type="page" w:clear="all"/>
      </w:r>
      <w:bookmarkStart w:id="94" w:name="_Toc190329551"/>
      <w:r>
        <w:rPr>
          <w:rFonts w:hint="eastAsia" w:ascii="宋体" w:hAnsi="宋体" w:eastAsia="宋体"/>
          <w:b/>
          <w:szCs w:val="21"/>
        </w:rPr>
        <w:t>附件十一、无重大违法记录声明格式</w:t>
      </w:r>
      <w:bookmarkEnd w:id="94"/>
    </w:p>
    <w:p w14:paraId="258AA415">
      <w:pPr>
        <w:widowControl/>
        <w:spacing w:line="276" w:lineRule="auto"/>
        <w:jc w:val="left"/>
        <w:rPr>
          <w:rFonts w:ascii="宋体" w:hAnsi="宋体" w:eastAsia="宋体"/>
          <w:b/>
        </w:rPr>
      </w:pPr>
    </w:p>
    <w:p w14:paraId="50528D0D">
      <w:pPr>
        <w:spacing w:line="276" w:lineRule="auto"/>
        <w:jc w:val="center"/>
        <w:rPr>
          <w:rFonts w:ascii="宋体" w:hAnsi="宋体" w:eastAsia="宋体"/>
          <w:sz w:val="36"/>
          <w:szCs w:val="36"/>
        </w:rPr>
      </w:pPr>
      <w:r>
        <w:rPr>
          <w:rFonts w:hint="eastAsia" w:ascii="宋体" w:hAnsi="宋体" w:eastAsia="宋体"/>
          <w:sz w:val="36"/>
          <w:szCs w:val="36"/>
        </w:rPr>
        <w:t>无重大违法记录声明</w:t>
      </w:r>
    </w:p>
    <w:p w14:paraId="25F93318">
      <w:pPr>
        <w:spacing w:line="276" w:lineRule="auto"/>
        <w:jc w:val="left"/>
        <w:rPr>
          <w:rFonts w:ascii="宋体" w:hAnsi="宋体" w:eastAsia="宋体"/>
        </w:rPr>
      </w:pPr>
      <w:r>
        <w:rPr>
          <w:rFonts w:hint="eastAsia" w:ascii="宋体" w:hAnsi="宋体" w:eastAsia="宋体"/>
          <w:lang w:eastAsia="zh-CN"/>
        </w:rPr>
        <w:t>南京富弘工程项目管理有限公司</w:t>
      </w:r>
      <w:r>
        <w:rPr>
          <w:rFonts w:hint="eastAsia" w:ascii="宋体" w:hAnsi="宋体" w:eastAsia="宋体"/>
        </w:rPr>
        <w:t>：</w:t>
      </w:r>
    </w:p>
    <w:p w14:paraId="03731763">
      <w:pPr>
        <w:spacing w:line="276" w:lineRule="auto"/>
        <w:jc w:val="left"/>
        <w:rPr>
          <w:rFonts w:ascii="宋体" w:hAnsi="宋体" w:eastAsia="宋体"/>
        </w:rPr>
      </w:pPr>
    </w:p>
    <w:p w14:paraId="3DE6B74A">
      <w:pPr>
        <w:spacing w:line="276" w:lineRule="auto"/>
        <w:jc w:val="left"/>
        <w:rPr>
          <w:rFonts w:ascii="宋体" w:hAnsi="宋体" w:eastAsia="宋体"/>
        </w:rPr>
      </w:pPr>
      <w:r>
        <w:rPr>
          <w:rFonts w:hint="eastAsia" w:ascii="宋体" w:hAnsi="宋体" w:eastAsia="宋体"/>
        </w:rPr>
        <w:t>我单位（供应商名称）郑重声明：</w:t>
      </w:r>
    </w:p>
    <w:p w14:paraId="1FB60DB9">
      <w:pPr>
        <w:spacing w:line="276" w:lineRule="auto"/>
        <w:jc w:val="left"/>
        <w:rPr>
          <w:rFonts w:ascii="宋体" w:hAnsi="宋体" w:eastAsia="宋体"/>
        </w:rPr>
      </w:pPr>
      <w:r>
        <w:rPr>
          <w:rFonts w:hint="eastAsia" w:ascii="宋体" w:hAnsi="宋体" w:eastAsia="宋体"/>
        </w:rPr>
        <w:t>参加本次采购活动前</w:t>
      </w:r>
      <w:r>
        <w:rPr>
          <w:rFonts w:ascii="宋体" w:hAnsi="宋体" w:eastAsia="宋体"/>
        </w:rPr>
        <w:t>3</w:t>
      </w:r>
      <w:r>
        <w:rPr>
          <w:rFonts w:hint="eastAsia" w:ascii="宋体" w:hAnsi="宋体" w:eastAsia="宋体"/>
        </w:rPr>
        <w:t>年内在经营活动中</w:t>
      </w:r>
      <w:r>
        <w:rPr>
          <w:rFonts w:hint="eastAsia" w:ascii="宋体" w:hAnsi="宋体" w:eastAsia="宋体"/>
          <w:u w:val="single"/>
        </w:rPr>
        <w:t>（</w:t>
      </w:r>
      <w:r>
        <w:rPr>
          <w:rFonts w:hint="eastAsia" w:ascii="宋体" w:hAnsi="宋体" w:eastAsia="宋体"/>
        </w:rPr>
        <w:t>在下划线上如实填写：有或没有）重大违法记录。</w:t>
      </w:r>
    </w:p>
    <w:p w14:paraId="1A64D4A6">
      <w:pPr>
        <w:spacing w:line="276" w:lineRule="auto"/>
        <w:jc w:val="left"/>
        <w:rPr>
          <w:rFonts w:ascii="宋体" w:hAnsi="宋体" w:eastAsia="宋体"/>
        </w:rPr>
      </w:pPr>
      <w:r>
        <w:rPr>
          <w:rFonts w:hint="eastAsia" w:ascii="宋体" w:hAnsi="宋体" w:eastAsia="宋体"/>
        </w:rPr>
        <w:t>（说明：政府采购法第二十二条第一款第五项所称重大违法记录，是指供应商因违法经营受到刑事处罚或者责令停产停业、吊销许可证或者执照、较大数额罚款等行政处罚。）</w:t>
      </w:r>
    </w:p>
    <w:p w14:paraId="6FBB7F42">
      <w:pPr>
        <w:spacing w:line="276" w:lineRule="auto"/>
        <w:jc w:val="left"/>
        <w:rPr>
          <w:rFonts w:ascii="宋体" w:hAnsi="宋体" w:eastAsia="宋体"/>
        </w:rPr>
      </w:pPr>
    </w:p>
    <w:p w14:paraId="239E944E">
      <w:pPr>
        <w:spacing w:line="276" w:lineRule="auto"/>
        <w:jc w:val="left"/>
        <w:rPr>
          <w:rFonts w:ascii="宋体" w:hAnsi="宋体" w:eastAsia="宋体"/>
        </w:rPr>
      </w:pPr>
      <w:r>
        <w:rPr>
          <w:rFonts w:hint="eastAsia" w:ascii="宋体" w:hAnsi="宋体" w:eastAsia="宋体"/>
        </w:rPr>
        <w:t>声明人（</w:t>
      </w:r>
      <w:r>
        <w:rPr>
          <w:rFonts w:hint="eastAsia" w:ascii="宋体" w:hAnsi="宋体" w:eastAsia="宋体" w:cs="宋体"/>
          <w:szCs w:val="21"/>
        </w:rPr>
        <w:t>加盖电子公章</w:t>
      </w:r>
      <w:r>
        <w:rPr>
          <w:rFonts w:hint="eastAsia" w:ascii="宋体" w:hAnsi="宋体" w:eastAsia="宋体"/>
        </w:rPr>
        <w:t>）：</w:t>
      </w:r>
    </w:p>
    <w:p w14:paraId="3BF5FC57">
      <w:pPr>
        <w:spacing w:line="276" w:lineRule="auto"/>
        <w:jc w:val="left"/>
        <w:rPr>
          <w:rFonts w:ascii="宋体" w:hAnsi="宋体" w:eastAsia="宋体"/>
        </w:rPr>
      </w:pPr>
    </w:p>
    <w:p w14:paraId="43FDF824">
      <w:pPr>
        <w:spacing w:line="276" w:lineRule="auto"/>
        <w:jc w:val="right"/>
        <w:rPr>
          <w:rFonts w:ascii="宋体" w:hAnsi="宋体" w:eastAsia="宋体"/>
        </w:rPr>
      </w:pPr>
      <w:r>
        <w:rPr>
          <w:rFonts w:hint="eastAsia" w:ascii="宋体" w:hAnsi="宋体" w:eastAsia="宋体"/>
        </w:rPr>
        <w:t>年 月 日</w:t>
      </w:r>
    </w:p>
    <w:p w14:paraId="5F67C51F">
      <w:pPr>
        <w:spacing w:line="276" w:lineRule="auto"/>
        <w:rPr>
          <w:rFonts w:ascii="宋体" w:hAnsi="宋体" w:eastAsia="宋体"/>
        </w:rPr>
      </w:pPr>
    </w:p>
    <w:p w14:paraId="70A57402">
      <w:pPr>
        <w:spacing w:line="276" w:lineRule="auto"/>
        <w:ind w:firstLine="4200"/>
        <w:rPr>
          <w:rFonts w:ascii="宋体" w:hAnsi="宋体" w:eastAsia="宋体"/>
        </w:rPr>
      </w:pPr>
    </w:p>
    <w:p w14:paraId="3F8462D2">
      <w:pPr>
        <w:spacing w:line="276" w:lineRule="auto"/>
        <w:jc w:val="left"/>
        <w:outlineLvl w:val="1"/>
        <w:rPr>
          <w:rFonts w:ascii="宋体" w:hAnsi="宋体" w:eastAsia="宋体" w:cs="Trebuchet MS"/>
          <w:b/>
          <w:spacing w:val="15"/>
          <w:szCs w:val="21"/>
        </w:rPr>
      </w:pPr>
      <w:bookmarkStart w:id="95" w:name="_Toc190329552"/>
      <w:r>
        <w:rPr>
          <w:rFonts w:hint="eastAsia" w:ascii="宋体" w:hAnsi="宋体" w:eastAsia="宋体" w:cs="Trebuchet MS"/>
          <w:b/>
          <w:spacing w:val="15"/>
          <w:szCs w:val="21"/>
        </w:rPr>
        <w:t>附件十二、</w:t>
      </w:r>
      <w:r>
        <w:rPr>
          <w:rFonts w:hint="eastAsia" w:ascii="宋体" w:hAnsi="宋体" w:eastAsia="宋体" w:cs="Trebuchet MS"/>
          <w:b/>
          <w:bCs/>
          <w:spacing w:val="15"/>
          <w:szCs w:val="21"/>
        </w:rPr>
        <w:t>安全生产责任承诺书</w:t>
      </w:r>
      <w:bookmarkEnd w:id="95"/>
    </w:p>
    <w:p w14:paraId="54B1CD09">
      <w:pPr>
        <w:spacing w:line="276" w:lineRule="auto"/>
        <w:jc w:val="center"/>
        <w:rPr>
          <w:rFonts w:ascii="宋体" w:hAnsi="宋体" w:eastAsia="宋体" w:cs="Trebuchet MS"/>
          <w:b/>
          <w:bCs/>
          <w:spacing w:val="15"/>
          <w:szCs w:val="21"/>
        </w:rPr>
      </w:pPr>
      <w:r>
        <w:rPr>
          <w:rFonts w:hint="eastAsia" w:ascii="宋体" w:hAnsi="宋体" w:eastAsia="宋体" w:cs="Trebuchet MS"/>
          <w:b/>
          <w:bCs/>
          <w:spacing w:val="15"/>
          <w:szCs w:val="21"/>
        </w:rPr>
        <w:t>安全生产责任承诺书</w:t>
      </w:r>
    </w:p>
    <w:p w14:paraId="0A17C6D8">
      <w:pPr>
        <w:spacing w:line="276" w:lineRule="auto"/>
        <w:jc w:val="left"/>
        <w:rPr>
          <w:rFonts w:hint="eastAsia" w:ascii="宋体" w:hAnsi="宋体" w:eastAsia="宋体"/>
          <w:spacing w:val="15"/>
          <w:szCs w:val="21"/>
          <w:u w:val="single"/>
        </w:rPr>
      </w:pPr>
    </w:p>
    <w:p w14:paraId="3A006C97">
      <w:pPr>
        <w:spacing w:line="276" w:lineRule="auto"/>
        <w:ind w:firstLine="480"/>
        <w:jc w:val="left"/>
        <w:rPr>
          <w:rFonts w:ascii="宋体" w:hAnsi="宋体" w:eastAsia="宋体" w:cs="Trebuchet MS"/>
          <w:spacing w:val="15"/>
          <w:szCs w:val="21"/>
        </w:rPr>
      </w:pPr>
      <w:r>
        <w:rPr>
          <w:rFonts w:hint="eastAsia" w:ascii="宋体" w:hAnsi="宋体" w:eastAsia="宋体" w:cs="Trebuchet MS"/>
          <w:spacing w:val="15"/>
          <w:szCs w:val="21"/>
        </w:rPr>
        <w:t>我公司现向贵单位承诺，我公司在</w:t>
      </w:r>
      <w:r>
        <w:rPr>
          <w:rFonts w:hint="eastAsia" w:ascii="宋体" w:hAnsi="宋体" w:eastAsia="宋体"/>
          <w:b/>
          <w:szCs w:val="21"/>
        </w:rPr>
        <w:t>项目名称：</w:t>
      </w:r>
      <w:r>
        <w:rPr>
          <w:rFonts w:hint="eastAsia" w:ascii="宋体" w:hAnsi="宋体" w:eastAsia="宋体" w:cs="Trebuchet MS"/>
          <w:szCs w:val="21"/>
        </w:rPr>
        <w:t>实施</w:t>
      </w:r>
      <w:r>
        <w:rPr>
          <w:rFonts w:hint="eastAsia" w:ascii="宋体" w:hAnsi="宋体" w:eastAsia="宋体" w:cs="Trebuchet MS"/>
          <w:spacing w:val="15"/>
          <w:szCs w:val="21"/>
        </w:rPr>
        <w:t>过程中，保证不发生重大人员伤亡事故，在此服务过程中所发生的一切工伤事故，或安全事故，均由我公司承担一切责任。</w:t>
      </w:r>
    </w:p>
    <w:p w14:paraId="470780FD">
      <w:pPr>
        <w:spacing w:line="276" w:lineRule="auto"/>
        <w:jc w:val="left"/>
        <w:rPr>
          <w:rFonts w:ascii="宋体" w:hAnsi="宋体" w:eastAsia="宋体" w:cs="Trebuchet MS"/>
          <w:spacing w:val="15"/>
          <w:szCs w:val="21"/>
        </w:rPr>
      </w:pPr>
    </w:p>
    <w:p w14:paraId="530D9B30">
      <w:pPr>
        <w:spacing w:line="276" w:lineRule="auto"/>
        <w:jc w:val="left"/>
        <w:rPr>
          <w:rFonts w:ascii="宋体" w:hAnsi="宋体" w:eastAsia="宋体" w:cs="Trebuchet MS"/>
          <w:spacing w:val="15"/>
          <w:szCs w:val="21"/>
          <w:u w:val="single"/>
        </w:rPr>
      </w:pPr>
      <w:r>
        <w:rPr>
          <w:rFonts w:hint="eastAsia" w:ascii="宋体" w:hAnsi="宋体" w:eastAsia="宋体" w:cs="Trebuchet MS"/>
          <w:spacing w:val="15"/>
          <w:szCs w:val="21"/>
        </w:rPr>
        <w:t>承诺单位（</w:t>
      </w:r>
      <w:r>
        <w:rPr>
          <w:rFonts w:hint="eastAsia" w:ascii="宋体" w:hAnsi="宋体" w:eastAsia="宋体" w:cs="宋体"/>
          <w:szCs w:val="21"/>
        </w:rPr>
        <w:t>加盖电子公章</w:t>
      </w:r>
      <w:r>
        <w:rPr>
          <w:rFonts w:hint="eastAsia" w:ascii="宋体" w:hAnsi="宋体" w:eastAsia="宋体" w:cs="Trebuchet MS"/>
          <w:spacing w:val="15"/>
          <w:szCs w:val="21"/>
        </w:rPr>
        <w:t>）：</w:t>
      </w:r>
    </w:p>
    <w:p w14:paraId="7BD41949">
      <w:pPr>
        <w:spacing w:line="276" w:lineRule="auto"/>
        <w:jc w:val="left"/>
        <w:rPr>
          <w:rFonts w:ascii="宋体" w:hAnsi="宋体" w:eastAsia="宋体"/>
          <w:spacing w:val="15"/>
          <w:szCs w:val="21"/>
        </w:rPr>
      </w:pPr>
    </w:p>
    <w:p w14:paraId="7A7ADAE4">
      <w:pPr>
        <w:spacing w:line="276" w:lineRule="auto"/>
        <w:jc w:val="left"/>
        <w:rPr>
          <w:rFonts w:hint="eastAsia" w:ascii="宋体" w:hAnsi="宋体" w:eastAsia="宋体" w:cs="Trebuchet MS"/>
          <w:spacing w:val="15"/>
          <w:szCs w:val="21"/>
          <w:u w:val="single"/>
        </w:rPr>
      </w:pPr>
      <w:r>
        <w:rPr>
          <w:rFonts w:hint="eastAsia" w:ascii="宋体" w:hAnsi="宋体" w:eastAsia="宋体" w:cs="Trebuchet MS"/>
          <w:spacing w:val="15"/>
          <w:szCs w:val="21"/>
        </w:rPr>
        <w:t>法定代表人（签字或盖章）：</w:t>
      </w:r>
    </w:p>
    <w:p w14:paraId="24441083">
      <w:pPr>
        <w:spacing w:line="276" w:lineRule="auto"/>
        <w:jc w:val="left"/>
        <w:rPr>
          <w:rFonts w:ascii="宋体" w:hAnsi="宋体" w:eastAsia="宋体" w:cs="Trebuchet MS"/>
          <w:spacing w:val="15"/>
          <w:szCs w:val="21"/>
          <w:u w:val="single"/>
        </w:rPr>
      </w:pPr>
      <w:r>
        <w:rPr>
          <w:rFonts w:hint="eastAsia" w:ascii="宋体" w:hAnsi="宋体" w:eastAsia="宋体" w:cs="Trebuchet MS"/>
          <w:spacing w:val="15"/>
          <w:szCs w:val="21"/>
        </w:rPr>
        <w:t>日期：</w:t>
      </w:r>
    </w:p>
    <w:p w14:paraId="1AE6B03F">
      <w:pPr>
        <w:spacing w:line="276" w:lineRule="auto"/>
        <w:jc w:val="left"/>
        <w:rPr>
          <w:rFonts w:ascii="宋体" w:hAnsi="宋体" w:eastAsia="宋体" w:cs="Trebuchet MS"/>
          <w:b/>
          <w:spacing w:val="15"/>
          <w:szCs w:val="21"/>
        </w:rPr>
      </w:pPr>
    </w:p>
    <w:p w14:paraId="70805B42">
      <w:pPr>
        <w:spacing w:line="276" w:lineRule="auto"/>
        <w:outlineLvl w:val="1"/>
        <w:rPr>
          <w:rFonts w:ascii="宋体" w:hAnsi="宋体" w:eastAsia="宋体" w:cs="Trebuchet MS"/>
          <w:b/>
          <w:spacing w:val="15"/>
          <w:szCs w:val="21"/>
        </w:rPr>
      </w:pPr>
      <w:r>
        <w:rPr>
          <w:rFonts w:hint="eastAsia" w:ascii="宋体" w:hAnsi="宋体" w:eastAsia="宋体" w:cs="Trebuchet MS"/>
          <w:b/>
          <w:spacing w:val="15"/>
          <w:szCs w:val="21"/>
        </w:rPr>
        <w:br w:type="page" w:clear="all"/>
      </w:r>
      <w:bookmarkStart w:id="96" w:name="_Toc190329553"/>
      <w:r>
        <w:rPr>
          <w:rFonts w:hint="eastAsia" w:ascii="宋体" w:hAnsi="宋体" w:eastAsia="宋体" w:cs="Trebuchet MS"/>
          <w:b/>
          <w:spacing w:val="15"/>
          <w:szCs w:val="21"/>
        </w:rPr>
        <w:t>附件十三、</w:t>
      </w:r>
      <w:r>
        <w:rPr>
          <w:rFonts w:ascii="宋体" w:hAnsi="宋体" w:eastAsia="宋体" w:cs="Trebuchet MS"/>
          <w:b/>
          <w:spacing w:val="15"/>
          <w:szCs w:val="21"/>
        </w:rPr>
        <w:t>残疾人福利性单位声明函</w:t>
      </w:r>
      <w:bookmarkEnd w:id="96"/>
    </w:p>
    <w:p w14:paraId="5C4CE24A">
      <w:pPr>
        <w:spacing w:line="276" w:lineRule="auto"/>
        <w:rPr>
          <w:rFonts w:ascii="宋体" w:hAnsi="宋体" w:eastAsia="宋体" w:cs="Trebuchet MS"/>
          <w:b/>
          <w:spacing w:val="15"/>
          <w:szCs w:val="21"/>
        </w:rPr>
      </w:pPr>
    </w:p>
    <w:p w14:paraId="7F0993C1">
      <w:pPr>
        <w:spacing w:line="276" w:lineRule="auto"/>
        <w:jc w:val="center"/>
        <w:rPr>
          <w:rFonts w:ascii="宋体" w:hAnsi="宋体" w:eastAsia="宋体" w:cs="Trebuchet MS"/>
          <w:b/>
          <w:spacing w:val="15"/>
          <w:szCs w:val="21"/>
        </w:rPr>
      </w:pPr>
      <w:r>
        <w:rPr>
          <w:rFonts w:ascii="宋体" w:hAnsi="宋体" w:eastAsia="宋体" w:cs="Trebuchet MS"/>
          <w:b/>
          <w:spacing w:val="15"/>
          <w:szCs w:val="21"/>
        </w:rPr>
        <w:t>残疾人福利性单位声明函</w:t>
      </w:r>
    </w:p>
    <w:p w14:paraId="0B1A81A0">
      <w:pPr>
        <w:spacing w:line="276" w:lineRule="auto"/>
        <w:rPr>
          <w:rFonts w:ascii="宋体" w:hAnsi="宋体" w:eastAsia="宋体" w:cs="Trebuchet MS"/>
          <w:b/>
          <w:spacing w:val="15"/>
          <w:szCs w:val="21"/>
        </w:rPr>
      </w:pPr>
    </w:p>
    <w:p w14:paraId="6B550CDD">
      <w:pPr>
        <w:spacing w:line="276" w:lineRule="auto"/>
        <w:ind w:firstLine="480"/>
        <w:rPr>
          <w:rFonts w:hint="eastAsia" w:ascii="宋体" w:hAnsi="宋体" w:eastAsia="宋体" w:cs="Trebuchet MS"/>
          <w:spacing w:val="15"/>
          <w:szCs w:val="21"/>
        </w:rPr>
      </w:pPr>
      <w:r>
        <w:rPr>
          <w:rFonts w:ascii="宋体" w:hAnsi="宋体" w:eastAsia="宋体" w:cs="Trebuchet MS"/>
          <w:spacing w:val="15"/>
          <w:szCs w:val="21"/>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E43CFE8">
      <w:pPr>
        <w:spacing w:line="276" w:lineRule="auto"/>
        <w:ind w:firstLine="480"/>
        <w:rPr>
          <w:rFonts w:hint="eastAsia" w:ascii="宋体" w:hAnsi="宋体" w:eastAsia="宋体" w:cs="Trebuchet MS"/>
          <w:spacing w:val="15"/>
          <w:szCs w:val="21"/>
        </w:rPr>
      </w:pPr>
      <w:r>
        <w:rPr>
          <w:rFonts w:ascii="宋体" w:hAnsi="宋体" w:eastAsia="宋体" w:cs="Trebuchet MS"/>
          <w:spacing w:val="15"/>
          <w:szCs w:val="21"/>
        </w:rPr>
        <w:t>本单位对上述声明的真实性负责。如有虚假，将依法承担相应责任。</w:t>
      </w:r>
    </w:p>
    <w:p w14:paraId="5B8EEA8F">
      <w:pPr>
        <w:spacing w:line="276" w:lineRule="auto"/>
        <w:ind w:firstLine="482"/>
        <w:rPr>
          <w:rFonts w:ascii="宋体" w:hAnsi="宋体" w:eastAsia="宋体" w:cs="Trebuchet MS"/>
          <w:b/>
          <w:spacing w:val="15"/>
          <w:szCs w:val="21"/>
        </w:rPr>
      </w:pPr>
    </w:p>
    <w:p w14:paraId="11670ADB">
      <w:pPr>
        <w:spacing w:line="276" w:lineRule="auto"/>
        <w:ind w:firstLine="482"/>
        <w:rPr>
          <w:rFonts w:ascii="宋体" w:hAnsi="宋体" w:eastAsia="宋体" w:cs="Trebuchet MS"/>
          <w:b/>
          <w:spacing w:val="15"/>
          <w:szCs w:val="21"/>
        </w:rPr>
      </w:pPr>
    </w:p>
    <w:p w14:paraId="1E4FAA65">
      <w:pPr>
        <w:spacing w:line="276" w:lineRule="auto"/>
        <w:ind w:firstLine="3240"/>
        <w:rPr>
          <w:rFonts w:hint="eastAsia" w:ascii="宋体" w:hAnsi="宋体" w:eastAsia="宋体" w:cs="Trebuchet MS"/>
          <w:spacing w:val="15"/>
          <w:szCs w:val="21"/>
        </w:rPr>
      </w:pPr>
      <w:r>
        <w:rPr>
          <w:rFonts w:ascii="宋体" w:hAnsi="宋体" w:eastAsia="宋体" w:cs="Trebuchet MS"/>
          <w:spacing w:val="15"/>
          <w:szCs w:val="21"/>
        </w:rPr>
        <w:t>单位名称（</w:t>
      </w:r>
      <w:r>
        <w:rPr>
          <w:rFonts w:hint="eastAsia" w:ascii="宋体" w:hAnsi="宋体" w:eastAsia="宋体" w:cs="宋体"/>
          <w:szCs w:val="21"/>
        </w:rPr>
        <w:t>加盖电子公章</w:t>
      </w:r>
      <w:r>
        <w:rPr>
          <w:rFonts w:ascii="宋体" w:hAnsi="宋体" w:eastAsia="宋体" w:cs="Trebuchet MS"/>
          <w:spacing w:val="15"/>
          <w:szCs w:val="21"/>
        </w:rPr>
        <w:t>）：</w:t>
      </w:r>
    </w:p>
    <w:p w14:paraId="71E97A8A">
      <w:pPr>
        <w:spacing w:line="276" w:lineRule="auto"/>
        <w:ind w:firstLine="3240"/>
        <w:rPr>
          <w:rFonts w:ascii="宋体" w:hAnsi="宋体" w:eastAsia="宋体" w:cs="Trebuchet MS"/>
          <w:spacing w:val="15"/>
          <w:szCs w:val="21"/>
        </w:rPr>
      </w:pPr>
      <w:r>
        <w:rPr>
          <w:rFonts w:ascii="宋体" w:hAnsi="宋体" w:eastAsia="宋体" w:cs="Trebuchet MS"/>
          <w:spacing w:val="15"/>
          <w:szCs w:val="21"/>
        </w:rPr>
        <w:t>日期：</w:t>
      </w:r>
    </w:p>
    <w:p w14:paraId="0291B337">
      <w:pPr>
        <w:spacing w:line="276" w:lineRule="auto"/>
        <w:rPr>
          <w:rFonts w:ascii="宋体" w:hAnsi="宋体" w:eastAsia="宋体" w:cs="Trebuchet MS"/>
          <w:spacing w:val="15"/>
          <w:szCs w:val="21"/>
        </w:rPr>
      </w:pPr>
    </w:p>
    <w:p w14:paraId="7F85B2EE">
      <w:pPr>
        <w:spacing w:line="276" w:lineRule="auto"/>
        <w:rPr>
          <w:rFonts w:ascii="宋体" w:hAnsi="宋体" w:eastAsia="宋体" w:cs="Trebuchet MS"/>
          <w:b/>
          <w:spacing w:val="15"/>
          <w:szCs w:val="21"/>
        </w:rPr>
      </w:pPr>
    </w:p>
    <w:p w14:paraId="305F5F90">
      <w:pPr>
        <w:spacing w:line="276" w:lineRule="auto"/>
        <w:jc w:val="center"/>
        <w:rPr>
          <w:rFonts w:ascii="宋体" w:hAnsi="宋体" w:eastAsia="宋体" w:cs="Trebuchet MS"/>
          <w:b/>
          <w:spacing w:val="15"/>
          <w:szCs w:val="21"/>
        </w:rPr>
      </w:pPr>
    </w:p>
    <w:p w14:paraId="719DF871">
      <w:pPr>
        <w:spacing w:line="276" w:lineRule="auto"/>
        <w:jc w:val="center"/>
        <w:rPr>
          <w:rFonts w:ascii="宋体" w:hAnsi="宋体" w:eastAsia="宋体" w:cs="Trebuchet MS"/>
          <w:b/>
          <w:spacing w:val="15"/>
          <w:szCs w:val="21"/>
        </w:rPr>
      </w:pPr>
    </w:p>
    <w:p w14:paraId="6BCC1338">
      <w:pPr>
        <w:spacing w:line="276" w:lineRule="auto"/>
        <w:outlineLvl w:val="1"/>
        <w:rPr>
          <w:rFonts w:ascii="宋体" w:hAnsi="宋体" w:eastAsia="宋体" w:cs="Trebuchet MS"/>
          <w:b/>
          <w:spacing w:val="15"/>
          <w:szCs w:val="21"/>
        </w:rPr>
      </w:pPr>
      <w:bookmarkStart w:id="97" w:name="_Toc190329554"/>
      <w:r>
        <w:rPr>
          <w:rFonts w:hint="eastAsia" w:ascii="宋体" w:hAnsi="宋体" w:eastAsia="宋体" w:cs="Trebuchet MS"/>
          <w:b/>
          <w:spacing w:val="15"/>
          <w:szCs w:val="21"/>
        </w:rPr>
        <w:t>附件十四、</w:t>
      </w:r>
      <w:r>
        <w:rPr>
          <w:rFonts w:ascii="宋体" w:hAnsi="宋体" w:eastAsia="宋体" w:cs="Trebuchet MS"/>
          <w:b/>
          <w:spacing w:val="15"/>
          <w:szCs w:val="21"/>
        </w:rPr>
        <w:t>属于监狱企业的证明文件</w:t>
      </w:r>
      <w:bookmarkEnd w:id="97"/>
    </w:p>
    <w:p w14:paraId="4146B74F">
      <w:pPr>
        <w:spacing w:line="276" w:lineRule="auto"/>
        <w:jc w:val="center"/>
        <w:rPr>
          <w:rFonts w:ascii="宋体" w:hAnsi="宋体" w:eastAsia="宋体" w:cs="Trebuchet MS"/>
          <w:b/>
          <w:spacing w:val="15"/>
          <w:szCs w:val="21"/>
        </w:rPr>
      </w:pPr>
    </w:p>
    <w:p w14:paraId="29285F92">
      <w:pPr>
        <w:spacing w:line="276" w:lineRule="auto"/>
        <w:jc w:val="center"/>
        <w:rPr>
          <w:rFonts w:ascii="宋体" w:hAnsi="宋体" w:eastAsia="宋体" w:cs="Trebuchet MS"/>
          <w:b/>
          <w:spacing w:val="15"/>
          <w:szCs w:val="21"/>
        </w:rPr>
      </w:pPr>
      <w:r>
        <w:rPr>
          <w:rFonts w:ascii="宋体" w:hAnsi="宋体" w:eastAsia="宋体" w:cs="Trebuchet MS"/>
          <w:b/>
          <w:spacing w:val="15"/>
          <w:szCs w:val="21"/>
        </w:rPr>
        <w:t>属于监狱企业的证明文件</w:t>
      </w:r>
    </w:p>
    <w:p w14:paraId="27082690">
      <w:pPr>
        <w:spacing w:line="276" w:lineRule="auto"/>
        <w:rPr>
          <w:rFonts w:ascii="宋体" w:hAnsi="宋体" w:eastAsia="宋体" w:cs="Trebuchet MS"/>
          <w:spacing w:val="15"/>
          <w:szCs w:val="21"/>
        </w:rPr>
      </w:pPr>
      <w:r>
        <w:rPr>
          <w:rFonts w:ascii="宋体" w:hAnsi="宋体" w:eastAsia="宋体" w:cs="Trebuchet MS"/>
          <w:spacing w:val="15"/>
          <w:szCs w:val="21"/>
        </w:rPr>
        <w:t>（提供由省级以上监狱管理局、戒毒管理局(含新疆生产建设兵团)出具的属于监狱企业的证明文件）</w:t>
      </w:r>
    </w:p>
    <w:p w14:paraId="5823F66A">
      <w:pPr>
        <w:spacing w:line="276" w:lineRule="auto"/>
        <w:rPr>
          <w:rFonts w:ascii="宋体" w:hAnsi="宋体" w:eastAsia="宋体" w:cs="Trebuchet MS"/>
          <w:b/>
          <w:spacing w:val="15"/>
          <w:szCs w:val="21"/>
        </w:rPr>
      </w:pPr>
    </w:p>
    <w:p w14:paraId="75AAE111">
      <w:pPr>
        <w:spacing w:line="276" w:lineRule="auto"/>
        <w:outlineLvl w:val="1"/>
        <w:rPr>
          <w:rFonts w:ascii="宋体" w:hAnsi="宋体" w:eastAsia="宋体" w:cs="Trebuchet MS"/>
          <w:b/>
          <w:spacing w:val="15"/>
          <w:szCs w:val="21"/>
        </w:rPr>
      </w:pPr>
      <w:bookmarkStart w:id="98" w:name="_Toc190329555"/>
      <w:r>
        <w:rPr>
          <w:rFonts w:hint="eastAsia" w:ascii="宋体" w:hAnsi="宋体" w:eastAsia="宋体" w:cs="Trebuchet MS"/>
          <w:b/>
          <w:spacing w:val="15"/>
          <w:szCs w:val="21"/>
        </w:rPr>
        <w:t>附件十五、</w:t>
      </w:r>
      <w:r>
        <w:rPr>
          <w:rFonts w:ascii="宋体" w:hAnsi="宋体" w:eastAsia="宋体" w:cs="Trebuchet MS"/>
          <w:b/>
          <w:spacing w:val="15"/>
          <w:szCs w:val="21"/>
        </w:rPr>
        <w:t>节能产品认证文件</w:t>
      </w:r>
      <w:bookmarkEnd w:id="98"/>
    </w:p>
    <w:p w14:paraId="25B8B888">
      <w:pPr>
        <w:spacing w:line="276" w:lineRule="auto"/>
        <w:jc w:val="center"/>
        <w:rPr>
          <w:rFonts w:ascii="宋体" w:hAnsi="宋体" w:eastAsia="宋体" w:cs="Trebuchet MS"/>
          <w:spacing w:val="15"/>
          <w:szCs w:val="21"/>
        </w:rPr>
      </w:pPr>
      <w:r>
        <w:rPr>
          <w:rFonts w:ascii="宋体" w:hAnsi="宋体" w:eastAsia="宋体" w:cs="Trebuchet MS"/>
          <w:spacing w:val="15"/>
          <w:szCs w:val="21"/>
        </w:rPr>
        <w:t>节能产品认证文件</w:t>
      </w:r>
    </w:p>
    <w:p w14:paraId="03D4BF33">
      <w:pPr>
        <w:spacing w:line="276" w:lineRule="auto"/>
        <w:jc w:val="center"/>
        <w:rPr>
          <w:rFonts w:ascii="宋体" w:hAnsi="宋体" w:eastAsia="宋体" w:cs="Trebuchet MS"/>
          <w:spacing w:val="15"/>
          <w:szCs w:val="21"/>
        </w:rPr>
      </w:pPr>
      <w:r>
        <w:rPr>
          <w:rFonts w:ascii="宋体" w:hAnsi="宋体" w:eastAsia="宋体" w:cs="Trebuchet MS"/>
          <w:spacing w:val="15"/>
          <w:szCs w:val="21"/>
        </w:rPr>
        <w:t>（提供产品在《节能产品政府采购清单》中相应的页面）</w:t>
      </w:r>
    </w:p>
    <w:p w14:paraId="25C0CB41">
      <w:pPr>
        <w:spacing w:line="276" w:lineRule="auto"/>
        <w:jc w:val="center"/>
        <w:rPr>
          <w:rFonts w:ascii="宋体" w:hAnsi="宋体" w:eastAsia="宋体" w:cs="Trebuchet MS"/>
          <w:spacing w:val="15"/>
          <w:szCs w:val="21"/>
        </w:rPr>
      </w:pPr>
    </w:p>
    <w:p w14:paraId="4F79C0D5">
      <w:pPr>
        <w:spacing w:line="276" w:lineRule="auto"/>
        <w:rPr>
          <w:rFonts w:ascii="宋体" w:hAnsi="宋体" w:eastAsia="宋体" w:cs="Trebuchet MS"/>
          <w:spacing w:val="15"/>
          <w:szCs w:val="21"/>
        </w:rPr>
      </w:pPr>
    </w:p>
    <w:p w14:paraId="3B4AFA6C">
      <w:pPr>
        <w:spacing w:line="276" w:lineRule="auto"/>
        <w:outlineLvl w:val="1"/>
        <w:rPr>
          <w:rFonts w:ascii="宋体" w:hAnsi="宋体" w:eastAsia="宋体" w:cs="Trebuchet MS"/>
          <w:b/>
          <w:spacing w:val="15"/>
          <w:szCs w:val="21"/>
        </w:rPr>
      </w:pPr>
      <w:r>
        <w:rPr>
          <w:rFonts w:ascii="宋体" w:hAnsi="宋体" w:eastAsia="宋体" w:cs="Trebuchet MS"/>
          <w:b/>
          <w:spacing w:val="15"/>
          <w:szCs w:val="21"/>
        </w:rPr>
        <w:br w:type="page" w:clear="all"/>
      </w:r>
      <w:bookmarkStart w:id="99" w:name="_Toc190329556"/>
      <w:r>
        <w:rPr>
          <w:rFonts w:hint="eastAsia" w:ascii="宋体" w:hAnsi="宋体" w:eastAsia="宋体" w:cs="Trebuchet MS"/>
          <w:b/>
          <w:spacing w:val="15"/>
          <w:szCs w:val="21"/>
        </w:rPr>
        <w:t>附件十六、</w:t>
      </w:r>
      <w:r>
        <w:rPr>
          <w:rFonts w:ascii="宋体" w:hAnsi="宋体" w:eastAsia="宋体" w:cs="Trebuchet MS"/>
          <w:b/>
          <w:spacing w:val="15"/>
          <w:szCs w:val="21"/>
        </w:rPr>
        <w:t>环境标志产品认证文件</w:t>
      </w:r>
      <w:bookmarkEnd w:id="99"/>
    </w:p>
    <w:p w14:paraId="542EF3C6">
      <w:pPr>
        <w:spacing w:line="276" w:lineRule="auto"/>
        <w:rPr>
          <w:rFonts w:ascii="宋体" w:hAnsi="宋体" w:eastAsia="宋体" w:cs="Trebuchet MS"/>
          <w:b/>
          <w:spacing w:val="15"/>
          <w:szCs w:val="21"/>
        </w:rPr>
      </w:pPr>
    </w:p>
    <w:p w14:paraId="10533239">
      <w:pPr>
        <w:spacing w:line="276" w:lineRule="auto"/>
        <w:jc w:val="center"/>
        <w:rPr>
          <w:rFonts w:ascii="宋体" w:hAnsi="宋体" w:eastAsia="宋体" w:cs="Trebuchet MS"/>
          <w:spacing w:val="15"/>
          <w:szCs w:val="21"/>
        </w:rPr>
      </w:pPr>
      <w:r>
        <w:rPr>
          <w:rFonts w:ascii="宋体" w:hAnsi="宋体" w:eastAsia="宋体" w:cs="Trebuchet MS"/>
          <w:spacing w:val="15"/>
          <w:szCs w:val="21"/>
        </w:rPr>
        <w:t>环境标志产品认证文件</w:t>
      </w:r>
    </w:p>
    <w:p w14:paraId="51117543">
      <w:pPr>
        <w:spacing w:line="276" w:lineRule="auto"/>
        <w:jc w:val="center"/>
        <w:rPr>
          <w:rFonts w:ascii="宋体" w:hAnsi="宋体" w:eastAsia="宋体" w:cs="Trebuchet MS"/>
          <w:spacing w:val="15"/>
          <w:szCs w:val="21"/>
        </w:rPr>
      </w:pPr>
      <w:r>
        <w:rPr>
          <w:rFonts w:ascii="宋体" w:hAnsi="宋体" w:eastAsia="宋体" w:cs="Trebuchet MS"/>
          <w:spacing w:val="15"/>
          <w:szCs w:val="21"/>
        </w:rPr>
        <w:t>（提供产品在《环境标志产品政府采购清单》中相应的页面）</w:t>
      </w:r>
    </w:p>
    <w:p w14:paraId="4511759E">
      <w:pPr>
        <w:spacing w:line="276" w:lineRule="auto"/>
        <w:rPr>
          <w:rFonts w:ascii="宋体" w:hAnsi="宋体" w:eastAsia="宋体" w:cs="Trebuchet MS"/>
          <w:b/>
          <w:spacing w:val="15"/>
          <w:szCs w:val="21"/>
        </w:rPr>
      </w:pPr>
    </w:p>
    <w:p w14:paraId="25AB72C3">
      <w:pPr>
        <w:spacing w:line="276" w:lineRule="auto"/>
        <w:rPr>
          <w:rFonts w:ascii="宋体" w:hAnsi="宋体" w:eastAsia="宋体" w:cs="Trebuchet MS"/>
          <w:b/>
          <w:spacing w:val="15"/>
          <w:szCs w:val="21"/>
        </w:rPr>
      </w:pPr>
    </w:p>
    <w:p w14:paraId="074B8C36">
      <w:pPr>
        <w:spacing w:line="276" w:lineRule="auto"/>
        <w:outlineLvl w:val="1"/>
        <w:rPr>
          <w:rFonts w:ascii="宋体" w:hAnsi="宋体" w:eastAsia="宋体" w:cs="Trebuchet MS"/>
          <w:b/>
          <w:spacing w:val="15"/>
          <w:szCs w:val="21"/>
        </w:rPr>
      </w:pPr>
      <w:bookmarkStart w:id="100" w:name="_Toc190329557"/>
      <w:r>
        <w:rPr>
          <w:rFonts w:hint="eastAsia" w:ascii="宋体" w:hAnsi="宋体" w:eastAsia="宋体" w:cs="Trebuchet MS"/>
          <w:b/>
          <w:spacing w:val="15"/>
          <w:szCs w:val="21"/>
        </w:rPr>
        <w:t>附件十七、</w:t>
      </w:r>
      <w:r>
        <w:rPr>
          <w:rFonts w:ascii="宋体" w:hAnsi="宋体" w:eastAsia="宋体" w:cs="Trebuchet MS"/>
          <w:b/>
          <w:spacing w:val="15"/>
          <w:szCs w:val="21"/>
        </w:rPr>
        <w:t>进口产品转让技术、消化吸收再创新方案</w:t>
      </w:r>
      <w:bookmarkEnd w:id="100"/>
    </w:p>
    <w:p w14:paraId="63DC0BCD">
      <w:pPr>
        <w:spacing w:line="276" w:lineRule="auto"/>
        <w:jc w:val="center"/>
        <w:rPr>
          <w:rFonts w:ascii="宋体" w:hAnsi="宋体" w:eastAsia="宋体" w:cs="Trebuchet MS"/>
          <w:b/>
          <w:spacing w:val="15"/>
          <w:szCs w:val="21"/>
        </w:rPr>
      </w:pPr>
    </w:p>
    <w:p w14:paraId="220C2E54">
      <w:pPr>
        <w:spacing w:line="276" w:lineRule="auto"/>
        <w:jc w:val="center"/>
        <w:rPr>
          <w:rFonts w:ascii="宋体" w:hAnsi="宋体" w:eastAsia="宋体" w:cs="Trebuchet MS"/>
          <w:spacing w:val="15"/>
          <w:szCs w:val="21"/>
        </w:rPr>
      </w:pPr>
      <w:r>
        <w:rPr>
          <w:rFonts w:ascii="宋体" w:hAnsi="宋体" w:eastAsia="宋体" w:cs="Trebuchet MS"/>
          <w:spacing w:val="15"/>
          <w:szCs w:val="21"/>
        </w:rPr>
        <w:t>进口产品转让技术、消化吸收再创新方案</w:t>
      </w:r>
    </w:p>
    <w:p w14:paraId="3F080AE0">
      <w:pPr>
        <w:spacing w:line="276" w:lineRule="auto"/>
        <w:jc w:val="center"/>
        <w:rPr>
          <w:rFonts w:ascii="宋体" w:hAnsi="宋体" w:eastAsia="宋体" w:cs="Trebuchet MS"/>
          <w:spacing w:val="15"/>
          <w:szCs w:val="21"/>
        </w:rPr>
      </w:pPr>
      <w:r>
        <w:rPr>
          <w:rFonts w:ascii="宋体" w:hAnsi="宋体" w:eastAsia="宋体" w:cs="Trebuchet MS"/>
          <w:spacing w:val="15"/>
          <w:szCs w:val="21"/>
        </w:rPr>
        <w:t>（对于允许进口产品参加的项目）</w:t>
      </w:r>
    </w:p>
    <w:p w14:paraId="387E364E">
      <w:pPr>
        <w:spacing w:line="276" w:lineRule="auto"/>
        <w:jc w:val="center"/>
        <w:rPr>
          <w:rFonts w:ascii="宋体" w:hAnsi="宋体" w:eastAsia="宋体" w:cs="Trebuchet MS"/>
          <w:spacing w:val="15"/>
          <w:szCs w:val="21"/>
        </w:rPr>
      </w:pPr>
    </w:p>
    <w:p w14:paraId="3BFB7E58">
      <w:pPr>
        <w:spacing w:line="276" w:lineRule="auto"/>
        <w:jc w:val="center"/>
        <w:rPr>
          <w:rFonts w:ascii="宋体" w:hAnsi="宋体" w:eastAsia="宋体" w:cs="Trebuchet MS"/>
          <w:spacing w:val="15"/>
          <w:szCs w:val="21"/>
        </w:rPr>
      </w:pPr>
    </w:p>
    <w:p w14:paraId="6508A7E8">
      <w:pPr>
        <w:spacing w:line="276" w:lineRule="auto"/>
        <w:jc w:val="left"/>
        <w:rPr>
          <w:rFonts w:ascii="宋体" w:hAnsi="宋体" w:eastAsia="宋体" w:cs="Trebuchet MS"/>
          <w:b/>
          <w:spacing w:val="15"/>
          <w:szCs w:val="21"/>
        </w:rPr>
      </w:pPr>
    </w:p>
    <w:p w14:paraId="74F34515">
      <w:pPr>
        <w:spacing w:line="276" w:lineRule="auto"/>
        <w:jc w:val="left"/>
        <w:rPr>
          <w:rFonts w:ascii="宋体" w:hAnsi="宋体" w:eastAsia="宋体" w:cs="Trebuchet MS"/>
          <w:b/>
          <w:spacing w:val="15"/>
          <w:szCs w:val="21"/>
        </w:rPr>
      </w:pPr>
    </w:p>
    <w:p w14:paraId="56A0C088">
      <w:pPr>
        <w:spacing w:line="276" w:lineRule="auto"/>
        <w:jc w:val="left"/>
        <w:outlineLvl w:val="1"/>
        <w:rPr>
          <w:rFonts w:ascii="宋体" w:hAnsi="宋体" w:eastAsia="宋体" w:cs="Trebuchet MS"/>
          <w:szCs w:val="21"/>
          <w:lang w:val="zh-CN"/>
        </w:rPr>
      </w:pPr>
      <w:bookmarkStart w:id="101" w:name="_Toc190329558"/>
      <w:r>
        <w:rPr>
          <w:rFonts w:hint="eastAsia" w:ascii="宋体" w:hAnsi="宋体" w:eastAsia="宋体" w:cs="Trebuchet MS"/>
          <w:b/>
          <w:spacing w:val="15"/>
          <w:szCs w:val="21"/>
        </w:rPr>
        <w:t>附件十八：磋商供应商认为需提供的其他资料</w:t>
      </w:r>
      <w:bookmarkEnd w:id="101"/>
    </w:p>
    <w:p w14:paraId="338227B4">
      <w:pPr>
        <w:spacing w:line="276" w:lineRule="auto"/>
        <w:rPr>
          <w:rFonts w:ascii="宋体" w:hAnsi="宋体" w:eastAsia="宋体" w:cs="Trebuchet MS"/>
          <w:szCs w:val="21"/>
          <w:lang w:val="zh-CN"/>
        </w:rPr>
      </w:pPr>
    </w:p>
    <w:p w14:paraId="4EBB2E0B">
      <w:pPr>
        <w:spacing w:line="276" w:lineRule="auto"/>
        <w:jc w:val="left"/>
        <w:outlineLvl w:val="1"/>
        <w:rPr>
          <w:rFonts w:ascii="宋体" w:hAnsi="宋体" w:eastAsia="宋体" w:cs="ˎ̥"/>
          <w:b/>
          <w:bCs/>
          <w:szCs w:val="21"/>
          <w:lang w:val="zh-CN"/>
        </w:rPr>
      </w:pPr>
      <w:bookmarkStart w:id="102" w:name="_Toc190329559"/>
      <w:r>
        <w:rPr>
          <w:rFonts w:hint="eastAsia" w:ascii="宋体" w:hAnsi="宋体" w:eastAsia="宋体" w:cs="Trebuchet MS"/>
          <w:b/>
          <w:spacing w:val="15"/>
          <w:szCs w:val="21"/>
        </w:rPr>
        <w:t>附件十九：服务方案</w:t>
      </w:r>
      <w:r>
        <w:rPr>
          <w:rFonts w:hint="eastAsia" w:ascii="宋体" w:hAnsi="宋体" w:eastAsia="宋体" w:cs="ˎ̥"/>
          <w:b/>
          <w:bCs/>
          <w:szCs w:val="21"/>
          <w:lang w:val="zh-CN"/>
        </w:rPr>
        <w:t>文件(格式自拟)</w:t>
      </w:r>
      <w:bookmarkEnd w:id="102"/>
    </w:p>
    <w:p w14:paraId="39EA5620">
      <w:pPr>
        <w:spacing w:line="276" w:lineRule="auto"/>
        <w:rPr>
          <w:rFonts w:ascii="宋体" w:hAnsi="宋体" w:eastAsia="宋体" w:cs="Trebuchet MS"/>
          <w:szCs w:val="21"/>
          <w:lang w:val="zh-CN"/>
        </w:rPr>
      </w:pPr>
    </w:p>
    <w:p w14:paraId="2BB950C4">
      <w:pPr>
        <w:widowControl/>
        <w:spacing w:line="276" w:lineRule="auto"/>
        <w:jc w:val="left"/>
        <w:rPr>
          <w:rFonts w:ascii="宋体" w:hAnsi="宋体" w:eastAsia="宋体" w:cs="Trebuchet MS"/>
          <w:szCs w:val="21"/>
          <w:lang w:val="zh-CN"/>
        </w:rPr>
      </w:pPr>
      <w:r>
        <w:rPr>
          <w:rFonts w:hint="eastAsia" w:ascii="宋体" w:hAnsi="宋体" w:eastAsia="宋体" w:cs="Trebuchet MS"/>
          <w:szCs w:val="21"/>
          <w:lang w:val="zh-CN"/>
        </w:rPr>
        <w:t>磋商供应商名称（</w:t>
      </w:r>
      <w:r>
        <w:rPr>
          <w:rFonts w:hint="eastAsia" w:ascii="宋体" w:hAnsi="宋体" w:eastAsia="宋体" w:cs="宋体"/>
          <w:szCs w:val="21"/>
        </w:rPr>
        <w:t>加盖电子公章</w:t>
      </w:r>
      <w:r>
        <w:rPr>
          <w:rFonts w:hint="eastAsia" w:ascii="宋体" w:hAnsi="宋体" w:eastAsia="宋体" w:cs="Trebuchet MS"/>
          <w:szCs w:val="21"/>
          <w:lang w:val="zh-CN"/>
        </w:rPr>
        <w:t>）:</w:t>
      </w:r>
    </w:p>
    <w:p w14:paraId="438689CD">
      <w:pPr>
        <w:widowControl/>
        <w:spacing w:line="276" w:lineRule="auto"/>
        <w:jc w:val="left"/>
        <w:rPr>
          <w:rFonts w:ascii="宋体" w:hAnsi="宋体" w:eastAsia="宋体"/>
          <w:szCs w:val="21"/>
        </w:rPr>
      </w:pPr>
      <w:r>
        <w:rPr>
          <w:rFonts w:hint="eastAsia" w:ascii="宋体" w:hAnsi="宋体" w:eastAsia="宋体"/>
          <w:szCs w:val="21"/>
        </w:rPr>
        <w:t>法定代表人（签字或盖章）：</w:t>
      </w:r>
    </w:p>
    <w:p w14:paraId="5B23E4DE">
      <w:pPr>
        <w:widowControl/>
        <w:spacing w:line="276" w:lineRule="auto"/>
        <w:jc w:val="left"/>
        <w:rPr>
          <w:rFonts w:ascii="宋体" w:hAnsi="宋体" w:eastAsia="宋体"/>
          <w:szCs w:val="21"/>
        </w:rPr>
      </w:pPr>
      <w:r>
        <w:rPr>
          <w:rFonts w:hint="eastAsia" w:ascii="宋体" w:hAnsi="宋体" w:eastAsia="宋体"/>
          <w:szCs w:val="21"/>
        </w:rPr>
        <w:t>日期：年 月 日</w:t>
      </w:r>
    </w:p>
    <w:p w14:paraId="7B0A4EA3">
      <w:pPr>
        <w:widowControl/>
        <w:spacing w:line="276" w:lineRule="auto"/>
        <w:jc w:val="left"/>
        <w:rPr>
          <w:rFonts w:ascii="宋体" w:hAnsi="宋体" w:eastAsia="宋体"/>
          <w:szCs w:val="21"/>
        </w:rPr>
      </w:pPr>
    </w:p>
    <w:p w14:paraId="4DC7C350">
      <w:pPr>
        <w:pStyle w:val="347"/>
        <w:spacing w:line="276" w:lineRule="auto"/>
        <w:ind w:left="299" w:hanging="299"/>
        <w:rPr>
          <w:rFonts w:ascii="宋体" w:hAnsi="宋体" w:eastAsia="宋体"/>
          <w:color w:val="000000"/>
        </w:rPr>
      </w:pPr>
      <w:r>
        <w:rPr>
          <w:rFonts w:ascii="宋体" w:hAnsi="宋体" w:eastAsia="宋体" w:cs="Trebuchet MS"/>
          <w:b/>
          <w:color w:val="000000"/>
          <w:spacing w:val="15"/>
          <w:szCs w:val="21"/>
        </w:rPr>
        <w:br w:type="page" w:clear="all"/>
      </w:r>
      <w:bookmarkStart w:id="103" w:name="_Toc190329560"/>
      <w:r>
        <w:rPr>
          <w:rFonts w:ascii="宋体" w:hAnsi="宋体" w:eastAsia="宋体"/>
          <w:color w:val="000000"/>
        </w:rPr>
        <w:t>第七章 供应商中标后需要提交核验的资料</w:t>
      </w:r>
      <w:bookmarkEnd w:id="103"/>
    </w:p>
    <w:p w14:paraId="722B162F">
      <w:pPr>
        <w:pStyle w:val="331"/>
        <w:spacing w:before="78" w:line="276" w:lineRule="auto"/>
        <w:ind w:left="-178" w:firstLine="0"/>
        <w:rPr>
          <w:rFonts w:ascii="宋体" w:hAnsi="宋体" w:eastAsia="宋体"/>
        </w:rPr>
      </w:pPr>
      <w:r>
        <w:rPr>
          <w:rFonts w:hint="eastAsia" w:ascii="宋体" w:hAnsi="宋体" w:eastAsia="宋体"/>
        </w:rPr>
        <w:t>一、</w:t>
      </w:r>
      <w:r>
        <w:rPr>
          <w:rFonts w:ascii="宋体" w:hAnsi="宋体" w:eastAsia="宋体"/>
        </w:rPr>
        <w:t>具有独立承担民事责任的能力（提供法人或者其他组织的营业执照）；</w:t>
      </w:r>
    </w:p>
    <w:p w14:paraId="15A7F439">
      <w:pPr>
        <w:pStyle w:val="331"/>
        <w:spacing w:before="78" w:line="276" w:lineRule="auto"/>
        <w:ind w:left="-178" w:firstLine="0"/>
        <w:rPr>
          <w:rFonts w:hint="eastAsia" w:ascii="宋体" w:hAnsi="宋体" w:eastAsia="宋体"/>
        </w:rPr>
      </w:pPr>
      <w:r>
        <w:rPr>
          <w:rFonts w:ascii="宋体" w:hAnsi="宋体" w:eastAsia="宋体"/>
        </w:rPr>
        <w:t>二、具有良好的商业信誉和健全的财务会计制度（提供财务状况报告，或投标截止时间前六个月内银行出具的资信证明，或财政部门认可的政府采购专业担保机构出具的投标担保函）；</w:t>
      </w:r>
    </w:p>
    <w:p w14:paraId="569192EE">
      <w:pPr>
        <w:pStyle w:val="331"/>
        <w:spacing w:before="78" w:line="276" w:lineRule="auto"/>
        <w:ind w:left="-178" w:firstLine="0"/>
        <w:rPr>
          <w:rFonts w:hint="eastAsia" w:ascii="宋体" w:hAnsi="宋体" w:eastAsia="宋体"/>
        </w:rPr>
      </w:pPr>
      <w:r>
        <w:rPr>
          <w:rFonts w:ascii="宋体" w:hAnsi="宋体" w:eastAsia="宋体"/>
        </w:rPr>
        <w:t>三、具有履行合同所必需的设备和专业技术能力（供应商根据履行采购项目合同需要，提供履行合同所必需的设备和专业技术能力的证明材料）；</w:t>
      </w:r>
    </w:p>
    <w:p w14:paraId="6FFBB8E6">
      <w:pPr>
        <w:pStyle w:val="331"/>
        <w:spacing w:before="78" w:line="276" w:lineRule="auto"/>
        <w:ind w:left="-178" w:firstLine="0"/>
        <w:rPr>
          <w:rFonts w:hint="eastAsia" w:ascii="宋体" w:hAnsi="宋体" w:eastAsia="宋体"/>
        </w:rPr>
      </w:pPr>
      <w:r>
        <w:rPr>
          <w:rFonts w:ascii="宋体" w:hAnsi="宋体" w:eastAsia="宋体"/>
        </w:rPr>
        <w:t>四、有依法缴纳税收和社会保障资金的良好记录（提供参加本次政府采购活动前半年内至少一个月缴纳增值税，或营业税，或企业所得税的凭据；并提供缴纳社会保险的凭据（专用收据或社会保险缴纳清单））；</w:t>
      </w:r>
    </w:p>
    <w:p w14:paraId="216200EC">
      <w:pPr>
        <w:pStyle w:val="331"/>
        <w:spacing w:before="78" w:line="276" w:lineRule="auto"/>
        <w:ind w:left="-178" w:firstLine="0"/>
        <w:rPr>
          <w:rFonts w:hint="eastAsia" w:ascii="宋体" w:hAnsi="宋体" w:eastAsia="宋体"/>
        </w:rPr>
      </w:pPr>
      <w:r>
        <w:rPr>
          <w:rFonts w:ascii="宋体" w:hAnsi="宋体" w:eastAsia="宋体"/>
        </w:rPr>
        <w:t>五、参加政府采购活动前三年内，在经营活动中没有重大违法记录（提供书面声明或承诺书）；</w:t>
      </w:r>
    </w:p>
    <w:p w14:paraId="3593A552">
      <w:pPr>
        <w:pStyle w:val="331"/>
        <w:spacing w:before="78" w:line="276" w:lineRule="auto"/>
        <w:ind w:left="-178" w:firstLine="0"/>
        <w:rPr>
          <w:rFonts w:hint="eastAsia" w:ascii="宋体" w:hAnsi="宋体" w:eastAsia="宋体"/>
        </w:rPr>
      </w:pPr>
    </w:p>
    <w:p w14:paraId="13E45A55">
      <w:pPr>
        <w:pStyle w:val="331"/>
        <w:spacing w:before="78" w:line="276" w:lineRule="auto"/>
        <w:ind w:left="-178" w:firstLine="0"/>
        <w:rPr>
          <w:rFonts w:ascii="宋体" w:hAnsi="宋体" w:eastAsia="宋体"/>
        </w:rPr>
      </w:pPr>
      <w:r>
        <w:rPr>
          <w:rFonts w:ascii="宋体" w:hAnsi="宋体" w:eastAsia="宋体"/>
        </w:rPr>
        <w:t>注：</w:t>
      </w:r>
    </w:p>
    <w:p w14:paraId="63E80CDC">
      <w:pPr>
        <w:pStyle w:val="331"/>
        <w:spacing w:before="78" w:line="276" w:lineRule="auto"/>
        <w:ind w:left="-178" w:firstLine="0"/>
        <w:rPr>
          <w:rFonts w:ascii="宋体" w:hAnsi="宋体" w:eastAsia="宋体"/>
          <w:b/>
          <w:bCs w:val="0"/>
        </w:rPr>
      </w:pPr>
      <w:r>
        <w:rPr>
          <w:rFonts w:hint="eastAsia" w:ascii="宋体" w:hAnsi="宋体" w:eastAsia="宋体"/>
          <w:b/>
          <w:bCs w:val="0"/>
        </w:rPr>
        <w:t>1.</w:t>
      </w:r>
      <w:r>
        <w:rPr>
          <w:rFonts w:ascii="宋体" w:hAnsi="宋体" w:eastAsia="宋体"/>
          <w:b/>
          <w:bCs w:val="0"/>
        </w:rPr>
        <w:t>以上资料如</w:t>
      </w:r>
      <w:r>
        <w:rPr>
          <w:rFonts w:hint="eastAsia" w:ascii="宋体" w:hAnsi="宋体" w:eastAsia="宋体"/>
          <w:b/>
          <w:bCs w:val="0"/>
        </w:rPr>
        <w:t>电子</w:t>
      </w:r>
      <w:r>
        <w:rPr>
          <w:rFonts w:ascii="宋体" w:hAnsi="宋体" w:eastAsia="宋体"/>
          <w:b/>
          <w:bCs w:val="0"/>
        </w:rPr>
        <w:t>响应文件中已提供的无需再提供</w:t>
      </w:r>
      <w:bookmarkEnd w:id="0"/>
    </w:p>
    <w:p w14:paraId="6559989F">
      <w:pPr>
        <w:pStyle w:val="331"/>
        <w:spacing w:before="78" w:line="276" w:lineRule="auto"/>
        <w:ind w:left="-178" w:firstLine="0"/>
        <w:rPr>
          <w:rFonts w:hint="eastAsia" w:ascii="宋体" w:hAnsi="宋体" w:eastAsia="宋体"/>
          <w:b/>
          <w:bCs w:val="0"/>
          <w:lang w:val="zh-CN"/>
        </w:rPr>
      </w:pPr>
      <w:r>
        <w:rPr>
          <w:rFonts w:hint="eastAsia" w:ascii="宋体" w:hAnsi="宋体" w:eastAsia="宋体"/>
          <w:b/>
          <w:bCs w:val="0"/>
        </w:rPr>
        <w:t>2.响应文件（纸质份数）：成交供应商在领取中标通知书前提供肆份通过专用投标工具软件打印的纸质投标文件并逐页加盖单位公章。</w:t>
      </w:r>
    </w:p>
    <w:sectPr>
      <w:headerReference r:id="rId7" w:type="default"/>
      <w:footerReference r:id="rId8"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Tahoma">
    <w:panose1 w:val="020B0604030504040204"/>
    <w:charset w:val="00"/>
    <w:family w:val="auto"/>
    <w:pitch w:val="default"/>
    <w:sig w:usb0="E1002EFF" w:usb1="C000605B" w:usb2="00000029" w:usb3="00000000" w:csb0="200101FF" w:csb1="20280000"/>
  </w:font>
  <w:font w:name="Trebuchet MS">
    <w:panose1 w:val="020B0603020202020204"/>
    <w:charset w:val="00"/>
    <w:family w:val="auto"/>
    <w:pitch w:val="default"/>
    <w:sig w:usb0="00000687" w:usb1="00000000" w:usb2="00000000" w:usb3="00000000" w:csb0="2000009F" w:csb1="00000000"/>
  </w:font>
  <w:font w:name="Calibri Light">
    <w:panose1 w:val="020F0302020204030204"/>
    <w:charset w:val="00"/>
    <w:family w:val="auto"/>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Cambria Math">
    <w:panose1 w:val="02040503050406030204"/>
    <w:charset w:val="00"/>
    <w:family w:val="auto"/>
    <w:pitch w:val="default"/>
    <w:sig w:usb0="E00006FF" w:usb1="420024FF" w:usb2="02000000" w:usb3="00000000" w:csb0="2000019F" w:csb1="00000000"/>
  </w:font>
  <w:font w:name="ヒラギノ角ゴ Pro W3">
    <w:altName w:val="NumberOnly"/>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大黑简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46FE2">
    <w:pPr>
      <w:pStyle w:val="225"/>
      <w:jc w:val="center"/>
    </w:pPr>
    <w:r>
      <w:fldChar w:fldCharType="begin"/>
    </w:r>
    <w:r>
      <w:instrText xml:space="preserve">PAGE   \* MERGEFORMAT</w:instrText>
    </w:r>
    <w:r>
      <w:fldChar w:fldCharType="separate"/>
    </w:r>
    <w:r>
      <w:rPr>
        <w:lang w:val="zh-CN"/>
      </w:rPr>
      <w:t>5</w:t>
    </w:r>
    <w:r>
      <w:fldChar w:fldCharType="end"/>
    </w:r>
  </w:p>
  <w:p w14:paraId="4FFA3931">
    <w:pPr>
      <w:pStyle w:val="2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5001A">
    <w:pPr>
      <w:pStyle w:val="225"/>
      <w:jc w:val="center"/>
    </w:pPr>
    <w:r>
      <w:fldChar w:fldCharType="begin"/>
    </w:r>
    <w:r>
      <w:instrText xml:space="preserve"> PAGE   \* MERGEFORMAT </w:instrText>
    </w:r>
    <w:r>
      <w:fldChar w:fldCharType="separate"/>
    </w:r>
    <w:r>
      <w:rPr>
        <w:lang w:val="zh-CN"/>
      </w:rPr>
      <w:t>1</w:t>
    </w:r>
    <w:r>
      <w:fldChar w:fldCharType="end"/>
    </w:r>
  </w:p>
  <w:p w14:paraId="6129A623">
    <w:pPr>
      <w:pStyle w:val="2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293EB">
    <w:pPr>
      <w:pStyle w:val="225"/>
      <w:jc w:val="center"/>
    </w:pPr>
    <w:r>
      <w:fldChar w:fldCharType="begin"/>
    </w:r>
    <w:r>
      <w:instrText xml:space="preserve"> PAGE   \* MERGEFORMAT </w:instrText>
    </w:r>
    <w:r>
      <w:fldChar w:fldCharType="separate"/>
    </w:r>
    <w:r>
      <w:rPr>
        <w:lang w:val="zh-CN"/>
      </w:rPr>
      <w:t>30</w:t>
    </w:r>
    <w:r>
      <w:fldChar w:fldCharType="end"/>
    </w:r>
  </w:p>
  <w:p w14:paraId="291E8875">
    <w:pPr>
      <w:pStyle w:val="2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039CA">
    <w:pPr>
      <w:pStyle w:val="225"/>
      <w:jc w:val="center"/>
    </w:pPr>
    <w:r>
      <w:fldChar w:fldCharType="begin"/>
    </w:r>
    <w:r>
      <w:instrText xml:space="preserve"> PAGE   \* MERGEFORMAT </w:instrText>
    </w:r>
    <w:r>
      <w:fldChar w:fldCharType="separate"/>
    </w:r>
    <w:r>
      <w:rPr>
        <w:lang w:val="zh-CN"/>
      </w:rPr>
      <w:t>42</w:t>
    </w:r>
    <w:r>
      <w:fldChar w:fldCharType="end"/>
    </w:r>
  </w:p>
  <w:p w14:paraId="0C302F2C">
    <w:pPr>
      <w:pStyle w:val="2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E3C8D">
    <w:pPr>
      <w:pStyle w:val="227"/>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B2694">
    <w:pPr>
      <w:pStyle w:val="22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59783F2"/>
    <w:multiLevelType w:val="singleLevel"/>
    <w:tmpl w:val="259783F2"/>
    <w:lvl w:ilvl="0" w:tentative="0">
      <w:start w:val="1"/>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229C9"/>
    <w:rsid w:val="01FD031B"/>
    <w:rsid w:val="025D3C6A"/>
    <w:rsid w:val="047F2D99"/>
    <w:rsid w:val="08123F24"/>
    <w:rsid w:val="09137F54"/>
    <w:rsid w:val="0C3714C8"/>
    <w:rsid w:val="0C511246"/>
    <w:rsid w:val="0DE545B5"/>
    <w:rsid w:val="0F88388D"/>
    <w:rsid w:val="18E63BEB"/>
    <w:rsid w:val="1C634D91"/>
    <w:rsid w:val="1C691A4E"/>
    <w:rsid w:val="217A42AD"/>
    <w:rsid w:val="246F2AE1"/>
    <w:rsid w:val="26150A3E"/>
    <w:rsid w:val="291529E3"/>
    <w:rsid w:val="2A373C91"/>
    <w:rsid w:val="31405521"/>
    <w:rsid w:val="385D692C"/>
    <w:rsid w:val="38CB6143"/>
    <w:rsid w:val="3A2B0C9B"/>
    <w:rsid w:val="3DDC1545"/>
    <w:rsid w:val="41655AE4"/>
    <w:rsid w:val="44413CFF"/>
    <w:rsid w:val="45F67E3E"/>
    <w:rsid w:val="49BE123B"/>
    <w:rsid w:val="4A2117CA"/>
    <w:rsid w:val="4F1D1683"/>
    <w:rsid w:val="51231EDB"/>
    <w:rsid w:val="58B83A54"/>
    <w:rsid w:val="5FCB3056"/>
    <w:rsid w:val="606C29F4"/>
    <w:rsid w:val="613C70A4"/>
    <w:rsid w:val="642C0428"/>
    <w:rsid w:val="6D251E87"/>
    <w:rsid w:val="71BE59CD"/>
    <w:rsid w:val="73263ED1"/>
    <w:rsid w:val="782C08C8"/>
    <w:rsid w:val="785836DE"/>
    <w:rsid w:val="79AE2690"/>
    <w:rsid w:val="7B7E0E1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76"/>
    <w:qFormat/>
    <w:uiPriority w:val="0"/>
    <w:pPr>
      <w:widowControl w:val="0"/>
      <w:jc w:val="both"/>
    </w:pPr>
    <w:rPr>
      <w:rFonts w:hint="default" w:ascii="等线" w:hAnsi="等线" w:eastAsia="等线" w:cs="等线"/>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3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3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1"/>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正文文本 211"/>
    <w:basedOn w:val="1"/>
    <w:link w:val="190"/>
    <w:qFormat/>
    <w:uiPriority w:val="0"/>
    <w:pPr>
      <w:jc w:val="center"/>
    </w:pPr>
    <w:rPr>
      <w:b/>
      <w:bCs/>
      <w:sz w:val="72"/>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qFormat/>
    <w:uiPriority w:val="39"/>
    <w:pPr>
      <w:ind w:left="84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77"/>
    <w:semiHidden/>
    <w:unhideWhenUsed/>
    <w:qFormat/>
    <w:uiPriority w:val="99"/>
    <w:pPr>
      <w:spacing w:after="0" w:line="240" w:lineRule="auto"/>
    </w:pPr>
    <w:rPr>
      <w:sz w:val="20"/>
    </w:rPr>
  </w:style>
  <w:style w:type="paragraph" w:styleId="18">
    <w:name w:val="footer"/>
    <w:basedOn w:val="1"/>
    <w:link w:val="50"/>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qFormat/>
    <w:uiPriority w:val="39"/>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5"/>
    <w:qFormat/>
    <w:uiPriority w:val="11"/>
    <w:pPr>
      <w:spacing w:before="200" w:after="200"/>
    </w:pPr>
    <w:rPr>
      <w:sz w:val="24"/>
      <w:szCs w:val="24"/>
    </w:rPr>
  </w:style>
  <w:style w:type="paragraph" w:styleId="23">
    <w:name w:val="footnote text"/>
    <w:basedOn w:val="1"/>
    <w:link w:val="176"/>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qFormat/>
    <w:uiPriority w:val="39"/>
    <w:pPr>
      <w:ind w:left="42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4"/>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3 Char"/>
    <w:link w:val="5"/>
    <w:qFormat/>
    <w:uiPriority w:val="9"/>
    <w:rPr>
      <w:rFonts w:ascii="Arial" w:hAnsi="Arial" w:eastAsia="Arial" w:cs="Arial"/>
      <w:sz w:val="30"/>
      <w:szCs w:val="30"/>
    </w:rPr>
  </w:style>
  <w:style w:type="character" w:customStyle="1" w:styleId="36">
    <w:name w:val="Heading 4 Char"/>
    <w:link w:val="6"/>
    <w:qFormat/>
    <w:uiPriority w:val="9"/>
    <w:rPr>
      <w:rFonts w:ascii="Arial" w:hAnsi="Arial" w:eastAsia="Arial" w:cs="Arial"/>
      <w:b/>
      <w:bCs/>
      <w:sz w:val="26"/>
      <w:szCs w:val="26"/>
    </w:rPr>
  </w:style>
  <w:style w:type="character" w:customStyle="1" w:styleId="37">
    <w:name w:val="Heading 5 Char"/>
    <w:link w:val="7"/>
    <w:qFormat/>
    <w:uiPriority w:val="9"/>
    <w:rPr>
      <w:rFonts w:ascii="Arial" w:hAnsi="Arial" w:eastAsia="Arial" w:cs="Arial"/>
      <w:b/>
      <w:bCs/>
      <w:sz w:val="24"/>
      <w:szCs w:val="24"/>
    </w:rPr>
  </w:style>
  <w:style w:type="character" w:customStyle="1" w:styleId="38">
    <w:name w:val="Heading 6 Char"/>
    <w:link w:val="8"/>
    <w:qFormat/>
    <w:uiPriority w:val="9"/>
    <w:rPr>
      <w:rFonts w:ascii="Arial" w:hAnsi="Arial" w:eastAsia="Arial" w:cs="Arial"/>
      <w:b/>
      <w:bCs/>
      <w:sz w:val="22"/>
      <w:szCs w:val="22"/>
    </w:rPr>
  </w:style>
  <w:style w:type="character" w:customStyle="1" w:styleId="39">
    <w:name w:val="Heading 7 Char"/>
    <w:link w:val="9"/>
    <w:qFormat/>
    <w:uiPriority w:val="9"/>
    <w:rPr>
      <w:rFonts w:ascii="Arial" w:hAnsi="Arial" w:eastAsia="Arial" w:cs="Arial"/>
      <w:b/>
      <w:bCs/>
      <w:i/>
      <w:iCs/>
      <w:sz w:val="22"/>
      <w:szCs w:val="22"/>
    </w:rPr>
  </w:style>
  <w:style w:type="character" w:customStyle="1" w:styleId="40">
    <w:name w:val="Heading 8 Char"/>
    <w:link w:val="10"/>
    <w:qFormat/>
    <w:uiPriority w:val="9"/>
    <w:rPr>
      <w:rFonts w:ascii="Arial" w:hAnsi="Arial" w:eastAsia="Arial" w:cs="Arial"/>
      <w:i/>
      <w:iCs/>
      <w:sz w:val="22"/>
      <w:szCs w:val="22"/>
    </w:rPr>
  </w:style>
  <w:style w:type="character" w:customStyle="1" w:styleId="41">
    <w:name w:val="Heading 9 Char"/>
    <w:link w:val="11"/>
    <w:qFormat/>
    <w:uiPriority w:val="9"/>
    <w:rPr>
      <w:rFonts w:ascii="Arial" w:hAnsi="Arial" w:eastAsia="Arial" w:cs="Arial"/>
      <w:i/>
      <w:iCs/>
      <w:sz w:val="21"/>
      <w:szCs w:val="21"/>
    </w:rPr>
  </w:style>
  <w:style w:type="paragraph" w:styleId="42">
    <w:name w:val="List Paragraph"/>
    <w:basedOn w:val="1"/>
    <w:qFormat/>
    <w:uiPriority w:val="34"/>
    <w:pPr>
      <w:ind w:left="720"/>
      <w:contextualSpacing/>
    </w:pPr>
  </w:style>
  <w:style w:type="paragraph" w:styleId="43">
    <w:name w:val="No Spacing"/>
    <w:qFormat/>
    <w:uiPriority w:val="1"/>
    <w:pPr>
      <w:spacing w:before="0" w:after="0" w:line="240" w:lineRule="auto"/>
    </w:pPr>
    <w:rPr>
      <w:rFonts w:hint="default" w:ascii="等线" w:hAnsi="等线" w:eastAsia="等线" w:cs="等线"/>
    </w:rPr>
  </w:style>
  <w:style w:type="character" w:customStyle="1" w:styleId="44">
    <w:name w:val="Title Char"/>
    <w:link w:val="28"/>
    <w:qFormat/>
    <w:uiPriority w:val="10"/>
    <w:rPr>
      <w:sz w:val="48"/>
      <w:szCs w:val="48"/>
    </w:rPr>
  </w:style>
  <w:style w:type="character" w:customStyle="1" w:styleId="45">
    <w:name w:val="Subtitle Char"/>
    <w:link w:val="22"/>
    <w:qFormat/>
    <w:uiPriority w:val="11"/>
    <w:rPr>
      <w:sz w:val="24"/>
      <w:szCs w:val="24"/>
    </w:rPr>
  </w:style>
  <w:style w:type="paragraph"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qFormat/>
    <w:uiPriority w:val="30"/>
    <w:rPr>
      <w:i/>
    </w:rPr>
  </w:style>
  <w:style w:type="character" w:customStyle="1" w:styleId="50">
    <w:name w:val="Caption Char"/>
    <w:link w:val="18"/>
    <w:qFormat/>
    <w:uiPriority w:val="99"/>
  </w:style>
  <w:style w:type="table" w:customStyle="1" w:styleId="5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9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9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4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4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6">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7">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8">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9">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2">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0">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5">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6">
    <w:name w:val="Footnote Text Char"/>
    <w:link w:val="23"/>
    <w:qFormat/>
    <w:uiPriority w:val="99"/>
    <w:rPr>
      <w:sz w:val="18"/>
    </w:rPr>
  </w:style>
  <w:style w:type="character" w:customStyle="1" w:styleId="177">
    <w:name w:val="Endnote Text Char"/>
    <w:link w:val="17"/>
    <w:uiPriority w:val="99"/>
    <w:rPr>
      <w:sz w:val="20"/>
    </w:rPr>
  </w:style>
  <w:style w:type="paragraph" w:customStyle="1" w:styleId="178">
    <w:name w:val="TOC Heading"/>
    <w:unhideWhenUsed/>
    <w:uiPriority w:val="39"/>
    <w:rPr>
      <w:rFonts w:hint="default" w:ascii="等线" w:hAnsi="等线" w:eastAsia="等线" w:cs="等线"/>
    </w:rPr>
  </w:style>
  <w:style w:type="paragraph" w:customStyle="1" w:styleId="179">
    <w:name w:val="标题 11"/>
    <w:basedOn w:val="1"/>
    <w:next w:val="1"/>
    <w:link w:val="191"/>
    <w:qFormat/>
    <w:uiPriority w:val="0"/>
    <w:pPr>
      <w:keepNext/>
      <w:keepLines/>
      <w:spacing w:before="340" w:after="330" w:line="576" w:lineRule="auto"/>
      <w:outlineLvl w:val="0"/>
    </w:pPr>
    <w:rPr>
      <w:b/>
      <w:bCs/>
      <w:sz w:val="44"/>
      <w:szCs w:val="44"/>
    </w:rPr>
  </w:style>
  <w:style w:type="paragraph" w:customStyle="1" w:styleId="180">
    <w:name w:val="标题 21"/>
    <w:basedOn w:val="1"/>
    <w:next w:val="1"/>
    <w:link w:val="192"/>
    <w:qFormat/>
    <w:uiPriority w:val="0"/>
    <w:pPr>
      <w:keepNext/>
      <w:keepLines/>
      <w:spacing w:before="260" w:after="260" w:line="413" w:lineRule="auto"/>
      <w:outlineLvl w:val="1"/>
    </w:pPr>
    <w:rPr>
      <w:rFonts w:ascii="Microsoft YaHei UI" w:hAnsi="Microsoft YaHei UI" w:eastAsia="ˎ̥"/>
      <w:b/>
      <w:bCs/>
      <w:sz w:val="32"/>
      <w:szCs w:val="32"/>
    </w:rPr>
  </w:style>
  <w:style w:type="paragraph" w:customStyle="1" w:styleId="181">
    <w:name w:val="标题 31"/>
    <w:basedOn w:val="1"/>
    <w:next w:val="1"/>
    <w:link w:val="193"/>
    <w:qFormat/>
    <w:uiPriority w:val="0"/>
    <w:pPr>
      <w:keepNext/>
      <w:keepLines/>
      <w:spacing w:before="260" w:after="260" w:line="413" w:lineRule="auto"/>
      <w:outlineLvl w:val="2"/>
    </w:pPr>
    <w:rPr>
      <w:b/>
      <w:bCs/>
      <w:sz w:val="32"/>
      <w:szCs w:val="32"/>
    </w:rPr>
  </w:style>
  <w:style w:type="paragraph" w:customStyle="1" w:styleId="182">
    <w:name w:val="标题 41"/>
    <w:basedOn w:val="1"/>
    <w:next w:val="1"/>
    <w:link w:val="194"/>
    <w:qFormat/>
    <w:uiPriority w:val="0"/>
    <w:pPr>
      <w:keepNext/>
      <w:keepLines/>
      <w:spacing w:before="120" w:after="120"/>
      <w:outlineLvl w:val="3"/>
    </w:pPr>
    <w:rPr>
      <w:rFonts w:ascii="Microsoft YaHei UI" w:hAnsi="Microsoft YaHei UI" w:eastAsia="ˎ̥"/>
      <w:b/>
      <w:sz w:val="28"/>
      <w:szCs w:val="20"/>
    </w:rPr>
  </w:style>
  <w:style w:type="paragraph" w:customStyle="1" w:styleId="183">
    <w:name w:val="标题 51"/>
    <w:basedOn w:val="1"/>
    <w:next w:val="1"/>
    <w:link w:val="195"/>
    <w:qFormat/>
    <w:uiPriority w:val="0"/>
    <w:pPr>
      <w:keepNext/>
      <w:keepLines/>
      <w:tabs>
        <w:tab w:val="left" w:pos="1008"/>
      </w:tabs>
      <w:spacing w:before="280" w:after="290" w:line="372" w:lineRule="auto"/>
      <w:ind w:left="1008" w:hanging="1008"/>
      <w:outlineLvl w:val="4"/>
    </w:pPr>
    <w:rPr>
      <w:b/>
      <w:bCs/>
      <w:sz w:val="28"/>
      <w:szCs w:val="28"/>
    </w:rPr>
  </w:style>
  <w:style w:type="paragraph" w:customStyle="1" w:styleId="184">
    <w:name w:val="标题 61"/>
    <w:basedOn w:val="1"/>
    <w:next w:val="1"/>
    <w:link w:val="196"/>
    <w:qFormat/>
    <w:uiPriority w:val="0"/>
    <w:pPr>
      <w:keepNext/>
      <w:keepLines/>
      <w:tabs>
        <w:tab w:val="left" w:pos="1152"/>
      </w:tabs>
      <w:spacing w:before="240" w:after="64" w:line="317" w:lineRule="auto"/>
      <w:ind w:left="1152" w:hanging="1152"/>
      <w:outlineLvl w:val="5"/>
    </w:pPr>
    <w:rPr>
      <w:rFonts w:ascii="Microsoft YaHei UI" w:hAnsi="Microsoft YaHei UI" w:eastAsia="ˎ̥"/>
      <w:b/>
      <w:bCs/>
      <w:sz w:val="24"/>
    </w:rPr>
  </w:style>
  <w:style w:type="paragraph" w:customStyle="1" w:styleId="185">
    <w:name w:val="标题 71"/>
    <w:basedOn w:val="1"/>
    <w:next w:val="1"/>
    <w:link w:val="197"/>
    <w:qFormat/>
    <w:uiPriority w:val="0"/>
    <w:pPr>
      <w:keepNext/>
      <w:keepLines/>
      <w:tabs>
        <w:tab w:val="left" w:pos="1296"/>
      </w:tabs>
      <w:spacing w:before="240" w:after="64" w:line="317" w:lineRule="auto"/>
      <w:ind w:left="1296" w:hanging="1296"/>
      <w:outlineLvl w:val="6"/>
    </w:pPr>
    <w:rPr>
      <w:b/>
      <w:bCs/>
      <w:sz w:val="24"/>
    </w:rPr>
  </w:style>
  <w:style w:type="paragraph" w:customStyle="1" w:styleId="186">
    <w:name w:val="标题 81"/>
    <w:basedOn w:val="1"/>
    <w:next w:val="1"/>
    <w:link w:val="198"/>
    <w:qFormat/>
    <w:uiPriority w:val="0"/>
    <w:pPr>
      <w:keepNext/>
      <w:keepLines/>
      <w:tabs>
        <w:tab w:val="left" w:pos="1440"/>
      </w:tabs>
      <w:spacing w:before="240" w:after="64" w:line="317" w:lineRule="auto"/>
      <w:ind w:left="1440" w:hanging="1440"/>
      <w:outlineLvl w:val="7"/>
    </w:pPr>
    <w:rPr>
      <w:rFonts w:ascii="Microsoft YaHei UI" w:hAnsi="Microsoft YaHei UI" w:eastAsia="ˎ̥"/>
      <w:sz w:val="24"/>
    </w:rPr>
  </w:style>
  <w:style w:type="paragraph" w:customStyle="1" w:styleId="187">
    <w:name w:val="标题 91"/>
    <w:basedOn w:val="1"/>
    <w:next w:val="1"/>
    <w:link w:val="199"/>
    <w:qFormat/>
    <w:uiPriority w:val="0"/>
    <w:pPr>
      <w:keepNext/>
      <w:keepLines/>
      <w:tabs>
        <w:tab w:val="left" w:pos="1584"/>
      </w:tabs>
      <w:spacing w:before="240" w:after="64" w:line="317" w:lineRule="auto"/>
      <w:ind w:left="1584" w:hanging="1584"/>
      <w:outlineLvl w:val="8"/>
    </w:pPr>
    <w:rPr>
      <w:rFonts w:ascii="Microsoft YaHei UI" w:hAnsi="Microsoft YaHei UI" w:eastAsia="ˎ̥"/>
      <w:szCs w:val="21"/>
    </w:rPr>
  </w:style>
  <w:style w:type="character" w:customStyle="1" w:styleId="188">
    <w:name w:val="默认段落字体1"/>
    <w:link w:val="1"/>
    <w:unhideWhenUsed/>
    <w:uiPriority w:val="1"/>
  </w:style>
  <w:style w:type="table" w:customStyle="1" w:styleId="189">
    <w:name w:val="普通表格1"/>
    <w:unhideWhenUsed/>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190">
    <w:name w:val="正文文本 2 字符"/>
    <w:link w:val="2"/>
    <w:uiPriority w:val="0"/>
    <w:rPr>
      <w:rFonts w:ascii="Tahoma" w:hAnsi="Tahoma" w:eastAsia="Trebuchet MS" w:cs="Tahoma"/>
      <w:b/>
      <w:bCs/>
      <w:sz w:val="72"/>
      <w:szCs w:val="20"/>
    </w:rPr>
  </w:style>
  <w:style w:type="character" w:customStyle="1" w:styleId="191">
    <w:name w:val="标题 1 字符"/>
    <w:link w:val="179"/>
    <w:qFormat/>
    <w:uiPriority w:val="0"/>
    <w:rPr>
      <w:rFonts w:ascii="Tahoma" w:hAnsi="Tahoma" w:eastAsia="Trebuchet MS" w:cs="Tahoma"/>
      <w:b/>
      <w:bCs/>
      <w:sz w:val="44"/>
      <w:szCs w:val="44"/>
    </w:rPr>
  </w:style>
  <w:style w:type="character" w:customStyle="1" w:styleId="192">
    <w:name w:val="标题 2 字符"/>
    <w:link w:val="180"/>
    <w:qFormat/>
    <w:uiPriority w:val="0"/>
    <w:rPr>
      <w:rFonts w:ascii="Microsoft YaHei UI" w:hAnsi="Microsoft YaHei UI" w:eastAsia="ˎ̥" w:cs="Tahoma"/>
      <w:b/>
      <w:bCs/>
      <w:sz w:val="32"/>
      <w:szCs w:val="32"/>
    </w:rPr>
  </w:style>
  <w:style w:type="character" w:customStyle="1" w:styleId="193">
    <w:name w:val="标题 3 字符"/>
    <w:link w:val="181"/>
    <w:qFormat/>
    <w:uiPriority w:val="0"/>
    <w:rPr>
      <w:rFonts w:ascii="Tahoma" w:hAnsi="Tahoma" w:eastAsia="Trebuchet MS" w:cs="Tahoma"/>
      <w:b/>
      <w:bCs/>
      <w:sz w:val="32"/>
      <w:szCs w:val="32"/>
    </w:rPr>
  </w:style>
  <w:style w:type="character" w:customStyle="1" w:styleId="194">
    <w:name w:val="标题 4 字符"/>
    <w:link w:val="182"/>
    <w:qFormat/>
    <w:uiPriority w:val="0"/>
    <w:rPr>
      <w:rFonts w:ascii="Microsoft YaHei UI" w:hAnsi="Microsoft YaHei UI" w:eastAsia="ˎ̥" w:cs="Tahoma"/>
      <w:b/>
      <w:sz w:val="28"/>
      <w:szCs w:val="20"/>
    </w:rPr>
  </w:style>
  <w:style w:type="character" w:customStyle="1" w:styleId="195">
    <w:name w:val="标题 5 字符"/>
    <w:link w:val="183"/>
    <w:qFormat/>
    <w:uiPriority w:val="0"/>
    <w:rPr>
      <w:rFonts w:ascii="Tahoma" w:hAnsi="Tahoma" w:eastAsia="Trebuchet MS" w:cs="Tahoma"/>
      <w:b/>
      <w:bCs/>
      <w:sz w:val="28"/>
      <w:szCs w:val="28"/>
    </w:rPr>
  </w:style>
  <w:style w:type="character" w:customStyle="1" w:styleId="196">
    <w:name w:val="标题 6 字符"/>
    <w:link w:val="184"/>
    <w:qFormat/>
    <w:uiPriority w:val="0"/>
    <w:rPr>
      <w:rFonts w:ascii="Microsoft YaHei UI" w:hAnsi="Microsoft YaHei UI" w:eastAsia="ˎ̥" w:cs="Tahoma"/>
      <w:b/>
      <w:bCs/>
      <w:sz w:val="24"/>
      <w:szCs w:val="24"/>
    </w:rPr>
  </w:style>
  <w:style w:type="character" w:customStyle="1" w:styleId="197">
    <w:name w:val="标题 7 字符"/>
    <w:link w:val="185"/>
    <w:qFormat/>
    <w:uiPriority w:val="0"/>
    <w:rPr>
      <w:rFonts w:ascii="Tahoma" w:hAnsi="Tahoma" w:eastAsia="Trebuchet MS" w:cs="Tahoma"/>
      <w:b/>
      <w:bCs/>
      <w:sz w:val="24"/>
      <w:szCs w:val="24"/>
    </w:rPr>
  </w:style>
  <w:style w:type="character" w:customStyle="1" w:styleId="198">
    <w:name w:val="标题 8 字符"/>
    <w:link w:val="186"/>
    <w:uiPriority w:val="0"/>
    <w:rPr>
      <w:rFonts w:ascii="Microsoft YaHei UI" w:hAnsi="Microsoft YaHei UI" w:eastAsia="ˎ̥" w:cs="Tahoma"/>
      <w:sz w:val="24"/>
      <w:szCs w:val="24"/>
    </w:rPr>
  </w:style>
  <w:style w:type="character" w:customStyle="1" w:styleId="199">
    <w:name w:val="标题 9 字符"/>
    <w:link w:val="187"/>
    <w:uiPriority w:val="0"/>
    <w:rPr>
      <w:rFonts w:ascii="Microsoft YaHei UI" w:hAnsi="Microsoft YaHei UI" w:eastAsia="ˎ̥" w:cs="Tahoma"/>
      <w:szCs w:val="21"/>
    </w:rPr>
  </w:style>
  <w:style w:type="paragraph" w:customStyle="1" w:styleId="200">
    <w:name w:val="列表编号 21"/>
    <w:basedOn w:val="1"/>
    <w:qFormat/>
    <w:uiPriority w:val="0"/>
    <w:pPr>
      <w:tabs>
        <w:tab w:val="left" w:pos="1440"/>
      </w:tabs>
      <w:spacing w:line="360" w:lineRule="auto"/>
      <w:ind w:left="1440" w:hanging="1440"/>
    </w:pPr>
    <w:rPr>
      <w:sz w:val="24"/>
    </w:rPr>
  </w:style>
  <w:style w:type="paragraph" w:customStyle="1" w:styleId="201">
    <w:name w:val="列表编号1"/>
    <w:basedOn w:val="1"/>
    <w:qFormat/>
    <w:uiPriority w:val="0"/>
    <w:pPr>
      <w:tabs>
        <w:tab w:val="left" w:pos="2952"/>
      </w:tabs>
      <w:ind w:left="2952" w:hanging="432"/>
    </w:pPr>
  </w:style>
  <w:style w:type="paragraph" w:customStyle="1" w:styleId="202">
    <w:name w:val="正文缩进11"/>
    <w:basedOn w:val="1"/>
    <w:qFormat/>
    <w:uiPriority w:val="0"/>
    <w:pPr>
      <w:ind w:firstLine="420"/>
    </w:pPr>
    <w:rPr>
      <w:szCs w:val="20"/>
    </w:rPr>
  </w:style>
  <w:style w:type="paragraph" w:customStyle="1" w:styleId="203">
    <w:name w:val="文档结构图1"/>
    <w:basedOn w:val="1"/>
    <w:link w:val="204"/>
    <w:qFormat/>
    <w:uiPriority w:val="0"/>
    <w:pPr>
      <w:shd w:val="clear" w:color="auto" w:fill="000080"/>
    </w:pPr>
    <w:rPr>
      <w:rFonts w:ascii="Calibri Light" w:hAnsi="Calibri Light" w:cs="Tahoma"/>
    </w:rPr>
  </w:style>
  <w:style w:type="character" w:customStyle="1" w:styleId="204">
    <w:name w:val="文档结构图 字符"/>
    <w:link w:val="203"/>
    <w:qFormat/>
    <w:uiPriority w:val="0"/>
    <w:rPr>
      <w:rFonts w:eastAsia="Trebuchet MS"/>
      <w:szCs w:val="24"/>
      <w:shd w:val="clear" w:color="auto" w:fill="000080"/>
    </w:rPr>
  </w:style>
  <w:style w:type="paragraph" w:customStyle="1" w:styleId="205">
    <w:name w:val="批注文字1"/>
    <w:basedOn w:val="1"/>
    <w:link w:val="206"/>
    <w:qFormat/>
    <w:uiPriority w:val="0"/>
    <w:pPr>
      <w:jc w:val="left"/>
    </w:pPr>
    <w:rPr>
      <w:rFonts w:ascii="Calibri Light" w:hAnsi="Calibri Light" w:cs="Tahoma"/>
      <w:szCs w:val="22"/>
    </w:rPr>
  </w:style>
  <w:style w:type="character" w:customStyle="1" w:styleId="206">
    <w:name w:val="批注文字 字符"/>
    <w:link w:val="205"/>
    <w:qFormat/>
    <w:uiPriority w:val="0"/>
    <w:rPr>
      <w:rFonts w:eastAsia="Trebuchet MS"/>
    </w:rPr>
  </w:style>
  <w:style w:type="paragraph" w:customStyle="1" w:styleId="207">
    <w:name w:val="称呼1"/>
    <w:basedOn w:val="1"/>
    <w:next w:val="1"/>
    <w:link w:val="208"/>
    <w:qFormat/>
    <w:uiPriority w:val="0"/>
    <w:rPr>
      <w:rFonts w:ascii="楷体_GB2312" w:eastAsia="楷体_GB2312"/>
      <w:sz w:val="28"/>
      <w:szCs w:val="20"/>
    </w:rPr>
  </w:style>
  <w:style w:type="character" w:customStyle="1" w:styleId="208">
    <w:name w:val="称呼 字符"/>
    <w:link w:val="207"/>
    <w:uiPriority w:val="0"/>
    <w:rPr>
      <w:rFonts w:ascii="楷体_GB2312" w:hAnsi="Tahoma" w:eastAsia="楷体_GB2312" w:cs="Tahoma"/>
      <w:sz w:val="28"/>
      <w:szCs w:val="20"/>
    </w:rPr>
  </w:style>
  <w:style w:type="paragraph" w:customStyle="1" w:styleId="209">
    <w:name w:val="正文文本 31"/>
    <w:basedOn w:val="1"/>
    <w:link w:val="210"/>
    <w:qFormat/>
    <w:uiPriority w:val="0"/>
    <w:pPr>
      <w:spacing w:after="120"/>
    </w:pPr>
    <w:rPr>
      <w:sz w:val="16"/>
      <w:szCs w:val="16"/>
    </w:rPr>
  </w:style>
  <w:style w:type="character" w:customStyle="1" w:styleId="210">
    <w:name w:val="正文文本 3 字符"/>
    <w:link w:val="209"/>
    <w:uiPriority w:val="0"/>
    <w:rPr>
      <w:rFonts w:ascii="Tahoma" w:hAnsi="Tahoma" w:eastAsia="Trebuchet MS" w:cs="Tahoma"/>
      <w:sz w:val="16"/>
      <w:szCs w:val="16"/>
    </w:rPr>
  </w:style>
  <w:style w:type="paragraph" w:customStyle="1" w:styleId="211">
    <w:name w:val="正文文本1"/>
    <w:basedOn w:val="1"/>
    <w:next w:val="1"/>
    <w:link w:val="212"/>
    <w:qFormat/>
    <w:uiPriority w:val="0"/>
    <w:pPr>
      <w:jc w:val="center"/>
    </w:pPr>
    <w:rPr>
      <w:rFonts w:ascii="华文细黑" w:eastAsia="华文细黑"/>
      <w:position w:val="6"/>
      <w:sz w:val="30"/>
      <w:szCs w:val="20"/>
    </w:rPr>
  </w:style>
  <w:style w:type="character" w:customStyle="1" w:styleId="212">
    <w:name w:val="正文文本 字符"/>
    <w:link w:val="211"/>
    <w:qFormat/>
    <w:uiPriority w:val="0"/>
    <w:rPr>
      <w:rFonts w:ascii="华文细黑" w:hAnsi="Tahoma" w:eastAsia="华文细黑" w:cs="Tahoma"/>
      <w:position w:val="6"/>
      <w:sz w:val="30"/>
      <w:szCs w:val="20"/>
    </w:rPr>
  </w:style>
  <w:style w:type="paragraph" w:customStyle="1" w:styleId="213">
    <w:name w:val="正文文本缩进11"/>
    <w:basedOn w:val="1"/>
    <w:link w:val="214"/>
    <w:qFormat/>
    <w:uiPriority w:val="0"/>
    <w:pPr>
      <w:spacing w:after="120"/>
      <w:ind w:left="420"/>
    </w:pPr>
  </w:style>
  <w:style w:type="character" w:customStyle="1" w:styleId="214">
    <w:name w:val="正文文本缩进 字符"/>
    <w:link w:val="213"/>
    <w:qFormat/>
    <w:uiPriority w:val="0"/>
    <w:rPr>
      <w:rFonts w:ascii="Tahoma" w:hAnsi="Tahoma" w:eastAsia="Trebuchet MS" w:cs="Tahoma"/>
      <w:szCs w:val="24"/>
    </w:rPr>
  </w:style>
  <w:style w:type="paragraph" w:customStyle="1" w:styleId="215">
    <w:name w:val="索引 41"/>
    <w:basedOn w:val="1"/>
    <w:next w:val="1"/>
    <w:unhideWhenUsed/>
    <w:qFormat/>
    <w:uiPriority w:val="99"/>
    <w:pPr>
      <w:ind w:left="600"/>
    </w:pPr>
  </w:style>
  <w:style w:type="paragraph" w:customStyle="1" w:styleId="216">
    <w:name w:val="纯文本1"/>
    <w:basedOn w:val="1"/>
    <w:link w:val="217"/>
    <w:qFormat/>
    <w:uiPriority w:val="0"/>
    <w:rPr>
      <w:rFonts w:ascii="Trebuchet MS" w:hAnsi="华文楷体" w:cs="Tahoma"/>
      <w:szCs w:val="21"/>
    </w:rPr>
  </w:style>
  <w:style w:type="character" w:customStyle="1" w:styleId="217">
    <w:name w:val="纯文本 字符"/>
    <w:link w:val="216"/>
    <w:qFormat/>
    <w:uiPriority w:val="0"/>
    <w:rPr>
      <w:rFonts w:ascii="Trebuchet MS" w:hAnsi="华文楷体" w:eastAsia="Trebuchet MS"/>
      <w:szCs w:val="21"/>
    </w:rPr>
  </w:style>
  <w:style w:type="paragraph" w:customStyle="1" w:styleId="218">
    <w:name w:val="索引 31"/>
    <w:basedOn w:val="1"/>
    <w:next w:val="1"/>
    <w:qFormat/>
    <w:uiPriority w:val="0"/>
    <w:pPr>
      <w:ind w:left="840"/>
    </w:pPr>
    <w:rPr>
      <w:szCs w:val="20"/>
    </w:rPr>
  </w:style>
  <w:style w:type="paragraph" w:customStyle="1" w:styleId="219">
    <w:name w:val="日期1"/>
    <w:basedOn w:val="1"/>
    <w:next w:val="1"/>
    <w:link w:val="220"/>
    <w:qFormat/>
    <w:uiPriority w:val="0"/>
    <w:pPr>
      <w:ind w:left="100"/>
    </w:pPr>
    <w:rPr>
      <w:sz w:val="28"/>
      <w:szCs w:val="20"/>
    </w:rPr>
  </w:style>
  <w:style w:type="character" w:customStyle="1" w:styleId="220">
    <w:name w:val="日期 字符"/>
    <w:link w:val="219"/>
    <w:qFormat/>
    <w:uiPriority w:val="0"/>
    <w:rPr>
      <w:rFonts w:ascii="Tahoma" w:hAnsi="Tahoma" w:eastAsia="Trebuchet MS" w:cs="Tahoma"/>
      <w:sz w:val="28"/>
      <w:szCs w:val="20"/>
    </w:rPr>
  </w:style>
  <w:style w:type="paragraph" w:customStyle="1" w:styleId="221">
    <w:name w:val="正文文本缩进 21"/>
    <w:basedOn w:val="1"/>
    <w:link w:val="222"/>
    <w:qFormat/>
    <w:uiPriority w:val="0"/>
    <w:pPr>
      <w:spacing w:line="400" w:lineRule="exact"/>
      <w:ind w:firstLine="480"/>
    </w:pPr>
    <w:rPr>
      <w:rFonts w:ascii="Trebuchet MS" w:hAnsi="Trebuchet MS"/>
      <w:sz w:val="24"/>
    </w:rPr>
  </w:style>
  <w:style w:type="character" w:customStyle="1" w:styleId="222">
    <w:name w:val="正文文本缩进 2 字符"/>
    <w:link w:val="221"/>
    <w:qFormat/>
    <w:uiPriority w:val="0"/>
    <w:rPr>
      <w:rFonts w:ascii="Trebuchet MS" w:hAnsi="Trebuchet MS" w:eastAsia="Trebuchet MS" w:cs="Tahoma"/>
      <w:sz w:val="24"/>
      <w:szCs w:val="24"/>
    </w:rPr>
  </w:style>
  <w:style w:type="paragraph" w:customStyle="1" w:styleId="223">
    <w:name w:val="批注框文本1"/>
    <w:basedOn w:val="1"/>
    <w:link w:val="224"/>
    <w:qFormat/>
    <w:uiPriority w:val="0"/>
    <w:rPr>
      <w:rFonts w:ascii="Calibri Light" w:hAnsi="Calibri Light" w:cs="Tahoma"/>
      <w:sz w:val="18"/>
      <w:szCs w:val="18"/>
    </w:rPr>
  </w:style>
  <w:style w:type="character" w:customStyle="1" w:styleId="224">
    <w:name w:val="批注框文本 字符"/>
    <w:link w:val="223"/>
    <w:qFormat/>
    <w:uiPriority w:val="0"/>
    <w:rPr>
      <w:rFonts w:eastAsia="Trebuchet MS"/>
      <w:sz w:val="18"/>
      <w:szCs w:val="18"/>
    </w:rPr>
  </w:style>
  <w:style w:type="paragraph" w:customStyle="1" w:styleId="225">
    <w:name w:val="页脚1"/>
    <w:basedOn w:val="1"/>
    <w:link w:val="226"/>
    <w:unhideWhenUsed/>
    <w:qFormat/>
    <w:uiPriority w:val="99"/>
    <w:pPr>
      <w:tabs>
        <w:tab w:val="center" w:pos="4153"/>
        <w:tab w:val="right" w:pos="8306"/>
      </w:tabs>
      <w:jc w:val="left"/>
    </w:pPr>
    <w:rPr>
      <w:sz w:val="18"/>
      <w:szCs w:val="18"/>
    </w:rPr>
  </w:style>
  <w:style w:type="character" w:customStyle="1" w:styleId="226">
    <w:name w:val="页脚 字符"/>
    <w:link w:val="225"/>
    <w:qFormat/>
    <w:uiPriority w:val="99"/>
    <w:rPr>
      <w:sz w:val="18"/>
      <w:szCs w:val="18"/>
    </w:rPr>
  </w:style>
  <w:style w:type="paragraph" w:customStyle="1" w:styleId="227">
    <w:name w:val="页眉1"/>
    <w:basedOn w:val="1"/>
    <w:link w:val="228"/>
    <w:unhideWhenUsed/>
    <w:qFormat/>
    <w:uiPriority w:val="0"/>
    <w:pPr>
      <w:pBdr>
        <w:bottom w:val="single" w:color="000000" w:sz="6" w:space="1"/>
      </w:pBdr>
      <w:tabs>
        <w:tab w:val="center" w:pos="4153"/>
        <w:tab w:val="right" w:pos="8306"/>
      </w:tabs>
      <w:jc w:val="center"/>
    </w:pPr>
    <w:rPr>
      <w:sz w:val="18"/>
      <w:szCs w:val="18"/>
    </w:rPr>
  </w:style>
  <w:style w:type="character" w:customStyle="1" w:styleId="228">
    <w:name w:val="页眉 字符"/>
    <w:link w:val="227"/>
    <w:qFormat/>
    <w:uiPriority w:val="0"/>
    <w:rPr>
      <w:sz w:val="18"/>
      <w:szCs w:val="18"/>
    </w:rPr>
  </w:style>
  <w:style w:type="paragraph" w:customStyle="1" w:styleId="229">
    <w:name w:val="签名1"/>
    <w:basedOn w:val="1"/>
    <w:link w:val="230"/>
    <w:qFormat/>
    <w:uiPriority w:val="0"/>
    <w:pPr>
      <w:spacing w:after="600" w:line="312" w:lineRule="atLeast"/>
      <w:jc w:val="center"/>
    </w:pPr>
    <w:rPr>
      <w:rFonts w:eastAsia="楷体_GB2312"/>
      <w:sz w:val="24"/>
      <w:szCs w:val="20"/>
    </w:rPr>
  </w:style>
  <w:style w:type="character" w:customStyle="1" w:styleId="230">
    <w:name w:val="签名 字符"/>
    <w:link w:val="229"/>
    <w:qFormat/>
    <w:uiPriority w:val="0"/>
    <w:rPr>
      <w:rFonts w:ascii="Tahoma" w:hAnsi="Tahoma" w:eastAsia="楷体_GB2312" w:cs="Tahoma"/>
      <w:sz w:val="24"/>
      <w:szCs w:val="20"/>
    </w:rPr>
  </w:style>
  <w:style w:type="paragraph" w:customStyle="1" w:styleId="231">
    <w:name w:val="索引标题1"/>
    <w:basedOn w:val="1"/>
    <w:next w:val="232"/>
    <w:qFormat/>
    <w:uiPriority w:val="0"/>
    <w:rPr>
      <w:szCs w:val="20"/>
    </w:rPr>
  </w:style>
  <w:style w:type="paragraph" w:customStyle="1" w:styleId="232">
    <w:name w:val="索引 11"/>
    <w:basedOn w:val="1"/>
    <w:next w:val="1"/>
    <w:unhideWhenUsed/>
    <w:qFormat/>
    <w:uiPriority w:val="0"/>
  </w:style>
  <w:style w:type="paragraph" w:customStyle="1" w:styleId="233">
    <w:name w:val="副标题1"/>
    <w:basedOn w:val="1"/>
    <w:next w:val="1"/>
    <w:link w:val="234"/>
    <w:qFormat/>
    <w:uiPriority w:val="0"/>
    <w:pPr>
      <w:widowControl/>
      <w:spacing w:after="560"/>
      <w:jc w:val="center"/>
    </w:pPr>
    <w:rPr>
      <w:rFonts w:ascii="Cambria Math" w:hAnsi="Cambria Math" w:cs="Tahoma"/>
      <w:caps/>
      <w:spacing w:val="20"/>
      <w:sz w:val="18"/>
      <w:szCs w:val="18"/>
      <w:lang w:eastAsia="en-US" w:bidi="en-US"/>
    </w:rPr>
  </w:style>
  <w:style w:type="character" w:customStyle="1" w:styleId="234">
    <w:name w:val="副标题 字符"/>
    <w:link w:val="233"/>
    <w:qFormat/>
    <w:uiPriority w:val="0"/>
    <w:rPr>
      <w:rFonts w:ascii="Cambria Math" w:hAnsi="Cambria Math" w:eastAsia="Trebuchet MS"/>
      <w:caps/>
      <w:spacing w:val="20"/>
      <w:sz w:val="18"/>
      <w:szCs w:val="18"/>
      <w:lang w:eastAsia="en-US" w:bidi="en-US"/>
    </w:rPr>
  </w:style>
  <w:style w:type="paragraph" w:customStyle="1" w:styleId="235">
    <w:name w:val="脚注文本1"/>
    <w:basedOn w:val="1"/>
    <w:link w:val="236"/>
    <w:qFormat/>
    <w:uiPriority w:val="0"/>
    <w:pPr>
      <w:jc w:val="left"/>
    </w:pPr>
    <w:rPr>
      <w:sz w:val="18"/>
      <w:szCs w:val="18"/>
    </w:rPr>
  </w:style>
  <w:style w:type="character" w:customStyle="1" w:styleId="236">
    <w:name w:val="脚注文本 字符"/>
    <w:link w:val="235"/>
    <w:qFormat/>
    <w:uiPriority w:val="0"/>
    <w:rPr>
      <w:rFonts w:ascii="Tahoma" w:hAnsi="Tahoma" w:eastAsia="Trebuchet MS" w:cs="Tahoma"/>
      <w:sz w:val="18"/>
      <w:szCs w:val="18"/>
    </w:rPr>
  </w:style>
  <w:style w:type="paragraph" w:customStyle="1" w:styleId="237">
    <w:name w:val="正文文本缩进 31"/>
    <w:basedOn w:val="1"/>
    <w:link w:val="238"/>
    <w:qFormat/>
    <w:uiPriority w:val="0"/>
    <w:pPr>
      <w:spacing w:before="120" w:after="120" w:line="264" w:lineRule="auto"/>
      <w:ind w:left="480"/>
    </w:pPr>
    <w:rPr>
      <w:b/>
      <w:bCs/>
      <w:sz w:val="24"/>
      <w:szCs w:val="20"/>
    </w:rPr>
  </w:style>
  <w:style w:type="character" w:customStyle="1" w:styleId="238">
    <w:name w:val="正文文本缩进 3 字符"/>
    <w:link w:val="237"/>
    <w:qFormat/>
    <w:uiPriority w:val="0"/>
    <w:rPr>
      <w:rFonts w:ascii="Tahoma" w:hAnsi="Tahoma" w:eastAsia="Trebuchet MS" w:cs="Tahoma"/>
      <w:b/>
      <w:bCs/>
      <w:sz w:val="24"/>
      <w:szCs w:val="20"/>
    </w:rPr>
  </w:style>
  <w:style w:type="paragraph" w:customStyle="1" w:styleId="239">
    <w:name w:val="HTML 预设格式1"/>
    <w:basedOn w:val="1"/>
    <w:link w:val="24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Trebuchet MS" w:hAnsi="Trebuchet MS" w:cs="Trebuchet MS"/>
      <w:sz w:val="24"/>
    </w:rPr>
  </w:style>
  <w:style w:type="character" w:customStyle="1" w:styleId="240">
    <w:name w:val="HTML 预设格式 字符"/>
    <w:link w:val="239"/>
    <w:qFormat/>
    <w:uiPriority w:val="0"/>
    <w:rPr>
      <w:rFonts w:ascii="Trebuchet MS" w:hAnsi="Trebuchet MS" w:eastAsia="Trebuchet MS" w:cs="Trebuchet MS"/>
      <w:sz w:val="24"/>
      <w:szCs w:val="24"/>
    </w:rPr>
  </w:style>
  <w:style w:type="paragraph" w:customStyle="1" w:styleId="241">
    <w:name w:val="普通(网站)111"/>
    <w:basedOn w:val="1"/>
    <w:qFormat/>
    <w:uiPriority w:val="99"/>
    <w:pPr>
      <w:widowControl/>
      <w:spacing w:before="100" w:beforeAutospacing="1" w:after="100" w:afterAutospacing="1"/>
      <w:jc w:val="left"/>
    </w:pPr>
    <w:rPr>
      <w:rFonts w:ascii="Trebuchet MS" w:hAnsi="Trebuchet MS" w:cs="Trebuchet MS"/>
      <w:sz w:val="24"/>
    </w:rPr>
  </w:style>
  <w:style w:type="paragraph" w:customStyle="1" w:styleId="242">
    <w:name w:val="标题1"/>
    <w:basedOn w:val="1"/>
    <w:link w:val="243"/>
    <w:qFormat/>
    <w:uiPriority w:val="0"/>
    <w:pPr>
      <w:widowControl/>
      <w:spacing w:line="420" w:lineRule="exact"/>
      <w:jc w:val="center"/>
    </w:pPr>
    <w:rPr>
      <w:rFonts w:eastAsia="ˎ̥"/>
      <w:b/>
      <w:sz w:val="28"/>
      <w:szCs w:val="20"/>
      <w:lang w:val="en-GB"/>
    </w:rPr>
  </w:style>
  <w:style w:type="character" w:customStyle="1" w:styleId="243">
    <w:name w:val="标题 字符"/>
    <w:link w:val="242"/>
    <w:qFormat/>
    <w:uiPriority w:val="0"/>
    <w:rPr>
      <w:rFonts w:ascii="Tahoma" w:hAnsi="Tahoma" w:eastAsia="ˎ̥" w:cs="Tahoma"/>
      <w:b/>
      <w:sz w:val="28"/>
      <w:szCs w:val="20"/>
      <w:lang w:val="en-GB"/>
    </w:rPr>
  </w:style>
  <w:style w:type="paragraph" w:customStyle="1" w:styleId="244">
    <w:name w:val="批注主题1"/>
    <w:basedOn w:val="205"/>
    <w:next w:val="205"/>
    <w:link w:val="245"/>
    <w:qFormat/>
    <w:uiPriority w:val="0"/>
    <w:rPr>
      <w:b/>
      <w:bCs/>
      <w:szCs w:val="24"/>
    </w:rPr>
  </w:style>
  <w:style w:type="character" w:customStyle="1" w:styleId="245">
    <w:name w:val="批注主题 字符"/>
    <w:link w:val="244"/>
    <w:qFormat/>
    <w:uiPriority w:val="0"/>
    <w:rPr>
      <w:rFonts w:ascii="Tahoma" w:hAnsi="Tahoma" w:eastAsia="Trebuchet MS" w:cs="Tahoma"/>
      <w:b/>
      <w:bCs/>
      <w:szCs w:val="24"/>
    </w:rPr>
  </w:style>
  <w:style w:type="paragraph" w:customStyle="1" w:styleId="246">
    <w:name w:val="正文文本首行缩进"/>
    <w:basedOn w:val="211"/>
    <w:link w:val="247"/>
    <w:qFormat/>
    <w:uiPriority w:val="0"/>
    <w:pPr>
      <w:spacing w:after="120"/>
      <w:ind w:firstLine="420"/>
      <w:jc w:val="both"/>
    </w:pPr>
    <w:rPr>
      <w:rFonts w:ascii="Calibri Light" w:hAnsi="Calibri Light" w:eastAsia="Trebuchet MS" w:cs="Tahoma"/>
      <w:position w:val="0"/>
      <w:sz w:val="21"/>
      <w:szCs w:val="24"/>
    </w:rPr>
  </w:style>
  <w:style w:type="character" w:customStyle="1" w:styleId="247">
    <w:name w:val="正文文本首行缩进 字符"/>
    <w:link w:val="246"/>
    <w:qFormat/>
    <w:uiPriority w:val="0"/>
    <w:rPr>
      <w:rFonts w:eastAsia="Trebuchet MS"/>
      <w:szCs w:val="24"/>
    </w:rPr>
  </w:style>
  <w:style w:type="paragraph" w:customStyle="1" w:styleId="248">
    <w:name w:val="正文文本首行缩进 2"/>
    <w:basedOn w:val="213"/>
    <w:link w:val="477"/>
    <w:qFormat/>
    <w:uiPriority w:val="0"/>
    <w:pPr>
      <w:ind w:firstLine="420"/>
    </w:pPr>
    <w:rPr>
      <w:szCs w:val="24"/>
    </w:rPr>
  </w:style>
  <w:style w:type="table" w:customStyle="1" w:styleId="249">
    <w:name w:val="网格型1"/>
    <w:basedOn w:val="189"/>
    <w:qFormat/>
    <w:uiPriority w:val="59"/>
    <w:rPr>
      <w:rFonts w:ascii="Calibri Light" w:hAnsi="Calibri Light" w:eastAsia="Trebuchet MS" w:cs="Tahoma"/>
    </w:rPr>
  </w:style>
  <w:style w:type="character" w:customStyle="1" w:styleId="250">
    <w:name w:val="要点1"/>
    <w:link w:val="1"/>
    <w:qFormat/>
    <w:uiPriority w:val="22"/>
    <w:rPr>
      <w:b/>
      <w:bCs/>
    </w:rPr>
  </w:style>
  <w:style w:type="character" w:customStyle="1" w:styleId="251">
    <w:name w:val="页码1"/>
    <w:link w:val="1"/>
    <w:qFormat/>
    <w:uiPriority w:val="0"/>
  </w:style>
  <w:style w:type="character" w:customStyle="1" w:styleId="252">
    <w:name w:val="访问过的超链接"/>
    <w:link w:val="1"/>
    <w:qFormat/>
    <w:uiPriority w:val="0"/>
    <w:rPr>
      <w:color w:val="800080"/>
      <w:u w:val="single"/>
    </w:rPr>
  </w:style>
  <w:style w:type="character" w:customStyle="1" w:styleId="253">
    <w:name w:val="强调1"/>
    <w:link w:val="1"/>
    <w:qFormat/>
    <w:uiPriority w:val="20"/>
    <w:rPr>
      <w:i/>
      <w:iCs/>
    </w:rPr>
  </w:style>
  <w:style w:type="character" w:customStyle="1" w:styleId="254">
    <w:name w:val="行号1"/>
    <w:link w:val="1"/>
    <w:qFormat/>
    <w:uiPriority w:val="0"/>
  </w:style>
  <w:style w:type="character" w:customStyle="1" w:styleId="255">
    <w:name w:val="超链接11"/>
    <w:link w:val="1"/>
    <w:qFormat/>
    <w:uiPriority w:val="99"/>
    <w:rPr>
      <w:color w:val="0000FF"/>
      <w:u w:val="single"/>
    </w:rPr>
  </w:style>
  <w:style w:type="character" w:customStyle="1" w:styleId="256">
    <w:name w:val="批注引用1"/>
    <w:link w:val="1"/>
    <w:qFormat/>
    <w:uiPriority w:val="0"/>
    <w:rPr>
      <w:sz w:val="21"/>
      <w:szCs w:val="21"/>
    </w:rPr>
  </w:style>
  <w:style w:type="character" w:customStyle="1" w:styleId="257">
    <w:name w:val="脚注引用1"/>
    <w:link w:val="1"/>
    <w:qFormat/>
    <w:uiPriority w:val="0"/>
    <w:rPr>
      <w:vertAlign w:val="superscript"/>
    </w:rPr>
  </w:style>
  <w:style w:type="paragraph" w:customStyle="1" w:styleId="258">
    <w:name w:val="index heading1"/>
    <w:basedOn w:val="1"/>
    <w:next w:val="259"/>
    <w:qFormat/>
    <w:uiPriority w:val="0"/>
    <w:rPr>
      <w:rFonts w:ascii="Arial" w:hAnsi="Arial" w:cs="Arial"/>
      <w:b/>
      <w:bCs/>
    </w:rPr>
  </w:style>
  <w:style w:type="paragraph" w:customStyle="1" w:styleId="259">
    <w:name w:val="index 11"/>
    <w:basedOn w:val="1"/>
    <w:next w:val="1"/>
    <w:qFormat/>
    <w:uiPriority w:val="0"/>
  </w:style>
  <w:style w:type="character" w:customStyle="1" w:styleId="260">
    <w:name w:val="超链接1"/>
    <w:link w:val="1"/>
    <w:qFormat/>
    <w:uiPriority w:val="0"/>
    <w:rPr>
      <w:sz w:val="21"/>
      <w:szCs w:val="24"/>
      <w:lang w:val="en-US" w:eastAsia="zh-CN" w:bidi="ar-SA"/>
    </w:rPr>
  </w:style>
  <w:style w:type="paragraph" w:customStyle="1" w:styleId="261">
    <w:name w:val="正文文本缩进1"/>
    <w:basedOn w:val="1"/>
    <w:next w:val="262"/>
    <w:unhideWhenUsed/>
    <w:qFormat/>
    <w:uiPriority w:val="0"/>
    <w:pPr>
      <w:spacing w:after="120"/>
      <w:ind w:left="420"/>
    </w:pPr>
  </w:style>
  <w:style w:type="paragraph" w:customStyle="1" w:styleId="262">
    <w:name w:val="正文首行缩进 21"/>
    <w:basedOn w:val="261"/>
    <w:qFormat/>
    <w:uiPriority w:val="0"/>
    <w:pPr>
      <w:spacing w:after="0" w:line="360" w:lineRule="auto"/>
      <w:ind w:left="0" w:firstLine="420"/>
    </w:pPr>
    <w:rPr>
      <w:rFonts w:ascii="宋体" w:hAnsi="宋体"/>
      <w:sz w:val="20"/>
      <w:szCs w:val="20"/>
      <w:lang w:val="en-US" w:eastAsia="en-US"/>
    </w:rPr>
  </w:style>
  <w:style w:type="paragraph" w:customStyle="1" w:styleId="263">
    <w:name w:val="首行缩进"/>
    <w:qFormat/>
    <w:uiPriority w:val="0"/>
    <w:pPr>
      <w:widowControl w:val="0"/>
      <w:ind w:firstLine="480"/>
      <w:jc w:val="both"/>
    </w:pPr>
    <w:rPr>
      <w:rFonts w:hint="default" w:ascii="等线" w:hAnsi="等线" w:eastAsia="等线" w:cs="等线"/>
      <w:sz w:val="21"/>
      <w:lang w:val="zh-CN" w:eastAsia="zh-CN" w:bidi="ar-SA"/>
    </w:rPr>
  </w:style>
  <w:style w:type="character" w:customStyle="1" w:styleId="264">
    <w:name w:val="正文 + 宋体 Char"/>
    <w:link w:val="1"/>
    <w:qFormat/>
    <w:uiPriority w:val="0"/>
    <w:rPr>
      <w:rFonts w:eastAsia="Trebuchet MS"/>
      <w:sz w:val="21"/>
      <w:szCs w:val="24"/>
      <w:lang w:val="en-US" w:eastAsia="zh-CN" w:bidi="ar-SA"/>
    </w:rPr>
  </w:style>
  <w:style w:type="character" w:customStyle="1" w:styleId="265">
    <w:name w:val="样式 样式 样式 样式 内容 + 首行缩进:  2 字符18 + 首行缩进:  5.71 厘米 + 首行缩进:  8.04 厘米... Char"/>
    <w:link w:val="266"/>
    <w:qFormat/>
    <w:uiPriority w:val="0"/>
    <w:rPr>
      <w:rFonts w:ascii="ヒラギノ角ゴ Pro W3" w:hAnsi="ヒラギノ角ゴ Pro W3"/>
      <w:color w:val="404040"/>
      <w:sz w:val="24"/>
      <w:lang w:eastAsia="en-US" w:bidi="en-US"/>
    </w:rPr>
  </w:style>
  <w:style w:type="paragraph" w:customStyle="1" w:styleId="266">
    <w:name w:val="样式 样式 样式 样式 内容 + 首行缩进:  2 字符18 + 首行缩进:  5.71 厘米 + 首行缩进:  8.04 厘米..."/>
    <w:basedOn w:val="1"/>
    <w:link w:val="265"/>
    <w:qFormat/>
    <w:uiPriority w:val="0"/>
    <w:pPr>
      <w:widowControl/>
      <w:spacing w:line="360" w:lineRule="auto"/>
      <w:ind w:firstLine="480"/>
      <w:jc w:val="left"/>
    </w:pPr>
    <w:rPr>
      <w:rFonts w:ascii="ヒラギノ角ゴ Pro W3" w:hAnsi="ヒラギノ角ゴ Pro W3" w:eastAsia="Trebuchet MS" w:cs="Tahoma"/>
      <w:color w:val="404040"/>
      <w:sz w:val="24"/>
      <w:szCs w:val="22"/>
      <w:lang w:eastAsia="en-US" w:bidi="en-US"/>
    </w:rPr>
  </w:style>
  <w:style w:type="character" w:customStyle="1" w:styleId="267">
    <w:name w:val="style131"/>
    <w:link w:val="1"/>
    <w:qFormat/>
    <w:uiPriority w:val="0"/>
    <w:rPr>
      <w:rFonts w:cs="Tahoma"/>
      <w:sz w:val="18"/>
      <w:szCs w:val="18"/>
    </w:rPr>
  </w:style>
  <w:style w:type="character" w:customStyle="1" w:styleId="268">
    <w:name w:val="1page sec3 Char2"/>
    <w:link w:val="1"/>
    <w:qFormat/>
    <w:uiPriority w:val="0"/>
    <w:rPr>
      <w:rFonts w:eastAsia="Trebuchet MS"/>
      <w:sz w:val="18"/>
      <w:szCs w:val="18"/>
      <w:lang w:val="en-US" w:eastAsia="zh-CN" w:bidi="ar-SA"/>
    </w:rPr>
  </w:style>
  <w:style w:type="character" w:customStyle="1" w:styleId="269">
    <w:name w:val="华宇段落1 Char Char Char"/>
    <w:link w:val="1"/>
    <w:qFormat/>
    <w:uiPriority w:val="0"/>
    <w:rPr>
      <w:rFonts w:eastAsia="Trebuchet MS"/>
      <w:bCs/>
      <w:sz w:val="24"/>
      <w:szCs w:val="24"/>
      <w:lang w:val="en-US" w:eastAsia="zh-CN" w:bidi="ar-SA"/>
    </w:rPr>
  </w:style>
  <w:style w:type="character" w:customStyle="1" w:styleId="270">
    <w:name w:val="h Char Char"/>
    <w:link w:val="1"/>
    <w:qFormat/>
    <w:uiPriority w:val="0"/>
    <w:rPr>
      <w:sz w:val="18"/>
      <w:szCs w:val="18"/>
    </w:rPr>
  </w:style>
  <w:style w:type="character" w:customStyle="1" w:styleId="271">
    <w:name w:val="小四 段落 宋体 Char1"/>
    <w:link w:val="1"/>
    <w:qFormat/>
    <w:uiPriority w:val="0"/>
    <w:rPr>
      <w:rFonts w:eastAsia="Trebuchet MS"/>
      <w:sz w:val="24"/>
      <w:szCs w:val="24"/>
      <w:lang w:val="en-US" w:eastAsia="zh-CN" w:bidi="ar-SA"/>
    </w:rPr>
  </w:style>
  <w:style w:type="character" w:customStyle="1" w:styleId="272">
    <w:name w:val="正文缩进 Char1"/>
    <w:link w:val="273"/>
    <w:qFormat/>
    <w:uiPriority w:val="0"/>
    <w:rPr>
      <w:rFonts w:eastAsia="Trebuchet MS"/>
    </w:rPr>
  </w:style>
  <w:style w:type="paragraph" w:customStyle="1" w:styleId="273">
    <w:name w:val="正文缩进1"/>
    <w:basedOn w:val="1"/>
    <w:link w:val="272"/>
    <w:qFormat/>
    <w:uiPriority w:val="0"/>
    <w:pPr>
      <w:ind w:firstLine="420"/>
    </w:pPr>
    <w:rPr>
      <w:rFonts w:ascii="Calibri Light" w:hAnsi="Calibri Light" w:cs="Tahoma"/>
      <w:szCs w:val="22"/>
    </w:rPr>
  </w:style>
  <w:style w:type="character" w:customStyle="1" w:styleId="274">
    <w:name w:val="无间隔 Char"/>
    <w:link w:val="275"/>
    <w:qFormat/>
    <w:uiPriority w:val="0"/>
    <w:rPr>
      <w:rFonts w:ascii="Calibri Light" w:hAnsi="Calibri Light" w:eastAsia="Arial"/>
      <w:sz w:val="24"/>
    </w:rPr>
  </w:style>
  <w:style w:type="paragraph" w:customStyle="1" w:styleId="275">
    <w:name w:val="无间隔1"/>
    <w:link w:val="274"/>
    <w:qFormat/>
    <w:uiPriority w:val="0"/>
    <w:pPr>
      <w:widowControl w:val="0"/>
      <w:jc w:val="both"/>
    </w:pPr>
    <w:rPr>
      <w:rFonts w:hint="default" w:ascii="等线" w:hAnsi="等线" w:eastAsia="Arial" w:cs="等线"/>
      <w:sz w:val="24"/>
      <w:szCs w:val="22"/>
      <w:lang w:val="en-US" w:eastAsia="zh-CN" w:bidi="ar-SA"/>
    </w:rPr>
  </w:style>
  <w:style w:type="character" w:customStyle="1" w:styleId="276">
    <w:name w:val="引用 Char"/>
    <w:link w:val="277"/>
    <w:qFormat/>
    <w:uiPriority w:val="0"/>
    <w:rPr>
      <w:rFonts w:ascii="Cambria Math" w:hAnsi="Cambria Math" w:eastAsia="Trebuchet MS"/>
      <w:i/>
      <w:iCs/>
      <w:sz w:val="22"/>
      <w:lang w:eastAsia="en-US" w:bidi="en-US"/>
    </w:rPr>
  </w:style>
  <w:style w:type="paragraph" w:customStyle="1" w:styleId="277">
    <w:name w:val="引用1"/>
    <w:basedOn w:val="1"/>
    <w:next w:val="1"/>
    <w:link w:val="276"/>
    <w:qFormat/>
    <w:uiPriority w:val="0"/>
    <w:pPr>
      <w:widowControl/>
      <w:spacing w:after="200" w:line="252" w:lineRule="auto"/>
      <w:jc w:val="left"/>
    </w:pPr>
    <w:rPr>
      <w:rFonts w:ascii="Cambria Math" w:hAnsi="Cambria Math" w:cs="Tahoma"/>
      <w:i/>
      <w:iCs/>
      <w:sz w:val="22"/>
      <w:szCs w:val="22"/>
      <w:lang w:eastAsia="en-US" w:bidi="en-US"/>
    </w:rPr>
  </w:style>
  <w:style w:type="character" w:customStyle="1" w:styleId="278">
    <w:name w:val="特点 Char1"/>
    <w:link w:val="1"/>
    <w:qFormat/>
    <w:uiPriority w:val="0"/>
    <w:rPr>
      <w:rFonts w:eastAsia="Trebuchet MS"/>
      <w:sz w:val="21"/>
      <w:lang w:val="en-US" w:eastAsia="zh-CN" w:bidi="ar-SA"/>
    </w:rPr>
  </w:style>
  <w:style w:type="character" w:customStyle="1" w:styleId="279">
    <w:name w:val="Header Char"/>
    <w:link w:val="1"/>
    <w:qFormat/>
    <w:uiPriority w:val="0"/>
    <w:rPr>
      <w:rFonts w:cs="Tahoma"/>
      <w:sz w:val="18"/>
      <w:szCs w:val="18"/>
    </w:rPr>
  </w:style>
  <w:style w:type="character" w:customStyle="1" w:styleId="280">
    <w:name w:val="Heading 1 Char"/>
    <w:link w:val="1"/>
    <w:qFormat/>
    <w:uiPriority w:val="0"/>
    <w:rPr>
      <w:rFonts w:ascii="Tahoma" w:hAnsi="Tahoma" w:eastAsia="Trebuchet MS" w:cs="Tahoma"/>
      <w:b/>
      <w:bCs/>
      <w:sz w:val="44"/>
      <w:szCs w:val="44"/>
    </w:rPr>
  </w:style>
  <w:style w:type="character" w:customStyle="1" w:styleId="281">
    <w:name w:val="标题 211"/>
    <w:link w:val="1"/>
    <w:qFormat/>
    <w:uiPriority w:val="0"/>
    <w:rPr>
      <w:rFonts w:ascii="ˎ̥" w:eastAsia="ˎ̥"/>
      <w:b/>
      <w:sz w:val="30"/>
      <w:szCs w:val="30"/>
      <w:lang w:val="en-US" w:eastAsia="zh-CN" w:bidi="ar-SA"/>
    </w:rPr>
  </w:style>
  <w:style w:type="character" w:customStyle="1" w:styleId="282">
    <w:name w:val="Char Char2"/>
    <w:link w:val="1"/>
    <w:qFormat/>
    <w:uiPriority w:val="0"/>
    <w:rPr>
      <w:rFonts w:ascii="Trebuchet MS" w:hAnsi="华文楷体" w:eastAsia="Trebuchet MS"/>
      <w:sz w:val="21"/>
      <w:szCs w:val="21"/>
      <w:lang w:val="en-US" w:eastAsia="zh-CN" w:bidi="ar-SA"/>
    </w:rPr>
  </w:style>
  <w:style w:type="character" w:customStyle="1" w:styleId="283">
    <w:name w:val="1page sec3 Char"/>
    <w:link w:val="1"/>
    <w:qFormat/>
    <w:uiPriority w:val="0"/>
    <w:rPr>
      <w:rFonts w:eastAsia="Trebuchet MS"/>
      <w:sz w:val="18"/>
      <w:lang w:val="en-US" w:eastAsia="zh-CN"/>
    </w:rPr>
  </w:style>
  <w:style w:type="character" w:customStyle="1" w:styleId="284">
    <w:name w:val="normalfont1"/>
    <w:link w:val="1"/>
    <w:qFormat/>
    <w:uiPriority w:val="0"/>
    <w:rPr>
      <w:rFonts w:ascii="仿宋_GB2312" w:hAnsi="仿宋_GB2312"/>
      <w:sz w:val="18"/>
      <w:szCs w:val="18"/>
      <w:u w:val="none"/>
    </w:rPr>
  </w:style>
  <w:style w:type="character" w:customStyle="1" w:styleId="285">
    <w:name w:val="sect1.2.3 Char1"/>
    <w:link w:val="1"/>
    <w:qFormat/>
    <w:uiPriority w:val="0"/>
    <w:rPr>
      <w:rFonts w:eastAsia="Trebuchet MS"/>
      <w:b/>
      <w:bCs/>
      <w:sz w:val="32"/>
      <w:szCs w:val="32"/>
      <w:lang w:val="en-US" w:eastAsia="zh-CN" w:bidi="ar-SA"/>
    </w:rPr>
  </w:style>
  <w:style w:type="character" w:customStyle="1" w:styleId="286">
    <w:name w:val="样式 宋体 小四"/>
    <w:link w:val="1"/>
    <w:qFormat/>
    <w:uiPriority w:val="0"/>
    <w:rPr>
      <w:rFonts w:ascii="Trebuchet MS" w:hAnsi="Trebuchet MS"/>
      <w:sz w:val="24"/>
    </w:rPr>
  </w:style>
  <w:style w:type="character" w:customStyle="1" w:styleId="287">
    <w:name w:val="页脚 Char"/>
    <w:link w:val="1"/>
    <w:qFormat/>
    <w:uiPriority w:val="99"/>
    <w:rPr>
      <w:lang w:eastAsia="zh-CN"/>
    </w:rPr>
  </w:style>
  <w:style w:type="character" w:customStyle="1" w:styleId="288">
    <w:name w:val="样式 首行缩进:  2 字符 Char Char"/>
    <w:link w:val="289"/>
    <w:qFormat/>
    <w:uiPriority w:val="0"/>
    <w:rPr>
      <w:rFonts w:eastAsia="Trebuchet MS" w:cs="Trebuchet MS"/>
      <w:sz w:val="24"/>
    </w:rPr>
  </w:style>
  <w:style w:type="paragraph" w:customStyle="1" w:styleId="289">
    <w:name w:val="样式 首行缩进:  2 字符"/>
    <w:basedOn w:val="1"/>
    <w:link w:val="288"/>
    <w:qFormat/>
    <w:uiPriority w:val="0"/>
    <w:pPr>
      <w:spacing w:line="360" w:lineRule="auto"/>
      <w:ind w:firstLine="480"/>
    </w:pPr>
    <w:rPr>
      <w:rFonts w:ascii="Calibri Light" w:hAnsi="Calibri Light" w:cs="Trebuchet MS"/>
      <w:sz w:val="24"/>
      <w:szCs w:val="22"/>
    </w:rPr>
  </w:style>
  <w:style w:type="character" w:customStyle="1" w:styleId="290">
    <w:name w:val="textcontents"/>
    <w:link w:val="1"/>
    <w:qFormat/>
    <w:uiPriority w:val="0"/>
  </w:style>
  <w:style w:type="character" w:customStyle="1" w:styleId="291">
    <w:name w:val="明显引用 Char"/>
    <w:link w:val="292"/>
    <w:qFormat/>
    <w:uiPriority w:val="0"/>
    <w:rPr>
      <w:rFonts w:ascii="Cambria Math" w:hAnsi="Cambria Math" w:eastAsia="Trebuchet MS"/>
      <w:caps/>
      <w:color w:val="622423"/>
      <w:spacing w:val="5"/>
      <w:lang w:eastAsia="en-US" w:bidi="en-US"/>
    </w:rPr>
  </w:style>
  <w:style w:type="paragraph" w:customStyle="1" w:styleId="292">
    <w:name w:val="明显引用1"/>
    <w:basedOn w:val="1"/>
    <w:next w:val="1"/>
    <w:link w:val="291"/>
    <w:qFormat/>
    <w:uiPriority w:val="0"/>
    <w:pPr>
      <w:widowControl/>
      <w:pBdr>
        <w:top w:val="single" w:color="632423" w:sz="2" w:space="10"/>
        <w:bottom w:val="single" w:color="632423" w:sz="2" w:space="4"/>
      </w:pBdr>
      <w:spacing w:before="160" w:after="200" w:line="300" w:lineRule="auto"/>
      <w:ind w:left="1440" w:right="1440"/>
      <w:jc w:val="left"/>
    </w:pPr>
    <w:rPr>
      <w:rFonts w:ascii="Cambria Math" w:hAnsi="Cambria Math" w:cs="Tahoma"/>
      <w:caps/>
      <w:color w:val="622423"/>
      <w:spacing w:val="5"/>
      <w:szCs w:val="22"/>
      <w:lang w:eastAsia="en-US" w:bidi="en-US"/>
    </w:rPr>
  </w:style>
  <w:style w:type="character" w:customStyle="1" w:styleId="293">
    <w:name w:val="ih151"/>
    <w:link w:val="1"/>
    <w:qFormat/>
    <w:uiPriority w:val="0"/>
    <w:rPr>
      <w:color w:val="666666"/>
      <w:sz w:val="18"/>
      <w:szCs w:val="18"/>
      <w:u w:val="none"/>
    </w:rPr>
  </w:style>
  <w:style w:type="character" w:customStyle="1" w:styleId="294">
    <w:name w:val="content_lineheight1"/>
    <w:link w:val="1"/>
    <w:qFormat/>
    <w:uiPriority w:val="0"/>
  </w:style>
  <w:style w:type="character" w:customStyle="1" w:styleId="295">
    <w:name w:val="标题 3 Char1"/>
    <w:link w:val="1"/>
    <w:qFormat/>
    <w:uiPriority w:val="0"/>
    <w:rPr>
      <w:rFonts w:eastAsia="Trebuchet MS"/>
      <w:b/>
      <w:bCs/>
      <w:sz w:val="32"/>
      <w:szCs w:val="32"/>
      <w:lang w:val="en-US" w:eastAsia="zh-CN" w:bidi="ar-SA"/>
    </w:rPr>
  </w:style>
  <w:style w:type="character" w:customStyle="1" w:styleId="296">
    <w:name w:val="apple-style-span"/>
    <w:link w:val="1"/>
    <w:qFormat/>
    <w:uiPriority w:val="0"/>
  </w:style>
  <w:style w:type="character" w:customStyle="1" w:styleId="297">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eastAsia="Trebuchet MS"/>
      <w:b/>
      <w:bCs/>
      <w:sz w:val="32"/>
      <w:szCs w:val="32"/>
      <w:lang w:val="en-US" w:eastAsia="zh-CN" w:bidi="ar-SA"/>
    </w:rPr>
  </w:style>
  <w:style w:type="character" w:customStyle="1" w:styleId="298">
    <w:name w:val="样式 宋体"/>
    <w:link w:val="1"/>
    <w:qFormat/>
    <w:uiPriority w:val="0"/>
    <w:rPr>
      <w:rFonts w:ascii="Trebuchet MS" w:hAnsi="Trebuchet MS" w:eastAsia="Trebuchet MS"/>
      <w:sz w:val="24"/>
      <w:szCs w:val="24"/>
    </w:rPr>
  </w:style>
  <w:style w:type="character" w:customStyle="1" w:styleId="299">
    <w:name w:val="Title1 Char"/>
    <w:link w:val="1"/>
    <w:qFormat/>
    <w:uiPriority w:val="0"/>
    <w:rPr>
      <w:rFonts w:eastAsia="Trebuchet MS"/>
      <w:b/>
      <w:bCs/>
      <w:sz w:val="44"/>
      <w:szCs w:val="44"/>
      <w:lang w:val="en-US" w:eastAsia="zh-CN" w:bidi="ar-SA"/>
    </w:rPr>
  </w:style>
  <w:style w:type="character" w:customStyle="1" w:styleId="300">
    <w:name w:val="1page sec3 Char1"/>
    <w:link w:val="1"/>
    <w:qFormat/>
    <w:uiPriority w:val="0"/>
    <w:rPr>
      <w:sz w:val="18"/>
      <w:szCs w:val="18"/>
    </w:rPr>
  </w:style>
  <w:style w:type="character" w:customStyle="1" w:styleId="301">
    <w:name w:val="小四 段落 宋体 Char Char Char1"/>
    <w:link w:val="1"/>
    <w:qFormat/>
    <w:uiPriority w:val="0"/>
    <w:rPr>
      <w:rFonts w:ascii="Trebuchet MS" w:hAnsi="Trebuchet MS" w:eastAsia="Trebuchet MS"/>
      <w:sz w:val="24"/>
      <w:szCs w:val="24"/>
      <w:lang w:val="en-US" w:eastAsia="zh-CN" w:bidi="ar-SA"/>
    </w:rPr>
  </w:style>
  <w:style w:type="character" w:customStyle="1" w:styleId="302">
    <w:name w:val="小四 段落 宋体 Char Char Char Char Char Char Char Char"/>
    <w:link w:val="1"/>
    <w:qFormat/>
    <w:uiPriority w:val="0"/>
    <w:rPr>
      <w:rFonts w:eastAsia="Trebuchet MS"/>
      <w:sz w:val="24"/>
      <w:szCs w:val="24"/>
      <w:lang w:val="en-US" w:eastAsia="zh-CN" w:bidi="ar-SA"/>
    </w:rPr>
  </w:style>
  <w:style w:type="character" w:customStyle="1" w:styleId="303">
    <w:name w:val="Heading 2 Char"/>
    <w:link w:val="1"/>
    <w:qFormat/>
    <w:uiPriority w:val="0"/>
    <w:rPr>
      <w:rFonts w:ascii="方正大黑简体" w:hAnsi="方正大黑简体" w:eastAsia="Trebuchet MS" w:cs="Tahoma"/>
      <w:b/>
      <w:bCs/>
      <w:sz w:val="32"/>
      <w:szCs w:val="32"/>
    </w:rPr>
  </w:style>
  <w:style w:type="character" w:customStyle="1" w:styleId="304">
    <w:name w:val="小四 段落 宋体 Char Char Char Char1"/>
    <w:link w:val="1"/>
    <w:qFormat/>
    <w:uiPriority w:val="0"/>
    <w:rPr>
      <w:rFonts w:eastAsia="Trebuchet MS"/>
      <w:sz w:val="24"/>
      <w:szCs w:val="24"/>
      <w:lang w:val="en-US" w:eastAsia="zh-CN" w:bidi="ar-SA"/>
    </w:rPr>
  </w:style>
  <w:style w:type="character" w:customStyle="1" w:styleId="305">
    <w:name w:val="标题 3 Char"/>
    <w:link w:val="1"/>
    <w:qFormat/>
    <w:uiPriority w:val="0"/>
    <w:rPr>
      <w:rFonts w:eastAsia="楷体_GB2312"/>
      <w:b/>
      <w:bCs/>
      <w:sz w:val="28"/>
      <w:szCs w:val="32"/>
      <w:lang w:val="en-US" w:eastAsia="zh-CN" w:bidi="ar-SA"/>
    </w:rPr>
  </w:style>
  <w:style w:type="character" w:customStyle="1" w:styleId="306">
    <w:name w:val="标准小四 Char Char"/>
    <w:link w:val="1"/>
    <w:qFormat/>
    <w:uiPriority w:val="0"/>
    <w:rPr>
      <w:rFonts w:ascii="Microsoft YaHei UI" w:hAnsi="Microsoft YaHei UI" w:eastAsia="Trebuchet MS"/>
      <w:sz w:val="24"/>
      <w:szCs w:val="21"/>
      <w:lang w:val="en-US" w:eastAsia="zh-CN" w:bidi="ar-SA"/>
    </w:rPr>
  </w:style>
  <w:style w:type="character" w:customStyle="1" w:styleId="307">
    <w:name w:val="subtitle1"/>
    <w:link w:val="1"/>
    <w:qFormat/>
    <w:uiPriority w:val="0"/>
    <w:rPr>
      <w:rFonts w:ascii="Courier New" w:hAnsi="Courier New"/>
      <w:b/>
      <w:bCs/>
      <w:color w:val="666666"/>
      <w:sz w:val="18"/>
      <w:szCs w:val="18"/>
    </w:rPr>
  </w:style>
  <w:style w:type="character" w:customStyle="1" w:styleId="308">
    <w:name w:val="标准文本 Char Char"/>
    <w:link w:val="1"/>
    <w:qFormat/>
    <w:uiPriority w:val="0"/>
    <w:rPr>
      <w:rFonts w:eastAsia="Trebuchet MS" w:cs="Trebuchet MS"/>
      <w:sz w:val="24"/>
      <w:szCs w:val="24"/>
      <w:lang w:val="en-US" w:eastAsia="zh-CN" w:bidi="ar-SA"/>
    </w:rPr>
  </w:style>
  <w:style w:type="character" w:customStyle="1" w:styleId="309">
    <w:name w:val="3zw"/>
    <w:link w:val="1"/>
    <w:qFormat/>
    <w:uiPriority w:val="0"/>
  </w:style>
  <w:style w:type="character" w:customStyle="1" w:styleId="310">
    <w:name w:val="t1"/>
    <w:link w:val="1"/>
    <w:qFormat/>
    <w:uiPriority w:val="0"/>
  </w:style>
  <w:style w:type="character" w:customStyle="1" w:styleId="311">
    <w:name w:val="H2 Char1"/>
    <w:link w:val="1"/>
    <w:qFormat/>
    <w:uiPriority w:val="0"/>
    <w:rPr>
      <w:rFonts w:ascii="Microsoft YaHei UI" w:hAnsi="Microsoft YaHei UI" w:eastAsia="ˎ̥"/>
      <w:b/>
      <w:bCs/>
      <w:sz w:val="32"/>
      <w:szCs w:val="32"/>
      <w:lang w:val="en-US" w:eastAsia="zh-CN" w:bidi="ar-SA"/>
    </w:rPr>
  </w:style>
  <w:style w:type="character" w:customStyle="1" w:styleId="312">
    <w:name w:val="2nd level Char"/>
    <w:link w:val="1"/>
    <w:qFormat/>
    <w:uiPriority w:val="0"/>
    <w:rPr>
      <w:rFonts w:ascii="Microsoft YaHei UI" w:hAnsi="Microsoft YaHei UI" w:eastAsia="ˎ̥"/>
      <w:b/>
      <w:bCs/>
      <w:sz w:val="32"/>
      <w:szCs w:val="32"/>
      <w:lang w:val="en-US" w:eastAsia="zh-CN" w:bidi="ar-SA"/>
    </w:rPr>
  </w:style>
  <w:style w:type="character" w:customStyle="1" w:styleId="313">
    <w:name w:val="Footer Char"/>
    <w:link w:val="1"/>
    <w:qFormat/>
    <w:uiPriority w:val="0"/>
    <w:rPr>
      <w:rFonts w:cs="Tahoma"/>
      <w:sz w:val="18"/>
      <w:szCs w:val="18"/>
    </w:rPr>
  </w:style>
  <w:style w:type="character" w:customStyle="1" w:styleId="314">
    <w:name w:val="副标题 字符1"/>
    <w:link w:val="1"/>
    <w:uiPriority w:val="0"/>
    <w:rPr>
      <w:rFonts w:ascii="Cambria Math" w:hAnsi="Cambria Math"/>
      <w:sz w:val="24"/>
      <w:szCs w:val="24"/>
    </w:rPr>
  </w:style>
  <w:style w:type="paragraph" w:customStyle="1" w:styleId="315">
    <w:name w:val="p16"/>
    <w:basedOn w:val="1"/>
    <w:qFormat/>
    <w:uiPriority w:val="0"/>
    <w:pPr>
      <w:widowControl/>
      <w:ind w:left="720"/>
      <w:jc w:val="left"/>
    </w:pPr>
    <w:rPr>
      <w:rFonts w:ascii="Microsoft YaHei UI" w:hAnsi="Microsoft YaHei UI" w:cs="Microsoft YaHei UI"/>
      <w:sz w:val="24"/>
    </w:rPr>
  </w:style>
  <w:style w:type="paragraph" w:customStyle="1" w:styleId="316">
    <w:name w:val="Char Char Char Char Char Char Char Char Char Char Char Char Char Char Char Char Char Char Char Char Char Char Char"/>
    <w:basedOn w:val="1"/>
    <w:qFormat/>
    <w:uiPriority w:val="0"/>
    <w:rPr>
      <w:rFonts w:ascii="Cambria" w:hAnsi="Cambria"/>
      <w:sz w:val="24"/>
      <w:szCs w:val="20"/>
    </w:rPr>
  </w:style>
  <w:style w:type="character" w:customStyle="1" w:styleId="317">
    <w:name w:val="批注框文本 字符1"/>
    <w:link w:val="1"/>
    <w:semiHidden/>
    <w:qFormat/>
    <w:uiPriority w:val="99"/>
    <w:rPr>
      <w:rFonts w:ascii="Tahoma" w:hAnsi="Tahoma" w:eastAsia="Trebuchet MS" w:cs="Tahoma"/>
      <w:sz w:val="18"/>
      <w:szCs w:val="18"/>
    </w:rPr>
  </w:style>
  <w:style w:type="paragraph" w:customStyle="1" w:styleId="318">
    <w:name w:val="段"/>
    <w:qFormat/>
    <w:uiPriority w:val="0"/>
    <w:pPr>
      <w:ind w:firstLine="200"/>
      <w:jc w:val="both"/>
    </w:pPr>
    <w:rPr>
      <w:rFonts w:hint="default" w:ascii="Trebuchet MS" w:hAnsi="等线" w:eastAsia="等线" w:cs="等线"/>
      <w:sz w:val="21"/>
      <w:lang w:val="en-US" w:eastAsia="zh-CN" w:bidi="ar-SA"/>
    </w:rPr>
  </w:style>
  <w:style w:type="paragraph" w:customStyle="1" w:styleId="319">
    <w:name w:val="华宇段落1 Char"/>
    <w:basedOn w:val="1"/>
    <w:qFormat/>
    <w:uiPriority w:val="0"/>
    <w:pPr>
      <w:spacing w:line="360" w:lineRule="auto"/>
      <w:ind w:firstLine="200"/>
    </w:pPr>
    <w:rPr>
      <w:bCs/>
      <w:sz w:val="24"/>
    </w:rPr>
  </w:style>
  <w:style w:type="paragraph" w:customStyle="1" w:styleId="320">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character" w:customStyle="1" w:styleId="321">
    <w:name w:val="文档结构图 字符1"/>
    <w:link w:val="1"/>
    <w:semiHidden/>
    <w:uiPriority w:val="99"/>
    <w:rPr>
      <w:rFonts w:ascii="Trebuchet MS" w:hAnsi="Tahoma" w:eastAsia="Trebuchet MS" w:cs="Tahoma"/>
      <w:sz w:val="18"/>
      <w:szCs w:val="18"/>
    </w:rPr>
  </w:style>
  <w:style w:type="paragraph" w:customStyle="1" w:styleId="322">
    <w:name w:val="样式 样式 首行缩进:  2 字符 + 行距: 1.5 倍行距"/>
    <w:basedOn w:val="1"/>
    <w:qFormat/>
    <w:uiPriority w:val="0"/>
    <w:pPr>
      <w:spacing w:line="360" w:lineRule="auto"/>
      <w:ind w:firstLine="470"/>
    </w:pPr>
    <w:rPr>
      <w:sz w:val="24"/>
      <w:szCs w:val="20"/>
    </w:rPr>
  </w:style>
  <w:style w:type="paragraph" w:customStyle="1" w:styleId="323">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color w:val="000000"/>
      <w:sz w:val="20"/>
      <w:szCs w:val="20"/>
    </w:rPr>
  </w:style>
  <w:style w:type="paragraph" w:customStyle="1" w:styleId="324">
    <w:name w:val="1"/>
    <w:basedOn w:val="1"/>
    <w:next w:val="2"/>
    <w:qFormat/>
    <w:uiPriority w:val="0"/>
    <w:pPr>
      <w:spacing w:line="360" w:lineRule="auto"/>
    </w:pPr>
    <w:rPr>
      <w:rFonts w:eastAsia="楷体_GB2312"/>
      <w:sz w:val="24"/>
    </w:rPr>
  </w:style>
  <w:style w:type="paragraph" w:customStyle="1" w:styleId="325">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sz w:val="20"/>
      <w:szCs w:val="20"/>
    </w:rPr>
  </w:style>
  <w:style w:type="paragraph" w:customStyle="1" w:styleId="326">
    <w:name w:val="xl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327">
    <w:name w:val="z-窗体底端1"/>
    <w:basedOn w:val="1"/>
    <w:next w:val="1"/>
    <w:qFormat/>
    <w:uiPriority w:val="0"/>
    <w:pPr>
      <w:widowControl/>
      <w:pBdr>
        <w:top w:val="single" w:color="000000" w:sz="6" w:space="1"/>
      </w:pBdr>
      <w:jc w:val="center"/>
    </w:pPr>
    <w:rPr>
      <w:rFonts w:ascii="Microsoft YaHei UI" w:hAnsi="Microsoft YaHei UI" w:cs="Microsoft YaHei UI"/>
      <w:vanish/>
      <w:sz w:val="16"/>
      <w:szCs w:val="16"/>
    </w:rPr>
  </w:style>
  <w:style w:type="character" w:customStyle="1" w:styleId="328">
    <w:name w:val="副标题 字符2"/>
    <w:link w:val="1"/>
    <w:qFormat/>
    <w:uiPriority w:val="11"/>
    <w:rPr>
      <w:b/>
      <w:bCs/>
      <w:sz w:val="32"/>
      <w:szCs w:val="32"/>
    </w:rPr>
  </w:style>
  <w:style w:type="paragraph" w:customStyle="1" w:styleId="329">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color w:val="000000"/>
      <w:sz w:val="20"/>
      <w:szCs w:val="20"/>
    </w:rPr>
  </w:style>
  <w:style w:type="paragraph" w:customStyle="1" w:styleId="330">
    <w:name w:val="正文 + 宋体"/>
    <w:basedOn w:val="1"/>
    <w:qFormat/>
    <w:uiPriority w:val="0"/>
    <w:pPr>
      <w:spacing w:line="360" w:lineRule="auto"/>
      <w:ind w:firstLine="420"/>
    </w:pPr>
  </w:style>
  <w:style w:type="paragraph" w:customStyle="1" w:styleId="331">
    <w:name w:val="正文格式"/>
    <w:basedOn w:val="1"/>
    <w:qFormat/>
    <w:uiPriority w:val="0"/>
    <w:pPr>
      <w:widowControl/>
      <w:spacing w:line="360" w:lineRule="auto"/>
      <w:ind w:left="178" w:right="44" w:hanging="178"/>
      <w:jc w:val="left"/>
    </w:pPr>
    <w:rPr>
      <w:rFonts w:ascii="Trebuchet MS" w:hAnsi="Trebuchet MS"/>
      <w:bCs/>
      <w:szCs w:val="21"/>
    </w:rPr>
  </w:style>
  <w:style w:type="character" w:customStyle="1" w:styleId="332">
    <w:name w:val="批注文字 字符1"/>
    <w:link w:val="1"/>
    <w:semiHidden/>
    <w:uiPriority w:val="99"/>
    <w:rPr>
      <w:rFonts w:ascii="Tahoma" w:hAnsi="Tahoma" w:eastAsia="Trebuchet MS" w:cs="Tahoma"/>
      <w:szCs w:val="24"/>
    </w:rPr>
  </w:style>
  <w:style w:type="paragraph" w:customStyle="1" w:styleId="333">
    <w:name w:val="flName"/>
    <w:basedOn w:val="334"/>
    <w:qFormat/>
    <w:uiPriority w:val="0"/>
    <w:pPr>
      <w:spacing w:before="0" w:line="113" w:lineRule="atLeast"/>
    </w:pPr>
  </w:style>
  <w:style w:type="paragraph" w:customStyle="1" w:styleId="334">
    <w:name w:val="flNote"/>
    <w:basedOn w:val="1"/>
    <w:qFormat/>
    <w:uiPriority w:val="0"/>
    <w:pPr>
      <w:spacing w:before="567" w:line="360" w:lineRule="atLeast"/>
      <w:jc w:val="center"/>
    </w:pPr>
    <w:rPr>
      <w:rFonts w:eastAsia="ˎ̥"/>
      <w:b/>
      <w:sz w:val="24"/>
      <w:szCs w:val="20"/>
    </w:rPr>
  </w:style>
  <w:style w:type="paragraph" w:customStyle="1" w:styleId="335">
    <w:name w:val="标题 4宋体"/>
    <w:basedOn w:val="182"/>
    <w:qFormat/>
    <w:uiPriority w:val="0"/>
    <w:pPr>
      <w:keepLines w:val="0"/>
      <w:spacing w:before="0" w:after="0" w:line="360" w:lineRule="auto"/>
      <w:jc w:val="left"/>
    </w:pPr>
    <w:rPr>
      <w:rFonts w:ascii="Trebuchet MS" w:hAnsi="Trebuchet MS" w:eastAsia="Trebuchet MS"/>
      <w:bCs/>
      <w:color w:val="000000"/>
      <w:sz w:val="24"/>
    </w:rPr>
  </w:style>
  <w:style w:type="paragraph" w:customStyle="1" w:styleId="336">
    <w:name w:val="Char Char Char Char Char Char Char Char Char Char Char"/>
    <w:basedOn w:val="1"/>
    <w:qFormat/>
    <w:uiPriority w:val="0"/>
    <w:rPr>
      <w:rFonts w:ascii="Cambria" w:hAnsi="Cambria"/>
      <w:sz w:val="24"/>
      <w:szCs w:val="20"/>
    </w:rPr>
  </w:style>
  <w:style w:type="paragraph" w:customStyle="1" w:styleId="337">
    <w:name w:val="xl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18"/>
      <w:szCs w:val="18"/>
    </w:rPr>
  </w:style>
  <w:style w:type="character" w:customStyle="1" w:styleId="338">
    <w:name w:val="纯文本 字符1"/>
    <w:link w:val="1"/>
    <w:semiHidden/>
    <w:qFormat/>
    <w:uiPriority w:val="99"/>
    <w:rPr>
      <w:rFonts w:ascii="Trebuchet MS" w:hAnsi="华文楷体" w:cs="华文楷体"/>
      <w:szCs w:val="24"/>
    </w:rPr>
  </w:style>
  <w:style w:type="paragraph" w:customStyle="1" w:styleId="339">
    <w:name w:val="font7"/>
    <w:basedOn w:val="1"/>
    <w:qFormat/>
    <w:uiPriority w:val="0"/>
    <w:pPr>
      <w:widowControl/>
      <w:spacing w:before="100" w:beforeAutospacing="1" w:after="100" w:afterAutospacing="1"/>
      <w:jc w:val="left"/>
    </w:pPr>
    <w:rPr>
      <w:rFonts w:hint="eastAsia" w:ascii="Trebuchet MS" w:hAnsi="Trebuchet MS"/>
      <w:b/>
      <w:bCs/>
      <w:sz w:val="24"/>
    </w:rPr>
  </w:style>
  <w:style w:type="paragraph" w:customStyle="1" w:styleId="340">
    <w:name w:val="Default"/>
    <w:qFormat/>
    <w:uiPriority w:val="0"/>
    <w:pPr>
      <w:widowControl w:val="0"/>
    </w:pPr>
    <w:rPr>
      <w:rFonts w:hint="default" w:ascii="Trebuchet MS" w:hAnsi="等线" w:eastAsia="等线" w:cs="Trebuchet MS"/>
      <w:color w:val="000000"/>
      <w:sz w:val="24"/>
      <w:szCs w:val="24"/>
      <w:lang w:val="en-US" w:eastAsia="zh-CN" w:bidi="ar-SA"/>
    </w:rPr>
  </w:style>
  <w:style w:type="paragraph" w:customStyle="1" w:styleId="341">
    <w:name w:val="章标题"/>
    <w:next w:val="318"/>
    <w:qFormat/>
    <w:uiPriority w:val="0"/>
    <w:pPr>
      <w:jc w:val="both"/>
      <w:outlineLvl w:val="1"/>
    </w:pPr>
    <w:rPr>
      <w:rFonts w:hint="default" w:ascii="等线" w:hAnsi="等线" w:eastAsia="ˎ̥" w:cs="等线"/>
      <w:sz w:val="21"/>
      <w:lang w:val="en-US" w:eastAsia="zh-CN" w:bidi="ar-SA"/>
    </w:rPr>
  </w:style>
  <w:style w:type="paragraph" w:customStyle="1" w:styleId="342">
    <w:name w:val="样式2"/>
    <w:basedOn w:val="1"/>
    <w:qFormat/>
    <w:uiPriority w:val="0"/>
    <w:pPr>
      <w:spacing w:line="360" w:lineRule="auto"/>
      <w:ind w:left="200"/>
    </w:pPr>
    <w:rPr>
      <w:rFonts w:ascii="Trebuchet MS" w:hAnsi="Trebuchet MS"/>
      <w:b/>
      <w:sz w:val="24"/>
    </w:rPr>
  </w:style>
  <w:style w:type="paragraph" w:customStyle="1" w:styleId="343">
    <w:name w:val="表头_5"/>
    <w:basedOn w:val="1"/>
    <w:qFormat/>
    <w:uiPriority w:val="0"/>
    <w:pPr>
      <w:spacing w:line="360" w:lineRule="auto"/>
    </w:pPr>
    <w:rPr>
      <w:b/>
      <w:bCs/>
      <w:sz w:val="28"/>
      <w:szCs w:val="21"/>
    </w:rPr>
  </w:style>
  <w:style w:type="paragraph" w:customStyle="1" w:styleId="344">
    <w:name w:val="符号与编号 Char Char"/>
    <w:basedOn w:val="1"/>
    <w:qFormat/>
    <w:uiPriority w:val="0"/>
    <w:pPr>
      <w:tabs>
        <w:tab w:val="left" w:pos="840"/>
      </w:tabs>
      <w:spacing w:line="400" w:lineRule="atLeast"/>
      <w:ind w:left="839" w:hanging="419"/>
    </w:pPr>
    <w:rPr>
      <w:sz w:val="24"/>
    </w:rPr>
  </w:style>
  <w:style w:type="paragraph" w:customStyle="1" w:styleId="345">
    <w:name w:val="段落"/>
    <w:qFormat/>
    <w:uiPriority w:val="0"/>
    <w:pPr>
      <w:spacing w:before="120" w:after="120" w:line="360" w:lineRule="auto"/>
      <w:ind w:firstLine="480"/>
      <w:jc w:val="both"/>
    </w:pPr>
    <w:rPr>
      <w:rFonts w:hint="default" w:ascii="等线" w:hAnsi="等线" w:eastAsia="楷体_GB2312" w:cs="等线"/>
      <w:sz w:val="24"/>
      <w:szCs w:val="24"/>
      <w:lang w:val="en-US" w:eastAsia="zh-CN" w:bidi="ar-SA"/>
    </w:rPr>
  </w:style>
  <w:style w:type="paragraph" w:customStyle="1" w:styleId="346">
    <w:name w:val="标准小四"/>
    <w:basedOn w:val="1"/>
    <w:qFormat/>
    <w:uiPriority w:val="0"/>
    <w:pPr>
      <w:spacing w:line="360" w:lineRule="auto"/>
      <w:ind w:firstLine="480"/>
    </w:pPr>
    <w:rPr>
      <w:rFonts w:ascii="Microsoft YaHei UI" w:hAnsi="Microsoft YaHei UI"/>
      <w:sz w:val="24"/>
      <w:szCs w:val="21"/>
    </w:rPr>
  </w:style>
  <w:style w:type="paragraph" w:customStyle="1" w:styleId="347">
    <w:name w:val="标题1，章节第一层"/>
    <w:basedOn w:val="331"/>
    <w:next w:val="331"/>
    <w:qFormat/>
    <w:uiPriority w:val="0"/>
    <w:pPr>
      <w:tabs>
        <w:tab w:val="left" w:pos="693"/>
      </w:tabs>
      <w:ind w:left="272" w:hanging="272"/>
      <w:jc w:val="center"/>
      <w:outlineLvl w:val="0"/>
    </w:pPr>
    <w:rPr>
      <w:rFonts w:eastAsia="ˎ̥"/>
      <w:color w:val="000000"/>
      <w:sz w:val="32"/>
      <w:szCs w:val="24"/>
      <w:lang w:val="zh-CN"/>
    </w:rPr>
  </w:style>
  <w:style w:type="paragraph" w:customStyle="1" w:styleId="348">
    <w:name w:val="样式 样式 标题 3H3sect1.2.3BOD 0Heading 3 - oldh3l3CTLevel 3 Head... +..."/>
    <w:basedOn w:val="1"/>
    <w:qFormat/>
    <w:uiPriority w:val="0"/>
    <w:pPr>
      <w:keepNext/>
      <w:keepLines/>
      <w:jc w:val="left"/>
      <w:outlineLvl w:val="2"/>
    </w:pPr>
    <w:rPr>
      <w:rFonts w:cs="Trebuchet MS"/>
      <w:b/>
      <w:bCs/>
      <w:sz w:val="24"/>
      <w:szCs w:val="20"/>
    </w:rPr>
  </w:style>
  <w:style w:type="character" w:customStyle="1" w:styleId="349">
    <w:name w:val="正文首行缩进 字符1"/>
    <w:link w:val="1"/>
    <w:semiHidden/>
    <w:qFormat/>
    <w:uiPriority w:val="99"/>
    <w:rPr>
      <w:rFonts w:ascii="华文细黑" w:hAnsi="Tahoma" w:eastAsia="华文细黑" w:cs="Tahoma"/>
      <w:position w:val="6"/>
      <w:sz w:val="30"/>
      <w:szCs w:val="20"/>
    </w:rPr>
  </w:style>
  <w:style w:type="paragraph" w:customStyle="1" w:styleId="350">
    <w:name w:val="部分1"/>
    <w:basedOn w:val="1"/>
    <w:qFormat/>
    <w:uiPriority w:val="0"/>
    <w:pPr>
      <w:keepNext/>
      <w:pageBreakBefore/>
      <w:tabs>
        <w:tab w:val="left" w:pos="360"/>
      </w:tabs>
      <w:spacing w:line="360" w:lineRule="auto"/>
      <w:jc w:val="center"/>
      <w:outlineLvl w:val="0"/>
    </w:pPr>
    <w:rPr>
      <w:rFonts w:eastAsia="ˎ̥"/>
      <w:b/>
      <w:sz w:val="36"/>
      <w:szCs w:val="20"/>
    </w:rPr>
  </w:style>
  <w:style w:type="paragraph" w:customStyle="1" w:styleId="351">
    <w:name w:val="Char Char Char Char Char Char Char Char Char Char Char Char Char Char"/>
    <w:basedOn w:val="1"/>
    <w:qFormat/>
    <w:uiPriority w:val="0"/>
    <w:rPr>
      <w:rFonts w:ascii="Cambria" w:hAnsi="Cambria"/>
      <w:sz w:val="24"/>
      <w:szCs w:val="20"/>
    </w:rPr>
  </w:style>
  <w:style w:type="paragraph" w:customStyle="1" w:styleId="352">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353">
    <w:name w:val="小四 段落 宋体 Char"/>
    <w:basedOn w:val="201"/>
    <w:qFormat/>
    <w:uiPriority w:val="0"/>
    <w:pPr>
      <w:tabs>
        <w:tab w:val="clear" w:pos="2952"/>
      </w:tabs>
      <w:ind w:left="0" w:right="-33" w:firstLine="600"/>
      <w:jc w:val="left"/>
    </w:pPr>
    <w:rPr>
      <w:rFonts w:ascii="楷体_GB2312" w:eastAsia="楷体_GB2312"/>
      <w:sz w:val="30"/>
      <w:szCs w:val="30"/>
    </w:rPr>
  </w:style>
  <w:style w:type="paragraph" w:customStyle="1" w:styleId="354">
    <w:name w:val="正文 首行缩进:  2 字符 Char"/>
    <w:basedOn w:val="1"/>
    <w:qFormat/>
    <w:uiPriority w:val="0"/>
    <w:pPr>
      <w:spacing w:line="360" w:lineRule="auto"/>
      <w:ind w:firstLine="480"/>
    </w:pPr>
    <w:rPr>
      <w:rFonts w:cs="Trebuchet MS"/>
      <w:sz w:val="24"/>
      <w:szCs w:val="20"/>
    </w:rPr>
  </w:style>
  <w:style w:type="paragraph" w:customStyle="1" w:styleId="355">
    <w:name w:val="7"/>
    <w:basedOn w:val="1"/>
    <w:next w:val="241"/>
    <w:qFormat/>
    <w:uiPriority w:val="0"/>
    <w:pPr>
      <w:widowControl/>
      <w:spacing w:before="100" w:beforeAutospacing="1" w:after="100" w:afterAutospacing="1"/>
      <w:jc w:val="left"/>
    </w:pPr>
    <w:rPr>
      <w:rFonts w:ascii="Trebuchet MS" w:hAnsi="Trebuchet MS"/>
      <w:sz w:val="24"/>
      <w:szCs w:val="20"/>
    </w:rPr>
  </w:style>
  <w:style w:type="paragraph" w:customStyle="1" w:styleId="356">
    <w:name w:val="列出段落1"/>
    <w:basedOn w:val="1"/>
    <w:qFormat/>
    <w:uiPriority w:val="0"/>
    <w:pPr>
      <w:ind w:firstLine="420"/>
    </w:pPr>
    <w:rPr>
      <w:rFonts w:ascii="Calibri Light" w:hAnsi="Calibri Light"/>
      <w:szCs w:val="22"/>
    </w:rPr>
  </w:style>
  <w:style w:type="paragraph" w:customStyle="1" w:styleId="357">
    <w:name w:val="Char Char Char Char"/>
    <w:basedOn w:val="1"/>
    <w:qFormat/>
    <w:uiPriority w:val="0"/>
    <w:pPr>
      <w:widowControl/>
      <w:spacing w:after="160" w:line="240" w:lineRule="exact"/>
      <w:jc w:val="center"/>
    </w:pPr>
    <w:rPr>
      <w:rFonts w:ascii="ˎ̥" w:hAnsi="Georgia" w:eastAsia="ˎ̥"/>
      <w:sz w:val="32"/>
      <w:szCs w:val="32"/>
      <w:lang w:eastAsia="en-US"/>
    </w:rPr>
  </w:style>
  <w:style w:type="paragraph" w:customStyle="1" w:styleId="358">
    <w:name w:val="项目符号，二级"/>
    <w:basedOn w:val="331"/>
    <w:next w:val="331"/>
    <w:qFormat/>
    <w:uiPriority w:val="0"/>
    <w:pPr>
      <w:tabs>
        <w:tab w:val="left" w:pos="1211"/>
        <w:tab w:val="left" w:pos="1337"/>
      </w:tabs>
      <w:ind w:left="1337" w:right="-27" w:firstLine="480"/>
    </w:pPr>
    <w:rPr>
      <w:bCs w:val="0"/>
      <w:color w:val="000000"/>
      <w:sz w:val="24"/>
      <w:szCs w:val="24"/>
    </w:rPr>
  </w:style>
  <w:style w:type="paragraph" w:customStyle="1" w:styleId="359">
    <w:name w:val="项目符号，一级"/>
    <w:basedOn w:val="331"/>
    <w:next w:val="331"/>
    <w:qFormat/>
    <w:uiPriority w:val="0"/>
    <w:pPr>
      <w:tabs>
        <w:tab w:val="left" w:pos="1320"/>
      </w:tabs>
      <w:spacing w:line="240" w:lineRule="atLeast"/>
      <w:ind w:left="376" w:firstLine="0"/>
    </w:pPr>
    <w:rPr>
      <w:bCs w:val="0"/>
      <w:color w:val="000000"/>
      <w:szCs w:val="24"/>
    </w:rPr>
  </w:style>
  <w:style w:type="paragraph" w:customStyle="1" w:styleId="360">
    <w:name w:val="样式1"/>
    <w:basedOn w:val="1"/>
    <w:qFormat/>
    <w:uiPriority w:val="0"/>
    <w:pPr>
      <w:spacing w:line="300" w:lineRule="auto"/>
      <w:ind w:firstLine="480"/>
    </w:pPr>
    <w:rPr>
      <w:sz w:val="24"/>
    </w:rPr>
  </w:style>
  <w:style w:type="paragraph" w:customStyle="1" w:styleId="361">
    <w:name w:val="样式 标题 2第一章 标题 2Heading 2 HiddenHeading 2 CCBSheading 2H2h2..."/>
    <w:basedOn w:val="180"/>
    <w:qFormat/>
    <w:uiPriority w:val="0"/>
    <w:pPr>
      <w:keepLines w:val="0"/>
      <w:tabs>
        <w:tab w:val="left" w:pos="360"/>
      </w:tabs>
      <w:spacing w:line="240" w:lineRule="auto"/>
      <w:ind w:left="360" w:hanging="360"/>
      <w:jc w:val="center"/>
    </w:pPr>
    <w:rPr>
      <w:rFonts w:ascii="ˎ̥" w:hAnsi="Tahoma" w:cs="Trebuchet MS"/>
      <w:b w:val="0"/>
      <w:bCs w:val="0"/>
      <w:szCs w:val="20"/>
    </w:rPr>
  </w:style>
  <w:style w:type="paragraph" w:customStyle="1" w:styleId="362">
    <w:name w:val="Char Char Char Char Char Char Char"/>
    <w:basedOn w:val="1"/>
    <w:qFormat/>
    <w:uiPriority w:val="0"/>
    <w:rPr>
      <w:rFonts w:ascii="Cambria" w:hAnsi="Cambria"/>
      <w:sz w:val="24"/>
      <w:szCs w:val="20"/>
    </w:rPr>
  </w:style>
  <w:style w:type="paragraph" w:customStyle="1" w:styleId="363">
    <w:name w:val="默认段落字体 Para Char Char Char Char Char Char Char"/>
    <w:basedOn w:val="1"/>
    <w:qFormat/>
    <w:uiPriority w:val="0"/>
    <w:rPr>
      <w:rFonts w:ascii="Cambria" w:hAnsi="Cambria"/>
      <w:sz w:val="24"/>
      <w:szCs w:val="20"/>
    </w:rPr>
  </w:style>
  <w:style w:type="paragraph" w:customStyle="1" w:styleId="36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ˎ̥" w:hAnsi="Microsoft YaHei UI" w:eastAsia="ˎ̥"/>
      <w:b/>
      <w:bCs/>
      <w:sz w:val="24"/>
      <w:szCs w:val="20"/>
    </w:rPr>
  </w:style>
  <w:style w:type="paragraph" w:customStyle="1" w:styleId="365">
    <w:name w:val="Char Char Char Char Char Char Char Char Char Char Char Char Char Char Char Char Char Char Char Char Char"/>
    <w:basedOn w:val="1"/>
    <w:qFormat/>
    <w:uiPriority w:val="0"/>
    <w:rPr>
      <w:rFonts w:ascii="Cambria" w:hAnsi="Cambria"/>
      <w:sz w:val="24"/>
      <w:szCs w:val="20"/>
    </w:rPr>
  </w:style>
  <w:style w:type="paragraph" w:customStyle="1" w:styleId="366">
    <w:name w:val="正文_0_0"/>
    <w:qFormat/>
    <w:uiPriority w:val="0"/>
    <w:pPr>
      <w:widowControl w:val="0"/>
      <w:jc w:val="both"/>
    </w:pPr>
    <w:rPr>
      <w:rFonts w:hint="default" w:ascii="等线" w:hAnsi="等线" w:eastAsia="等线" w:cs="等线"/>
      <w:sz w:val="21"/>
      <w:szCs w:val="24"/>
      <w:lang w:val="en-US" w:eastAsia="zh-CN" w:bidi="ar-SA"/>
    </w:rPr>
  </w:style>
  <w:style w:type="paragraph" w:customStyle="1" w:styleId="367">
    <w:name w:val="正文 居中"/>
    <w:basedOn w:val="1"/>
    <w:qFormat/>
    <w:uiPriority w:val="0"/>
    <w:pPr>
      <w:spacing w:line="360" w:lineRule="auto"/>
      <w:jc w:val="center"/>
    </w:pPr>
    <w:rPr>
      <w:sz w:val="24"/>
      <w:szCs w:val="20"/>
    </w:rPr>
  </w:style>
  <w:style w:type="paragraph" w:customStyle="1" w:styleId="368">
    <w:name w:val="Char Char Char1"/>
    <w:basedOn w:val="1"/>
    <w:qFormat/>
    <w:uiPriority w:val="0"/>
    <w:rPr>
      <w:rFonts w:ascii="Cambria" w:hAnsi="Cambria"/>
      <w:sz w:val="24"/>
      <w:szCs w:val="20"/>
    </w:rPr>
  </w:style>
  <w:style w:type="paragraph" w:customStyle="1" w:styleId="369">
    <w:name w:val="宏图高科"/>
    <w:basedOn w:val="1"/>
    <w:qFormat/>
    <w:uiPriority w:val="0"/>
    <w:pPr>
      <w:spacing w:line="360" w:lineRule="auto"/>
      <w:ind w:firstLine="480"/>
    </w:pPr>
    <w:rPr>
      <w:rFonts w:eastAsia="微软雅黑"/>
      <w:sz w:val="24"/>
      <w:szCs w:val="20"/>
    </w:rPr>
  </w:style>
  <w:style w:type="paragraph" w:customStyle="1" w:styleId="370">
    <w:name w:val="小四 段落 宋体 Char Char Char Char"/>
    <w:basedOn w:val="1"/>
    <w:qFormat/>
    <w:uiPriority w:val="0"/>
    <w:pPr>
      <w:spacing w:line="360" w:lineRule="auto"/>
      <w:ind w:right="-33" w:firstLine="480"/>
      <w:jc w:val="left"/>
    </w:pPr>
    <w:rPr>
      <w:sz w:val="24"/>
    </w:rPr>
  </w:style>
  <w:style w:type="paragraph" w:customStyle="1" w:styleId="371">
    <w:name w:val="tableau"/>
    <w:basedOn w:val="1"/>
    <w:qFormat/>
    <w:uiPriority w:val="0"/>
    <w:pPr>
      <w:widowControl/>
      <w:spacing w:before="20" w:after="20"/>
      <w:jc w:val="center"/>
    </w:pPr>
    <w:rPr>
      <w:rFonts w:ascii="Microsoft YaHei UI" w:hAnsi="Microsoft YaHei UI"/>
      <w:sz w:val="16"/>
      <w:szCs w:val="20"/>
      <w:lang w:val="en-GB" w:eastAsia="en-US"/>
    </w:rPr>
  </w:style>
  <w:style w:type="paragraph" w:customStyle="1" w:styleId="372">
    <w:name w:val="content_lineheight"/>
    <w:basedOn w:val="1"/>
    <w:qFormat/>
    <w:uiPriority w:val="0"/>
    <w:pPr>
      <w:widowControl/>
      <w:spacing w:before="100" w:beforeAutospacing="1" w:after="100" w:afterAutospacing="1"/>
      <w:jc w:val="left"/>
    </w:pPr>
    <w:rPr>
      <w:rFonts w:ascii="Trebuchet MS" w:hAnsi="Trebuchet MS"/>
      <w:sz w:val="24"/>
    </w:rPr>
  </w:style>
  <w:style w:type="paragraph" w:customStyle="1" w:styleId="373">
    <w:name w:val="样式 样式 首行缩进:  0.74 厘米 行距: 1.5 倍行距 + 段后: 0.5 行"/>
    <w:basedOn w:val="1"/>
    <w:qFormat/>
    <w:uiPriority w:val="0"/>
    <w:pPr>
      <w:spacing w:line="360" w:lineRule="auto"/>
      <w:ind w:firstLine="420"/>
    </w:pPr>
    <w:rPr>
      <w:rFonts w:ascii="微软雅黑" w:eastAsia="微软雅黑"/>
      <w:bCs/>
      <w:sz w:val="24"/>
      <w:szCs w:val="20"/>
    </w:rPr>
  </w:style>
  <w:style w:type="paragraph" w:customStyle="1" w:styleId="374">
    <w:name w:val="Char Char Char Char Char Char Char Char Char1"/>
    <w:basedOn w:val="1"/>
    <w:qFormat/>
    <w:uiPriority w:val="0"/>
    <w:pPr>
      <w:tabs>
        <w:tab w:val="left" w:pos="360"/>
      </w:tabs>
      <w:ind w:left="360" w:hanging="360"/>
    </w:pPr>
    <w:rPr>
      <w:sz w:val="24"/>
    </w:rPr>
  </w:style>
  <w:style w:type="paragraph" w:customStyle="1" w:styleId="375">
    <w:name w:val="项目符号：一级"/>
    <w:basedOn w:val="331"/>
    <w:next w:val="331"/>
    <w:qFormat/>
    <w:uiPriority w:val="0"/>
    <w:pPr>
      <w:ind w:right="-134"/>
    </w:pPr>
    <w:rPr>
      <w:bCs w:val="0"/>
    </w:rPr>
  </w:style>
  <w:style w:type="paragraph" w:customStyle="1" w:styleId="376">
    <w:name w:val="正文缩进2字符"/>
    <w:basedOn w:val="1"/>
    <w:qFormat/>
    <w:uiPriority w:val="0"/>
    <w:pPr>
      <w:spacing w:line="300" w:lineRule="auto"/>
      <w:ind w:firstLine="200"/>
    </w:pPr>
    <w:rPr>
      <w:rFonts w:ascii="楷体_GB2312" w:eastAsia="楷体_GB2312"/>
      <w:sz w:val="32"/>
      <w:szCs w:val="32"/>
    </w:rPr>
  </w:style>
  <w:style w:type="paragraph" w:customStyle="1" w:styleId="377">
    <w:name w:val="font6"/>
    <w:basedOn w:val="1"/>
    <w:qFormat/>
    <w:uiPriority w:val="0"/>
    <w:pPr>
      <w:widowControl/>
      <w:spacing w:before="100" w:beforeAutospacing="1" w:after="100" w:afterAutospacing="1"/>
      <w:jc w:val="left"/>
    </w:pPr>
    <w:rPr>
      <w:szCs w:val="21"/>
    </w:rPr>
  </w:style>
  <w:style w:type="paragraph" w:customStyle="1" w:styleId="378">
    <w:name w:val="标题3，章节第三层"/>
    <w:basedOn w:val="1"/>
    <w:next w:val="331"/>
    <w:qFormat/>
    <w:uiPriority w:val="0"/>
    <w:pPr>
      <w:spacing w:before="78" w:line="300" w:lineRule="auto"/>
      <w:outlineLvl w:val="2"/>
    </w:pPr>
    <w:rPr>
      <w:rFonts w:ascii="Microsoft YaHei UI" w:hAnsi="Microsoft YaHei UI" w:eastAsia="ˎ̥"/>
      <w:sz w:val="30"/>
    </w:rPr>
  </w:style>
  <w:style w:type="paragraph" w:customStyle="1" w:styleId="379">
    <w:name w:val="表蕊"/>
    <w:basedOn w:val="1"/>
    <w:qFormat/>
    <w:uiPriority w:val="0"/>
    <w:pPr>
      <w:spacing w:line="320" w:lineRule="atLeast"/>
      <w:jc w:val="left"/>
    </w:pPr>
    <w:rPr>
      <w:rFonts w:eastAsia="微软雅黑"/>
      <w:spacing w:val="-10"/>
      <w:szCs w:val="20"/>
    </w:rPr>
  </w:style>
  <w:style w:type="paragraph" w:customStyle="1" w:styleId="380">
    <w:name w:val="公文正文"/>
    <w:basedOn w:val="213"/>
    <w:qFormat/>
    <w:uiPriority w:val="0"/>
    <w:pPr>
      <w:spacing w:after="0"/>
      <w:ind w:left="0" w:firstLine="200"/>
    </w:pPr>
    <w:rPr>
      <w:rFonts w:ascii="楷体_GB2312" w:hAnsi="Trebuchet MS" w:eastAsia="楷体_GB2312"/>
      <w:sz w:val="28"/>
    </w:rPr>
  </w:style>
  <w:style w:type="paragraph" w:customStyle="1" w:styleId="381">
    <w:name w:val="样式4 Char"/>
    <w:basedOn w:val="1"/>
    <w:qFormat/>
    <w:uiPriority w:val="0"/>
    <w:pPr>
      <w:widowControl/>
      <w:spacing w:line="360" w:lineRule="auto"/>
      <w:ind w:firstLine="480"/>
      <w:jc w:val="left"/>
    </w:pPr>
    <w:rPr>
      <w:rFonts w:cs="Trebuchet MS"/>
      <w:color w:val="000000"/>
      <w:sz w:val="24"/>
    </w:rPr>
  </w:style>
  <w:style w:type="paragraph" w:customStyle="1" w:styleId="382">
    <w:name w:val="zw"/>
    <w:basedOn w:val="1"/>
    <w:qFormat/>
    <w:uiPriority w:val="0"/>
    <w:pPr>
      <w:widowControl/>
      <w:spacing w:line="360" w:lineRule="auto"/>
      <w:ind w:firstLine="480"/>
      <w:jc w:val="left"/>
    </w:pPr>
    <w:rPr>
      <w:rFonts w:ascii="Trebuchet MS" w:hAnsi="Trebuchet MS"/>
      <w:bCs/>
      <w:sz w:val="24"/>
      <w:szCs w:val="20"/>
    </w:rPr>
  </w:style>
  <w:style w:type="paragraph" w:customStyle="1" w:styleId="383">
    <w:name w:val="retrait3"/>
    <w:basedOn w:val="1"/>
    <w:qFormat/>
    <w:uiPriority w:val="0"/>
    <w:pPr>
      <w:widowControl/>
      <w:spacing w:before="20" w:after="20"/>
      <w:ind w:left="851"/>
      <w:jc w:val="left"/>
    </w:pPr>
    <w:rPr>
      <w:rFonts w:ascii="Microsoft YaHei UI" w:hAnsi="Microsoft YaHei UI"/>
      <w:sz w:val="24"/>
      <w:szCs w:val="20"/>
      <w:lang w:val="en-GB"/>
    </w:rPr>
  </w:style>
  <w:style w:type="paragraph" w:customStyle="1" w:styleId="384">
    <w:name w:val="Char2"/>
    <w:basedOn w:val="203"/>
    <w:qFormat/>
    <w:uiPriority w:val="0"/>
    <w:rPr>
      <w:rFonts w:ascii="Cambria" w:hAnsi="Cambria"/>
      <w:sz w:val="24"/>
    </w:rPr>
  </w:style>
  <w:style w:type="paragraph" w:customStyle="1" w:styleId="385">
    <w:name w:val="方案正文"/>
    <w:basedOn w:val="1"/>
    <w:qFormat/>
    <w:uiPriority w:val="0"/>
    <w:pPr>
      <w:spacing w:before="156" w:line="360" w:lineRule="auto"/>
      <w:ind w:firstLine="359"/>
      <w:jc w:val="left"/>
    </w:pPr>
    <w:rPr>
      <w:rFonts w:ascii="Microsoft YaHei UI" w:hAnsi="Microsoft YaHei UI" w:cs="Trebuchet MS"/>
      <w:sz w:val="24"/>
      <w:szCs w:val="21"/>
    </w:rPr>
  </w:style>
  <w:style w:type="paragraph" w:customStyle="1" w:styleId="386">
    <w:name w:val="标题4，章节第四层"/>
    <w:basedOn w:val="1"/>
    <w:next w:val="1"/>
    <w:qFormat/>
    <w:uiPriority w:val="0"/>
    <w:pPr>
      <w:tabs>
        <w:tab w:val="left" w:pos="0"/>
      </w:tabs>
      <w:spacing w:line="360" w:lineRule="auto"/>
      <w:outlineLvl w:val="3"/>
    </w:pPr>
    <w:rPr>
      <w:rFonts w:ascii="Trebuchet MS" w:hAnsi="Trebuchet MS"/>
      <w:b/>
      <w:sz w:val="24"/>
    </w:rPr>
  </w:style>
  <w:style w:type="paragraph" w:customStyle="1" w:styleId="387">
    <w:name w:val="小四 段落 宋体 Char Char Char"/>
    <w:basedOn w:val="201"/>
    <w:qFormat/>
    <w:uiPriority w:val="0"/>
    <w:pPr>
      <w:tabs>
        <w:tab w:val="clear" w:pos="2952"/>
      </w:tabs>
      <w:spacing w:line="360" w:lineRule="auto"/>
      <w:ind w:left="0" w:right="-33" w:firstLine="545"/>
      <w:jc w:val="left"/>
    </w:pPr>
    <w:rPr>
      <w:sz w:val="24"/>
    </w:rPr>
  </w:style>
  <w:style w:type="paragraph" w:customStyle="1" w:styleId="388">
    <w:name w:val="文档正文"/>
    <w:basedOn w:val="1"/>
    <w:qFormat/>
    <w:uiPriority w:val="0"/>
    <w:pPr>
      <w:spacing w:line="360" w:lineRule="auto"/>
    </w:pPr>
    <w:rPr>
      <w:rFonts w:ascii="Trebuchet MS" w:hAnsi="Trebuchet MS"/>
      <w:b/>
      <w:bCs/>
    </w:rPr>
  </w:style>
  <w:style w:type="paragraph" w:customStyle="1" w:styleId="389">
    <w:name w:val="丁华标题2"/>
    <w:basedOn w:val="180"/>
    <w:next w:val="390"/>
    <w:qFormat/>
    <w:uiPriority w:val="0"/>
    <w:pPr>
      <w:tabs>
        <w:tab w:val="left" w:pos="567"/>
      </w:tabs>
      <w:spacing w:before="120" w:after="120"/>
      <w:ind w:left="567" w:hanging="567"/>
      <w:jc w:val="left"/>
    </w:pPr>
    <w:rPr>
      <w:color w:val="000000"/>
      <w:sz w:val="28"/>
      <w:szCs w:val="20"/>
    </w:rPr>
  </w:style>
  <w:style w:type="paragraph" w:customStyle="1" w:styleId="390">
    <w:name w:val="丁华正文"/>
    <w:basedOn w:val="237"/>
    <w:qFormat/>
    <w:uiPriority w:val="0"/>
    <w:pPr>
      <w:spacing w:before="0" w:after="0" w:line="360" w:lineRule="auto"/>
      <w:ind w:left="0" w:firstLine="510"/>
    </w:pPr>
    <w:rPr>
      <w:rFonts w:ascii="Trebuchet MS" w:hAnsi="Microsoft YaHei UI"/>
      <w:bCs w:val="0"/>
      <w:color w:val="000000"/>
      <w:szCs w:val="16"/>
    </w:rPr>
  </w:style>
  <w:style w:type="paragraph" w:customStyle="1" w:styleId="391">
    <w:name w:val="表格内容"/>
    <w:basedOn w:val="1"/>
    <w:qFormat/>
    <w:uiPriority w:val="0"/>
    <w:pPr>
      <w:widowControl/>
      <w:spacing w:before="60" w:line="300" w:lineRule="auto"/>
      <w:jc w:val="center"/>
    </w:pPr>
    <w:rPr>
      <w:szCs w:val="20"/>
    </w:rPr>
  </w:style>
  <w:style w:type="paragraph" w:customStyle="1" w:styleId="392">
    <w:name w:val="样式 小四 段前: 3 磅 段后: 3 磅 行距: 1.5 倍行距"/>
    <w:basedOn w:val="1"/>
    <w:qFormat/>
    <w:uiPriority w:val="0"/>
    <w:pPr>
      <w:spacing w:before="60" w:after="60" w:line="360" w:lineRule="auto"/>
      <w:ind w:firstLine="540"/>
    </w:pPr>
    <w:rPr>
      <w:rFonts w:cs="Trebuchet MS"/>
      <w:sz w:val="24"/>
    </w:rPr>
  </w:style>
  <w:style w:type="paragraph" w:customStyle="1" w:styleId="393">
    <w:name w:val="正文表标题"/>
    <w:next w:val="318"/>
    <w:qFormat/>
    <w:uiPriority w:val="0"/>
    <w:pPr>
      <w:tabs>
        <w:tab w:val="left" w:pos="900"/>
      </w:tabs>
      <w:ind w:left="900" w:hanging="420"/>
      <w:jc w:val="center"/>
    </w:pPr>
    <w:rPr>
      <w:rFonts w:hint="default" w:ascii="ˎ̥" w:hAnsi="等线" w:eastAsia="ˎ̥" w:cs="等线"/>
      <w:sz w:val="21"/>
      <w:lang w:val="en-US" w:eastAsia="zh-CN" w:bidi="ar-SA"/>
    </w:rPr>
  </w:style>
  <w:style w:type="paragraph" w:customStyle="1" w:styleId="394">
    <w:name w:val="列出段落11"/>
    <w:basedOn w:val="1"/>
    <w:qFormat/>
    <w:uiPriority w:val="0"/>
    <w:pPr>
      <w:widowControl/>
      <w:ind w:left="720"/>
      <w:contextualSpacing/>
      <w:jc w:val="left"/>
    </w:pPr>
    <w:rPr>
      <w:rFonts w:ascii="Microsoft YaHei UI" w:hAnsi="Microsoft YaHei UI" w:eastAsia="ˎ̥"/>
      <w:sz w:val="24"/>
      <w:lang w:eastAsia="en-US"/>
    </w:rPr>
  </w:style>
  <w:style w:type="paragraph" w:customStyle="1" w:styleId="395">
    <w:name w:val="正文--表格内正文"/>
    <w:basedOn w:val="1"/>
    <w:qFormat/>
    <w:uiPriority w:val="0"/>
    <w:pPr>
      <w:spacing w:line="0" w:lineRule="atLeast"/>
      <w:jc w:val="center"/>
    </w:pPr>
    <w:rPr>
      <w:rFonts w:ascii="Trebuchet MS" w:hAnsi="Trebuchet MS"/>
      <w:color w:val="000000"/>
      <w:sz w:val="24"/>
    </w:rPr>
  </w:style>
  <w:style w:type="paragraph" w:customStyle="1" w:styleId="396">
    <w:name w:val="公文标题 2"/>
    <w:basedOn w:val="1"/>
    <w:next w:val="380"/>
    <w:qFormat/>
    <w:uiPriority w:val="0"/>
    <w:pPr>
      <w:outlineLvl w:val="1"/>
    </w:pPr>
    <w:rPr>
      <w:rFonts w:ascii="楷体_GB2312" w:hAnsi="Trebuchet MS" w:eastAsia="楷体_GB2312"/>
      <w:sz w:val="28"/>
    </w:rPr>
  </w:style>
  <w:style w:type="paragraph" w:customStyle="1" w:styleId="397">
    <w:name w:val="标题5，章节第五层"/>
    <w:basedOn w:val="1"/>
    <w:next w:val="1"/>
    <w:qFormat/>
    <w:uiPriority w:val="0"/>
    <w:pPr>
      <w:tabs>
        <w:tab w:val="left" w:pos="1050"/>
        <w:tab w:val="left" w:pos="2100"/>
      </w:tabs>
      <w:spacing w:before="78"/>
      <w:ind w:left="2100" w:hanging="420"/>
      <w:outlineLvl w:val="4"/>
    </w:pPr>
    <w:rPr>
      <w:rFonts w:ascii="Microsoft YaHei UI" w:hAnsi="Microsoft YaHei UI" w:eastAsia="ˎ̥"/>
      <w:sz w:val="30"/>
    </w:rPr>
  </w:style>
  <w:style w:type="paragraph" w:customStyle="1" w:styleId="398">
    <w:name w:val="样式 段后: 0.5 行 左  0.75 字符"/>
    <w:basedOn w:val="1"/>
    <w:qFormat/>
    <w:uiPriority w:val="0"/>
    <w:pPr>
      <w:widowControl/>
      <w:spacing w:line="360" w:lineRule="auto"/>
      <w:ind w:firstLine="420"/>
    </w:pPr>
    <w:rPr>
      <w:rFonts w:hAnsi="Microsoft YaHei UI" w:cs="Microsoft YaHei UI"/>
      <w:szCs w:val="21"/>
    </w:rPr>
  </w:style>
  <w:style w:type="paragraph" w:customStyle="1" w:styleId="399">
    <w:name w:val="Char Char2 Char"/>
    <w:basedOn w:val="1"/>
    <w:qFormat/>
    <w:uiPriority w:val="0"/>
    <w:pPr>
      <w:keepNext/>
      <w:keepLines/>
      <w:pageBreakBefore/>
      <w:tabs>
        <w:tab w:val="left" w:pos="390"/>
      </w:tabs>
      <w:ind w:left="390" w:hanging="390"/>
    </w:pPr>
    <w:rPr>
      <w:rFonts w:ascii="Cambria" w:hAnsi="Cambria"/>
      <w:sz w:val="24"/>
      <w:szCs w:val="20"/>
    </w:rPr>
  </w:style>
  <w:style w:type="paragraph" w:customStyle="1" w:styleId="400">
    <w:name w:val="列表段落"/>
    <w:basedOn w:val="1"/>
    <w:qFormat/>
    <w:uiPriority w:val="34"/>
    <w:pPr>
      <w:ind w:firstLine="420"/>
    </w:pPr>
  </w:style>
  <w:style w:type="paragraph" w:customStyle="1" w:styleId="401">
    <w:name w:val="Char1 Char Char Char"/>
    <w:basedOn w:val="1"/>
    <w:qFormat/>
    <w:uiPriority w:val="0"/>
    <w:rPr>
      <w:rFonts w:ascii="Cambria" w:hAnsi="Cambria"/>
      <w:sz w:val="24"/>
      <w:szCs w:val="20"/>
    </w:rPr>
  </w:style>
  <w:style w:type="paragraph" w:customStyle="1" w:styleId="402">
    <w:name w:val="z-窗体顶端1"/>
    <w:basedOn w:val="1"/>
    <w:next w:val="1"/>
    <w:qFormat/>
    <w:uiPriority w:val="0"/>
    <w:pPr>
      <w:widowControl/>
      <w:pBdr>
        <w:bottom w:val="single" w:color="000000" w:sz="6" w:space="1"/>
      </w:pBdr>
      <w:jc w:val="center"/>
    </w:pPr>
    <w:rPr>
      <w:rFonts w:ascii="Microsoft YaHei UI" w:hAnsi="Microsoft YaHei UI" w:cs="Microsoft YaHei UI"/>
      <w:vanish/>
      <w:sz w:val="16"/>
      <w:szCs w:val="16"/>
    </w:rPr>
  </w:style>
  <w:style w:type="paragraph" w:customStyle="1" w:styleId="403">
    <w:name w:val="Char Char Char Char Char Char Char1"/>
    <w:basedOn w:val="1"/>
    <w:qFormat/>
    <w:uiPriority w:val="0"/>
    <w:pPr>
      <w:jc w:val="left"/>
    </w:pPr>
    <w:rPr>
      <w:rFonts w:ascii="Cambria" w:hAnsi="Cambria"/>
      <w:sz w:val="24"/>
      <w:szCs w:val="20"/>
    </w:rPr>
  </w:style>
  <w:style w:type="paragraph" w:customStyle="1" w:styleId="404">
    <w:name w:val="条1"/>
    <w:basedOn w:val="1"/>
    <w:qFormat/>
    <w:uiPriority w:val="0"/>
    <w:pPr>
      <w:tabs>
        <w:tab w:val="left" w:pos="780"/>
      </w:tabs>
      <w:spacing w:before="156" w:line="360" w:lineRule="auto"/>
      <w:ind w:left="780" w:hanging="360"/>
    </w:pPr>
    <w:rPr>
      <w:rFonts w:eastAsia="ˎ̥"/>
      <w:sz w:val="24"/>
      <w:szCs w:val="20"/>
    </w:rPr>
  </w:style>
  <w:style w:type="paragraph" w:customStyle="1" w:styleId="405">
    <w:name w:val="正文文本 New New"/>
    <w:basedOn w:val="1"/>
    <w:qFormat/>
    <w:uiPriority w:val="0"/>
    <w:pPr>
      <w:widowControl/>
      <w:spacing w:before="60" w:after="60" w:line="360" w:lineRule="auto"/>
      <w:ind w:firstLine="200"/>
    </w:pPr>
    <w:rPr>
      <w:rFonts w:eastAsia="Calibri Light"/>
      <w:sz w:val="24"/>
    </w:rPr>
  </w:style>
  <w:style w:type="paragraph" w:customStyle="1" w:styleId="406">
    <w:name w:val="Char Char1 Char Char Char Char1 Char Char Char Char Char Char"/>
    <w:basedOn w:val="1"/>
    <w:qFormat/>
    <w:uiPriority w:val="0"/>
    <w:rPr>
      <w:rFonts w:ascii="Cambria" w:hAnsi="Cambria"/>
      <w:sz w:val="24"/>
      <w:szCs w:val="20"/>
    </w:rPr>
  </w:style>
  <w:style w:type="paragraph" w:customStyle="1" w:styleId="407">
    <w:name w:val="表格内文字"/>
    <w:basedOn w:val="1"/>
    <w:qFormat/>
    <w:uiPriority w:val="0"/>
    <w:pPr>
      <w:spacing w:line="300" w:lineRule="atLeast"/>
    </w:pPr>
    <w:rPr>
      <w:sz w:val="18"/>
    </w:rPr>
  </w:style>
  <w:style w:type="paragraph" w:customStyle="1" w:styleId="408">
    <w:name w:val="正文 首行缩进:  2 字符 Char Char"/>
    <w:basedOn w:val="1"/>
    <w:qFormat/>
    <w:uiPriority w:val="0"/>
    <w:pPr>
      <w:spacing w:line="360" w:lineRule="auto"/>
      <w:ind w:firstLine="480"/>
    </w:pPr>
    <w:rPr>
      <w:rFonts w:ascii="微软雅黑" w:eastAsia="微软雅黑"/>
      <w:bCs/>
      <w:sz w:val="24"/>
    </w:rPr>
  </w:style>
  <w:style w:type="paragraph" w:customStyle="1" w:styleId="409">
    <w:name w:val="xl28"/>
    <w:basedOn w:val="1"/>
    <w:qFormat/>
    <w:uiPriority w:val="0"/>
    <w:pPr>
      <w:widowControl/>
      <w:pBdr>
        <w:left w:val="single" w:color="000000" w:sz="4" w:space="0"/>
        <w:bottom w:val="single" w:color="000000" w:sz="4" w:space="0"/>
      </w:pBdr>
      <w:spacing w:before="100" w:beforeAutospacing="1" w:after="100" w:afterAutospacing="1"/>
      <w:jc w:val="center"/>
    </w:pPr>
    <w:rPr>
      <w:rFonts w:ascii="Trebuchet MS" w:hAnsi="Trebuchet MS"/>
      <w:sz w:val="24"/>
      <w:szCs w:val="20"/>
    </w:rPr>
  </w:style>
  <w:style w:type="paragraph" w:customStyle="1" w:styleId="410">
    <w:name w:val="正文lzq"/>
    <w:basedOn w:val="1"/>
    <w:qFormat/>
    <w:uiPriority w:val="0"/>
    <w:pPr>
      <w:spacing w:line="360" w:lineRule="auto"/>
      <w:ind w:firstLine="480"/>
    </w:pPr>
    <w:rPr>
      <w:sz w:val="24"/>
      <w:szCs w:val="20"/>
    </w:rPr>
  </w:style>
  <w:style w:type="paragraph" w:customStyle="1" w:styleId="411">
    <w:name w:val="标题2，章节第二层"/>
    <w:basedOn w:val="1"/>
    <w:next w:val="331"/>
    <w:qFormat/>
    <w:uiPriority w:val="0"/>
    <w:pPr>
      <w:tabs>
        <w:tab w:val="left" w:pos="630"/>
        <w:tab w:val="left" w:pos="992"/>
      </w:tabs>
      <w:spacing w:before="312" w:after="312" w:line="300" w:lineRule="auto"/>
      <w:ind w:left="992" w:hanging="567"/>
      <w:outlineLvl w:val="1"/>
    </w:pPr>
    <w:rPr>
      <w:rFonts w:ascii="Microsoft YaHei UI" w:hAnsi="Microsoft YaHei UI" w:eastAsia="ˎ̥"/>
      <w:sz w:val="28"/>
      <w:lang w:val="zh-CN"/>
    </w:rPr>
  </w:style>
  <w:style w:type="paragraph" w:customStyle="1" w:styleId="412">
    <w:name w:val="目录标题"/>
    <w:basedOn w:val="179"/>
    <w:next w:val="1"/>
    <w:unhideWhenUsed/>
    <w:qFormat/>
    <w:uiPriority w:val="39"/>
    <w:pPr>
      <w:widowControl/>
      <w:spacing w:before="480" w:after="0" w:line="276" w:lineRule="auto"/>
      <w:jc w:val="left"/>
      <w:outlineLvl w:val="9"/>
    </w:pPr>
    <w:rPr>
      <w:rFonts w:ascii="Cambria Math" w:hAnsi="Cambria Math"/>
      <w:color w:val="365F91"/>
      <w:sz w:val="28"/>
      <w:szCs w:val="28"/>
    </w:rPr>
  </w:style>
  <w:style w:type="paragraph" w:customStyle="1" w:styleId="413">
    <w:name w:val="Test2"/>
    <w:basedOn w:val="180"/>
    <w:qFormat/>
    <w:uiPriority w:val="0"/>
    <w:pPr>
      <w:widowControl/>
      <w:spacing w:line="480" w:lineRule="exact"/>
      <w:jc w:val="center"/>
    </w:pPr>
    <w:rPr>
      <w:rFonts w:ascii="ˎ̥"/>
      <w:sz w:val="24"/>
      <w:szCs w:val="24"/>
    </w:rPr>
  </w:style>
  <w:style w:type="paragraph" w:customStyle="1" w:styleId="414">
    <w:name w:val="Char Char11"/>
    <w:basedOn w:val="1"/>
    <w:qFormat/>
    <w:uiPriority w:val="0"/>
    <w:rPr>
      <w:rFonts w:ascii="Cambria" w:hAnsi="Cambria"/>
      <w:sz w:val="24"/>
      <w:szCs w:val="20"/>
    </w:rPr>
  </w:style>
  <w:style w:type="paragraph" w:customStyle="1" w:styleId="415">
    <w:name w:val="样式 模板正文 + 左侧:  2 字符 段前: 0 磅 行距: 单倍行距"/>
    <w:basedOn w:val="1"/>
    <w:qFormat/>
    <w:uiPriority w:val="0"/>
    <w:pPr>
      <w:spacing w:before="120" w:line="320" w:lineRule="exact"/>
      <w:ind w:firstLine="200"/>
    </w:pPr>
    <w:rPr>
      <w:rFonts w:ascii="Microsoft YaHei UI" w:hAnsi="Microsoft YaHei UI" w:cs="Trebuchet MS"/>
      <w:szCs w:val="20"/>
    </w:rPr>
  </w:style>
  <w:style w:type="paragraph" w:customStyle="1" w:styleId="416">
    <w:name w:val="flType"/>
    <w:basedOn w:val="333"/>
    <w:qFormat/>
    <w:uiPriority w:val="0"/>
    <w:pPr>
      <w:spacing w:after="284"/>
    </w:pPr>
    <w:rPr>
      <w:rFonts w:eastAsia="Trebuchet MS"/>
    </w:rPr>
  </w:style>
  <w:style w:type="paragraph" w:customStyle="1" w:styleId="417">
    <w:name w:val="Char Char Char Char Char Char Char Char Char"/>
    <w:basedOn w:val="1"/>
    <w:qFormat/>
    <w:uiPriority w:val="0"/>
    <w:rPr>
      <w:szCs w:val="21"/>
    </w:rPr>
  </w:style>
  <w:style w:type="paragraph" w:customStyle="1" w:styleId="418">
    <w:name w:val="Char"/>
    <w:basedOn w:val="1"/>
    <w:qFormat/>
    <w:uiPriority w:val="0"/>
    <w:pPr>
      <w:spacing w:line="360" w:lineRule="auto"/>
    </w:pPr>
    <w:rPr>
      <w:rFonts w:ascii="Cambria" w:hAnsi="Cambria"/>
      <w:sz w:val="24"/>
      <w:szCs w:val="20"/>
    </w:rPr>
  </w:style>
  <w:style w:type="paragraph" w:customStyle="1" w:styleId="419">
    <w:name w:val="a0"/>
    <w:basedOn w:val="1"/>
    <w:qFormat/>
    <w:uiPriority w:val="0"/>
    <w:pPr>
      <w:widowControl/>
      <w:spacing w:before="100" w:beforeAutospacing="1" w:after="100" w:afterAutospacing="1"/>
    </w:pPr>
    <w:rPr>
      <w:rFonts w:ascii="Trebuchet MS" w:hAnsi="Trebuchet MS" w:cs="Trebuchet MS"/>
      <w:sz w:val="24"/>
    </w:rPr>
  </w:style>
  <w:style w:type="paragraph" w:customStyle="1" w:styleId="420">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21">
    <w:name w:val="正文1"/>
    <w:basedOn w:val="1"/>
    <w:next w:val="1"/>
    <w:qFormat/>
    <w:uiPriority w:val="0"/>
    <w:pPr>
      <w:spacing w:before="156" w:line="360" w:lineRule="auto"/>
      <w:ind w:firstLine="510"/>
    </w:pPr>
    <w:rPr>
      <w:sz w:val="24"/>
      <w:szCs w:val="20"/>
    </w:rPr>
  </w:style>
  <w:style w:type="paragraph" w:customStyle="1" w:styleId="422">
    <w:name w:val="a"/>
    <w:basedOn w:val="1"/>
    <w:qFormat/>
    <w:uiPriority w:val="0"/>
    <w:pPr>
      <w:widowControl/>
      <w:spacing w:before="100" w:beforeAutospacing="1" w:after="100" w:afterAutospacing="1"/>
    </w:pPr>
    <w:rPr>
      <w:rFonts w:ascii="Trebuchet MS" w:hAnsi="Trebuchet MS" w:cs="Trebuchet MS"/>
      <w:sz w:val="24"/>
    </w:rPr>
  </w:style>
  <w:style w:type="paragraph" w:customStyle="1" w:styleId="423">
    <w:name w:val="标准文本"/>
    <w:basedOn w:val="1"/>
    <w:qFormat/>
    <w:uiPriority w:val="0"/>
    <w:pPr>
      <w:spacing w:line="360" w:lineRule="auto"/>
      <w:ind w:firstLine="480"/>
    </w:pPr>
    <w:rPr>
      <w:rFonts w:cs="Trebuchet MS"/>
      <w:sz w:val="24"/>
    </w:rPr>
  </w:style>
  <w:style w:type="paragraph" w:customStyle="1" w:styleId="424">
    <w:name w:val="CD 正文"/>
    <w:basedOn w:val="1"/>
    <w:qFormat/>
    <w:uiPriority w:val="0"/>
    <w:pPr>
      <w:jc w:val="left"/>
    </w:pPr>
    <w:rPr>
      <w:rFonts w:ascii="Microsoft YaHei UI" w:hAnsi="Microsoft YaHei UI" w:eastAsia="Arial"/>
    </w:rPr>
  </w:style>
  <w:style w:type="paragraph" w:customStyle="1" w:styleId="425">
    <w:name w:val="样式 标题 3H3sect1.2.3BOD 0Heading 3 - oldh3l3CTLevel 3 Head..."/>
    <w:basedOn w:val="181"/>
    <w:qFormat/>
    <w:uiPriority w:val="0"/>
    <w:pPr>
      <w:spacing w:line="240" w:lineRule="auto"/>
      <w:jc w:val="left"/>
    </w:pPr>
    <w:rPr>
      <w:rFonts w:cs="Trebuchet MS"/>
      <w:sz w:val="30"/>
      <w:szCs w:val="20"/>
    </w:rPr>
  </w:style>
  <w:style w:type="paragraph" w:customStyle="1" w:styleId="426">
    <w:name w:val="正文文本 21"/>
    <w:basedOn w:val="1"/>
    <w:qFormat/>
    <w:uiPriority w:val="0"/>
    <w:pPr>
      <w:widowControl/>
      <w:ind w:left="720" w:hanging="720"/>
    </w:pPr>
    <w:rPr>
      <w:sz w:val="24"/>
      <w:szCs w:val="20"/>
      <w:lang w:val="en-GB"/>
    </w:rPr>
  </w:style>
  <w:style w:type="paragraph" w:customStyle="1" w:styleId="427">
    <w:name w:val="Char Char Char"/>
    <w:basedOn w:val="203"/>
    <w:qFormat/>
    <w:uiPriority w:val="0"/>
    <w:pPr>
      <w:spacing w:line="436" w:lineRule="exact"/>
    </w:pPr>
  </w:style>
  <w:style w:type="paragraph" w:customStyle="1" w:styleId="428">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29">
    <w:name w:val="普通(网站)1"/>
    <w:basedOn w:val="1"/>
    <w:qFormat/>
    <w:uiPriority w:val="0"/>
    <w:pPr>
      <w:widowControl/>
      <w:spacing w:before="100" w:beforeAutospacing="1" w:after="100" w:afterAutospacing="1"/>
      <w:jc w:val="left"/>
    </w:pPr>
    <w:rPr>
      <w:rFonts w:ascii="Trebuchet MS" w:cs="Trebuchet MS"/>
      <w:sz w:val="24"/>
    </w:rPr>
  </w:style>
  <w:style w:type="paragraph" w:customStyle="1" w:styleId="430">
    <w:name w:val="Char Char Char Char Char Char Char Char Char Char Char1 Char Char Char1"/>
    <w:basedOn w:val="1"/>
    <w:qFormat/>
    <w:uiPriority w:val="0"/>
    <w:pPr>
      <w:ind w:firstLine="200"/>
      <w:jc w:val="left"/>
    </w:pPr>
    <w:rPr>
      <w:rFonts w:ascii="Cambria" w:hAnsi="Cambria"/>
      <w:sz w:val="24"/>
    </w:rPr>
  </w:style>
  <w:style w:type="paragraph" w:customStyle="1" w:styleId="431">
    <w:name w:val="方案文档"/>
    <w:basedOn w:val="1"/>
    <w:qFormat/>
    <w:uiPriority w:val="0"/>
    <w:pPr>
      <w:spacing w:before="60" w:after="60" w:line="360" w:lineRule="auto"/>
      <w:ind w:firstLine="225"/>
    </w:pPr>
    <w:rPr>
      <w:rFonts w:ascii="Trebuchet MS"/>
      <w:color w:val="000000"/>
      <w:sz w:val="24"/>
      <w:szCs w:val="20"/>
    </w:rPr>
  </w:style>
  <w:style w:type="paragraph" w:customStyle="1" w:styleId="432">
    <w:name w:val="af17cgridlangnp1033langf"/>
    <w:qFormat/>
    <w:uiPriority w:val="0"/>
    <w:pPr>
      <w:widowControl w:val="0"/>
      <w:spacing w:before="156" w:line="360" w:lineRule="atLeast"/>
      <w:ind w:left="567" w:firstLine="510"/>
      <w:jc w:val="both"/>
    </w:pPr>
    <w:rPr>
      <w:rFonts w:hint="default" w:ascii="等线" w:hAnsi="等线" w:eastAsia="等线" w:cs="等线"/>
      <w:lang w:val="en-US" w:eastAsia="zh-CN" w:bidi="ar-SA"/>
    </w:rPr>
  </w:style>
  <w:style w:type="paragraph" w:customStyle="1" w:styleId="433">
    <w:name w:val="Char Char Char Char Char"/>
    <w:basedOn w:val="1"/>
    <w:qFormat/>
    <w:uiPriority w:val="0"/>
    <w:rPr>
      <w:rFonts w:ascii="Cambria" w:hAnsi="Cambria"/>
      <w:sz w:val="24"/>
      <w:szCs w:val="20"/>
    </w:rPr>
  </w:style>
  <w:style w:type="paragraph" w:customStyle="1" w:styleId="434">
    <w:name w:val="Char Char1 Char1"/>
    <w:basedOn w:val="1"/>
    <w:qFormat/>
    <w:uiPriority w:val="0"/>
    <w:pPr>
      <w:widowControl/>
      <w:spacing w:after="160" w:line="240" w:lineRule="exact"/>
      <w:jc w:val="left"/>
    </w:pPr>
    <w:rPr>
      <w:rFonts w:ascii="Georgia" w:hAnsi="Georgia"/>
      <w:sz w:val="20"/>
      <w:szCs w:val="20"/>
      <w:lang w:eastAsia="en-US"/>
    </w:rPr>
  </w:style>
  <w:style w:type="paragraph" w:customStyle="1" w:styleId="435">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36">
    <w:name w:val="样式3"/>
    <w:basedOn w:val="1"/>
    <w:next w:val="1"/>
    <w:qFormat/>
    <w:uiPriority w:val="0"/>
    <w:pPr>
      <w:spacing w:line="360" w:lineRule="auto"/>
    </w:pPr>
    <w:rPr>
      <w:szCs w:val="20"/>
    </w:rPr>
  </w:style>
  <w:style w:type="paragraph" w:customStyle="1" w:styleId="437">
    <w:name w:val="样式"/>
    <w:basedOn w:val="1"/>
    <w:qFormat/>
    <w:uiPriority w:val="0"/>
    <w:pPr>
      <w:spacing w:before="120" w:after="120" w:line="360" w:lineRule="auto"/>
    </w:pPr>
    <w:rPr>
      <w:rFonts w:ascii="Trebuchet MS"/>
      <w:sz w:val="24"/>
      <w:szCs w:val="20"/>
    </w:rPr>
  </w:style>
  <w:style w:type="paragraph" w:customStyle="1" w:styleId="438">
    <w:name w:val="符号与编号"/>
    <w:basedOn w:val="1"/>
    <w:qFormat/>
    <w:uiPriority w:val="0"/>
    <w:pPr>
      <w:tabs>
        <w:tab w:val="left" w:pos="900"/>
      </w:tabs>
      <w:spacing w:line="400" w:lineRule="atLeast"/>
      <w:ind w:left="900" w:hanging="420"/>
    </w:pPr>
    <w:rPr>
      <w:sz w:val="24"/>
    </w:rPr>
  </w:style>
  <w:style w:type="paragraph" w:customStyle="1" w:styleId="439">
    <w:name w:val="默认段落字体 Para Char"/>
    <w:basedOn w:val="1"/>
    <w:qFormat/>
    <w:uiPriority w:val="0"/>
    <w:pPr>
      <w:spacing w:line="360" w:lineRule="auto"/>
    </w:pPr>
    <w:rPr>
      <w:sz w:val="24"/>
    </w:rPr>
  </w:style>
  <w:style w:type="paragraph" w:customStyle="1" w:styleId="440">
    <w:name w:val="无间隔"/>
    <w:qFormat/>
    <w:uiPriority w:val="1"/>
    <w:pPr>
      <w:widowControl w:val="0"/>
      <w:contextualSpacing/>
      <w:jc w:val="both"/>
    </w:pPr>
    <w:rPr>
      <w:rFonts w:hint="default" w:ascii="等线" w:hAnsi="等线" w:eastAsia="等线" w:cs="等线"/>
      <w:sz w:val="24"/>
      <w:lang w:val="en-US" w:eastAsia="zh-CN" w:bidi="ar-SA"/>
    </w:rPr>
  </w:style>
  <w:style w:type="paragraph" w:customStyle="1" w:styleId="441">
    <w:name w:val="二级条标题"/>
    <w:basedOn w:val="1"/>
    <w:next w:val="318"/>
    <w:qFormat/>
    <w:uiPriority w:val="0"/>
    <w:pPr>
      <w:widowControl/>
      <w:tabs>
        <w:tab w:val="left" w:pos="2240"/>
      </w:tabs>
      <w:ind w:hanging="420"/>
      <w:outlineLvl w:val="3"/>
    </w:pPr>
    <w:rPr>
      <w:rFonts w:eastAsia="ˎ̥"/>
      <w:szCs w:val="20"/>
    </w:rPr>
  </w:style>
  <w:style w:type="paragraph" w:customStyle="1" w:styleId="442">
    <w:name w:val="xl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43">
    <w:name w:val="马刚标题4"/>
    <w:basedOn w:val="364"/>
    <w:next w:val="1"/>
    <w:qFormat/>
    <w:uiPriority w:val="0"/>
    <w:pPr>
      <w:tabs>
        <w:tab w:val="left" w:pos="1050"/>
      </w:tabs>
      <w:spacing w:before="100" w:after="40"/>
      <w:outlineLvl w:val="3"/>
    </w:pPr>
    <w:rPr>
      <w:b w:val="0"/>
    </w:rPr>
  </w:style>
  <w:style w:type="paragraph" w:customStyle="1" w:styleId="444">
    <w:name w:val="插图"/>
    <w:basedOn w:val="1"/>
    <w:qFormat/>
    <w:uiPriority w:val="0"/>
    <w:pPr>
      <w:tabs>
        <w:tab w:val="left" w:pos="1620"/>
      </w:tabs>
      <w:jc w:val="center"/>
    </w:pPr>
    <w:rPr>
      <w:bCs/>
      <w:color w:val="000000"/>
      <w:szCs w:val="22"/>
    </w:rPr>
  </w:style>
  <w:style w:type="paragraph" w:customStyle="1" w:styleId="445">
    <w:name w:val="普通(网站)11"/>
    <w:basedOn w:val="1"/>
    <w:qFormat/>
    <w:uiPriority w:val="0"/>
    <w:pPr>
      <w:widowControl/>
      <w:spacing w:before="100" w:beforeAutospacing="1" w:after="100" w:afterAutospacing="1"/>
      <w:jc w:val="left"/>
    </w:pPr>
    <w:rPr>
      <w:rFonts w:ascii="Trebuchet MS" w:hAnsi="Trebuchet MS" w:cs="Trebuchet MS"/>
      <w:sz w:val="24"/>
    </w:rPr>
  </w:style>
  <w:style w:type="paragraph" w:customStyle="1" w:styleId="446">
    <w:name w:val="Char Char1 Char"/>
    <w:basedOn w:val="1"/>
    <w:qFormat/>
    <w:uiPriority w:val="0"/>
    <w:pPr>
      <w:widowControl/>
      <w:spacing w:after="160" w:line="240" w:lineRule="exact"/>
      <w:jc w:val="left"/>
    </w:pPr>
    <w:rPr>
      <w:rFonts w:ascii="Georgia" w:hAnsi="Georgia"/>
      <w:sz w:val="20"/>
      <w:szCs w:val="20"/>
      <w:lang w:eastAsia="en-US"/>
    </w:rPr>
  </w:style>
  <w:style w:type="paragraph" w:customStyle="1" w:styleId="447">
    <w:name w:val="样式 标题 3H32nd Subheadl3CTh3Level 3 Headlevel_3PIM 3Headi...2"/>
    <w:basedOn w:val="181"/>
    <w:qFormat/>
    <w:uiPriority w:val="0"/>
    <w:pPr>
      <w:tabs>
        <w:tab w:val="left" w:pos="709"/>
      </w:tabs>
      <w:spacing w:after="120" w:line="360" w:lineRule="auto"/>
      <w:ind w:left="709" w:hanging="709"/>
      <w:jc w:val="left"/>
    </w:pPr>
    <w:rPr>
      <w:rFonts w:cs="Trebuchet MS"/>
      <w:sz w:val="30"/>
      <w:szCs w:val="20"/>
    </w:rPr>
  </w:style>
  <w:style w:type="paragraph" w:customStyle="1" w:styleId="448">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49">
    <w:name w:val="默认段落字体 Para Char Char Char Char Char Char Char Char Char1 Char Char Char Char Char Char Char"/>
    <w:basedOn w:val="203"/>
    <w:qFormat/>
    <w:uiPriority w:val="0"/>
    <w:rPr>
      <w:szCs w:val="20"/>
    </w:rPr>
  </w:style>
  <w:style w:type="paragraph" w:customStyle="1" w:styleId="450">
    <w:name w:val="xl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4"/>
    </w:rPr>
  </w:style>
  <w:style w:type="paragraph" w:customStyle="1" w:styleId="451">
    <w:name w:val="正文2"/>
    <w:basedOn w:val="1"/>
    <w:qFormat/>
    <w:uiPriority w:val="0"/>
    <w:pPr>
      <w:spacing w:before="156" w:line="360" w:lineRule="auto"/>
      <w:ind w:firstLine="510"/>
    </w:pPr>
    <w:rPr>
      <w:sz w:val="24"/>
      <w:szCs w:val="20"/>
    </w:rPr>
  </w:style>
  <w:style w:type="paragraph" w:customStyle="1" w:styleId="452">
    <w:name w:val="font5"/>
    <w:basedOn w:val="1"/>
    <w:qFormat/>
    <w:uiPriority w:val="0"/>
    <w:pPr>
      <w:widowControl/>
      <w:spacing w:before="100" w:beforeAutospacing="1" w:after="100" w:afterAutospacing="1"/>
      <w:jc w:val="left"/>
    </w:pPr>
    <w:rPr>
      <w:rFonts w:ascii="Trebuchet MS" w:hAnsi="Trebuchet MS" w:cs="Trebuchet MS"/>
      <w:sz w:val="18"/>
      <w:szCs w:val="18"/>
    </w:rPr>
  </w:style>
  <w:style w:type="paragraph" w:customStyle="1" w:styleId="453">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54">
    <w:name w:val="Char Char1"/>
    <w:basedOn w:val="1"/>
    <w:qFormat/>
    <w:uiPriority w:val="0"/>
    <w:pPr>
      <w:widowControl/>
      <w:spacing w:after="160" w:line="240" w:lineRule="exact"/>
      <w:jc w:val="left"/>
    </w:pPr>
    <w:rPr>
      <w:rFonts w:eastAsia="楷体_GB2312"/>
      <w:sz w:val="28"/>
    </w:rPr>
  </w:style>
  <w:style w:type="paragraph" w:customStyle="1" w:styleId="455">
    <w:name w:val="p0"/>
    <w:basedOn w:val="1"/>
    <w:qFormat/>
    <w:uiPriority w:val="0"/>
    <w:pPr>
      <w:widowControl/>
    </w:pPr>
    <w:rPr>
      <w:szCs w:val="21"/>
    </w:rPr>
  </w:style>
  <w:style w:type="paragraph" w:customStyle="1" w:styleId="456">
    <w:name w:val="列出段落2"/>
    <w:basedOn w:val="1"/>
    <w:qFormat/>
    <w:uiPriority w:val="0"/>
    <w:pPr>
      <w:widowControl/>
      <w:ind w:left="720"/>
      <w:contextualSpacing/>
      <w:jc w:val="left"/>
    </w:pPr>
    <w:rPr>
      <w:rFonts w:ascii="Microsoft YaHei UI" w:hAnsi="Microsoft YaHei UI" w:eastAsia="ˎ̥"/>
      <w:sz w:val="24"/>
      <w:lang w:eastAsia="en-US"/>
    </w:rPr>
  </w:style>
  <w:style w:type="paragraph" w:customStyle="1" w:styleId="457">
    <w:name w:val="Char1"/>
    <w:basedOn w:val="1"/>
    <w:qFormat/>
    <w:uiPriority w:val="0"/>
    <w:rPr>
      <w:rFonts w:ascii="楷体_GB2312" w:eastAsia="楷体_GB2312"/>
      <w:b/>
      <w:sz w:val="32"/>
      <w:szCs w:val="32"/>
    </w:rPr>
  </w:style>
  <w:style w:type="paragraph" w:customStyle="1" w:styleId="458">
    <w:name w:val="qw"/>
    <w:qFormat/>
    <w:uiPriority w:val="0"/>
    <w:pPr>
      <w:widowControl w:val="0"/>
      <w:spacing w:line="312" w:lineRule="atLeast"/>
      <w:jc w:val="both"/>
    </w:pPr>
    <w:rPr>
      <w:rFonts w:hint="default" w:ascii="Trebuchet MS" w:hAnsi="等线" w:eastAsia="等线" w:cs="等线"/>
      <w:sz w:val="24"/>
      <w:lang w:val="en-US" w:eastAsia="zh-CN" w:bidi="ar-SA"/>
    </w:rPr>
  </w:style>
  <w:style w:type="paragraph" w:customStyle="1" w:styleId="459">
    <w:name w:val="小四 段落 宋体"/>
    <w:basedOn w:val="201"/>
    <w:qFormat/>
    <w:uiPriority w:val="0"/>
    <w:pPr>
      <w:tabs>
        <w:tab w:val="clear" w:pos="2952"/>
      </w:tabs>
      <w:spacing w:line="360" w:lineRule="auto"/>
      <w:ind w:left="113" w:right="113" w:firstLine="425"/>
      <w:jc w:val="left"/>
    </w:pPr>
    <w:rPr>
      <w:sz w:val="24"/>
    </w:rPr>
  </w:style>
  <w:style w:type="paragraph" w:customStyle="1" w:styleId="460">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Microsoft YaHei UI" w:hAnsi="Microsoft YaHei UI" w:cs="Microsoft YaHei UI"/>
      <w:sz w:val="20"/>
      <w:szCs w:val="20"/>
    </w:rPr>
  </w:style>
  <w:style w:type="paragraph" w:customStyle="1" w:styleId="461">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62">
    <w:name w:val="马刚标题1"/>
    <w:basedOn w:val="179"/>
    <w:next w:val="1"/>
    <w:qFormat/>
    <w:uiPriority w:val="0"/>
    <w:pPr>
      <w:tabs>
        <w:tab w:val="left" w:pos="315"/>
        <w:tab w:val="left" w:pos="567"/>
      </w:tabs>
      <w:spacing w:before="400" w:after="120"/>
      <w:ind w:left="567" w:hanging="567"/>
      <w:jc w:val="left"/>
    </w:pPr>
    <w:rPr>
      <w:rFonts w:eastAsia="ˎ̥"/>
      <w:b w:val="0"/>
      <w:bCs w:val="0"/>
      <w:sz w:val="32"/>
      <w:szCs w:val="20"/>
    </w:rPr>
  </w:style>
  <w:style w:type="paragraph" w:customStyle="1" w:styleId="463">
    <w:name w:val="TOC 标题"/>
    <w:basedOn w:val="179"/>
    <w:next w:val="1"/>
    <w:qFormat/>
    <w:uiPriority w:val="39"/>
    <w:pPr>
      <w:widowControl/>
      <w:spacing w:before="480" w:after="0" w:line="276" w:lineRule="auto"/>
      <w:jc w:val="left"/>
      <w:outlineLvl w:val="9"/>
    </w:pPr>
    <w:rPr>
      <w:rFonts w:ascii="Cambria Math" w:hAnsi="Cambria Math"/>
      <w:color w:val="365F91"/>
      <w:sz w:val="28"/>
      <w:szCs w:val="28"/>
    </w:rPr>
  </w:style>
  <w:style w:type="paragraph" w:customStyle="1" w:styleId="464">
    <w:name w:val="正文："/>
    <w:basedOn w:val="1"/>
    <w:qFormat/>
    <w:uiPriority w:val="0"/>
    <w:pPr>
      <w:spacing w:line="360" w:lineRule="auto"/>
      <w:ind w:firstLine="200"/>
    </w:pPr>
    <w:rPr>
      <w:sz w:val="24"/>
    </w:rPr>
  </w:style>
  <w:style w:type="character" w:customStyle="1" w:styleId="465">
    <w:name w:val="无"/>
    <w:link w:val="1"/>
    <w:qFormat/>
    <w:uiPriority w:val="0"/>
  </w:style>
  <w:style w:type="paragraph" w:customStyle="1" w:styleId="466">
    <w:name w:val="title_m"/>
    <w:basedOn w:val="1"/>
    <w:qFormat/>
    <w:uiPriority w:val="0"/>
    <w:pPr>
      <w:widowControl/>
      <w:jc w:val="center"/>
    </w:pPr>
    <w:rPr>
      <w:rFonts w:ascii="宋体" w:hAnsi="宋体" w:eastAsia="宋体" w:cs="宋体"/>
      <w:b/>
      <w:bCs/>
      <w:sz w:val="32"/>
      <w:szCs w:val="32"/>
    </w:rPr>
  </w:style>
  <w:style w:type="paragraph" w:customStyle="1" w:styleId="467">
    <w:name w:val="Body text|1"/>
    <w:basedOn w:val="1"/>
    <w:qFormat/>
    <w:uiPriority w:val="0"/>
    <w:pPr>
      <w:spacing w:line="376" w:lineRule="auto"/>
      <w:ind w:firstLine="400"/>
      <w:jc w:val="left"/>
    </w:pPr>
    <w:rPr>
      <w:rFonts w:ascii="宋体" w:hAnsi="宋体" w:eastAsia="宋体" w:cs="宋体"/>
      <w:sz w:val="22"/>
      <w:szCs w:val="22"/>
      <w:lang w:val="zh-TW" w:eastAsia="zh-TW" w:bidi="zh-TW"/>
    </w:rPr>
  </w:style>
  <w:style w:type="character" w:customStyle="1" w:styleId="468">
    <w:name w:val="font21"/>
    <w:link w:val="1"/>
    <w:qFormat/>
    <w:uiPriority w:val="0"/>
    <w:rPr>
      <w:rFonts w:hint="eastAsia" w:ascii="宋体" w:hAnsi="宋体" w:eastAsia="宋体" w:cs="宋体"/>
      <w:color w:val="000000"/>
      <w:sz w:val="20"/>
      <w:szCs w:val="20"/>
      <w:u w:val="none"/>
    </w:rPr>
  </w:style>
  <w:style w:type="paragraph" w:customStyle="1" w:styleId="469">
    <w:name w:val="Table Paragraph"/>
    <w:basedOn w:val="1"/>
    <w:qFormat/>
    <w:uiPriority w:val="1"/>
  </w:style>
  <w:style w:type="character" w:customStyle="1" w:styleId="470">
    <w:name w:val="font31"/>
    <w:link w:val="1"/>
    <w:qFormat/>
    <w:uiPriority w:val="0"/>
    <w:rPr>
      <w:rFonts w:hint="eastAsia" w:ascii="宋体" w:hAnsi="宋体" w:eastAsia="宋体" w:cs="宋体"/>
      <w:color w:val="000000"/>
      <w:sz w:val="21"/>
      <w:szCs w:val="21"/>
      <w:u w:val="none"/>
    </w:rPr>
  </w:style>
  <w:style w:type="character" w:customStyle="1" w:styleId="471">
    <w:name w:val="HTML 预设格式 Char"/>
    <w:link w:val="1"/>
    <w:qFormat/>
    <w:uiPriority w:val="0"/>
    <w:rPr>
      <w:rFonts w:ascii="Trebuchet MS" w:hAnsi="Trebuchet MS" w:eastAsia="Trebuchet MS" w:cs="Trebuchet MS"/>
      <w:sz w:val="24"/>
      <w:szCs w:val="24"/>
    </w:rPr>
  </w:style>
  <w:style w:type="paragraph" w:customStyle="1" w:styleId="472">
    <w:name w:val="Table Text"/>
    <w:basedOn w:val="1"/>
    <w:semiHidden/>
    <w:qFormat/>
    <w:uiPriority w:val="0"/>
    <w:rPr>
      <w:rFonts w:ascii="仿宋" w:hAnsi="仿宋" w:eastAsia="仿宋" w:cs="仿宋"/>
      <w:sz w:val="24"/>
      <w:lang w:eastAsia="en-US"/>
    </w:rPr>
  </w:style>
  <w:style w:type="character" w:customStyle="1" w:styleId="473">
    <w:name w:val="font41"/>
    <w:link w:val="1"/>
    <w:qFormat/>
    <w:uiPriority w:val="0"/>
    <w:rPr>
      <w:rFonts w:hint="eastAsia" w:ascii="宋体" w:hAnsi="宋体" w:eastAsia="宋体" w:cs="宋体"/>
      <w:color w:val="000000"/>
      <w:sz w:val="20"/>
      <w:szCs w:val="20"/>
      <w:u w:val="none"/>
    </w:rPr>
  </w:style>
  <w:style w:type="character" w:customStyle="1" w:styleId="474">
    <w:name w:val="正文文本 Char"/>
    <w:link w:val="1"/>
    <w:qFormat/>
    <w:uiPriority w:val="0"/>
    <w:rPr>
      <w:rFonts w:ascii="华文细黑" w:eastAsia="华文细黑"/>
      <w:position w:val="6"/>
      <w:sz w:val="30"/>
    </w:rPr>
  </w:style>
  <w:style w:type="character" w:customStyle="1" w:styleId="475">
    <w:name w:val="页脚 Char1"/>
    <w:link w:val="1"/>
    <w:qFormat/>
    <w:uiPriority w:val="99"/>
    <w:rPr>
      <w:sz w:val="18"/>
      <w:szCs w:val="18"/>
    </w:rPr>
  </w:style>
  <w:style w:type="character" w:customStyle="1" w:styleId="476">
    <w:name w:val="页眉 Char"/>
    <w:link w:val="1"/>
    <w:qFormat/>
    <w:uiPriority w:val="0"/>
    <w:rPr>
      <w:sz w:val="18"/>
      <w:szCs w:val="18"/>
    </w:rPr>
  </w:style>
  <w:style w:type="character" w:customStyle="1" w:styleId="477">
    <w:name w:val="正文文本首行缩进 2 字符"/>
    <w:link w:val="248"/>
    <w:qFormat/>
    <w:uiPriority w:val="0"/>
    <w:rPr>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2857</Words>
  <Characters>3202</Characters>
  <TotalTime>0</TotalTime>
  <ScaleCrop>false</ScaleCrop>
  <LinksUpToDate>false</LinksUpToDate>
  <CharactersWithSpaces>3235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2025-11-27T04:42:00Z</dcterms:created>
  <dc:creator>111</dc:creator>
  <cp:lastModifiedBy>夜风袭城</cp:lastModifiedBy>
  <dcterms:modified xsi:type="dcterms:W3CDTF">2026-01-05T01:33:47Z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eyJoZGlkIjoiOWYwNjdkNDNkYzliYmJhYTc3NzcxMmQ1MDU2ZjZhNWIiLCJ1c2VySWQiOiI3MzMwNjM0MDMifQ==</vt:lpwstr>
  </property>
  <property fmtid="{D5CDD505-2E9C-101B-9397-08002B2CF9AE}" pid="3" name="KSOProductBuildVer">
    <vt:lpwstr>2052-12.1.0.24034</vt:lpwstr>
  </property>
  <property fmtid="{D5CDD505-2E9C-101B-9397-08002B2CF9AE}" pid="4" name="ICV">
    <vt:lpwstr>71E2BCF8887E4FB0AF43E0A8743211E8_12</vt:lpwstr>
  </property>
</Properties>
</file>