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22"/>
        <w:rPr>
          <w:rFonts w:hint="eastAsia"/>
          <w:color w:val="auto"/>
          <w:highlight w:val="none"/>
        </w:rPr>
      </w:pPr>
      <w:r>
        <w:rPr>
          <w:rFonts w:hint="eastAsia"/>
          <w:color w:val="auto"/>
          <w:highlight w:val="none"/>
        </w:rPr>
      </w:r>
      <w:r/>
    </w:p>
    <w:p>
      <w:pPr>
        <w:pStyle w:val="933"/>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outlineLvl w:val="0"/>
      </w:pPr>
      <w:r>
        <w:rPr>
          <w:rFonts w:hint="eastAsia"/>
          <w:b/>
          <w:color w:val="auto"/>
          <w:sz w:val="30"/>
          <w:szCs w:val="30"/>
          <w:highlight w:val="none"/>
        </w:rPr>
        <w:t xml:space="preserve">项目名称：</w:t>
      </w:r>
      <w:bookmarkStart w:id="0" w:name="OLE_LINK1"/>
      <w:r>
        <w:rPr>
          <w:rFonts w:hint="eastAsia"/>
          <w:b/>
          <w:color w:val="auto"/>
          <w:sz w:val="32"/>
          <w:szCs w:val="32"/>
          <w:highlight w:val="none"/>
        </w:rPr>
        <w:t xml:space="preserve">南京市第29中学新校区LED大屏信息发布</w:t>
      </w:r>
      <w:bookmarkEnd w:id="0"/>
      <w:r/>
      <w:r/>
    </w:p>
    <w:p>
      <w:pPr>
        <w:ind w:firstLine="1506"/>
        <w:rPr>
          <w:rFonts w:hint="eastAsia"/>
          <w:b/>
          <w:color w:val="auto"/>
          <w:sz w:val="30"/>
          <w:szCs w:val="30"/>
          <w:highlight w:val="none"/>
        </w:rPr>
        <w:outlineLvl w:val="0"/>
      </w:pPr>
      <w:r>
        <w:rPr>
          <w:rFonts w:hint="eastAsia"/>
          <w:b/>
          <w:color w:val="auto"/>
          <w:sz w:val="30"/>
          <w:szCs w:val="30"/>
          <w:highlight w:val="none"/>
        </w:rPr>
        <w:t xml:space="preserve">项目编号：</w:t>
      </w:r>
      <w:r>
        <w:rPr>
          <w:rFonts w:hint="eastAsia"/>
          <w:b/>
          <w:color w:val="auto"/>
          <w:sz w:val="32"/>
          <w:szCs w:val="32"/>
          <w:highlight w:val="none"/>
        </w:rPr>
        <w:t xml:space="preserve">JSZC-320100-JZCG-G2026-</w:t>
      </w:r>
      <w:r>
        <w:rPr>
          <w:rFonts w:hint="eastAsia"/>
          <w:b/>
          <w:color w:val="auto"/>
          <w:sz w:val="32"/>
          <w:szCs w:val="32"/>
          <w:highlight w:val="none"/>
          <w:lang w:val="en-US" w:eastAsia="zh-CN"/>
        </w:rPr>
        <w:t xml:space="preserve">0</w:t>
      </w:r>
      <w:r>
        <w:rPr>
          <w:rFonts w:hint="eastAsia"/>
          <w:b/>
          <w:color w:val="auto"/>
          <w:sz w:val="32"/>
          <w:szCs w:val="32"/>
          <w:highlight w:val="none"/>
          <w:lang w:val="en-US" w:eastAsia="zh-CN"/>
        </w:rPr>
        <w:t xml:space="preserve">114</w:t>
      </w:r>
      <w:r/>
    </w:p>
    <w:p>
      <w:pPr>
        <w:jc w:val="center"/>
        <w:rPr>
          <w:rFonts w:hint="eastAsia"/>
          <w:b/>
          <w:color w:val="auto"/>
          <w:sz w:val="30"/>
          <w:szCs w:val="30"/>
          <w:highlight w:val="none"/>
        </w:rPr>
        <w:outlineLvl w:val="0"/>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3"/>
        <w:ind w:firstLine="0"/>
        <w:jc w:val="center"/>
        <w:rPr>
          <w:rFonts w:hint="eastAsia"/>
          <w:b/>
          <w:bCs/>
          <w:color w:val="auto"/>
          <w:sz w:val="32"/>
          <w:highlight w:val="none"/>
        </w:rPr>
      </w:pPr>
      <w:r>
        <w:rPr>
          <w:rFonts w:hint="eastAsia"/>
          <w:b/>
          <w:bCs/>
          <w:color w:val="auto"/>
          <w:sz w:val="32"/>
          <w:highlight w:val="none"/>
        </w:rPr>
        <w:t xml:space="preserve">南京市公共资源交易中心</w:t>
      </w:r>
      <w:r/>
    </w:p>
    <w:p>
      <w:pPr>
        <w:jc w:val="center"/>
        <w:rPr>
          <w:rFonts w:hint="eastAsia"/>
          <w:b/>
          <w:color w:val="auto"/>
          <w:sz w:val="32"/>
          <w:szCs w:val="32"/>
          <w:highlight w:val="none"/>
        </w:rPr>
      </w:pPr>
      <w:r>
        <w:rPr>
          <w:rFonts w:hint="eastAsia"/>
          <w:b/>
          <w:color w:val="auto"/>
          <w:sz w:val="32"/>
          <w:szCs w:val="32"/>
          <w:highlight w:val="none"/>
        </w:rPr>
        <w:t xml:space="preserve">2026年5月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left"/>
        <w:spacing w:before="120" w:after="120" w:line="360" w:lineRule="auto"/>
        <w:rPr>
          <w:color w:val="auto"/>
          <w:szCs w:val="21"/>
          <w:highlight w:val="non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1" w:name="_Toc120614210"/>
      <w:r/>
      <w:bookmarkStart w:id="2" w:name="_Toc523127445"/>
      <w:r/>
      <w:bookmarkStart w:id="3" w:name="_Toc20823272"/>
      <w:r/>
      <w:bookmarkStart w:id="4" w:name="_Toc479757206"/>
      <w:r/>
      <w:bookmarkStart w:id="5" w:name="_Toc513029200"/>
      <w:r/>
      <w:bookmarkStart w:id="6" w:name="_Toc16938516"/>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投标邀请…………………………………… 3</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投标人须知………………………………… </w:t>
      </w:r>
      <w:r>
        <w:rPr>
          <w:rFonts w:hint="eastAsia" w:ascii="黑体" w:hAnsi="宋体" w:eastAsia="黑体"/>
          <w:color w:val="auto"/>
          <w:sz w:val="36"/>
          <w:szCs w:val="21"/>
          <w:highlight w:val="none"/>
          <w:lang w:val="en-US" w:eastAsia="zh-CN"/>
        </w:rPr>
        <w:t xml:space="preserve">4</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rPr>
          <w:rFonts w:hint="eastAsia" w:ascii="黑体" w:hAnsi="宋体" w:eastAsia="黑体"/>
          <w:color w:val="auto"/>
          <w:sz w:val="36"/>
          <w:szCs w:val="21"/>
          <w:highlight w:val="none"/>
          <w:lang w:val="en-US" w:eastAsia="zh-CN"/>
        </w:rPr>
        <w:t xml:space="preserve">14</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rPr>
          <w:rFonts w:hint="eastAsia" w:ascii="黑体" w:hAnsi="宋体" w:eastAsia="黑体"/>
          <w:color w:val="auto"/>
          <w:sz w:val="36"/>
          <w:szCs w:val="21"/>
          <w:highlight w:val="none"/>
          <w:lang w:val="en-US" w:eastAsia="zh-CN"/>
        </w:rPr>
        <w:t xml:space="preserve">18</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评标方法与评标标准………………………</w:t>
      </w:r>
      <w:r>
        <w:rPr>
          <w:rFonts w:hint="eastAsia" w:ascii="黑体" w:hAnsi="宋体" w:eastAsia="黑体"/>
          <w:color w:val="auto"/>
          <w:sz w:val="36"/>
          <w:szCs w:val="21"/>
          <w:highlight w:val="none"/>
          <w:lang w:val="en-US" w:eastAsia="zh-CN"/>
        </w:rPr>
        <w:t xml:space="preserve">35</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投标文件格式………………………………39</w:t>
      </w:r>
      <w:bookmarkEnd w:id="1"/>
      <w:r>
        <w:rPr>
          <w:rFonts w:hint="eastAsia" w:ascii="黑体" w:hAnsi="宋体" w:eastAsia="黑体"/>
          <w:color w:val="auto"/>
          <w:sz w:val="36"/>
          <w:szCs w:val="21"/>
          <w:highlight w:val="none"/>
        </w:rPr>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52" w:lineRule="auto"/>
        <w:rPr>
          <w:rFonts w:hint="eastAsia" w:ascii="宋体" w:hAnsi="宋体"/>
          <w:color w:val="auto"/>
          <w:sz w:val="24"/>
          <w:szCs w:val="24"/>
          <w:highlight w:val="none"/>
        </w:rPr>
      </w:pPr>
      <w:r/>
      <w:bookmarkStart w:id="7" w:name="_Hlk24379207"/>
      <w:r/>
      <w:bookmarkStart w:id="8" w:name="_Toc38985263"/>
      <w:r/>
      <w:bookmarkStart w:id="9" w:name="_Toc28359002"/>
      <w:r/>
      <w:bookmarkStart w:id="10" w:name="_Toc35393790"/>
      <w:r/>
      <w:bookmarkStart w:id="11" w:name="_Toc28359079"/>
      <w:r/>
      <w:bookmarkStart w:id="12" w:name="_Toc35393621"/>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受南京市鼓楼区教育局委托，南京市公共资源交易中心（以下简称“交易中心”）就南京市第29中学新校区LED大屏信息发布进行公开招标采购，欢迎符合条件的供应商投标。</w:t>
      </w:r>
      <w:r/>
    </w:p>
    <w:p>
      <w:pPr>
        <w:pStyle w:val="84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1.项目编号：JSZC-320100-JZCG-G20</w:t>
      </w: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0</w:t>
      </w:r>
      <w:r>
        <w:rPr>
          <w:rFonts w:hint="eastAsia" w:ascii="宋体" w:hAnsi="宋体" w:eastAsia="宋体" w:cs="Times New Roman"/>
          <w:color w:val="auto"/>
          <w:sz w:val="24"/>
          <w:szCs w:val="24"/>
          <w:highlight w:val="none"/>
          <w:lang w:val="en-US" w:eastAsia="zh-CN"/>
        </w:rPr>
        <w:t xml:space="preserve">114</w:t>
      </w:r>
      <w:r>
        <w:rPr>
          <w:rFonts w:hint="eastAsia" w:ascii="宋体" w:hAnsi="宋体" w:eastAsia="宋体" w:cs="Times New Roman"/>
          <w:color w:val="auto"/>
          <w:sz w:val="24"/>
          <w:szCs w:val="24"/>
          <w:highlight w:val="none"/>
        </w:rPr>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2.项目名称：南京市第29中学新校区LED大屏信息发布</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3.预算金额：</w:t>
      </w:r>
      <w:r>
        <w:rPr>
          <w:rFonts w:hint="eastAsia" w:ascii="宋体" w:hAnsi="宋体" w:eastAsia="宋体" w:cs="Times New Roman"/>
          <w:color w:val="auto"/>
          <w:sz w:val="24"/>
          <w:szCs w:val="24"/>
          <w:highlight w:val="none"/>
        </w:rPr>
        <w:t xml:space="preserve">885</w:t>
      </w:r>
      <w:r>
        <w:rPr>
          <w:rFonts w:hint="eastAsia" w:ascii="宋体" w:hAnsi="宋体" w:eastAsia="宋体" w:cs="Times New Roman"/>
          <w:color w:val="auto"/>
          <w:sz w:val="24"/>
          <w:szCs w:val="24"/>
          <w:highlight w:val="none"/>
        </w:rPr>
        <w:t xml:space="preserve">万</w:t>
      </w:r>
      <w:r>
        <w:rPr>
          <w:rFonts w:hint="eastAsia" w:ascii="宋体" w:hAnsi="宋体" w:eastAsia="宋体" w:cs="Times New Roman"/>
          <w:color w:val="auto"/>
          <w:sz w:val="24"/>
          <w:szCs w:val="24"/>
          <w:highlight w:val="none"/>
        </w:rPr>
        <w:t xml:space="preserve">元</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4.最高限价：592.7万元</w:t>
      </w:r>
      <w:bookmarkStart w:id="208" w:name="_GoBack"/>
      <w:r/>
      <w:bookmarkEnd w:id="208"/>
      <w:r/>
      <w:r/>
    </w:p>
    <w:p>
      <w:pPr>
        <w:ind w:firstLine="480"/>
        <w:spacing w:line="252"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5.采购需求（简介）：南京市第29中学新校区LED大屏信息发布及配套设备采购，</w:t>
      </w:r>
      <w:r>
        <w:rPr>
          <w:rFonts w:hint="eastAsia" w:ascii="宋体" w:hAnsi="宋体" w:eastAsia="宋体" w:cs="Times New Roman"/>
          <w:color w:val="auto"/>
          <w:sz w:val="24"/>
          <w:szCs w:val="24"/>
          <w:highlight w:val="none"/>
        </w:rPr>
        <w:t xml:space="preserve">主要为新校区操场、教学楼等区域的</w:t>
      </w:r>
      <w:r>
        <w:rPr>
          <w:rFonts w:hint="eastAsia" w:ascii="宋体" w:hAnsi="宋体" w:eastAsia="宋体" w:cs="Times New Roman"/>
          <w:color w:val="auto"/>
          <w:sz w:val="24"/>
          <w:szCs w:val="24"/>
          <w:highlight w:val="none"/>
        </w:rPr>
        <w:t xml:space="preserve">LED全彩屏、信息发布屏、液晶拼接屏及配套的高清分布式编解码器等。</w:t>
      </w:r>
      <w:r>
        <w:rPr>
          <w:rFonts w:hint="eastAsia" w:ascii="宋体" w:hAnsi="宋体" w:eastAsia="宋体" w:cs="Times New Roman"/>
          <w:color w:val="auto"/>
          <w:sz w:val="24"/>
          <w:szCs w:val="24"/>
          <w:highlight w:val="none"/>
        </w:rPr>
        <w:t xml:space="preserve">（详细内容见本招标文件第四章） </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6.合同履行期限：合同签订后</w:t>
      </w:r>
      <w:r>
        <w:rPr>
          <w:rFonts w:hint="eastAsia" w:ascii="宋体" w:hAnsi="宋体" w:eastAsia="宋体" w:cs="Times New Roman"/>
          <w:bCs w:val="0"/>
          <w:color w:val="auto"/>
          <w:sz w:val="24"/>
          <w:szCs w:val="24"/>
          <w:highlight w:val="none"/>
        </w:rPr>
        <w:t xml:space="preserve">60</w:t>
      </w:r>
      <w:r>
        <w:rPr>
          <w:rFonts w:hint="eastAsia" w:ascii="宋体" w:hAnsi="宋体" w:eastAsia="宋体" w:cs="Times New Roman"/>
          <w:color w:val="auto"/>
          <w:sz w:val="24"/>
          <w:szCs w:val="24"/>
          <w:highlight w:val="none"/>
        </w:rPr>
        <w:t xml:space="preserve">天内交付并完成安装调试及验收等相关工作。</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rPr>
        <w:t xml:space="preserve">本项目不接受联合体投标。</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本项目不接受进口产品投标。</w:t>
      </w:r>
      <w:bookmarkEnd w:id="7"/>
      <w:r/>
      <w:bookmarkEnd w:id="8"/>
      <w:r/>
      <w:bookmarkEnd w:id="9"/>
      <w:r/>
      <w:bookmarkEnd w:id="10"/>
      <w:r/>
      <w:bookmarkEnd w:id="11"/>
      <w:r/>
      <w:bookmarkEnd w:id="12"/>
      <w:r/>
      <w:r/>
    </w:p>
    <w:p>
      <w:pPr>
        <w:pStyle w:val="84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bookmarkStart w:id="13" w:name="_Toc35393791"/>
      <w:r/>
      <w:bookmarkStart w:id="14" w:name="_Toc28359080"/>
      <w:r/>
      <w:bookmarkStart w:id="15" w:name="_Toc38985264"/>
      <w:r/>
      <w:bookmarkStart w:id="16" w:name="_Toc35393622"/>
      <w:r/>
      <w:bookmarkStart w:id="17" w:name="_Toc28359003"/>
      <w:r>
        <w:rPr>
          <w:rFonts w:hint="eastAsia" w:ascii="方正黑体_GBK" w:hAnsi="方正黑体_GBK" w:eastAsia="方正黑体_GBK" w:cs="方正黑体_GBK"/>
          <w:b w:val="0"/>
          <w:bCs w:val="0"/>
          <w:color w:val="auto"/>
          <w:sz w:val="30"/>
          <w:szCs w:val="30"/>
          <w:highlight w:val="none"/>
        </w:rPr>
        <w:t xml:space="preserve">二、申请人的资格要求</w:t>
      </w:r>
      <w:bookmarkEnd w:id="13"/>
      <w:r/>
      <w:bookmarkEnd w:id="14"/>
      <w:r/>
      <w:bookmarkEnd w:id="15"/>
      <w:r/>
      <w:bookmarkEnd w:id="16"/>
      <w:r/>
      <w:bookmarkEnd w:id="17"/>
      <w:r/>
      <w:r/>
    </w:p>
    <w:p>
      <w:pPr>
        <w:ind w:firstLine="480"/>
        <w:spacing w:line="252" w:lineRule="auto"/>
        <w:rPr>
          <w:rFonts w:hint="eastAsia" w:ascii="宋体" w:hAnsi="宋体" w:eastAsia="宋体" w:cs="Times New Roman"/>
          <w:color w:val="auto"/>
          <w:sz w:val="24"/>
          <w:szCs w:val="24"/>
          <w:highlight w:val="none"/>
        </w:rPr>
      </w:pPr>
      <w:r/>
      <w:bookmarkStart w:id="18" w:name="_Toc35393623"/>
      <w:r/>
      <w:bookmarkStart w:id="19" w:name="_Toc28359081"/>
      <w:r/>
      <w:bookmarkStart w:id="20" w:name="_Toc35393792"/>
      <w:r/>
      <w:bookmarkStart w:id="21" w:name="_Toc38985265"/>
      <w:r/>
      <w:bookmarkStart w:id="22" w:name="_Toc28359004"/>
      <w:r>
        <w:rPr>
          <w:rFonts w:hint="eastAsia" w:ascii="宋体" w:hAnsi="宋体" w:eastAsia="宋体" w:cs="Times New Roman"/>
          <w:color w:val="auto"/>
          <w:sz w:val="24"/>
          <w:szCs w:val="24"/>
          <w:highlight w:val="none"/>
        </w:rPr>
        <w:t xml:space="preserve">（一）通用资格要求</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r>
        <w:rPr>
          <w:rFonts w:hint="eastAsia" w:ascii="宋体" w:hAnsi="宋体" w:eastAsia="宋体" w:cs="Times New Roman"/>
          <w:color w:val="auto"/>
          <w:sz w:val="24"/>
          <w:szCs w:val="24"/>
          <w:highlight w:val="none"/>
          <w:lang w:val="zh-CN"/>
        </w:rPr>
        <w:t xml:space="preserve">供应商信用承诺函（格式见第六章）。</w:t>
      </w:r>
      <w:r/>
    </w:p>
    <w:p>
      <w:pPr>
        <w:ind w:firstLine="480"/>
        <w:spacing w:line="252"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2.落实政府采购政策需满足的资格要求：无</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（二）本项目特定资格要求：无</w:t>
      </w:r>
      <w:r/>
    </w:p>
    <w:p>
      <w:pPr>
        <w:pStyle w:val="84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8"/>
      <w:r/>
      <w:bookmarkEnd w:id="19"/>
      <w:r/>
      <w:bookmarkEnd w:id="20"/>
      <w:r/>
      <w:bookmarkEnd w:id="21"/>
      <w:r/>
      <w:bookmarkEnd w:id="22"/>
      <w:r/>
      <w:r/>
    </w:p>
    <w:p>
      <w:pPr>
        <w:ind w:firstLine="480"/>
        <w:spacing w:line="252" w:lineRule="auto"/>
        <w:rPr>
          <w:rFonts w:ascii="宋体" w:hAnsi="宋体" w:cs="宋体"/>
          <w:color w:val="auto"/>
          <w:sz w:val="24"/>
          <w:szCs w:val="24"/>
          <w:highlight w:val="none"/>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color w:val="auto"/>
          <w:sz w:val="24"/>
          <w:szCs w:val="24"/>
          <w:highlight w:val="none"/>
        </w:rPr>
        <w:t xml:space="preserve">1.时间：自招标文件公告发布之日起。</w:t>
      </w:r>
      <w:r/>
    </w:p>
    <w:p>
      <w:pPr>
        <w:ind w:firstLine="480"/>
        <w:spacing w:line="25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4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bookmarkStart w:id="28" w:name="_Toc28359084"/>
      <w:r/>
      <w:bookmarkStart w:id="29" w:name="_Toc38985267"/>
      <w:r/>
      <w:bookmarkStart w:id="30" w:name="_Toc35393625"/>
      <w:r/>
      <w:bookmarkStart w:id="31" w:name="_Toc28359007"/>
      <w:r/>
      <w:bookmarkStart w:id="32" w:name="_Toc35393794"/>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ascii="SimSun" w:hAnsi="SimSun" w:eastAsia="SimSun" w:cs="SimSun"/>
          <w:color w:val="000000"/>
          <w:sz w:val="24"/>
        </w:rPr>
        <w:t xml:space="preserve">6年6月2日9时30分（北京时间）。</w:t>
      </w:r>
      <w:r/>
      <w:r>
        <w:rPr>
          <w:sz w:val="21"/>
        </w:rP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84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spacing w:line="252" w:lineRule="auto"/>
        <w:rPr>
          <w:rFonts w:ascii="宋体" w:hAnsi="宋体" w:cs="宋体"/>
          <w:color w:val="auto"/>
          <w:sz w:val="24"/>
          <w:szCs w:val="24"/>
          <w:highlight w:val="none"/>
        </w:rPr>
      </w:pPr>
      <w:r/>
      <w:bookmarkStart w:id="33" w:name="_Toc38985268"/>
      <w:r/>
      <w:bookmarkStart w:id="34" w:name="_Toc35393795"/>
      <w:r/>
      <w:bookmarkStart w:id="35" w:name="_Toc35393626"/>
      <w:r>
        <w:rPr>
          <w:rFonts w:hint="eastAsia" w:ascii="宋体" w:hAnsi="宋体" w:cs="宋体"/>
          <w:color w:val="auto"/>
          <w:sz w:val="24"/>
          <w:szCs w:val="24"/>
          <w:highlight w:val="none"/>
        </w:rPr>
        <w:t xml:space="preserve">公告期限为自本公告发布之日起5个工作日。</w:t>
      </w:r>
      <w:r/>
    </w:p>
    <w:p>
      <w:pPr>
        <w:pStyle w:val="846"/>
        <w:ind w:firstLine="498"/>
        <w:spacing w:before="145" w:after="145" w:line="252" w:lineRule="auto"/>
        <w:rPr>
          <w:rFonts w:hint="eastAsia"/>
          <w:color w:val="auto"/>
          <w:highlight w:val="none"/>
        </w:rPr>
      </w:pPr>
      <w:r>
        <w:rPr>
          <w:rFonts w:hint="eastAsia"/>
          <w:color w:val="auto"/>
          <w:highlight w:val="none"/>
        </w:rPr>
        <w:t xml:space="preserve">六、其他事宜</w:t>
      </w:r>
      <w:bookmarkEnd w:id="33"/>
      <w:r/>
      <w:bookmarkEnd w:id="34"/>
      <w:r/>
      <w:bookmarkEnd w:id="35"/>
      <w:r/>
      <w:r/>
    </w:p>
    <w:p>
      <w:pPr>
        <w:ind w:firstLine="480"/>
        <w:spacing w:line="252" w:lineRule="auto"/>
        <w:tabs>
          <w:tab w:val="left" w:pos="900" w:leader="none"/>
        </w:tabs>
        <w:rPr>
          <w:rFonts w:hint="eastAsia" w:ascii="宋体" w:hAnsi="宋体"/>
          <w:bCs/>
          <w:color w:val="auto"/>
          <w:sz w:val="24"/>
          <w:szCs w:val="24"/>
          <w:highlight w:val="none"/>
        </w:rPr>
      </w:pPr>
      <w:r/>
      <w:bookmarkStart w:id="36" w:name="_Toc35393796"/>
      <w:r/>
      <w:bookmarkStart w:id="37" w:name="_Toc38985269"/>
      <w:r/>
      <w:bookmarkStart w:id="38" w:name="_Toc28359085"/>
      <w:r/>
      <w:bookmarkStart w:id="39" w:name="_Toc28359008"/>
      <w:r/>
      <w:bookmarkStart w:id="40" w:name="_Toc35393627"/>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采购人《质疑函》收件人：万老师，收件地址：南京市鼓楼区中山北路540号下关大厦，联系电话：025-83230037。</w:t>
      </w:r>
      <w:r/>
    </w:p>
    <w:p>
      <w:pPr>
        <w:ind w:firstLine="480"/>
        <w:spacing w:line="252" w:lineRule="auto"/>
        <w:rPr>
          <w:rFonts w:hint="eastAsia" w:ascii="宋体" w:hAnsi="宋体"/>
          <w:color w:val="auto"/>
          <w:sz w:val="24"/>
          <w:highlight w:val="none"/>
          <w:lang w:val="zh-CN"/>
        </w:rPr>
      </w:pPr>
      <w:r>
        <w:rPr>
          <w:rFonts w:hint="eastAsia" w:ascii="宋体" w:hAnsi="宋体" w:cs="宋体"/>
          <w:color w:val="auto"/>
          <w:sz w:val="24"/>
          <w:szCs w:val="24"/>
          <w:highlight w:val="none"/>
        </w:rPr>
        <w:t xml:space="preserve">交易中心《质疑函》收件人：南京</w:t>
      </w:r>
      <w:r>
        <w:rPr>
          <w:rFonts w:hint="eastAsia" w:ascii="宋体" w:hAnsi="宋体"/>
          <w:color w:val="auto"/>
          <w:sz w:val="24"/>
          <w:highlight w:val="none"/>
          <w:lang w:val="zh-CN"/>
        </w:rPr>
        <w:t xml:space="preserve">市公共资源交易中心政府</w:t>
      </w:r>
      <w:r>
        <w:rPr>
          <w:rFonts w:hint="eastAsia" w:ascii="宋体" w:hAnsi="宋体"/>
          <w:color w:val="auto"/>
          <w:sz w:val="24"/>
          <w:highlight w:val="none"/>
        </w:rPr>
        <w:t xml:space="preserve">集中</w:t>
      </w:r>
      <w:r>
        <w:rPr>
          <w:rFonts w:hint="eastAsia" w:ascii="宋体" w:hAnsi="宋体"/>
          <w:color w:val="auto"/>
          <w:sz w:val="24"/>
          <w:highlight w:val="none"/>
          <w:lang w:val="zh-CN"/>
        </w:rPr>
        <w:t xml:space="preserve">采购</w:t>
      </w:r>
      <w:r>
        <w:rPr>
          <w:rFonts w:hint="eastAsia" w:ascii="宋体" w:hAnsi="宋体"/>
          <w:color w:val="auto"/>
          <w:sz w:val="24"/>
          <w:highlight w:val="none"/>
        </w:rPr>
        <w:t xml:space="preserve">处</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收件</w:t>
      </w:r>
      <w:r>
        <w:rPr>
          <w:rFonts w:hint="eastAsia" w:ascii="宋体" w:hAnsi="宋体"/>
          <w:color w:val="auto"/>
          <w:sz w:val="24"/>
          <w:highlight w:val="none"/>
          <w:lang w:val="zh-CN"/>
        </w:rPr>
        <w:t xml:space="preserve">地址：南京市江东中路265号南京市公共资源交易中心北门，联系电话：025-68505926。</w:t>
      </w:r>
      <w:r/>
    </w:p>
    <w:p>
      <w:pPr>
        <w:pStyle w:val="84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称：南京市鼓楼区教育局</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南京市鼓楼区中山北路540号下关大厦</w:t>
      </w:r>
      <w:r>
        <w:rPr>
          <w:rFonts w:hint="eastAsia" w:ascii="宋体" w:hAnsi="宋体"/>
          <w:color w:val="auto"/>
          <w:sz w:val="24"/>
          <w:szCs w:val="24"/>
          <w:highlight w:val="none"/>
        </w:rPr>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联系人：万老师</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025-83230037</w:t>
      </w:r>
      <w:r/>
    </w:p>
    <w:p>
      <w:pPr>
        <w:ind w:firstLine="480"/>
        <w:spacing w:line="252"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2.交易中心</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址：南京市建邺区江东中路265号</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联系人：邹女士           </w:t>
      </w:r>
      <w:r/>
    </w:p>
    <w:p>
      <w:pPr>
        <w:ind w:firstLine="480"/>
        <w:spacing w:line="252" w:lineRule="auto"/>
        <w:rPr>
          <w:rFonts w:hint="eastAsia"/>
          <w:color w:val="auto"/>
          <w:highlight w:val="none"/>
        </w:rPr>
      </w:pPr>
      <w:r>
        <w:rPr>
          <w:rFonts w:hint="eastAsia" w:ascii="宋体" w:hAnsi="宋体"/>
          <w:color w:val="auto"/>
          <w:sz w:val="24"/>
          <w:szCs w:val="24"/>
          <w:highlight w:val="none"/>
        </w:rPr>
        <w:t xml:space="preserve">联系电话：025-68505810 </w:t>
      </w:r>
      <w:bookmarkEnd w:id="2"/>
      <w:r/>
      <w:bookmarkEnd w:id="3"/>
      <w:r/>
      <w:bookmarkEnd w:id="4"/>
      <w:r/>
      <w:bookmarkEnd w:id="5"/>
      <w:r/>
      <w:bookmarkEnd w:id="6"/>
      <w:r/>
      <w:r/>
    </w:p>
    <w:p>
      <w:pPr>
        <w:ind w:firstLine="480"/>
        <w:jc w:val="left"/>
        <w:spacing w:line="252" w:lineRule="auto"/>
        <w:rPr>
          <w:rFonts w:ascii="宋体" w:hAnsi="宋体"/>
          <w:color w:val="auto"/>
          <w:sz w:val="24"/>
          <w:szCs w:val="24"/>
          <w:highlight w:val="none"/>
        </w:rPr>
      </w:pPr>
      <w:r/>
      <w:bookmarkStart w:id="41" w:name="_Toc120614211"/>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252" w:lineRule="auto"/>
        <w:rPr>
          <w:rFonts w:ascii="宋体" w:hAnsi="宋体"/>
          <w:color w:val="auto"/>
          <w:sz w:val="24"/>
          <w:szCs w:val="24"/>
          <w:highlight w:val="none"/>
        </w:rPr>
      </w:pPr>
      <w:r>
        <w:rPr>
          <w:rFonts w:ascii="宋体" w:hAnsi="宋体"/>
          <w:color w:val="auto"/>
          <w:sz w:val="24"/>
          <w:szCs w:val="24"/>
          <w:highlight w:val="none"/>
        </w:rPr>
      </w:r>
      <w:r/>
    </w:p>
    <w:p>
      <w:pPr>
        <w:pStyle w:val="855"/>
        <w:rPr>
          <w:color w:val="auto"/>
          <w:highlight w:val="none"/>
        </w:rPr>
      </w:pPr>
      <w:r>
        <w:rPr>
          <w:color w:val="auto"/>
          <w:highlight w:val="none"/>
        </w:rPr>
      </w:r>
      <w:r/>
    </w:p>
    <w:p>
      <w:pPr>
        <w:ind w:firstLine="720"/>
        <w:jc w:val="center"/>
        <w:spacing w:line="252" w:lineRule="auto"/>
        <w:rPr>
          <w:rFonts w:hint="eastAsia" w:ascii="方正小标宋简体" w:hAnsi="方正小标宋简体" w:eastAsia="方正小标宋简体" w:cs="方正小标宋简体"/>
          <w:color w:val="auto"/>
          <w:sz w:val="36"/>
          <w:szCs w:val="36"/>
          <w:highlight w:val="none"/>
        </w:rPr>
      </w:pPr>
      <w:r>
        <w:rPr>
          <w:highlight w:val="none"/>
        </w:rPr>
      </w:r>
      <w:r>
        <w:rPr>
          <w:highlight w:val="none"/>
        </w:rPr>
      </w:r>
      <w:r/>
    </w:p>
    <w:p>
      <w:pPr>
        <w:ind w:firstLine="720"/>
        <w:jc w:val="center"/>
        <w:spacing w:line="252" w:lineRule="auto"/>
        <w:rPr>
          <w:highlight w:val="none"/>
        </w:rPr>
      </w:pPr>
      <w:r>
        <w:rPr>
          <w:rFonts w:hint="eastAsia" w:ascii="方正小标宋简体" w:hAnsi="方正小标宋简体" w:eastAsia="方正小标宋简体" w:cs="方正小标宋简体"/>
          <w:color w:val="auto"/>
          <w:sz w:val="36"/>
          <w:szCs w:val="36"/>
          <w:highlight w:val="none"/>
        </w:rPr>
        <w:t xml:space="preserve">第二章  </w:t>
      </w:r>
      <w:bookmarkEnd w:id="41"/>
      <w:r/>
      <w:bookmarkStart w:id="42" w:name="_Toc120614213"/>
      <w:r/>
      <w:bookmarkStart w:id="43" w:name="_Toc20823274"/>
      <w:r/>
      <w:bookmarkStart w:id="44" w:name="_Toc513029202"/>
      <w:r/>
      <w:bookmarkStart w:id="45" w:name="_Toc16938518"/>
      <w:r>
        <w:rPr>
          <w:rFonts w:hint="eastAsia" w:ascii="方正小标宋简体" w:hAnsi="方正小标宋简体" w:eastAsia="方正小标宋简体" w:cs="方正小标宋简体"/>
          <w:color w:val="auto"/>
          <w:sz w:val="36"/>
          <w:szCs w:val="36"/>
          <w:highlight w:val="none"/>
        </w:rPr>
        <w:t xml:space="preserve">投标人须知</w:t>
      </w:r>
      <w:bookmarkEnd w:id="42"/>
      <w:r/>
      <w:bookmarkEnd w:id="43"/>
      <w:r/>
      <w:bookmarkEnd w:id="44"/>
      <w:r/>
      <w:bookmarkEnd w:id="45"/>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46" w:name="_Toc20823275"/>
      <w:r/>
      <w:bookmarkStart w:id="47" w:name="_Toc513029203"/>
      <w:r/>
      <w:bookmarkStart w:id="48" w:name="_Toc120614214"/>
      <w:r/>
      <w:bookmarkStart w:id="49" w:name="_Toc16938519"/>
      <w:r/>
      <w:bookmarkStart w:id="50" w:name="_Toc20823314"/>
      <w:r/>
      <w:bookmarkStart w:id="51" w:name="_Toc120614221"/>
      <w:r/>
      <w:bookmarkStart w:id="52" w:name="_Toc479757207"/>
      <w:r/>
      <w:bookmarkStart w:id="53" w:name="_Toc16938558"/>
      <w:r/>
      <w:bookmarkStart w:id="54" w:name="_Toc513029242"/>
      <w:r>
        <w:rPr>
          <w:rFonts w:hint="eastAsia" w:ascii="方正黑体_GBK" w:hAnsi="方正黑体_GBK" w:eastAsia="方正黑体_GBK" w:cs="方正黑体_GBK"/>
          <w:b w:val="0"/>
          <w:bCs w:val="0"/>
          <w:color w:val="auto"/>
          <w:sz w:val="30"/>
          <w:szCs w:val="30"/>
          <w:highlight w:val="none"/>
        </w:rPr>
        <w:t xml:space="preserve">一、总则</w:t>
      </w:r>
      <w:bookmarkEnd w:id="46"/>
      <w:r/>
      <w:bookmarkEnd w:id="47"/>
      <w:r/>
      <w:bookmarkEnd w:id="48"/>
      <w:r/>
      <w:bookmarkEnd w:id="49"/>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方正楷体_GBK" w:hAnsi="方正楷体_GBK" w:eastAsia="方正楷体_GBK" w:cs="方正楷体_GBK"/>
          <w:color w:val="auto"/>
          <w:highlight w:val="none"/>
        </w:rPr>
        <w:t xml:space="preserve">1</w:t>
      </w:r>
      <w:bookmarkEnd w:id="56"/>
      <w:r>
        <w:rPr>
          <w:rFonts w:hint="eastAsia" w:ascii="方正楷体_GBK" w:hAnsi="方正楷体_GBK" w:eastAsia="方正楷体_GBK" w:cs="方正楷体_GBK"/>
          <w:color w:val="auto"/>
          <w:highlight w:val="none"/>
        </w:rPr>
        <w:t xml:space="preserve">.招标方式</w:t>
      </w:r>
      <w:bookmarkEnd w:id="57"/>
      <w:r/>
      <w:bookmarkEnd w:id="58"/>
      <w:r/>
      <w:bookmarkEnd w:id="59"/>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60" w:name="_Toc20823277"/>
      <w:r/>
      <w:bookmarkStart w:id="61" w:name="_Toc16938521"/>
      <w:r/>
      <w:bookmarkStart w:id="62" w:name="_Toc513029205"/>
      <w:r>
        <w:rPr>
          <w:rFonts w:hint="eastAsia" w:ascii="方正楷体_GBK" w:hAnsi="方正楷体_GBK" w:eastAsia="方正楷体_GBK" w:cs="方正楷体_GBK"/>
          <w:color w:val="auto"/>
          <w:highlight w:val="none"/>
        </w:rPr>
        <w:t xml:space="preserve">2.合格的投标人</w:t>
      </w:r>
      <w:bookmarkEnd w:id="60"/>
      <w:r/>
      <w:bookmarkEnd w:id="61"/>
      <w:r/>
      <w:bookmarkEnd w:id="62"/>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63" w:name="_Toc20823278"/>
      <w:r/>
      <w:bookmarkStart w:id="64" w:name="_Toc513029206"/>
      <w:r/>
      <w:bookmarkStart w:id="65" w:name="_Toc16938522"/>
      <w:r>
        <w:rPr>
          <w:rFonts w:hint="eastAsia" w:ascii="方正楷体_GBK" w:hAnsi="方正楷体_GBK" w:eastAsia="方正楷体_GBK" w:cs="方正楷体_GBK"/>
          <w:color w:val="auto"/>
          <w:highlight w:val="none"/>
        </w:rPr>
        <w:t xml:space="preserve">3.适用法律</w:t>
      </w:r>
      <w:bookmarkEnd w:id="63"/>
      <w:r/>
      <w:bookmarkEnd w:id="64"/>
      <w:r/>
      <w:bookmarkEnd w:id="65"/>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66" w:name="_Toc20823279"/>
      <w:r/>
      <w:bookmarkStart w:id="67" w:name="_Toc513029207"/>
      <w:r/>
      <w:bookmarkStart w:id="68" w:name="_Toc462564067"/>
      <w:r/>
      <w:bookmarkStart w:id="69" w:name="_Toc16938523"/>
      <w:r>
        <w:rPr>
          <w:rFonts w:hint="eastAsia" w:ascii="方正楷体_GBK" w:hAnsi="方正楷体_GBK" w:eastAsia="方正楷体_GBK" w:cs="方正楷体_GBK"/>
          <w:color w:val="auto"/>
          <w:highlight w:val="none"/>
        </w:rPr>
        <w:t xml:space="preserve">4.投标费用</w:t>
      </w:r>
      <w:bookmarkEnd w:id="66"/>
      <w:r/>
      <w:bookmarkEnd w:id="67"/>
      <w:r/>
      <w:bookmarkEnd w:id="68"/>
      <w:r/>
      <w:bookmarkEnd w:id="69"/>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70" w:name="_Toc20823281"/>
      <w:r/>
      <w:bookmarkStart w:id="71" w:name="_Toc120614215"/>
      <w:r/>
      <w:bookmarkStart w:id="72" w:name="_Toc513029209"/>
      <w:r/>
      <w:bookmarkStart w:id="73" w:name="_Toc16938525"/>
      <w:r>
        <w:rPr>
          <w:rFonts w:hint="eastAsia" w:ascii="方正黑体_GBK" w:hAnsi="方正黑体_GBK" w:eastAsia="方正黑体_GBK" w:cs="方正黑体_GBK"/>
          <w:b w:val="0"/>
          <w:bCs w:val="0"/>
          <w:color w:val="auto"/>
          <w:sz w:val="30"/>
          <w:szCs w:val="30"/>
          <w:highlight w:val="none"/>
        </w:rPr>
        <w:t xml:space="preserve">二、招标文件</w:t>
      </w:r>
      <w:bookmarkEnd w:id="70"/>
      <w:r/>
      <w:bookmarkEnd w:id="71"/>
      <w:r/>
      <w:bookmarkEnd w:id="72"/>
      <w:r/>
      <w:bookmarkEnd w:id="73"/>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74" w:name="_Toc20823282"/>
      <w:r/>
      <w:bookmarkStart w:id="75" w:name="_Toc513029210"/>
      <w:r/>
      <w:bookmarkStart w:id="76" w:name="_Toc16938526"/>
      <w:r>
        <w:rPr>
          <w:rFonts w:hint="eastAsia" w:ascii="方正楷体_GBK" w:hAnsi="方正楷体_GBK" w:eastAsia="方正楷体_GBK" w:cs="方正楷体_GBK"/>
          <w:color w:val="auto"/>
          <w:highlight w:val="none"/>
        </w:rPr>
        <w:t xml:space="preserve">6.招标文件构成</w:t>
      </w:r>
      <w:bookmarkEnd w:id="74"/>
      <w:r/>
      <w:bookmarkEnd w:id="75"/>
      <w:r/>
      <w:bookmarkEnd w:id="76"/>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77" w:name="_Toc462564070"/>
      <w:r/>
      <w:bookmarkStart w:id="78" w:name="_Toc20823283"/>
      <w:r/>
      <w:bookmarkStart w:id="79" w:name="_Toc16938527"/>
      <w:r/>
      <w:bookmarkStart w:id="80" w:name="_Toc513029211"/>
      <w:r>
        <w:rPr>
          <w:rFonts w:hint="eastAsia" w:ascii="方正楷体_GBK" w:hAnsi="方正楷体_GBK" w:eastAsia="方正楷体_GBK" w:cs="方正楷体_GBK"/>
          <w:color w:val="auto"/>
          <w:highlight w:val="none"/>
        </w:rPr>
        <w:t xml:space="preserve">7.招标文件的澄清</w:t>
      </w:r>
      <w:bookmarkEnd w:id="77"/>
      <w:r/>
      <w:bookmarkEnd w:id="78"/>
      <w:r/>
      <w:bookmarkEnd w:id="79"/>
      <w:r/>
      <w:bookmarkEnd w:id="80"/>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81" w:name="_Toc462564071"/>
      <w:r/>
      <w:bookmarkStart w:id="82" w:name="_Toc513029212"/>
      <w:r/>
      <w:bookmarkStart w:id="83" w:name="_Toc20823284"/>
      <w:r/>
      <w:bookmarkStart w:id="84" w:name="_Toc16938528"/>
      <w:r>
        <w:rPr>
          <w:rFonts w:hint="eastAsia" w:ascii="方正楷体_GBK" w:hAnsi="方正楷体_GBK" w:eastAsia="方正楷体_GBK" w:cs="方正楷体_GBK"/>
          <w:color w:val="auto"/>
          <w:highlight w:val="none"/>
        </w:rPr>
        <w:t xml:space="preserve">8.招标文件的修改</w:t>
      </w:r>
      <w:bookmarkEnd w:id="81"/>
      <w:r/>
      <w:bookmarkEnd w:id="82"/>
      <w:r/>
      <w:bookmarkEnd w:id="83"/>
      <w:r/>
      <w:bookmarkEnd w:id="84"/>
      <w:r/>
      <w:r/>
    </w:p>
    <w:p>
      <w:pPr>
        <w:ind w:firstLine="420"/>
        <w:rPr>
          <w:rFonts w:hint="eastAsia" w:ascii="宋体" w:hAnsi="宋体"/>
          <w:color w:val="auto"/>
          <w:sz w:val="24"/>
          <w:highlight w:val="none"/>
        </w:rPr>
      </w:pPr>
      <w:r/>
      <w:bookmarkStart w:id="85" w:name="_Toc16938529"/>
      <w:r/>
      <w:bookmarkStart w:id="86" w:name="_Toc20823285"/>
      <w:r/>
      <w:bookmarkStart w:id="87" w:name="_Toc513029213"/>
      <w:r/>
      <w:bookmarkStart w:id="88" w:name="_Toc462564072"/>
      <w:r/>
      <w:bookmarkStart w:id="89" w:name="_Toc120614216"/>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5"/>
      <w:r/>
      <w:bookmarkEnd w:id="86"/>
      <w:r/>
      <w:bookmarkEnd w:id="87"/>
      <w:r/>
      <w:bookmarkEnd w:id="88"/>
      <w:r/>
      <w:bookmarkEnd w:id="89"/>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90" w:name="_Toc462564073"/>
      <w:r/>
      <w:bookmarkStart w:id="91" w:name="_Toc513029214"/>
      <w:r/>
      <w:bookmarkStart w:id="92" w:name="_Toc20823286"/>
      <w:r/>
      <w:bookmarkStart w:id="93" w:name="_Toc16938530"/>
      <w:r>
        <w:rPr>
          <w:rFonts w:hint="eastAsia" w:ascii="方正楷体_GBK" w:hAnsi="方正楷体_GBK" w:eastAsia="方正楷体_GBK" w:cs="方正楷体_GBK"/>
          <w:color w:val="auto"/>
          <w:highlight w:val="none"/>
        </w:rPr>
        <w:t xml:space="preserve">9.投标文件的语言及度量衡单位</w:t>
      </w:r>
      <w:bookmarkEnd w:id="90"/>
      <w:r/>
      <w:bookmarkEnd w:id="91"/>
      <w:r/>
      <w:bookmarkEnd w:id="92"/>
      <w:r/>
      <w:bookmarkEnd w:id="93"/>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94" w:name="_Toc16938531"/>
      <w:r/>
      <w:bookmarkStart w:id="95" w:name="_Toc462564074"/>
      <w:r/>
      <w:bookmarkStart w:id="96" w:name="_Toc20823287"/>
      <w:r/>
      <w:bookmarkStart w:id="97" w:name="_Toc513029215"/>
      <w:r>
        <w:rPr>
          <w:rFonts w:hint="eastAsia" w:ascii="方正楷体_GBK" w:hAnsi="方正楷体_GBK" w:eastAsia="方正楷体_GBK" w:cs="方正楷体_GBK"/>
          <w:color w:val="auto"/>
          <w:highlight w:val="none"/>
        </w:rPr>
        <w:t xml:space="preserve">10.投标文件构成</w:t>
      </w:r>
      <w:bookmarkEnd w:id="94"/>
      <w:r/>
      <w:bookmarkEnd w:id="95"/>
      <w:r/>
      <w:bookmarkEnd w:id="96"/>
      <w:r/>
      <w:bookmarkEnd w:id="97"/>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98" w:name="_Hlt26668975"/>
      <w:r/>
      <w:bookmarkEnd w:id="98"/>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49090507"/>
      <w:r/>
      <w:bookmarkStart w:id="105" w:name="_Toc14577354"/>
      <w:r/>
      <w:bookmarkStart w:id="106" w:name="_Toc513029216"/>
      <w:r>
        <w:rPr>
          <w:rFonts w:hint="eastAsia" w:ascii="方正楷体_GBK" w:hAnsi="方正楷体_GBK" w:eastAsia="方正楷体_GBK" w:cs="方正楷体_GBK"/>
          <w:color w:val="auto"/>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20"/>
        <w:rPr>
          <w:rFonts w:hint="eastAsia" w:ascii="宋体" w:hAnsi="宋体"/>
          <w:color w:val="auto"/>
          <w:sz w:val="24"/>
          <w:highlight w:val="none"/>
        </w:rPr>
      </w:pPr>
      <w:r/>
      <w:bookmarkStart w:id="107" w:name="_Toc14577355"/>
      <w:r/>
      <w:bookmarkStart w:id="108"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07"/>
      <w:r/>
      <w:bookmarkStart w:id="109" w:name="_Hlt26670373"/>
      <w:r/>
      <w:bookmarkEnd w:id="109"/>
      <w:r>
        <w:rPr>
          <w:rFonts w:hint="eastAsia" w:ascii="方正楷体_GBK" w:hAnsi="方正楷体_GBK" w:eastAsia="方正楷体_GBK" w:cs="方正楷体_GBK"/>
          <w:color w:val="auto"/>
          <w:highlight w:val="none"/>
        </w:rPr>
        <w:t xml:space="preserve">表</w:t>
      </w:r>
      <w:bookmarkEnd w:id="108"/>
      <w:r>
        <w:rPr>
          <w:rFonts w:hint="eastAsia" w:ascii="方正楷体_GBK" w:hAnsi="方正楷体_GBK" w:eastAsia="方正楷体_GBK" w:cs="方正楷体_GBK"/>
          <w:color w:val="auto"/>
          <w:highlight w:val="none"/>
        </w:rPr>
        <w:t xml:space="preserve">（如有）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0" w:name="_Hlt26954840"/>
      <w:r/>
      <w:bookmarkEnd w:id="110"/>
      <w:r>
        <w:rPr>
          <w:rFonts w:hint="eastAsia" w:ascii="宋体" w:hAnsi="宋体"/>
          <w:color w:val="auto"/>
          <w:sz w:val="24"/>
          <w:highlight w:val="none"/>
        </w:rPr>
        <w:t xml:space="preserve">标人应按照招标文件规定格式填报投标分项报价表</w:t>
      </w:r>
      <w:bookmarkStart w:id="111" w:name="_Hlt26670399"/>
      <w:r/>
      <w:bookmarkEnd w:id="111"/>
      <w:r>
        <w:rPr>
          <w:rFonts w:hint="eastAsia" w:ascii="宋体" w:hAnsi="宋体"/>
          <w:color w:val="auto"/>
          <w:sz w:val="24"/>
          <w:highlight w:val="none"/>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12" w:name="_Hlt26954844"/>
      <w:r/>
      <w:bookmarkEnd w:id="112"/>
      <w:r/>
      <w:bookmarkStart w:id="113" w:name="_Hlt26670486"/>
      <w:r/>
      <w:bookmarkEnd w:id="113"/>
      <w:r/>
      <w:bookmarkStart w:id="114" w:name="_Hlt26670425"/>
      <w:r/>
      <w:bookmarkEnd w:id="114"/>
      <w:r/>
      <w:bookmarkStart w:id="115" w:name="_Hlt26954846"/>
      <w:r/>
      <w:bookmarkEnd w:id="115"/>
      <w:r/>
      <w:bookmarkStart w:id="116" w:name="_Hlt26954731"/>
      <w:r/>
      <w:bookmarkEnd w:id="116"/>
      <w:r/>
      <w:bookmarkStart w:id="117" w:name="_Hlt26670403"/>
      <w:r/>
      <w:bookmarkEnd w:id="117"/>
      <w:r/>
      <w:bookmarkStart w:id="118" w:name="_Hlt26670482"/>
      <w:r/>
      <w:bookmarkEnd w:id="118"/>
      <w:r/>
      <w:bookmarkStart w:id="119" w:name="_Hlt26954848"/>
      <w:r/>
      <w:bookmarkEnd w:id="119"/>
      <w:r/>
      <w:bookmarkStart w:id="120" w:name="_Hlt26954842"/>
      <w:r/>
      <w:bookmarkEnd w:id="120"/>
      <w:r/>
      <w:bookmarkStart w:id="121" w:name="_Hlt26668983"/>
      <w:r/>
      <w:bookmarkEnd w:id="121"/>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22" w:name="_Toc14577359"/>
      <w:r/>
      <w:bookmarkStart w:id="123" w:name="_Toc49090510"/>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22"/>
      <w:r/>
      <w:bookmarkEnd w:id="123"/>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color w:val="auto"/>
          <w:highlight w:val="none"/>
        </w:rPr>
        <w:t xml:space="preserve">15.投标有效期</w:t>
      </w:r>
      <w:bookmarkEnd w:id="127"/>
      <w:r/>
      <w:bookmarkEnd w:id="128"/>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rPr>
          <w:rFonts w:hint="eastAsia" w:ascii="方正黑体_GBK" w:hAnsi="方正黑体_GBK" w:eastAsia="方正黑体_GBK" w:cs="方正黑体_GBK"/>
          <w:b w:val="0"/>
          <w:bCs w:val="0"/>
          <w:color w:val="auto"/>
          <w:sz w:val="30"/>
          <w:szCs w:val="30"/>
          <w:highlight w:val="none"/>
        </w:rPr>
        <w:t xml:space="preserve">四、投标文件的递交</w:t>
      </w:r>
      <w:bookmarkEnd w:id="131"/>
      <w:r/>
      <w:bookmarkEnd w:id="132"/>
      <w:r/>
      <w:bookmarkEnd w:id="133"/>
      <w:r/>
      <w:bookmarkEnd w:id="134"/>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35" w:name="_Toc16938541"/>
      <w:r/>
      <w:bookmarkStart w:id="136" w:name="_Toc513029225"/>
      <w:r/>
      <w:bookmarkStart w:id="137" w:name="_Toc20823297"/>
      <w:r/>
      <w:bookmarkStart w:id="138" w:name="_Toc462564084"/>
      <w:r>
        <w:rPr>
          <w:rFonts w:hint="eastAsia" w:ascii="方正楷体_GBK" w:hAnsi="方正楷体_GBK" w:eastAsia="方正楷体_GBK" w:cs="方正楷体_GBK"/>
          <w:color w:val="auto"/>
          <w:highlight w:val="none"/>
        </w:rPr>
        <w:t xml:space="preserve">17.投标文件</w:t>
      </w:r>
      <w:bookmarkEnd w:id="135"/>
      <w:r/>
      <w:bookmarkEnd w:id="136"/>
      <w:r/>
      <w:bookmarkEnd w:id="137"/>
      <w:r/>
      <w:bookmarkEnd w:id="138"/>
      <w:r>
        <w:rPr>
          <w:rFonts w:hint="eastAsia" w:ascii="方正楷体_GBK" w:hAnsi="方正楷体_GBK" w:eastAsia="方正楷体_GBK" w:cs="方正楷体_GBK"/>
          <w:color w:val="auto"/>
          <w:highlight w:val="none"/>
        </w:rPr>
        <w:t xml:space="preserve">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39" w:name="_Toc16938542"/>
      <w:r/>
      <w:bookmarkStart w:id="140" w:name="_Toc20823298"/>
      <w:r/>
      <w:bookmarkStart w:id="141" w:name="_Toc513029226"/>
      <w:r/>
      <w:bookmarkEnd w:id="139"/>
      <w:r/>
      <w:bookmarkEnd w:id="140"/>
      <w:r/>
      <w:bookmarkEnd w:id="141"/>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42" w:name="_Toc16938543"/>
      <w:r/>
      <w:bookmarkStart w:id="143" w:name="_Toc513029227"/>
      <w:r/>
      <w:bookmarkStart w:id="144" w:name="_Toc20823299"/>
      <w:r>
        <w:rPr>
          <w:rFonts w:hint="eastAsia" w:ascii="方正楷体_GBK" w:hAnsi="方正楷体_GBK" w:eastAsia="方正楷体_GBK" w:cs="方正楷体_GBK"/>
          <w:color w:val="auto"/>
          <w:highlight w:val="none"/>
        </w:rPr>
        <w:t xml:space="preserve">18.投标文件</w:t>
      </w:r>
      <w:bookmarkEnd w:id="142"/>
      <w:r/>
      <w:bookmarkEnd w:id="143"/>
      <w:r/>
      <w:bookmarkEnd w:id="144"/>
      <w:r>
        <w:rPr>
          <w:rFonts w:hint="eastAsia" w:ascii="方正楷体_GBK" w:hAnsi="方正楷体_GBK" w:eastAsia="方正楷体_GBK" w:cs="方正楷体_GBK"/>
          <w:color w:val="auto"/>
          <w:highlight w:val="none"/>
        </w:rPr>
        <w:t xml:space="preserve">的拒收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45" w:name="_Toc20823300"/>
      <w:r/>
      <w:bookmarkStart w:id="146" w:name="_Toc16938544"/>
      <w:r/>
      <w:bookmarkStart w:id="147" w:name="_Toc513029228"/>
      <w:r>
        <w:rPr>
          <w:rFonts w:hint="eastAsia" w:ascii="方正楷体_GBK" w:hAnsi="方正楷体_GBK" w:eastAsia="方正楷体_GBK" w:cs="方正楷体_GBK"/>
          <w:color w:val="auto"/>
          <w:highlight w:val="none"/>
        </w:rPr>
        <w:t xml:space="preserve">19.投标文件的撤回和修改</w:t>
      </w:r>
      <w:bookmarkEnd w:id="145"/>
      <w:r/>
      <w:bookmarkEnd w:id="146"/>
      <w:r/>
      <w:bookmarkEnd w:id="147"/>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48" w:name="_Toc16938545"/>
      <w:r/>
      <w:bookmarkStart w:id="149" w:name="_Toc20823301"/>
      <w:r/>
      <w:bookmarkStart w:id="150" w:name="_Toc120614218"/>
      <w:r/>
      <w:bookmarkStart w:id="151" w:name="_Toc513029229"/>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48"/>
      <w:r/>
      <w:bookmarkEnd w:id="149"/>
      <w:r/>
      <w:bookmarkEnd w:id="150"/>
      <w:r/>
      <w:bookmarkEnd w:id="151"/>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52" w:name="_Toc16938546"/>
      <w:r/>
      <w:bookmarkStart w:id="153" w:name="_Toc20823302"/>
      <w:r/>
      <w:bookmarkStart w:id="154" w:name="_Toc513029230"/>
      <w:r>
        <w:rPr>
          <w:rFonts w:hint="eastAsia" w:ascii="方正楷体_GBK" w:hAnsi="方正楷体_GBK" w:eastAsia="方正楷体_GBK" w:cs="方正楷体_GBK"/>
          <w:color w:val="auto"/>
          <w:highlight w:val="none"/>
        </w:rPr>
        <w:t xml:space="preserve">20.开标</w:t>
      </w:r>
      <w:bookmarkEnd w:id="152"/>
      <w:r/>
      <w:bookmarkEnd w:id="153"/>
      <w:r/>
      <w:bookmarkEnd w:id="154"/>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55" w:name="_Toc20823303"/>
      <w:r/>
      <w:bookmarkStart w:id="156" w:name="_Toc513029231"/>
      <w:r/>
      <w:bookmarkStart w:id="157" w:name="_Toc16938547"/>
      <w:r>
        <w:rPr>
          <w:rFonts w:hint="eastAsia" w:ascii="方正楷体_GBK" w:hAnsi="方正楷体_GBK" w:eastAsia="方正楷体_GBK" w:cs="方正楷体_GBK"/>
          <w:color w:val="auto"/>
          <w:highlight w:val="none"/>
        </w:rPr>
        <w:t xml:space="preserve">21.评标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评标由依法组建的</w:t>
      </w:r>
      <w:r>
        <w:rPr>
          <w:rFonts w:hint="eastAsia" w:ascii="宋体" w:hAnsi="宋体"/>
          <w:color w:val="auto"/>
          <w:sz w:val="24"/>
          <w:highlight w:val="none"/>
          <w:lang w:val="zh-CN"/>
        </w:rPr>
        <w:t xml:space="preserve">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55"/>
      <w:r/>
      <w:bookmarkEnd w:id="156"/>
      <w:r/>
      <w:bookmarkEnd w:id="157"/>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58" w:name="_Toc20823304"/>
      <w:r/>
      <w:bookmarkStart w:id="159" w:name="_Toc513029232"/>
      <w:r/>
      <w:bookmarkStart w:id="160" w:name="_Toc16938548"/>
      <w:r>
        <w:rPr>
          <w:rFonts w:hint="eastAsia" w:ascii="方正楷体_GBK" w:hAnsi="方正楷体_GBK" w:eastAsia="方正楷体_GBK" w:cs="方正楷体_GBK"/>
          <w:color w:val="auto"/>
          <w:highlight w:val="none"/>
        </w:rPr>
        <w:t xml:space="preserve">23.投标文件的澄清</w:t>
      </w:r>
      <w:bookmarkEnd w:id="158"/>
      <w:r/>
      <w:bookmarkEnd w:id="159"/>
      <w:r/>
      <w:bookmarkEnd w:id="160"/>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61" w:name="_Toc513029233"/>
      <w:r/>
      <w:bookmarkStart w:id="162" w:name="_Toc16938549"/>
      <w:r/>
      <w:bookmarkStart w:id="163" w:name="_Toc20823305"/>
      <w:r>
        <w:rPr>
          <w:rFonts w:hint="eastAsia" w:ascii="方正楷体_GBK" w:hAnsi="方正楷体_GBK" w:eastAsia="方正楷体_GBK" w:cs="方正楷体_GBK"/>
          <w:color w:val="auto"/>
          <w:highlight w:val="none"/>
        </w:rPr>
        <w:t xml:space="preserve">24.投标文件的</w:t>
      </w:r>
      <w:bookmarkEnd w:id="161"/>
      <w:r/>
      <w:bookmarkEnd w:id="162"/>
      <w:r/>
      <w:bookmarkEnd w:id="163"/>
      <w:r>
        <w:rPr>
          <w:rFonts w:hint="eastAsia" w:ascii="方正楷体_GBK" w:hAnsi="方正楷体_GBK" w:eastAsia="方正楷体_GBK" w:cs="方正楷体_GBK"/>
          <w:color w:val="auto"/>
          <w:highlight w:val="none"/>
        </w:rPr>
        <w:t xml:space="preserve">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lang w:val="zh-CN"/>
        </w:rPr>
      </w:pPr>
      <w:r/>
      <w:bookmarkStart w:id="164" w:name="_Toc20823306"/>
      <w:r/>
      <w:bookmarkStart w:id="165" w:name="_Toc513029234"/>
      <w:r/>
      <w:bookmarkStart w:id="166" w:name="_Toc16938550"/>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异常低价审查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评标过程中出现下列情形之一的，评委会应当启动异常低价审查程序：</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rPr>
        <w:t xml:space="preserve">65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auto"/>
          <w:sz w:val="24"/>
          <w:highlight w:val="none"/>
          <w:lang w:val="zh-CN"/>
        </w:rPr>
        <w:t xml:space="preserve">供应商已随投标文件一并提交相关书面说明及必要的证明材料的，在评标现场可不再重复提交</w:t>
      </w:r>
      <w:bookmarkEnd w:id="167"/>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64"/>
      <w:r/>
      <w:bookmarkEnd w:id="165"/>
      <w:r/>
      <w:bookmarkEnd w:id="166"/>
      <w:r>
        <w:rPr>
          <w:rFonts w:hint="eastAsia" w:ascii="方正楷体_GBK" w:hAnsi="方正楷体_GBK" w:eastAsia="方正楷体_GBK" w:cs="方正楷体_GBK"/>
          <w:color w:val="auto"/>
          <w:highlight w:val="none"/>
        </w:rPr>
        <w:t xml:space="preserve">5.无效投标和废标</w:t>
      </w:r>
      <w:r/>
    </w:p>
    <w:p>
      <w:pPr>
        <w:ind w:firstLine="420"/>
        <w:rPr>
          <w:rFonts w:hint="eastAsia" w:ascii="宋体" w:hAnsi="宋体"/>
          <w:color w:val="auto"/>
          <w:sz w:val="24"/>
          <w:highlight w:val="none"/>
          <w:lang w:val="zh-CN"/>
        </w:rPr>
      </w:pPr>
      <w:r/>
      <w:bookmarkStart w:id="168" w:name="_Toc513029235"/>
      <w:r/>
      <w:bookmarkStart w:id="169" w:name="_Toc20823307"/>
      <w:r/>
      <w:bookmarkStart w:id="170" w:name="_Toc16938551"/>
      <w:r/>
      <w:bookmarkStart w:id="171" w:name="_Toc120614219"/>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25.1.10 评委会</w:t>
      </w:r>
      <w:r>
        <w:rPr>
          <w:rFonts w:hint="eastAsia" w:ascii="宋体" w:hAnsi="宋体"/>
          <w:color w:val="auto"/>
          <w:sz w:val="24"/>
          <w:szCs w:val="21"/>
          <w:highlight w:val="none"/>
        </w:rPr>
        <w:t xml:space="preserve">按照本招标文件规定对投标人进行异常低价审查后，认为投标人不能证明其报价合理性的。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25.1.12 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25.2.5 因苏采云系统故障造成开标不成功。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w:t>
      </w:r>
      <w:r>
        <w:rPr>
          <w:rFonts w:hint="eastAsia" w:ascii="宋体" w:hAnsi="宋体"/>
          <w:b/>
          <w:bCs/>
          <w:color w:val="auto"/>
          <w:sz w:val="24"/>
          <w:highlight w:val="none"/>
          <w:lang w:bidi="ar"/>
        </w:rPr>
        <w:t xml:space="preserve">对</w:t>
      </w:r>
      <w:r>
        <w:rPr>
          <w:rFonts w:hint="eastAsia" w:ascii="宋体" w:hAnsi="宋体"/>
          <w:b/>
          <w:bCs/>
          <w:color w:val="auto"/>
          <w:sz w:val="24"/>
          <w:highlight w:val="none"/>
          <w:lang w:val="zh-CN" w:bidi="ar"/>
        </w:rPr>
        <w:t xml:space="preserve">招标文件是否存在不合理条款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highlight w:val="none"/>
        </w:rPr>
        <w:t xml:space="preserve">定标</w:t>
      </w:r>
      <w:bookmarkEnd w:id="171"/>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72" w:name="_Toc513029238"/>
      <w:r/>
      <w:bookmarkStart w:id="173" w:name="_Toc16938554"/>
      <w:r/>
      <w:bookmarkStart w:id="174" w:name="_Toc20823310"/>
      <w:r>
        <w:rPr>
          <w:rFonts w:hint="eastAsia" w:ascii="方正楷体_GBK" w:hAnsi="方正楷体_GBK" w:eastAsia="方正楷体_GBK" w:cs="方正楷体_GBK"/>
          <w:color w:val="auto"/>
          <w:highlight w:val="none"/>
        </w:rPr>
        <w:t xml:space="preserve">2</w:t>
      </w:r>
      <w:bookmarkEnd w:id="172"/>
      <w:r>
        <w:rPr>
          <w:rFonts w:hint="eastAsia" w:ascii="方正楷体_GBK" w:hAnsi="方正楷体_GBK" w:eastAsia="方正楷体_GBK" w:cs="方正楷体_GBK"/>
          <w:color w:val="auto"/>
          <w:highlight w:val="none"/>
        </w:rPr>
        <w:t xml:space="preserve">6.确定</w:t>
      </w:r>
      <w:bookmarkEnd w:id="173"/>
      <w:r/>
      <w:bookmarkEnd w:id="174"/>
      <w:r>
        <w:rPr>
          <w:rFonts w:hint="eastAsia" w:ascii="方正楷体_GBK" w:hAnsi="方正楷体_GBK" w:eastAsia="方正楷体_GBK" w:cs="方正楷体_GBK"/>
          <w:color w:val="auto"/>
          <w:highlight w:val="none"/>
        </w:rPr>
        <w:t xml:space="preserve">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lang w:val="zh-CN"/>
        </w:rPr>
      </w:pPr>
      <w:r/>
      <w:bookmarkStart w:id="17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175"/>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auto"/>
          <w:sz w:val="30"/>
          <w:szCs w:val="30"/>
          <w:highlight w:val="none"/>
        </w:rPr>
        <w:t xml:space="preserve">七、授予合同</w:t>
      </w:r>
      <w:bookmarkEnd w:id="176"/>
      <w:r/>
      <w:bookmarkEnd w:id="177"/>
      <w:r/>
      <w:bookmarkEnd w:id="178"/>
      <w:r/>
      <w:bookmarkEnd w:id="179"/>
      <w:r/>
      <w:r/>
    </w:p>
    <w:p>
      <w:pPr>
        <w:pStyle w:val="847"/>
        <w:ind w:firstLine="422"/>
        <w:spacing w:before="0" w:after="0" w:line="240" w:lineRule="auto"/>
        <w:rPr>
          <w:rFonts w:hint="eastAsia" w:ascii="方正楷体_GBK" w:hAnsi="方正楷体_GBK" w:eastAsia="方正楷体_GBK" w:cs="方正楷体_GBK"/>
          <w:color w:val="auto"/>
          <w:highlight w:val="none"/>
        </w:rPr>
      </w:pPr>
      <w:r/>
      <w:bookmarkStart w:id="180" w:name="_Toc16938553"/>
      <w:r/>
      <w:bookmarkStart w:id="181" w:name="_Toc20823309"/>
      <w:r/>
      <w:bookmarkStart w:id="182" w:name="_Toc513029237"/>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0"/>
      <w:r/>
      <w:bookmarkEnd w:id="181"/>
      <w:r/>
      <w:bookmarkEnd w:id="182"/>
      <w:r/>
      <w:r/>
    </w:p>
    <w:p>
      <w:pPr>
        <w:pStyle w:val="847"/>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rFonts w:hint="eastAsia"/>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84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供应商根据质疑事项向相应的质疑答复主体提出质疑，具体详见采购文件第一章。由采购人负责答复的质疑，采购人将</w:t>
      </w:r>
      <w:r>
        <w:rPr>
          <w:rFonts w:hint="eastAsia" w:ascii="宋体" w:hAnsi="宋体" w:cs="仿宋"/>
          <w:b/>
          <w:bCs/>
          <w:color w:val="auto"/>
          <w:sz w:val="24"/>
          <w:szCs w:val="24"/>
          <w:highlight w:val="none"/>
        </w:rPr>
        <w:t xml:space="preserve">《质疑函》</w:t>
      </w:r>
      <w:r>
        <w:rPr>
          <w:rFonts w:hint="eastAsia" w:ascii="宋体" w:hAnsi="宋体"/>
          <w:b/>
          <w:bCs/>
          <w:color w:val="auto"/>
          <w:sz w:val="24"/>
          <w:highlight w:val="none"/>
        </w:rPr>
        <w:t xml:space="preserve">《质疑答复函》抄送交易中心。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6"/>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847"/>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本项目中的</w:t>
      </w:r>
      <w:r>
        <w:rPr>
          <w:rFonts w:hint="eastAsia" w:ascii="宋体" w:hAnsi="宋体"/>
          <w:color w:val="auto"/>
          <w:sz w:val="24"/>
          <w:highlight w:val="none"/>
          <w:lang w:val="zh-CN"/>
        </w:rPr>
        <w:t xml:space="preserve">货物</w:t>
      </w:r>
      <w:r>
        <w:rPr>
          <w:rFonts w:hint="eastAsia" w:ascii="宋体" w:hAnsi="宋体"/>
          <w:color w:val="auto"/>
          <w:sz w:val="24"/>
          <w:highlight w:val="none"/>
        </w:rPr>
        <w:t xml:space="preserve">全部</w:t>
      </w:r>
      <w:r>
        <w:rPr>
          <w:rFonts w:hint="eastAsia" w:ascii="宋体" w:hAnsi="宋体"/>
          <w:color w:val="auto"/>
          <w:sz w:val="24"/>
          <w:highlight w:val="none"/>
          <w:lang w:val="zh-CN"/>
        </w:rPr>
        <w:t xml:space="preserve">由中小企业制造的，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847"/>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847"/>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7"/>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847"/>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7"/>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43.2本国产品应当符合以下条件：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2"/>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922"/>
        <w:ind w:left="0"/>
        <w:jc w:val="center"/>
        <w:rPr>
          <w:rFonts w:hint="eastAsia" w:ascii="黑体" w:hAnsi="Times New Roman" w:eastAsia="黑体" w:cs="Times New Roman"/>
          <w:color w:val="auto"/>
          <w:sz w:val="44"/>
          <w:szCs w:val="44"/>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auto"/>
          <w:sz w:val="36"/>
          <w:szCs w:val="36"/>
          <w:highlight w:val="none"/>
          <w:lang w:val="en-US"/>
        </w:rPr>
        <w:t xml:space="preserve">文本</w:t>
      </w:r>
      <w:r/>
    </w:p>
    <w:p>
      <w:pPr>
        <w:ind w:firstLine="480"/>
        <w:spacing w:line="264" w:lineRule="auto"/>
        <w:rPr>
          <w:rFonts w:hint="eastAsia" w:ascii="宋体" w:hAnsi="宋体"/>
          <w:bCs/>
          <w:color w:val="auto"/>
          <w:sz w:val="24"/>
          <w:szCs w:val="21"/>
          <w:highlight w:val="none"/>
        </w:rPr>
      </w:pPr>
      <w:r/>
      <w:bookmarkStart w:id="183" w:name="_Toc20823315"/>
      <w:r/>
      <w:bookmarkStart w:id="184" w:name="_Toc16938559"/>
      <w:r/>
      <w:bookmarkStart w:id="185" w:name="_Toc513029243"/>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auto"/>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hint="eastAsia"/>
          <w:color w:val="auto"/>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868"/>
        <w:spacing w:line="264"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868"/>
        <w:spacing w:line="264" w:lineRule="auto"/>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pStyle w:val="868"/>
        <w:spacing w:line="264" w:lineRule="auto"/>
        <w:rPr>
          <w:rFonts w:hint="eastAsia" w:hAnsi="宋体"/>
          <w:color w:val="auto"/>
          <w:sz w:val="24"/>
          <w:szCs w:val="24"/>
          <w:highlight w:val="none"/>
        </w:rPr>
      </w:pPr>
      <w:r>
        <w:rPr>
          <w:rFonts w:hint="eastAsia" w:hAnsi="宋体"/>
          <w:color w:val="auto"/>
          <w:sz w:val="24"/>
          <w:szCs w:val="24"/>
          <w:highlight w:val="none"/>
        </w:rPr>
        <w:t xml:space="preserve">8.1.1 合同签订后，甲方支付合同总价款的30%作为预付款。</w:t>
      </w:r>
      <w:r/>
    </w:p>
    <w:p>
      <w:pPr>
        <w:pStyle w:val="868"/>
        <w:spacing w:line="264" w:lineRule="auto"/>
        <w:rPr>
          <w:rFonts w:hint="eastAsia" w:hAnsi="宋体"/>
          <w:color w:val="auto"/>
          <w:sz w:val="24"/>
          <w:szCs w:val="24"/>
          <w:highlight w:val="none"/>
        </w:rPr>
      </w:pPr>
      <w:r>
        <w:rPr>
          <w:rFonts w:hint="eastAsia" w:hAnsi="宋体"/>
          <w:color w:val="auto"/>
          <w:sz w:val="24"/>
          <w:szCs w:val="24"/>
          <w:highlight w:val="none"/>
        </w:rPr>
        <w:t xml:space="preserve">8.1.2 供货结束并验收合格后，甲方支付合同总价款的70%。</w:t>
      </w:r>
      <w:r/>
    </w:p>
    <w:p>
      <w:pPr>
        <w:pStyle w:val="868"/>
        <w:spacing w:line="264" w:lineRule="auto"/>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868"/>
        <w:spacing w:line="264"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pStyle w:val="868"/>
        <w:spacing w:line="264"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auto"/>
          <w:highlight w:val="none"/>
        </w:rPr>
      </w:pPr>
      <w:r>
        <w:rPr>
          <w:rFonts w:hint="eastAsia" w:ascii="宋体" w:hAnsi="宋体" w:cs="Courier New"/>
          <w:color w:val="auto"/>
          <w:sz w:val="24"/>
          <w:szCs w:val="24"/>
          <w:highlight w:val="none"/>
        </w:rPr>
        <w:t xml:space="preserve">11.7</w:t>
      </w:r>
      <w:r>
        <w:rPr>
          <w:rFonts w:hint="eastAsia" w:ascii="宋体" w:hAnsi="宋体" w:cs="Courier New"/>
          <w:color w:val="auto"/>
          <w:sz w:val="24"/>
          <w:szCs w:val="24"/>
          <w:highlight w:val="none"/>
          <w:lang w:val="zh-CN"/>
        </w:rPr>
        <w:t xml:space="preserve">网络安全、</w:t>
      </w:r>
      <w:r>
        <w:rPr>
          <w:rFonts w:hint="eastAsia" w:ascii="宋体" w:hAnsi="宋体" w:cs="Courier New"/>
          <w:color w:val="auto"/>
          <w:sz w:val="24"/>
          <w:szCs w:val="24"/>
          <w:highlight w:val="none"/>
        </w:rPr>
        <w:t xml:space="preserve">市场准入</w:t>
      </w:r>
      <w:r>
        <w:rPr>
          <w:rFonts w:hint="eastAsia" w:ascii="宋体" w:hAnsi="宋体" w:cs="Courier New"/>
          <w:color w:val="auto"/>
          <w:sz w:val="24"/>
          <w:szCs w:val="24"/>
          <w:highlight w:val="none"/>
          <w:lang w:val="zh-CN"/>
        </w:rPr>
        <w:t xml:space="preserve">要求（</w:t>
      </w:r>
      <w:r>
        <w:rPr>
          <w:rFonts w:hint="eastAsia" w:ascii="宋体" w:hAnsi="宋体" w:cs="Courier New"/>
          <w:color w:val="auto"/>
          <w:sz w:val="24"/>
          <w:szCs w:val="24"/>
          <w:highlight w:val="none"/>
        </w:rPr>
        <w:t xml:space="preserve">如有</w:t>
      </w:r>
      <w:r>
        <w:rPr>
          <w:rFonts w:hint="eastAsia" w:ascii="宋体" w:hAnsi="宋体" w:cs="Courier New"/>
          <w:color w:val="auto"/>
          <w:sz w:val="24"/>
          <w:szCs w:val="24"/>
          <w:highlight w:val="none"/>
          <w:lang w:val="zh-CN"/>
        </w:rPr>
        <w:t xml:space="preserve">）：</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万分之五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万分之五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83"/>
      <w:r/>
      <w:bookmarkEnd w:id="184"/>
      <w:r/>
      <w:bookmarkEnd w:id="185"/>
      <w:r/>
      <w:r/>
    </w:p>
    <w:p>
      <w:pPr>
        <w:pStyle w:val="868"/>
        <w:spacing w:before="120" w:after="120" w:line="264" w:lineRule="auto"/>
        <w:rPr>
          <w:rFonts w:hint="eastAsia" w:hAnsi="宋体"/>
          <w:color w:val="auto"/>
          <w:sz w:val="24"/>
          <w:szCs w:val="24"/>
          <w:highlight w:val="none"/>
        </w:rPr>
      </w:pPr>
      <w:r/>
      <w:bookmarkStart w:id="192" w:name="_Hlt16619369"/>
      <w:r/>
      <w:bookmarkEnd w:id="192"/>
      <w:r>
        <w:rPr>
          <w:rFonts w:hint="eastAsia" w:hAnsi="宋体"/>
          <w:color w:val="auto"/>
          <w:sz w:val="24"/>
          <w:szCs w:val="24"/>
          <w:highlight w:val="none"/>
        </w:rPr>
        <w:t xml:space="preserve">  </w:t>
      </w:r>
      <w:r/>
    </w:p>
    <w:p>
      <w:pPr>
        <w:pStyle w:val="868"/>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868"/>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868"/>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868"/>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868"/>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868"/>
        <w:ind w:firstLine="480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1"/>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868"/>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186"/>
      <w:r>
        <w:rPr>
          <w:rFonts w:hint="eastAsia" w:ascii="方正小标宋简体" w:hAnsi="方正小标宋简体" w:eastAsia="方正小标宋简体" w:cs="方正小标宋简体"/>
          <w:color w:val="auto"/>
          <w:sz w:val="36"/>
          <w:szCs w:val="36"/>
          <w:highlight w:val="none"/>
        </w:rPr>
        <w:t xml:space="preserve">四章  采购需求</w:t>
      </w:r>
      <w:bookmarkEnd w:id="187"/>
      <w:r/>
      <w:bookmarkEnd w:id="188"/>
      <w:r/>
      <w:bookmarkEnd w:id="189"/>
      <w:r/>
      <w:r/>
    </w:p>
    <w:p>
      <w:pPr>
        <w:ind w:firstLine="480"/>
        <w:spacing w:line="264" w:lineRule="auto"/>
        <w:rPr>
          <w:rFonts w:hint="eastAsia" w:ascii="黑体" w:hAnsi="黑体" w:eastAsia="黑体" w:cs="黑体"/>
          <w:color w:val="auto"/>
          <w:sz w:val="24"/>
          <w:szCs w:val="24"/>
          <w:highlight w:val="none"/>
        </w:rPr>
      </w:pPr>
      <w:r/>
      <w:bookmarkStart w:id="193" w:name="_Toc49090575"/>
      <w:r/>
      <w:bookmarkStart w:id="194" w:name="_Toc26554093"/>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88"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南京市第29中学新校区LED大屏信息发布及配套设备采购采购，用于学校各功能区域的信息发布。主要为新校区操场、教学楼等区域的LED全彩屏、信息发布屏、液晶拼接屏及配套的高清分布式编解码器等。项目包含设备安装、调试并培训使用，保障学校正常教学活动开展。</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88" w:lineRule="auto"/>
        <w:rPr>
          <w:rFonts w:hint="eastAsia" w:ascii="宋体" w:hAnsi="宋体"/>
          <w:color w:val="auto"/>
          <w:sz w:val="24"/>
          <w:szCs w:val="24"/>
          <w:highlight w:val="none"/>
        </w:rPr>
      </w:pPr>
      <w:r>
        <w:rPr>
          <w:rFonts w:hint="eastAsia" w:ascii="宋体" w:hAnsi="宋体" w:eastAsia="宋体" w:cs="宋体"/>
          <w:bCs/>
          <w:color w:val="auto"/>
          <w:sz w:val="24"/>
          <w:szCs w:val="24"/>
          <w:highlight w:val="none"/>
          <w:lang w:eastAsia="zh-CN"/>
        </w:rPr>
        <w:t xml:space="preserve">遵循国家、行业及地方现行的规范和标准，</w:t>
      </w:r>
      <w:r>
        <w:rPr>
          <w:rFonts w:hint="eastAsia" w:ascii="宋体" w:hAnsi="宋体"/>
          <w:color w:val="auto"/>
          <w:sz w:val="24"/>
          <w:szCs w:val="24"/>
          <w:highlight w:val="none"/>
        </w:rPr>
        <w:t xml:space="preserve">招标文件涉及标准中未标年号的一律采用最新的标准；随着标准的修订，以修订后的最新标准为依据。</w:t>
      </w:r>
      <w:r/>
    </w:p>
    <w:p>
      <w:pPr>
        <w:ind w:firstLine="480"/>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（三）资产配置标准</w:t>
      </w:r>
      <w:r/>
    </w:p>
    <w:p>
      <w:pPr>
        <w:ind w:firstLine="480"/>
        <w:spacing w:line="264" w:lineRule="auto"/>
        <w:widowControl/>
        <w:rPr>
          <w:rFonts w:hint="eastAsia"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p>
    <w:p>
      <w:pPr>
        <w:numPr>
          <w:ilvl w:val="0"/>
          <w:numId w:val="5"/>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854"/>
        <w:tblW w:w="5160"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696"/>
        <w:gridCol w:w="849"/>
        <w:gridCol w:w="707"/>
        <w:gridCol w:w="1135"/>
        <w:gridCol w:w="1139"/>
        <w:gridCol w:w="1291"/>
        <w:gridCol w:w="880"/>
        <w:gridCol w:w="875"/>
      </w:tblGrid>
      <w:tr>
        <w:trPr>
          <w:trHeight w:val="900"/>
        </w:trPr>
        <w:tc>
          <w:tcPr>
            <w:tcW w:w="34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11"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分项名称</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单价上限（元）</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产品类型</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所属行业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属性</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政府强制采购节能产品</w:t>
            </w:r>
            <w:r/>
          </w:p>
        </w:tc>
      </w:tr>
      <w:tr>
        <w:trPr>
          <w:trHeight w:val="290"/>
        </w:trPr>
        <w:tc>
          <w:tcPr>
            <w:tcW w:w="345" w:type="pct"/>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P1.86室内LED全彩屏1</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18.44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P4.75单色会标屏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8.51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P1.86室内LED全彩屏2</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19.36</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P1.86室内LED全彩屏3</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27.04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主要产品</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P2.5室内LED全彩屏2</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18.44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P2.5室内LED全彩屏3</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16.39</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室内LED全彩屏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11.47</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视频处理器2</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视频处理器3</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10</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视频处理器4</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11</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视频处理器5</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异步控制盒</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13</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LED集成管理控制系统软件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14</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配电箱2</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15</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配电箱3</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16</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屏体框架及包边1</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86000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17</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屏体框架及包边2</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18</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屏体框架及包边3</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19</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屏体框架及包边4</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23000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20</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屏体框架及包边5</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31000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21</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屏体框架及包边6</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22</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屏体框架及包边7</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23</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屏体框架及包边8</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11700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24</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通讯电缆及配件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161200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25</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55寸返看屏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26</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返看屏移动架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27</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65寸辅助屏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2600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28</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辅助屏吊架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29</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55寸拼接屏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30</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55寸拼接屏液压支架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31</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55寸立卧式控制终端</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32</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有线键鼠</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33</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46寸拼接屏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10800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34</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高清解码器</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35</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46寸拼接屏液压支架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36</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数字媒体发布系统</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33500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37</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信息发布许可</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106</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38</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22寸信息发布屏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5400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39</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32寸信息发布屏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86</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7400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40</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55寸信息发布屏</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11900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是</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41</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P4户外LED全彩屏1</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25.81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15200</w:t>
            </w:r>
            <w:r/>
          </w:p>
        </w:tc>
        <w:tc>
          <w:tcPr>
            <w:tcW w:w="554"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42</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P4户外LED全彩屏2</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25.81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15200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43</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P4户外LED全彩屏4</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35.84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15200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44</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视频处理器6</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45</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控制软件</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46</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配电箱4</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47</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配电箱6</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8500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48</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屏体框架及包边安装9</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49</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屏体框架及包边10</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86000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50</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屏体框架及包边11</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51</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强弱电线缆</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52</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高清分布式编解码一体机</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11480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2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53</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高清HDMI矩阵</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trHeight w:val="790"/>
        </w:trPr>
        <w:tc>
          <w:tcPr>
            <w:tcW w:w="3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54</w:t>
            </w:r>
            <w:r/>
          </w:p>
        </w:tc>
        <w:tc>
          <w:tcPr>
            <w:tcW w:w="1311"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系统集成</w:t>
            </w:r>
            <w:r/>
          </w:p>
        </w:tc>
        <w:tc>
          <w:tcPr>
            <w:tcW w:w="41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w:t>
            </w:r>
            <w:r/>
          </w:p>
        </w:tc>
        <w:tc>
          <w:tcPr>
            <w:tcW w:w="55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234000</w:t>
            </w:r>
            <w:r/>
          </w:p>
        </w:tc>
        <w:tc>
          <w:tcPr>
            <w:tcW w:w="55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W w:w="6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c>
          <w:tcPr>
            <w:tcW w:w="428"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tc>
        <w:tc>
          <w:tcPr>
            <w:tcW w:w="4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bl>
    <w:p>
      <w:pPr>
        <w:pStyle w:val="855"/>
        <w:ind w:left="420" w:firstLine="0"/>
        <w:rPr>
          <w:rFonts w:hint="eastAsia"/>
          <w:color w:val="auto"/>
          <w:highlight w:val="none"/>
        </w:rPr>
      </w:pPr>
      <w:r>
        <w:rPr>
          <w:rFonts w:hint="eastAsia"/>
          <w:color w:val="auto"/>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tbl>
      <w:tblPr>
        <w:tblStyle w:val="854"/>
        <w:tblW w:w="980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0"/>
        <w:gridCol w:w="1448"/>
        <w:gridCol w:w="7696"/>
      </w:tblGrid>
      <w:tr>
        <w:trPr/>
        <w:tc>
          <w:tcPr>
            <w:tcW w:w="660" w:type="dxa"/>
            <w:vAlign w:val="center"/>
            <w:textDirection w:val="lrTb"/>
            <w:noWrap w:val="false"/>
          </w:tcPr>
          <w:p>
            <w:pPr>
              <w:jc w:val="center"/>
              <w:spacing w:line="264"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448" w:type="dxa"/>
            <w:vAlign w:val="center"/>
            <w:textDirection w:val="lrTb"/>
            <w:noWrap w:val="false"/>
          </w:tcPr>
          <w:p>
            <w:pPr>
              <w:jc w:val="center"/>
              <w:spacing w:line="264" w:lineRule="auto"/>
              <w:rPr>
                <w:rFonts w:ascii="宋体" w:hAnsi="宋体" w:cs="宋体"/>
                <w:b/>
                <w:color w:val="auto"/>
                <w:szCs w:val="21"/>
                <w:highlight w:val="none"/>
              </w:rPr>
            </w:pPr>
            <w:r>
              <w:rPr>
                <w:rFonts w:hint="eastAsia" w:ascii="宋体" w:hAnsi="宋体" w:cs="宋体"/>
                <w:b/>
                <w:color w:val="auto"/>
                <w:szCs w:val="21"/>
                <w:highlight w:val="none"/>
              </w:rPr>
              <w:t xml:space="preserve">产品名称</w:t>
            </w:r>
            <w:r/>
          </w:p>
        </w:tc>
        <w:tc>
          <w:tcPr>
            <w:tcW w:w="7696" w:type="dxa"/>
            <w:vAlign w:val="center"/>
            <w:textDirection w:val="lrTb"/>
            <w:noWrap w:val="false"/>
          </w:tcPr>
          <w:p>
            <w:pPr>
              <w:jc w:val="center"/>
              <w:spacing w:line="264" w:lineRule="auto"/>
              <w:rPr>
                <w:rFonts w:ascii="宋体" w:hAnsi="宋体" w:cs="宋体"/>
                <w:b/>
                <w:color w:val="auto"/>
                <w:szCs w:val="21"/>
                <w:highlight w:val="none"/>
              </w:rPr>
            </w:pPr>
            <w:r>
              <w:rPr>
                <w:rFonts w:hint="eastAsia" w:ascii="宋体" w:hAnsi="宋体" w:cs="宋体"/>
                <w:b/>
                <w:color w:val="auto"/>
                <w:szCs w:val="21"/>
                <w:highlight w:val="none"/>
              </w:rPr>
              <w:t xml:space="preserve">功能、性能、配置要求不低于以下要求</w:t>
            </w:r>
            <w:r/>
          </w:p>
        </w:tc>
      </w:tr>
      <w:tr>
        <w:trPr/>
        <w:tc>
          <w:tcPr>
            <w:tcW w:w="660" w:type="dxa"/>
            <w:vAlign w:val="center"/>
            <w:textDirection w:val="lrTb"/>
            <w:noWrap w:val="false"/>
          </w:tcPr>
          <w:p>
            <w:pPr>
              <w:jc w:val="center"/>
              <w:widowControl/>
              <w:rPr>
                <w:color w:val="auto"/>
                <w:sz w:val="20"/>
                <w:szCs w:val="20"/>
                <w:highlight w:val="none"/>
              </w:rPr>
            </w:pPr>
            <w:r>
              <w:rPr>
                <w:rFonts w:hint="eastAsia"/>
                <w:color w:val="auto"/>
                <w:sz w:val="20"/>
                <w:szCs w:val="20"/>
                <w:highlight w:val="none"/>
              </w:rPr>
              <w:t xml:space="preserve">1</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P1.86室内LED全彩屏1</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1、LED像素结构：LED发光管采用金线封装三合一表贴；像素间距：≤1.86mm；必须采用压铸铝箱体，以保证屏幕的平整度及一致性。模块，电源，系统卡均可前维护。尺寸不小于3.84m*2.4m*2块。</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3、投标产品采用MWFRFT多层多参数智慧调节技术处理技术，打破传统单层WFRFT结构模式扩展为多层MWFRFT结构，提升大屏低灰刷新不足引起的闪烁问题。（签订合同时提供具有CMA标识的检测报告）</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w:t>
            </w:r>
            <w:r>
              <w:rPr>
                <w:rFonts w:hint="eastAsia" w:ascii="宋体" w:hAnsi="宋体" w:cs="宋体"/>
                <w:color w:val="auto"/>
                <w:szCs w:val="21"/>
                <w:highlight w:val="none"/>
                <w:lang w:eastAsia="zh-CN" w:bidi="ar"/>
              </w:rPr>
              <w:t xml:space="preserve">时刻</w:t>
            </w:r>
            <w:r>
              <w:rPr>
                <w:rFonts w:hint="eastAsia" w:ascii="宋体" w:hAnsi="宋体" w:cs="宋体"/>
                <w:color w:val="auto"/>
                <w:szCs w:val="21"/>
                <w:highlight w:val="none"/>
                <w:lang w:bidi="ar"/>
              </w:rPr>
              <w:t xml:space="preserve">进行除湿（非定时自动除湿），通过屏体控制软件，可以进行一键启动或一键终止全部LED模组的自动除湿功能，任意显示单元应具备一键显示单元、一键全屏启动和终止自动除湿的按钮功能。</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rPr>
                <w:rFonts w:hint="eastAsia" w:ascii="宋体" w:hAnsi="宋体" w:cs="宋体"/>
                <w:b w:val="0"/>
                <w:bCs w:val="0"/>
                <w:color w:val="auto"/>
                <w:szCs w:val="21"/>
                <w:highlight w:val="none"/>
                <w:lang w:bidi="ar"/>
              </w:rPr>
              <w:t xml:space="preserve">、投标产品LED模组与控制板采用接插件进行连接，接插件防呆设计，只支持从正确的方位插入。（签订合同时提供具有CMA标识的检测报告）</w:t>
            </w:r>
            <w:r/>
          </w:p>
          <w:p>
            <w:pPr>
              <w:jc w:val="left"/>
              <w:spacing w:line="264" w:lineRule="auto"/>
              <w:rPr>
                <w:rFonts w:ascii="宋体" w:hAnsi="宋体" w:cs="宋体"/>
                <w:color w:val="auto"/>
                <w:szCs w:val="21"/>
                <w:highlight w:val="none"/>
              </w:rPr>
            </w:pPr>
            <w:r>
              <w:rPr>
                <w:rFonts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jc w:val="left"/>
              <w:spacing w:line="264" w:lineRule="auto"/>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 2.0接口，集成主控板卡和HUB数据板。</w:t>
            </w:r>
            <w:r/>
          </w:p>
          <w:p>
            <w:pPr>
              <w:jc w:val="left"/>
              <w:spacing w:line="264" w:lineRule="auto"/>
              <w:rPr>
                <w:rFonts w:ascii="宋体" w:hAnsi="宋体" w:cs="宋体"/>
                <w:color w:val="auto"/>
                <w:szCs w:val="21"/>
                <w:highlight w:val="none"/>
                <w:lang w:bidi="ar"/>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rPr>
                <w:rFonts w:hint="eastAsia" w:ascii="宋体" w:hAnsi="宋体" w:cs="宋体"/>
                <w:color w:val="auto"/>
                <w:szCs w:val="21"/>
                <w:highlight w:val="none"/>
                <w:lang w:bidi="ar"/>
              </w:rPr>
              <w:t xml:space="preserve">签订合同时提供具有CMA标识的检测报告</w:t>
            </w:r>
            <w:r>
              <w:rPr>
                <w:rFonts w:hint="eastAsia" w:ascii="宋体" w:hAnsi="宋体" w:cs="宋体"/>
                <w:color w:val="auto"/>
                <w:szCs w:val="21"/>
                <w:highlight w:val="none"/>
              </w:rPr>
              <w:t xml:space="preserve">）</w:t>
            </w:r>
            <w:r/>
          </w:p>
          <w:p>
            <w:pPr>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9、白平衡亮度：≥</w:t>
            </w:r>
            <w:r>
              <w:rPr>
                <w:rFonts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w:t>
            </w:r>
            <w:r>
              <w:rPr>
                <w:rFonts w:hint="eastAsia" w:ascii="宋体" w:hAnsi="宋体" w:cs="宋体"/>
                <w:b w:val="0"/>
                <w:bCs w:val="0"/>
                <w:color w:val="auto"/>
                <w:szCs w:val="21"/>
                <w:highlight w:val="none"/>
                <w:lang w:bidi="ar"/>
              </w:rPr>
              <w:t xml:space="preserve">平整度：≤0.5mm；灰度等</w:t>
            </w:r>
            <w:r>
              <w:rPr>
                <w:rFonts w:hint="eastAsia" w:ascii="宋体" w:hAnsi="宋体" w:cs="宋体"/>
                <w:color w:val="auto"/>
                <w:szCs w:val="21"/>
                <w:highlight w:val="none"/>
                <w:lang w:bidi="ar"/>
              </w:rPr>
              <w:t xml:space="preserve">级≥16bit；峰值功耗≤</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922"/>
              <w:ind w:left="0"/>
              <w:spacing w:line="264" w:lineRule="auto"/>
              <w:rPr>
                <w:rFonts w:eastAsia="宋体"/>
                <w:color w:val="auto"/>
                <w:sz w:val="21"/>
                <w:szCs w:val="21"/>
                <w:highlight w:val="none"/>
                <w:lang w:val="en-US"/>
              </w:rPr>
            </w:pPr>
            <w:r>
              <w:rPr>
                <w:rFonts w:ascii="宋体" w:hAnsi="宋体" w:eastAsia="宋体"/>
                <w:color w:val="auto"/>
                <w:sz w:val="21"/>
                <w:szCs w:val="21"/>
                <w:highlight w:val="none"/>
                <w:lang w:val="en-US" w:bidi="ar"/>
              </w:rPr>
              <w:t xml:space="preserve">1</w:t>
            </w:r>
            <w:r>
              <w:rPr>
                <w:rFonts w:hint="eastAsia" w:ascii="宋体" w:hAnsi="宋体" w:eastAsia="宋体"/>
                <w:color w:val="auto"/>
                <w:sz w:val="21"/>
                <w:szCs w:val="21"/>
                <w:highlight w:val="none"/>
                <w:lang w:val="en-US" w:bidi="ar"/>
              </w:rPr>
              <w:t xml:space="preserve">0、平均无故障时间能达到：平均无故障运行MTBF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w:t>
            </w:r>
            <w:r/>
          </w:p>
        </w:tc>
        <w:tc>
          <w:tcPr>
            <w:tcW w:w="1448" w:type="dxa"/>
            <w:vAlign w:val="center"/>
            <w:textDirection w:val="lrTb"/>
            <w:noWrap w:val="false"/>
          </w:tcPr>
          <w:p>
            <w:pPr>
              <w:jc w:val="center"/>
              <w:spacing w:line="264"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P4.75单色会标屏</w:t>
            </w:r>
            <w:r/>
          </w:p>
        </w:tc>
        <w:tc>
          <w:tcPr>
            <w:tcW w:w="7696" w:type="dxa"/>
            <w:vAlign w:val="center"/>
            <w:textDirection w:val="lrTb"/>
            <w:noWrap w:val="false"/>
          </w:tcPr>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1、LED显示屏尺寸屏幕尺寸≥13.984m*0.608m。</w:t>
            </w:r>
            <w:r/>
          </w:p>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2、像素间距：≤4.75mm；模块，电源，系统卡均可前维护。</w:t>
            </w:r>
            <w:r/>
          </w:p>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3、白平衡亮度：≥300cd/㎡;视角：≥160°。</w:t>
            </w:r>
            <w:r/>
          </w:p>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4、对比度≥3500：1;换帧频率：≥60 Hz。</w:t>
            </w:r>
            <w:r/>
          </w:p>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5、平整度：≤0.5mm;灰度等级≥16bit。</w:t>
            </w:r>
            <w:r/>
          </w:p>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6、具有单个发光管亮度校正与颜色的校正。</w:t>
            </w:r>
            <w:r/>
          </w:p>
          <w:p>
            <w:pPr>
              <w:pStyle w:val="922"/>
              <w:ind w:left="0"/>
              <w:spacing w:line="264" w:lineRule="auto"/>
              <w:rPr>
                <w:rFonts w:ascii="宋体" w:hAnsi="宋体" w:eastAsia="宋体"/>
                <w:color w:val="auto"/>
                <w:sz w:val="21"/>
                <w:szCs w:val="21"/>
                <w:highlight w:val="none"/>
                <w:lang w:val="en-US" w:bidi="ar"/>
              </w:rPr>
            </w:pPr>
            <w:r>
              <w:rPr>
                <w:rFonts w:hint="eastAsia" w:ascii="宋体" w:hAnsi="宋体" w:eastAsia="宋体"/>
                <w:color w:val="auto"/>
                <w:sz w:val="21"/>
                <w:szCs w:val="21"/>
                <w:highlight w:val="none"/>
                <w:lang w:val="en-US" w:bidi="ar"/>
              </w:rPr>
              <w:t xml:space="preserve">7、多种显示画面应无同亮，暗亮（鬼影和拖尾）的现象。</w:t>
            </w:r>
            <w:r/>
          </w:p>
          <w:p>
            <w:pPr>
              <w:spacing w:line="264" w:lineRule="auto"/>
              <w:rPr>
                <w:color w:val="auto"/>
                <w:szCs w:val="21"/>
                <w:highlight w:val="none"/>
                <w:lang w:bidi="ar"/>
              </w:rPr>
            </w:pP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、平均无故障时间能达到：平均无故障运行MTBF</w:t>
            </w:r>
            <w:r>
              <w:rPr>
                <w:rFonts w:hint="eastAsia" w:ascii="宋体" w:hAnsi="宋体"/>
                <w:color w:val="auto"/>
                <w:szCs w:val="21"/>
                <w:highlight w:val="none"/>
              </w:rPr>
              <w:t xml:space="preserve">≥</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0万小时。</w:t>
            </w:r>
            <w:r/>
          </w:p>
          <w:p>
            <w:pPr>
              <w:pStyle w:val="922"/>
              <w:ind w:left="0"/>
              <w:spacing w:line="264" w:lineRule="auto"/>
              <w:rPr>
                <w:rFonts w:eastAsia="等线"/>
                <w:color w:val="auto"/>
                <w:sz w:val="21"/>
                <w:szCs w:val="21"/>
                <w:highlight w:val="none"/>
                <w:lang w:val="en-US"/>
              </w:rPr>
            </w:pPr>
            <w:r>
              <w:rPr>
                <w:rFonts w:hint="eastAsia" w:ascii="宋体" w:hAnsi="宋体" w:eastAsia="宋体"/>
                <w:color w:val="auto"/>
                <w:sz w:val="21"/>
                <w:szCs w:val="21"/>
                <w:highlight w:val="none"/>
                <w:lang w:val="en-US" w:bidi="ar"/>
              </w:rPr>
              <w:t xml:space="preserve">★9、提供单色LED显示屏国家强制CCC认证证书，要求CCC认证上须有“单色LED”字样。</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P1.86室内LED全彩屏</w:t>
            </w:r>
            <w:r>
              <w:rPr>
                <w:rFonts w:ascii="宋体" w:hAnsi="宋体" w:cs="宋体"/>
                <w:color w:val="auto"/>
                <w:szCs w:val="21"/>
                <w:highlight w:val="none"/>
              </w:rPr>
              <w:t xml:space="preserve">2</w:t>
            </w:r>
            <w:r/>
          </w:p>
        </w:tc>
        <w:tc>
          <w:tcPr>
            <w:tcW w:w="7696" w:type="dxa"/>
            <w:vAlign w:val="center"/>
            <w:textDirection w:val="lrTb"/>
            <w:noWrap w:val="false"/>
          </w:tcPr>
          <w:p>
            <w:pPr>
              <w:jc w:val="left"/>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1、LED像素结构：LED发光管采用金线封装三合一表贴；像素间距：≤1.86mm；必须采用压铸铝箱体，以保证屏幕的平整度及一致性。模块，电源，系统卡均可前维护。尺寸不小于5.76m*3.36m。</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w:t>
            </w:r>
            <w:r>
              <w:rPr>
                <w:rFonts w:hint="eastAsia" w:ascii="宋体" w:hAnsi="宋体" w:cs="宋体"/>
                <w:color w:val="auto"/>
                <w:szCs w:val="21"/>
                <w:highlight w:val="none"/>
                <w:lang w:eastAsia="zh-CN" w:bidi="ar"/>
              </w:rPr>
              <w:t xml:space="preserve">时刻</w:t>
            </w:r>
            <w:r>
              <w:rPr>
                <w:rFonts w:hint="eastAsia" w:ascii="宋体" w:hAnsi="宋体" w:cs="宋体"/>
                <w:color w:val="auto"/>
                <w:szCs w:val="21"/>
                <w:highlight w:val="none"/>
                <w:lang w:bidi="ar"/>
              </w:rPr>
              <w:t xml:space="preserve">进行除湿（非定时自动除湿），通过屏体控制软件，可以进行一键启动或一键终止全部LED模组的自动除湿功能，任意显示单元应具备一键显示单元、一键全屏启动和终止自动除湿的按钮功能。</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5、投标产品LED模组与控制板采用接插件进行连接，接插件防呆设计，只支持从正确的方位插入。</w:t>
            </w:r>
            <w:r/>
          </w:p>
          <w:p>
            <w:pPr>
              <w:jc w:val="left"/>
              <w:spacing w:line="264" w:lineRule="auto"/>
              <w:rPr>
                <w:rFonts w:ascii="宋体" w:hAnsi="宋体" w:cs="宋体"/>
                <w:color w:val="auto"/>
                <w:szCs w:val="21"/>
                <w:highlight w:val="none"/>
              </w:rPr>
            </w:pPr>
            <w:r>
              <w:rPr>
                <w:rFonts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jc w:val="left"/>
              <w:spacing w:line="264" w:lineRule="auto"/>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 2.0接口，集成主控板卡和 HUB 数据板。</w:t>
            </w:r>
            <w:r/>
          </w:p>
          <w:p>
            <w:pPr>
              <w:jc w:val="left"/>
              <w:spacing w:line="264" w:lineRule="auto"/>
              <w:rPr>
                <w:rFonts w:ascii="宋体" w:hAnsi="宋体" w:cs="宋体"/>
                <w:color w:val="auto"/>
                <w:szCs w:val="21"/>
                <w:highlight w:val="none"/>
                <w:lang w:bidi="ar"/>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p>
          <w:p>
            <w:pPr>
              <w:spacing w:line="264" w:lineRule="auto"/>
              <w:rPr>
                <w:rFonts w:ascii="宋体" w:hAnsi="宋体" w:cs="宋体"/>
                <w:color w:val="auto"/>
                <w:szCs w:val="21"/>
                <w:highlight w:val="none"/>
                <w:lang w:bidi="ar"/>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、白平衡亮度：≥</w:t>
            </w:r>
            <w:r>
              <w:rPr>
                <w:rFonts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Hz；平整度：≤0.5mm；灰度等级≥16bit；峰值功耗≤</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922"/>
              <w:ind w:left="0"/>
              <w:spacing w:line="264" w:lineRule="auto"/>
              <w:rPr>
                <w:color w:val="auto"/>
                <w:sz w:val="21"/>
                <w:szCs w:val="21"/>
                <w:highlight w:val="none"/>
              </w:rPr>
            </w:pPr>
            <w:r>
              <w:rPr>
                <w:rFonts w:hint="eastAsia" w:ascii="宋体" w:hAnsi="宋体" w:eastAsia="宋体"/>
                <w:color w:val="auto"/>
                <w:sz w:val="21"/>
                <w:szCs w:val="21"/>
                <w:highlight w:val="none"/>
                <w:lang w:val="en-US" w:bidi="ar"/>
              </w:rPr>
              <w:t xml:space="preserve">1</w:t>
            </w:r>
            <w:r>
              <w:rPr>
                <w:rFonts w:ascii="宋体" w:hAnsi="宋体" w:eastAsia="宋体"/>
                <w:color w:val="auto"/>
                <w:sz w:val="21"/>
                <w:szCs w:val="21"/>
                <w:highlight w:val="none"/>
                <w:lang w:val="en-US" w:bidi="ar"/>
              </w:rPr>
              <w:t xml:space="preserve">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P1.86室内LED全彩屏3</w:t>
            </w:r>
            <w:r/>
          </w:p>
        </w:tc>
        <w:tc>
          <w:tcPr>
            <w:tcW w:w="7696" w:type="dxa"/>
            <w:vAlign w:val="center"/>
            <w:textDirection w:val="lrTb"/>
            <w:noWrap w:val="false"/>
          </w:tcPr>
          <w:p>
            <w:pPr>
              <w:jc w:val="left"/>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1、LED像素结构：LED发光管采用金线封装三合一表贴；像素间距：≤1.86mm；必须采用压铸铝箱体，以保证屏幕的平整度及一致性。模块，电源，系统卡均可前维护。尺寸不小于7.04m*3.84m。</w:t>
            </w:r>
            <w:r>
              <w:rPr>
                <w:rFonts w:hint="eastAsia" w:ascii="宋体" w:hAnsi="宋体" w:cs="宋体"/>
                <w:color w:val="auto"/>
                <w:szCs w:val="21"/>
                <w:highlight w:val="none"/>
                <w:lang w:bidi="ar"/>
              </w:rPr>
              <w:t xml:space="preserve">(签订合同时提供相应证明材料，如：白皮书、彩页、手册、网站截图、出具CMA标识的检测报告)</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2、需具备有效的LED蓝光隔离手段：①无380nm-400nm波长的辐射，②波长460nm蓝光辐射亮度（光强度）≤1.78E-02W/(㎡.sr.nm)。</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3、投标产品采用MWFRFT多层多参数智慧调节技术处理技术，打破传统单层WFRFT结构模式扩展为多层MWFRFT结构，提升大屏低灰刷新不足引起的闪烁问题。</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5、投标产品LED模组与控制板采用接插件进行连接，接插件防呆设计，只支持从正确的方位插入。</w:t>
            </w:r>
            <w:r/>
          </w:p>
          <w:p>
            <w:pPr>
              <w:jc w:val="left"/>
              <w:spacing w:line="264" w:lineRule="auto"/>
              <w:rPr>
                <w:rFonts w:ascii="宋体" w:hAnsi="宋体" w:cs="宋体"/>
                <w:color w:val="auto"/>
                <w:szCs w:val="21"/>
                <w:highlight w:val="none"/>
              </w:rPr>
            </w:pPr>
            <w:r>
              <w:rPr>
                <w:rFonts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、小间距LED显示屏具有前拆技术，支架远离印制板一</w:t>
            </w:r>
            <w:r>
              <w:rPr>
                <w:rFonts w:hint="eastAsia" w:ascii="宋体" w:hAnsi="宋体" w:cs="宋体"/>
                <w:color w:val="auto"/>
                <w:szCs w:val="21"/>
                <w:highlight w:val="none"/>
              </w:rPr>
              <w:t xml:space="preserve">侧设有旋转座，旋转座支撑有轴件，充分利用杠杆原理，实现小间距前拆式安装与维护。</w:t>
            </w:r>
            <w:r/>
          </w:p>
          <w:p>
            <w:pPr>
              <w:jc w:val="left"/>
              <w:spacing w:line="264" w:lineRule="auto"/>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、采用HUB、接收卡一体化设计，具备HDMI2.0接口，集成主控板卡和 HUB 数据板。</w:t>
            </w:r>
            <w:r/>
          </w:p>
          <w:p>
            <w:pPr>
              <w:jc w:val="left"/>
              <w:spacing w:line="264" w:lineRule="auto"/>
              <w:rPr>
                <w:rFonts w:ascii="宋体" w:hAnsi="宋体" w:cs="宋体"/>
                <w:color w:val="auto"/>
                <w:szCs w:val="21"/>
                <w:highlight w:val="none"/>
                <w:lang w:bidi="ar"/>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、多层PCB设计，采用玻璃化温度≥150℃覆铜板，PCB板支持环氧玻璃布基/CCL (FR-4)、复合基/CCLCCEM3)&gt;金属基/CCL，灯驱合一，电路及表面处理采用多层盲孔设计及沉金工艺设计符合标准。</w:t>
            </w:r>
            <w:r/>
          </w:p>
          <w:p>
            <w:pPr>
              <w:spacing w:line="264" w:lineRule="auto"/>
              <w:rPr>
                <w:rFonts w:ascii="宋体" w:hAnsi="宋体" w:cs="宋体"/>
                <w:color w:val="auto"/>
                <w:szCs w:val="21"/>
                <w:highlight w:val="none"/>
                <w:lang w:bidi="ar"/>
              </w:rPr>
            </w:pPr>
            <w:r>
              <w:rPr>
                <w:rFonts w:ascii="宋体" w:hAnsi="宋体" w:cs="宋体"/>
                <w:color w:val="auto"/>
                <w:szCs w:val="21"/>
                <w:highlight w:val="none"/>
                <w:lang w:bidi="ar"/>
              </w:rPr>
              <w:t xml:space="preserve">9</w:t>
            </w:r>
            <w:r>
              <w:rPr>
                <w:rFonts w:hint="eastAsia" w:ascii="宋体" w:hAnsi="宋体" w:cs="宋体"/>
                <w:color w:val="auto"/>
                <w:szCs w:val="21"/>
                <w:highlight w:val="none"/>
                <w:lang w:bidi="ar"/>
              </w:rPr>
              <w:t xml:space="preserve">、白平衡亮度：≥</w:t>
            </w:r>
            <w:r>
              <w:rPr>
                <w:rFonts w:ascii="宋体" w:hAnsi="宋体" w:cs="宋体"/>
                <w:color w:val="auto"/>
                <w:szCs w:val="21"/>
                <w:highlight w:val="none"/>
                <w:lang w:bidi="ar"/>
              </w:rPr>
              <w:t xml:space="preserve">5</w:t>
            </w:r>
            <w:r>
              <w:rPr>
                <w:rFonts w:hint="eastAsia" w:ascii="宋体" w:hAnsi="宋体" w:cs="宋体"/>
                <w:color w:val="auto"/>
                <w:szCs w:val="21"/>
                <w:highlight w:val="none"/>
                <w:lang w:bidi="ar"/>
              </w:rPr>
              <w:t xml:space="preserve">00cd/㎡；视角：≥1</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0°；刷新频率：≥3840Hz；对比度≥5</w:t>
            </w:r>
            <w:r>
              <w:rPr>
                <w:rFonts w:ascii="宋体" w:hAnsi="宋体" w:cs="宋体"/>
                <w:color w:val="auto"/>
                <w:szCs w:val="21"/>
                <w:highlight w:val="none"/>
                <w:lang w:bidi="ar"/>
              </w:rPr>
              <w:t xml:space="preserve">0</w:t>
            </w:r>
            <w:r>
              <w:rPr>
                <w:rFonts w:hint="eastAsia" w:ascii="宋体" w:hAnsi="宋体" w:cs="宋体"/>
                <w:color w:val="auto"/>
                <w:szCs w:val="21"/>
                <w:highlight w:val="none"/>
                <w:lang w:bidi="ar"/>
              </w:rPr>
              <w:t xml:space="preserve">00：1；换帧频率：≥60 Hz；平整度：≤0.5mm；灰度等级≥16bit；峰值功耗≤</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00W/㎡；单点校正功能：具有单个发光管亮度校正与颜色的校正；显示效果：多种显示画面应无同亮，暗亮（鬼影和拖尾）的现象。</w:t>
            </w:r>
            <w:r/>
          </w:p>
          <w:p>
            <w:pPr>
              <w:pStyle w:val="922"/>
              <w:ind w:left="0"/>
              <w:spacing w:line="264" w:lineRule="auto"/>
              <w:rPr>
                <w:color w:val="auto"/>
                <w:sz w:val="21"/>
                <w:szCs w:val="21"/>
                <w:highlight w:val="none"/>
              </w:rPr>
            </w:pPr>
            <w:r>
              <w:rPr>
                <w:rFonts w:hint="eastAsia" w:ascii="宋体" w:hAnsi="宋体" w:eastAsia="宋体"/>
                <w:color w:val="auto"/>
                <w:sz w:val="21"/>
                <w:szCs w:val="21"/>
                <w:highlight w:val="none"/>
                <w:lang w:val="en-US" w:bidi="ar"/>
              </w:rPr>
              <w:t xml:space="preserve">1</w:t>
            </w:r>
            <w:r>
              <w:rPr>
                <w:rFonts w:ascii="宋体" w:hAnsi="宋体" w:eastAsia="宋体"/>
                <w:color w:val="auto"/>
                <w:sz w:val="21"/>
                <w:szCs w:val="21"/>
                <w:highlight w:val="none"/>
                <w:lang w:val="en-US" w:bidi="ar"/>
              </w:rPr>
              <w:t xml:space="preserve">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5</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P2.5室内LED全彩屏2</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rPr>
              <w:t xml:space="preserve">、LED像素结构：LED发光管采用金线封装三合一表贴（货到现场安装前，随机抽取模块送检金线工艺）。像素间距：≤2.5mm；必须采用压铸铝箱体，以保证屏幕的平整度及一致性。模块，电源，系统卡均可前维护。尺寸不小于7.68m*2.4m。</w:t>
            </w:r>
            <w:r>
              <w:rPr>
                <w:rFonts w:hint="eastAsia" w:ascii="宋体" w:hAnsi="宋体" w:cs="宋体"/>
                <w:color w:val="auto"/>
                <w:szCs w:val="21"/>
                <w:highlight w:val="none"/>
                <w:lang w:bidi="ar"/>
              </w:rPr>
              <w:t xml:space="preserve">(签订合同时提供相应证明材料，如：白皮书、彩页、手册、网站截图、具有CMA标识的检测报告)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2、亮度：≥600cd/㎡；换帧频率：≥60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 刷新频率：≥3840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；对比度：≥6000:1</w:t>
            </w:r>
            <w:r>
              <w:rPr>
                <w:rFonts w:hint="eastAsia" w:ascii="宋体" w:hAnsi="宋体" w:cs="宋体"/>
                <w:color w:val="auto"/>
                <w:szCs w:val="21"/>
                <w:highlight w:val="none"/>
              </w:rPr>
              <w:t xml:space="preserve">；可视角度：水平及上下≥170°；噪声值：屏前后左右四个方向1m处，噪音＜1.4dB(a)；单元色彩还原准确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显示屏幕表面的反射率（单位面积反射亮度)＜3.0cd/㎡。</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3、为避免潮湿气候环境对显示屏设备正常使用的影响，LED显示单元应有可靠的除湿手段，可在任意</w:t>
            </w:r>
            <w:r>
              <w:rPr>
                <w:rFonts w:hint="eastAsia" w:ascii="宋体" w:hAnsi="宋体" w:cs="宋体"/>
                <w:color w:val="auto"/>
                <w:szCs w:val="21"/>
                <w:highlight w:val="none"/>
                <w:lang w:eastAsia="zh-CN"/>
              </w:rPr>
              <w:t xml:space="preserve">时刻</w:t>
            </w:r>
            <w:r>
              <w:rPr>
                <w:rFonts w:hint="eastAsia" w:ascii="宋体" w:hAnsi="宋体" w:cs="宋体"/>
                <w:color w:val="auto"/>
                <w:szCs w:val="21"/>
                <w:highlight w:val="none"/>
              </w:rPr>
              <w:t xml:space="preserve">进行除湿（非定时自动除湿），通过屏体控制软件，可以进行一键启动或一键终止全部LED模组的自动除湿功能，任意显示单元应具备一键显示单元、一键全屏启动和终止自动除湿的按钮功能。</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4、箱体具有抗压试验（施加11KN的力压箱体，箱体表面未发生变形），抗拉试验（施加10.2KN的力拉箱体，箱体未发生变形）。</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5、产品的眼睛的近紫外危害曝辐限值光谱范围在315nm-400nm(UV-A)之间的光辐射对眼睛的总的曝辐射量，在时间小于1000s的情况下将不能超过10000J.m-2;在时间大于1000s(大约16min)的情况下，对没有保护措施的眼睛的UV-A 波段辐照度EuvA不应该超过10W.m-2.。</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6、内嵌数据采集，映像反馈等软件功能。</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7、显示屏型材符合GB/T 26572-2011中电子电气产品六种限用物质（铅、汞、镉、六价铬、多溴联苯、多溴二苯醚）的要求。</w:t>
            </w:r>
            <w:r/>
          </w:p>
          <w:p>
            <w:pPr>
              <w:pStyle w:val="922"/>
              <w:ind w:left="0"/>
              <w:spacing w:line="264" w:lineRule="auto"/>
              <w:rPr>
                <w:rFonts w:eastAsia="等线"/>
                <w:color w:val="auto"/>
                <w:sz w:val="21"/>
                <w:szCs w:val="21"/>
                <w:highlight w:val="none"/>
                <w:lang w:val="en-US"/>
              </w:rPr>
            </w:pPr>
            <w:r>
              <w:rPr>
                <w:rFonts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6</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P2.5室内LED全彩屏3</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rPr>
              <w:t xml:space="preserve">、LED像素结构：LED发光管采用金线封装三合一表贴（货到现场安装前，随机抽取模块送检金线工艺）。像素间距：≤2.5mm；必须采用压铸铝箱体，以保证屏幕的平整度及一致性。模块，电源，系统卡均可前维护。尺寸不小于</w:t>
            </w:r>
            <w:r>
              <w:rPr>
                <w:rFonts w:ascii="宋体" w:hAnsi="宋体" w:cs="宋体"/>
                <w:color w:val="auto"/>
                <w:szCs w:val="21"/>
                <w:highlight w:val="none"/>
              </w:rPr>
              <w:t xml:space="preserve">6.4m*2.56m</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2、亮度：≥600cd/㎡；换帧频率：≥60HZ； 刷新频率：≥3840HZ；对比度：≥6000:1</w:t>
            </w:r>
            <w:r>
              <w:rPr>
                <w:rFonts w:hint="eastAsia" w:ascii="宋体" w:hAnsi="宋体" w:cs="宋体"/>
                <w:color w:val="auto"/>
                <w:szCs w:val="21"/>
                <w:highlight w:val="none"/>
              </w:rPr>
              <w:t xml:space="preserve">；可视角度：水平及上下≥170°；噪声值：屏前后左右四个方向1m处，噪音＜1.4dB(a)；单元色彩还原准确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显示屏幕表面的反射率（单位面积反射亮度)＜3.0cd/㎡。</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3、为避免潮湿气候环境对显示屏设备正常使用的影响，LED显示单元应有可靠的除湿手段，可在任意</w:t>
            </w:r>
            <w:r>
              <w:rPr>
                <w:rFonts w:hint="eastAsia" w:ascii="宋体" w:hAnsi="宋体" w:cs="宋体"/>
                <w:color w:val="auto"/>
                <w:szCs w:val="21"/>
                <w:highlight w:val="none"/>
                <w:lang w:eastAsia="zh-CN"/>
              </w:rPr>
              <w:t xml:space="preserve">时刻</w:t>
            </w:r>
            <w:r>
              <w:rPr>
                <w:rFonts w:hint="eastAsia" w:ascii="宋体" w:hAnsi="宋体" w:cs="宋体"/>
                <w:color w:val="auto"/>
                <w:szCs w:val="21"/>
                <w:highlight w:val="none"/>
              </w:rPr>
              <w:t xml:space="preserve">进行除湿（非定时自动除湿），通过屏体控制软件，可以进行一键启动或一键终止全部LED模组的自动除湿功能，任意显示单元应具备一键显示单元、一键全屏启动和终止自动除湿的按钮功能。</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4、箱体具有抗压试验（施加11KN的力压箱体，箱体表面未发生变形），抗拉试验（施加10.2KN的力拉箱体，箱体未发生变形）。</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5、产品的眼睛的近紫外危害曝辐限值光谱范围在315nm-400nm(UV-A)之间的光辐射对眼睛的总的曝辐射量，在时间小于1000s的情况下将不能超过10000J.m-2;在时间大于1000s(大约16min)的情况下，对没有保护措施的眼睛的UV-A 波段辐照度EuvA不应该超过10W.m-2.。</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6、内嵌数据采集，映像反馈等软件功能。</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7、显示屏型材符合GB/T 26572-2011中电子电气产品六种限用物质（铅、汞、镉、六价铬、多溴联苯、多溴二苯醚）的要求。</w:t>
            </w:r>
            <w:r/>
          </w:p>
          <w:p>
            <w:pPr>
              <w:pStyle w:val="922"/>
              <w:ind w:left="0"/>
              <w:jc w:val="left"/>
              <w:spacing w:line="264" w:lineRule="auto"/>
              <w:rPr>
                <w:rFonts w:eastAsia="等线"/>
                <w:color w:val="auto"/>
                <w:sz w:val="21"/>
                <w:szCs w:val="21"/>
                <w:highlight w:val="none"/>
                <w:lang w:val="en-US"/>
              </w:rPr>
            </w:pPr>
            <w:r>
              <w:rPr>
                <w:rFonts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7</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室内LED全彩屏</w:t>
            </w:r>
            <w:r/>
          </w:p>
        </w:tc>
        <w:tc>
          <w:tcPr>
            <w:tcW w:w="7696" w:type="dxa"/>
            <w:vAlign w:val="center"/>
            <w:textDirection w:val="lrTb"/>
            <w:noWrap w:val="false"/>
          </w:tcPr>
          <w:p>
            <w:pPr>
              <w:jc w:val="left"/>
              <w:spacing w:line="264" w:lineRule="auto"/>
              <w:rPr>
                <w:rFonts w:ascii="宋体" w:hAnsi="宋体" w:cs="宋体"/>
                <w:color w:val="auto"/>
                <w:szCs w:val="21"/>
                <w:highlight w:val="none"/>
              </w:rPr>
            </w:pPr>
            <w:r/>
            <w:bookmarkStart w:id="195" w:name="OLE_LINK3"/>
            <w:r>
              <w:rPr>
                <w:rFonts w:ascii="宋体" w:hAnsi="宋体" w:cs="宋体"/>
                <w:color w:val="auto"/>
                <w:szCs w:val="21"/>
                <w:highlight w:val="none"/>
              </w:rPr>
              <w:t xml:space="preserve">★</w:t>
            </w:r>
            <w:r>
              <w:rPr>
                <w:rFonts w:hint="eastAsia" w:ascii="宋体" w:hAnsi="宋体" w:cs="宋体"/>
                <w:color w:val="auto"/>
                <w:szCs w:val="21"/>
                <w:highlight w:val="none"/>
              </w:rPr>
              <w:t xml:space="preserve">1</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封装方式：采用MIP封装，全倒装共阴设计，LED 晶片尺寸：单边最短边</w:t>
            </w:r>
            <w:r>
              <w:rPr>
                <w:rFonts w:ascii="宋体" w:hAnsi="宋体" w:cs="宋体"/>
                <w:color w:val="auto"/>
                <w:szCs w:val="21"/>
                <w:highlight w:val="none"/>
              </w:rPr>
              <w:t xml:space="preserve">≤</w:t>
            </w:r>
            <w:r>
              <w:rPr>
                <w:rFonts w:hint="eastAsia" w:ascii="宋体" w:hAnsi="宋体" w:cs="宋体"/>
                <w:color w:val="auto"/>
                <w:szCs w:val="21"/>
                <w:highlight w:val="none"/>
              </w:rPr>
              <w:t xml:space="preserve">90um；显示屏须提供国家强制CCC认证证书</w:t>
            </w:r>
            <w:r>
              <w:rPr>
                <w:rFonts w:hint="eastAsia" w:ascii="宋体" w:hAnsi="宋体" w:cs="宋体"/>
                <w:color w:val="auto"/>
                <w:szCs w:val="21"/>
                <w:highlight w:val="none"/>
              </w:rPr>
              <w:t xml:space="preserve">（签订合同时提供）</w:t>
            </w:r>
            <w:r>
              <w:rPr>
                <w:rFonts w:hint="eastAsia" w:ascii="宋体" w:hAnsi="宋体" w:cs="宋体"/>
                <w:color w:val="auto"/>
                <w:szCs w:val="21"/>
                <w:highlight w:val="none"/>
              </w:rPr>
              <w:t xml:space="preserve">。</w:t>
            </w:r>
            <w:r>
              <w:rPr>
                <w:rFonts w:hint="eastAsia" w:ascii="宋体" w:hAnsi="宋体" w:cs="宋体"/>
                <w:color w:val="auto"/>
                <w:szCs w:val="21"/>
                <w:highlight w:val="none"/>
              </w:rPr>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像素间距</w:t>
            </w:r>
            <w:r>
              <w:rPr>
                <w:rFonts w:ascii="宋体" w:hAnsi="宋体" w:cs="宋体"/>
                <w:color w:val="auto"/>
                <w:szCs w:val="21"/>
                <w:highlight w:val="none"/>
              </w:rPr>
              <w:t xml:space="preserve">≤</w:t>
            </w:r>
            <w:r>
              <w:rPr>
                <w:rFonts w:hint="eastAsia" w:ascii="宋体" w:hAnsi="宋体" w:cs="宋体"/>
                <w:color w:val="auto"/>
                <w:szCs w:val="21"/>
                <w:highlight w:val="none"/>
              </w:rPr>
              <w:t xml:space="preserve">1.8</w:t>
            </w:r>
            <w:r>
              <w:rPr>
                <w:rFonts w:ascii="宋体" w:hAnsi="宋体" w:cs="宋体"/>
                <w:color w:val="auto"/>
                <w:szCs w:val="21"/>
                <w:highlight w:val="none"/>
              </w:rPr>
              <w:t xml:space="preserve">75</w:t>
            </w:r>
            <w:r>
              <w:rPr>
                <w:rFonts w:hint="eastAsia" w:ascii="宋体" w:hAnsi="宋体" w:cs="宋体"/>
                <w:color w:val="auto"/>
                <w:szCs w:val="21"/>
                <w:highlight w:val="none"/>
              </w:rPr>
              <w:t xml:space="preserve">mm，采用压铸铝箱体，整屏尺寸不低于：4.48m*2.56m。</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亮度：</w:t>
            </w:r>
            <w:r>
              <w:rPr>
                <w:rFonts w:ascii="宋体" w:hAnsi="宋体" w:cs="宋体"/>
                <w:color w:val="auto"/>
                <w:szCs w:val="21"/>
                <w:highlight w:val="none"/>
              </w:rPr>
              <w:t xml:space="preserve">≥</w:t>
            </w:r>
            <w:r>
              <w:rPr>
                <w:rFonts w:hint="eastAsia" w:ascii="宋体" w:hAnsi="宋体" w:cs="宋体"/>
                <w:color w:val="auto"/>
                <w:szCs w:val="21"/>
                <w:highlight w:val="none"/>
              </w:rPr>
              <w:t xml:space="preserve">600cd/㎡；换帧频率：</w:t>
            </w:r>
            <w:r>
              <w:rPr>
                <w:rFonts w:ascii="宋体" w:hAnsi="宋体" w:cs="宋体"/>
                <w:color w:val="auto"/>
                <w:szCs w:val="21"/>
                <w:highlight w:val="none"/>
              </w:rPr>
              <w:t xml:space="preserve">≥</w:t>
            </w:r>
            <w:r>
              <w:rPr>
                <w:rFonts w:hint="eastAsia" w:ascii="宋体" w:hAnsi="宋体" w:cs="宋体"/>
                <w:color w:val="auto"/>
                <w:szCs w:val="21"/>
                <w:highlight w:val="none"/>
              </w:rPr>
              <w:t xml:space="preserve">60Hz；刷新频率：</w:t>
            </w:r>
            <w:r>
              <w:rPr>
                <w:rFonts w:ascii="宋体" w:hAnsi="宋体" w:cs="宋体"/>
                <w:color w:val="auto"/>
                <w:szCs w:val="21"/>
                <w:highlight w:val="none"/>
              </w:rPr>
              <w:t xml:space="preserve">≥</w:t>
            </w:r>
            <w:r>
              <w:rPr>
                <w:rFonts w:hint="eastAsia" w:ascii="宋体" w:hAnsi="宋体" w:cs="宋体"/>
                <w:color w:val="auto"/>
                <w:szCs w:val="21"/>
                <w:highlight w:val="none"/>
              </w:rPr>
              <w:t xml:space="preserve">3840Hz；对比度：</w:t>
            </w:r>
            <w:r>
              <w:rPr>
                <w:rFonts w:ascii="宋体" w:hAnsi="宋体" w:cs="宋体"/>
                <w:color w:val="auto"/>
                <w:szCs w:val="21"/>
                <w:highlight w:val="none"/>
              </w:rPr>
              <w:t xml:space="preserve">≥</w:t>
            </w:r>
            <w:r>
              <w:rPr>
                <w:rFonts w:hint="eastAsia" w:ascii="宋体" w:hAnsi="宋体" w:cs="宋体"/>
                <w:color w:val="auto"/>
                <w:szCs w:val="21"/>
                <w:highlight w:val="none"/>
              </w:rPr>
              <w:t xml:space="preserve">6000:1；可视角度：水平及上下</w:t>
            </w:r>
            <w:r>
              <w:rPr>
                <w:rFonts w:ascii="宋体" w:hAnsi="宋体" w:cs="宋体"/>
                <w:color w:val="auto"/>
                <w:szCs w:val="21"/>
                <w:highlight w:val="none"/>
              </w:rPr>
              <w:t xml:space="preserve">≥</w:t>
            </w:r>
            <w:r>
              <w:rPr>
                <w:rFonts w:hint="eastAsia" w:ascii="宋体" w:hAnsi="宋体" w:cs="宋体"/>
                <w:color w:val="auto"/>
                <w:szCs w:val="21"/>
                <w:highlight w:val="none"/>
              </w:rPr>
              <w:t xml:space="preserve">170°。</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显示屏符合GB/T 26572-2011中电子电气产品六种限用物质（铅、汞、镉、六价铬、多溴联苯、多溴二苯醚）的要求。</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防止辐射污染与安全，显示屏需通过BS6853有毒烟雾测试，毒性指数R值小于0.5；显示屏通过BS476-7：1997火势蔓延的试验，达到1级标准。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为保护眼睛视力不受伤害，要求显示屏通过蓝光辐射危害测试，要同时满足</w:t>
            </w:r>
            <w:r>
              <w:rPr>
                <w:rFonts w:ascii="宋体" w:hAnsi="宋体" w:cs="宋体"/>
                <w:color w:val="auto"/>
                <w:szCs w:val="21"/>
                <w:highlight w:val="none"/>
              </w:rPr>
              <w:t xml:space="preserve">①</w:t>
            </w:r>
            <w:r>
              <w:rPr>
                <w:rFonts w:hint="eastAsia" w:ascii="宋体" w:hAnsi="宋体" w:cs="宋体"/>
                <w:color w:val="auto"/>
                <w:szCs w:val="21"/>
                <w:highlight w:val="none"/>
              </w:rPr>
              <w:t xml:space="preserve">无380nm-400nm波长的辐射，</w:t>
            </w:r>
            <w:r>
              <w:rPr>
                <w:rFonts w:ascii="宋体" w:hAnsi="宋体" w:cs="宋体"/>
                <w:color w:val="auto"/>
                <w:szCs w:val="21"/>
                <w:highlight w:val="none"/>
              </w:rPr>
              <w:t xml:space="preserve">②</w:t>
            </w:r>
            <w:r>
              <w:rPr>
                <w:rFonts w:hint="eastAsia" w:ascii="宋体" w:hAnsi="宋体" w:cs="宋体"/>
                <w:color w:val="auto"/>
                <w:szCs w:val="21"/>
                <w:highlight w:val="none"/>
              </w:rPr>
              <w:t xml:space="preserve">波长460nm蓝光辐射亮度（光强度）1.78E-02W/(㎡.sr.nm)。</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olor w:val="auto"/>
                <w:szCs w:val="21"/>
                <w:highlight w:val="none"/>
                <w:lang w:bidi="ar"/>
              </w:rPr>
              <w:t xml:space="preserve">、</w:t>
            </w:r>
            <w:r>
              <w:rPr>
                <w:rFonts w:hint="eastAsia" w:ascii="宋体" w:hAnsi="宋体" w:cs="宋体"/>
                <w:color w:val="auto"/>
                <w:szCs w:val="21"/>
                <w:highlight w:val="none"/>
              </w:rPr>
              <w:t xml:space="preserve">箱体具有抗压试验（施加11KN的力压箱体，箱体表面未发生变形），抗拉试验（施加10.2KN的力拉箱体，箱体未发生变形）。</w:t>
            </w:r>
            <w:r/>
          </w:p>
          <w:p>
            <w:pPr>
              <w:pStyle w:val="922"/>
              <w:ind w:left="0"/>
              <w:spacing w:line="264" w:lineRule="auto"/>
              <w:rPr>
                <w:rFonts w:eastAsia="等线"/>
                <w:color w:val="auto"/>
                <w:sz w:val="21"/>
                <w:szCs w:val="21"/>
                <w:highlight w:val="none"/>
                <w:lang w:val="en-US"/>
              </w:rPr>
            </w:pPr>
            <w:r>
              <w:rPr>
                <w:rFonts w:ascii="宋体" w:hAnsi="宋体" w:eastAsia="宋体"/>
                <w:color w:val="auto"/>
                <w:sz w:val="21"/>
                <w:szCs w:val="21"/>
                <w:highlight w:val="none"/>
                <w:lang w:val="en-US" w:bidi="ar"/>
              </w:rPr>
              <w:t xml:space="preserve">8</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bookmarkEnd w:id="195"/>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8</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视频处理器2</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1、支持不少于三画面；带载≥650万、横向≥10240、纵向≥8192。</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2、输入：≥2×HDMI1.4、1×DVI、1×Audio。</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3、输出：≥1×SDI Loop、1×HDMI预监，1×Audio，网口×10。</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4、支持一键缩放，支持OSD。</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9</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视频处理器3</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1、支持不少于2画面；带载≥1040万、横向≥</w:t>
            </w:r>
            <w:r>
              <w:rPr>
                <w:rFonts w:ascii="宋体" w:hAnsi="宋体" w:cs="宋体"/>
                <w:color w:val="auto"/>
                <w:szCs w:val="21"/>
                <w:highlight w:val="none"/>
              </w:rPr>
              <w:t xml:space="preserve">8192</w:t>
            </w:r>
            <w:r>
              <w:rPr>
                <w:rFonts w:hint="eastAsia" w:ascii="宋体" w:hAnsi="宋体" w:cs="宋体"/>
                <w:color w:val="auto"/>
                <w:szCs w:val="21"/>
                <w:highlight w:val="none"/>
              </w:rPr>
              <w:t xml:space="preserve">、纵向≥</w:t>
            </w:r>
            <w:r>
              <w:rPr>
                <w:rFonts w:ascii="宋体" w:hAnsi="宋体" w:cs="宋体"/>
                <w:color w:val="auto"/>
                <w:szCs w:val="21"/>
                <w:highlight w:val="none"/>
              </w:rPr>
              <w:t xml:space="preserve">4320</w:t>
            </w:r>
            <w:r>
              <w:rPr>
                <w:rFonts w:hint="eastAsia" w:ascii="宋体" w:hAnsi="宋体" w:cs="宋体"/>
                <w:color w:val="auto"/>
                <w:szCs w:val="21"/>
                <w:highlight w:val="none"/>
              </w:rPr>
              <w:t xml:space="preserve">。</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2、输入:≥2</w:t>
            </w:r>
            <w:r>
              <w:rPr>
                <w:rFonts w:ascii="宋体" w:hAnsi="宋体" w:cs="宋体"/>
                <w:color w:val="auto"/>
                <w:szCs w:val="21"/>
                <w:highlight w:val="none"/>
              </w:rPr>
              <w:t xml:space="preserve">*HDMI</w:t>
            </w:r>
            <w:r>
              <w:rPr>
                <w:rFonts w:hint="eastAsia" w:ascii="宋体" w:hAnsi="宋体" w:cs="宋体"/>
                <w:color w:val="auto"/>
                <w:szCs w:val="21"/>
                <w:highlight w:val="none"/>
              </w:rPr>
              <w:t xml:space="preserve">输入，2</w:t>
            </w:r>
            <w:r>
              <w:rPr>
                <w:rFonts w:ascii="宋体" w:hAnsi="宋体" w:cs="宋体"/>
                <w:color w:val="auto"/>
                <w:szCs w:val="21"/>
                <w:highlight w:val="none"/>
              </w:rPr>
              <w:t xml:space="preserve">*DP1.2</w:t>
            </w:r>
            <w:r>
              <w:rPr>
                <w:rFonts w:hint="eastAsia" w:ascii="宋体" w:hAnsi="宋体" w:cs="宋体"/>
                <w:color w:val="auto"/>
                <w:szCs w:val="21"/>
                <w:highlight w:val="none"/>
              </w:rPr>
              <w:t xml:space="preserve">输入。</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3、输出:≥16x网口，</w:t>
            </w:r>
            <w:r>
              <w:rPr>
                <w:rFonts w:ascii="宋体" w:hAnsi="宋体" w:cs="宋体"/>
                <w:color w:val="auto"/>
                <w:szCs w:val="21"/>
                <w:highlight w:val="none"/>
              </w:rPr>
              <w:t xml:space="preserve"> 1xHDMI预监</w:t>
            </w:r>
            <w:r>
              <w:rPr>
                <w:rFonts w:hint="eastAsia" w:ascii="宋体" w:hAnsi="宋体" w:cs="宋体"/>
                <w:color w:val="auto"/>
                <w:szCs w:val="21"/>
                <w:highlight w:val="none"/>
              </w:rPr>
              <w:t xml:space="preserve">。</w:t>
            </w:r>
            <w:r/>
          </w:p>
          <w:p>
            <w:pPr>
              <w:pStyle w:val="922"/>
              <w:ind w:left="0"/>
              <w:spacing w:line="264"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支持86型触控液晶面板，可实现可视化控制大屏开关、亮度调节、场景预案切换及大屏信号源切换功能，触控时带提示音。86型面板采用网线方式与控制设备连接，支持单根网线同时传输控制信号及供电，信号与供电传输距离可达200米；</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10</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视频处理器4</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1、支持不少于三画面；带载≥390万、横向≥4096、纵向≥4096。</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2、输入:≥1xVGA、1xDVI、2xHDMI。</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3、输出:≥6x网口。</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11</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视频处理器5</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1、支持不少于三画面；带载≥350万、横向</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4096、纵向</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4096。</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2、输入:</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1xVGA、1xDVI、2xHDMI。</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3、输出:</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6x网口。</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12</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异步控制盒</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bCs/>
                <w:color w:val="auto"/>
                <w:szCs w:val="21"/>
                <w:highlight w:val="none"/>
              </w:rPr>
              <w:t xml:space="preserve">配套会标屏使用，</w:t>
            </w:r>
            <w:r>
              <w:rPr>
                <w:rFonts w:hint="eastAsia" w:ascii="宋体" w:hAnsi="宋体" w:cs="宋体"/>
                <w:color w:val="auto"/>
                <w:szCs w:val="21"/>
                <w:highlight w:val="none"/>
              </w:rPr>
              <w:t xml:space="preserve">不少于1网口、1*U盘接口，不低于128M存储内存。</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13</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LED集成管理控制系统软件</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1、支持直观的拖放界面和可视化工具轻松创建演示内容；</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2、播放列表支持循环播放视频，图片，音频等；支持远程更新播放内容；</w:t>
            </w:r>
            <w:r/>
          </w:p>
          <w:p>
            <w:pPr>
              <w:jc w:val="left"/>
              <w:spacing w:line="264" w:lineRule="auto"/>
              <w:rPr>
                <w:rFonts w:ascii="宋体" w:hAnsi="Courier New" w:cs="Courier New"/>
                <w:color w:val="auto"/>
                <w:szCs w:val="21"/>
                <w:highlight w:val="none"/>
              </w:rPr>
            </w:pPr>
            <w:r>
              <w:rPr>
                <w:rFonts w:hint="eastAsia" w:ascii="宋体" w:hAnsi="宋体" w:cs="宋体"/>
                <w:color w:val="auto"/>
                <w:szCs w:val="21"/>
                <w:highlight w:val="none"/>
              </w:rPr>
              <w:t xml:space="preserve">3、支持后台实时查看播放内容；系统服务架构可具备可扩充性。</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14</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配电箱2</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1、类型：≥20KW配电柜。</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2、控制：PLC控制器，网络远程控制。</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3、元器件：断路器、接触器。</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4、输入电压：380V；。</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5、输出电压：220V。</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6、输出回路：≥3个单向回路。</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7、具备远程上电功能，PLC功能，继电器、空气开关元器件。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15</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配电箱3</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1、功率：</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15KW配电柜。</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2、控制：PLC控制器，网络远程控制。</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3、元器件：断路器、接触器。</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4、输入电压：380V。</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5、输出电压：220V。</w:t>
            </w:r>
            <w:r/>
          </w:p>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6、输出回路：≥3个单向回路。</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lang w:bidi="ar"/>
              </w:rPr>
              <w:t xml:space="preserve">7、具备远程上电功能，PLC功能，继电器、空气开关元器件。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16</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屏体框架及包边1</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1、安装框架采用Q235B标准40mm*40mm及以上镀锌方管或铝型材结构；尺寸不小于58.99㎡。</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17</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屏体框架及包边2</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1、安装框架采用Q235B标准40mm*40mm及以上镀锌方管或铝型材结构；尺寸不小于18.44㎡。</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18</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屏体框架及包边3</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1、安装框架采用Q235B标准40mm*40mm及以上镀锌方管或铝型材结构；尺寸不小于8.51㎡。</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19</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屏体框架及包边4</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1、安装框架采用Q235B标准40mm*40mm及以上镀锌方管或铝型材结构；尺寸不小于19.36㎡。</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20</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屏体框架及包边5</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1、安装框架采用Q235B标准40mm*40mm及以上镀锌方管或铝型材结构；尺寸不小于27.04㎡。</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21</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屏体框架及包边6</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1、安装框架采用Q235B标准40mm*40mm及以上镀锌方管或铝型材结构；尺寸不小于18.44㎡。</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22</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屏体框架及包边7</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1、安装框架采用Q235B标准40mm*40mm及以上镀锌方管或铝型材结构；尺寸不小于16.39㎡。</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23</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屏体框架及包边8</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1、安装框架采用Q235B标准40mm*40mm及以上镀锌方管或铝型材结构；尺寸不小于11.47㎡。</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2、屏体主结构框架采用镀锌钢管制作或铝型材结构，防腐防锈处理，不锈钢包边,包边宽度3至6公分。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3、主框架需满足产品安装和安全要求。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24</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通讯电缆及配件</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1、室内LED屏所用强供电及通信线缆。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2、供电采用国标三相五线制线缆。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3、通信采用不低于ANSI/TIA-568-C.2-2009标准六类网线。</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25</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55寸返看屏</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rPr>
              <w:t xml:space="preserve">屏幕尺寸≥55英寸，分辨率≥3840*2160，配备HDMI接口。</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26</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返看屏移动架</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bCs/>
                <w:color w:val="auto"/>
                <w:szCs w:val="21"/>
                <w:highlight w:val="none"/>
              </w:rPr>
              <w:t xml:space="preserve">55寸返看屏移动架</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采用SPCC加粗加厚冷轧钢板，承重不小于100KG，5档高度调节。</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27</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65寸辅助屏</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rPr>
              <w:t xml:space="preserve">屏幕尺寸≥65英寸，分辨率≥3840*2160，配备HDMI接口。</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28</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辅助屏吊架</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rPr>
              <w:t xml:space="preserve">65寸辅助屏吊架，伸缩长度可调节，总长度不低于1.5M，上下倾角-5°-15°可调，承重大于50kg。</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29</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55寸拼接屏</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双边拼缝：≤1.8mm；分辨率：≥1920*1080；亮度：≥500cd/m2；输入接口：≥HDMI*1。</w:t>
            </w:r>
            <w:r/>
          </w:p>
          <w:p>
            <w:pPr>
              <w:pStyle w:val="922"/>
              <w:ind w:left="0"/>
              <w:spacing w:line="264" w:lineRule="auto"/>
              <w:rPr>
                <w:color w:val="auto"/>
                <w:sz w:val="21"/>
                <w:szCs w:val="21"/>
                <w:highlight w:val="none"/>
              </w:rPr>
            </w:pPr>
            <w:r>
              <w:rPr>
                <w:rFonts w:hint="eastAsia" w:ascii="宋体" w:hAnsi="宋体" w:eastAsia="宋体"/>
                <w:color w:val="auto"/>
                <w:sz w:val="21"/>
                <w:szCs w:val="21"/>
                <w:highlight w:val="none"/>
                <w:lang w:val="en-US"/>
              </w:rPr>
              <w:t xml:space="preserve">LCD显示单元具备阔屏技术，在图像亮度调节过程中，通过 Gamma 变化不丢失灰阶保证图像细节。（签订合同时提供具有CMA标识的检测报告）</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30</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55寸拼接屏液压支架</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bCs/>
                <w:color w:val="auto"/>
                <w:szCs w:val="21"/>
                <w:highlight w:val="none"/>
              </w:rPr>
              <w:t xml:space="preserve">55寸拼接屏液压支架</w:t>
            </w:r>
            <w:r>
              <w:rPr>
                <w:rFonts w:hint="eastAsia" w:ascii="宋体" w:hAnsi="宋体" w:cs="宋体"/>
                <w:color w:val="auto"/>
                <w:szCs w:val="21"/>
                <w:highlight w:val="none"/>
              </w:rPr>
              <w:t xml:space="preserve">；SPCC冷轧钢，承重≥50KG。</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31</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55寸立卧式控制终端</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不小于55寸立卧式控制终端，分辨率≥1920*1080，电容触摸屏，触摸响应时间≤5毫秒，内置系统操作模块。</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32</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有线键鼠</w:t>
            </w:r>
            <w:r/>
          </w:p>
        </w:tc>
        <w:tc>
          <w:tcPr>
            <w:tcW w:w="7696" w:type="dxa"/>
            <w:vAlign w:val="center"/>
            <w:textDirection w:val="lrTb"/>
            <w:noWrap w:val="false"/>
          </w:tcPr>
          <w:p>
            <w:pPr>
              <w:jc w:val="left"/>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有线键鼠套装，USB接口，全尺寸键盘，光学鼠标。</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33</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46寸拼接屏</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双边拼缝：≤0.88mm；分辨率：≥1920*1080；输入接口：≥HDMI*1。</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34</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高清解码器</w:t>
            </w:r>
            <w:r/>
          </w:p>
        </w:tc>
        <w:tc>
          <w:tcPr>
            <w:tcW w:w="7696" w:type="dxa"/>
            <w:vAlign w:val="center"/>
            <w:textDirection w:val="lrTb"/>
            <w:noWrap w:val="false"/>
          </w:tcPr>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1、支持不少于SVAC/H.264/H.265/MJPEG标准网络视频流解码；支持单屏不低于36画面分割；支持多屏融合拼接；支持预案轮巡；支持不少于9路HDMI输出。</w:t>
            </w:r>
            <w:r/>
          </w:p>
          <w:p>
            <w:pPr>
              <w:pStyle w:val="922"/>
              <w:ind w:left="0"/>
              <w:spacing w:line="264" w:lineRule="auto"/>
              <w:rPr>
                <w:rFonts w:ascii="宋体" w:hAnsi="宋体" w:eastAsia="宋体"/>
                <w:color w:val="auto"/>
                <w:sz w:val="21"/>
                <w:szCs w:val="21"/>
                <w:highlight w:val="none"/>
                <w:lang w:val="en-US" w:bidi="ar"/>
              </w:rPr>
            </w:pPr>
            <w:r>
              <w:rPr>
                <w:rFonts w:ascii="宋体" w:hAnsi="宋体" w:eastAsia="宋体"/>
                <w:color w:val="auto"/>
                <w:sz w:val="21"/>
                <w:szCs w:val="21"/>
                <w:highlight w:val="none"/>
                <w:lang w:val="en-US" w:bidi="ar"/>
              </w:rPr>
              <w:t xml:space="preserve">▲</w:t>
            </w:r>
            <w:r>
              <w:rPr>
                <w:rFonts w:hint="eastAsia" w:ascii="宋体" w:hAnsi="宋体" w:eastAsia="宋体"/>
                <w:color w:val="auto"/>
                <w:sz w:val="21"/>
                <w:szCs w:val="21"/>
                <w:highlight w:val="none"/>
                <w:lang w:val="en-US" w:bidi="ar"/>
              </w:rPr>
              <w:t xml:space="preserve">2、具有智能防火功能，当火情传感器检测到当前环境存在火情时，可自动控制显示器关闭。（签订合同时提供具有CMA标识的检测报告）</w:t>
            </w:r>
            <w:r/>
          </w:p>
          <w:p>
            <w:pPr>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3、应能切换3种输入模式，最大支持1路4K(60Hz)/2路4K（30Hz）/4路1080P(60Hz)同时输入。（签订合同时提供具有CMA标识的检测报告）</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35</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46寸拼接屏液压支架</w:t>
            </w:r>
            <w:r/>
          </w:p>
        </w:tc>
        <w:tc>
          <w:tcPr>
            <w:tcW w:w="7696" w:type="dxa"/>
            <w:vAlign w:val="center"/>
            <w:textDirection w:val="lrTb"/>
            <w:noWrap w:val="false"/>
          </w:tcPr>
          <w:p>
            <w:pPr>
              <w:jc w:val="left"/>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46寸拼接屏液压支架；</w:t>
            </w:r>
            <w:r>
              <w:rPr>
                <w:rFonts w:hint="eastAsia" w:ascii="宋体" w:hAnsi="宋体" w:cs="宋体"/>
                <w:color w:val="auto"/>
                <w:szCs w:val="21"/>
                <w:highlight w:val="none"/>
              </w:rPr>
              <w:t xml:space="preserve">SPCC冷轧钢，承重≥50KG。</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36</w:t>
            </w:r>
            <w:r/>
          </w:p>
        </w:tc>
        <w:tc>
          <w:tcPr>
            <w:tcW w:w="1448" w:type="dxa"/>
            <w:vAlign w:val="center"/>
            <w:textDirection w:val="lrTb"/>
            <w:noWrap w:val="false"/>
          </w:tcPr>
          <w:p>
            <w:pPr>
              <w:jc w:val="left"/>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数字媒体发布系统</w:t>
            </w:r>
            <w:r/>
          </w:p>
        </w:tc>
        <w:tc>
          <w:tcPr>
            <w:tcW w:w="7696" w:type="dxa"/>
            <w:vAlign w:val="center"/>
            <w:textDirection w:val="lrTb"/>
            <w:noWrap w:val="false"/>
          </w:tcPr>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主控端：具有权限管理、审批及非审批流程权限、布局管理、节目管理、终端管理等功能，系统支持不同种类的终端的统一管理和集中控制，不同终端可播放不同内容，包括远程界面监控、开关机、音量调节、开关屏设置、远程重启等，同时可以查看终端的存储区占用率、终端设备日志，支持定时发送功能，节目发送完毕后支持查看下载进度。</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2、系统支持终端资源的离线化播放，即除了需要实时更新的显示信息需与后台交互查询后获得，其余资源均本地化存储，保证即使下次开机断网，也可以正常展现已保留的数据内容。</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3、每个屏幕可以根据客户需要任意划分，划分的每个分屏区域里可以混合播放各种格式的多媒体文件（包括视频、图片、PPT、文字等）。</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4、具有多种播放时间控制设置，播放列表可设定多个媒体内容的播放时间次序，可定时播放、指定时间播放、随时插播、指定年月日时分秒播放、空闲播放、手动触发播放、传感器自动触发播放、循环播放、优先播放、计次播放、延时播放”等，可以对发布时间（开始，持续，结束）、发布顺序等进行编制和定义管理。</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5、可支持多种显示终端,可以将LED等显示设备通过该信息发布系统进行统一集中管理和播放，支持异型LED屏的显示。</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6、可以通过各种通讯方式将数据发送到屏幕上，并且不需要一直在线，数据发送完毕后，媒体信息可以在播放显示端脱机显示，对带宽占用有限。</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7、远程检测功能：管理端实时监测各个播放端的系统运行情况和任务播放情况，可以对各个播放端进行接管控制，可以在管理端实时查看播放端的播放内容及实时的播放画面。</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远程指令和操作：管理端实时监测各个播放端的系统运行情况和任务播放情况，可以对各个播放端进行接管控制，可以在管理端实时查看播放端的播放内容及实时的播放画面，管理端可以通过网络控制显示端终端定时和随时的远程开机、关机、重启、定时开机、定时关机、远程控制、远程桌面接管等操作，可以通过主控端对各显示终端进行过期播放文件的清空管理，以保证显示端的存储空间。</w:t>
            </w:r>
            <w:r/>
          </w:p>
          <w:p>
            <w:pPr>
              <w:jc w:val="left"/>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9、支持移动设备终端（手机端、平板电脑等）对终端进行重启，开关机，控制终端音量大小，清理终端节目与素材，发送终端时间同步。可对接各种终端。</w:t>
            </w:r>
            <w:r/>
          </w:p>
          <w:p>
            <w:pPr>
              <w:pStyle w:val="972"/>
              <w:spacing w:line="264" w:lineRule="auto"/>
              <w:rPr>
                <w:rFonts w:hAnsi="宋体" w:cs="宋体"/>
                <w:color w:val="auto"/>
                <w:highlight w:val="none"/>
              </w:rPr>
            </w:pPr>
            <w:r>
              <w:rPr>
                <w:rFonts w:hint="eastAsia" w:hAnsi="宋体" w:cs="宋体"/>
                <w:color w:val="auto"/>
                <w:highlight w:val="none"/>
                <w:lang w:bidi="ar"/>
              </w:rPr>
              <w:t xml:space="preserve">10、</w:t>
            </w:r>
            <w:r>
              <w:rPr>
                <w:rFonts w:hint="eastAsia" w:hAnsi="宋体" w:cs="宋体"/>
                <w:color w:val="auto"/>
                <w:highlight w:val="none"/>
              </w:rPr>
              <w:t xml:space="preserve">与学校基础数据平台（pc端及</w:t>
            </w:r>
            <w:r>
              <w:rPr>
                <w:rFonts w:hint="eastAsia" w:hAnsi="宋体" w:cs="宋体"/>
                <w:color w:val="auto"/>
                <w:highlight w:val="none"/>
                <w:lang w:bidi="ar"/>
              </w:rPr>
              <w:t xml:space="preserve">移动端）进行对接（采购人负责协调对接工作，联系方式详见第一章）。</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37</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信息发布许可</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lang w:bidi="ar"/>
              </w:rPr>
              <w:t xml:space="preserve">信息发布</w:t>
            </w:r>
            <w:r>
              <w:rPr>
                <w:rFonts w:hint="eastAsia" w:ascii="宋体" w:hAnsi="宋体" w:cs="宋体"/>
                <w:color w:val="auto"/>
                <w:szCs w:val="21"/>
                <w:highlight w:val="none"/>
              </w:rPr>
              <w:t xml:space="preserve">显示端授权许可。</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38</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22寸信息发布屏</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1、显示尺寸：≥22寸。</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2、显示比例：16:9。</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3、分辨率：≥1920(H)x1080(V)。</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4、平均亮度：≥350cd/㎡。</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5、对比度：≥3000:1。</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6、使用寿命：≥60000小时。</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7、内置媒体播放器：≥四核处理器，4G内存，64G固态存储 内置音响。</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39</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32寸信息发布屏</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1、显示尺寸：≥</w:t>
            </w:r>
            <w:r>
              <w:rPr>
                <w:rFonts w:hint="eastAsia" w:ascii="宋体" w:hAnsi="宋体" w:cs="宋体"/>
                <w:color w:val="auto"/>
                <w:szCs w:val="21"/>
                <w:highlight w:val="none"/>
                <w:lang w:bidi="ar"/>
              </w:rPr>
              <w:t xml:space="preserve">32</w:t>
            </w:r>
            <w:r>
              <w:rPr>
                <w:rFonts w:hint="eastAsia" w:ascii="宋体" w:hAnsi="宋体" w:cs="宋体"/>
                <w:color w:val="auto"/>
                <w:szCs w:val="21"/>
                <w:highlight w:val="none"/>
              </w:rPr>
              <w:t xml:space="preserve">寸。</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2、显示比例：16:9。</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3、分辨率：≥1920(H)x1080(V)。</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4、平均亮度：≥350cd/㎡。</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5、对比度：≥3000:1。</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6、使用寿命：≥60000小时。</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7、内置媒体播放器：≥四核处理器，4G内存，64G固态存储 内置音响。</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40</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55寸信息发布屏</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1、显示尺寸：≥</w:t>
            </w:r>
            <w:r>
              <w:rPr>
                <w:rFonts w:hint="eastAsia" w:ascii="宋体" w:hAnsi="宋体" w:cs="宋体"/>
                <w:color w:val="auto"/>
                <w:szCs w:val="21"/>
                <w:highlight w:val="none"/>
                <w:lang w:bidi="ar"/>
              </w:rPr>
              <w:t xml:space="preserve">55</w:t>
            </w:r>
            <w:r>
              <w:rPr>
                <w:rFonts w:hint="eastAsia" w:ascii="宋体" w:hAnsi="宋体" w:cs="宋体"/>
                <w:color w:val="auto"/>
                <w:szCs w:val="21"/>
                <w:highlight w:val="none"/>
              </w:rPr>
              <w:t xml:space="preserve">寸。</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2、显示比例：16:9。</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3、分辨率：≥1920(H)x1080(V)。</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4、平均亮度：≥350cd/㎡。</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5、对比度：≥3000:1。</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6、使用寿命：≥60000小时。</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7、内置媒体播放器：≥四核处理器，4G内存，64G固态存储 内置音响。</w:t>
            </w:r>
            <w:r/>
          </w:p>
          <w:p>
            <w:pPr>
              <w:jc w:val="left"/>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8、支持远程开关机，远程网络唤醒，给电自动开机。</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41</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P4户外LED全彩屏1</w:t>
            </w:r>
            <w:r/>
          </w:p>
        </w:tc>
        <w:tc>
          <w:tcPr>
            <w:tcW w:w="7696" w:type="dxa"/>
            <w:vAlign w:val="center"/>
            <w:textDirection w:val="lrTb"/>
            <w:noWrap w:val="false"/>
          </w:tcPr>
          <w:p>
            <w:pPr>
              <w:jc w:val="left"/>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2、色温：8</w:t>
            </w:r>
            <w:r>
              <w:rPr>
                <w:rFonts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3.平整度和拼缝间隙≤0.1mm； 峰值功耗≤</w:t>
            </w:r>
            <w:r>
              <w:rPr>
                <w:rFonts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rPr>
              <w:t xml:space="preserve">采用一次成型全封闭防水压铸铝箱体，模块采用正反面灌胶工艺。（</w:t>
            </w:r>
            <w:r>
              <w:rPr>
                <w:rFonts w:hint="eastAsia" w:ascii="宋体" w:hAnsi="宋体" w:cs="宋体"/>
                <w:color w:val="auto"/>
                <w:szCs w:val="21"/>
                <w:highlight w:val="none"/>
              </w:rPr>
              <w:t xml:space="preserve">投标</w:t>
            </w:r>
            <w:r>
              <w:rPr>
                <w:rFonts w:hint="eastAsia" w:ascii="宋体" w:hAnsi="宋体" w:cs="宋体"/>
                <w:color w:val="auto"/>
                <w:szCs w:val="21"/>
                <w:highlight w:val="none"/>
              </w:rPr>
              <w:t xml:space="preserve">时</w:t>
            </w:r>
            <w:r>
              <w:rPr>
                <w:rFonts w:hint="eastAsia" w:ascii="宋体" w:hAnsi="宋体" w:cs="宋体"/>
                <w:color w:val="auto"/>
                <w:szCs w:val="21"/>
                <w:highlight w:val="none"/>
              </w:rPr>
              <w:t xml:space="preserve">提供承诺函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承诺函格式自拟。</w:t>
            </w:r>
            <w:r>
              <w:rPr>
                <w:rFonts w:hint="eastAsia" w:ascii="宋体" w:hAnsi="宋体" w:cs="宋体"/>
                <w:color w:val="auto"/>
                <w:szCs w:val="21"/>
                <w:highlight w:val="none"/>
              </w:rPr>
              <w:t xml:space="preserve">）</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9、可通过控制PC实现联网控制，远程开机唤醒、关闭等功能，并且可同时控制多个屏。</w:t>
            </w:r>
            <w:r/>
          </w:p>
          <w:p>
            <w:pPr>
              <w:pStyle w:val="922"/>
              <w:ind w:left="0"/>
              <w:spacing w:line="264"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rPr>
                <w:rFonts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lang w:val="en-US"/>
              </w:rPr>
              <w:t xml:space="preserve">、内置智慧校园接送学平台软件，方便实时查看学校学生接送信息。</w:t>
            </w:r>
            <w:r/>
          </w:p>
          <w:p>
            <w:pPr>
              <w:pStyle w:val="922"/>
              <w:ind w:left="0"/>
              <w:spacing w:line="264" w:lineRule="auto"/>
              <w:rPr>
                <w:rFonts w:eastAsia="等线"/>
                <w:color w:val="auto"/>
                <w:sz w:val="21"/>
                <w:szCs w:val="21"/>
                <w:highlight w:val="none"/>
                <w:lang w:val="en-US"/>
              </w:rPr>
            </w:pPr>
            <w:r>
              <w:rPr>
                <w:rFonts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lang w:val="en-US"/>
              </w:rPr>
              <w:t xml:space="preserve">、平均无故障时间能达到：平均无故障运行MTBF≥</w:t>
            </w:r>
            <w:r>
              <w:rPr>
                <w:rFonts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lang w:val="en-US"/>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42</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P4户外LED全彩屏2</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(签订合同时提供相应证明材料，如：白皮书、彩页、手册、网站截图、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2、色温：8</w:t>
            </w:r>
            <w:r>
              <w:rPr>
                <w:rFonts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3、平整度和拼缝间隙≤0.1mm； 峰值功耗≤</w:t>
            </w:r>
            <w:r>
              <w:rPr>
                <w:rFonts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6、采用一次成型全封闭防水压铸铝箱体，模块采用正反面灌胶工艺。</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7、满足光生物安全性检测，不低于以下要求：30000s曝辐中不造成光化学紫外危害(ES)，在1000s内不造成近紫外危害(EUVA)，在10s内不造成对视网膜热危害(LR)，且在1000s内不造成对眼睛的红外辐射危害(EIR)。</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9、可通过控制PC实现联网控制，远程开机唤醒、关闭等功能，并且可同时控制多个屏。</w:t>
            </w:r>
            <w:r/>
          </w:p>
          <w:p>
            <w:pPr>
              <w:pStyle w:val="922"/>
              <w:ind w:left="0"/>
              <w:spacing w:line="264" w:lineRule="auto"/>
              <w:rPr>
                <w:rFonts w:eastAsia="等线"/>
                <w:color w:val="auto"/>
                <w:sz w:val="21"/>
                <w:szCs w:val="21"/>
                <w:highlight w:val="none"/>
                <w:lang w:val="en-US"/>
              </w:rPr>
            </w:pPr>
            <w:r>
              <w:rPr>
                <w:rFonts w:ascii="宋体" w:hAnsi="宋体" w:eastAsia="宋体"/>
                <w:color w:val="auto"/>
                <w:sz w:val="21"/>
                <w:szCs w:val="21"/>
                <w:highlight w:val="none"/>
                <w:lang w:val="en-US" w:bidi="ar"/>
              </w:rPr>
              <w:t xml:space="preserve">10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43</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P4户外LED全彩屏4</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1、物理点间距：≤4mm，屏体显示净面积尺寸不小于：长8米*高4.48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Cs w:val="21"/>
                <w:highlight w:val="none"/>
                <w:lang w:bidi="ar"/>
              </w:rPr>
              <w:t xml:space="preserve">(提供相应证明材料，如：白皮书、彩页、手册、网站截图、</w:t>
            </w:r>
            <w:r>
              <w:rPr>
                <w:rFonts w:hint="eastAsia" w:ascii="宋体" w:hAnsi="宋体" w:cs="宋体"/>
                <w:color w:val="auto"/>
                <w:szCs w:val="21"/>
                <w:highlight w:val="none"/>
                <w:lang w:val="en-US" w:eastAsia="zh-CN" w:bidi="ar"/>
              </w:rPr>
              <w:t xml:space="preserve">具有</w:t>
            </w:r>
            <w:r>
              <w:rPr>
                <w:rFonts w:hint="eastAsia" w:ascii="宋体" w:hAnsi="宋体" w:cs="宋体"/>
                <w:color w:val="auto"/>
                <w:szCs w:val="21"/>
                <w:highlight w:val="none"/>
                <w:lang w:bidi="ar"/>
              </w:rPr>
              <w:t xml:space="preserve">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2、色温：8</w:t>
            </w:r>
            <w:r>
              <w:rPr>
                <w:rFonts w:ascii="宋体" w:hAnsi="宋体" w:cs="宋体"/>
                <w:color w:val="auto"/>
                <w:szCs w:val="21"/>
                <w:highlight w:val="none"/>
              </w:rPr>
              <w:t xml:space="preserve">00</w:t>
            </w:r>
            <w:r>
              <w:rPr>
                <w:rFonts w:hint="eastAsia" w:ascii="宋体" w:hAnsi="宋体" w:cs="宋体"/>
                <w:color w:val="auto"/>
                <w:szCs w:val="21"/>
                <w:highlight w:val="none"/>
              </w:rPr>
              <w:t xml:space="preserve">K—1</w:t>
            </w:r>
            <w:r>
              <w:rPr>
                <w:rFonts w:ascii="宋体" w:hAnsi="宋体" w:cs="宋体"/>
                <w:color w:val="auto"/>
                <w:szCs w:val="21"/>
                <w:highlight w:val="none"/>
              </w:rPr>
              <w:t xml:space="preserve">1</w:t>
            </w:r>
            <w:r>
              <w:rPr>
                <w:rFonts w:hint="eastAsia" w:ascii="宋体" w:hAnsi="宋体" w:cs="宋体"/>
                <w:color w:val="auto"/>
                <w:szCs w:val="21"/>
                <w:highlight w:val="none"/>
              </w:rPr>
              <w:t xml:space="preserve">000K连续可调，均匀度≥97%，对比度≥4000:1，色度均匀性：（X,Y)±0.003，换帧频率 ≥60帧/秒，工作温度-20℃～+50℃；像素失控点为0.007%，防护等级：≥IP65。</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3、平整度和拼缝间隙≤0.1mm；峰值功耗≤</w:t>
            </w:r>
            <w:r>
              <w:rPr>
                <w:rFonts w:ascii="宋体" w:hAnsi="宋体" w:cs="宋体"/>
                <w:color w:val="auto"/>
                <w:szCs w:val="21"/>
                <w:highlight w:val="none"/>
              </w:rPr>
              <w:t xml:space="preserve">710</w:t>
            </w:r>
            <w:r>
              <w:rPr>
                <w:rFonts w:hint="eastAsia" w:ascii="宋体" w:hAnsi="宋体" w:cs="宋体"/>
                <w:color w:val="auto"/>
                <w:szCs w:val="21"/>
                <w:highlight w:val="none"/>
              </w:rPr>
              <w:t xml:space="preserve">W/m²；平均功耗≤350W/m²。</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4、交直流电源线使用不低于国标GB/T5023-2008线材；模组之间的连接线如采用扁平带线，则该线中每根信号线使用不低于7×0.10mm镀锡铜线。</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6、采用一次成型全封闭防水压铸铝箱体，模块采用正反面灌胶工艺。</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9、可通过控制 PC 实现联网控制，远程开机唤醒、关闭等功能，并且可同时控制多个屏。</w:t>
            </w:r>
            <w:r/>
          </w:p>
          <w:p>
            <w:pPr>
              <w:pStyle w:val="922"/>
              <w:ind w:left="0"/>
              <w:spacing w:line="264" w:lineRule="auto"/>
              <w:rPr>
                <w:rFonts w:eastAsia="等线"/>
                <w:color w:val="auto"/>
                <w:sz w:val="21"/>
                <w:szCs w:val="21"/>
                <w:highlight w:val="none"/>
                <w:lang w:val="en-US"/>
              </w:rPr>
            </w:pPr>
            <w:r>
              <w:rPr>
                <w:rFonts w:ascii="宋体" w:hAnsi="宋体" w:eastAsia="宋体"/>
                <w:color w:val="auto"/>
                <w:sz w:val="21"/>
                <w:szCs w:val="21"/>
                <w:highlight w:val="none"/>
                <w:lang w:val="en-US" w:bidi="ar"/>
              </w:rPr>
              <w:t xml:space="preserve">10</w:t>
            </w:r>
            <w:r>
              <w:rPr>
                <w:rFonts w:hint="eastAsia" w:ascii="宋体" w:hAnsi="宋体" w:eastAsia="宋体"/>
                <w:color w:val="auto"/>
                <w:sz w:val="21"/>
                <w:szCs w:val="21"/>
                <w:highlight w:val="none"/>
                <w:lang w:val="en-US" w:bidi="ar"/>
              </w:rPr>
              <w:t xml:space="preserve">、平均无故障时间能达到：平均无故障运行MTBF</w:t>
            </w:r>
            <w:r>
              <w:rPr>
                <w:rFonts w:hint="eastAsia" w:ascii="宋体" w:hAnsi="宋体"/>
                <w:color w:val="auto"/>
                <w:sz w:val="21"/>
                <w:szCs w:val="21"/>
                <w:highlight w:val="none"/>
              </w:rPr>
              <w:t xml:space="preserve">≥</w:t>
            </w:r>
            <w:r>
              <w:rPr>
                <w:rFonts w:ascii="宋体" w:hAnsi="宋体" w:eastAsia="宋体"/>
                <w:color w:val="auto"/>
                <w:sz w:val="21"/>
                <w:szCs w:val="21"/>
                <w:highlight w:val="none"/>
                <w:lang w:val="en-US" w:bidi="ar"/>
              </w:rPr>
              <w:t xml:space="preserve">2</w:t>
            </w:r>
            <w:r>
              <w:rPr>
                <w:rFonts w:hint="eastAsia" w:ascii="宋体" w:hAnsi="宋体" w:eastAsia="宋体"/>
                <w:color w:val="auto"/>
                <w:sz w:val="21"/>
                <w:szCs w:val="21"/>
                <w:highlight w:val="none"/>
                <w:lang w:val="en-US" w:bidi="ar"/>
              </w:rPr>
              <w:t xml:space="preserve">0万小时。</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44</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视频处理器6</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1、支持多路输入接口，至少包括1路DVI，1路HDMI1.3，1路VGA。</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2、支持插入U盘播放视频及图片。</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3、设备前面板配备LCD显示屏，可观察网口的通讯状态，屏幕大小及信号源状态等信息。</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4、支持DVI、HDMI的输入分辨率自定义调节。</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5、支持逐点亮度校正，可以对所有灯点的亮度和色度进行采集校正。</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6、支持快捷点屏，通过旋钮简单操作即可完成屏体配置。</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7、支持创建不少于6个用户场景作为模板保存，可直接调用。</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8、支持通过 RS232 协议连接中控设备。</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45</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控制软件</w:t>
            </w:r>
            <w:r/>
          </w:p>
        </w:tc>
        <w:tc>
          <w:tcPr>
            <w:tcW w:w="7696" w:type="dxa"/>
            <w:vAlign w:val="center"/>
            <w:textDirection w:val="lrTb"/>
            <w:noWrap w:val="false"/>
          </w:tcPr>
          <w:p>
            <w:pPr>
              <w:jc w:val="left"/>
              <w:spacing w:line="264" w:lineRule="auto"/>
              <w:rPr>
                <w:rFonts w:hAnsi="宋体" w:cs="宋体"/>
                <w:color w:val="auto"/>
                <w:szCs w:val="21"/>
                <w:highlight w:val="none"/>
              </w:rPr>
            </w:pPr>
            <w:r>
              <w:rPr>
                <w:rFonts w:hint="eastAsia" w:ascii="宋体" w:hAnsi="宋体" w:cs="宋体"/>
                <w:color w:val="auto"/>
                <w:szCs w:val="21"/>
                <w:highlight w:val="none"/>
              </w:rPr>
              <w:t xml:space="preserve">▲1、支持不依赖外部配置工具，采用平板多点触控及鼠标控制方式在软件界面通过拖拽组件进行自定义布局，支持默认布局及基于默认布局调整另存为新的布</w:t>
            </w:r>
            <w:r>
              <w:rPr>
                <w:rFonts w:hint="eastAsia" w:ascii="宋体" w:hAnsi="宋体" w:cs="宋体"/>
                <w:color w:val="auto"/>
                <w:szCs w:val="21"/>
                <w:highlight w:val="none"/>
              </w:rPr>
              <w:t xml:space="preserve">局，支持多个布局切换；支持35个功能组件进行添加或拖动添加，组件类型包括常在移动、自动选配，支持将6个按钮拖入组合按钮并展示缩略图标；以上按钮功能支持在左侧、下方、右侧三个功能栏进行自由布局；支持将自定义布局的组合按钮在使用界面二级展开并点击其中一个按钮操作大屏控制功能，例如开窗、上墙通道及回显功能。（签订合同时提供具有CMA标识的检测报告且检验依据为“GB/T 25000.51-2016《系统与软件工程系统与软件质量要求和评价（SQuaRE）第51部分：就绪可用软件产品（RUSP）的质量要求和测试细则》）</w:t>
            </w:r>
            <w:r/>
          </w:p>
          <w:p>
            <w:pPr>
              <w:jc w:val="left"/>
              <w:spacing w:line="264" w:lineRule="auto"/>
              <w:rPr>
                <w:rFonts w:hAnsi="宋体" w:cs="宋体"/>
                <w:color w:val="auto"/>
                <w:szCs w:val="21"/>
                <w:highlight w:val="none"/>
              </w:rPr>
            </w:pPr>
            <w:r>
              <w:rPr>
                <w:rFonts w:hint="eastAsia" w:ascii="宋体" w:hAnsi="宋体" w:cs="宋体"/>
                <w:color w:val="auto"/>
                <w:szCs w:val="21"/>
                <w:highlight w:val="none"/>
              </w:rPr>
              <w:t xml:space="preserve">▲2、支持通过平板多点触控及鼠标控制的方式对接入系统的媒体服务器进行可视化控制，包括如下功能：布局调整、节目切换、音量控制、预案切换及ppt翻页。其中ppt批注支持实时和预编辑两种模式，笔刷颜色红、绿、蓝、白、黑可选，线条粗细，支持橡皮擦功能,支持一键清空所有批注。（签订合同时提供具有CMA标识的检测报告且检验依据为“GB/T 25000.51-2016《系统与软件工程系统与软件质量要求和评价（SQuaRE）第51部分：就绪可用软件产品（RUSP）的质量要求和测试细则》）</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具有设备接入配置选项,支持接入灯光、空调、音频控制设备、窗帘等;可对接入设备进行控制及展示,可控制灯光的开关及亮度、可控制窗帘的开关及进度百分比显示,可控制空调的电源开关、模式调节、风速调节、温度调节,可控制音频控制设备的音量增加、音量减少、静音;支持客户端实时展示环境监测数据,包括:PM2.5、温度、湿度数据。</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4、支持进度条和百分比显示上传素材;可管理配置的素材包括:图片、音频、视频、动画、PDF,网页、星期、时间、日期、倒计时和天气。</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5、可实时查看大屏正在播放内容;支持画面模式和文字模式的切换,支持25路信号回显。</w:t>
            </w:r>
            <w:r/>
          </w:p>
          <w:p>
            <w:pPr>
              <w:jc w:val="left"/>
              <w:spacing w:line="264" w:lineRule="auto"/>
              <w:rPr>
                <w:rFonts w:ascii="宋体" w:hAnsi="宋体" w:cs="宋体"/>
                <w:color w:val="auto"/>
                <w:szCs w:val="21"/>
                <w:highlight w:val="none"/>
              </w:rPr>
            </w:pPr>
            <w:r>
              <w:rPr>
                <w:rFonts w:hint="eastAsia" w:hAnsi="宋体" w:cs="宋体"/>
                <w:color w:val="auto"/>
                <w:szCs w:val="21"/>
                <w:highlight w:val="none"/>
              </w:rPr>
              <w:t xml:space="preserve">▲</w:t>
            </w:r>
            <w:r>
              <w:rPr>
                <w:rFonts w:hint="eastAsia" w:ascii="宋体" w:hAnsi="宋体" w:cs="宋体"/>
                <w:color w:val="auto"/>
                <w:szCs w:val="21"/>
                <w:highlight w:val="none"/>
              </w:rPr>
              <w:t xml:space="preserve">6、支持对电视墙默认底图的管理和显示,支持上传自定义图片作为底图,底图最大分辨率支持15765×8868。（签订合同时提供具有CMA标识的检测报告）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支持在移动端远程控制实时显示画面,抓屏区域的分辨率可设置为:7680×4320、7680×2160、3840×2160、2736×1824、1920×1080、1280×720;支持叠加显示坐席名称、LOGO、台标等元素;支持分辨率为4096×2160、刷新率为60Hz、RGB格式的高清视频传输显示。</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7、支持预编辑模式和实时模式下进行屏幕批注,支持多种笔触粗细及颜色。（签订合同时提供具有CMA标识的检测报告）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8、支持4/6/9/16/25/36/49/64画面分割,可根据接入设备上限进行M*N的分割设置。</w:t>
            </w:r>
            <w:r/>
          </w:p>
          <w:p>
            <w:pPr>
              <w:pStyle w:val="972"/>
              <w:spacing w:line="264" w:lineRule="auto"/>
              <w:rPr>
                <w:rFonts w:hAnsi="宋体" w:cs="宋体"/>
                <w:color w:val="auto"/>
                <w:highlight w:val="none"/>
                <w:lang w:bidi="ar"/>
              </w:rPr>
            </w:pPr>
            <w:r>
              <w:rPr>
                <w:rFonts w:hint="eastAsia" w:hAnsi="宋体" w:cs="宋体"/>
                <w:color w:val="auto"/>
                <w:highlight w:val="none"/>
              </w:rPr>
              <w:t xml:space="preserve">9、可实时查看大屏正在播放内容;支持画面模式和文字模式的切换,支持25路信号回显。</w:t>
            </w:r>
            <w:r/>
          </w:p>
          <w:p>
            <w:pPr>
              <w:pStyle w:val="972"/>
              <w:spacing w:line="264"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0</w:t>
            </w:r>
            <w:r>
              <w:rPr>
                <w:rFonts w:hint="eastAsia" w:hAnsi="宋体" w:cs="宋体"/>
                <w:color w:val="auto"/>
                <w:highlight w:val="none"/>
              </w:rPr>
              <w:t xml:space="preserve">、支持通过可视化软件对屏幕播放的内容进行布局调整、节目切换、音量控制、预案切换及ppt翻页功能。</w:t>
            </w:r>
            <w:r/>
          </w:p>
          <w:p>
            <w:pPr>
              <w:pStyle w:val="972"/>
              <w:spacing w:line="264" w:lineRule="auto"/>
              <w:rPr>
                <w:rFonts w:hAnsi="宋体" w:cs="宋体"/>
                <w:color w:val="auto"/>
                <w:highlight w:val="none"/>
              </w:rPr>
            </w:pPr>
            <w:r>
              <w:rPr>
                <w:rFonts w:hAnsi="宋体" w:cs="宋体"/>
                <w:color w:val="auto"/>
                <w:highlight w:val="none"/>
              </w:rPr>
              <w:t xml:space="preserve">11</w:t>
            </w:r>
            <w:r>
              <w:rPr>
                <w:rFonts w:hint="eastAsia" w:hAnsi="宋体" w:cs="宋体"/>
                <w:color w:val="auto"/>
                <w:highlight w:val="none"/>
              </w:rPr>
              <w:t xml:space="preserve">、支持可视化软件远程控制电脑桌面的功能，可视化软件在将画面投屏后，可直接在界面上进入远程控制模式，可以对投屏的电脑进行远程控制。</w:t>
            </w:r>
            <w:r/>
          </w:p>
          <w:p>
            <w:pPr>
              <w:pStyle w:val="972"/>
              <w:spacing w:line="264" w:lineRule="auto"/>
              <w:rPr>
                <w:rFonts w:hAnsi="宋体" w:cs="宋体"/>
                <w:color w:val="auto"/>
                <w:highlight w:val="none"/>
              </w:rPr>
            </w:pPr>
            <w:r>
              <w:rPr>
                <w:rFonts w:hAnsi="宋体" w:cs="宋体"/>
                <w:color w:val="auto"/>
                <w:highlight w:val="none"/>
              </w:rPr>
              <w:t xml:space="preserve">12</w:t>
            </w:r>
            <w:r>
              <w:rPr>
                <w:rFonts w:hint="eastAsia" w:hAnsi="宋体" w:cs="宋体"/>
                <w:color w:val="auto"/>
                <w:highlight w:val="none"/>
              </w:rPr>
              <w:t xml:space="preserve">、支持局部采集，用户可根据需要自定义区域进行采集投屏显示。</w:t>
            </w:r>
            <w:r/>
          </w:p>
          <w:p>
            <w:pPr>
              <w:pStyle w:val="972"/>
              <w:spacing w:line="264" w:lineRule="auto"/>
              <w:rPr>
                <w:rFonts w:hAnsi="宋体" w:cs="宋体"/>
                <w:color w:val="auto"/>
                <w:highlight w:val="none"/>
              </w:rPr>
            </w:pPr>
            <w:r>
              <w:rPr>
                <w:rFonts w:hAnsi="宋体" w:cs="宋体"/>
                <w:color w:val="auto"/>
                <w:highlight w:val="none"/>
              </w:rPr>
              <w:t xml:space="preserve">13</w:t>
            </w:r>
            <w:r>
              <w:rPr>
                <w:rFonts w:hint="eastAsia" w:hAnsi="宋体" w:cs="宋体"/>
                <w:color w:val="auto"/>
                <w:highlight w:val="none"/>
              </w:rPr>
              <w:t xml:space="preserve">、支持在软件界面对桌面操作进行录像操作，可以直接打开录像文件进行查看。</w:t>
            </w:r>
            <w:r/>
          </w:p>
          <w:p>
            <w:pPr>
              <w:pStyle w:val="972"/>
              <w:spacing w:line="264" w:lineRule="auto"/>
              <w:rPr>
                <w:rFonts w:hAnsi="宋体" w:cs="宋体"/>
                <w:color w:val="auto"/>
                <w:highlight w:val="none"/>
              </w:rPr>
            </w:pPr>
            <w:r>
              <w:rPr>
                <w:rFonts w:hAnsi="宋体" w:cs="宋体"/>
                <w:color w:val="auto"/>
                <w:highlight w:val="none"/>
              </w:rPr>
              <w:t xml:space="preserve">14</w:t>
            </w:r>
            <w:r>
              <w:rPr>
                <w:rFonts w:hint="eastAsia" w:hAnsi="宋体" w:cs="宋体"/>
                <w:color w:val="auto"/>
                <w:highlight w:val="none"/>
              </w:rPr>
              <w:t xml:space="preserve">、支持查看每个窗口采集画面的实时信息，包括帧序号、采集耗时、编码耗时、调度耗时、发送耗时、以及总耗时信息。</w:t>
            </w:r>
            <w:r/>
          </w:p>
          <w:p>
            <w:pPr>
              <w:pStyle w:val="972"/>
              <w:jc w:val="left"/>
              <w:spacing w:line="264" w:lineRule="auto"/>
              <w:rPr>
                <w:rFonts w:hint="eastAsia" w:hAnsi="宋体" w:cs="宋体"/>
                <w:color w:val="auto"/>
                <w:highlight w:val="none"/>
              </w:rPr>
            </w:pPr>
            <w:r>
              <w:rPr>
                <w:rFonts w:hAnsi="宋体" w:cs="宋体"/>
                <w:color w:val="auto"/>
                <w:highlight w:val="none"/>
              </w:rPr>
              <w:t xml:space="preserve">15</w:t>
            </w:r>
            <w:r>
              <w:rPr>
                <w:rFonts w:hint="eastAsia" w:hAnsi="宋体" w:cs="宋体"/>
                <w:color w:val="auto"/>
                <w:highlight w:val="none"/>
              </w:rPr>
              <w:t xml:space="preserve">、支持对不同文件类型进行窗口采集，支持word、图片、视频、</w:t>
            </w:r>
            <w:r>
              <w:rPr>
                <w:rFonts w:hint="eastAsia" w:hAnsi="宋体" w:cs="宋体"/>
                <w:color w:val="auto"/>
                <w:highlight w:val="none"/>
              </w:rPr>
              <w:t xml:space="preserve">excel、</w:t>
            </w:r>
            <w:r>
              <w:rPr>
                <w:rFonts w:hint="eastAsia" w:hAnsi="宋体" w:cs="宋体"/>
                <w:color w:val="auto"/>
                <w:highlight w:val="none"/>
              </w:rPr>
              <w:t xml:space="preserve">txt、</w:t>
            </w:r>
            <w:r>
              <w:rPr>
                <w:rFonts w:hint="eastAsia" w:hAnsi="宋体" w:cs="宋体"/>
                <w:color w:val="auto"/>
                <w:highlight w:val="none"/>
              </w:rPr>
            </w:r>
            <w:r/>
          </w:p>
          <w:p>
            <w:pPr>
              <w:pStyle w:val="972"/>
              <w:jc w:val="left"/>
              <w:spacing w:line="264" w:lineRule="auto"/>
              <w:rPr>
                <w:rFonts w:hAnsi="宋体" w:cs="宋体"/>
                <w:color w:val="auto"/>
                <w:highlight w:val="none"/>
              </w:rPr>
            </w:pPr>
            <w:r>
              <w:rPr>
                <w:rFonts w:hint="eastAsia" w:hAnsi="宋体" w:cs="宋体"/>
                <w:color w:val="auto"/>
                <w:highlight w:val="none"/>
              </w:rPr>
              <w:t xml:space="preserve">pdf、ppt、网页等不同的应用类型，最大可同时采集8个任务窗口。</w:t>
            </w:r>
            <w:r/>
          </w:p>
          <w:p>
            <w:pPr>
              <w:pStyle w:val="972"/>
              <w:jc w:val="left"/>
              <w:spacing w:line="264" w:lineRule="auto"/>
              <w:rPr>
                <w:rFonts w:hAnsi="宋体" w:cs="宋体"/>
                <w:color w:val="auto"/>
                <w:highlight w:val="none"/>
              </w:rPr>
            </w:pPr>
            <w:r>
              <w:rPr>
                <w:rFonts w:hAnsi="宋体" w:cs="宋体"/>
                <w:color w:val="auto"/>
                <w:highlight w:val="none"/>
              </w:rPr>
              <w:t xml:space="preserve">16</w:t>
            </w:r>
            <w:r>
              <w:rPr>
                <w:rFonts w:hint="eastAsia" w:hAnsi="宋体" w:cs="宋体"/>
                <w:color w:val="auto"/>
                <w:highlight w:val="none"/>
              </w:rPr>
              <w:t xml:space="preserve">、软件对大屏窗口具</w:t>
            </w:r>
            <w:r>
              <w:rPr>
                <w:rFonts w:hint="eastAsia" w:hAnsi="宋体" w:cs="宋体"/>
                <w:color w:val="auto"/>
                <w:highlight w:val="none"/>
              </w:rPr>
              <w:t xml:space="preserve">有丰富的操作功能，支持多种不同的分割模式，1、4、6、8、9、16多种分割模式可选，以及手动输入M×N进行分割；支持对窗口位置、大小进行任意调整，为防止误操作，支持对窗口进行锁定，锁定后无法移动窗口的位置，也无法对窗口的画面进行切换；在多窗口叠加情况下，支持对窗口进行置顶、置底、上移一层、下移一层操作；为尽可能的规避错误操作导致大屏画面错乱，软件支持对窗口操作动作进行撤销操作，最大支持撤销3步；窗口支持设置回显画面的开启和关闭，回显关闭时，可显示通道名称，码流类型信息；支持对单个窗口画面的音频开关进行设置。</w:t>
            </w:r>
            <w:r/>
          </w:p>
          <w:p>
            <w:pPr>
              <w:pStyle w:val="972"/>
              <w:spacing w:line="264" w:lineRule="auto"/>
              <w:rPr>
                <w:rFonts w:hAnsi="宋体" w:cs="宋体"/>
                <w:color w:val="auto"/>
                <w:highlight w:val="none"/>
              </w:rPr>
            </w:pPr>
            <w:r>
              <w:rPr>
                <w:rFonts w:hAnsi="宋体" w:cs="宋体"/>
                <w:color w:val="auto"/>
                <w:highlight w:val="none"/>
              </w:rPr>
              <w:t xml:space="preserve">17</w:t>
            </w:r>
            <w:r>
              <w:rPr>
                <w:rFonts w:hint="eastAsia" w:hAnsi="宋体" w:cs="宋体"/>
                <w:color w:val="auto"/>
                <w:highlight w:val="none"/>
              </w:rPr>
              <w:t xml:space="preserve">、支持OSD文本字库管理，用户可根据使用需求上传对应的ttf格式字体文件；支持编辑OSD内容、手动输入OSD坐标以及宽高、设置背景颜色、透明度、透明度、字体颜色、字体、字体大小、字符间距，文字方向，对齐方式参数；支持滚动字幕，滚动方式包括从左到右、从右到左、从上到下，从下到上，可设置滚动速度；最大支持添加8个OSD图层，每个OSD图层可单独进行开关显示。</w:t>
            </w:r>
            <w:r/>
          </w:p>
          <w:p>
            <w:pPr>
              <w:pStyle w:val="972"/>
              <w:spacing w:line="264" w:lineRule="auto"/>
              <w:rPr>
                <w:rFonts w:hAnsi="宋体" w:cs="宋体"/>
                <w:color w:val="auto"/>
                <w:highlight w:val="none"/>
              </w:rPr>
            </w:pPr>
            <w:r>
              <w:rPr>
                <w:rFonts w:hAnsi="宋体" w:cs="宋体"/>
                <w:color w:val="auto"/>
                <w:highlight w:val="none"/>
              </w:rPr>
              <w:t xml:space="preserve">18</w:t>
            </w:r>
            <w:r>
              <w:rPr>
                <w:rFonts w:hint="eastAsia" w:hAnsi="宋体" w:cs="宋体"/>
                <w:color w:val="auto"/>
                <w:highlight w:val="none"/>
              </w:rPr>
              <w:t xml:space="preserve">、在软件中可以直接上传底图进行管理，并设置大屏在无信号时默认显示上传的图片。</w:t>
            </w:r>
            <w:r/>
          </w:p>
          <w:p>
            <w:pPr>
              <w:pStyle w:val="972"/>
              <w:spacing w:line="264"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9</w:t>
            </w:r>
            <w:r>
              <w:rPr>
                <w:rFonts w:hint="eastAsia" w:hAnsi="宋体" w:cs="宋体"/>
                <w:color w:val="auto"/>
                <w:highlight w:val="none"/>
              </w:rPr>
              <w:t xml:space="preserve">、可视化软件支持多种预案组合，预案分为视频预案、组合预案、附加预案，视频预案</w:t>
            </w:r>
            <w:r>
              <w:rPr>
                <w:rFonts w:hint="eastAsia" w:hAnsi="宋体" w:cs="宋体"/>
                <w:color w:val="auto"/>
                <w:highlight w:val="none"/>
                <w:lang w:eastAsia="zh-CN"/>
              </w:rPr>
              <w:t xml:space="preserve">是</w:t>
            </w:r>
            <w:r>
              <w:rPr>
                <w:rFonts w:hint="eastAsia" w:hAnsi="宋体" w:cs="宋体"/>
                <w:color w:val="auto"/>
                <w:highlight w:val="none"/>
              </w:rPr>
              <w:t xml:space="preserve">视频画面组成的预案，附加预案是OSD字幕组成的预案，组合预案是视频预案和附加预案的组合，每种预案都可以单独进行切换。</w:t>
            </w:r>
            <w:r/>
          </w:p>
          <w:p>
            <w:pPr>
              <w:pStyle w:val="972"/>
              <w:spacing w:line="264"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0</w:t>
            </w:r>
            <w:r>
              <w:rPr>
                <w:rFonts w:hint="eastAsia" w:hAnsi="宋体" w:cs="宋体"/>
                <w:color w:val="auto"/>
                <w:highlight w:val="none"/>
              </w:rPr>
              <w:t xml:space="preserve">、支持多端操作同步，多端包括web、windows客户端、移动端、带4路HDMI本地输出的网络键盘。</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46</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配电箱4</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1、PLC控制方式，功率≥30KW，含智能配电柜控制器、交流接触器、空开插座、空开、开关电源等。</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2、具有过流，过压，欠压，短路，温度，时间等保护功能。</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3、在控制电脑端可实现开关配电箱电源，并可实现远程开关电功能。</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47</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配电箱6</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1、PLC控制方式，功率≥40KW，含智能配电柜控制器、交流接触器、空开插座、空开、开关电源等。</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2、具有过流，过压，欠压，短路，温度，时间等保护功能。</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3、在控制电脑端可实现开关配电箱电源，并可实现远程开关电功能。</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48</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屏体框架及包边9</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定制钢结构，面积不小于28.81㎡。屏体外框采用不小于40mm×40mm国标镀锌方通，防锈防腐蚀，四周采用黑色拉丝不锈钢装饰包边，包边宽度满足现场及使用单位需求，安装结构满足现场实际使用情况。根据现场实际环境情况配置合适的散热通风设备。</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49</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屏体框架及包边10</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定制钢结构，面积不小于58.99㎡。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50</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屏体框架及包边11</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定制钢结构，面积不小于35.84㎡。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51</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强弱电线缆</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1、室外LED屏所用强供电及通信线缆。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2、供电采用国标三相五线制线缆。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3、通信采用不低于ANSI/TIA-568-C.2-2009标准六类网线。</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52</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高清分布式编解码一体机</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1、具备接口：≥1路HDMI视频输入,≥1路HDMI视频输出接口，≥1路RJ45接口，≥1路凤凰座音频IN，≥1路凤凰座音频OUT，≥1路RS232双向收发串口，≥4路I/O控制接口，≥3个USB接口。</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2、更换有故障的分布式节点并应用不会整体重启和黑屏，支持分布式输出节点可选输出画面模式包括：黑屏、no single、输入信号源的最后一帧图像。</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系统采用去中心化无服务器架构设计，可扩展任意数量节点，所有节点自动均衡备份数据，兼容全平台使用（包括信创产品国产化系统），系统支持权限管理功能，用户数量无上限，支持多用户、用户组权限的设置，不需要单独配置服务器或者分布式主节点作为权限管理系统服务。</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6、支持分布式系统具有画面轮询功能，轮询画面可双击放大到固定区域显示，方便监控画面在轮询过程中随时查看可疑图像。</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7、支持系统批注功能，可在视频播放过程中或者ppt播放过程中，对某个细节部分进行批注加以描述，批注样式、颜色、形状等等可自由选择。</w:t>
            </w:r>
            <w:r/>
          </w:p>
          <w:p>
            <w:pPr>
              <w:jc w:val="left"/>
              <w:spacing w:line="264" w:lineRule="auto"/>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8、检测框选区域内无人延时设置时间后进行黑屏节能模式，有人自动恢复到正常显示画面。（签订合同时提供具有CMA标识的检测报告）</w:t>
            </w:r>
            <w:r/>
          </w:p>
          <w:p>
            <w:pPr>
              <w:jc w:val="left"/>
              <w:spacing w:line="264" w:lineRule="auto"/>
              <w:rPr>
                <w:rFonts w:eastAsia="等线"/>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9、无需借助穿戴任何传感器装置，可隔空通过体感控制对大屏控制器做出互动操作。实现如信号切换，图像的缩放、漫游、替换，视频快进，快退、播放暂停、PPT翻页以及3D模型的360度旋转控制等功能，还支持通过大屏幕直接接管PC主机，实现键鼠控制。（签订合同时提供具有CMA标识的检测报告）</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53</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rPr>
              <w:t xml:space="preserve">高清HDMI矩阵</w:t>
            </w:r>
            <w:r/>
          </w:p>
        </w:tc>
        <w:tc>
          <w:tcPr>
            <w:tcW w:w="7696"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1、嵌入式LINUX操作系统，便于开发和维护，配置不低于4路4K60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输入，8路4K60</w:t>
            </w:r>
            <w:r>
              <w:rPr>
                <w:rFonts w:hint="eastAsia" w:ascii="宋体" w:hAnsi="宋体" w:cs="宋体"/>
                <w:color w:val="auto"/>
                <w:szCs w:val="21"/>
                <w:highlight w:val="none"/>
                <w:lang w:eastAsia="zh-CN"/>
              </w:rPr>
              <w:t xml:space="preserve">Hz</w:t>
            </w:r>
            <w:r>
              <w:rPr>
                <w:rFonts w:hint="eastAsia" w:ascii="宋体" w:hAnsi="宋体" w:cs="宋体"/>
                <w:color w:val="auto"/>
                <w:szCs w:val="21"/>
                <w:highlight w:val="none"/>
              </w:rPr>
              <w:t xml:space="preserve">输出。</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2、不少于4个2.5G的RJ45接口、2个万兆光口。</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3、支持双主控热备，无感切换，切换过程中上墙画面正常显示不受影响。</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4、智能风扇自动调温，确保系统稳定可靠，支持会议模式一键静音。</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5、支持双码流技术，可变码流，支持复合流和视频流编码，复合流编码时音频和视频同步。</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6、支持DP、HDMI、DVI等常见视频信号接入，并编码转发至其他存储设备，最大支持4K@60信号的采集和编码，支持视音频同步解码。</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7、支持32MP、16MP、12MP、8MP、5MP、3MP、1080p、720p、D1视频解码。</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8、支持H.265/H.264/SVAC/MPEG4/MJPEG视频标准。</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9、支持信号多路复制，同一路信号复制路数不少于32路。</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10、支持web浏览器、PC客户端、移动客户端、网络键盘等控制切换。</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11、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12、支持1/4/6/8/9/16/25/36画面分割显示，支持自由分割。</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13、支持点对点高清底图显示。</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14、支持字幕叠加功能，文字字体、颜色、字符间距、背景色、滚动速度可调节。</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15、支持双电源冗余。</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16、机箱高度≤8U，具备不少于27个板卡插槽，输入输出板卡支持混插，业务卡槽支持适配输入或输出板卡插入识别及使用。</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▲17、支持YUV444编码设置，并可以通过网络对编码码流进行转发，转发路数不少于32路。（签订合同时提供具有CMA标识的检测报告）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18、为保证便捷使用，设备应支持每个通道编码参数独立可调，包括分辨率、帧率、码率、亮度、对比度、饱和度、色度；支持复合流编码，音频和视频同步；编码设置页面支持YUV444和YUV420的模式切换；支持主码流、辅码流同步编码。（签订合同时提供具有CMA标识的检测报告）</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19、为保证兼容性，设备应同时具备HDMI，USB，3.5mm音频接口，状态灯，RS232，RS485接口，报警输入接口，报警输出接口，IR红外收/发接口，reset按钮，2.5GRJ45网口，万兆光口，Tpye-C接口，报警清除按钮。（签订合同时提供具有CMA标识的检测报告）</w:t>
            </w:r>
            <w:r/>
          </w:p>
        </w:tc>
      </w:tr>
      <w:tr>
        <w:trPr/>
        <w:tc>
          <w:tcPr>
            <w:tcW w:w="660"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54</w:t>
            </w:r>
            <w:r/>
          </w:p>
        </w:tc>
        <w:tc>
          <w:tcPr>
            <w:tcW w:w="1448" w:type="dxa"/>
            <w:vAlign w:val="center"/>
            <w:textDirection w:val="lrTb"/>
            <w:noWrap w:val="false"/>
          </w:tcPr>
          <w:p>
            <w:pPr>
              <w:jc w:val="center"/>
              <w:spacing w:line="264"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系统集成</w:t>
            </w:r>
            <w:r/>
          </w:p>
        </w:tc>
        <w:tc>
          <w:tcPr>
            <w:tcW w:w="7696" w:type="dxa"/>
            <w:vAlign w:val="center"/>
            <w:textDirection w:val="lrTb"/>
            <w:noWrap w:val="false"/>
          </w:tcPr>
          <w:p>
            <w:pPr>
              <w:spacing w:line="264"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多媒体设备系统连接、调试及所需音视频线材等；培训服务。</w:t>
            </w:r>
            <w:r/>
          </w:p>
        </w:tc>
      </w:tr>
    </w:tbl>
    <w:p>
      <w:pPr>
        <w:pStyle w:val="855"/>
        <w:rPr>
          <w:rFonts w:hint="eastAsia"/>
          <w:color w:val="auto"/>
          <w:highlight w:val="none"/>
        </w:rPr>
      </w:pPr>
      <w:r>
        <w:rPr>
          <w:rFonts w:hint="eastAsia"/>
          <w:color w:val="auto"/>
          <w:highlight w:val="none"/>
        </w:rPr>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质保（维保）及售后要求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①本项目质保期三年，费用包在投标总价中（自验收报告签字确认日起，开始进入质保期）；</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本项目所投产品使用软件授权终身使用及升级，</w:t>
      </w:r>
      <w:r>
        <w:rPr>
          <w:rFonts w:hint="eastAsia" w:ascii="宋体" w:hAnsi="宋体" w:cs="宋体"/>
          <w:color w:val="auto"/>
          <w:sz w:val="24"/>
          <w:szCs w:val="24"/>
          <w:highlight w:val="none"/>
        </w:rPr>
        <w:t xml:space="preserve">费用包含在投标总价中；</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③供应商接到报修请求，2小时内响应，8小时内维修人员到达现场，质保期内故障报修24小时内无法及时修复的须提供备机；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④供应商在质保期内每学期结束前为学校进行整体维护一次，费用包含在投标总价中；</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⑤质保期后，供应商提供终生服务，保证零配件的供给。</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③验收的相关数据及中标产品信息，供应商应及时填入网络管理平台。</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（3）培训要求：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①供应商对使用单位采购设备的使用和维护提供培训，培训的内容包括设备和软件的安装、使用以及软硬件基本维护知识。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②供应商签订合同时</w:t>
      </w:r>
      <w:r>
        <w:rPr>
          <w:rFonts w:hint="eastAsia" w:ascii="宋体" w:hAnsi="宋体" w:cs="宋体"/>
          <w:color w:val="auto"/>
          <w:sz w:val="24"/>
          <w:szCs w:val="24"/>
          <w:highlight w:val="none"/>
          <w:lang w:eastAsia="zh-CN"/>
        </w:rPr>
        <w:t xml:space="preserve">制订</w:t>
      </w:r>
      <w:r>
        <w:rPr>
          <w:rFonts w:hint="eastAsia" w:ascii="宋体" w:hAnsi="宋体" w:cs="宋体"/>
          <w:color w:val="auto"/>
          <w:sz w:val="24"/>
          <w:szCs w:val="24"/>
          <w:highlight w:val="none"/>
        </w:rPr>
        <w:t xml:space="preserve">全面培训计划，要求分为使用培训、教学应用培训，方案中需提供具体培训安排、内容、讲义、考核计划等。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③供应商须提供培训讲义，培训学校管理人员不少于2人。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（4）平台监管要求：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⑤供应商须通过“南京市教育装备项目管理平台”提供售后维护维保服务。</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（5）安全要求：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（6）人员要求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本项目实施团队人员不少于4人（含项目负责人1名）。</w:t>
      </w:r>
      <w:r/>
    </w:p>
    <w:p>
      <w:pPr>
        <w:ind w:firstLine="480"/>
        <w:spacing w:line="264" w:lineRule="auto"/>
        <w:rPr>
          <w:rFonts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ascii="宋体" w:hAnsi="宋体" w:cs="宋体"/>
          <w:bCs/>
          <w:color w:val="auto"/>
          <w:sz w:val="24"/>
          <w:szCs w:val="24"/>
          <w:highlight w:val="none"/>
        </w:rPr>
        <w:t xml:space="preserve">60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5.履约保证金</w:t>
      </w:r>
      <w:r/>
    </w:p>
    <w:p>
      <w:pPr>
        <w:ind w:firstLine="480"/>
        <w:spacing w:line="264" w:lineRule="auto"/>
        <w:rPr>
          <w:rFonts w:hint="eastAsia"/>
          <w:color w:val="auto"/>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6.其他要求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）演示要求</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w:t>
      </w:r>
      <w:r>
        <w:rPr>
          <w:rFonts w:hint="eastAsia" w:ascii="宋体" w:hAnsi="宋体"/>
          <w:color w:val="auto"/>
          <w:sz w:val="24"/>
          <w:szCs w:val="24"/>
          <w:highlight w:val="none"/>
        </w:rPr>
        <w:t xml:space="preserve">单个文件不得大于50M，大于50M的需分段压缩，所有文件合计不得大于300M</w:t>
      </w:r>
      <w:r>
        <w:rPr>
          <w:rFonts w:hint="eastAsia" w:ascii="宋体" w:hAnsi="宋体" w:cs="宋体"/>
          <w:color w:val="auto"/>
          <w:sz w:val="24"/>
          <w:szCs w:val="24"/>
          <w:highlight w:val="none"/>
        </w:rPr>
        <w:t xml:space="preserve">）。文件上传方式见苏采云系统操作指南，上传的演示视频将作为投标文件的组成部分。视频时长总计不超过15分钟。</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196" w:name="_Toc12061428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1.本</w:t>
      </w:r>
      <w:r>
        <w:rPr>
          <w:rFonts w:hint="eastAsia" w:ascii="宋体" w:hAnsi="宋体"/>
          <w:color w:val="auto"/>
          <w:sz w:val="24"/>
          <w:szCs w:val="24"/>
          <w:highlight w:val="none"/>
        </w:rPr>
        <w:t xml:space="preserve">项目如</w:t>
      </w:r>
      <w:r>
        <w:rPr>
          <w:rFonts w:hint="eastAsia" w:ascii="宋体" w:hAnsi="宋体"/>
          <w:color w:val="auto"/>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2.如本</w:t>
      </w:r>
      <w:r>
        <w:rPr>
          <w:rFonts w:hint="eastAsia" w:ascii="宋体" w:hAnsi="宋体"/>
          <w:color w:val="auto"/>
          <w:sz w:val="24"/>
          <w:szCs w:val="24"/>
          <w:highlight w:val="none"/>
          <w:lang w:val="zh-CN"/>
        </w:rPr>
        <w:t xml:space="preserve">项目或者</w:t>
      </w:r>
      <w:r>
        <w:rPr>
          <w:rFonts w:hint="eastAsia" w:ascii="宋体" w:hAnsi="宋体"/>
          <w:color w:val="auto"/>
          <w:sz w:val="24"/>
          <w:szCs w:val="24"/>
          <w:highlight w:val="none"/>
        </w:rPr>
        <w:t xml:space="preserve">其中</w:t>
      </w:r>
      <w:r>
        <w:rPr>
          <w:rFonts w:hint="eastAsia" w:ascii="宋体" w:hAnsi="宋体"/>
          <w:color w:val="auto"/>
          <w:sz w:val="24"/>
          <w:szCs w:val="24"/>
          <w:highlight w:val="none"/>
          <w:lang w:val="zh-CN"/>
        </w:rPr>
        <w:t xml:space="preserve">采购包中含有多种产品，供应商为</w:t>
      </w:r>
      <w:r>
        <w:rPr>
          <w:rFonts w:hint="eastAsia" w:ascii="宋体" w:hAnsi="宋体"/>
          <w:color w:val="auto"/>
          <w:sz w:val="24"/>
          <w:szCs w:val="24"/>
          <w:highlight w:val="none"/>
        </w:rPr>
        <w:t xml:space="preserve">本</w:t>
      </w:r>
      <w:r>
        <w:rPr>
          <w:rFonts w:hint="eastAsia" w:ascii="宋体" w:hAnsi="宋体"/>
          <w:color w:val="auto"/>
          <w:sz w:val="24"/>
          <w:szCs w:val="24"/>
          <w:highlight w:val="none"/>
          <w:lang w:val="zh-CN"/>
        </w:rPr>
        <w:t xml:space="preserve">项目或者</w:t>
      </w:r>
      <w:r>
        <w:rPr>
          <w:rFonts w:hint="eastAsia" w:ascii="宋体" w:hAnsi="宋体"/>
          <w:color w:val="auto"/>
          <w:sz w:val="24"/>
          <w:szCs w:val="24"/>
          <w:highlight w:val="none"/>
        </w:rPr>
        <w:t xml:space="preserve">其中</w:t>
      </w:r>
      <w:r>
        <w:rPr>
          <w:rFonts w:hint="eastAsia" w:ascii="宋体" w:hAnsi="宋体"/>
          <w:color w:val="auto"/>
          <w:sz w:val="24"/>
          <w:szCs w:val="24"/>
          <w:highlight w:val="none"/>
          <w:lang w:val="zh-CN"/>
        </w:rPr>
        <w:t xml:space="preserve">采购包提供的符合本国产品标准的产品成本之和占该供应商提供的全部产品成本之和的比例达到80%以上时，依法</w:t>
      </w:r>
      <w:r>
        <w:rPr>
          <w:rFonts w:hint="eastAsia" w:ascii="宋体" w:hAnsi="宋体"/>
          <w:color w:val="auto"/>
          <w:sz w:val="24"/>
          <w:szCs w:val="24"/>
          <w:highlight w:val="none"/>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olor w:val="auto"/>
          <w:sz w:val="24"/>
          <w:szCs w:val="24"/>
          <w:highlight w:val="none"/>
        </w:rPr>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本项目全部货物制造商为小微企业的，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color w:val="auto"/>
          <w:sz w:val="24"/>
          <w:szCs w:val="24"/>
          <w:highlight w:val="none"/>
        </w:rPr>
      </w:pPr>
      <w:r>
        <w:rPr>
          <w:rFonts w:hint="eastAsia" w:ascii="黑体" w:hAnsi="黑体" w:eastAsia="黑体" w:cs="黑体"/>
          <w:color w:val="auto"/>
          <w:sz w:val="24"/>
          <w:szCs w:val="24"/>
          <w:highlight w:val="none"/>
        </w:rPr>
        <w:t xml:space="preserve">四、评标标准</w:t>
      </w:r>
      <w:r/>
    </w:p>
    <w:tbl>
      <w:tblPr>
        <w:tblStyle w:val="85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line="264"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1.价</w:t>
            </w:r>
            <w:r>
              <w:rPr>
                <w:rFonts w:hint="eastAsia" w:ascii="宋体" w:hAnsi="宋体" w:cs="宋体"/>
                <w:b/>
                <w:bCs/>
                <w:color w:val="auto"/>
                <w:spacing w:val="-2"/>
                <w:szCs w:val="21"/>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1</w:t>
            </w:r>
            <w:r>
              <w:rPr>
                <w:rFonts w:hint="eastAsia" w:ascii="宋体" w:hAnsi="宋体" w:cs="宋体"/>
                <w:color w:val="auto"/>
                <w:spacing w:val="-5"/>
                <w:szCs w:val="21"/>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highlight w:val="none"/>
              </w:rPr>
            </w:pPr>
            <w:r>
              <w:rPr>
                <w:rFonts w:hint="eastAsia" w:ascii="宋体" w:hAnsi="宋体" w:cs="宋体"/>
                <w:color w:val="auto"/>
                <w:spacing w:val="-2"/>
                <w:szCs w:val="21"/>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color w:val="auto"/>
                <w:szCs w:val="21"/>
                <w:highlight w:val="none"/>
              </w:rPr>
            </w:pPr>
            <w:r>
              <w:rPr>
                <w:rFonts w:hint="eastAsia" w:ascii="宋体" w:hAnsi="宋体" w:cs="宋体"/>
                <w:color w:val="auto"/>
                <w:spacing w:val="1"/>
                <w:szCs w:val="21"/>
                <w:highlight w:val="none"/>
              </w:rPr>
              <w:t xml:space="preserve">采用低价优先</w:t>
            </w:r>
            <w:r>
              <w:rPr>
                <w:rFonts w:hint="eastAsia" w:ascii="宋体" w:hAnsi="宋体" w:cs="宋体"/>
                <w:color w:val="auto"/>
                <w:szCs w:val="21"/>
                <w:highlight w:val="none"/>
              </w:rPr>
              <w:t xml:space="preserve">法计算，即满足招标文件要求且投标价格最低的投标</w:t>
            </w:r>
            <w:r>
              <w:rPr>
                <w:rFonts w:hint="eastAsia" w:ascii="宋体" w:hAnsi="宋体" w:cs="宋体"/>
                <w:color w:val="auto"/>
                <w:spacing w:val="1"/>
                <w:szCs w:val="21"/>
                <w:highlight w:val="none"/>
              </w:rPr>
              <w:t xml:space="preserve">报价为评标基准</w:t>
            </w:r>
            <w:r>
              <w:rPr>
                <w:rFonts w:hint="eastAsia" w:ascii="宋体" w:hAnsi="宋体" w:cs="宋体"/>
                <w:color w:val="auto"/>
                <w:szCs w:val="21"/>
                <w:highlight w:val="none"/>
              </w:rPr>
              <w:t xml:space="preserve">价，其价格分为满分。其他投标人的价格分统一按</w:t>
            </w:r>
            <w:r>
              <w:rPr>
                <w:rFonts w:hint="eastAsia" w:ascii="宋体" w:hAnsi="宋体" w:cs="宋体"/>
                <w:color w:val="auto"/>
                <w:spacing w:val="-1"/>
                <w:szCs w:val="21"/>
                <w:highlight w:val="none"/>
              </w:rPr>
              <w:t xml:space="preserve">照下列公</w:t>
            </w:r>
            <w:r>
              <w:rPr>
                <w:rFonts w:hint="eastAsia" w:ascii="宋体" w:hAnsi="宋体" w:cs="宋体"/>
                <w:color w:val="auto"/>
                <w:szCs w:val="21"/>
                <w:highlight w:val="none"/>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line="264"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spacing w:val="1"/>
                <w:szCs w:val="21"/>
                <w:highlight w:val="none"/>
              </w:rPr>
            </w:pPr>
            <w:r>
              <w:rPr>
                <w:rFonts w:hint="eastAsia" w:ascii="宋体" w:hAnsi="宋体" w:cs="宋体"/>
                <w:color w:val="auto"/>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分，其余指标有1项负偏离扣</w:t>
            </w:r>
            <w:r>
              <w:rPr>
                <w:rFonts w:hint="eastAsia" w:ascii="宋体" w:hAnsi="宋体" w:cs="宋体"/>
                <w:color w:val="auto"/>
                <w:szCs w:val="21"/>
                <w:highlight w:val="none"/>
                <w:lang w:val="en-US" w:eastAsia="zh-CN"/>
              </w:rPr>
              <w:t xml:space="preserve">0.05</w:t>
            </w:r>
            <w:r>
              <w:rPr>
                <w:rFonts w:hint="eastAsia" w:ascii="宋体" w:hAnsi="宋体" w:cs="宋体"/>
                <w:color w:val="auto"/>
                <w:szCs w:val="21"/>
                <w:highlight w:val="none"/>
              </w:rPr>
              <w:t xml:space="preserve">分，</w:t>
            </w:r>
            <w:r>
              <w:rPr>
                <w:rFonts w:ascii="宋体" w:hAnsi="宋体" w:cs="宋体"/>
                <w:color w:val="auto"/>
                <w:szCs w:val="21"/>
                <w:highlight w:val="none"/>
              </w:rPr>
              <w:t xml:space="preserve">扣完为止</w:t>
            </w:r>
            <w:r>
              <w:rPr>
                <w:rFonts w:hint="eastAsia" w:ascii="宋体" w:hAnsi="宋体" w:cs="宋体"/>
                <w:color w:val="auto"/>
                <w:szCs w:val="21"/>
                <w:highlight w:val="none"/>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深化设计方案</w:t>
            </w:r>
            <w:r/>
          </w:p>
        </w:tc>
        <w:tc>
          <w:tcPr>
            <w:tcBorders>
              <w:top w:val="single" w:color="000000" w:sz="2" w:space="0"/>
              <w:bottom w:val="single" w:color="000000" w:sz="2" w:space="0"/>
            </w:tcBorders>
            <w:tcW w:w="6330" w:type="dxa"/>
            <w:vAlign w:val="center"/>
            <w:textDirection w:val="lrTb"/>
            <w:noWrap w:val="false"/>
          </w:tcPr>
          <w:p>
            <w:pPr>
              <w:rPr>
                <w:color w:val="auto"/>
                <w:szCs w:val="21"/>
                <w:highlight w:val="none"/>
              </w:rPr>
            </w:pPr>
            <w:r/>
            <w:bookmarkStart w:id="197" w:name="OLE_LINK5"/>
            <w:r>
              <w:rPr>
                <w:rFonts w:hint="eastAsia"/>
                <w:color w:val="auto"/>
                <w:szCs w:val="21"/>
                <w:highlight w:val="none"/>
              </w:rPr>
              <w:t xml:space="preserve">根据本项目采购需求中“技术要求”编制方案，内容包含</w:t>
            </w:r>
            <w:r>
              <w:rPr>
                <w:rFonts w:hint="eastAsia" w:ascii="宋体" w:hAnsi="宋体" w:cs="宋体"/>
                <w:color w:val="auto"/>
                <w:szCs w:val="21"/>
                <w:highlight w:val="none"/>
              </w:rPr>
              <w:t xml:space="preserve">1.</w:t>
            </w:r>
            <w:r>
              <w:rPr>
                <w:rFonts w:hint="eastAsia"/>
                <w:color w:val="auto"/>
                <w:highlight w:val="none"/>
              </w:rPr>
              <w:t xml:space="preserve">显示屏系统连接图</w:t>
            </w:r>
            <w:r>
              <w:rPr>
                <w:rFonts w:hint="eastAsia" w:ascii="宋体" w:hAnsi="宋体" w:cs="宋体"/>
                <w:color w:val="auto"/>
                <w:szCs w:val="21"/>
                <w:highlight w:val="none"/>
              </w:rPr>
              <w:t xml:space="preserve">；2.配电图纸与钢结构图纸；3.软件功能描述与技术服务指导方案。</w:t>
            </w:r>
            <w:r>
              <w:rPr>
                <w:rFonts w:hint="eastAsia"/>
                <w:color w:val="auto"/>
                <w:szCs w:val="21"/>
                <w:highlight w:val="none"/>
              </w:rPr>
              <w:t xml:space="preserve">以上每项内容逐项评分：</w:t>
            </w:r>
            <w:r/>
          </w:p>
          <w:p>
            <w:pPr>
              <w:rPr>
                <w:color w:val="auto"/>
                <w:highlight w:val="none"/>
              </w:rPr>
            </w:pPr>
            <w:r>
              <w:rPr>
                <w:color w:val="auto"/>
                <w:highlight w:val="none"/>
              </w:rPr>
              <w:t xml:space="preserve">方案内容</w:t>
            </w:r>
            <w:r>
              <w:rPr>
                <w:rFonts w:hint="eastAsia" w:ascii="宋体" w:hAnsi="宋体" w:cs="宋体"/>
                <w:color w:val="auto"/>
                <w:szCs w:val="21"/>
                <w:highlight w:val="none"/>
                <w:lang w:bidi="ar"/>
              </w:rPr>
              <w:t xml:space="preserve">质量标准高、工作流程具体、可操作性强，</w:t>
            </w:r>
            <w:r>
              <w:rPr>
                <w:rFonts w:hint="eastAsia"/>
                <w:color w:val="auto"/>
                <w:szCs w:val="21"/>
                <w:highlight w:val="none"/>
              </w:rPr>
              <w:t xml:space="preserve">且</w:t>
            </w:r>
            <w:r>
              <w:rPr>
                <w:color w:val="auto"/>
                <w:highlight w:val="none"/>
              </w:rPr>
              <w:t xml:space="preserve">专门针对本项目，</w:t>
            </w:r>
            <w:r>
              <w:rPr>
                <w:rFonts w:hint="eastAsia"/>
                <w:color w:val="auto"/>
                <w:highlight w:val="none"/>
              </w:rPr>
              <w:t xml:space="preserve">契合</w:t>
            </w:r>
            <w:r>
              <w:rPr>
                <w:color w:val="auto"/>
                <w:highlight w:val="none"/>
              </w:rPr>
              <w:t xml:space="preserve">采购需求视为符合；方案内容属于通用类，非专门针对本项目，部分</w:t>
            </w:r>
            <w:r>
              <w:rPr>
                <w:rFonts w:hint="eastAsia"/>
                <w:color w:val="auto"/>
                <w:highlight w:val="none"/>
              </w:rPr>
              <w:t xml:space="preserve">契合采购需求</w:t>
            </w:r>
            <w:r>
              <w:rPr>
                <w:color w:val="auto"/>
                <w:highlight w:val="none"/>
              </w:rPr>
              <w:t xml:space="preserve">视为部分符合；方案内容非专门针对本项目</w:t>
            </w:r>
            <w:r>
              <w:rPr>
                <w:rFonts w:hint="eastAsia"/>
                <w:color w:val="auto"/>
                <w:highlight w:val="none"/>
              </w:rPr>
              <w:t xml:space="preserve">，脱离</w:t>
            </w:r>
            <w:r>
              <w:rPr>
                <w:color w:val="auto"/>
                <w:highlight w:val="none"/>
              </w:rPr>
              <w:t xml:space="preserve">采购需求视为不符合。</w:t>
            </w:r>
            <w:r/>
          </w:p>
          <w:p>
            <w:pPr>
              <w:jc w:val="left"/>
              <w:widowControl/>
              <w:rPr>
                <w:rFonts w:hint="eastAsia" w:ascii="宋体" w:hAnsi="宋体" w:cs="宋体"/>
                <w:color w:val="auto"/>
                <w:szCs w:val="21"/>
                <w:highlight w:val="none"/>
              </w:rPr>
            </w:pPr>
            <w:r>
              <w:rPr>
                <w:rFonts w:hint="eastAsia"/>
                <w:color w:val="auto"/>
                <w:highlight w:val="none"/>
              </w:rPr>
              <w:t xml:space="preserve">上述每项内容</w:t>
            </w:r>
            <w:r>
              <w:rPr>
                <w:color w:val="auto"/>
                <w:highlight w:val="none"/>
              </w:rPr>
              <w:t xml:space="preserve">符合得</w:t>
            </w:r>
            <w:r>
              <w:rPr>
                <w:rFonts w:hint="eastAsia"/>
                <w:color w:val="auto"/>
                <w:highlight w:val="none"/>
              </w:rPr>
              <w:t xml:space="preserve">2</w:t>
            </w:r>
            <w:r>
              <w:rPr>
                <w:color w:val="auto"/>
                <w:highlight w:val="none"/>
              </w:rPr>
              <w:t xml:space="preserve">分；部分符合得</w:t>
            </w:r>
            <w:r>
              <w:rPr>
                <w:rFonts w:hint="eastAsia"/>
                <w:color w:val="auto"/>
                <w:highlight w:val="none"/>
              </w:rPr>
              <w:t xml:space="preserve">1</w:t>
            </w:r>
            <w:r>
              <w:rPr>
                <w:color w:val="auto"/>
                <w:highlight w:val="none"/>
              </w:rPr>
              <w:t xml:space="preserve">分；不符合或不提供不得分。</w:t>
            </w:r>
            <w:bookmarkEnd w:id="197"/>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投标人提供具有2022年1月1日以来具有CMA标识的产品检测报告，检测内容：</w:t>
            </w:r>
            <w:r/>
          </w:p>
          <w:p>
            <w:pPr>
              <w:spacing w:line="264"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、所投“视频处理器3”（项目清单</w:t>
            </w:r>
            <w:r>
              <w:rPr>
                <w:rFonts w:ascii="宋体" w:hAnsi="宋体" w:cs="宋体"/>
                <w:color w:val="auto"/>
                <w:szCs w:val="21"/>
                <w:highlight w:val="none"/>
              </w:rPr>
              <w:t xml:space="preserve">9</w:t>
            </w:r>
            <w:r>
              <w:rPr>
                <w:rFonts w:hint="eastAsia" w:ascii="宋体" w:hAnsi="宋体" w:cs="宋体"/>
                <w:color w:val="auto"/>
                <w:szCs w:val="21"/>
                <w:highlight w:val="none"/>
              </w:rPr>
              <w:t xml:space="preserve">）：</w:t>
            </w:r>
            <w:r/>
          </w:p>
          <w:p>
            <w:pPr>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支持86型触控液晶面板，可实现可视化控制大屏开关、亮度调节、场景预案切换及大屏信号源切换功能，触控时带提示音。86型面板采用网线方式与控制设备连接，支持单根网线同时传输控制信号及供电，信号与供电传输距离可达200米。</w:t>
            </w:r>
            <w:r/>
          </w:p>
          <w:p>
            <w:pPr>
              <w:spacing w:line="264"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、所投“控制软件”（项目清单</w:t>
            </w:r>
            <w:r>
              <w:rPr>
                <w:rFonts w:ascii="宋体" w:hAnsi="宋体" w:cs="宋体"/>
                <w:color w:val="auto"/>
                <w:szCs w:val="21"/>
                <w:highlight w:val="none"/>
              </w:rPr>
              <w:t xml:space="preserve">45</w:t>
            </w:r>
            <w:r>
              <w:rPr>
                <w:rFonts w:hint="eastAsia" w:ascii="宋体" w:hAnsi="宋体" w:cs="宋体"/>
                <w:color w:val="auto"/>
                <w:szCs w:val="21"/>
                <w:highlight w:val="none"/>
              </w:rPr>
              <w:t xml:space="preserve">）：</w:t>
            </w:r>
            <w:r/>
          </w:p>
          <w:p>
            <w:pPr>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支持多端操作同步，多端包括web、windows客户端、移动端、带4路HDMI本地输出的网络键盘。提供具有CMA标识的检测报告且检验依据为“GB/T 25000.51-2016《系统与软件工程系统与软件质量要求和评价（SQuaRE）第51部分：就绪可用软件产品（RUSP）的质量要求和测试细则》。</w:t>
            </w:r>
            <w:r/>
          </w:p>
          <w:p>
            <w:pPr>
              <w:spacing w:line="264"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、所投“高清HDMI矩阵”（项目清单</w:t>
            </w:r>
            <w:r>
              <w:rPr>
                <w:rFonts w:ascii="宋体" w:hAnsi="宋体" w:cs="宋体"/>
                <w:color w:val="auto"/>
                <w:szCs w:val="21"/>
                <w:highlight w:val="none"/>
              </w:rPr>
              <w:t xml:space="preserve">5</w:t>
            </w:r>
            <w:r>
              <w:rPr>
                <w:rFonts w:hint="eastAsia" w:ascii="宋体" w:hAnsi="宋体" w:cs="宋体"/>
                <w:color w:val="auto"/>
                <w:szCs w:val="21"/>
                <w:highlight w:val="none"/>
              </w:rPr>
              <w:t xml:space="preserve">3）：</w:t>
            </w:r>
            <w:r/>
          </w:p>
          <w:p>
            <w:pPr>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采用8U高度机箱，具备27个板卡插槽,输入输出板卡支持混插，业务卡槽支持适配输入或输出板卡插入识别及使用。</w:t>
            </w:r>
            <w:r/>
          </w:p>
          <w:p>
            <w:pPr>
              <w:rPr>
                <w:color w:val="auto"/>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、所投核心产品平均无故障时间：平均无故障运行MTBF≥20万小时。提供具有CMA标识的检测报告，须体现检测依据GB/T6587-2012《电子测量仪器通用规范》；SJ/T11141-2017《发光二极管(LED)显示屏通用规范》。</w:t>
            </w:r>
            <w:r>
              <w:rPr>
                <w:color w:val="auto"/>
                <w:highlight w:val="none"/>
              </w:rPr>
              <w:t xml:space="preserve"> </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每提供1项检测报告得1分，最多得4分。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Cs w:val="21"/>
                <w:highlight w:val="none"/>
              </w:rPr>
            </w:pPr>
            <w:r>
              <w:rPr>
                <w:rFonts w:hint="eastAsia" w:ascii="宋体" w:hAnsi="宋体" w:cs="宋体"/>
                <w:color w:val="auto"/>
                <w:szCs w:val="21"/>
                <w:highlight w:val="none"/>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评委根据投标人提供的“控制软件”（项目清单</w:t>
            </w:r>
            <w:r>
              <w:rPr>
                <w:rFonts w:ascii="宋体" w:hAnsi="宋体" w:cs="宋体"/>
                <w:color w:val="auto"/>
                <w:szCs w:val="21"/>
                <w:highlight w:val="none"/>
                <w:lang w:val="zh-CN"/>
              </w:rPr>
              <w:t xml:space="preserve">45</w:t>
            </w:r>
            <w:r>
              <w:rPr>
                <w:rFonts w:hint="eastAsia" w:ascii="宋体" w:hAnsi="宋体" w:cs="宋体"/>
                <w:color w:val="auto"/>
                <w:szCs w:val="21"/>
                <w:highlight w:val="none"/>
                <w:lang w:val="zh-CN"/>
              </w:rPr>
              <w:t xml:space="preserve">）产品视频演示情况综合评分（</w:t>
            </w:r>
            <w:r>
              <w:rPr>
                <w:rFonts w:hint="eastAsia" w:ascii="宋体" w:hAnsi="宋体" w:cs="宋体"/>
                <w:color w:val="auto"/>
                <w:szCs w:val="21"/>
                <w:highlight w:val="none"/>
              </w:rPr>
              <w:t xml:space="preserve">每位投标人</w:t>
            </w:r>
            <w:r>
              <w:rPr>
                <w:rFonts w:hint="eastAsia" w:ascii="宋体" w:hAnsi="宋体" w:cs="宋体"/>
                <w:color w:val="auto"/>
                <w:szCs w:val="21"/>
                <w:highlight w:val="none"/>
                <w:lang w:val="zh-CN"/>
              </w:rPr>
              <w:t xml:space="preserve">视频时长总计不超过1</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分钟）：</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）支持通过可视化软件对屏幕播放的内容进行布局调整、节目切换、音量控制、预案切换及ppt翻页功能。</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）支持可视化软件远程控制电脑桌面的功能，可视化软件在将画面投屏后，可直接在界面上进入远程控制模式，可以对投屏的电脑进行远程控制。</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）支持局部采集，用户可根据需要自定义区域进行采集投屏显示。</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）支持在软件界面对桌面操作进行录像操作，可以直接打开录像文件进行查看。</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）支持查看每个窗口采集画面的实时信息，包括帧序号、采集耗时、编码耗时、调度耗时、发送耗时，以及总耗时信息。</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）支持对不同文件类型进行窗口采集，支持word、图片、视频、excel、txt、pdf、ppt、网页等不同的应用类型，最大可同时采集8个任务窗口。</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）软件对大屏窗口具</w:t>
            </w:r>
            <w:r>
              <w:rPr>
                <w:rFonts w:hint="eastAsia" w:ascii="宋体" w:hAnsi="宋体" w:cs="宋体"/>
                <w:color w:val="auto"/>
                <w:szCs w:val="21"/>
                <w:highlight w:val="none"/>
                <w:lang w:val="zh-CN"/>
              </w:rPr>
              <w:t xml:space="preserve">有丰富的操作功能，支持多种不同的分割模式，1、4、6、8、9、16多种分割模式可选，以及手动输入M×N进行分割；支持对窗口位置、大小进行任意调整，为防止误操作，支持对窗口进行锁定，锁定后无法移动窗口的位置，也无法对窗口的画面进行切换；在多窗口叠加情况下，支持对窗口进行置顶、置底、上移一层、下移一层操作；为尽可能的规避错误操作导致大屏画面错乱，软件支持对窗口操作动作进行撤销操作，最大支持撤销3步；窗口支持设置回显画面的开启和关闭，回显关闭时，可显示通道名称，码流类型信息；支持对单个窗口画面的音频开关进行设置。</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支持OSD文本字库管理，用户可根据使用需求上传对应的ttf格式字体文件；支持编辑OSD内容、手动输入OSD坐标以及宽高、设置背景颜色、透明度、透明度、字体颜色、字体、字体大小、字符间距，文字方向，对齐方式参数；支持滚动字幕，滚动方式包括从左到右、从右到左、从上到下，从下到上，可设置滚动速度；最大支持添加8个OSD图层，每个OSD图层可单独进行开关显示。</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）在软件中可以直接上传底图进行管理，并设置大屏在无信号时默认显示上传的图片。</w:t>
            </w:r>
            <w:r/>
          </w:p>
          <w:p>
            <w:pPr>
              <w:jc w:val="left"/>
              <w:spacing w:line="264"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可视化软件支持多种预案组合，预案分为视频预案、组合预案、附加预案，视频预案是的视频画面组成的预案，附加预案是OSD字幕组成的预案，组合预案是视频预案和附加预案的组合，每种预案都可以单独进行切换。</w:t>
            </w:r>
            <w:r/>
          </w:p>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以上各项，每成功演示该项全部内容且画面清晰、功能完整，步骤详细的得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分,画面不清晰或功能不完整或步骤不详细的得分0.</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分，最多得5</w:t>
            </w:r>
            <w:r>
              <w:rPr>
                <w:rFonts w:hint="eastAsia" w:ascii="宋体" w:hAnsi="宋体" w:cs="宋体"/>
                <w:color w:val="auto"/>
                <w:szCs w:val="21"/>
                <w:highlight w:val="none"/>
              </w:rPr>
              <w:t xml:space="preserve">分。</w:t>
            </w:r>
            <w:r/>
          </w:p>
          <w:p>
            <w:pPr>
              <w:jc w:val="left"/>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3.服务</w:t>
            </w:r>
            <w:r/>
          </w:p>
        </w:tc>
      </w:tr>
      <w:tr>
        <w:trPr>
          <w:jc w:val="center"/>
          <w:trHeight w:val="45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tc>
        <w:tc>
          <w:tcPr>
            <w:tcBorders>
              <w:top w:val="single" w:color="000000" w:sz="2" w:space="0"/>
              <w:bottom w:val="single" w:color="000000" w:sz="2" w:space="0"/>
            </w:tcBorders>
            <w:tcW w:w="6330" w:type="dxa"/>
            <w:vAlign w:val="center"/>
            <w:textDirection w:val="lrTb"/>
            <w:noWrap w:val="false"/>
          </w:tcPr>
          <w:p>
            <w:pPr>
              <w:rPr>
                <w:color w:val="auto"/>
                <w:szCs w:val="21"/>
                <w:highlight w:val="none"/>
              </w:rPr>
            </w:pPr>
            <w:r>
              <w:rPr>
                <w:rFonts w:hint="eastAsia"/>
                <w:color w:val="auto"/>
                <w:szCs w:val="21"/>
                <w:highlight w:val="none"/>
              </w:rPr>
              <w:t xml:space="preserve">根据本项目采购需求中“实施要求”编制方案，内容包含：</w:t>
            </w:r>
            <w:bookmarkStart w:id="198" w:name="OLE_LINK7"/>
            <w:r>
              <w:rPr>
                <w:rFonts w:hint="eastAsia" w:ascii="宋体" w:hAnsi="宋体"/>
                <w:color w:val="auto"/>
                <w:szCs w:val="21"/>
                <w:highlight w:val="none"/>
              </w:rPr>
              <w:t xml:space="preserve">1.项目组织架构及人员配置；2.供货及项目实施进度计划；3.</w:t>
            </w:r>
            <w:r>
              <w:rPr>
                <w:rFonts w:hint="eastAsia"/>
                <w:color w:val="auto"/>
                <w:highlight w:val="none"/>
              </w:rPr>
              <w:t xml:space="preserve"> </w:t>
            </w:r>
            <w:r>
              <w:rPr>
                <w:rFonts w:hint="eastAsia" w:ascii="宋体" w:hAnsi="宋体"/>
                <w:color w:val="auto"/>
                <w:szCs w:val="21"/>
                <w:highlight w:val="none"/>
              </w:rPr>
              <w:t xml:space="preserve">设备材料运输与仓储管理；4.施工工艺与安装规范；5.现场施工保障及成品保护措施；</w:t>
            </w:r>
            <w:r>
              <w:rPr>
                <w:rFonts w:ascii="宋体" w:hAnsi="宋体"/>
                <w:color w:val="auto"/>
                <w:szCs w:val="21"/>
                <w:highlight w:val="none"/>
              </w:rPr>
              <w:t xml:space="preserve">6</w:t>
            </w:r>
            <w:r>
              <w:rPr>
                <w:rFonts w:hint="eastAsia" w:ascii="宋体" w:hAnsi="宋体"/>
                <w:color w:val="auto"/>
                <w:szCs w:val="21"/>
                <w:highlight w:val="none"/>
              </w:rPr>
              <w:t xml:space="preserve">.质量管理措施</w:t>
            </w:r>
            <w:bookmarkEnd w:id="198"/>
            <w:r>
              <w:rPr>
                <w:rFonts w:hint="eastAsia" w:ascii="宋体" w:hAnsi="宋体"/>
                <w:color w:val="auto"/>
                <w:szCs w:val="21"/>
                <w:highlight w:val="none"/>
              </w:rPr>
              <w:t xml:space="preserve">；7.安全文明实施措施；</w:t>
            </w:r>
            <w:r>
              <w:rPr>
                <w:rFonts w:ascii="宋体" w:hAnsi="宋体"/>
                <w:color w:val="auto"/>
                <w:szCs w:val="21"/>
                <w:highlight w:val="none"/>
              </w:rPr>
              <w:t xml:space="preserve">8</w:t>
            </w:r>
            <w:r>
              <w:rPr>
                <w:rFonts w:hint="eastAsia" w:ascii="宋体" w:hAnsi="宋体"/>
                <w:color w:val="auto"/>
                <w:szCs w:val="21"/>
                <w:highlight w:val="none"/>
              </w:rPr>
              <w:t xml:space="preserve">.项目重难点分析及应对措施。</w:t>
            </w:r>
            <w:r>
              <w:rPr>
                <w:rFonts w:hint="eastAsia"/>
                <w:color w:val="auto"/>
                <w:szCs w:val="21"/>
                <w:highlight w:val="none"/>
              </w:rPr>
              <w:t xml:space="preserve">以上每项内容逐项评分：</w:t>
            </w:r>
            <w:r/>
          </w:p>
          <w:p>
            <w:pPr>
              <w:rPr>
                <w:color w:val="auto"/>
                <w:highlight w:val="none"/>
              </w:rPr>
            </w:pPr>
            <w:r>
              <w:rPr>
                <w:color w:val="auto"/>
                <w:highlight w:val="none"/>
              </w:rPr>
              <w:t xml:space="preserve">方案内容</w:t>
            </w:r>
            <w:r>
              <w:rPr>
                <w:rFonts w:hint="eastAsia" w:ascii="宋体" w:hAnsi="宋体" w:cs="宋体"/>
                <w:color w:val="auto"/>
                <w:szCs w:val="21"/>
                <w:highlight w:val="none"/>
                <w:lang w:bidi="ar"/>
              </w:rPr>
              <w:t xml:space="preserve">质量标准高、时间计划、工作流程具体、可操作性强</w:t>
            </w:r>
            <w:r>
              <w:rPr>
                <w:rFonts w:hint="eastAsia"/>
                <w:color w:val="auto"/>
                <w:szCs w:val="21"/>
                <w:highlight w:val="none"/>
              </w:rPr>
              <w:t xml:space="preserve">，且</w:t>
            </w:r>
            <w:r>
              <w:rPr>
                <w:color w:val="auto"/>
                <w:highlight w:val="none"/>
              </w:rPr>
              <w:t xml:space="preserve">专门针对本项目，</w:t>
            </w:r>
            <w:r>
              <w:rPr>
                <w:rFonts w:hint="eastAsia"/>
                <w:color w:val="auto"/>
                <w:highlight w:val="none"/>
              </w:rPr>
              <w:t xml:space="preserve">契合</w:t>
            </w:r>
            <w:r>
              <w:rPr>
                <w:color w:val="auto"/>
                <w:highlight w:val="none"/>
              </w:rPr>
              <w:t xml:space="preserve">采购需求视为符合；方案内容属于通用类，非专门针对本项目，部分</w:t>
            </w:r>
            <w:r>
              <w:rPr>
                <w:rFonts w:hint="eastAsia"/>
                <w:color w:val="auto"/>
                <w:highlight w:val="none"/>
              </w:rPr>
              <w:t xml:space="preserve">契合采购需求</w:t>
            </w:r>
            <w:r>
              <w:rPr>
                <w:color w:val="auto"/>
                <w:highlight w:val="none"/>
              </w:rPr>
              <w:t xml:space="preserve">视为部分符合；方案内容非专门针对本项目</w:t>
            </w:r>
            <w:r>
              <w:rPr>
                <w:rFonts w:hint="eastAsia"/>
                <w:color w:val="auto"/>
                <w:highlight w:val="none"/>
              </w:rPr>
              <w:t xml:space="preserve">，脱离</w:t>
            </w:r>
            <w:r>
              <w:rPr>
                <w:color w:val="auto"/>
                <w:highlight w:val="none"/>
              </w:rPr>
              <w:t xml:space="preserve">采购需求视为不符合。</w:t>
            </w:r>
            <w:r/>
          </w:p>
          <w:p>
            <w:pPr>
              <w:rPr>
                <w:rFonts w:hint="eastAsia" w:ascii="宋体" w:hAnsi="宋体" w:cs="宋体"/>
                <w:color w:val="auto"/>
                <w:szCs w:val="21"/>
                <w:highlight w:val="none"/>
                <w:lang w:val="zh-CN"/>
              </w:rPr>
            </w:pPr>
            <w:r>
              <w:rPr>
                <w:rFonts w:hint="eastAsia"/>
                <w:color w:val="auto"/>
                <w:highlight w:val="none"/>
              </w:rPr>
              <w:t xml:space="preserve">上述每项内容</w:t>
            </w:r>
            <w:r>
              <w:rPr>
                <w:color w:val="auto"/>
                <w:highlight w:val="none"/>
              </w:rPr>
              <w:t xml:space="preserve">符合得</w:t>
            </w:r>
            <w:r>
              <w:rPr>
                <w:rFonts w:hint="eastAsia"/>
                <w:color w:val="auto"/>
                <w:highlight w:val="none"/>
              </w:rPr>
              <w:t xml:space="preserve">1</w:t>
            </w:r>
            <w:r>
              <w:rPr>
                <w:color w:val="auto"/>
                <w:highlight w:val="none"/>
              </w:rPr>
              <w:t xml:space="preserve">分；部分符合得</w:t>
            </w:r>
            <w:r>
              <w:rPr>
                <w:rFonts w:hint="eastAsia"/>
                <w:color w:val="auto"/>
                <w:highlight w:val="none"/>
              </w:rPr>
              <w:t xml:space="preserve">0.5</w:t>
            </w:r>
            <w:r>
              <w:rPr>
                <w:color w:val="auto"/>
                <w:highlight w:val="none"/>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应急方案</w:t>
            </w:r>
            <w:r/>
          </w:p>
        </w:tc>
        <w:tc>
          <w:tcPr>
            <w:tcBorders>
              <w:top w:val="single" w:color="000000" w:sz="2" w:space="0"/>
              <w:bottom w:val="single" w:color="000000" w:sz="2" w:space="0"/>
            </w:tcBorders>
            <w:tcW w:w="6330" w:type="dxa"/>
            <w:vAlign w:val="center"/>
            <w:textDirection w:val="lrTb"/>
            <w:noWrap w:val="false"/>
          </w:tcPr>
          <w:p>
            <w:pPr>
              <w:pStyle w:val="963"/>
              <w:rPr>
                <w:color w:val="auto"/>
                <w:sz w:val="21"/>
                <w:szCs w:val="21"/>
                <w:highlight w:val="none"/>
                <w:lang w:val="en-US" w:bidi="ar-SA"/>
              </w:rPr>
            </w:pPr>
            <w:r>
              <w:rPr>
                <w:rFonts w:hint="eastAsia"/>
                <w:color w:val="auto"/>
                <w:sz w:val="21"/>
                <w:szCs w:val="21"/>
                <w:highlight w:val="none"/>
                <w:lang w:val="en-US" w:bidi="ar-SA"/>
              </w:rPr>
              <w:t xml:space="preserve">根据本项目采购需求中“技术、商务要求”编制方案，内容包含：1.突发故障与应急管理预案；2.应急组织架构与职责分工；3.应急处置流程与闭环管理；4.应急资源与响应时限保障。以上每项内容逐项评分：</w:t>
            </w:r>
            <w:r/>
          </w:p>
          <w:p>
            <w:pPr>
              <w:pStyle w:val="963"/>
              <w:rPr>
                <w:color w:val="auto"/>
                <w:highlight w:val="none"/>
                <w:lang w:val="en-US"/>
              </w:rPr>
            </w:pPr>
            <w:r>
              <w:rPr>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63"/>
              <w:spacing w:line="264" w:lineRule="auto"/>
              <w:rPr>
                <w:rFonts w:hint="eastAsia"/>
                <w:color w:val="auto"/>
                <w:sz w:val="21"/>
                <w:szCs w:val="21"/>
                <w:highlight w:val="none"/>
                <w:lang w:val="en-US" w:bidi="ar-SA"/>
              </w:rPr>
            </w:pPr>
            <w:r>
              <w:rPr>
                <w:rFonts w:hint="eastAsia"/>
                <w:color w:val="auto"/>
                <w:highlight w:val="none"/>
                <w:lang w:val="en-US"/>
              </w:rPr>
              <w:t xml:space="preserve">上述每项内容</w:t>
            </w:r>
            <w:r>
              <w:rPr>
                <w:color w:val="auto"/>
                <w:highlight w:val="none"/>
                <w:lang w:val="en-US"/>
              </w:rPr>
              <w:t xml:space="preserve">符合得</w:t>
            </w:r>
            <w:r>
              <w:rPr>
                <w:rFonts w:hint="eastAsia"/>
                <w:color w:val="auto"/>
                <w:highlight w:val="none"/>
                <w:lang w:val="en-US"/>
              </w:rPr>
              <w:t xml:space="preserve">1</w:t>
            </w:r>
            <w:r>
              <w:rPr>
                <w:color w:val="auto"/>
                <w:highlight w:val="none"/>
                <w:lang w:val="en-US"/>
              </w:rPr>
              <w:t xml:space="preserve">分；部分符合得</w:t>
            </w:r>
            <w:r>
              <w:rPr>
                <w:rFonts w:hint="eastAsia"/>
                <w:color w:val="auto"/>
                <w:highlight w:val="none"/>
                <w:lang w:val="en-US"/>
              </w:rPr>
              <w:t xml:space="preserve">0.5</w:t>
            </w:r>
            <w:r>
              <w:rPr>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3</w:t>
            </w:r>
            <w:r>
              <w:rPr>
                <w:rFonts w:ascii="宋体" w:hAnsi="宋体" w:cs="宋体"/>
                <w:color w:val="auto"/>
                <w:spacing w:val="-2"/>
                <w:szCs w:val="21"/>
                <w:highlight w:val="none"/>
              </w:rPr>
              <w:t xml:space="preserve">.3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szCs w:val="21"/>
                <w:highlight w:val="none"/>
              </w:rPr>
            </w:pPr>
            <w:r>
              <w:rPr>
                <w:rFonts w:ascii="宋体" w:hAnsi="宋体" w:cs="宋体"/>
                <w:color w:val="auto"/>
                <w:spacing w:val="-2"/>
                <w:szCs w:val="21"/>
                <w:highlight w:val="none"/>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63"/>
              <w:rPr>
                <w:color w:val="auto"/>
                <w:sz w:val="21"/>
                <w:szCs w:val="21"/>
                <w:highlight w:val="none"/>
                <w:lang w:val="en-US" w:bidi="ar-SA"/>
              </w:rPr>
            </w:pPr>
            <w:r>
              <w:rPr>
                <w:rFonts w:hint="eastAsia"/>
                <w:color w:val="auto"/>
                <w:sz w:val="21"/>
                <w:szCs w:val="21"/>
                <w:highlight w:val="none"/>
                <w:lang w:val="en-US" w:bidi="ar-SA"/>
              </w:rPr>
              <w:t xml:space="preserve">根据本项目采购需求中“商务要求”编制方案，内容包含：</w:t>
            </w:r>
            <w:r>
              <w:rPr>
                <w:rFonts w:hint="eastAsia"/>
                <w:color w:val="auto"/>
                <w:szCs w:val="21"/>
                <w:highlight w:val="none"/>
              </w:rPr>
              <w:t xml:space="preserve">1.售后服务内容；2.售后服务计划及保障体系；3.售后服务反应及处理时间；4.售后问题解决能力与处置效率。</w:t>
            </w:r>
            <w:r>
              <w:rPr>
                <w:rFonts w:hint="eastAsia"/>
                <w:color w:val="auto"/>
                <w:sz w:val="21"/>
                <w:szCs w:val="21"/>
                <w:highlight w:val="none"/>
                <w:lang w:val="en-US" w:bidi="ar-SA"/>
              </w:rPr>
              <w:t xml:space="preserve">以上每项内容逐项评分：</w:t>
            </w:r>
            <w:r/>
          </w:p>
          <w:p>
            <w:pPr>
              <w:pStyle w:val="963"/>
              <w:rPr>
                <w:color w:val="auto"/>
                <w:highlight w:val="none"/>
                <w:lang w:val="en-US"/>
              </w:rPr>
            </w:pPr>
            <w:r>
              <w:rPr>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63"/>
              <w:spacing w:line="264" w:lineRule="auto"/>
              <w:rPr>
                <w:rFonts w:hint="eastAsia"/>
                <w:color w:val="auto"/>
                <w:highlight w:val="none"/>
                <w:lang w:val="en-US"/>
              </w:rPr>
            </w:pPr>
            <w:r>
              <w:rPr>
                <w:rFonts w:hint="eastAsia"/>
                <w:color w:val="auto"/>
                <w:highlight w:val="none"/>
                <w:lang w:val="en-US"/>
              </w:rPr>
              <w:t xml:space="preserve">上述每项内容</w:t>
            </w:r>
            <w:r>
              <w:rPr>
                <w:color w:val="auto"/>
                <w:highlight w:val="none"/>
                <w:lang w:val="en-US"/>
              </w:rPr>
              <w:t xml:space="preserve">符合得</w:t>
            </w:r>
            <w:r>
              <w:rPr>
                <w:rFonts w:hint="eastAsia"/>
                <w:color w:val="auto"/>
                <w:highlight w:val="none"/>
                <w:lang w:val="en-US" w:eastAsia="zh-CN"/>
              </w:rPr>
              <w:t xml:space="preserve">1</w:t>
            </w:r>
            <w:r>
              <w:rPr>
                <w:color w:val="auto"/>
                <w:highlight w:val="none"/>
                <w:lang w:val="en-US"/>
              </w:rPr>
              <w:t xml:space="preserve">分；部分符合得</w:t>
            </w:r>
            <w:r>
              <w:rPr>
                <w:rFonts w:hint="eastAsia"/>
                <w:color w:val="auto"/>
                <w:highlight w:val="none"/>
                <w:lang w:val="en-US" w:eastAsia="zh-CN"/>
              </w:rPr>
              <w:t xml:space="preserve">0.5</w:t>
            </w:r>
            <w:r>
              <w:rPr>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highlight w:val="none"/>
              </w:rPr>
            </w:pPr>
            <w:r>
              <w:rPr>
                <w:rFonts w:ascii="宋体" w:hAnsi="宋体" w:cs="宋体"/>
                <w:color w:val="auto"/>
                <w:spacing w:val="-6"/>
                <w:szCs w:val="21"/>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3.</w:t>
            </w:r>
            <w:r>
              <w:rPr>
                <w:rFonts w:ascii="宋体" w:hAnsi="宋体" w:cs="宋体"/>
                <w:color w:val="auto"/>
                <w:spacing w:val="-2"/>
                <w:szCs w:val="21"/>
                <w:highlight w:val="none"/>
              </w:rPr>
              <w:t xml:space="preserve">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963"/>
              <w:rPr>
                <w:color w:val="auto"/>
                <w:sz w:val="21"/>
                <w:szCs w:val="21"/>
                <w:highlight w:val="none"/>
                <w:lang w:val="en-US" w:bidi="ar-SA"/>
              </w:rPr>
            </w:pPr>
            <w:r>
              <w:rPr>
                <w:rFonts w:hint="eastAsia"/>
                <w:color w:val="auto"/>
                <w:sz w:val="21"/>
                <w:szCs w:val="21"/>
                <w:highlight w:val="none"/>
                <w:lang w:val="en-US" w:bidi="ar-SA"/>
              </w:rPr>
              <w:t xml:space="preserve">根据本项目采购需求中“商务要求”编制方案，内容包含：</w:t>
            </w:r>
            <w:r>
              <w:rPr>
                <w:rFonts w:hint="eastAsia"/>
                <w:color w:val="auto"/>
                <w:szCs w:val="21"/>
                <w:highlight w:val="none"/>
              </w:rPr>
              <w:t xml:space="preserve">1.</w:t>
            </w:r>
            <w:r>
              <w:rPr>
                <w:color w:val="auto"/>
                <w:szCs w:val="21"/>
                <w:highlight w:val="none"/>
              </w:rPr>
              <w:t xml:space="preserve">培训计划</w:t>
            </w:r>
            <w:r>
              <w:rPr>
                <w:rFonts w:hint="eastAsia"/>
                <w:color w:val="auto"/>
                <w:szCs w:val="21"/>
                <w:highlight w:val="none"/>
              </w:rPr>
              <w:t xml:space="preserve">；2.</w:t>
            </w:r>
            <w:r>
              <w:rPr>
                <w:color w:val="auto"/>
                <w:szCs w:val="21"/>
                <w:highlight w:val="none"/>
              </w:rPr>
              <w:t xml:space="preserve">培训内容</w:t>
            </w:r>
            <w:r>
              <w:rPr>
                <w:rFonts w:hint="eastAsia"/>
                <w:color w:val="auto"/>
                <w:szCs w:val="21"/>
                <w:highlight w:val="none"/>
              </w:rPr>
              <w:t xml:space="preserve">；3.培训方式；4</w:t>
            </w:r>
            <w:r>
              <w:rPr>
                <w:color w:val="auto"/>
                <w:szCs w:val="21"/>
                <w:highlight w:val="none"/>
              </w:rPr>
              <w:t xml:space="preserve">.</w:t>
            </w:r>
            <w:r>
              <w:rPr>
                <w:rFonts w:hint="eastAsia"/>
                <w:color w:val="auto"/>
                <w:szCs w:val="21"/>
                <w:highlight w:val="none"/>
              </w:rPr>
              <w:t xml:space="preserve">培训效果。</w:t>
            </w:r>
            <w:r>
              <w:rPr>
                <w:rFonts w:hint="eastAsia"/>
                <w:color w:val="auto"/>
                <w:sz w:val="21"/>
                <w:szCs w:val="21"/>
                <w:highlight w:val="none"/>
                <w:lang w:val="en-US" w:bidi="ar-SA"/>
              </w:rPr>
              <w:t xml:space="preserve">以上每项内容逐项评分：</w:t>
            </w:r>
            <w:r/>
          </w:p>
          <w:p>
            <w:pPr>
              <w:pStyle w:val="963"/>
              <w:rPr>
                <w:color w:val="auto"/>
                <w:highlight w:val="none"/>
                <w:lang w:val="en-US"/>
              </w:rPr>
            </w:pPr>
            <w:r>
              <w:rPr>
                <w:color w:val="auto"/>
                <w:highlight w:val="none"/>
                <w:lang w:val="en-US"/>
              </w:rPr>
              <w:t xml:space="preserve">方案内容</w:t>
            </w:r>
            <w:r>
              <w:rPr>
                <w:rFonts w:hint="eastAsia"/>
                <w:color w:val="auto"/>
                <w:sz w:val="21"/>
                <w:szCs w:val="21"/>
                <w:highlight w:val="none"/>
                <w:lang w:val="en-US" w:bidi="ar"/>
              </w:rPr>
              <w:t xml:space="preserve">质量标准高、时间计划、工作流程具体、可操作性强</w:t>
            </w:r>
            <w:r>
              <w:rPr>
                <w:rFonts w:hint="eastAsia"/>
                <w:color w:val="auto"/>
                <w:sz w:val="21"/>
                <w:szCs w:val="21"/>
                <w:highlight w:val="none"/>
                <w:lang w:val="en-US" w:bidi="ar-SA"/>
              </w:rPr>
              <w:t xml:space="preserve">，且</w:t>
            </w:r>
            <w:r>
              <w:rPr>
                <w:color w:val="auto"/>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63"/>
              <w:spacing w:line="264" w:lineRule="auto"/>
              <w:rPr>
                <w:rFonts w:hint="eastAsia"/>
                <w:color w:val="auto"/>
                <w:highlight w:val="none"/>
                <w:lang w:val="en-US"/>
              </w:rPr>
            </w:pPr>
            <w:r>
              <w:rPr>
                <w:rFonts w:hint="eastAsia"/>
                <w:color w:val="auto"/>
                <w:highlight w:val="none"/>
                <w:lang w:val="en-US"/>
              </w:rPr>
              <w:t xml:space="preserve">上述每项内容</w:t>
            </w:r>
            <w:r>
              <w:rPr>
                <w:color w:val="auto"/>
                <w:highlight w:val="none"/>
                <w:lang w:val="en-US"/>
              </w:rPr>
              <w:t xml:space="preserve">符合得</w:t>
            </w:r>
            <w:r>
              <w:rPr>
                <w:rFonts w:hint="eastAsia"/>
                <w:color w:val="auto"/>
                <w:highlight w:val="none"/>
                <w:lang w:val="en-US"/>
              </w:rPr>
              <w:t xml:space="preserve">1</w:t>
            </w:r>
            <w:r>
              <w:rPr>
                <w:color w:val="auto"/>
                <w:highlight w:val="none"/>
                <w:lang w:val="en-US"/>
              </w:rPr>
              <w:t xml:space="preserve">分；部分符合得</w:t>
            </w:r>
            <w:r>
              <w:rPr>
                <w:rFonts w:hint="eastAsia"/>
                <w:color w:val="auto"/>
                <w:highlight w:val="none"/>
                <w:lang w:val="en-US"/>
              </w:rPr>
              <w:t xml:space="preserve">0.5</w:t>
            </w:r>
            <w:r>
              <w:rPr>
                <w:color w:val="auto"/>
                <w:highlight w:val="none"/>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highlight w:val="none"/>
              </w:rPr>
            </w:pPr>
            <w:r>
              <w:rPr>
                <w:rFonts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color w:val="auto"/>
                <w:szCs w:val="21"/>
                <w:highlight w:val="none"/>
              </w:rPr>
            </w:pPr>
            <w:r>
              <w:rPr>
                <w:rFonts w:hint="eastAsia" w:ascii="宋体" w:hAnsi="宋体" w:cs="宋体"/>
                <w:color w:val="auto"/>
                <w:spacing w:val="-1"/>
                <w:szCs w:val="21"/>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highlight w:val="none"/>
                <w:lang w:bidi="zh-CN"/>
              </w:rPr>
            </w:pPr>
            <w:r>
              <w:rPr>
                <w:rFonts w:hint="eastAsia" w:ascii="宋体" w:hAnsi="宋体" w:cs="宋体"/>
                <w:color w:val="auto"/>
                <w:szCs w:val="21"/>
                <w:highlight w:val="none"/>
              </w:rPr>
              <w:t xml:space="preserve">投标人提供2023年1月1日（含）以来类似项目业绩（至少包含</w:t>
            </w:r>
            <w:r>
              <w:rPr>
                <w:rFonts w:ascii="宋体" w:hAnsi="宋体" w:cs="宋体"/>
                <w:color w:val="auto"/>
                <w:szCs w:val="21"/>
                <w:highlight w:val="none"/>
              </w:rPr>
              <w:t xml:space="preserve">全彩LED显示屏</w:t>
            </w:r>
            <w:r>
              <w:rPr>
                <w:rFonts w:hint="eastAsia" w:ascii="宋体" w:hAnsi="宋体" w:cs="宋体"/>
                <w:color w:val="auto"/>
                <w:szCs w:val="21"/>
                <w:highlight w:val="none"/>
              </w:rPr>
              <w:t xml:space="preserve">、信息发布屏、视频处理器、解码器、L</w:t>
            </w:r>
            <w:r>
              <w:rPr>
                <w:rFonts w:ascii="宋体" w:hAnsi="宋体" w:cs="宋体"/>
                <w:color w:val="auto"/>
                <w:szCs w:val="21"/>
                <w:highlight w:val="none"/>
              </w:rPr>
              <w:t xml:space="preserve">CD</w:t>
            </w:r>
            <w:r>
              <w:rPr>
                <w:rFonts w:hint="eastAsia" w:ascii="宋体" w:hAnsi="宋体" w:cs="宋体"/>
                <w:color w:val="auto"/>
                <w:szCs w:val="21"/>
                <w:highlight w:val="none"/>
              </w:rPr>
              <w:t xml:space="preserve">拼接屏5种产品中的任意3种），每提供1个得1分，最多得4分。（时间以合同签订时间为准，提供有效合同，合同页须清晰可见相应内容，未提供或模糊不清无法辨认均不</w:t>
            </w:r>
            <w:r>
              <w:rPr>
                <w:rFonts w:hAnsi="宋体" w:cs="宋体"/>
                <w:color w:val="auto"/>
                <w:szCs w:val="21"/>
                <w:highlight w:val="none"/>
              </w:rPr>
              <w:t xml:space="preserve">得</w:t>
            </w:r>
            <w:r>
              <w:rPr>
                <w:rFonts w:hint="eastAsia" w:ascii="宋体" w:hAnsi="宋体" w:cs="宋体"/>
                <w:color w:val="auto"/>
                <w:szCs w:val="21"/>
                <w:highlight w:val="none"/>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line="264"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highlight w:val="none"/>
              </w:rPr>
            </w:pPr>
            <w:r>
              <w:rPr>
                <w:rFonts w:hint="eastAsia" w:ascii="宋体" w:hAnsi="宋体" w:cs="宋体"/>
                <w:color w:val="auto"/>
                <w:highlight w:val="none"/>
              </w:rPr>
              <w:t xml:space="preserve">投标人</w:t>
            </w:r>
            <w:r>
              <w:rPr>
                <w:rFonts w:hint="eastAsia"/>
                <w:color w:val="auto"/>
                <w:szCs w:val="21"/>
                <w:highlight w:val="none"/>
              </w:rPr>
              <w:t xml:space="preserve">拟投入本项目的</w:t>
            </w:r>
            <w:r>
              <w:rPr>
                <w:rFonts w:hint="eastAsia" w:ascii="宋体" w:hAnsi="宋体" w:cs="宋体"/>
                <w:color w:val="auto"/>
                <w:highlight w:val="none"/>
              </w:rPr>
              <w:t xml:space="preserve">项目负责人具有中级工程师职称的得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分，高级及以上工程师职称证书的得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szCs w:val="21"/>
                <w:highlight w:val="none"/>
              </w:rPr>
              <w:t xml:space="preserve">，</w:t>
            </w:r>
            <w:r>
              <w:rPr>
                <w:rFonts w:hint="eastAsia" w:hAnsi="宋体" w:cs="宋体"/>
                <w:color w:val="auto"/>
                <w:highlight w:val="none"/>
              </w:rPr>
              <w:t xml:space="preserve">未提供不得分</w:t>
            </w:r>
            <w:r>
              <w:rPr>
                <w:rFonts w:hint="eastAsia" w:ascii="宋体" w:hAnsi="宋体" w:cs="宋体"/>
                <w:color w:val="auto"/>
                <w:szCs w:val="21"/>
                <w:highlight w:val="none"/>
              </w:rPr>
              <w:t xml:space="preserve">；</w:t>
            </w:r>
            <w:r/>
          </w:p>
          <w:p>
            <w:pP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提供上述</w:t>
            </w:r>
            <w:r>
              <w:rPr>
                <w:rFonts w:hint="eastAsia" w:ascii="宋体" w:hAnsi="宋体" w:cs="宋体"/>
                <w:color w:val="auto"/>
                <w:szCs w:val="21"/>
                <w:highlight w:val="none"/>
              </w:rPr>
              <w:t xml:space="preserve">人员</w:t>
            </w:r>
            <w:r>
              <w:rPr>
                <w:rFonts w:ascii="宋体" w:hAnsi="宋体" w:cs="宋体"/>
                <w:color w:val="auto"/>
                <w:szCs w:val="21"/>
                <w:highlight w:val="none"/>
              </w:rPr>
              <w:t xml:space="preserve">证书</w:t>
            </w:r>
            <w:r>
              <w:rPr>
                <w:rFonts w:hint="eastAsia" w:ascii="宋体" w:hAnsi="宋体" w:cs="宋体"/>
                <w:color w:val="auto"/>
                <w:szCs w:val="21"/>
                <w:highlight w:val="none"/>
              </w:rPr>
              <w:t xml:space="preserve">及投标人为其缴纳的2026年以来内任意1个月的社保缴纳证明材料，证明材料缺项或未提供的不得分）。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szCs w:val="21"/>
                <w:highlight w:val="none"/>
              </w:rPr>
            </w:pPr>
            <w:r>
              <w:rPr>
                <w:rFonts w:hint="eastAsia"/>
                <w:color w:val="auto"/>
                <w:szCs w:val="21"/>
                <w:highlight w:val="none"/>
              </w:rPr>
              <w:t xml:space="preserve">投标人拟投入本项目的团队实施人员（项目负责人除外）具有中级及以上工程师职称证书，每提供一人得</w:t>
            </w:r>
            <w:r>
              <w:rPr>
                <w:color w:val="auto"/>
                <w:szCs w:val="21"/>
                <w:highlight w:val="none"/>
              </w:rPr>
              <w:t xml:space="preserve">0.5</w:t>
            </w:r>
            <w:r>
              <w:rPr>
                <w:rFonts w:hint="eastAsia"/>
                <w:color w:val="auto"/>
                <w:szCs w:val="21"/>
                <w:highlight w:val="none"/>
              </w:rPr>
              <w:t xml:space="preserve">分，最多得</w:t>
            </w:r>
            <w:r>
              <w:rPr>
                <w:color w:val="auto"/>
                <w:szCs w:val="21"/>
                <w:highlight w:val="none"/>
              </w:rPr>
              <w:t xml:space="preserve">1</w:t>
            </w:r>
            <w:r>
              <w:rPr>
                <w:rFonts w:hint="eastAsia"/>
                <w:color w:val="auto"/>
                <w:szCs w:val="21"/>
                <w:highlight w:val="none"/>
              </w:rPr>
              <w:t xml:space="preserve">分，未提供不得分（</w:t>
            </w:r>
            <w:r>
              <w:rPr>
                <w:color w:val="auto"/>
                <w:szCs w:val="21"/>
                <w:highlight w:val="none"/>
              </w:rPr>
              <w:t xml:space="preserve">提供上述</w:t>
            </w:r>
            <w:r>
              <w:rPr>
                <w:rFonts w:hint="eastAsia"/>
                <w:color w:val="auto"/>
                <w:szCs w:val="21"/>
                <w:highlight w:val="none"/>
              </w:rPr>
              <w:t xml:space="preserve">人员</w:t>
            </w:r>
            <w:r>
              <w:rPr>
                <w:color w:val="auto"/>
                <w:szCs w:val="21"/>
                <w:highlight w:val="none"/>
              </w:rPr>
              <w:t xml:space="preserve">证书</w:t>
            </w:r>
            <w:r>
              <w:rPr>
                <w:rFonts w:hint="eastAsia"/>
                <w:color w:val="auto"/>
                <w:szCs w:val="21"/>
                <w:highlight w:val="none"/>
              </w:rPr>
              <w:t xml:space="preserve">及投标人为其缴纳的2026年以来任意1个月的社保缴纳证明材料，证明材料缺项或未提供的不得分）。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auto"/>
                <w:spacing w:val="-2"/>
                <w:szCs w:val="21"/>
                <w:highlight w:val="none"/>
              </w:rPr>
            </w:pPr>
            <w:r>
              <w:rPr>
                <w:rFonts w:hint="eastAsia" w:ascii="宋体" w:hAnsi="宋体" w:cs="宋体"/>
                <w:color w:val="auto"/>
                <w:spacing w:val="-1"/>
                <w:szCs w:val="21"/>
                <w:highlight w:val="none"/>
              </w:rPr>
              <w:t xml:space="preserve">履约能力3</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1、所投产品“P2.5室内LED全彩屏2”（项目清单</w:t>
            </w:r>
            <w:r>
              <w:rPr>
                <w:rFonts w:ascii="宋体" w:hAnsi="宋体" w:cs="宋体"/>
                <w:color w:val="auto"/>
                <w:szCs w:val="21"/>
                <w:highlight w:val="none"/>
              </w:rPr>
              <w:t xml:space="preserve">5</w:t>
            </w:r>
            <w:r>
              <w:rPr>
                <w:rFonts w:hint="eastAsia" w:ascii="宋体" w:hAnsi="宋体" w:cs="宋体"/>
                <w:color w:val="auto"/>
                <w:szCs w:val="21"/>
                <w:highlight w:val="none"/>
              </w:rPr>
              <w:t xml:space="preserve">）内置软件具有“视频数据”或“映像采集”相关关键字的《计算机软件著作权登记证书》，得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p>
            <w:pPr>
              <w:jc w:val="left"/>
              <w:spacing w:line="264"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、所投产品“P4户外LED全彩屏1”（项目清单</w:t>
            </w:r>
            <w:r>
              <w:rPr>
                <w:rFonts w:ascii="宋体" w:hAnsi="宋体" w:cs="宋体"/>
                <w:color w:val="auto"/>
                <w:szCs w:val="21"/>
                <w:highlight w:val="none"/>
              </w:rPr>
              <w:t xml:space="preserve">41</w:t>
            </w:r>
            <w:r>
              <w:rPr>
                <w:rFonts w:hint="eastAsia" w:ascii="宋体" w:hAnsi="宋体" w:cs="宋体"/>
                <w:color w:val="auto"/>
                <w:szCs w:val="21"/>
                <w:highlight w:val="none"/>
              </w:rPr>
              <w:t xml:space="preserve">）内置软件具有“接送学平台”或“智慧校园”相关关键字的《计算机软件著作权登记证书》，得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分，未提供不得分。</w:t>
            </w:r>
            <w:r/>
          </w:p>
          <w:p>
            <w:pPr>
              <w:spacing w:line="264" w:lineRule="auto"/>
              <w:rPr>
                <w:rFonts w:hint="eastAsia" w:ascii="宋体" w:hAnsi="宋体" w:cs="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、所投产品“配电箱4”（项目清单</w:t>
            </w:r>
            <w:r>
              <w:rPr>
                <w:rFonts w:ascii="宋体" w:hAnsi="宋体"/>
                <w:color w:val="auto"/>
                <w:szCs w:val="21"/>
                <w:highlight w:val="none"/>
              </w:rPr>
              <w:t xml:space="preserve">46</w:t>
            </w:r>
            <w:r>
              <w:rPr>
                <w:rFonts w:hint="eastAsia" w:ascii="宋体" w:hAnsi="宋体"/>
                <w:color w:val="auto"/>
                <w:szCs w:val="21"/>
                <w:highlight w:val="none"/>
              </w:rPr>
              <w:t xml:space="preserve">）内置软件具有“智能配电”相关关键字的《计算机软件著作权登记证书》，得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w:t>
            </w:r>
            <w:r>
              <w:rPr>
                <w:rFonts w:hint="eastAsia" w:ascii="宋体" w:hAnsi="宋体" w:cs="宋体"/>
                <w:color w:val="auto"/>
                <w:spacing w:val="-4"/>
                <w:szCs w:val="21"/>
                <w:highlight w:val="none"/>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auto"/>
                <w:spacing w:val="-6"/>
                <w:szCs w:val="21"/>
                <w:highlight w:val="none"/>
              </w:rPr>
            </w:pPr>
            <w:r>
              <w:rPr>
                <w:rFonts w:hint="eastAsia" w:ascii="宋体" w:hAnsi="宋体" w:cs="宋体"/>
                <w:b/>
                <w:bCs/>
                <w:color w:val="auto"/>
                <w:spacing w:val="-3"/>
                <w:szCs w:val="21"/>
                <w:highlight w:val="none"/>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1.投标产品属于财政部、国家发改委公布的</w:t>
            </w:r>
            <w:r>
              <w:rPr>
                <w:rFonts w:ascii="宋体" w:hAnsi="宋体" w:cs="宋体"/>
                <w:color w:val="auto"/>
                <w:szCs w:val="21"/>
                <w:highlight w:val="none"/>
              </w:rPr>
              <w:t xml:space="preserve">《节能产品政府采购品目清单》（财库〔2019〕19号）</w:t>
            </w:r>
            <w:r>
              <w:rPr>
                <w:rFonts w:hint="eastAsia" w:ascii="宋体" w:hAnsi="宋体" w:cs="宋体"/>
                <w:color w:val="auto"/>
                <w:szCs w:val="21"/>
                <w:highlight w:val="none"/>
              </w:rPr>
              <w:t xml:space="preserve">范围内（政府强制采购产品除外）的，投标人提供国家确定的认证机构出具的、处于有效期之内的该节能产品认证证书的，有1个得0.5分，最多得1分。</w:t>
            </w:r>
            <w:r/>
          </w:p>
          <w:p>
            <w:pPr>
              <w:spacing w:line="264" w:lineRule="auto"/>
              <w:rPr>
                <w:rFonts w:hint="eastAsia" w:ascii="宋体" w:hAnsi="宋体" w:cs="宋体"/>
                <w:color w:val="auto"/>
                <w:szCs w:val="21"/>
                <w:highlight w:val="none"/>
              </w:rPr>
            </w:pPr>
            <w:r>
              <w:rPr>
                <w:rFonts w:hint="eastAsia" w:hAnsi="宋体" w:cs="宋体"/>
                <w:color w:val="auto"/>
                <w:highlight w:val="none"/>
              </w:rPr>
              <w:t xml:space="preserve">2.投标产品属于财政部、生态环境部公布的《环境</w:t>
            </w:r>
            <w:r>
              <w:rPr>
                <w:rFonts w:hAnsi="宋体" w:cs="宋体"/>
                <w:color w:val="auto"/>
                <w:highlight w:val="none"/>
              </w:rPr>
              <w:t xml:space="preserve">标志产品品目清单</w:t>
            </w:r>
            <w:r>
              <w:rPr>
                <w:rFonts w:hint="eastAsia" w:hAnsi="宋体" w:cs="宋体"/>
                <w:color w:val="auto"/>
                <w:highlight w:val="none"/>
              </w:rPr>
              <w:t xml:space="preserve">》</w:t>
            </w:r>
            <w:r>
              <w:rPr>
                <w:rFonts w:hAnsi="宋体" w:cs="宋体"/>
                <w:color w:val="auto"/>
                <w:highlight w:val="none"/>
              </w:rPr>
              <w:t xml:space="preserve">（财库〔2019〕1</w:t>
            </w:r>
            <w:r>
              <w:rPr>
                <w:rFonts w:hint="eastAsia" w:hAnsi="宋体" w:cs="宋体"/>
                <w:color w:val="auto"/>
                <w:highlight w:val="none"/>
              </w:rPr>
              <w:t xml:space="preserve">8</w:t>
            </w:r>
            <w:r>
              <w:rPr>
                <w:rFonts w:hAnsi="宋体" w:cs="宋体"/>
                <w:color w:val="auto"/>
                <w:highlight w:val="none"/>
              </w:rPr>
              <w:t xml:space="preserve">号）</w:t>
            </w:r>
            <w:r>
              <w:rPr>
                <w:rFonts w:hint="eastAsia" w:hAnsi="宋体" w:cs="宋体"/>
                <w:color w:val="auto"/>
                <w:highlight w:val="none"/>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pacing w:val="-3"/>
                <w:szCs w:val="21"/>
                <w:highlight w:val="none"/>
              </w:rPr>
              <w:t xml:space="preserve">合</w:t>
            </w:r>
            <w:r>
              <w:rPr>
                <w:rFonts w:hint="eastAsia" w:ascii="宋体" w:hAnsi="宋体" w:cs="宋体"/>
                <w:color w:val="auto"/>
                <w:spacing w:val="-2"/>
                <w:szCs w:val="21"/>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spacing w:val="-11"/>
                <w:szCs w:val="21"/>
                <w:highlight w:val="none"/>
              </w:rPr>
              <w:t xml:space="preserve">100分</w:t>
            </w:r>
            <w:r/>
          </w:p>
        </w:tc>
      </w:tr>
    </w:tbl>
    <w:p>
      <w:pP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55"/>
        <w:rPr>
          <w:rFonts w:hint="eastAsia"/>
          <w:color w:val="auto"/>
          <w:highlight w:val="none"/>
        </w:rPr>
      </w:pPr>
      <w:r>
        <w:rPr>
          <w:rFonts w:hint="eastAsia"/>
          <w:color w:val="auto"/>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55"/>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55"/>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55"/>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55"/>
        <w:ind w:firstLine="482"/>
        <w:rPr>
          <w:rFonts w:hint="eastAsia" w:cs="宋体"/>
          <w:b/>
          <w:bCs/>
          <w:color w:val="auto"/>
          <w:sz w:val="24"/>
          <w:szCs w:val="24"/>
          <w:highlight w:val="none"/>
        </w:rPr>
      </w:pPr>
      <w:r>
        <w:rPr>
          <w:rFonts w:hint="eastAsia"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55"/>
        <w:rPr>
          <w:rFonts w:hint="eastAsia"/>
          <w:color w:val="auto"/>
          <w:highlight w:val="none"/>
        </w:rPr>
      </w:pPr>
      <w:r>
        <w:rPr>
          <w:rFonts w:hint="eastAsia"/>
          <w:color w:val="auto"/>
          <w:highlight w:val="none"/>
        </w:rPr>
      </w:r>
      <w:r/>
    </w:p>
    <w:p>
      <w:pPr>
        <w:spacing w:line="480" w:lineRule="exact"/>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199" w:name="_Hlt26955039"/>
      <w:r/>
      <w:bookmarkEnd w:id="199"/>
      <w:r/>
      <w:bookmarkStart w:id="200" w:name="_Hlt26671244"/>
      <w:r/>
      <w:bookmarkEnd w:id="200"/>
      <w:r/>
      <w:bookmarkStart w:id="201" w:name="_Toc120614282"/>
      <w:r/>
      <w:bookmarkStart w:id="202" w:name="_Toc26554094"/>
      <w:r/>
      <w:bookmarkStart w:id="203"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bookmarkEnd w:id="190"/>
      <w:r/>
      <w:bookmarkEnd w:id="191"/>
      <w:r/>
      <w:bookmarkEnd w:id="201"/>
      <w:r/>
      <w:bookmarkEnd w:id="202"/>
      <w:r/>
      <w:bookmarkEnd w:id="203"/>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bookmarkStart w:id="204"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十三、关于符合本国产品标准的声明函（如有）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60"/>
        <w:rPr>
          <w:color w:val="auto"/>
          <w:sz w:val="24"/>
          <w:highlight w:val="none"/>
        </w:rPr>
      </w:pPr>
      <w:r>
        <w:rPr>
          <w:color w:val="auto"/>
          <w:sz w:val="24"/>
          <w:highlight w:val="none"/>
        </w:rPr>
      </w:r>
      <w:r/>
    </w:p>
    <w:p>
      <w:pPr>
        <w:pStyle w:val="960"/>
        <w:rPr>
          <w:color w:val="auto"/>
          <w:sz w:val="24"/>
          <w:highlight w:val="none"/>
        </w:rPr>
      </w:pPr>
      <w:r>
        <w:rPr>
          <w:color w:val="auto"/>
          <w:sz w:val="24"/>
          <w:highlight w:val="none"/>
        </w:rPr>
      </w:r>
      <w:r/>
    </w:p>
    <w:p>
      <w:pPr>
        <w:pStyle w:val="960"/>
        <w:rPr>
          <w:color w:val="auto"/>
          <w:sz w:val="24"/>
          <w:highlight w:val="none"/>
        </w:rPr>
      </w:pPr>
      <w:r>
        <w:rPr>
          <w:color w:val="auto"/>
          <w:sz w:val="24"/>
          <w:highlight w:val="none"/>
        </w:rPr>
      </w:r>
      <w:r/>
    </w:p>
    <w:p>
      <w:pPr>
        <w:pStyle w:val="960"/>
        <w:rPr>
          <w:color w:val="auto"/>
          <w:sz w:val="24"/>
          <w:highlight w:val="none"/>
        </w:rPr>
      </w:pPr>
      <w:r>
        <w:rPr>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61"/>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931"/>
        <w:ind w:firstLine="480"/>
        <w:rPr>
          <w:rFonts w:hint="eastAsia"/>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962"/>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p>
    <w:p>
      <w:pPr>
        <w:pStyle w:val="931"/>
        <w:ind w:firstLine="480"/>
        <w:spacing w:line="420" w:lineRule="exact"/>
        <w:rPr>
          <w:rFonts w:hint="eastAsia"/>
          <w:color w:val="auto"/>
          <w:sz w:val="24"/>
          <w:szCs w:val="24"/>
          <w:highlight w:val="none"/>
        </w:rPr>
      </w:pPr>
      <w:r>
        <w:rPr>
          <w:rFonts w:hint="eastAsia"/>
          <w:color w:val="auto"/>
          <w:sz w:val="24"/>
          <w:szCs w:val="24"/>
          <w:highlight w:val="none"/>
        </w:rPr>
      </w:r>
      <w:r/>
    </w:p>
    <w:p>
      <w:pPr>
        <w:pStyle w:val="931"/>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31"/>
        <w:ind w:firstLine="480"/>
        <w:spacing w:line="480" w:lineRule="exact"/>
        <w:rPr>
          <w:rFonts w:hint="eastAsia"/>
          <w:color w:val="auto"/>
          <w:sz w:val="24"/>
          <w:szCs w:val="24"/>
          <w:highlight w:val="none"/>
        </w:rPr>
      </w:pPr>
      <w:r>
        <w:rPr>
          <w:rFonts w:hint="eastAsia"/>
          <w:color w:val="auto"/>
          <w:sz w:val="24"/>
          <w:szCs w:val="24"/>
          <w:highlight w:val="none"/>
        </w:rPr>
        <w:t xml:space="preserve">本授权书自______年____月____日起生效，特此声明。</w:t>
      </w:r>
      <w:r/>
    </w:p>
    <w:p>
      <w:pPr>
        <w:pStyle w:val="931"/>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931"/>
        <w:ind w:firstLine="480"/>
        <w:spacing w:line="480" w:lineRule="exact"/>
        <w:rPr>
          <w:rFonts w:hint="eastAsia"/>
          <w:color w:val="auto"/>
          <w:sz w:val="24"/>
          <w:szCs w:val="24"/>
          <w:highlight w:val="none"/>
          <w:u w:val="single"/>
        </w:rPr>
      </w:pPr>
      <w:r>
        <w:rPr>
          <w:rFonts w:hint="eastAsia"/>
          <w:color w:val="auto"/>
          <w:sz w:val="24"/>
          <w:szCs w:val="24"/>
          <w:highlight w:val="none"/>
        </w:rPr>
        <w:t xml:space="preserve">被授权人联系电话：（手机）</w:t>
      </w:r>
      <w:r/>
    </w:p>
    <w:p>
      <w:pPr>
        <w:pStyle w:val="931"/>
        <w:ind w:firstLine="480"/>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31"/>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931"/>
        <w:ind w:firstLine="480"/>
        <w:spacing w:line="480" w:lineRule="exact"/>
        <w:rPr>
          <w:rFonts w:hint="eastAsia"/>
          <w:color w:val="auto"/>
          <w:sz w:val="24"/>
          <w:szCs w:val="24"/>
          <w:highlight w:val="none"/>
        </w:rPr>
      </w:pPr>
      <w:r>
        <w:rPr>
          <w:rFonts w:hint="eastAsia"/>
          <w:color w:val="auto"/>
          <w:sz w:val="24"/>
          <w:szCs w:val="24"/>
          <w:highlight w:val="none"/>
        </w:rPr>
        <w:t xml:space="preserve">日    期：</w:t>
      </w:r>
      <w:bookmarkStart w:id="205" w:name="_Hlt26955070"/>
      <w:r/>
      <w:bookmarkEnd w:id="205"/>
      <w:r/>
      <w:bookmarkStart w:id="206" w:name="_Hlt26671380"/>
      <w:r/>
      <w:bookmarkEnd w:id="206"/>
      <w:r/>
      <w:bookmarkStart w:id="207" w:name="_格式3__银行出具的资信证明"/>
      <w:r/>
      <w:bookmarkEnd w:id="207"/>
      <w:r/>
      <w:r/>
    </w:p>
    <w:p>
      <w:pPr>
        <w:pStyle w:val="858"/>
        <w:rPr>
          <w:rFonts w:hint="eastAsia"/>
          <w:i/>
          <w:color w:val="auto"/>
          <w:sz w:val="24"/>
          <w:szCs w:val="24"/>
          <w:highlight w:val="none"/>
          <w:u w:val="single"/>
        </w:rPr>
      </w:pPr>
      <w:r>
        <w:rPr>
          <w:rFonts w:hint="eastAsia"/>
          <w:i/>
          <w:color w:val="auto"/>
          <w:sz w:val="24"/>
          <w:szCs w:val="24"/>
          <w:highlight w:val="none"/>
          <w:u w:val="single"/>
        </w:rPr>
      </w:r>
      <w:r/>
    </w:p>
    <w:p>
      <w:pPr>
        <w:pStyle w:val="858"/>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60"/>
        <w:rPr>
          <w:rFonts w:hint="eastAsia"/>
          <w:bCs/>
          <w:color w:val="auto"/>
          <w:sz w:val="24"/>
          <w:highlight w:val="none"/>
        </w:rPr>
      </w:pPr>
      <w:r>
        <w:rPr>
          <w:rFonts w:hint="eastAsia"/>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33"/>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855"/>
        <w:ind w:firstLine="480"/>
        <w:rPr>
          <w:color w:val="auto"/>
          <w:highlight w:val="none"/>
        </w:rPr>
      </w:pPr>
      <w:r>
        <w:rPr>
          <w:rFonts w:hint="eastAsia"/>
          <w:color w:val="auto"/>
          <w:sz w:val="24"/>
          <w:szCs w:val="24"/>
          <w:highlight w:val="none"/>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cs="宋体"/>
          <w:color w:val="auto"/>
          <w:sz w:val="24"/>
          <w:szCs w:val="24"/>
          <w:highlight w:val="none"/>
        </w:rPr>
        <w:t xml:space="preserve">内</w:t>
      </w:r>
      <w:r>
        <w:rPr>
          <w:rFonts w:hint="eastAsia"/>
          <w:color w:val="auto"/>
          <w:sz w:val="24"/>
          <w:szCs w:val="24"/>
          <w:highlight w:val="none"/>
          <w:lang w:val="zh-CN"/>
        </w:rPr>
        <w:t xml:space="preserve">打</w:t>
      </w:r>
      <w:r>
        <w:rPr>
          <w:rFonts w:hint="eastAsia" w:cs="Verdana"/>
          <w:color w:val="auto"/>
          <w:sz w:val="24"/>
          <w:szCs w:val="24"/>
          <w:highlight w:val="none"/>
          <w:lang w:val="zh-CN"/>
        </w:rPr>
        <w:t xml:space="preserve">“√”</w:t>
      </w:r>
      <w:r>
        <w:rPr>
          <w:rFonts w:hint="eastAsia"/>
          <w:color w:val="auto"/>
          <w:sz w:val="24"/>
          <w:szCs w:val="24"/>
          <w:highlight w:val="none"/>
        </w:rPr>
        <w:t xml:space="preserve">）               </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9.我方与本次投标有关信息</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3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3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3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3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3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85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33"/>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360" w:lineRule="auto"/>
        <w:rPr>
          <w:rFonts w:hint="eastAsia" w:ascii="黑体" w:eastAsia="黑体"/>
          <w:color w:val="auto"/>
          <w:sz w:val="32"/>
          <w:szCs w:val="32"/>
          <w:highlight w:val="none"/>
        </w:rPr>
      </w:pPr>
      <w:r>
        <w:rPr>
          <w:rFonts w:hint="eastAsia" w:ascii="黑体" w:eastAsia="黑体"/>
          <w:color w:val="auto"/>
          <w:sz w:val="32"/>
          <w:szCs w:val="32"/>
          <w:highlight w:val="none"/>
        </w:rPr>
      </w:r>
      <w:r/>
    </w:p>
    <w:p>
      <w:pPr>
        <w:jc w:val="center"/>
        <w:spacing w:line="360" w:lineRule="auto"/>
        <w:rPr>
          <w:rFonts w:hint="eastAsia" w:ascii="黑体" w:eastAsia="黑体"/>
          <w:color w:val="auto"/>
          <w:sz w:val="32"/>
          <w:szCs w:val="32"/>
          <w:highlight w:val="none"/>
        </w:rPr>
      </w:pPr>
      <w:r>
        <w:rPr>
          <w:rFonts w:hint="eastAsia" w:asci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855"/>
        <w:ind w:firstLine="640"/>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855"/>
        <w:ind w:firstLine="640"/>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854"/>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color w:val="auto"/>
                <w:sz w:val="24"/>
                <w:szCs w:val="24"/>
                <w:highlight w:val="none"/>
                <w:lang w:val="zh-CN"/>
              </w:rPr>
            </w:pPr>
            <w:r>
              <w:rPr>
                <w:rFonts w:ascii="宋体" w:hAnsi="宋体" w:cs="宋体"/>
                <w:color w:val="auto"/>
                <w:szCs w:val="21"/>
                <w:highlight w:val="none"/>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olor w:val="auto"/>
          <w:sz w:val="24"/>
          <w:szCs w:val="24"/>
          <w:highlight w:val="none"/>
        </w:rPr>
        <w:t xml:space="preserve">加盖电子公章</w:t>
      </w:r>
      <w:r>
        <w:rPr>
          <w:rFonts w:hint="eastAsia" w:ascii="宋体" w:hAnsi="宋体"/>
          <w:color w:val="auto"/>
          <w:sz w:val="24"/>
          <w:szCs w:val="24"/>
          <w:highlight w:val="none"/>
          <w:lang w:val="zh-CN"/>
        </w:rPr>
        <w:t xml:space="preserve">）</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投标分项报价表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854"/>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1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84"/>
        <w:ind w:firstLine="480"/>
        <w:jc w:val="both"/>
        <w:spacing w:before="0" w:beforeAutospacing="0" w:after="0" w:afterAutospacing="0" w:line="360" w:lineRule="auto"/>
        <w:rPr>
          <w:color w:val="auto"/>
          <w:highlight w:val="none"/>
        </w:rPr>
      </w:pPr>
      <w:r>
        <w:rPr>
          <w:color w:val="auto"/>
          <w:highlight w:val="none"/>
        </w:rPr>
        <w:t xml:space="preserve">备注： </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884"/>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八、技术要求响应及偏离表</w:t>
      </w:r>
      <w:r/>
    </w:p>
    <w:p>
      <w:pPr>
        <w:jc w:val="center"/>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884"/>
        <w:ind w:firstLine="480"/>
        <w:jc w:val="both"/>
        <w:spacing w:before="0" w:beforeAutospacing="0" w:after="0" w:afterAutospacing="0"/>
        <w:rPr>
          <w:color w:val="auto"/>
          <w:highlight w:val="none"/>
        </w:rPr>
      </w:pPr>
      <w:r>
        <w:rPr>
          <w:color w:val="auto"/>
          <w:highlight w:val="none"/>
        </w:rPr>
      </w:r>
      <w:r/>
    </w:p>
    <w:p>
      <w:pPr>
        <w:pStyle w:val="884"/>
        <w:ind w:firstLine="480"/>
        <w:jc w:val="both"/>
        <w:spacing w:before="0" w:beforeAutospacing="0" w:after="0" w:afterAutospacing="0" w:line="360" w:lineRule="auto"/>
        <w:rPr>
          <w:color w:val="auto"/>
          <w:highlight w:val="none"/>
        </w:rPr>
      </w:pPr>
      <w:r>
        <w:rPr>
          <w:color w:val="auto"/>
          <w:highlight w:val="none"/>
        </w:rPr>
        <w:t xml:space="preserve">备注： </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884"/>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88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922"/>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行业（招标文件中明确的所属行业）；制造商为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22"/>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36" w:lineRule="auto"/>
        <w:rPr>
          <w:rFonts w:hint="eastAsia"/>
          <w:color w:val="auto"/>
          <w:highlight w:val="none"/>
        </w:rPr>
      </w:pPr>
      <w:r>
        <w:rPr>
          <w:rFonts w:hint="eastAsia"/>
          <w:color w:val="auto"/>
          <w:highlight w:val="none"/>
        </w:rPr>
      </w:r>
      <w:r/>
    </w:p>
    <w:p>
      <w:pPr>
        <w:ind w:right="180" w:firstLine="360"/>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36"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color w:val="auto"/>
          <w:sz w:val="24"/>
          <w:szCs w:val="24"/>
          <w:highlight w:val="none"/>
        </w:rPr>
        <w:t xml:space="preserve">（货物由中小企业制造，即货物由中小企业生产且使用该中小企业商号或者注册商标）</w:t>
      </w:r>
      <w:r>
        <w:rPr>
          <w:rFonts w:hint="eastAsia" w:ascii="宋体" w:hAnsi="宋体"/>
          <w:color w:val="auto"/>
          <w:sz w:val="24"/>
          <w:szCs w:val="24"/>
          <w:highlight w:val="none"/>
        </w:rPr>
        <w:t xml:space="preserve">，不对其中涉及的服务的承接商、工程的承建商作出要求。</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2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960"/>
        <w:rPr>
          <w:color w:val="auto"/>
          <w:highlight w:val="none"/>
        </w:rPr>
      </w:pPr>
      <w:r>
        <w:rPr>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十二、联合体协议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黑体" w:hAnsi="黑体" w:eastAsia="黑体"/>
          <w:color w:val="auto"/>
          <w:sz w:val="32"/>
          <w:szCs w:val="32"/>
          <w:highlight w:val="none"/>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left="0" w:right="0" w:firstLine="42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rFonts w:ascii="SimSun" w:hAnsi="SimSun" w:eastAsia="SimSun" w:cs="SimSun"/>
          <w:color w:val="000000" w:themeColor="text1"/>
          <w:sz w:val="24"/>
          <w:highlight w:val="white"/>
          <w:u w:val="single"/>
        </w:rPr>
        <w:t xml:space="preserve">（产品名称1）</w:t>
      </w:r>
      <w:r>
        <w:rPr>
          <w:rFonts w:ascii="SimSun" w:hAnsi="SimSun" w:eastAsia="SimSun" w:cs="SimSun"/>
          <w:color w:val="000000" w:themeColor="text1"/>
          <w:sz w:val="24"/>
          <w:highlight w:val="white"/>
          <w:vertAlign w:val="superscript"/>
        </w:rPr>
        <w:t xml:space="preserve">1</w:t>
      </w:r>
      <w:r>
        <w:rPr>
          <w:rFonts w:ascii="SimSun" w:hAnsi="SimSun" w:eastAsia="SimSun" w:cs="SimSun"/>
          <w:color w:val="000000" w:themeColor="text1"/>
          <w:sz w:val="24"/>
          <w:highlight w:val="white"/>
        </w:rPr>
        <w:t xml:space="preserve">，生产厂为</w:t>
      </w:r>
      <w:r>
        <w:rPr>
          <w:rFonts w:ascii="SimSun" w:hAnsi="SimSun" w:eastAsia="SimSun" w:cs="SimSun"/>
          <w:color w:val="000000" w:themeColor="text1"/>
          <w:sz w:val="24"/>
          <w:highlight w:val="white"/>
          <w:u w:val="single"/>
        </w:rPr>
        <w:t xml:space="preserve">（厂名）</w:t>
      </w:r>
      <w:r>
        <w:rPr>
          <w:rFonts w:ascii="SimSun" w:hAnsi="SimSun" w:eastAsia="SimSun" w:cs="SimSun"/>
          <w:color w:val="000000" w:themeColor="text1"/>
          <w:sz w:val="24"/>
          <w:highlight w:val="white"/>
          <w:vertAlign w:val="superscript"/>
        </w:rPr>
        <w:t xml:space="preserve">2</w:t>
      </w:r>
      <w:r>
        <w:rPr>
          <w:rFonts w:ascii="SimSun" w:hAnsi="SimSun" w:eastAsia="SimSun" w:cs="SimSun"/>
          <w:color w:val="000000" w:themeColor="text1"/>
          <w:sz w:val="24"/>
          <w:highlight w:val="white"/>
        </w:rPr>
        <w:t xml:space="preserve">，厂址为</w:t>
      </w:r>
      <w:r>
        <w:rPr>
          <w:rFonts w:ascii="SimSun" w:hAnsi="SimSun" w:eastAsia="SimSun" w:cs="SimSun"/>
          <w:color w:val="000000" w:themeColor="text1"/>
          <w:sz w:val="24"/>
          <w:highlight w:val="white"/>
          <w:u w:val="single"/>
        </w:rPr>
        <w:t xml:space="preserve">（生产厂址）</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的中国境内生产的组件成本占比≥</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vertAlign w:val="superscript"/>
        </w:rPr>
        <w:t xml:space="preserve">3</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在中国境内生产。</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vertAlign w:val="superscript"/>
        </w:rPr>
        <w:t xml:space="preserve">5</w:t>
      </w:r>
      <w:r>
        <w:rPr>
          <w:rFonts w:ascii="SimSun" w:hAnsi="SimSun" w:eastAsia="SimSun" w:cs="SimSun"/>
          <w:color w:val="000000" w:themeColor="text1"/>
          <w:sz w:val="24"/>
          <w:highlight w:val="white"/>
        </w:rPr>
        <w:t xml:space="preserve">在中国境内完成。</w:t>
      </w:r>
      <w:r>
        <w:rPr>
          <w:color w:val="000000" w:themeColor="text1"/>
        </w:rPr>
      </w:r>
      <w:r/>
    </w:p>
    <w:p>
      <w:pPr>
        <w:ind w:left="0" w:right="0" w:firstLine="42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rFonts w:ascii="SimSun" w:hAnsi="SimSun" w:eastAsia="SimSun" w:cs="SimSun"/>
          <w:color w:val="000000" w:themeColor="text1"/>
          <w:sz w:val="24"/>
          <w:highlight w:val="white"/>
          <w:u w:val="single"/>
        </w:rPr>
        <w:t xml:space="preserve">（产品名称2）</w:t>
      </w:r>
      <w:r>
        <w:rPr>
          <w:rFonts w:ascii="SimSun" w:hAnsi="SimSun" w:eastAsia="SimSun" w:cs="SimSun"/>
          <w:color w:val="000000" w:themeColor="text1"/>
          <w:sz w:val="24"/>
          <w:highlight w:val="white"/>
        </w:rPr>
        <w:t xml:space="preserve">，生产厂为</w:t>
      </w:r>
      <w:r>
        <w:rPr>
          <w:rFonts w:ascii="SimSun" w:hAnsi="SimSun" w:eastAsia="SimSun" w:cs="SimSun"/>
          <w:color w:val="000000" w:themeColor="text1"/>
          <w:sz w:val="24"/>
          <w:highlight w:val="white"/>
          <w:u w:val="single"/>
        </w:rPr>
        <w:t xml:space="preserve">（厂名）</w:t>
      </w:r>
      <w:r>
        <w:rPr>
          <w:rFonts w:ascii="SimSun" w:hAnsi="SimSun" w:eastAsia="SimSun" w:cs="SimSun"/>
          <w:color w:val="000000" w:themeColor="text1"/>
          <w:sz w:val="24"/>
          <w:highlight w:val="white"/>
        </w:rPr>
        <w:t xml:space="preserve">，厂址为</w:t>
      </w:r>
      <w:r>
        <w:rPr>
          <w:rFonts w:ascii="SimSun" w:hAnsi="SimSun" w:eastAsia="SimSun" w:cs="SimSun"/>
          <w:color w:val="000000" w:themeColor="text1"/>
          <w:sz w:val="24"/>
          <w:highlight w:val="white"/>
          <w:u w:val="single"/>
        </w:rPr>
        <w:t xml:space="preserve">（生产厂址）</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的中国境内生产的组件成本占比≥</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在中国境内生产。</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在中国境内完成。</w:t>
      </w:r>
      <w:r>
        <w:rPr>
          <w:color w:val="000000" w:themeColor="text1"/>
        </w:rPr>
      </w:r>
      <w:r/>
    </w:p>
    <w:p>
      <w:pPr>
        <w:ind w:left="0" w:right="0" w:firstLine="42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rPr>
      </w:r>
      <w:r/>
    </w:p>
    <w:p>
      <w:pPr>
        <w:ind w:left="0" w:right="0" w:firstLine="42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本公司（单位）对上述声明内容的真实性负责。如有虚假，愿承担相应法律责任。</w:t>
      </w:r>
      <w:r>
        <w:rPr>
          <w:color w:val="000000" w:themeColor="text1"/>
        </w:rPr>
      </w:r>
      <w:r/>
    </w:p>
    <w:p>
      <w:pPr>
        <w:pStyle w:val="884"/>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rPr>
      </w:r>
      <w:r/>
    </w:p>
    <w:p>
      <w:pPr>
        <w:pStyle w:val="884"/>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884"/>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884"/>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ind w:left="0" w:right="0" w:firstLine="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1.产品如有型号，请在“产品名称”栏一并填写。</w:t>
      </w:r>
      <w:r>
        <w:rPr>
          <w:color w:val="000000" w:themeColor="text1"/>
        </w:rPr>
      </w:r>
      <w:r/>
    </w:p>
    <w:p>
      <w:pPr>
        <w:ind w:left="0" w:right="0" w:firstLine="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2.生产厂名与厂址应与生产厂营业执照载明的相关信息保持一致。</w:t>
      </w:r>
      <w:r>
        <w:rPr>
          <w:color w:val="000000" w:themeColor="text1"/>
        </w:rPr>
      </w:r>
      <w:r/>
    </w:p>
    <w:p>
      <w:pPr>
        <w:ind w:left="0" w:right="0" w:firstLine="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3.该产品的中国境内生产的组件成本占比相关要求实施前，“规定比例”栏可不填，下同。</w:t>
      </w:r>
      <w:r>
        <w:rPr>
          <w:color w:val="000000" w:themeColor="text1"/>
        </w:rPr>
      </w:r>
      <w:r/>
    </w:p>
    <w:p>
      <w:pPr>
        <w:ind w:left="0" w:right="0" w:firstLine="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4.该产品的关键组件要求实施前，“关键组件”栏可不填，下同。</w:t>
      </w:r>
      <w:r>
        <w:rPr>
          <w:color w:val="000000" w:themeColor="text1"/>
        </w:rPr>
      </w:r>
      <w:r/>
    </w:p>
    <w:p>
      <w:pPr>
        <w:ind w:left="0" w:right="0" w:firstLine="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5.该产品的关键工序要求实施前，“关键工序”栏可不填，下同。</w:t>
      </w:r>
      <w:r>
        <w:rPr>
          <w:color w:val="000000" w:themeColor="text1"/>
        </w:rPr>
      </w:r>
      <w:r/>
    </w:p>
    <w:p>
      <w:pPr>
        <w:ind w:left="0" w:right="0" w:firstLine="0"/>
        <w:spacing w:before="30" w:after="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6.《声明函》中标注“</w:t>
      </w:r>
      <w:r>
        <w:rPr>
          <w:rFonts w:ascii="SimSun" w:hAnsi="SimSun" w:eastAsia="SimSun" w:cs="SimSun"/>
          <w:color w:val="000000" w:themeColor="text1"/>
          <w:sz w:val="24"/>
          <w:highlight w:val="white"/>
          <w:u w:val="single"/>
        </w:rPr>
        <w:t xml:space="preserve">  /  </w:t>
      </w:r>
      <w:r>
        <w:rPr>
          <w:rFonts w:ascii="SimSun" w:hAnsi="SimSun" w:eastAsia="SimSun" w:cs="SimSun"/>
          <w:color w:val="000000" w:themeColor="text1"/>
          <w:sz w:val="24"/>
          <w:highlight w:val="white"/>
        </w:rPr>
        <w:t xml:space="preserve">”的地方无需填写。</w:t>
      </w:r>
      <w:r>
        <w:rPr>
          <w:color w:val="000000" w:themeColor="text1"/>
        </w:rPr>
      </w:r>
      <w:r/>
    </w:p>
    <w:p>
      <w:pPr>
        <w:jc w:val="center"/>
        <w:rPr>
          <w:rFonts w:hint="eastAsia" w:ascii="方正小标宋简体" w:hAnsi="方正小标宋简体" w:eastAsia="方正小标宋简体" w:cs="方正小标宋简体"/>
          <w:color w:val="auto"/>
          <w:sz w:val="32"/>
          <w:szCs w:val="32"/>
          <w:highlight w:val="none"/>
        </w:rPr>
      </w:pPr>
      <w:r>
        <w:rPr>
          <w:color w:val="auto"/>
          <w:highlight w:val="none"/>
        </w:rPr>
        <w:br w:type="page" w:clear="all"/>
      </w:r>
      <w:bookmarkEnd w:id="204"/>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４２</w:t>
    </w:r>
    <w:r>
      <w:rPr>
        <w:rFonts w:ascii="宋体" w:hAnsi="宋体"/>
      </w:rPr>
      <w:fldChar w:fldCharType="end"/>
    </w:r>
    <w:r/>
  </w:p>
  <w:p>
    <w:pPr>
      <w:pStyle w:val="87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4"/>
    <w:uiPriority w:val="99"/>
  </w:style>
  <w:style w:type="character" w:styleId="708">
    <w:name w:val="Footer Char"/>
    <w:basedOn w:val="853"/>
    <w:link w:val="873"/>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3"/>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sz w:val="21"/>
      <w:szCs w:val="22"/>
      <w:lang w:val="en-US" w:eastAsia="zh-CN" w:bidi="ar-SA"/>
    </w:rPr>
  </w:style>
  <w:style w:type="paragraph" w:styleId="844">
    <w:name w:val="Heading 1"/>
    <w:basedOn w:val="843"/>
    <w:next w:val="843"/>
    <w:link w:val="897"/>
    <w:uiPriority w:val="0"/>
    <w:qFormat/>
    <w:pPr>
      <w:jc w:val="center"/>
      <w:keepNext/>
      <w:outlineLvl w:val="0"/>
    </w:pPr>
    <w:rPr>
      <w:rFonts w:ascii="楷体_GB2312" w:hAnsi="Times New Roman" w:eastAsia="楷体_GB2312" w:cs="Times New Roman"/>
      <w:sz w:val="28"/>
      <w:szCs w:val="28"/>
    </w:rPr>
  </w:style>
  <w:style w:type="paragraph" w:styleId="845">
    <w:name w:val="Heading 2"/>
    <w:basedOn w:val="843"/>
    <w:next w:val="843"/>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89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7">
    <w:name w:val="Heading 4"/>
    <w:basedOn w:val="843"/>
    <w:next w:val="858"/>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2"/>
    <w:uiPriority w:val="0"/>
    <w:qFormat/>
    <w:pPr>
      <w:keepNext/>
      <w:outlineLvl w:val="4"/>
    </w:pPr>
    <w:rPr>
      <w:rFonts w:ascii="宋体" w:hAnsi="Times New Roman" w:eastAsia="宋体" w:cs="Times New Roman"/>
      <w:color w:val="000000"/>
      <w:sz w:val="28"/>
      <w:szCs w:val="28"/>
    </w:rPr>
  </w:style>
  <w:style w:type="paragraph" w:styleId="849">
    <w:name w:val="Heading 6"/>
    <w:basedOn w:val="843"/>
    <w:next w:val="843"/>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0">
    <w:name w:val="Heading 7"/>
    <w:basedOn w:val="843"/>
    <w:next w:val="843"/>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1">
    <w:name w:val="Heading 8"/>
    <w:basedOn w:val="843"/>
    <w:next w:val="843"/>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2">
    <w:name w:val="Heading 9"/>
    <w:basedOn w:val="843"/>
    <w:next w:val="843"/>
    <w:link w:val="90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3" w:default="1">
    <w:name w:val="Default Paragraph Font"/>
    <w:uiPriority w:val="1"/>
    <w:unhideWhenUsed/>
  </w:style>
  <w:style w:type="table" w:styleId="854" w:default="1">
    <w:name w:val="Normal Table"/>
    <w:uiPriority w:val="99"/>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5">
    <w:name w:val="Body Text First Indent 2"/>
    <w:basedOn w:val="856"/>
    <w:next w:val="843"/>
    <w:link w:val="896"/>
    <w:uiPriority w:val="0"/>
    <w:pPr>
      <w:ind w:left="0" w:firstLine="420"/>
      <w:spacing w:after="0" w:line="360" w:lineRule="auto"/>
    </w:pPr>
    <w:rPr>
      <w:rFonts w:ascii="宋体" w:hAnsi="宋体" w:eastAsia="宋体" w:cs="Times New Roman"/>
      <w:szCs w:val="20"/>
    </w:rPr>
  </w:style>
  <w:style w:type="paragraph" w:styleId="856">
    <w:name w:val="Body Text Indent"/>
    <w:basedOn w:val="843"/>
    <w:next w:val="857"/>
    <w:link w:val="895"/>
    <w:uiPriority w:val="0"/>
    <w:unhideWhenUsed/>
    <w:pPr>
      <w:ind w:left="420"/>
      <w:spacing w:after="120"/>
    </w:pPr>
  </w:style>
  <w:style w:type="paragraph" w:styleId="857">
    <w:name w:val="envelope return"/>
    <w:basedOn w:val="843"/>
    <w:uiPriority w:val="0"/>
    <w:qFormat/>
    <w:rPr>
      <w:rFonts w:ascii="Arial" w:hAnsi="Arial" w:eastAsia="宋体" w:cs="宋体"/>
    </w:rPr>
  </w:style>
  <w:style w:type="paragraph" w:styleId="858">
    <w:name w:val="Normal Indent"/>
    <w:basedOn w:val="843"/>
    <w:link w:val="900"/>
    <w:uiPriority w:val="0"/>
    <w:pPr>
      <w:ind w:firstLine="420"/>
    </w:pPr>
    <w:rPr>
      <w:szCs w:val="21"/>
    </w:rPr>
  </w:style>
  <w:style w:type="paragraph" w:styleId="859">
    <w:name w:val="List 3"/>
    <w:basedOn w:val="843"/>
    <w:uiPriority w:val="0"/>
    <w:pPr>
      <w:ind w:left="100" w:hanging="200"/>
    </w:pPr>
    <w:rPr>
      <w:rFonts w:ascii="Times New Roman" w:hAnsi="Times New Roman" w:eastAsia="宋体" w:cs="Times New Roman"/>
      <w:szCs w:val="21"/>
    </w:rPr>
  </w:style>
  <w:style w:type="paragraph" w:styleId="860">
    <w:name w:val="toc 7"/>
    <w:basedOn w:val="843"/>
    <w:next w:val="843"/>
    <w:uiPriority w:val="0"/>
    <w:semiHidden/>
    <w:pPr>
      <w:ind w:left="1260"/>
      <w:jc w:val="left"/>
    </w:pPr>
    <w:rPr>
      <w:rFonts w:ascii="Times New Roman" w:hAnsi="Times New Roman" w:eastAsia="宋体" w:cs="Times New Roman"/>
      <w:szCs w:val="21"/>
    </w:rPr>
  </w:style>
  <w:style w:type="paragraph" w:styleId="861">
    <w:name w:val="Document Map"/>
    <w:basedOn w:val="843"/>
    <w:link w:val="907"/>
    <w:uiPriority w:val="0"/>
    <w:semiHidden/>
    <w:pPr>
      <w:shd w:val="clear" w:color="auto" w:fill="000080"/>
    </w:pPr>
    <w:rPr>
      <w:rFonts w:ascii="Times New Roman" w:hAnsi="Times New Roman" w:eastAsia="宋体" w:cs="Times New Roman"/>
      <w:szCs w:val="21"/>
    </w:rPr>
  </w:style>
  <w:style w:type="paragraph" w:styleId="862">
    <w:name w:val="annotation text"/>
    <w:basedOn w:val="843"/>
    <w:link w:val="921"/>
    <w:uiPriority w:val="0"/>
    <w:unhideWhenUsed/>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863">
    <w:name w:val="Body Text 3"/>
    <w:basedOn w:val="843"/>
    <w:link w:val="909"/>
    <w:uiPriority w:val="0"/>
    <w:rPr>
      <w:rFonts w:ascii="仿宋_GB2312" w:hAnsi="Arial" w:eastAsia="仿宋_GB2312" w:cs="Times New Roman"/>
      <w:sz w:val="32"/>
      <w:szCs w:val="32"/>
    </w:rPr>
  </w:style>
  <w:style w:type="paragraph" w:styleId="864">
    <w:name w:val="Body Text"/>
    <w:basedOn w:val="843"/>
    <w:link w:val="910"/>
    <w:uiPriority w:val="0"/>
    <w:rPr>
      <w:rFonts w:ascii="楷体_GB2312" w:hAnsi="Arial" w:eastAsia="楷体_GB2312" w:cs="Times New Roman"/>
      <w:sz w:val="28"/>
      <w:szCs w:val="28"/>
    </w:rPr>
  </w:style>
  <w:style w:type="paragraph" w:styleId="865">
    <w:name w:val="List 2"/>
    <w:basedOn w:val="843"/>
    <w:uiPriority w:val="0"/>
    <w:pPr>
      <w:ind w:left="100" w:hanging="200"/>
    </w:pPr>
    <w:rPr>
      <w:rFonts w:ascii="Times New Roman" w:hAnsi="Times New Roman" w:eastAsia="宋体" w:cs="Times New Roman"/>
      <w:szCs w:val="21"/>
    </w:rPr>
  </w:style>
  <w:style w:type="paragraph" w:styleId="866">
    <w:name w:val="toc 5"/>
    <w:basedOn w:val="843"/>
    <w:next w:val="843"/>
    <w:uiPriority w:val="0"/>
    <w:semiHidden/>
    <w:pPr>
      <w:ind w:left="840"/>
      <w:jc w:val="left"/>
    </w:pPr>
    <w:rPr>
      <w:rFonts w:ascii="Times New Roman" w:hAnsi="Times New Roman" w:eastAsia="宋体" w:cs="Times New Roman"/>
      <w:szCs w:val="21"/>
    </w:rPr>
  </w:style>
  <w:style w:type="paragraph" w:styleId="867">
    <w:name w:val="toc 3"/>
    <w:basedOn w:val="843"/>
    <w:next w:val="843"/>
    <w:uiPriority w:val="0"/>
    <w:semiHidden/>
    <w:pPr>
      <w:ind w:left="420"/>
      <w:jc w:val="left"/>
    </w:pPr>
    <w:rPr>
      <w:rFonts w:ascii="Times New Roman" w:hAnsi="Times New Roman" w:eastAsia="宋体" w:cs="Times New Roman"/>
      <w:i/>
      <w:iCs/>
      <w:szCs w:val="24"/>
    </w:rPr>
  </w:style>
  <w:style w:type="paragraph" w:styleId="868">
    <w:name w:val="Plain Text"/>
    <w:basedOn w:val="843"/>
    <w:link w:val="911"/>
    <w:uiPriority w:val="0"/>
    <w:rPr>
      <w:rFonts w:ascii="宋体" w:hAnsi="Courier New" w:eastAsia="宋体" w:cs="Courier New"/>
      <w:szCs w:val="21"/>
    </w:rPr>
  </w:style>
  <w:style w:type="paragraph" w:styleId="869">
    <w:name w:val="toc 8"/>
    <w:basedOn w:val="843"/>
    <w:next w:val="843"/>
    <w:uiPriority w:val="0"/>
    <w:semiHidden/>
    <w:pPr>
      <w:ind w:left="1470"/>
      <w:jc w:val="left"/>
    </w:pPr>
    <w:rPr>
      <w:rFonts w:ascii="Times New Roman" w:hAnsi="Times New Roman" w:eastAsia="宋体" w:cs="Times New Roman"/>
      <w:szCs w:val="21"/>
    </w:rPr>
  </w:style>
  <w:style w:type="paragraph" w:styleId="870">
    <w:name w:val="Date"/>
    <w:basedOn w:val="843"/>
    <w:next w:val="843"/>
    <w:link w:val="912"/>
    <w:uiPriority w:val="0"/>
    <w:rPr>
      <w:rFonts w:ascii="Times New Roman" w:hAnsi="Times New Roman" w:eastAsia="宋体" w:cs="Times New Roman"/>
      <w:sz w:val="24"/>
      <w:szCs w:val="24"/>
    </w:rPr>
  </w:style>
  <w:style w:type="paragraph" w:styleId="871">
    <w:name w:val="Body Text Indent 2"/>
    <w:basedOn w:val="843"/>
    <w:link w:val="913"/>
    <w:uiPriority w:val="0"/>
    <w:pPr>
      <w:ind w:left="630" w:firstLine="645"/>
    </w:pPr>
    <w:rPr>
      <w:rFonts w:ascii="Arial" w:hAnsi="Arial" w:eastAsia="仿宋_GB2312" w:cs="Arial"/>
      <w:sz w:val="32"/>
      <w:szCs w:val="32"/>
    </w:rPr>
  </w:style>
  <w:style w:type="paragraph" w:styleId="872">
    <w:name w:val="Balloon Text"/>
    <w:basedOn w:val="843"/>
    <w:link w:val="914"/>
    <w:uiPriority w:val="0"/>
    <w:semiHidden/>
    <w:rPr>
      <w:rFonts w:ascii="Times New Roman" w:hAnsi="Times New Roman" w:eastAsia="宋体" w:cs="Times New Roman"/>
      <w:sz w:val="18"/>
      <w:szCs w:val="18"/>
    </w:rPr>
  </w:style>
  <w:style w:type="paragraph" w:styleId="873">
    <w:name w:val="Footer"/>
    <w:basedOn w:val="843"/>
    <w:link w:val="915"/>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874">
    <w:name w:val="Header"/>
    <w:basedOn w:val="843"/>
    <w:link w:val="916"/>
    <w:uiPriority w:val="0"/>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5">
    <w:name w:val="toc 1"/>
    <w:basedOn w:val="843"/>
    <w:next w:val="843"/>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76">
    <w:name w:val="toc 4"/>
    <w:basedOn w:val="843"/>
    <w:next w:val="843"/>
    <w:uiPriority w:val="0"/>
    <w:semiHidden/>
    <w:pPr>
      <w:ind w:left="630"/>
      <w:jc w:val="left"/>
    </w:pPr>
    <w:rPr>
      <w:rFonts w:ascii="Times New Roman" w:hAnsi="Times New Roman" w:eastAsia="宋体" w:cs="Times New Roman"/>
      <w:szCs w:val="21"/>
    </w:rPr>
  </w:style>
  <w:style w:type="paragraph" w:styleId="877">
    <w:name w:val="List"/>
    <w:basedOn w:val="843"/>
    <w:uiPriority w:val="0"/>
    <w:pPr>
      <w:ind w:left="200" w:hanging="200"/>
    </w:pPr>
    <w:rPr>
      <w:rFonts w:ascii="Times New Roman" w:hAnsi="Times New Roman" w:eastAsia="宋体" w:cs="Times New Roman"/>
      <w:szCs w:val="21"/>
    </w:rPr>
  </w:style>
  <w:style w:type="paragraph" w:styleId="878">
    <w:name w:val="toc 6"/>
    <w:basedOn w:val="843"/>
    <w:next w:val="843"/>
    <w:uiPriority w:val="0"/>
    <w:semiHidden/>
    <w:pPr>
      <w:ind w:left="1050"/>
      <w:jc w:val="left"/>
    </w:pPr>
    <w:rPr>
      <w:rFonts w:ascii="Times New Roman" w:hAnsi="Times New Roman" w:eastAsia="宋体" w:cs="Times New Roman"/>
      <w:szCs w:val="21"/>
    </w:rPr>
  </w:style>
  <w:style w:type="paragraph" w:styleId="879">
    <w:name w:val="Body Text Indent 3"/>
    <w:basedOn w:val="843"/>
    <w:link w:val="917"/>
    <w:uiPriority w:val="0"/>
    <w:pPr>
      <w:ind w:left="645" w:firstLine="645"/>
    </w:pPr>
    <w:rPr>
      <w:rFonts w:ascii="Arial" w:hAnsi="Arial" w:eastAsia="仿宋_GB2312" w:cs="Arial"/>
      <w:color w:val="ffff00"/>
      <w:sz w:val="32"/>
      <w:szCs w:val="32"/>
    </w:rPr>
  </w:style>
  <w:style w:type="paragraph" w:styleId="880">
    <w:name w:val="table of figures"/>
    <w:basedOn w:val="843"/>
    <w:next w:val="843"/>
    <w:uiPriority w:val="0"/>
    <w:semiHidden/>
    <w:pPr>
      <w:ind w:left="840" w:hanging="420"/>
    </w:pPr>
    <w:rPr>
      <w:rFonts w:ascii="Times New Roman" w:hAnsi="Times New Roman" w:eastAsia="宋体" w:cs="Times New Roman"/>
      <w:szCs w:val="21"/>
    </w:rPr>
  </w:style>
  <w:style w:type="paragraph" w:styleId="881">
    <w:name w:val="toc 2"/>
    <w:basedOn w:val="843"/>
    <w:next w:val="843"/>
    <w:uiPriority w:val="0"/>
    <w:semiHidden/>
    <w:pPr>
      <w:ind w:left="210"/>
      <w:jc w:val="left"/>
    </w:pPr>
    <w:rPr>
      <w:rFonts w:ascii="Times New Roman" w:hAnsi="Times New Roman" w:eastAsia="宋体" w:cs="Times New Roman"/>
      <w:smallCaps/>
      <w:szCs w:val="24"/>
    </w:rPr>
  </w:style>
  <w:style w:type="paragraph" w:styleId="882">
    <w:name w:val="toc 9"/>
    <w:basedOn w:val="843"/>
    <w:next w:val="843"/>
    <w:uiPriority w:val="0"/>
    <w:semiHidden/>
    <w:pPr>
      <w:ind w:left="1680"/>
      <w:jc w:val="left"/>
    </w:pPr>
    <w:rPr>
      <w:rFonts w:ascii="Times New Roman" w:hAnsi="Times New Roman" w:eastAsia="宋体" w:cs="Times New Roman"/>
      <w:szCs w:val="21"/>
    </w:rPr>
  </w:style>
  <w:style w:type="paragraph" w:styleId="883">
    <w:name w:val="Body Text 2"/>
    <w:basedOn w:val="843"/>
    <w:link w:val="918"/>
    <w:uiPriority w:val="0"/>
    <w:pPr>
      <w:jc w:val="center"/>
      <w:widowControl/>
    </w:pPr>
    <w:rPr>
      <w:rFonts w:ascii="楷体_GB2312" w:hAnsi="Times New Roman" w:eastAsia="楷体_GB2312" w:cs="Times New Roman"/>
      <w:sz w:val="28"/>
      <w:szCs w:val="28"/>
    </w:rPr>
  </w:style>
  <w:style w:type="paragraph" w:styleId="884">
    <w:name w:val="Normal (Web)"/>
    <w:basedOn w:val="843"/>
    <w:uiPriority w:val="99"/>
    <w:pPr>
      <w:jc w:val="left"/>
      <w:spacing w:before="100" w:beforeAutospacing="1" w:after="100" w:afterAutospacing="1"/>
      <w:widowControl/>
    </w:pPr>
    <w:rPr>
      <w:rFonts w:ascii="宋体" w:hAnsi="宋体" w:eastAsia="宋体" w:cs="宋体"/>
      <w:sz w:val="24"/>
      <w:szCs w:val="24"/>
    </w:rPr>
  </w:style>
  <w:style w:type="paragraph" w:styleId="885">
    <w:name w:val="index 1"/>
    <w:basedOn w:val="843"/>
    <w:next w:val="843"/>
    <w:uiPriority w:val="0"/>
    <w:semiHidden/>
    <w:pPr>
      <w:spacing w:line="240" w:lineRule="atLeast"/>
    </w:pPr>
    <w:rPr>
      <w:rFonts w:ascii="Times New Roman" w:hAnsi="Times New Roman" w:eastAsia="宋体" w:cs="Times New Roman"/>
      <w:b/>
      <w:bCs/>
      <w:szCs w:val="21"/>
    </w:rPr>
  </w:style>
  <w:style w:type="paragraph" w:styleId="886">
    <w:name w:val="annotation subject"/>
    <w:basedOn w:val="862"/>
    <w:next w:val="862"/>
    <w:link w:val="919"/>
    <w:uiPriority w:val="0"/>
    <w:semiHidden/>
    <w:rPr>
      <w:rFonts w:ascii="Times New Roman" w:hAnsi="Times New Roman" w:eastAsia="宋体" w:cs="Times New Roman"/>
      <w:b/>
      <w:bCs/>
      <w:szCs w:val="21"/>
    </w:rPr>
  </w:style>
  <w:style w:type="paragraph" w:styleId="887">
    <w:name w:val="Body Text First Indent"/>
    <w:basedOn w:val="843"/>
    <w:link w:val="920"/>
    <w:uiPriority w:val="0"/>
    <w:pPr>
      <w:ind w:firstLine="200"/>
      <w:spacing w:line="360" w:lineRule="auto"/>
    </w:pPr>
    <w:rPr>
      <w:rFonts w:ascii="仿宋_GB2312" w:hAnsi="Times New Roman" w:eastAsia="仿宋_GB2312" w:cs="Times New Roman"/>
      <w:sz w:val="30"/>
      <w:szCs w:val="30"/>
    </w:rPr>
  </w:style>
  <w:style w:type="table" w:styleId="888">
    <w:name w:val="Table Grid"/>
    <w:basedOn w:val="854"/>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style>
  <w:style w:type="character" w:styleId="891">
    <w:name w:val="FollowedHyperlink"/>
    <w:uiPriority w:val="0"/>
    <w:rPr>
      <w:color w:val="800080"/>
      <w:u w:val="single"/>
    </w:rPr>
  </w:style>
  <w:style w:type="character" w:styleId="892">
    <w:name w:val="Emphasis"/>
    <w:uiPriority w:val="0"/>
    <w:qFormat/>
    <w:rPr>
      <w:i/>
    </w:rPr>
  </w:style>
  <w:style w:type="character" w:styleId="893">
    <w:name w:val="Hyperlink"/>
    <w:uiPriority w:val="0"/>
    <w:rPr>
      <w:color w:val="0000ff"/>
      <w:u w:val="single"/>
    </w:rPr>
  </w:style>
  <w:style w:type="character" w:styleId="894">
    <w:name w:val="annotation reference"/>
    <w:uiPriority w:val="0"/>
    <w:semiHidden/>
    <w:rPr>
      <w:sz w:val="21"/>
      <w:szCs w:val="21"/>
    </w:rPr>
  </w:style>
  <w:style w:type="character" w:styleId="895" w:customStyle="1">
    <w:name w:val="正文文本缩进 字符"/>
    <w:link w:val="856"/>
    <w:uiPriority w:val="99"/>
    <w:semiHidden/>
  </w:style>
  <w:style w:type="character" w:styleId="896" w:customStyle="1">
    <w:name w:val="正文文本首行缩进 2 字符"/>
    <w:link w:val="855"/>
    <w:uiPriority w:val="0"/>
    <w:rPr>
      <w:rFonts w:ascii="宋体" w:hAnsi="宋体" w:eastAsia="宋体" w:cs="Times New Roman"/>
      <w:szCs w:val="20"/>
    </w:rPr>
  </w:style>
  <w:style w:type="character" w:styleId="897" w:customStyle="1">
    <w:name w:val="标题 1 字符"/>
    <w:link w:val="844"/>
    <w:uiPriority w:val="0"/>
    <w:rPr>
      <w:rFonts w:ascii="楷体_GB2312" w:hAnsi="Times New Roman" w:eastAsia="楷体_GB2312" w:cs="Times New Roman"/>
      <w:sz w:val="28"/>
      <w:szCs w:val="28"/>
    </w:rPr>
  </w:style>
  <w:style w:type="character" w:styleId="898" w:customStyle="1">
    <w:name w:val="标题 2 字符"/>
    <w:link w:val="845"/>
    <w:uiPriority w:val="0"/>
    <w:rPr>
      <w:rFonts w:ascii="Arial" w:hAnsi="Arial" w:eastAsia="幼圆" w:cs="Arial"/>
      <w:b/>
      <w:bCs/>
      <w:sz w:val="44"/>
      <w:szCs w:val="44"/>
    </w:rPr>
  </w:style>
  <w:style w:type="character" w:styleId="899" w:customStyle="1">
    <w:name w:val="标题 3 字符"/>
    <w:link w:val="846"/>
    <w:uiPriority w:val="0"/>
    <w:rPr>
      <w:rFonts w:ascii="Times New Roman" w:hAnsi="Times New Roman" w:eastAsia="宋体" w:cs="Times New Roman"/>
      <w:b/>
      <w:bCs/>
      <w:sz w:val="32"/>
      <w:szCs w:val="32"/>
    </w:rPr>
  </w:style>
  <w:style w:type="character" w:styleId="900" w:customStyle="1">
    <w:name w:val="正文缩进 字符"/>
    <w:link w:val="858"/>
    <w:uiPriority w:val="0"/>
    <w:rPr>
      <w:szCs w:val="21"/>
    </w:rPr>
  </w:style>
  <w:style w:type="character" w:styleId="901" w:customStyle="1">
    <w:name w:val="标题 4 字符"/>
    <w:link w:val="847"/>
    <w:uiPriority w:val="0"/>
    <w:rPr>
      <w:rFonts w:ascii="Arial" w:hAnsi="Arial" w:eastAsia="黑体" w:cs="Arial"/>
      <w:b/>
      <w:bCs/>
      <w:sz w:val="28"/>
      <w:szCs w:val="28"/>
    </w:rPr>
  </w:style>
  <w:style w:type="character" w:styleId="902" w:customStyle="1">
    <w:name w:val="标题 5 字符"/>
    <w:link w:val="848"/>
    <w:uiPriority w:val="0"/>
    <w:rPr>
      <w:rFonts w:ascii="宋体" w:hAnsi="Times New Roman" w:eastAsia="宋体" w:cs="Times New Roman"/>
      <w:color w:val="000000"/>
      <w:sz w:val="28"/>
      <w:szCs w:val="28"/>
    </w:rPr>
  </w:style>
  <w:style w:type="character" w:styleId="903" w:customStyle="1">
    <w:name w:val="标题 6 字符"/>
    <w:link w:val="849"/>
    <w:uiPriority w:val="0"/>
    <w:rPr>
      <w:rFonts w:ascii="Arial" w:hAnsi="Arial" w:eastAsia="黑体" w:cs="Times New Roman"/>
      <w:b/>
      <w:bCs/>
      <w:sz w:val="24"/>
      <w:szCs w:val="24"/>
    </w:rPr>
  </w:style>
  <w:style w:type="character" w:styleId="904" w:customStyle="1">
    <w:name w:val="标题 7 字符"/>
    <w:link w:val="850"/>
    <w:uiPriority w:val="0"/>
    <w:rPr>
      <w:rFonts w:ascii="Times New Roman" w:hAnsi="Times New Roman" w:eastAsia="宋体" w:cs="Times New Roman"/>
      <w:b/>
      <w:bCs/>
      <w:sz w:val="24"/>
      <w:szCs w:val="24"/>
    </w:rPr>
  </w:style>
  <w:style w:type="character" w:styleId="905" w:customStyle="1">
    <w:name w:val="标题 8 字符"/>
    <w:link w:val="851"/>
    <w:uiPriority w:val="0"/>
    <w:rPr>
      <w:rFonts w:ascii="Arial" w:hAnsi="Arial" w:eastAsia="黑体" w:cs="Times New Roman"/>
      <w:sz w:val="24"/>
      <w:szCs w:val="24"/>
    </w:rPr>
  </w:style>
  <w:style w:type="character" w:styleId="906" w:customStyle="1">
    <w:name w:val="标题 9 字符"/>
    <w:link w:val="852"/>
    <w:uiPriority w:val="0"/>
    <w:rPr>
      <w:rFonts w:ascii="Arial" w:hAnsi="Arial" w:eastAsia="黑体" w:cs="Times New Roman"/>
      <w:szCs w:val="21"/>
    </w:rPr>
  </w:style>
  <w:style w:type="character" w:styleId="907" w:customStyle="1">
    <w:name w:val="文档结构图 字符"/>
    <w:link w:val="861"/>
    <w:uiPriority w:val="0"/>
    <w:semiHidden/>
    <w:rPr>
      <w:rFonts w:ascii="Times New Roman" w:hAnsi="Times New Roman" w:eastAsia="宋体" w:cs="Times New Roman"/>
      <w:szCs w:val="21"/>
      <w:shd w:val="clear" w:color="auto" w:fill="000080"/>
    </w:rPr>
  </w:style>
  <w:style w:type="character" w:styleId="908" w:customStyle="1">
    <w:name w:val="批注文字 字符"/>
    <w:link w:val="862"/>
    <w:uiPriority w:val="0"/>
    <w:rPr>
      <w:rFonts w:hint="default" w:ascii="Calibri" w:hAnsi="Calibri" w:eastAsia="宋体" w:cs="Times New Roman"/>
      <w:sz w:val="21"/>
      <w:szCs w:val="24"/>
    </w:rPr>
  </w:style>
  <w:style w:type="character" w:styleId="909" w:customStyle="1">
    <w:name w:val="正文文本 3 字符"/>
    <w:link w:val="863"/>
    <w:uiPriority w:val="0"/>
    <w:rPr>
      <w:rFonts w:ascii="仿宋_GB2312" w:hAnsi="Arial" w:eastAsia="仿宋_GB2312" w:cs="Times New Roman"/>
      <w:sz w:val="32"/>
      <w:szCs w:val="32"/>
    </w:rPr>
  </w:style>
  <w:style w:type="character" w:styleId="910" w:customStyle="1">
    <w:name w:val="正文文本 字符"/>
    <w:link w:val="864"/>
    <w:uiPriority w:val="0"/>
    <w:rPr>
      <w:rFonts w:ascii="楷体_GB2312" w:hAnsi="Arial" w:eastAsia="楷体_GB2312" w:cs="Times New Roman"/>
      <w:sz w:val="28"/>
      <w:szCs w:val="28"/>
    </w:rPr>
  </w:style>
  <w:style w:type="character" w:styleId="911" w:customStyle="1">
    <w:name w:val="纯文本 字符"/>
    <w:link w:val="868"/>
    <w:uiPriority w:val="0"/>
    <w:rPr>
      <w:rFonts w:ascii="宋体" w:hAnsi="Courier New" w:eastAsia="宋体" w:cs="Courier New"/>
      <w:szCs w:val="21"/>
    </w:rPr>
  </w:style>
  <w:style w:type="character" w:styleId="912" w:customStyle="1">
    <w:name w:val="日期 字符"/>
    <w:link w:val="870"/>
    <w:uiPriority w:val="0"/>
    <w:rPr>
      <w:rFonts w:ascii="Times New Roman" w:hAnsi="Times New Roman" w:eastAsia="宋体" w:cs="Times New Roman"/>
      <w:sz w:val="24"/>
      <w:szCs w:val="24"/>
    </w:rPr>
  </w:style>
  <w:style w:type="character" w:styleId="913" w:customStyle="1">
    <w:name w:val="正文文本缩进 2 字符"/>
    <w:link w:val="871"/>
    <w:uiPriority w:val="0"/>
    <w:rPr>
      <w:rFonts w:ascii="Arial" w:hAnsi="Arial" w:eastAsia="仿宋_GB2312" w:cs="Arial"/>
      <w:sz w:val="32"/>
      <w:szCs w:val="32"/>
    </w:rPr>
  </w:style>
  <w:style w:type="character" w:styleId="914" w:customStyle="1">
    <w:name w:val="批注框文本 字符"/>
    <w:link w:val="872"/>
    <w:uiPriority w:val="0"/>
    <w:semiHidden/>
    <w:rPr>
      <w:rFonts w:ascii="Times New Roman" w:hAnsi="Times New Roman" w:eastAsia="宋体" w:cs="Times New Roman"/>
      <w:sz w:val="18"/>
      <w:szCs w:val="18"/>
    </w:rPr>
  </w:style>
  <w:style w:type="character" w:styleId="915" w:customStyle="1">
    <w:name w:val="页脚 字符"/>
    <w:link w:val="873"/>
    <w:uiPriority w:val="0"/>
    <w:rPr>
      <w:rFonts w:ascii="Times New Roman" w:hAnsi="Times New Roman" w:eastAsia="宋体" w:cs="Times New Roman"/>
      <w:sz w:val="18"/>
      <w:szCs w:val="18"/>
    </w:rPr>
  </w:style>
  <w:style w:type="character" w:styleId="916" w:customStyle="1">
    <w:name w:val="页眉 字符"/>
    <w:link w:val="874"/>
    <w:uiPriority w:val="0"/>
    <w:rPr>
      <w:rFonts w:ascii="Times New Roman" w:hAnsi="Times New Roman" w:eastAsia="宋体" w:cs="Times New Roman"/>
      <w:sz w:val="18"/>
      <w:szCs w:val="18"/>
    </w:rPr>
  </w:style>
  <w:style w:type="character" w:styleId="917" w:customStyle="1">
    <w:name w:val="正文文本缩进 3 字符"/>
    <w:link w:val="879"/>
    <w:uiPriority w:val="0"/>
    <w:rPr>
      <w:rFonts w:ascii="Arial" w:hAnsi="Arial" w:eastAsia="仿宋_GB2312" w:cs="Arial"/>
      <w:color w:val="ffff00"/>
      <w:sz w:val="32"/>
      <w:szCs w:val="32"/>
    </w:rPr>
  </w:style>
  <w:style w:type="character" w:styleId="918" w:customStyle="1">
    <w:name w:val="正文文本 2 字符"/>
    <w:link w:val="883"/>
    <w:uiPriority w:val="0"/>
    <w:rPr>
      <w:rFonts w:ascii="楷体_GB2312" w:hAnsi="Times New Roman" w:eastAsia="楷体_GB2312" w:cs="Times New Roman"/>
      <w:sz w:val="28"/>
      <w:szCs w:val="28"/>
    </w:rPr>
  </w:style>
  <w:style w:type="character" w:styleId="919" w:customStyle="1">
    <w:name w:val="批注主题 字符"/>
    <w:link w:val="886"/>
    <w:uiPriority w:val="0"/>
    <w:semiHidden/>
    <w:rPr>
      <w:rFonts w:ascii="Times New Roman" w:hAnsi="Times New Roman" w:eastAsia="宋体" w:cs="Times New Roman"/>
      <w:b/>
      <w:bCs/>
      <w:szCs w:val="21"/>
    </w:rPr>
  </w:style>
  <w:style w:type="character" w:styleId="920" w:customStyle="1">
    <w:name w:val="正文文本首行缩进 字符"/>
    <w:link w:val="887"/>
    <w:uiPriority w:val="0"/>
    <w:rPr>
      <w:rFonts w:ascii="仿宋_GB2312" w:hAnsi="Times New Roman" w:eastAsia="仿宋_GB2312" w:cs="Times New Roman"/>
      <w:sz w:val="30"/>
      <w:szCs w:val="30"/>
    </w:rPr>
  </w:style>
  <w:style w:type="character" w:styleId="921" w:customStyle="1">
    <w:name w:val="批注文字 Char"/>
    <w:link w:val="862"/>
    <w:uiPriority w:val="99"/>
    <w:semiHidden/>
  </w:style>
  <w:style w:type="paragraph" w:styleId="922" w:customStyle="1">
    <w:name w:val="索引 41"/>
    <w:basedOn w:val="843"/>
    <w:next w:val="843"/>
    <w:uiPriority w:val="0"/>
    <w:semiHidden/>
    <w:qFormat/>
    <w:pPr>
      <w:ind w:left="1260"/>
    </w:pPr>
    <w:rPr>
      <w:rFonts w:ascii="Calibri" w:hAnsi="Calibri" w:eastAsia="Calibri" w:cs="宋体"/>
      <w:sz w:val="20"/>
      <w:lang w:val="zh-CN"/>
    </w:rPr>
  </w:style>
  <w:style w:type="character" w:styleId="923" w:customStyle="1">
    <w:name w:val="font5 Char"/>
    <w:uiPriority w:val="0"/>
    <w:rPr>
      <w:rFonts w:ascii="宋体" w:hAnsi="宋体" w:eastAsia="宋体"/>
      <w:sz w:val="28"/>
      <w:szCs w:val="28"/>
      <w:lang w:val="en-US" w:eastAsia="zh-CN" w:bidi="ar-SA"/>
    </w:rPr>
  </w:style>
  <w:style w:type="character" w:styleId="924" w:customStyle="1">
    <w:name w:val="二级目录 Char"/>
    <w:link w:val="925"/>
    <w:uiPriority w:val="0"/>
    <w:rPr>
      <w:b/>
      <w:sz w:val="30"/>
      <w:szCs w:val="28"/>
    </w:rPr>
  </w:style>
  <w:style w:type="paragraph" w:styleId="925" w:customStyle="1">
    <w:name w:val="二级目录"/>
    <w:next w:val="843"/>
    <w:link w:val="924"/>
    <w:uiPriority w:val="0"/>
    <w:pPr>
      <w:numPr>
        <w:ilvl w:val="0"/>
        <w:numId w:val="2"/>
      </w:numPr>
      <w:tabs>
        <w:tab w:val="left" w:pos="1145" w:leader="none"/>
      </w:tabs>
      <w:outlineLvl w:val="1"/>
    </w:pPr>
    <w:rPr>
      <w:b/>
      <w:sz w:val="30"/>
      <w:szCs w:val="28"/>
      <w:lang w:val="en-US" w:eastAsia="zh-CN" w:bidi="ar-SA"/>
    </w:rPr>
  </w:style>
  <w:style w:type="character" w:styleId="926" w:customStyle="1">
    <w:name w:val="列出段落 Char"/>
    <w:link w:val="927"/>
    <w:uiPriority w:val="0"/>
    <w:rPr>
      <w:rFonts w:ascii="Calibri" w:hAnsi="Calibri"/>
      <w:sz w:val="24"/>
      <w:szCs w:val="24"/>
      <w:lang w:eastAsia="en-US" w:bidi="en-US"/>
    </w:rPr>
  </w:style>
  <w:style w:type="paragraph" w:styleId="927" w:customStyle="1">
    <w:name w:val="列出段落1"/>
    <w:basedOn w:val="843"/>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843"/>
    <w:next w:val="864"/>
    <w:uiPriority w:val="0"/>
    <w:pPr>
      <w:spacing w:after="120"/>
    </w:pPr>
    <w:rPr>
      <w:rFonts w:ascii="宋体" w:hAnsi="Arial" w:eastAsia="宋体" w:cs="Times New Roman"/>
      <w:bCs/>
      <w:iCs/>
      <w:szCs w:val="24"/>
    </w:rPr>
  </w:style>
  <w:style w:type="paragraph" w:styleId="929" w:customStyle="1">
    <w:name w:val="xl27"/>
    <w:basedOn w:val="84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0" w:customStyle="1">
    <w:name w:val="xl26"/>
    <w:basedOn w:val="84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1" w:customStyle="1">
    <w:name w:val="Char"/>
    <w:basedOn w:val="843"/>
    <w:uiPriority w:val="0"/>
    <w:pPr>
      <w:ind w:firstLine="200"/>
      <w:tabs>
        <w:tab w:val="left" w:pos="360" w:leader="none"/>
      </w:tabs>
    </w:pPr>
    <w:rPr>
      <w:rFonts w:ascii="Times New Roman" w:hAnsi="Times New Roman" w:eastAsia="宋体" w:cs="Times New Roman"/>
      <w:sz w:val="28"/>
      <w:szCs w:val="30"/>
    </w:rPr>
  </w:style>
  <w:style w:type="paragraph" w:styleId="932" w:customStyle="1">
    <w:name w:val=" Char"/>
    <w:basedOn w:val="861"/>
    <w:uiPriority w:val="0"/>
    <w:rPr>
      <w:rFonts w:ascii="Tahoma" w:hAnsi="Tahoma"/>
      <w:sz w:val="24"/>
      <w:szCs w:val="24"/>
    </w:rPr>
  </w:style>
  <w:style w:type="paragraph" w:styleId="933" w:customStyle="1">
    <w:name w:val="普通正文"/>
    <w:basedOn w:val="843"/>
    <w:uiPriority w:val="0"/>
    <w:pPr>
      <w:ind w:firstLine="480"/>
      <w:jc w:val="left"/>
      <w:spacing w:before="120" w:after="120" w:line="360" w:lineRule="auto"/>
    </w:pPr>
    <w:rPr>
      <w:rFonts w:ascii="Arial" w:hAnsi="Arial" w:eastAsia="宋体" w:cs="Times New Roman"/>
      <w:sz w:val="24"/>
      <w:szCs w:val="24"/>
    </w:rPr>
  </w:style>
  <w:style w:type="paragraph" w:styleId="934" w:customStyle="1">
    <w:name w:val="table_lines"/>
    <w:basedOn w:val="843"/>
    <w:uiPriority w:val="0"/>
    <w:pPr>
      <w:jc w:val="left"/>
      <w:widowControl/>
    </w:pPr>
    <w:rPr>
      <w:rFonts w:ascii="Times New Roman" w:hAnsi="Times New Roman" w:eastAsia="宋体" w:cs="Times New Roman"/>
      <w:sz w:val="20"/>
      <w:szCs w:val="20"/>
      <w:lang w:val="de-DE" w:eastAsia="de-DE"/>
    </w:rPr>
  </w:style>
  <w:style w:type="paragraph" w:styleId="935" w:customStyle="1">
    <w:name w:val="附录1"/>
    <w:uiPriority w:val="0"/>
    <w:pPr>
      <w:numPr>
        <w:ilvl w:val="0"/>
        <w:numId w:val="2"/>
      </w:numPr>
      <w:spacing w:before="240" w:line="600" w:lineRule="atLeast"/>
    </w:pPr>
    <w:rPr>
      <w:b/>
      <w:i/>
      <w:sz w:val="28"/>
      <w:lang w:val="en-US" w:eastAsia="zh-CN" w:bidi="ar-SA"/>
    </w:rPr>
  </w:style>
  <w:style w:type="paragraph" w:styleId="936" w:customStyle="1">
    <w:name w:val="font7"/>
    <w:basedOn w:val="843"/>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37" w:customStyle="1">
    <w:name w:val=" Char Char Char Char"/>
    <w:basedOn w:val="861"/>
    <w:uiPriority w:val="0"/>
    <w:pPr>
      <w:spacing w:line="360" w:lineRule="auto"/>
    </w:pPr>
    <w:rPr>
      <w:rFonts w:ascii="Tahoma" w:hAnsi="Tahoma"/>
      <w:sz w:val="24"/>
      <w:szCs w:val="24"/>
    </w:rPr>
  </w:style>
  <w:style w:type="paragraph" w:styleId="938">
    <w:name w:val="List Paragraph"/>
    <w:basedOn w:val="843"/>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4"/>
    <w:basedOn w:val="843"/>
    <w:next w:val="879"/>
    <w:uiPriority w:val="0"/>
    <w:pPr>
      <w:ind w:firstLine="420"/>
      <w:spacing w:line="360" w:lineRule="auto"/>
    </w:pPr>
    <w:rPr>
      <w:rFonts w:ascii="Times New Roman" w:hAnsi="Times New Roman" w:eastAsia="宋体" w:cs="Times New Roman"/>
      <w:color w:val="ff0000"/>
      <w:sz w:val="24"/>
      <w:szCs w:val="24"/>
    </w:rPr>
  </w:style>
  <w:style w:type="paragraph" w:styleId="940" w:customStyle="1">
    <w:name w:val="普通 (Web)"/>
    <w:basedOn w:val="843"/>
    <w:uiPriority w:val="0"/>
    <w:pPr>
      <w:jc w:val="left"/>
      <w:spacing w:before="100" w:beforeAutospacing="1" w:after="100" w:afterAutospacing="1"/>
      <w:widowControl/>
    </w:pPr>
    <w:rPr>
      <w:rFonts w:ascii="宋体" w:hAnsi="宋体" w:eastAsia="宋体" w:cs="Times New Roman"/>
      <w:sz w:val="24"/>
      <w:szCs w:val="24"/>
    </w:rPr>
  </w:style>
  <w:style w:type="paragraph" w:styleId="941" w:customStyle="1">
    <w:name w:val=" Char Char Char Char Char Char Char Char Char Char"/>
    <w:basedOn w:val="843"/>
    <w:uiPriority w:val="0"/>
    <w:pPr>
      <w:spacing w:line="360" w:lineRule="auto"/>
    </w:pPr>
    <w:rPr>
      <w:rFonts w:ascii="Times New Roman" w:hAnsi="Times New Roman" w:eastAsia="宋体" w:cs="Times New Roman"/>
      <w:sz w:val="24"/>
      <w:szCs w:val="20"/>
    </w:rPr>
  </w:style>
  <w:style w:type="paragraph" w:styleId="942" w:customStyle="1">
    <w:name w:val="样式1"/>
    <w:basedOn w:val="843"/>
    <w:uiPriority w:val="0"/>
    <w:pPr>
      <w:numPr>
        <w:ilvl w:val="0"/>
        <w:numId w:val="3"/>
      </w:numPr>
    </w:pPr>
    <w:rPr>
      <w:rFonts w:ascii="宋体" w:hAnsi="宋体" w:eastAsia="宋体" w:cs="Times New Roman"/>
      <w:szCs w:val="21"/>
    </w:rPr>
  </w:style>
  <w:style w:type="paragraph" w:styleId="943" w:customStyle="1">
    <w:name w:val="font6"/>
    <w:basedOn w:val="843"/>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44" w:customStyle="1">
    <w:name w:val="xl25"/>
    <w:basedOn w:val="84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843"/>
    <w:next w:val="843"/>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6" w:customStyle="1">
    <w:name w:val="标题3"/>
    <w:basedOn w:val="843"/>
    <w:next w:val="843"/>
    <w:uiPriority w:val="0"/>
    <w:pPr>
      <w:ind w:firstLine="624"/>
      <w:spacing w:line="590" w:lineRule="atLeast"/>
    </w:pPr>
    <w:rPr>
      <w:rFonts w:ascii="方正黑体_GBK" w:hAnsi="Times New Roman" w:eastAsia="方正黑体_GBK" w:cs="Times New Roman"/>
      <w:sz w:val="32"/>
      <w:szCs w:val="32"/>
    </w:rPr>
  </w:style>
  <w:style w:type="paragraph" w:styleId="947" w:customStyle="1">
    <w:name w:val="xl24"/>
    <w:basedOn w:val="84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8" w:customStyle="1">
    <w:name w:val="xl29"/>
    <w:basedOn w:val="843"/>
    <w:uiPriority w:val="0"/>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9" w:customStyle="1">
    <w:name w:val="Char Char Char Char Char Char Char Char"/>
    <w:basedOn w:val="843"/>
    <w:uiPriority w:val="0"/>
    <w:pPr>
      <w:jc w:val="left"/>
      <w:spacing w:after="160" w:line="240" w:lineRule="exact"/>
      <w:widowControl/>
    </w:pPr>
    <w:rPr>
      <w:rFonts w:ascii="Verdana" w:hAnsi="Verdana" w:eastAsia="宋体" w:cs="Times New Roman"/>
      <w:sz w:val="20"/>
      <w:szCs w:val="20"/>
      <w:lang w:eastAsia="en-US"/>
    </w:rPr>
  </w:style>
  <w:style w:type="paragraph" w:styleId="950" w:customStyle="1">
    <w:name w:val="xl28"/>
    <w:basedOn w:val="843"/>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1" w:customStyle="1">
    <w:name w:val=" Char Char Char Char Char Char Char Char"/>
    <w:basedOn w:val="843"/>
    <w:uiPriority w:val="0"/>
    <w:pPr>
      <w:jc w:val="left"/>
      <w:spacing w:after="160" w:line="240" w:lineRule="exact"/>
      <w:widowControl/>
    </w:pPr>
    <w:rPr>
      <w:rFonts w:ascii="Verdana" w:hAnsi="Verdana" w:eastAsia="宋体" w:cs="Times New Roman"/>
      <w:sz w:val="20"/>
      <w:szCs w:val="20"/>
      <w:lang w:eastAsia="en-US"/>
    </w:rPr>
  </w:style>
  <w:style w:type="paragraph" w:styleId="952" w:customStyle="1">
    <w:name w:val="xl30"/>
    <w:basedOn w:val="843"/>
    <w:uiPriority w:val="0"/>
    <w:pPr>
      <w:jc w:val="center"/>
      <w:spacing w:before="100" w:beforeAutospacing="1" w:after="100" w:afterAutospacing="1"/>
      <w:widowControl/>
    </w:pPr>
    <w:rPr>
      <w:rFonts w:ascii="宋体" w:hAnsi="宋体" w:eastAsia="宋体" w:cs="Times New Roman"/>
      <w:b/>
      <w:bCs/>
      <w:sz w:val="36"/>
      <w:szCs w:val="36"/>
    </w:rPr>
  </w:style>
  <w:style w:type="paragraph" w:styleId="953" w:customStyle="1">
    <w:name w:val="Char Char Char Char"/>
    <w:basedOn w:val="861"/>
    <w:uiPriority w:val="0"/>
    <w:pPr>
      <w:spacing w:line="360" w:lineRule="auto"/>
    </w:pPr>
    <w:rPr>
      <w:rFonts w:ascii="Tahoma" w:hAnsi="Tahoma"/>
      <w:sz w:val="24"/>
      <w:szCs w:val="24"/>
    </w:rPr>
  </w:style>
  <w:style w:type="paragraph" w:styleId="954" w:customStyle="1">
    <w:name w:val="table_1stline"/>
    <w:basedOn w:val="843"/>
    <w:uiPriority w:val="0"/>
    <w:pPr>
      <w:jc w:val="left"/>
      <w:spacing w:before="120"/>
      <w:widowControl/>
    </w:pPr>
    <w:rPr>
      <w:rFonts w:ascii="Times New Roman" w:hAnsi="Times New Roman" w:eastAsia="宋体" w:cs="Times New Roman"/>
      <w:bCs/>
      <w:sz w:val="20"/>
      <w:szCs w:val="20"/>
      <w:lang w:val="de-DE" w:eastAsia="de-DE"/>
    </w:rPr>
  </w:style>
  <w:style w:type="paragraph" w:styleId="955" w:customStyle="1">
    <w:name w:val="font5"/>
    <w:basedOn w:val="843"/>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56" w:customStyle="1">
    <w:name w:val="标题1"/>
    <w:basedOn w:val="843"/>
    <w:next w:val="843"/>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7">
    <w:name w:val="StGen0"/>
    <w:uiPriority w:val="99"/>
    <w:semiHidden/>
    <w:rPr>
      <w:sz w:val="21"/>
      <w:szCs w:val="21"/>
      <w:lang w:val="en-US" w:eastAsia="zh-CN" w:bidi="ar-SA"/>
    </w:rPr>
  </w:style>
  <w:style w:type="paragraph" w:styleId="958">
    <w:name w:val="No Spacing"/>
    <w:uiPriority w:val="99"/>
    <w:qFormat/>
    <w:pPr>
      <w:jc w:val="both"/>
      <w:widowControl w:val="off"/>
    </w:pPr>
    <w:rPr>
      <w:sz w:val="21"/>
      <w:szCs w:val="21"/>
      <w:lang w:val="en-US" w:eastAsia="zh-CN" w:bidi="ar-SA"/>
    </w:rPr>
  </w:style>
  <w:style w:type="table" w:styleId="959" w:customStyle="1">
    <w:name w:val="Table Normal"/>
    <w:uiPriority w:val="0"/>
    <w:qFormat/>
    <w:rPr>
      <w:lang w:val="en-US" w:eastAsia="zh-CN" w:bidi="ar-SA"/>
    </w:rPr>
    <w:tblPr>
      <w:tblCellMar>
        <w:left w:w="0" w:type="dxa"/>
        <w:top w:w="0" w:type="dxa"/>
        <w:right w:w="0" w:type="dxa"/>
        <w:bottom w:w="0" w:type="dxa"/>
      </w:tblCellMar>
    </w:tblPr>
  </w:style>
  <w:style w:type="paragraph" w:styleId="960" w:customStyle="1">
    <w:name w:val="正文文本12"/>
    <w:basedOn w:val="843"/>
    <w:uiPriority w:val="1"/>
    <w:qFormat/>
    <w:pPr>
      <w:ind w:left="120"/>
    </w:pPr>
    <w:rPr>
      <w:rFonts w:ascii="宋体" w:hAnsi="宋体" w:eastAsia="宋体" w:cs="宋体"/>
      <w:sz w:val="21"/>
      <w:szCs w:val="21"/>
      <w:lang w:val="zh-CN" w:eastAsia="zh-CN" w:bidi="zh-CN"/>
    </w:rPr>
  </w:style>
  <w:style w:type="paragraph" w:styleId="961" w:customStyle="1">
    <w:name w:val="正文文本 211"/>
    <w:basedOn w:val="843"/>
    <w:uiPriority w:val="99"/>
    <w:qFormat/>
    <w:pPr>
      <w:jc w:val="center"/>
    </w:pPr>
    <w:rPr>
      <w:b/>
      <w:bCs/>
      <w:sz w:val="20"/>
      <w:szCs w:val="20"/>
    </w:rPr>
  </w:style>
  <w:style w:type="paragraph" w:styleId="962" w:customStyle="1">
    <w:name w:val="正文文本1"/>
    <w:basedOn w:val="843"/>
    <w:next w:val="843"/>
    <w:uiPriority w:val="0"/>
    <w:semiHidden/>
    <w:qFormat/>
    <w:rPr>
      <w:rFonts w:ascii="Arial" w:hAnsi="Arial" w:eastAsia="Arial" w:cs="Arial"/>
      <w:sz w:val="21"/>
      <w:szCs w:val="21"/>
      <w:lang w:val="en-US" w:eastAsia="en-US" w:bidi="ar-SA"/>
    </w:rPr>
  </w:style>
  <w:style w:type="paragraph" w:styleId="963" w:customStyle="1">
    <w:name w:val="Table Paragraph"/>
    <w:basedOn w:val="843"/>
    <w:uiPriority w:val="1"/>
    <w:qFormat/>
    <w:pPr>
      <w:jc w:val="left"/>
    </w:pPr>
    <w:rPr>
      <w:rFonts w:ascii="宋体" w:hAnsi="宋体" w:eastAsia="宋体" w:cs="宋体"/>
      <w:sz w:val="22"/>
      <w:szCs w:val="22"/>
      <w:lang w:val="zh-CN" w:bidi="zh-CN"/>
    </w:rPr>
  </w:style>
  <w:style w:type="table" w:styleId="964" w:customStyle="1">
    <w:name w:val="网格型1"/>
    <w:basedOn w:val="965"/>
    <w:uiPriority w:val="0"/>
    <w:qFormat/>
    <w:pPr>
      <w:jc w:val="both"/>
      <w:widowControl w:val="off"/>
    </w:pPr>
    <w:tblPr/>
  </w:style>
  <w:style w:type="table" w:styleId="965" w:customStyle="1">
    <w:name w:val="普通表格1"/>
    <w:uiPriority w:val="99"/>
    <w:unhideWhenUsed/>
    <w:qFormat/>
    <w:rPr>
      <w:lang w:val="en-US" w:eastAsia="zh-CN" w:bidi="ar-SA"/>
    </w:rPr>
    <w:tblPr/>
  </w:style>
  <w:style w:type="paragraph" w:styleId="966" w:customStyle="1">
    <w:name w:val="正文文本缩进1"/>
    <w:basedOn w:val="843"/>
    <w:next w:val="967"/>
    <w:uiPriority w:val="0"/>
    <w:unhideWhenUsed/>
    <w:qFormat/>
    <w:pPr>
      <w:ind w:left="420"/>
      <w:spacing w:after="120"/>
    </w:pPr>
  </w:style>
  <w:style w:type="paragraph" w:styleId="967" w:customStyle="1">
    <w:name w:val="正文首行缩进 21"/>
    <w:basedOn w:val="966"/>
    <w:uiPriority w:val="0"/>
    <w:qFormat/>
    <w:pPr>
      <w:ind w:left="0" w:firstLine="420"/>
      <w:spacing w:after="0" w:line="360" w:lineRule="auto"/>
    </w:pPr>
    <w:rPr>
      <w:rFonts w:ascii="宋体" w:hAnsi="宋体"/>
      <w:sz w:val="20"/>
      <w:szCs w:val="20"/>
      <w:lang w:val="en-US" w:eastAsia="en-US"/>
    </w:rPr>
  </w:style>
  <w:style w:type="table" w:styleId="968" w:customStyle="1">
    <w:name w:val="Table Normal_0"/>
    <w:uiPriority w:val="0"/>
    <w:qFormat/>
    <w:rPr>
      <w:lang w:val="en-US" w:eastAsia="zh-CN" w:bidi="ar-SA"/>
    </w:rPr>
    <w:tblPr/>
  </w:style>
  <w:style w:type="paragraph" w:styleId="969" w:customStyle="1">
    <w:name w:val="正文首行缩进 211"/>
    <w:basedOn w:val="970"/>
    <w:next w:val="843"/>
    <w:uiPriority w:val="0"/>
    <w:qFormat/>
    <w:pPr>
      <w:ind w:left="0" w:firstLine="420"/>
      <w:spacing w:after="0" w:line="360" w:lineRule="auto"/>
    </w:pPr>
    <w:rPr>
      <w:rFonts w:ascii="宋体" w:hAnsi="宋体" w:eastAsia="宋体" w:cs="Times New Roman"/>
      <w:szCs w:val="20"/>
    </w:rPr>
  </w:style>
  <w:style w:type="paragraph" w:styleId="970" w:customStyle="1">
    <w:name w:val="正文文本缩进11"/>
    <w:basedOn w:val="843"/>
    <w:next w:val="971"/>
    <w:uiPriority w:val="0"/>
    <w:unhideWhenUsed/>
    <w:qFormat/>
    <w:pPr>
      <w:ind w:left="420"/>
      <w:spacing w:after="120"/>
    </w:pPr>
  </w:style>
  <w:style w:type="paragraph" w:styleId="971" w:customStyle="1">
    <w:name w:val="寄信人地址1"/>
    <w:basedOn w:val="843"/>
    <w:uiPriority w:val="0"/>
    <w:qFormat/>
    <w:rPr>
      <w:rFonts w:ascii="Arial" w:hAnsi="Arial" w:eastAsia="宋体" w:cs="宋体"/>
    </w:rPr>
  </w:style>
  <w:style w:type="paragraph" w:styleId="972" w:customStyle="1">
    <w:name w:val="纯文本1"/>
    <w:basedOn w:val="843"/>
    <w:uiPriority w:val="0"/>
    <w:qFormat/>
    <w:rPr>
      <w:rFonts w:ascii="宋体" w:hAnsi="Courier New" w:cs="Courier New"/>
      <w:szCs w:val="21"/>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yilong</dc:creator>
  <cp:lastModifiedBy>邹丹</cp:lastModifiedBy>
  <cp:revision>27</cp:revision>
  <dcterms:created xsi:type="dcterms:W3CDTF">2023-03-16T02:13:00Z</dcterms:created>
  <dcterms:modified xsi:type="dcterms:W3CDTF">2026-05-12T07:46:19Z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1C36BE71A9404E1AAFB1BCE88A696A57_13</vt:lpwstr>
  </property>
</Properties>
</file>