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keepLines w:val="0"/>
        <w:keepNext w:val="0"/>
        <w:pageBreakBefore w:val="0"/>
        <w:spacing w:line="24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汤泉街道2026-2029年度道路绿化管养服务采购项目</w:t>
      </w:r>
      <w:r/>
    </w:p>
    <w:p>
      <w:pPr>
        <w:jc w:val="center"/>
        <w:spacing w:line="360" w:lineRule="auto"/>
        <w:widowControl/>
        <w:rPr>
          <w:rFonts w:hint="eastAsia"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项目编号：JSZC-320111-SCXM-G2026-0004</w:t>
      </w:r>
      <w:r/>
    </w:p>
    <w:p>
      <w:pPr>
        <w:jc w:val="center"/>
        <w:rPr>
          <w:rFonts w:hint="eastAsia" w:ascii="Times New Roman" w:hAnsi="Times New Roman" w:eastAsia="宋体" w:cs="Times New Roman"/>
          <w:b/>
          <w:bCs w:val="0"/>
          <w:color w:val="auto"/>
          <w:sz w:val="30"/>
          <w:szCs w:val="30"/>
          <w:highlight w:val="none"/>
          <w:lang w:eastAsia="zh-CN"/>
        </w:rPr>
      </w:pPr>
      <w:r>
        <w:rPr>
          <w:rFonts w:hint="eastAsia" w:ascii="Times New Roman" w:hAnsi="Times New Roman" w:eastAsia="宋体" w:cs="Times New Roman"/>
          <w:b/>
          <w:bCs w:val="0"/>
          <w:color w:val="auto"/>
          <w:sz w:val="30"/>
          <w:szCs w:val="30"/>
          <w:highlight w:val="none"/>
          <w:lang w:eastAsia="zh-CN"/>
        </w:rPr>
        <w:t xml:space="preserve">（非专门面向中小企业）</w:t>
      </w:r>
      <w:r/>
    </w:p>
    <w:p>
      <w:pPr>
        <w:pStyle w:val="871"/>
        <w:rPr>
          <w:rFonts w:hint="eastAsia"/>
          <w:color w:val="auto"/>
          <w:highlight w:val="none"/>
        </w:rPr>
      </w:pPr>
      <w:r>
        <w:rPr>
          <w:rFonts w:hint="eastAsia"/>
          <w:color w:val="auto"/>
          <w:highlight w:val="none"/>
        </w:rPr>
      </w:r>
      <w:r/>
    </w:p>
    <w:p>
      <w:pPr>
        <w:pStyle w:val="871"/>
        <w:rPr>
          <w:rFonts w:hint="eastAsia"/>
          <w:color w:val="auto"/>
          <w:highlight w:val="none"/>
        </w:rPr>
      </w:pPr>
      <w:r>
        <w:rPr>
          <w:rFonts w:hint="eastAsia"/>
          <w:color w:val="auto"/>
          <w:highlight w:val="none"/>
        </w:rPr>
      </w:r>
      <w:r/>
    </w:p>
    <w:p>
      <w:pPr>
        <w:jc w:val="center"/>
        <w:spacing w:line="360" w:lineRule="auto"/>
        <w:rPr>
          <w:color w:val="auto"/>
          <w:sz w:val="36"/>
          <w:szCs w:val="36"/>
          <w:highlight w:val="none"/>
          <w:lang w:eastAsia="zh-CN"/>
        </w:rPr>
      </w:pPr>
      <w:r>
        <w:rPr>
          <w:color w:val="auto"/>
          <w:sz w:val="36"/>
          <w:szCs w:val="36"/>
          <w:highlight w:val="none"/>
          <w:lang w:eastAsia="zh-CN"/>
        </w:rPr>
      </w:r>
      <w:r/>
    </w:p>
    <w:p>
      <w:pPr>
        <w:jc w:val="center"/>
        <w:spacing w:line="360" w:lineRule="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招　标　文　件</w:t>
      </w:r>
      <w:bookmarkEnd w:id="0"/>
      <w:r/>
      <w:r/>
    </w:p>
    <w:p>
      <w:pPr>
        <w:pStyle w:val="695"/>
        <w:rPr>
          <w:rFonts w:hint="eastAsia"/>
          <w:color w:val="auto"/>
          <w:highlight w:val="none"/>
          <w:lang w:eastAsia="zh-CN"/>
        </w:rPr>
      </w:pPr>
      <w:r>
        <w:rPr>
          <w:rFonts w:hint="eastAsia"/>
          <w:color w:val="auto"/>
          <w:highlight w:val="none"/>
          <w:lang w:eastAsia="zh-CN"/>
        </w:rPr>
      </w:r>
      <w:r/>
    </w:p>
    <w:p>
      <w:pPr>
        <w:pStyle w:val="695"/>
        <w:rPr>
          <w:rFonts w:hint="eastAsia"/>
          <w:color w:val="auto"/>
          <w:highlight w:val="none"/>
          <w:lang w:eastAsia="zh-CN"/>
        </w:rPr>
      </w:pPr>
      <w:r>
        <w:rPr>
          <w:rFonts w:hint="eastAsia"/>
          <w:color w:val="auto"/>
          <w:highlight w:val="none"/>
          <w:lang w:eastAsia="zh-CN"/>
        </w:rPr>
      </w:r>
      <w:r/>
    </w:p>
    <w:p>
      <w:pPr>
        <w:pStyle w:val="695"/>
        <w:rPr>
          <w:rFonts w:hint="eastAsia"/>
          <w:color w:val="auto"/>
          <w:highlight w:val="none"/>
          <w:lang w:eastAsia="zh-CN"/>
        </w:rPr>
      </w:pPr>
      <w:r>
        <w:rPr>
          <w:rFonts w:hint="eastAsia"/>
          <w:color w:val="auto"/>
          <w:highlight w:val="none"/>
          <w:lang w:eastAsia="zh-CN"/>
        </w:rPr>
      </w:r>
      <w:r/>
    </w:p>
    <w:p>
      <w:pPr>
        <w:pStyle w:val="695"/>
        <w:rPr>
          <w:rFonts w:hint="eastAsia"/>
          <w:color w:val="auto"/>
          <w:highlight w:val="none"/>
          <w:lang w:eastAsia="zh-CN"/>
        </w:rPr>
      </w:pPr>
      <w:r>
        <w:rPr>
          <w:rFonts w:hint="eastAsia"/>
          <w:color w:val="auto"/>
          <w:highlight w:val="none"/>
          <w:lang w:eastAsia="zh-CN"/>
        </w:rPr>
      </w:r>
      <w:r/>
    </w:p>
    <w:p>
      <w:pPr>
        <w:pStyle w:val="695"/>
        <w:rPr>
          <w:rFonts w:hint="eastAsia"/>
          <w:color w:val="auto"/>
          <w:highlight w:val="none"/>
          <w:lang w:eastAsia="zh-CN"/>
        </w:rPr>
      </w:pPr>
      <w:r>
        <w:rPr>
          <w:rFonts w:hint="eastAsia"/>
          <w:color w:val="auto"/>
          <w:highlight w:val="none"/>
          <w:lang w:eastAsia="zh-CN"/>
        </w:rPr>
      </w:r>
      <w:r/>
    </w:p>
    <w:p>
      <w:pPr>
        <w:pStyle w:val="872"/>
        <w:rPr>
          <w:color w:val="auto"/>
          <w:highlight w:val="none"/>
          <w:lang w:eastAsia="zh-CN"/>
        </w:rPr>
      </w:pPr>
      <w:r>
        <w:rPr>
          <w:color w:val="auto"/>
          <w:highlight w:val="none"/>
          <w:lang w:eastAsia="zh-CN"/>
        </w:rPr>
      </w:r>
      <w:r/>
    </w:p>
    <w:p>
      <w:pPr>
        <w:jc w:val="center"/>
        <w:spacing w:line="360" w:lineRule="auto"/>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 xml:space="preserve">采购人</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val="en-US" w:eastAsia="zh-CN"/>
        </w:rPr>
        <w:t xml:space="preserve">南京市浦口区人民政府汤泉街道办事处</w:t>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 xml:space="preserve">采购代理机构：</w:t>
      </w:r>
      <w:r>
        <w:rPr>
          <w:rFonts w:hint="eastAsia" w:cs="宋体"/>
          <w:b/>
          <w:bCs/>
          <w:color w:val="auto"/>
          <w:spacing w:val="20"/>
          <w:sz w:val="40"/>
          <w:szCs w:val="40"/>
          <w:highlight w:val="none"/>
          <w:lang w:eastAsia="zh-CN"/>
        </w:rPr>
        <w:t xml:space="preserve">江苏首承项目管理有限公司</w:t>
      </w:r>
      <w:r/>
    </w:p>
    <w:p>
      <w:pPr>
        <w:jc w:val="center"/>
        <w:spacing w:line="360" w:lineRule="auto"/>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sz w:val="40"/>
          <w:szCs w:val="40"/>
          <w:highlight w:val="none"/>
        </w:rPr>
        <w:t xml:space="preserve">日期：</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06</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18</w:t>
      </w:r>
      <w:r>
        <w:rPr>
          <w:rFonts w:hint="eastAsia" w:cs="宋体"/>
          <w:b/>
          <w:bCs/>
          <w:color w:val="auto"/>
          <w:sz w:val="40"/>
          <w:szCs w:val="40"/>
          <w:highlight w:val="none"/>
          <w:lang w:eastAsia="zh-CN"/>
        </w:rPr>
        <w:t xml:space="preserve">日</w:t>
      </w:r>
      <w:r/>
    </w:p>
    <w:p>
      <w:pPr>
        <w:jc w:val="both"/>
        <w:spacing w:line="360" w:lineRule="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077" w:right="1020" w:bottom="1077" w:left="1020"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480" w:lineRule="auto"/>
        <w:widowControl/>
        <w:rPr>
          <w:color w:val="auto"/>
          <w:sz w:val="22"/>
          <w:szCs w:val="22"/>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699"/>
        <w:tabs>
          <w:tab w:val="clear" w:pos="8630" w:leader="none"/>
          <w:tab w:val="right" w:pos="9972" w:leader="dot"/>
        </w:tabs>
        <w:rPr>
          <w:color w:val="auto"/>
          <w:sz w:val="32"/>
          <w:szCs w:val="32"/>
          <w:highlight w:val="none"/>
        </w:rPr>
      </w:pPr>
      <w:r>
        <w:rPr>
          <w:rFonts w:hint="eastAsia" w:ascii="宋体" w:hAnsi="宋体" w:eastAsia="宋体" w:cs="宋体"/>
          <w:b/>
          <w:bCs/>
          <w:color w:val="auto"/>
          <w:sz w:val="44"/>
          <w:szCs w:val="44"/>
          <w:highlight w:val="none"/>
        </w:rPr>
        <w:fldChar w:fldCharType="begin"/>
      </w:r>
      <w:r>
        <w:rPr>
          <w:rFonts w:hint="eastAsia" w:ascii="宋体" w:hAnsi="宋体" w:eastAsia="宋体" w:cs="宋体"/>
          <w:b/>
          <w:bCs/>
          <w:color w:val="auto"/>
          <w:sz w:val="44"/>
          <w:szCs w:val="44"/>
          <w:highlight w:val="none"/>
        </w:rPr>
        <w:instrText xml:space="preserve"> TOC \o "1-3" \h \z \u </w:instrText>
      </w:r>
      <w:r>
        <w:rPr>
          <w:rFonts w:hint="eastAsia" w:ascii="宋体" w:hAnsi="宋体" w:eastAsia="宋体" w:cs="宋体"/>
          <w:b/>
          <w:bCs/>
          <w:color w:val="auto"/>
          <w:sz w:val="44"/>
          <w:szCs w:val="44"/>
          <w:highlight w:val="none"/>
        </w:rPr>
        <w:fldChar w:fldCharType="separate"/>
      </w: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_Toc21928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第一章  </w:t>
      </w:r>
      <w:r>
        <w:rPr>
          <w:rFonts w:hint="eastAsia"/>
          <w:bCs/>
          <w:color w:val="auto"/>
          <w:sz w:val="32"/>
          <w:szCs w:val="32"/>
          <w:highlight w:val="none"/>
          <w:lang w:val="en-US" w:eastAsia="zh-CN"/>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_Toc21928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99"/>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_Toc17064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第二章 </w:t>
      </w:r>
      <w:r>
        <w:rPr>
          <w:rFonts w:hint="eastAsia"/>
          <w:bCs/>
          <w:color w:val="auto"/>
          <w:sz w:val="32"/>
          <w:szCs w:val="32"/>
          <w:highlight w:val="none"/>
          <w:lang w:val="en-US" w:eastAsia="zh-CN"/>
        </w:rPr>
        <w:t xml:space="preserve">投标人</w:t>
      </w:r>
      <w:r>
        <w:rPr>
          <w:rFonts w:hint="eastAsia"/>
          <w:bCs/>
          <w:color w:val="auto"/>
          <w:sz w:val="32"/>
          <w:szCs w:val="32"/>
          <w:highlight w:val="none"/>
          <w:lang w:eastAsia="zh-CN"/>
        </w:rPr>
        <w:t xml:space="preserve">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_Toc17064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99"/>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_Toc32184 </w:instrText>
      </w:r>
      <w:r>
        <w:rPr>
          <w:rFonts w:hint="eastAsia" w:ascii="宋体" w:hAnsi="宋体" w:eastAsia="宋体" w:cs="宋体"/>
          <w:bCs/>
          <w:color w:val="auto"/>
          <w:sz w:val="32"/>
          <w:szCs w:val="44"/>
          <w:highlight w:val="none"/>
        </w:rPr>
        <w:fldChar w:fldCharType="separate"/>
      </w:r>
      <w:r>
        <w:rPr>
          <w:rFonts w:hint="eastAsia" w:cs="宋体"/>
          <w:bCs/>
          <w:color w:val="auto"/>
          <w:sz w:val="32"/>
          <w:szCs w:val="36"/>
          <w:highlight w:val="none"/>
          <w:lang w:val="en-US" w:eastAsia="zh-CN" w:bidi="ar-SA"/>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_Toc32184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99"/>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_Toc20768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_Toc20768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99"/>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_Toc21716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val="en-US" w:eastAsia="zh-CN"/>
        </w:rPr>
        <w:t xml:space="preserve">第五章 </w:t>
      </w:r>
      <w:r>
        <w:rPr>
          <w:rFonts w:hint="eastAsia"/>
          <w:bCs/>
          <w:color w:val="auto"/>
          <w:sz w:val="32"/>
          <w:szCs w:val="32"/>
          <w:highlight w:val="none"/>
          <w:lang w:eastAsia="zh-CN"/>
        </w:rPr>
        <w:t xml:space="preserve">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_Toc21716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99"/>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_Toc6688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_Toc6688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670"/>
        <w:jc w:val="center"/>
        <w:spacing w:line="480" w:lineRule="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color w:val="auto"/>
          <w:sz w:val="36"/>
          <w:szCs w:val="44"/>
          <w:highlight w:val="none"/>
        </w:rPr>
        <w:fldChar w:fldCharType="end"/>
      </w:r>
      <w:bookmarkStart w:id="1" w:name="_Toc12763"/>
      <w:r/>
      <w:bookmarkStart w:id="2" w:name="_Toc23083"/>
      <w:r/>
      <w:r/>
    </w:p>
    <w:p>
      <w:pPr>
        <w:pStyle w:val="670"/>
        <w:jc w:val="center"/>
        <w:spacing w:line="360" w:lineRule="auto"/>
        <w:rPr>
          <w:rFonts w:hint="default"/>
          <w:b/>
          <w:bCs/>
          <w:color w:val="auto"/>
          <w:highlight w:val="none"/>
          <w:lang w:val="en-US" w:eastAsia="zh-CN"/>
        </w:rPr>
      </w:pPr>
      <w:r/>
      <w:bookmarkStart w:id="3" w:name="_Toc21928"/>
      <w:r>
        <w:rPr>
          <w:rFonts w:hint="eastAsia"/>
          <w:b/>
          <w:bCs/>
          <w:color w:val="auto"/>
          <w:highlight w:val="none"/>
          <w:lang w:eastAsia="zh-CN"/>
        </w:rPr>
        <w:t xml:space="preserve">第一章  </w:t>
      </w:r>
      <w:bookmarkEnd w:id="1"/>
      <w:r/>
      <w:bookmarkEnd w:id="2"/>
      <w:r>
        <w:rPr>
          <w:rFonts w:hint="eastAsia"/>
          <w:b/>
          <w:bCs/>
          <w:color w:val="auto"/>
          <w:highlight w:val="none"/>
          <w:lang w:val="en-US" w:eastAsia="zh-CN"/>
        </w:rPr>
        <w:t xml:space="preserve">投标邀请</w:t>
      </w:r>
      <w:bookmarkEnd w:id="3"/>
      <w:r/>
      <w:r/>
    </w:p>
    <w:p>
      <w:pPr>
        <w:pStyle w:val="671"/>
        <w:ind w:right="0"/>
        <w:pageBreakBefore w:val="0"/>
        <w:spacing w:before="0" w:after="0" w:line="360" w:lineRule="auto"/>
        <w:rPr>
          <w:rFonts w:hint="eastAsia" w:ascii="宋体" w:hAnsi="宋体" w:eastAsia="宋体" w:cs="宋体"/>
          <w:bCs w:val="0"/>
          <w:color w:val="auto"/>
          <w:sz w:val="24"/>
          <w:szCs w:val="24"/>
          <w:highlight w:val="none"/>
        </w:rPr>
      </w:pPr>
      <w:r/>
      <w:bookmarkStart w:id="4" w:name="_Toc11978"/>
      <w:r/>
      <w:bookmarkStart w:id="5" w:name="_Toc28717"/>
      <w:r/>
      <w:bookmarkStart w:id="6" w:name="_Toc30483"/>
      <w:r/>
      <w:bookmarkStart w:id="7" w:name="_Toc17737"/>
      <w:r/>
      <w:bookmarkStart w:id="8" w:name="_Toc4932"/>
      <w:r/>
      <w:bookmarkStart w:id="9" w:name="_Toc8120"/>
      <w:r/>
      <w:bookmarkStart w:id="10" w:name="_Toc13199"/>
      <w:r/>
      <w:bookmarkStart w:id="11" w:name="_Toc4848"/>
      <w:r/>
      <w:bookmarkStart w:id="12" w:name="_Toc415"/>
      <w:r/>
      <w:bookmarkStart w:id="13" w:name="_Toc326"/>
      <w:r/>
      <w:bookmarkStart w:id="14" w:name="_Toc16235"/>
      <w:r/>
      <w:bookmarkStart w:id="15" w:name="_Toc28359002"/>
      <w:r/>
      <w:bookmarkStart w:id="16" w:name="_Toc35393790"/>
      <w:r/>
      <w:bookmarkStart w:id="17" w:name="_Toc100841901"/>
      <w:r/>
      <w:bookmarkStart w:id="18" w:name="_Toc32196"/>
      <w:r/>
      <w:bookmarkStart w:id="19" w:name="_Toc28359079"/>
      <w:r/>
      <w:bookmarkStart w:id="20" w:name="_Toc35393621"/>
      <w:r/>
      <w:bookmarkStart w:id="21" w:name="_Hlk24379207"/>
      <w:r/>
      <w:bookmarkStart w:id="22" w:name="_Toc6308"/>
      <w:r/>
      <w:bookmarkStart w:id="23" w:name="_Toc382350339"/>
      <w:r/>
      <w:bookmarkStart w:id="24" w:name="_Toc14410"/>
      <w:r/>
      <w:bookmarkStart w:id="25" w:name="_Toc382346709"/>
      <w:r/>
      <w:bookmarkStart w:id="26" w:name="_Toc4543"/>
      <w:r/>
      <w:bookmarkStart w:id="27" w:name="_Toc3715"/>
      <w:r/>
      <w:bookmarkStart w:id="28" w:name="_Toc1755"/>
      <w:r/>
      <w:bookmarkStart w:id="29" w:name="_Toc11884"/>
      <w:r/>
      <w:bookmarkStart w:id="30" w:name="_Toc25270"/>
      <w:r/>
      <w:bookmarkStart w:id="31" w:name="_Toc33130911"/>
      <w:r/>
      <w:bookmarkStart w:id="32" w:name="_Toc375224973"/>
      <w:r/>
      <w:bookmarkStart w:id="33" w:name="_Toc27300"/>
      <w:r/>
      <w:bookmarkStart w:id="34" w:name="_Toc8502"/>
      <w:r/>
      <w:bookmarkStart w:id="35" w:name="_Toc13059"/>
      <w:r/>
      <w:bookmarkStart w:id="36" w:name="_Toc382404408"/>
      <w:r/>
      <w:bookmarkStart w:id="37" w:name="_Toc30580720"/>
      <w:r>
        <w:rPr>
          <w:rFonts w:hint="eastAsia" w:ascii="宋体" w:hAnsi="宋体" w:eastAsia="宋体" w:cs="宋体"/>
          <w:bCs w:val="0"/>
          <w:color w:val="auto"/>
          <w:sz w:val="24"/>
          <w:szCs w:val="24"/>
          <w:highlight w:val="none"/>
        </w:rPr>
        <w:t xml:space="preserve">项目概况</w:t>
      </w:r>
      <w:bookmarkEnd w:id="4"/>
      <w:r/>
      <w:bookmarkEnd w:id="5"/>
      <w:r/>
      <w:bookmarkEnd w:id="6"/>
      <w:r/>
      <w:bookmarkEnd w:id="7"/>
      <w:r/>
      <w:bookmarkEnd w:id="8"/>
      <w:r/>
      <w:bookmarkEnd w:id="9"/>
      <w:r/>
      <w:bookmarkEnd w:id="10"/>
      <w:r/>
      <w:bookmarkEnd w:id="11"/>
      <w:r/>
      <w:bookmarkEnd w:id="12"/>
      <w:r/>
      <w:bookmarkEnd w:id="13"/>
      <w:r/>
      <w:r/>
    </w:p>
    <w:p>
      <w:pPr>
        <w:pStyle w:val="671"/>
        <w:ind w:right="0" w:firstLine="482"/>
        <w:pageBreakBefore w:val="0"/>
        <w:spacing w:before="0" w:after="0" w:line="360" w:lineRule="auto"/>
        <w:rPr>
          <w:rFonts w:hint="eastAsia" w:ascii="宋体" w:hAnsi="宋体" w:eastAsia="宋体" w:cs="宋体"/>
          <w:bCs w:val="0"/>
          <w:color w:val="auto"/>
          <w:sz w:val="24"/>
          <w:szCs w:val="24"/>
          <w:highlight w:val="none"/>
        </w:rPr>
      </w:pPr>
      <w:r/>
      <w:bookmarkStart w:id="38" w:name="_Toc19844"/>
      <w:r/>
      <w:bookmarkStart w:id="39" w:name="_Toc11667"/>
      <w:r/>
      <w:bookmarkStart w:id="40" w:name="_Toc251"/>
      <w:r/>
      <w:bookmarkStart w:id="41" w:name="_Toc15237"/>
      <w:r/>
      <w:bookmarkStart w:id="42" w:name="_Toc10067"/>
      <w:r/>
      <w:bookmarkStart w:id="43" w:name="_Toc7622"/>
      <w:r/>
      <w:bookmarkStart w:id="44" w:name="_Toc23796"/>
      <w:r/>
      <w:bookmarkStart w:id="45" w:name="_Toc22189"/>
      <w:r/>
      <w:bookmarkStart w:id="46" w:name="_Toc6452"/>
      <w:r/>
      <w:bookmarkStart w:id="47" w:name="_Toc8892"/>
      <w:r/>
      <w:bookmarkStart w:id="48" w:name="_Toc16506"/>
      <w:r>
        <w:rPr>
          <w:rFonts w:hint="eastAsia" w:cs="宋体"/>
          <w:b/>
          <w:bCs w:val="0"/>
          <w:color w:val="auto"/>
          <w:sz w:val="24"/>
          <w:szCs w:val="24"/>
          <w:highlight w:val="none"/>
          <w:u w:val="single"/>
          <w:lang w:val="en-US" w:eastAsia="zh-CN"/>
        </w:rPr>
        <w:t xml:space="preserve">汤泉街道2026-2029年度道路绿化管养服务采购项目 </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项目的潜在</w:t>
      </w:r>
      <w:r>
        <w:rPr>
          <w:rFonts w:hint="eastAsia" w:cs="宋体"/>
          <w:b w:val="0"/>
          <w:bCs/>
          <w:color w:val="auto"/>
          <w:sz w:val="24"/>
          <w:szCs w:val="24"/>
          <w:highlight w:val="none"/>
          <w:lang w:eastAsia="zh-CN"/>
        </w:rPr>
        <w:t xml:space="preserve">投标人</w:t>
      </w:r>
      <w:r>
        <w:rPr>
          <w:rFonts w:hint="eastAsia"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rPr>
        <w:t xml:space="preserve">在</w:t>
      </w:r>
      <w:bookmarkStart w:id="49" w:name="OLE_LINK19"/>
      <w:r>
        <w:rPr>
          <w:rFonts w:hint="eastAsia" w:ascii="宋体" w:hAnsi="宋体" w:eastAsia="宋体" w:cs="宋体"/>
          <w:b/>
          <w:bCs w:val="0"/>
          <w:color w:val="auto"/>
          <w:sz w:val="24"/>
          <w:szCs w:val="24"/>
          <w:highlight w:val="none"/>
          <w:u w:val="single"/>
          <w:lang w:val="en-US" w:eastAsia="zh-CN"/>
        </w:rPr>
        <w:t xml:space="preserve">“江苏政府采购‘苏采云’系统”自行免费下载</w:t>
      </w:r>
      <w:bookmarkEnd w:id="49"/>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eastAsia="zh-CN"/>
        </w:rPr>
        <w:t xml:space="preserve">文件</w:t>
      </w:r>
      <w:r>
        <w:rPr>
          <w:rFonts w:hint="eastAsia" w:ascii="宋体" w:hAnsi="宋体" w:eastAsia="宋体" w:cs="宋体"/>
          <w:b w:val="0"/>
          <w:bCs/>
          <w:color w:val="auto"/>
          <w:sz w:val="24"/>
          <w:szCs w:val="24"/>
          <w:highlight w:val="none"/>
        </w:rPr>
        <w:t xml:space="preserve">，并于</w:t>
      </w:r>
      <w:r>
        <w:rPr>
          <w:rFonts w:hint="eastAsia" w:ascii="宋体" w:hAnsi="宋体" w:eastAsia="宋体" w:cs="宋体"/>
          <w:b/>
          <w:bCs w:val="0"/>
          <w:color w:val="auto"/>
          <w:sz w:val="24"/>
          <w:szCs w:val="24"/>
          <w:highlight w:val="none"/>
          <w:u w:val="single"/>
          <w:lang w:eastAsia="zh-CN"/>
        </w:rPr>
        <w:t xml:space="preserve">202</w:t>
      </w:r>
      <w:r>
        <w:rPr>
          <w:rFonts w:hint="eastAsia" w:cs="宋体"/>
          <w:b/>
          <w:bCs w:val="0"/>
          <w:color w:val="auto"/>
          <w:sz w:val="24"/>
          <w:szCs w:val="24"/>
          <w:highlight w:val="none"/>
          <w:u w:val="single"/>
          <w:lang w:val="en-US" w:eastAsia="zh-CN"/>
        </w:rPr>
        <w:t xml:space="preserve">6</w:t>
      </w:r>
      <w:r>
        <w:rPr>
          <w:rFonts w:hint="eastAsia" w:ascii="宋体" w:hAnsi="宋体" w:eastAsia="宋体" w:cs="宋体"/>
          <w:b/>
          <w:bCs w:val="0"/>
          <w:color w:val="auto"/>
          <w:sz w:val="24"/>
          <w:szCs w:val="24"/>
          <w:highlight w:val="none"/>
          <w:u w:val="single"/>
          <w:lang w:eastAsia="zh-CN"/>
        </w:rPr>
        <w:t xml:space="preserve">年</w:t>
      </w:r>
      <w:r>
        <w:rPr>
          <w:rFonts w:hint="eastAsia" w:cs="宋体"/>
          <w:b/>
          <w:bCs w:val="0"/>
          <w:color w:val="auto"/>
          <w:sz w:val="24"/>
          <w:szCs w:val="24"/>
          <w:highlight w:val="none"/>
          <w:u w:val="single"/>
          <w:lang w:val="en-US" w:eastAsia="zh-CN"/>
        </w:rPr>
        <w:t xml:space="preserve">7</w:t>
      </w:r>
      <w:r>
        <w:rPr>
          <w:rFonts w:hint="eastAsia" w:ascii="宋体" w:hAnsi="宋体" w:eastAsia="宋体" w:cs="宋体"/>
          <w:b/>
          <w:bCs w:val="0"/>
          <w:color w:val="auto"/>
          <w:sz w:val="24"/>
          <w:szCs w:val="24"/>
          <w:highlight w:val="none"/>
          <w:u w:val="single"/>
          <w:lang w:eastAsia="zh-CN"/>
        </w:rPr>
        <w:t xml:space="preserve">月13日9点30分（北京时间）</w:t>
      </w:r>
      <w:r>
        <w:rPr>
          <w:rFonts w:hint="eastAsia" w:ascii="宋体" w:hAnsi="宋体" w:eastAsia="宋体" w:cs="宋体"/>
          <w:color w:val="auto"/>
          <w:sz w:val="24"/>
          <w:szCs w:val="24"/>
          <w:highlight w:val="none"/>
          <w:lang w:val="en-US" w:eastAsia="zh-CN" w:bidi="ar-SA"/>
        </w:rPr>
        <w:t xml:space="preserve">前提交</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w:t>
      </w:r>
      <w:bookmarkEnd w:id="38"/>
      <w:r/>
      <w:bookmarkEnd w:id="39"/>
      <w:r/>
      <w:bookmarkEnd w:id="40"/>
      <w:r/>
      <w:bookmarkEnd w:id="41"/>
      <w:r/>
      <w:bookmarkEnd w:id="42"/>
      <w:r/>
      <w:bookmarkEnd w:id="43"/>
      <w:r/>
      <w:bookmarkEnd w:id="44"/>
      <w:r/>
      <w:bookmarkEnd w:id="45"/>
      <w:r/>
      <w:bookmarkEnd w:id="46"/>
      <w:r/>
      <w:bookmarkEnd w:id="47"/>
      <w:r/>
      <w:bookmarkEnd w:id="48"/>
      <w:r/>
      <w:r/>
    </w:p>
    <w:p>
      <w:pPr>
        <w:pStyle w:val="671"/>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50" w:name="_Toc12698"/>
      <w:r/>
      <w:bookmarkStart w:id="51" w:name="_Toc12250"/>
      <w:r/>
      <w:bookmarkStart w:id="52" w:name="_Toc28944"/>
      <w:r/>
      <w:bookmarkStart w:id="53" w:name="_Toc17291"/>
      <w:r/>
      <w:bookmarkStart w:id="54" w:name="_Toc24968"/>
      <w:r/>
      <w:bookmarkStart w:id="55" w:name="_Toc12541"/>
      <w:r/>
      <w:bookmarkStart w:id="56" w:name="_Toc13723"/>
      <w:r/>
      <w:bookmarkStart w:id="57" w:name="_Toc24562"/>
      <w:r/>
      <w:bookmarkStart w:id="58" w:name="_Toc4263"/>
      <w:r/>
      <w:bookmarkStart w:id="59" w:name="_Toc10806"/>
      <w:r>
        <w:rPr>
          <w:rFonts w:hint="eastAsia" w:ascii="宋体" w:hAnsi="宋体" w:eastAsia="宋体" w:cs="宋体"/>
          <w:b/>
          <w:bCs/>
          <w:color w:val="auto"/>
          <w:sz w:val="24"/>
          <w:szCs w:val="24"/>
          <w:highlight w:val="none"/>
        </w:rPr>
        <w:t xml:space="preserve">一、项目基本情况</w:t>
      </w:r>
      <w:bookmarkEnd w:id="14"/>
      <w:r/>
      <w:bookmarkEnd w:id="15"/>
      <w:r/>
      <w:bookmarkEnd w:id="16"/>
      <w:r/>
      <w:bookmarkEnd w:id="17"/>
      <w:r/>
      <w:bookmarkEnd w:id="18"/>
      <w:r/>
      <w:bookmarkEnd w:id="19"/>
      <w:r/>
      <w:bookmarkEnd w:id="20"/>
      <w:r/>
      <w:bookmarkEnd w:id="50"/>
      <w:r/>
      <w:bookmarkEnd w:id="51"/>
      <w:r/>
      <w:bookmarkEnd w:id="52"/>
      <w:r/>
      <w:bookmarkEnd w:id="53"/>
      <w:r/>
      <w:bookmarkEnd w:id="54"/>
      <w:r/>
      <w:bookmarkEnd w:id="55"/>
      <w:r/>
      <w:bookmarkEnd w:id="56"/>
      <w:r/>
      <w:bookmarkEnd w:id="57"/>
      <w:r/>
      <w:bookmarkEnd w:id="58"/>
      <w:r/>
      <w:bookmarkEnd w:id="59"/>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1.项目编号：JSZC-320111-SCXM-G2026-0004</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cs="宋体"/>
          <w:color w:val="auto"/>
          <w:sz w:val="24"/>
          <w:szCs w:val="24"/>
          <w:highlight w:val="none"/>
          <w:lang w:val="en-US" w:eastAsia="zh-CN"/>
        </w:rPr>
        <w:t xml:space="preserve">汤泉街道2026-2029年度道路绿化管养服务采购项目</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3.采购方式：</w:t>
      </w:r>
      <w:r>
        <w:rPr>
          <w:rFonts w:hint="eastAsia" w:cs="宋体"/>
          <w:color w:val="auto"/>
          <w:sz w:val="24"/>
          <w:szCs w:val="24"/>
          <w:highlight w:val="none"/>
          <w:lang w:val="en-US" w:eastAsia="zh-CN"/>
        </w:rPr>
        <w:t xml:space="preserve">公开招标</w:t>
      </w:r>
      <w:bookmarkEnd w:id="21"/>
      <w:r/>
      <w:r/>
    </w:p>
    <w:p>
      <w:pPr>
        <w:ind w:right="0" w:firstLine="480"/>
        <w:pageBreakBefore w:val="0"/>
        <w:spacing w:line="360" w:lineRule="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4.预算金额：</w:t>
      </w:r>
      <w:r>
        <w:rPr>
          <w:rFonts w:hint="eastAsia" w:cs="宋体"/>
          <w:color w:val="auto"/>
          <w:sz w:val="24"/>
          <w:szCs w:val="24"/>
          <w:highlight w:val="none"/>
          <w:lang w:val="en-US" w:eastAsia="zh-CN"/>
        </w:rPr>
        <w:t xml:space="preserve">427.875</w:t>
      </w:r>
      <w:r>
        <w:rPr>
          <w:rFonts w:hint="eastAsia" w:ascii="宋体" w:hAnsi="宋体" w:eastAsia="宋体" w:cs="宋体"/>
          <w:color w:val="auto"/>
          <w:sz w:val="24"/>
          <w:szCs w:val="24"/>
          <w:highlight w:val="none"/>
          <w:lang w:val="en-US" w:eastAsia="zh-CN"/>
        </w:rPr>
        <w:t xml:space="preserve">万元</w:t>
      </w:r>
      <w:r>
        <w:rPr>
          <w:rFonts w:hint="eastAsia" w:cs="宋体"/>
          <w:color w:val="auto"/>
          <w:sz w:val="24"/>
          <w:szCs w:val="24"/>
          <w:highlight w:val="none"/>
          <w:lang w:val="en-US" w:eastAsia="zh-CN"/>
        </w:rPr>
        <w:t xml:space="preserve">。</w:t>
      </w:r>
      <w:bookmarkStart w:id="60" w:name="OLE_LINK21"/>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w:t>
      </w:r>
      <w:bookmarkEnd w:id="60"/>
      <w:r>
        <w:rPr>
          <w:rFonts w:hint="eastAsia" w:cs="宋体"/>
          <w:color w:val="auto"/>
          <w:sz w:val="24"/>
          <w:szCs w:val="24"/>
          <w:highlight w:val="none"/>
          <w:lang w:val="en-US" w:eastAsia="zh-CN"/>
        </w:rPr>
        <w:t xml:space="preserve">412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本项目实行总价与年度双重限价控制。投标总报价不得高于</w:t>
      </w:r>
      <w:r>
        <w:rPr>
          <w:rFonts w:hint="eastAsia" w:cs="宋体"/>
          <w:color w:val="auto"/>
          <w:sz w:val="24"/>
          <w:szCs w:val="24"/>
          <w:highlight w:val="none"/>
          <w:lang w:val="en-US" w:eastAsia="zh-CN"/>
        </w:rPr>
        <w:t xml:space="preserve">最高限价412万</w:t>
      </w:r>
      <w:r>
        <w:rPr>
          <w:rFonts w:hint="eastAsia" w:ascii="宋体" w:hAnsi="宋体" w:eastAsia="宋体" w:cs="宋体"/>
          <w:color w:val="auto"/>
          <w:sz w:val="24"/>
          <w:szCs w:val="24"/>
          <w:highlight w:val="none"/>
        </w:rPr>
        <w:t xml:space="preserve">元；同时，第一年报价不得高于第一年控制价14</w:t>
      </w:r>
      <w:r>
        <w:rPr>
          <w:rFonts w:hint="eastAsia" w:cs="宋体"/>
          <w:color w:val="auto"/>
          <w:sz w:val="24"/>
          <w:szCs w:val="24"/>
          <w:highlight w:val="none"/>
          <w:lang w:val="en-US" w:eastAsia="zh-CN"/>
        </w:rPr>
        <w:t xml:space="preserve">5万</w:t>
      </w:r>
      <w:r>
        <w:rPr>
          <w:rFonts w:hint="eastAsia" w:ascii="宋体" w:hAnsi="宋体" w:eastAsia="宋体" w:cs="宋体"/>
          <w:color w:val="auto"/>
          <w:sz w:val="24"/>
          <w:szCs w:val="24"/>
          <w:highlight w:val="none"/>
        </w:rPr>
        <w:t xml:space="preserve">元，第二年养护资金不得高于</w:t>
      </w:r>
      <w:r>
        <w:rPr>
          <w:rFonts w:hint="eastAsia"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万元，第三年养护资金不得高于</w:t>
      </w:r>
      <w:r>
        <w:rPr>
          <w:rFonts w:hint="eastAsia"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凡超出上述任一限额的投标报价，均作无效标处理。</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昭明北路、水星大道、汤农路、平坦路、林泉路、山水田园旁广场地块绿地进行绿化养护</w:t>
      </w:r>
      <w:r>
        <w:rPr>
          <w:rFonts w:hint="eastAsia" w:ascii="宋体" w:hAnsi="宋体" w:cs="宋体"/>
          <w:color w:val="auto"/>
          <w:sz w:val="24"/>
          <w:szCs w:val="24"/>
          <w:highlight w:val="none"/>
        </w:rPr>
        <w:t xml:space="preserve">（详细内容</w:t>
      </w:r>
      <w:r>
        <w:rPr>
          <w:rFonts w:hint="eastAsia" w:asciiTheme="minorEastAsia" w:hAnsiTheme="minorEastAsia" w:eastAsiaTheme="minorEastAsia" w:cstheme="minorEastAsia"/>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招标文件“第四章采购需求”</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pStyle w:val="710"/>
        <w:ind w:left="0" w:right="0"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履行期限</w:t>
      </w:r>
      <w:r>
        <w:rPr>
          <w:rFonts w:hint="eastAsia" w:ascii="宋体" w:hAnsi="宋体" w:eastAsia="宋体" w:cs="宋体"/>
          <w:color w:val="auto"/>
          <w:sz w:val="24"/>
          <w:szCs w:val="24"/>
          <w:highlight w:val="none"/>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rPr>
          <w:rFonts w:hint="eastAsia" w:ascii="宋体" w:hAnsi="宋体" w:cs="宋体"/>
          <w:color w:val="auto"/>
          <w:sz w:val="24"/>
          <w:szCs w:val="24"/>
          <w:highlight w:val="none"/>
          <w:lang w:val="en-US"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p>
    <w:p>
      <w:pPr>
        <w:pStyle w:val="671"/>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61" w:name="_Toc23346"/>
      <w:r/>
      <w:bookmarkStart w:id="62" w:name="_Toc22837"/>
      <w:r/>
      <w:bookmarkStart w:id="63" w:name="_Toc35393791"/>
      <w:r/>
      <w:bookmarkStart w:id="64" w:name="_Toc28359003"/>
      <w:r/>
      <w:bookmarkStart w:id="65" w:name="_Toc31207"/>
      <w:r/>
      <w:bookmarkStart w:id="66" w:name="_Toc11319"/>
      <w:r/>
      <w:bookmarkStart w:id="67" w:name="_Toc21530"/>
      <w:r/>
      <w:bookmarkStart w:id="68" w:name="_Toc35393622"/>
      <w:r/>
      <w:bookmarkStart w:id="69" w:name="_Toc6918"/>
      <w:r/>
      <w:bookmarkStart w:id="70" w:name="_Toc19538"/>
      <w:r/>
      <w:bookmarkStart w:id="71" w:name="_Toc100841902"/>
      <w:r/>
      <w:bookmarkStart w:id="72" w:name="_Toc21882"/>
      <w:r/>
      <w:bookmarkStart w:id="73" w:name="_Toc9342"/>
      <w:r/>
      <w:bookmarkStart w:id="74" w:name="_Toc28927"/>
      <w:r/>
      <w:bookmarkStart w:id="75" w:name="_Toc29628"/>
      <w:r/>
      <w:bookmarkStart w:id="76" w:name="_Toc28359080"/>
      <w:r/>
      <w:bookmarkStart w:id="77" w:name="_Toc10957"/>
      <w:r>
        <w:rPr>
          <w:rFonts w:hint="eastAsia" w:ascii="宋体" w:hAnsi="宋体" w:eastAsia="宋体" w:cs="宋体"/>
          <w:b/>
          <w:bCs/>
          <w:color w:val="auto"/>
          <w:sz w:val="24"/>
          <w:szCs w:val="24"/>
          <w:highlight w:val="none"/>
        </w:rPr>
        <w:t xml:space="preserve">二、申请人的资格要求</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right="0" w:firstLine="482"/>
        <w:pageBreakBefore w:val="0"/>
        <w:spacing w:line="360" w:lineRule="auto"/>
        <w:widowControl/>
        <w:rPr>
          <w:rFonts w:hint="eastAsia" w:ascii="宋体" w:hAnsi="宋体" w:eastAsia="宋体" w:cs="宋体"/>
          <w:b/>
          <w:bCs/>
          <w:color w:val="auto"/>
          <w:sz w:val="24"/>
          <w:szCs w:val="24"/>
          <w:highlight w:val="none"/>
          <w:lang w:eastAsia="zh-CN"/>
        </w:rPr>
      </w:pPr>
      <w:r/>
      <w:bookmarkStart w:id="78" w:name="_Toc28359081"/>
      <w:r/>
      <w:bookmarkStart w:id="79" w:name="_Toc28359004"/>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w:t>
      </w:r>
      <w:r>
        <w:rPr>
          <w:rFonts w:hint="eastAsia" w:ascii="宋体" w:hAnsi="宋体" w:eastAsia="宋体" w:cs="宋体"/>
          <w:b/>
          <w:bCs/>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2"/>
        <w:pageBreakBefore w:val="0"/>
        <w:spacing w:line="360" w:lineRule="auto"/>
        <w:widowControl/>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cs="宋体"/>
          <w:b w:val="0"/>
          <w:bCs w:val="0"/>
          <w:color w:val="auto"/>
          <w:sz w:val="24"/>
          <w:szCs w:val="24"/>
          <w:highlight w:val="none"/>
          <w:lang w:val="en-US" w:eastAsia="zh-CN"/>
        </w:rPr>
        <w:t xml:space="preserve">无</w:t>
      </w:r>
      <w:r>
        <w:rPr>
          <w:rFonts w:hint="eastAsia" w:ascii="宋体" w:hAnsi="宋体" w:eastAsia="宋体" w:cs="宋体"/>
          <w:b w:val="0"/>
          <w:bCs w:val="0"/>
          <w:color w:val="auto"/>
          <w:sz w:val="24"/>
          <w:szCs w:val="24"/>
          <w:highlight w:val="none"/>
          <w:lang w:val="en-US" w:eastAsia="zh-CN"/>
        </w:rPr>
        <w:t xml:space="preserve">。</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参加本次</w:t>
      </w:r>
      <w:r>
        <w:rPr>
          <w:rFonts w:hint="eastAsia"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val="en-US" w:eastAsia="zh-CN"/>
        </w:rPr>
        <w:t xml:space="preserve">活动</w:t>
      </w:r>
      <w:r>
        <w:rPr>
          <w:rFonts w:hint="eastAsia" w:ascii="宋体" w:hAnsi="宋体" w:eastAsia="宋体" w:cs="宋体"/>
          <w:b/>
          <w:bCs/>
          <w:color w:val="auto"/>
          <w:sz w:val="24"/>
          <w:szCs w:val="24"/>
          <w:highlight w:val="none"/>
        </w:rPr>
        <w:t xml:space="preserve">（符合并提供相关书面声明</w:t>
      </w:r>
      <w:r>
        <w:rPr>
          <w:rFonts w:hint="eastAsia" w:cs="宋体"/>
          <w:b/>
          <w:bCs/>
          <w:color w:val="auto"/>
          <w:sz w:val="24"/>
          <w:szCs w:val="24"/>
          <w:highlight w:val="none"/>
          <w:lang w:val="en-US" w:eastAsia="zh-CN"/>
        </w:rPr>
        <w:t xml:space="preserve">，加盖电子公章</w:t>
      </w:r>
      <w:r>
        <w:rPr>
          <w:rFonts w:hint="eastAsia" w:ascii="宋体" w:hAnsi="宋体" w:eastAsia="宋体" w:cs="宋体"/>
          <w:b/>
          <w:bCs/>
          <w:color w:val="auto"/>
          <w:sz w:val="24"/>
          <w:szCs w:val="24"/>
          <w:highlight w:val="none"/>
          <w:lang w:val="en-US" w:eastAsia="zh-CN"/>
        </w:rPr>
        <w:t xml:space="preserve">扫描上传至电子</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w:t>
      </w:r>
      <w:r>
        <w:rPr>
          <w:rFonts w:hint="eastAsia" w:ascii="宋体" w:hAnsi="宋体" w:eastAsia="宋体" w:cs="Times New Roman"/>
          <w:color w:val="auto"/>
          <w:sz w:val="24"/>
          <w:szCs w:val="24"/>
          <w:highlight w:val="none"/>
        </w:rPr>
        <w:t xml:space="preserve">不同</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，不得参加同一合同项下的</w:t>
      </w:r>
      <w:r>
        <w:rPr>
          <w:rFonts w:hint="eastAsia" w:ascii="宋体" w:hAnsi="宋体" w:eastAsia="宋体" w:cs="Times New Roman"/>
          <w:color w:val="auto"/>
          <w:sz w:val="24"/>
          <w:szCs w:val="24"/>
          <w:highlight w:val="none"/>
        </w:rPr>
        <w:t xml:space="preserve">政府采购活动</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，不得参加本项目的</w:t>
      </w:r>
      <w:r>
        <w:rPr>
          <w:rFonts w:hint="eastAsia" w:ascii="宋体" w:hAnsi="宋体" w:eastAsia="宋体" w:cs="Times New Roman"/>
          <w:color w:val="auto"/>
          <w:sz w:val="24"/>
          <w:szCs w:val="24"/>
          <w:highlight w:val="none"/>
        </w:rPr>
        <w:t xml:space="preserve">采购活动</w:t>
      </w:r>
      <w:r>
        <w:rPr>
          <w:rFonts w:hint="eastAsia" w:ascii="宋体" w:hAnsi="宋体" w:eastAsia="宋体" w:cs="宋体"/>
          <w:b w:val="0"/>
          <w:bCs w:val="0"/>
          <w:color w:val="auto"/>
          <w:sz w:val="24"/>
          <w:szCs w:val="24"/>
          <w:highlight w:val="none"/>
          <w:lang w:val="en-US" w:eastAsia="zh-CN"/>
        </w:rPr>
        <w:t xml:space="preserve">。</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网站（www.creditchina.gov.cn）列入失信被执行人、重大税收违法案件当事人名单、政府采购严重失信行为记录名单。</w:t>
      </w:r>
      <w:r/>
    </w:p>
    <w:p>
      <w:pPr>
        <w:pStyle w:val="671"/>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bookmarkStart w:id="80" w:name="_Toc30429"/>
      <w:r/>
      <w:bookmarkStart w:id="81" w:name="_Toc35393792"/>
      <w:r/>
      <w:bookmarkStart w:id="82" w:name="_Toc22027"/>
      <w:r/>
      <w:bookmarkStart w:id="83" w:name="_Toc19316"/>
      <w:r/>
      <w:bookmarkStart w:id="84" w:name="_Toc35393623"/>
      <w:r/>
      <w:bookmarkStart w:id="85" w:name="_Toc16687"/>
      <w:r/>
      <w:bookmarkStart w:id="86" w:name="_Toc1377"/>
      <w:r/>
      <w:bookmarkStart w:id="87" w:name="_Toc100841903"/>
      <w:r/>
      <w:bookmarkStart w:id="88" w:name="_Toc5833"/>
      <w:r/>
      <w:bookmarkStart w:id="89" w:name="_Toc30406"/>
      <w:r/>
      <w:bookmarkStart w:id="90" w:name="_Toc29486"/>
      <w:r/>
      <w:bookmarkStart w:id="91" w:name="_Toc5113"/>
      <w:r/>
      <w:bookmarkStart w:id="92" w:name="_Toc12352"/>
      <w:r/>
      <w:bookmarkStart w:id="93" w:name="_Toc12338"/>
      <w:r/>
      <w:bookmarkStart w:id="94" w:name="_Toc12440"/>
      <w:r>
        <w:rPr>
          <w:rFonts w:hint="eastAsia" w:ascii="宋体" w:hAnsi="宋体" w:eastAsia="宋体" w:cs="宋体"/>
          <w:b/>
          <w:bCs/>
          <w:color w:val="auto"/>
          <w:sz w:val="24"/>
          <w:szCs w:val="24"/>
          <w:highlight w:val="none"/>
        </w:rPr>
        <w:t xml:space="preserve">三、</w:t>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bCs/>
          <w:color w:val="auto"/>
          <w:sz w:val="24"/>
          <w:szCs w:val="24"/>
          <w:highlight w:val="none"/>
        </w:rPr>
        <w:t xml:space="preserve">获取</w:t>
      </w:r>
      <w:r>
        <w:rPr>
          <w:rFonts w:hint="eastAsia"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lang w:eastAsia="zh-CN"/>
        </w:rPr>
        <w:t xml:space="preserve">文件</w:t>
      </w:r>
      <w:bookmarkEnd w:id="89"/>
      <w:r/>
      <w:bookmarkEnd w:id="90"/>
      <w:r/>
      <w:bookmarkEnd w:id="91"/>
      <w:r/>
      <w:bookmarkEnd w:id="92"/>
      <w:r/>
      <w:bookmarkEnd w:id="93"/>
      <w:r/>
      <w:bookmarkEnd w:id="94"/>
      <w:r/>
      <w:r/>
    </w:p>
    <w:p>
      <w:pPr>
        <w:pStyle w:val="671"/>
        <w:ind w:left="0" w:right="0" w:firstLine="480"/>
        <w:keepLines w:val="0"/>
        <w:keepNext w:val="0"/>
        <w:pageBreakBefore w:val="0"/>
        <w:spacing w:before="0" w:after="0" w:line="360" w:lineRule="auto"/>
        <w:rPr>
          <w:rFonts w:hint="eastAsia" w:ascii="宋体" w:hAnsi="宋体" w:cs="宋体"/>
          <w:color w:val="auto"/>
          <w:sz w:val="24"/>
          <w:szCs w:val="24"/>
          <w:highlight w:val="none"/>
        </w:rPr>
      </w:pPr>
      <w:r/>
      <w:bookmarkStart w:id="95" w:name="_Toc16246"/>
      <w:r/>
      <w:bookmarkStart w:id="96" w:name="_Toc20348"/>
      <w:r/>
      <w:bookmarkStart w:id="97" w:name="_Toc25725"/>
      <w:r/>
      <w:bookmarkStart w:id="98" w:name="_Toc26469"/>
      <w:r/>
      <w:bookmarkStart w:id="99" w:name="_Toc6102"/>
      <w:r/>
      <w:bookmarkStart w:id="100" w:name="_Toc18332"/>
      <w:r/>
      <w:bookmarkStart w:id="101" w:name="_Toc28308"/>
      <w:r/>
      <w:bookmarkStart w:id="102" w:name="_Toc21775"/>
      <w:r/>
      <w:bookmarkStart w:id="103" w:name="_Toc28893"/>
      <w:r/>
      <w:bookmarkStart w:id="104" w:name="_Toc8379"/>
      <w:r/>
      <w:bookmarkStart w:id="105" w:name="_Toc20039"/>
      <w:r/>
      <w:bookmarkStart w:id="106" w:name="OLE_LINK7"/>
      <w:r>
        <w:rPr>
          <w:rFonts w:hint="eastAsia" w:ascii="宋体" w:hAnsi="宋体" w:eastAsia="宋体" w:cs="宋体"/>
          <w:b w:val="0"/>
          <w:bCs w:val="0"/>
          <w:color w:val="auto"/>
          <w:sz w:val="24"/>
          <w:szCs w:val="24"/>
          <w:highlight w:val="none"/>
          <w:lang w:val="zh-CN" w:eastAsia="zh-CN" w:bidi="ar-SA"/>
        </w:rPr>
        <w:t xml:space="preserve">时间：</w:t>
      </w:r>
      <w:bookmarkEnd w:id="95"/>
      <w:r/>
      <w:bookmarkEnd w:id="96"/>
      <w:r/>
      <w:bookmarkEnd w:id="97"/>
      <w:r/>
      <w:bookmarkEnd w:id="98"/>
      <w:r/>
      <w:bookmarkEnd w:id="99"/>
      <w:r/>
      <w:bookmarkEnd w:id="100"/>
      <w:r/>
      <w:bookmarkEnd w:id="101"/>
      <w:r/>
      <w:bookmarkEnd w:id="102"/>
      <w:r/>
      <w:bookmarkEnd w:id="103"/>
      <w:r/>
      <w:bookmarkEnd w:id="104"/>
      <w:r/>
      <w:bookmarkStart w:id="107" w:name="_Toc24899"/>
      <w:r/>
      <w:bookmarkStart w:id="108" w:name="_Toc9499"/>
      <w:r/>
      <w:bookmarkStart w:id="109" w:name="_Toc12222"/>
      <w:r/>
      <w:bookmarkStart w:id="110" w:name="_Toc17435"/>
      <w:r/>
      <w:bookmarkStart w:id="111" w:name="_Toc23444"/>
      <w:r/>
      <w:bookmarkStart w:id="112" w:name="_Toc7135"/>
      <w:r/>
      <w:bookmarkStart w:id="113" w:name="_Toc20639"/>
      <w:r/>
      <w:bookmarkStart w:id="114" w:name="_Toc102"/>
      <w:r/>
      <w:bookmarkStart w:id="115" w:name="_Toc7847"/>
      <w:r/>
      <w:bookmarkStart w:id="116" w:name="_Toc17139"/>
      <w:r>
        <w:rPr>
          <w:rFonts w:hint="eastAsia" w:ascii="宋体" w:hAnsi="宋体" w:cs="宋体"/>
          <w:color w:val="auto"/>
          <w:sz w:val="24"/>
          <w:szCs w:val="24"/>
          <w:highlight w:val="none"/>
        </w:rPr>
        <w:t xml:space="preserve">自招标文件公告发布之日起。</w:t>
      </w:r>
      <w:bookmarkEnd w:id="105"/>
      <w:r/>
      <w:r/>
    </w:p>
    <w:p>
      <w:pPr>
        <w:pStyle w:val="671"/>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7" w:name="_Toc11379"/>
      <w:r>
        <w:rPr>
          <w:rFonts w:hint="eastAsia" w:ascii="宋体" w:hAnsi="宋体" w:eastAsia="宋体" w:cs="宋体"/>
          <w:b w:val="0"/>
          <w:bCs w:val="0"/>
          <w:color w:val="auto"/>
          <w:sz w:val="24"/>
          <w:szCs w:val="24"/>
          <w:highlight w:val="none"/>
          <w:lang w:val="zh-CN" w:eastAsia="zh-CN" w:bidi="ar-SA"/>
        </w:rPr>
        <w:t xml:space="preserve">地点：</w:t>
      </w:r>
      <w:bookmarkEnd w:id="107"/>
      <w:r/>
      <w:bookmarkEnd w:id="108"/>
      <w:r/>
      <w:bookmarkEnd w:id="109"/>
      <w:r/>
      <w:bookmarkEnd w:id="110"/>
      <w:r/>
      <w:bookmarkEnd w:id="111"/>
      <w:r/>
      <w:bookmarkStart w:id="118" w:name="_Toc16482"/>
      <w:r>
        <w:rPr>
          <w:rFonts w:hint="eastAsia"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用CA证书登录</w:t>
      </w:r>
      <w:r>
        <w:rPr>
          <w:rFonts w:hint="eastAsia" w:ascii="宋体" w:hAnsi="宋体" w:eastAsia="宋体" w:cs="宋体"/>
          <w:b w:val="0"/>
          <w:bCs/>
          <w:color w:val="auto"/>
          <w:sz w:val="24"/>
          <w:szCs w:val="24"/>
          <w:highlight w:val="none"/>
          <w:u w:val="none"/>
          <w:lang w:val="en-US" w:eastAsia="zh-CN"/>
        </w:rPr>
        <w:t xml:space="preserve">“江苏政府采购‘苏采云’系统”自行免费下载</w:t>
      </w:r>
      <w:bookmarkEnd w:id="112"/>
      <w:r/>
      <w:bookmarkEnd w:id="113"/>
      <w:r/>
      <w:bookmarkEnd w:id="114"/>
      <w:r/>
      <w:bookmarkEnd w:id="115"/>
      <w:r/>
      <w:bookmarkEnd w:id="116"/>
      <w:r/>
      <w:bookmarkEnd w:id="117"/>
      <w:r/>
      <w:r/>
    </w:p>
    <w:p>
      <w:pPr>
        <w:pStyle w:val="671"/>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9" w:name="_Toc22590"/>
      <w:r/>
      <w:bookmarkStart w:id="120" w:name="_Toc9202"/>
      <w:r/>
      <w:bookmarkStart w:id="121" w:name="_Toc25661"/>
      <w:r/>
      <w:bookmarkStart w:id="122" w:name="_Toc21933"/>
      <w:r/>
      <w:bookmarkStart w:id="123" w:name="_Toc29730"/>
      <w:r/>
      <w:bookmarkStart w:id="124" w:name="_Toc8989"/>
      <w:r/>
      <w:bookmarkStart w:id="125" w:name="_Toc308"/>
      <w:r/>
      <w:bookmarkStart w:id="126" w:name="_Toc12624"/>
      <w:r/>
      <w:bookmarkStart w:id="127" w:name="_Toc13496"/>
      <w:r/>
      <w:bookmarkStart w:id="128" w:name="_Toc27683"/>
      <w:r>
        <w:rPr>
          <w:rFonts w:hint="eastAsia" w:ascii="宋体" w:hAnsi="宋体" w:eastAsia="宋体" w:cs="宋体"/>
          <w:b w:val="0"/>
          <w:bCs w:val="0"/>
          <w:color w:val="auto"/>
          <w:sz w:val="24"/>
          <w:szCs w:val="24"/>
          <w:highlight w:val="none"/>
          <w:lang w:val="zh-CN" w:eastAsia="zh-CN" w:bidi="ar-SA"/>
        </w:rPr>
        <w:t xml:space="preserve">方式：</w:t>
      </w:r>
      <w:bookmarkEnd w:id="118"/>
      <w:r>
        <w:rPr>
          <w:rFonts w:hint="eastAsia" w:cs="宋体"/>
          <w:b w:val="0"/>
          <w:bCs w:val="0"/>
          <w:color w:val="auto"/>
          <w:sz w:val="24"/>
          <w:szCs w:val="24"/>
          <w:highlight w:val="none"/>
          <w:lang w:val="zh-CN"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登陆“江苏政府采购网”，在网站首页点击“苏采云”，使用</w:t>
      </w:r>
      <w:r>
        <w:rPr>
          <w:rFonts w:hint="eastAsia" w:ascii="宋体" w:hAnsi="宋体" w:eastAsia="宋体" w:cs="宋体"/>
          <w:b w:val="0"/>
          <w:bCs w:val="0"/>
          <w:color w:val="auto"/>
          <w:sz w:val="24"/>
          <w:szCs w:val="24"/>
          <w:highlight w:val="none"/>
          <w:lang w:val="en-US" w:eastAsia="zh-CN" w:bidi="ar-SA"/>
        </w:rPr>
        <w:t xml:space="preserve">CA</w:t>
      </w:r>
      <w:r>
        <w:rPr>
          <w:rFonts w:hint="eastAsia" w:ascii="宋体" w:hAnsi="宋体" w:eastAsia="宋体" w:cs="宋体"/>
          <w:b w:val="0"/>
          <w:bCs w:val="0"/>
          <w:color w:val="auto"/>
          <w:sz w:val="24"/>
          <w:szCs w:val="24"/>
          <w:highlight w:val="none"/>
          <w:lang w:val="zh-CN" w:eastAsia="zh-CN" w:bidi="ar-SA"/>
        </w:rPr>
        <w:t xml:space="preserve">锁登录系统</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新用户需进行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平台用户注册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项目参与</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进行登记，在</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可参与项目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中选择“我要参与”，参与成功后到“已参与项目”界面中找到该项目下载文件并进行操作。</w:t>
      </w:r>
      <w:bookmarkEnd w:id="119"/>
      <w:r/>
      <w:bookmarkEnd w:id="120"/>
      <w:r/>
      <w:bookmarkEnd w:id="121"/>
      <w:r/>
      <w:bookmarkEnd w:id="122"/>
      <w:r/>
      <w:bookmarkEnd w:id="123"/>
      <w:r/>
      <w:bookmarkEnd w:id="124"/>
      <w:r/>
      <w:bookmarkEnd w:id="125"/>
      <w:r/>
      <w:bookmarkEnd w:id="126"/>
      <w:r/>
      <w:bookmarkEnd w:id="127"/>
      <w:r/>
      <w:bookmarkEnd w:id="128"/>
      <w:r/>
      <w:r/>
    </w:p>
    <w:p>
      <w:pPr>
        <w:pStyle w:val="671"/>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rPr>
      </w:pPr>
      <w:r/>
      <w:bookmarkStart w:id="129" w:name="_Toc12549"/>
      <w:r/>
      <w:bookmarkStart w:id="130" w:name="_Toc30667"/>
      <w:r/>
      <w:bookmarkStart w:id="131" w:name="_Toc32648"/>
      <w:r/>
      <w:bookmarkStart w:id="132" w:name="_Toc14891"/>
      <w:r/>
      <w:bookmarkStart w:id="133" w:name="_Toc3482"/>
      <w:r/>
      <w:bookmarkStart w:id="134" w:name="_Toc6716"/>
      <w:r/>
      <w:bookmarkStart w:id="135" w:name="_Toc23161"/>
      <w:r/>
      <w:bookmarkStart w:id="136" w:name="_Toc16003"/>
      <w:r/>
      <w:bookmarkStart w:id="137" w:name="_Toc3394"/>
      <w:r/>
      <w:bookmarkStart w:id="138" w:name="_Toc23258"/>
      <w:r/>
      <w:bookmarkStart w:id="139" w:name="_Toc2023"/>
      <w:r>
        <w:rPr>
          <w:rFonts w:hint="eastAsia" w:ascii="宋体" w:hAnsi="宋体" w:eastAsia="宋体" w:cs="宋体"/>
          <w:b w:val="0"/>
          <w:bCs w:val="0"/>
          <w:color w:val="auto"/>
          <w:sz w:val="24"/>
          <w:szCs w:val="24"/>
          <w:highlight w:val="none"/>
          <w:lang w:val="zh-CN" w:eastAsia="zh-CN" w:bidi="ar-SA"/>
        </w:rPr>
        <w:t xml:space="preserve">文件售价：0.00元</w:t>
      </w:r>
      <w:bookmarkEnd w:id="106"/>
      <w:r/>
      <w:bookmarkEnd w:id="129"/>
      <w:r/>
      <w:bookmarkEnd w:id="130"/>
      <w:r/>
      <w:bookmarkEnd w:id="131"/>
      <w:r/>
      <w:bookmarkEnd w:id="132"/>
      <w:r/>
      <w:bookmarkEnd w:id="133"/>
      <w:r/>
      <w:bookmarkEnd w:id="134"/>
      <w:r/>
      <w:bookmarkEnd w:id="135"/>
      <w:r/>
      <w:bookmarkEnd w:id="136"/>
      <w:r/>
      <w:bookmarkEnd w:id="137"/>
      <w:r/>
      <w:bookmarkEnd w:id="138"/>
      <w:r/>
      <w:bookmarkEnd w:id="139"/>
      <w:r/>
      <w:r/>
    </w:p>
    <w:p>
      <w:pPr>
        <w:pStyle w:val="671"/>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140" w:name="_Toc9301"/>
      <w:r/>
      <w:bookmarkStart w:id="141" w:name="_Toc25469"/>
      <w:r/>
      <w:bookmarkStart w:id="142" w:name="_Toc35393624"/>
      <w:r/>
      <w:bookmarkStart w:id="143" w:name="_Toc24521"/>
      <w:r/>
      <w:bookmarkStart w:id="144" w:name="_Toc25082"/>
      <w:r/>
      <w:bookmarkStart w:id="145" w:name="_Toc24145"/>
      <w:r/>
      <w:bookmarkStart w:id="146" w:name="_Toc4748"/>
      <w:r/>
      <w:bookmarkStart w:id="147" w:name="_Toc32269"/>
      <w:r/>
      <w:bookmarkStart w:id="148" w:name="_Toc35393793"/>
      <w:r/>
      <w:bookmarkStart w:id="149" w:name="_Toc28359082"/>
      <w:r/>
      <w:bookmarkStart w:id="150" w:name="_Toc27477"/>
      <w:r/>
      <w:bookmarkStart w:id="151" w:name="_Toc11283"/>
      <w:r/>
      <w:bookmarkStart w:id="152" w:name="_Toc100841904"/>
      <w:r/>
      <w:bookmarkStart w:id="153" w:name="_Toc28359005"/>
      <w:r/>
      <w:bookmarkStart w:id="154" w:name="_Toc19414"/>
      <w:r/>
      <w:bookmarkStart w:id="155" w:name="_Toc910"/>
      <w:r/>
      <w:bookmarkStart w:id="156" w:name="_Toc31400"/>
      <w:r>
        <w:rPr>
          <w:rFonts w:hint="eastAsia" w:ascii="宋体" w:hAnsi="宋体" w:eastAsia="宋体" w:cs="宋体"/>
          <w:b/>
          <w:bCs/>
          <w:color w:val="auto"/>
          <w:sz w:val="24"/>
          <w:szCs w:val="24"/>
          <w:highlight w:val="none"/>
        </w:rPr>
        <w:t xml:space="preserve">四、</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cs="宋体"/>
          <w:b/>
          <w:bCs/>
          <w:color w:val="auto"/>
          <w:sz w:val="24"/>
          <w:szCs w:val="24"/>
          <w:highlight w:val="none"/>
        </w:rPr>
        <w:t xml:space="preserve">提交投标文件截止时间、开标时间和地点</w:t>
      </w:r>
      <w:bookmarkEnd w:id="156"/>
      <w:r/>
      <w:r/>
    </w:p>
    <w:p>
      <w:pPr>
        <w:pStyle w:val="671"/>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1.提交投标文件截止时间、开标时间：202</w:t>
      </w: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年</w:t>
      </w:r>
      <w:r>
        <w:rPr>
          <w:rFonts w:hint="eastAsia" w:ascii="宋体" w:hAnsi="宋体" w:eastAsia="宋体" w:cs="宋体"/>
          <w:b w:val="0"/>
          <w:bCs w:val="0"/>
          <w:color w:val="auto"/>
          <w:sz w:val="24"/>
          <w:szCs w:val="24"/>
          <w:highlight w:val="none"/>
          <w:lang w:val="en-US" w:eastAsia="zh-CN" w:bidi="ar-SA"/>
        </w:rPr>
        <w:t xml:space="preserve"> </w:t>
      </w:r>
      <w:r>
        <w:rPr>
          <w:rFonts w:hint="eastAsia"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zh-CN" w:eastAsia="zh-CN" w:bidi="ar-SA"/>
        </w:rPr>
        <w:t xml:space="preserve">月</w:t>
      </w:r>
      <w:r>
        <w:rPr>
          <w:rFonts w:hint="eastAsia" w:ascii="宋体" w:hAnsi="宋体" w:eastAsia="宋体" w:cs="宋体"/>
          <w:b w:val="0"/>
          <w:bCs w:val="0"/>
          <w:color w:val="auto"/>
          <w:sz w:val="24"/>
          <w:szCs w:val="24"/>
          <w:highlight w:val="none"/>
          <w:lang w:val="en-US" w:eastAsia="zh-CN" w:bidi="ar-SA"/>
        </w:rPr>
        <w:t xml:space="preserve"> 13</w:t>
      </w:r>
      <w:r>
        <w:rPr>
          <w:rFonts w:hint="eastAsia" w:ascii="宋体" w:hAnsi="宋体" w:eastAsia="宋体" w:cs="宋体"/>
          <w:b w:val="0"/>
          <w:bCs w:val="0"/>
          <w:color w:val="auto"/>
          <w:sz w:val="24"/>
          <w:szCs w:val="24"/>
          <w:highlight w:val="none"/>
          <w:lang w:val="zh-CN" w:eastAsia="zh-CN" w:bidi="ar-SA"/>
        </w:rPr>
        <w:t xml:space="preserve">日9点30分（北京时间）</w:t>
      </w:r>
      <w:r/>
    </w:p>
    <w:p>
      <w:pPr>
        <w:pStyle w:val="671"/>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2.地点：</w:t>
      </w:r>
      <w:r>
        <w:rPr>
          <w:rFonts w:hint="eastAsia" w:ascii="宋体" w:hAnsi="宋体" w:eastAsia="宋体" w:cs="宋体"/>
          <w:b w:val="0"/>
          <w:bCs w:val="0"/>
          <w:color w:val="auto"/>
          <w:sz w:val="24"/>
          <w:szCs w:val="24"/>
          <w:highlight w:val="none"/>
          <w:lang w:val="en-US" w:eastAsia="zh-CN" w:bidi="ar-SA"/>
        </w:rPr>
        <w:t xml:space="preserve">“江苏政府采购‘苏采云’系统”不见面开标大厅。</w:t>
      </w:r>
      <w:r/>
    </w:p>
    <w:p>
      <w:pPr>
        <w:ind w:right="0"/>
        <w:pageBreakBefore w:val="0"/>
        <w:spacing w:line="360" w:lineRule="auto"/>
        <w:rPr>
          <w:rFonts w:hint="eastAsia" w:ascii="宋体" w:hAnsi="宋体" w:eastAsia="宋体" w:cs="宋体"/>
          <w:bCs/>
          <w:color w:val="auto"/>
          <w:sz w:val="24"/>
          <w:szCs w:val="24"/>
          <w:highlight w:val="none"/>
          <w:u w:val="none"/>
          <w:lang w:eastAsia="zh-CN"/>
        </w:rPr>
      </w:pPr>
      <w:r>
        <w:rPr>
          <w:rFonts w:hint="eastAsia" w:cs="宋体"/>
          <w:b/>
          <w:bCs/>
          <w:color w:val="auto"/>
          <w:sz w:val="24"/>
          <w:szCs w:val="24"/>
          <w:highlight w:val="none"/>
          <w:u w:val="none"/>
          <w:lang w:val="en-US" w:eastAsia="zh-CN"/>
        </w:rPr>
        <w:t xml:space="preserve">五</w:t>
      </w:r>
      <w:r>
        <w:rPr>
          <w:rFonts w:hint="eastAsia" w:ascii="宋体" w:hAnsi="宋体" w:eastAsia="宋体" w:cs="宋体"/>
          <w:b/>
          <w:bCs/>
          <w:color w:val="auto"/>
          <w:sz w:val="24"/>
          <w:szCs w:val="24"/>
          <w:highlight w:val="none"/>
        </w:rPr>
        <w:t xml:space="preserve">、公告期限</w:t>
      </w:r>
      <w:r/>
    </w:p>
    <w:p>
      <w:pPr>
        <w:ind w:right="0" w:firstLine="480"/>
        <w:pageBreakBefore w:val="0"/>
        <w:spacing w:line="360" w:lineRule="auto"/>
        <w:rPr>
          <w:rFonts w:hint="eastAsia" w:ascii="宋体" w:hAnsi="宋体" w:eastAsia="宋体" w:cs="宋体"/>
          <w:bCs/>
          <w:color w:val="auto"/>
          <w:sz w:val="24"/>
          <w:szCs w:val="24"/>
          <w:highlight w:val="none"/>
          <w:u w:val="none"/>
        </w:rPr>
      </w:pPr>
      <w:r/>
      <w:bookmarkStart w:id="157" w:name="_Toc22119"/>
      <w:r/>
      <w:bookmarkStart w:id="158" w:name="_Toc35393626"/>
      <w:r/>
      <w:bookmarkStart w:id="159" w:name="_Toc2253"/>
      <w:r/>
      <w:bookmarkStart w:id="160" w:name="_Toc31372"/>
      <w:r/>
      <w:bookmarkStart w:id="161" w:name="_Toc35393795"/>
      <w:r/>
      <w:bookmarkStart w:id="162" w:name="_Toc100841906"/>
      <w:r/>
      <w:bookmarkStart w:id="163" w:name="_Toc8119"/>
      <w:r/>
      <w:bookmarkStart w:id="164" w:name="_Toc22628"/>
      <w:r/>
      <w:bookmarkStart w:id="165" w:name="_Toc1477"/>
      <w:r/>
      <w:bookmarkStart w:id="166" w:name="_Toc75982382"/>
      <w:r>
        <w:rPr>
          <w:rFonts w:hint="eastAsia" w:ascii="宋体" w:hAnsi="宋体" w:eastAsia="宋体" w:cs="宋体"/>
          <w:bCs/>
          <w:color w:val="auto"/>
          <w:sz w:val="24"/>
          <w:szCs w:val="24"/>
          <w:highlight w:val="none"/>
          <w:u w:val="none"/>
        </w:rPr>
        <w:t xml:space="preserve">公告期限为</w:t>
      </w:r>
      <w:r>
        <w:rPr>
          <w:rFonts w:hint="eastAsia" w:cs="宋体"/>
          <w:bCs/>
          <w:color w:val="auto"/>
          <w:sz w:val="24"/>
          <w:szCs w:val="24"/>
          <w:highlight w:val="none"/>
          <w:u w:val="none"/>
          <w:lang w:eastAsia="zh-CN"/>
        </w:rPr>
        <w:t xml:space="preserve">：</w:t>
      </w:r>
      <w:r>
        <w:rPr>
          <w:rFonts w:hint="eastAsia" w:ascii="宋体" w:hAnsi="宋体" w:cs="宋体"/>
          <w:color w:val="auto"/>
          <w:sz w:val="24"/>
          <w:szCs w:val="24"/>
          <w:highlight w:val="none"/>
        </w:rPr>
        <w:t xml:space="preserve">自本公告发布之日起5个工作日</w:t>
      </w:r>
      <w:r>
        <w:rPr>
          <w:rFonts w:hint="eastAsia" w:ascii="宋体" w:hAnsi="宋体" w:eastAsia="宋体" w:cs="宋体"/>
          <w:bCs/>
          <w:color w:val="auto"/>
          <w:sz w:val="24"/>
          <w:szCs w:val="24"/>
          <w:highlight w:val="none"/>
          <w:u w:val="none"/>
        </w:rPr>
        <w:t xml:space="preserve">。</w:t>
      </w:r>
      <w:r/>
    </w:p>
    <w:p>
      <w:pPr>
        <w:ind w:right="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u w:val="none"/>
          <w:lang w:val="en-US" w:eastAsia="en-US"/>
        </w:rPr>
        <w:t xml:space="preserve">、</w:t>
      </w:r>
      <w:r>
        <w:rPr>
          <w:rFonts w:hint="eastAsia" w:ascii="宋体" w:hAnsi="宋体" w:eastAsia="宋体" w:cs="宋体"/>
          <w:b/>
          <w:bCs/>
          <w:color w:val="auto"/>
          <w:sz w:val="24"/>
          <w:szCs w:val="24"/>
          <w:highlight w:val="none"/>
          <w:u w:val="none"/>
          <w:lang w:val="en-US" w:eastAsia="zh-CN"/>
        </w:rPr>
        <w:t xml:space="preserve">其他补充事宜</w:t>
      </w:r>
      <w:bookmarkEnd w:id="157"/>
      <w:r/>
      <w:bookmarkEnd w:id="158"/>
      <w:r/>
      <w:bookmarkEnd w:id="159"/>
      <w:r/>
      <w:bookmarkEnd w:id="160"/>
      <w:r/>
      <w:bookmarkEnd w:id="161"/>
      <w:r/>
      <w:bookmarkEnd w:id="162"/>
      <w:r/>
      <w:bookmarkEnd w:id="163"/>
      <w:r/>
      <w:bookmarkEnd w:id="164"/>
      <w:r/>
      <w:bookmarkEnd w:id="165"/>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bookmarkEnd w:id="166"/>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通过苏采云系统参与政府采购项目，需要办理江苏省政府采购数字证书及电子签章，具体详见苏采云系统登录页“新CA办理指南”。</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按《苏采云系统</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操作手册》（以下简称“操作手册”）进行注册，并制作上传电子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167" w:name="_Toc75982383"/>
      <w:r>
        <w:rPr>
          <w:rFonts w:hint="eastAsia" w:ascii="宋体" w:hAnsi="宋体" w:eastAsia="宋体" w:cs="宋体"/>
          <w:color w:val="auto"/>
          <w:sz w:val="24"/>
          <w:szCs w:val="24"/>
          <w:highlight w:val="none"/>
          <w:lang w:val="en-US" w:eastAsia="zh-CN"/>
        </w:rPr>
        <w:t xml:space="preserve">3</w:t>
      </w:r>
      <w:bookmarkEnd w:id="167"/>
      <w:r/>
      <w:bookmarkStart w:id="168" w:name="_Hlk86311268"/>
      <w:r>
        <w:rPr>
          <w:rFonts w:hint="eastAsia" w:ascii="宋体" w:hAnsi="宋体" w:eastAsia="宋体" w:cs="宋体"/>
          <w:color w:val="auto"/>
          <w:sz w:val="24"/>
          <w:szCs w:val="24"/>
          <w:highlight w:val="none"/>
          <w:lang w:eastAsia="zh-CN"/>
        </w:rPr>
        <w:t xml:space="preserve">.本项目通过“苏采云”系统进行电子采购，即</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从政府采购客户端工具制作并通过“苏采云”系统提交。</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应当通过“苏采云”系统提交数据电文形式的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（即电子投标）。未进行线上</w:t>
      </w:r>
      <w:r>
        <w:rPr>
          <w:rFonts w:hint="eastAsia" w:ascii="宋体" w:hAnsi="宋体" w:eastAsia="宋体" w:cs="宋体"/>
          <w:color w:val="auto"/>
          <w:sz w:val="24"/>
          <w:szCs w:val="24"/>
          <w:highlight w:val="none"/>
          <w:lang w:val="en-US" w:eastAsia="zh-CN"/>
        </w:rPr>
        <w:t xml:space="preserve">提交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并解密（因“苏采云”系统导致解密失败的除外）的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无效。“CA数字证书”的获取：</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。即：使用“电子签名认证证书（CA数字证书）”登录“苏采云”系统（网址：http：//jszfcg.jsczt.cn/），按照要求通过互联网方式提交首次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68"/>
      <w:r/>
      <w:r/>
    </w:p>
    <w:p>
      <w:pPr>
        <w:pStyle w:val="876"/>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只需在资格审查环节提供《南京市政府采购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在中标（成交）后，应按采购文件要求，将由信用承诺书替代的证明材料提交采购代理机构核验。经核验无误后，由采购人或采购代理机构发出中标（成交）通知书。</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876"/>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cs="宋体"/>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r/>
    </w:p>
    <w:p>
      <w:pPr>
        <w:pStyle w:val="876"/>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被列入严重失信主体名单；</w:t>
      </w:r>
      <w:r/>
    </w:p>
    <w:p>
      <w:pPr>
        <w:pStyle w:val="876"/>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876"/>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凡在南京地区参加政府采购活动的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，应当事先登陆“南京市政府采购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诚信档案管理系统”（http://222.190.243.84:8280/hodeframe2018_cxda/index.action）或“南京公共采购信息网”（https://njgc.jfh.com/）主页“南京市政府采购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诚信档案”栏目进行注册登记。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参加本次政府采购活动时，在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文件发布之日起至递交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截止日前，应先登录“南京市政府采购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诚信档案管理系统”在线打印其《南京市政府采购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信用记录表暨信用承诺书》，经法定代表人签字、加盖单位公章后作为投标文件的组成部分。</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本次招标不收取投标保证金。</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9.本项目不组织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 </w:t>
      </w:r>
      <w:r/>
    </w:p>
    <w:p>
      <w:pPr>
        <w:ind w:right="0"/>
        <w:pageBreakBefore w:val="0"/>
        <w:spacing w:line="360" w:lineRule="auto"/>
        <w:shd w:val="clear" w:color="auto" w:fill="ffffff"/>
        <w:widowControl/>
        <w:rPr>
          <w:rFonts w:hint="eastAsia" w:ascii="宋体" w:hAnsi="宋体" w:eastAsia="宋体" w:cs="宋体"/>
          <w:b/>
          <w:bCs w:val="0"/>
          <w:color w:val="auto"/>
          <w:sz w:val="24"/>
          <w:szCs w:val="24"/>
          <w:highlight w:val="none"/>
        </w:rPr>
      </w:pPr>
      <w:r/>
      <w:bookmarkStart w:id="169" w:name="_Toc28359085"/>
      <w:r/>
      <w:bookmarkStart w:id="170" w:name="_Toc386"/>
      <w:r/>
      <w:bookmarkStart w:id="171" w:name="_Toc28359008"/>
      <w:r/>
      <w:bookmarkStart w:id="172" w:name="_Toc35393627"/>
      <w:r/>
      <w:bookmarkStart w:id="173" w:name="_Toc35393796"/>
      <w:r>
        <w:rPr>
          <w:rFonts w:hint="eastAsia"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、对本次</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提出询问，请按以下方式联系。</w:t>
      </w:r>
      <w:bookmarkEnd w:id="169"/>
      <w:r/>
      <w:bookmarkEnd w:id="170"/>
      <w:r/>
      <w:bookmarkEnd w:id="171"/>
      <w:r/>
      <w:bookmarkEnd w:id="172"/>
      <w:r/>
      <w:bookmarkEnd w:id="173"/>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采购人信息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ind w:firstLine="480"/>
        <w:jc w:val="both"/>
        <w:spacing w:line="360" w:lineRule="auto"/>
        <w:rPr>
          <w:rFonts w:hint="eastAsia" w:ascii="宋体" w:hAnsi="宋体" w:eastAsia="宋体" w:cs="宋体"/>
          <w:color w:val="auto"/>
          <w:sz w:val="24"/>
          <w:szCs w:val="24"/>
          <w:highlight w:val="none"/>
          <w:lang w:eastAsia="zh-CN"/>
        </w:rPr>
      </w:pPr>
      <w:r/>
      <w:bookmarkStart w:id="174" w:name="OLE_LINK25"/>
      <w:r>
        <w:rPr>
          <w:rFonts w:hint="eastAsia" w:ascii="宋体" w:hAnsi="宋体" w:eastAsia="宋体" w:cs="宋体"/>
          <w:color w:val="auto"/>
          <w:sz w:val="24"/>
          <w:szCs w:val="24"/>
          <w:highlight w:val="none"/>
          <w:lang w:eastAsia="zh-CN"/>
        </w:rPr>
        <w:t xml:space="preserve">地址：南京市浦口区汤泉街道</w:t>
      </w:r>
      <w:r/>
    </w:p>
    <w:p>
      <w:pPr>
        <w:ind w:firstLine="48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联系人：</w:t>
      </w:r>
      <w:r>
        <w:rPr>
          <w:rFonts w:hint="eastAsia" w:cs="宋体"/>
          <w:color w:val="auto"/>
          <w:sz w:val="24"/>
          <w:szCs w:val="24"/>
          <w:highlight w:val="none"/>
          <w:lang w:val="en-US" w:eastAsia="zh-CN"/>
        </w:rPr>
        <w:t xml:space="preserve">冯工</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w:t>
      </w:r>
      <w:r>
        <w:rPr>
          <w:rFonts w:hint="eastAsia" w:cs="宋体"/>
          <w:color w:val="auto"/>
          <w:sz w:val="24"/>
          <w:szCs w:val="24"/>
          <w:highlight w:val="none"/>
          <w:lang w:val="en-US" w:eastAsia="zh-CN"/>
        </w:rPr>
        <w:t xml:space="preserve"> 15195910230</w:t>
      </w:r>
      <w:bookmarkEnd w:id="174"/>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采购代理机构信息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cs="宋体"/>
          <w:color w:val="auto"/>
          <w:sz w:val="24"/>
          <w:szCs w:val="24"/>
          <w:highlight w:val="none"/>
          <w:lang w:eastAsia="zh-CN"/>
        </w:rPr>
        <w:t xml:space="preserve">江苏首承项目管理有限公司</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址：南京市浦口区顶山街道浦云路珍珠雅苑18号9栋108室（峡谷烟酒中心旁2楼）</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cs="宋体"/>
          <w:color w:val="auto"/>
          <w:sz w:val="24"/>
          <w:szCs w:val="24"/>
          <w:highlight w:val="none"/>
          <w:lang w:val="en-US" w:eastAsia="zh-CN"/>
        </w:rPr>
        <w:t xml:space="preserve">陶涛</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val="en-US" w:eastAsia="zh-CN"/>
        </w:rPr>
        <w:t xml:space="preserve">13813095994</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项目联系方式</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陶涛</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rFonts w:hint="eastAsia" w:cs="宋体"/>
          <w:color w:val="auto"/>
          <w:sz w:val="24"/>
          <w:szCs w:val="24"/>
          <w:highlight w:val="none"/>
          <w:lang w:val="en-US" w:eastAsia="zh-CN"/>
        </w:rPr>
        <w:t xml:space="preserve">13813095994</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670"/>
        <w:jc w:val="center"/>
        <w:spacing w:line="360" w:lineRule="auto"/>
        <w:rPr>
          <w:b/>
          <w:bCs/>
          <w:color w:val="auto"/>
          <w:highlight w:val="none"/>
          <w:lang w:eastAsia="zh-CN"/>
        </w:rPr>
      </w:pPr>
      <w:r/>
      <w:bookmarkStart w:id="175" w:name="_Toc11605"/>
      <w:r/>
      <w:bookmarkStart w:id="176" w:name="_Toc17064"/>
      <w:r>
        <w:rPr>
          <w:rFonts w:hint="eastAsia"/>
          <w:b/>
          <w:bCs/>
          <w:color w:val="auto"/>
          <w:highlight w:val="none"/>
          <w:lang w:eastAsia="zh-CN"/>
        </w:rPr>
        <w:t xml:space="preserve">第二章 </w:t>
      </w:r>
      <w:r>
        <w:rPr>
          <w:rFonts w:hint="eastAsia"/>
          <w:b/>
          <w:bCs/>
          <w:color w:val="auto"/>
          <w:highlight w:val="none"/>
          <w:lang w:val="en-US" w:eastAsia="zh-CN"/>
        </w:rPr>
        <w:t xml:space="preserve">投标人</w:t>
      </w:r>
      <w:r>
        <w:rPr>
          <w:rFonts w:hint="eastAsia"/>
          <w:b/>
          <w:bCs/>
          <w:color w:val="auto"/>
          <w:highlight w:val="none"/>
          <w:lang w:eastAsia="zh-CN"/>
        </w:rPr>
        <w:t xml:space="preserve">须知</w:t>
      </w:r>
      <w:bookmarkEnd w:id="175"/>
      <w:r/>
      <w:bookmarkEnd w:id="176"/>
      <w:r/>
      <w:r/>
    </w:p>
    <w:p>
      <w:pPr>
        <w:jc w:val="center"/>
        <w:spacing w:line="360" w:lineRule="auto"/>
        <w:widowControl/>
        <w:rPr>
          <w:b/>
          <w:bCs/>
          <w:color w:val="auto"/>
          <w:spacing w:val="8"/>
          <w:sz w:val="24"/>
          <w:szCs w:val="24"/>
          <w:highlight w:val="none"/>
          <w:lang w:eastAsia="zh-CN"/>
        </w:rPr>
        <w:outlineLvl w:val="1"/>
      </w:pPr>
      <w:r/>
      <w:bookmarkStart w:id="177" w:name="_Toc6731"/>
      <w:r/>
      <w:bookmarkStart w:id="178" w:name="_Toc20830"/>
      <w:r/>
      <w:bookmarkStart w:id="179" w:name="_Toc1460"/>
      <w:r/>
      <w:bookmarkStart w:id="180" w:name="_Toc17488"/>
      <w:r/>
      <w:bookmarkStart w:id="181" w:name="_Toc9739"/>
      <w:r/>
      <w:bookmarkStart w:id="182" w:name="_Toc6704"/>
      <w:r/>
      <w:bookmarkStart w:id="183" w:name="_Toc17719"/>
      <w:r/>
      <w:bookmarkStart w:id="184" w:name="_Toc96264994"/>
      <w:r/>
      <w:bookmarkStart w:id="185" w:name="_Toc29226"/>
      <w:r/>
      <w:bookmarkStart w:id="186" w:name="_Toc27714"/>
      <w:r/>
      <w:bookmarkStart w:id="187" w:name="_Toc16222"/>
      <w:r>
        <w:rPr>
          <w:rFonts w:hint="eastAsia"/>
          <w:b/>
          <w:bCs/>
          <w:color w:val="auto"/>
          <w:spacing w:val="8"/>
          <w:sz w:val="24"/>
          <w:szCs w:val="24"/>
          <w:highlight w:val="none"/>
          <w:lang w:val="en-US" w:eastAsia="zh-CN"/>
        </w:rPr>
        <w:t xml:space="preserve">投标人</w:t>
      </w:r>
      <w:r>
        <w:rPr>
          <w:rFonts w:hint="eastAsia"/>
          <w:b/>
          <w:bCs/>
          <w:color w:val="auto"/>
          <w:spacing w:val="8"/>
          <w:sz w:val="24"/>
          <w:szCs w:val="24"/>
          <w:highlight w:val="none"/>
          <w:lang w:eastAsia="zh-CN"/>
        </w:rPr>
        <w:t xml:space="preserve">须知前附表</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jc w:val="both"/>
        <w:spacing w:line="360" w:lineRule="auto"/>
        <w:rPr>
          <w:color w:val="auto"/>
          <w:sz w:val="24"/>
          <w:szCs w:val="24"/>
          <w:highlight w:val="none"/>
          <w:lang w:val="zh-CN" w:eastAsia="zh-CN"/>
        </w:rPr>
      </w:pPr>
      <w:r>
        <w:rPr>
          <w:rFonts w:hint="eastAsia"/>
          <w:color w:val="auto"/>
          <w:sz w:val="24"/>
          <w:szCs w:val="24"/>
          <w:highlight w:val="none"/>
          <w:u w:val="single"/>
          <w:lang w:val="zh-CN" w:eastAsia="zh-CN"/>
        </w:rPr>
        <w:t xml:space="preserve">江苏首承项目管理有限公司</w:t>
      </w:r>
      <w:r>
        <w:rPr>
          <w:rFonts w:hint="eastAsia"/>
          <w:color w:val="auto"/>
          <w:sz w:val="24"/>
          <w:szCs w:val="24"/>
          <w:highlight w:val="none"/>
          <w:lang w:val="zh-CN" w:eastAsia="zh-CN"/>
        </w:rPr>
        <w:t xml:space="preserve">（以下简称“采购代理机构”）受</w:t>
      </w:r>
      <w:r>
        <w:rPr>
          <w:rFonts w:hint="eastAsia"/>
          <w:color w:val="auto"/>
          <w:sz w:val="24"/>
          <w:szCs w:val="24"/>
          <w:highlight w:val="none"/>
          <w:u w:val="single"/>
          <w:lang w:val="zh-CN" w:eastAsia="zh-CN"/>
        </w:rPr>
        <w:t xml:space="preserve">南京市浦口区人民政府汤泉街道办事处</w:t>
      </w:r>
      <w:r>
        <w:rPr>
          <w:rFonts w:hint="eastAsia"/>
          <w:color w:val="auto"/>
          <w:sz w:val="24"/>
          <w:szCs w:val="24"/>
          <w:highlight w:val="none"/>
          <w:lang w:val="zh-CN" w:eastAsia="zh-CN"/>
        </w:rPr>
        <w:t xml:space="preserve">（采购单位名称，以下简称“采购人”）委托，就</w:t>
      </w:r>
      <w:r>
        <w:rPr>
          <w:rFonts w:hint="eastAsia"/>
          <w:color w:val="auto"/>
          <w:sz w:val="24"/>
          <w:szCs w:val="24"/>
          <w:highlight w:val="none"/>
          <w:u w:val="single"/>
          <w:lang w:val="zh-CN" w:eastAsia="zh-CN"/>
        </w:rPr>
        <w:t xml:space="preserve">“汤泉街道2026-2029年度道路绿化管养服务采购项目”</w:t>
      </w:r>
      <w:r>
        <w:rPr>
          <w:rFonts w:hint="eastAsia"/>
          <w:color w:val="auto"/>
          <w:sz w:val="24"/>
          <w:szCs w:val="24"/>
          <w:highlight w:val="none"/>
          <w:lang w:val="zh-CN" w:eastAsia="zh-CN"/>
        </w:rPr>
        <w:t xml:space="preserve">采用</w:t>
      </w:r>
      <w:r>
        <w:rPr>
          <w:rFonts w:hint="eastAsia"/>
          <w:color w:val="auto"/>
          <w:sz w:val="24"/>
          <w:szCs w:val="24"/>
          <w:highlight w:val="none"/>
          <w:u w:val="single"/>
          <w:lang w:val="en-US" w:eastAsia="zh-CN"/>
        </w:rPr>
        <w:t xml:space="preserve">公开招标</w:t>
      </w:r>
      <w:r>
        <w:rPr>
          <w:rFonts w:hint="eastAsia"/>
          <w:color w:val="auto"/>
          <w:sz w:val="24"/>
          <w:szCs w:val="24"/>
          <w:highlight w:val="none"/>
          <w:lang w:val="zh-CN" w:eastAsia="zh-CN"/>
        </w:rPr>
        <w:t xml:space="preserve">方式采购，兹邀请符合资格条件的投标人</w:t>
      </w:r>
      <w:r>
        <w:rPr>
          <w:rFonts w:hint="eastAsia"/>
          <w:color w:val="auto"/>
          <w:sz w:val="24"/>
          <w:szCs w:val="24"/>
          <w:highlight w:val="none"/>
          <w:lang w:val="en-US" w:eastAsia="zh-CN"/>
        </w:rPr>
        <w:t xml:space="preserve">参与投标</w:t>
      </w:r>
      <w:r>
        <w:rPr>
          <w:rFonts w:hint="eastAsia"/>
          <w:color w:val="auto"/>
          <w:sz w:val="24"/>
          <w:szCs w:val="24"/>
          <w:highlight w:val="none"/>
          <w:lang w:val="zh-CN" w:eastAsia="zh-CN"/>
        </w:rPr>
        <w:t xml:space="preserve">。</w:t>
      </w:r>
      <w:r/>
    </w:p>
    <w:tbl>
      <w:tblPr>
        <w:tblStyle w:val="680"/>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8"/>
        <w:gridCol w:w="7067"/>
      </w:tblGrid>
      <w:tr>
        <w:trPr>
          <w:jc w:val="center"/>
          <w:trHeight w:val="3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序号</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w:t>
            </w:r>
            <w:r/>
          </w:p>
        </w:tc>
        <w:tc>
          <w:tcPr>
            <w:tcW w:w="7067"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具体内容</w:t>
            </w:r>
            <w:r/>
          </w:p>
        </w:tc>
      </w:tr>
      <w:tr>
        <w:trPr>
          <w:jc w:val="center"/>
          <w:trHeight w:val="41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汤泉街道2026-2029年度道路绿化管养服务采购项目</w:t>
            </w:r>
            <w:r/>
          </w:p>
        </w:tc>
      </w:tr>
      <w:tr>
        <w:trPr>
          <w:jc w:val="center"/>
          <w:trHeight w:val="42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公开招标</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c>
        <w:tc>
          <w:tcPr>
            <w:tcW w:w="7067" w:type="dxa"/>
            <w:vAlign w:val="center"/>
            <w:textDirection w:val="lrTb"/>
            <w:noWrap w:val="false"/>
          </w:tcPr>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JSZC-320111-SCXM-G2026-0004</w:t>
            </w:r>
            <w:r/>
          </w:p>
        </w:tc>
      </w:tr>
      <w:tr>
        <w:trPr>
          <w:jc w:val="center"/>
          <w:trHeight w:val="394"/>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分包</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95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cs="宋体"/>
                <w:color w:val="auto"/>
                <w:sz w:val="24"/>
                <w:szCs w:val="24"/>
                <w:highlight w:val="none"/>
                <w:lang w:eastAsia="zh-CN"/>
              </w:rPr>
              <w:t xml:space="preserve">江苏首承项目管理有限公司</w:t>
            </w:r>
            <w:r/>
          </w:p>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w:t>
            </w:r>
            <w:r>
              <w:rPr>
                <w:rFonts w:hint="eastAsia" w:cs="宋体"/>
                <w:color w:val="auto"/>
                <w:sz w:val="24"/>
                <w:szCs w:val="24"/>
                <w:highlight w:val="none"/>
                <w:lang w:val="en-US" w:eastAsia="zh-CN"/>
              </w:rPr>
              <w:t xml:space="preserve">陶涛</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联系方式：：南京市浦口区顶山街道浦云路珍珠雅苑18号9栋108室（峡谷烟酒中心旁2楼）</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zh-CN" w:eastAsia="zh-CN"/>
              </w:rPr>
              <w:t xml:space="preserve">人：</w:t>
            </w:r>
            <w:r>
              <w:rPr>
                <w:rFonts w:hint="eastAsia" w:cs="宋体"/>
                <w:color w:val="auto"/>
                <w:sz w:val="24"/>
                <w:szCs w:val="24"/>
                <w:highlight w:val="none"/>
                <w:lang w:val="en-US" w:eastAsia="zh-CN"/>
              </w:rPr>
              <w:t xml:space="preserve">冯工 </w:t>
            </w:r>
            <w:r>
              <w:rPr>
                <w:rFonts w:hint="eastAsia" w:ascii="宋体" w:hAnsi="宋体" w:eastAsia="宋体" w:cs="宋体"/>
                <w:color w:val="auto"/>
                <w:sz w:val="24"/>
                <w:szCs w:val="24"/>
                <w:highlight w:val="none"/>
                <w:lang w:val="zh-CN" w:eastAsia="zh-CN"/>
              </w:rPr>
              <w:t xml:space="preserve"> </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电 话：15195910230</w:t>
            </w:r>
            <w:r>
              <w:rPr>
                <w:rFonts w:hint="eastAsia" w:cs="宋体"/>
                <w:color w:val="auto"/>
                <w:sz w:val="24"/>
                <w:szCs w:val="24"/>
                <w:highlight w:val="none"/>
                <w:lang w:val="en-US" w:eastAsia="zh-CN"/>
              </w:rPr>
              <w:t xml:space="preserve"> </w:t>
            </w:r>
            <w:r/>
          </w:p>
        </w:tc>
      </w:tr>
      <w:tr>
        <w:trPr>
          <w:jc w:val="center"/>
          <w:trHeight w:val="36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412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本项目实行总价与年度双重限价控制。投标总报价不得高于</w:t>
            </w:r>
            <w:r>
              <w:rPr>
                <w:rFonts w:hint="eastAsia" w:cs="宋体"/>
                <w:color w:val="auto"/>
                <w:sz w:val="24"/>
                <w:szCs w:val="24"/>
                <w:highlight w:val="none"/>
                <w:lang w:val="en-US" w:eastAsia="zh-CN"/>
              </w:rPr>
              <w:t xml:space="preserve">最高限价412万</w:t>
            </w:r>
            <w:r>
              <w:rPr>
                <w:rFonts w:hint="eastAsia" w:ascii="宋体" w:hAnsi="宋体" w:eastAsia="宋体" w:cs="宋体"/>
                <w:color w:val="auto"/>
                <w:sz w:val="24"/>
                <w:szCs w:val="24"/>
                <w:highlight w:val="none"/>
              </w:rPr>
              <w:t xml:space="preserve">元；同时，第一年报价不得高于第一年控制价14</w:t>
            </w:r>
            <w:r>
              <w:rPr>
                <w:rFonts w:hint="eastAsia" w:cs="宋体"/>
                <w:color w:val="auto"/>
                <w:sz w:val="24"/>
                <w:szCs w:val="24"/>
                <w:highlight w:val="none"/>
                <w:lang w:val="en-US" w:eastAsia="zh-CN"/>
              </w:rPr>
              <w:t xml:space="preserve">5万</w:t>
            </w:r>
            <w:r>
              <w:rPr>
                <w:rFonts w:hint="eastAsia" w:ascii="宋体" w:hAnsi="宋体" w:eastAsia="宋体" w:cs="宋体"/>
                <w:color w:val="auto"/>
                <w:sz w:val="24"/>
                <w:szCs w:val="24"/>
                <w:highlight w:val="none"/>
              </w:rPr>
              <w:t xml:space="preserve">元，第二年养护资金不得高于</w:t>
            </w:r>
            <w:r>
              <w:rPr>
                <w:rFonts w:hint="eastAsia"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万元，第三年养护资金不得高于</w:t>
            </w:r>
            <w:r>
              <w:rPr>
                <w:rFonts w:hint="eastAsia"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凡超出上述任一限额的投标报价，均作无效标处理。</w:t>
            </w:r>
            <w:r/>
          </w:p>
        </w:tc>
      </w:tr>
      <w:tr>
        <w:trPr>
          <w:jc w:val="center"/>
          <w:trHeight w:val="43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8</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保证金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41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获取</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详见</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公告</w:t>
            </w:r>
            <w:r/>
          </w:p>
        </w:tc>
      </w:tr>
      <w:tr>
        <w:trPr>
          <w:jc w:val="center"/>
          <w:trHeight w:val="39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10</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勘察现场或答疑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采购人不组织，</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可自行踏勘。</w:t>
            </w:r>
            <w:r/>
          </w:p>
        </w:tc>
      </w:tr>
      <w:tr>
        <w:trPr>
          <w:jc w:val="center"/>
          <w:trHeight w:val="125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w:t>
            </w:r>
            <w:r/>
          </w:p>
        </w:tc>
        <w:tc>
          <w:tcPr>
            <w:tcW w:w="198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提交投标文件截止时间、开标时间</w:t>
            </w:r>
            <w:r>
              <w:rPr>
                <w:rFonts w:hint="eastAsia" w:ascii="宋体" w:hAnsi="宋体" w:eastAsia="宋体" w:cs="宋体"/>
                <w:color w:val="auto"/>
                <w:sz w:val="24"/>
                <w:szCs w:val="24"/>
                <w:highlight w:val="none"/>
                <w:lang w:val="en-US" w:eastAsia="zh-CN"/>
              </w:rPr>
              <w:t xml:space="preserve">及地点</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截止时间、开标时间：2026年</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月</w:t>
            </w:r>
            <w:r>
              <w:rPr>
                <w:rFonts w:hint="eastAsia"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日9点30分（北京时间）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地点：“江苏政府采购‘苏采云’系统”不见面开标大厅</w:t>
            </w:r>
            <w:r/>
          </w:p>
        </w:tc>
      </w:tr>
      <w:tr>
        <w:trPr>
          <w:jc w:val="center"/>
          <w:trHeight w:val="124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解密要求</w:t>
            </w:r>
            <w:r/>
          </w:p>
        </w:tc>
        <w:tc>
          <w:tcPr>
            <w:tcW w:w="7067"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解密：到达开启时间，“苏采云”系统自动提取所有</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文件规定方式按时在线解密。本项目</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按时在线解密方式：开启时间后30分钟内，通过“苏采云”系统（使用“CA数字证书”）解密。</w:t>
            </w:r>
            <w:r/>
          </w:p>
        </w:tc>
      </w:tr>
      <w:tr>
        <w:trPr>
          <w:jc w:val="center"/>
          <w:trHeight w:val="67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完整性</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bookmarkStart w:id="188" w:name="OLE_LINK23"/>
            <w:r>
              <w:rPr>
                <w:rFonts w:hint="eastAsia" w:ascii="宋体" w:hAnsi="宋体" w:eastAsia="宋体" w:cs="宋体"/>
                <w:color w:val="auto"/>
                <w:sz w:val="24"/>
                <w:szCs w:val="24"/>
                <w:highlight w:val="none"/>
                <w:lang w:val="zh-CN"/>
              </w:rPr>
              <w:t xml:space="preserve">不接受不按要求</w:t>
            </w:r>
            <w:r>
              <w:rPr>
                <w:rFonts w:hint="eastAsia"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zh-CN"/>
              </w:rPr>
              <w:t xml:space="preserve">（电子签章）的首次</w:t>
            </w:r>
            <w:r>
              <w:rPr>
                <w:rFonts w:hint="eastAsia"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。电子签章相关要求见“苏采云”系统</w:t>
            </w:r>
            <w:bookmarkEnd w:id="188"/>
            <w:r>
              <w:rPr>
                <w:rFonts w:hint="eastAsia" w:ascii="宋体" w:hAnsi="宋体" w:eastAsia="宋体" w:cs="宋体"/>
                <w:color w:val="auto"/>
                <w:sz w:val="24"/>
                <w:szCs w:val="24"/>
                <w:highlight w:val="none"/>
                <w:lang w:val="zh-CN"/>
              </w:rPr>
              <w:t xml:space="preserve">。</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文件中承诺的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有效期应当不少于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中载明的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关于联合体</w:t>
            </w:r>
            <w:r>
              <w:rPr>
                <w:rFonts w:hint="eastAsia" w:cs="宋体"/>
                <w:color w:val="auto"/>
                <w:sz w:val="24"/>
                <w:szCs w:val="24"/>
                <w:highlight w:val="none"/>
                <w:lang w:val="en-US" w:eastAsia="zh-CN"/>
              </w:rPr>
              <w:t xml:space="preserve">投标</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本项目不接受联合体</w:t>
            </w:r>
            <w:r>
              <w:rPr>
                <w:rFonts w:hint="eastAsia" w:cs="宋体"/>
                <w:color w:val="auto"/>
                <w:sz w:val="24"/>
                <w:szCs w:val="24"/>
                <w:highlight w:val="none"/>
                <w:lang w:val="en-US" w:eastAsia="zh-CN"/>
              </w:rPr>
              <w:t xml:space="preserve">投标</w:t>
            </w:r>
            <w:r/>
          </w:p>
        </w:tc>
      </w:tr>
      <w:tr>
        <w:trPr>
          <w:jc w:val="center"/>
          <w:trHeight w:val="44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6</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申请人的资格要求</w:t>
            </w:r>
            <w:r/>
          </w:p>
        </w:tc>
        <w:tc>
          <w:tcPr>
            <w:shd w:val="clear" w:color="auto" w:fill="auto"/>
            <w:tcW w:w="7067" w:type="dxa"/>
            <w:vAlign w:val="center"/>
            <w:textDirection w:val="lrTb"/>
            <w:noWrap w:val="false"/>
          </w:tcPr>
          <w:p>
            <w:pPr>
              <w:pStyle w:val="695"/>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详见第一章</w:t>
            </w:r>
            <w:r>
              <w:rPr>
                <w:rFonts w:hint="eastAsia" w:cs="宋体"/>
                <w:color w:val="auto"/>
                <w:sz w:val="24"/>
                <w:szCs w:val="24"/>
                <w:highlight w:val="none"/>
                <w:lang w:val="en-US" w:eastAsia="zh-CN"/>
              </w:rPr>
              <w:t xml:space="preserve"> 投标邀请</w:t>
            </w:r>
            <w:r>
              <w:rPr>
                <w:rFonts w:hint="eastAsia" w:ascii="宋体" w:hAnsi="宋体" w:eastAsia="宋体" w:cs="宋体"/>
                <w:color w:val="auto"/>
                <w:sz w:val="24"/>
                <w:szCs w:val="24"/>
                <w:highlight w:val="none"/>
                <w:lang w:val="en-US" w:eastAsia="zh-CN"/>
              </w:rPr>
              <w:t xml:space="preserve">“二、申请人的资格要求”</w:t>
            </w:r>
            <w:r/>
          </w:p>
        </w:tc>
      </w:tr>
      <w:tr>
        <w:trPr>
          <w:jc w:val="center"/>
          <w:trHeight w:val="275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7</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代理服务费</w:t>
            </w:r>
            <w:r/>
          </w:p>
        </w:tc>
        <w:tc>
          <w:tcPr>
            <w:shd w:val="clear" w:color="auto" w:fill="auto"/>
            <w:tcW w:w="7067" w:type="dxa"/>
            <w:vAlign w:val="center"/>
            <w:textDirection w:val="lrTb"/>
            <w:noWrap w:val="false"/>
          </w:tcPr>
          <w:p>
            <w:pPr>
              <w:pStyle w:val="695"/>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eastAsia="zh-CN"/>
              </w:rPr>
              <w:t xml:space="preserve">本项目招标代理费由中标单位代为缴纳。中标单位应在领取中标通知书前，向招标代理机构一次性足额支付招标代理</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eastAsia="zh-CN"/>
              </w:rPr>
              <w:t xml:space="preserve">费。招标代理</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eastAsia="zh-CN"/>
              </w:rPr>
              <w:t xml:space="preserve">费由投标人在投标报价中自行综合考虑，未单独填报的，视为该费用已包含在投标报价中，结算时不再单独计取。</w:t>
            </w:r>
            <w:r>
              <w:rPr>
                <w:rFonts w:hint="eastAsia" w:ascii="宋体" w:hAnsi="宋体" w:eastAsia="宋体" w:cs="宋体"/>
                <w:color w:val="auto"/>
                <w:sz w:val="24"/>
                <w:szCs w:val="24"/>
                <w:highlight w:val="none"/>
                <w:lang w:val="en-US" w:eastAsia="zh-CN" w:bidi="ar-SA"/>
              </w:rPr>
              <w:t xml:space="preserve">招标代理服务费</w:t>
            </w:r>
            <w:r>
              <w:rPr>
                <w:rFonts w:hint="eastAsia" w:cs="宋体"/>
                <w:color w:val="auto"/>
                <w:sz w:val="24"/>
                <w:szCs w:val="24"/>
                <w:highlight w:val="none"/>
                <w:lang w:val="en-US" w:eastAsia="zh-CN" w:bidi="ar-SA"/>
              </w:rPr>
              <w:t xml:space="preserve">以中标价为计算基数参照</w:t>
            </w:r>
            <w:r>
              <w:rPr>
                <w:rFonts w:hint="eastAsia" w:ascii="宋体" w:hAnsi="宋体" w:eastAsia="宋体" w:cs="宋体"/>
                <w:color w:val="auto"/>
                <w:sz w:val="24"/>
                <w:szCs w:val="24"/>
                <w:highlight w:val="none"/>
                <w:lang w:val="en-US" w:eastAsia="zh-CN" w:bidi="ar-SA"/>
              </w:rPr>
              <w:t xml:space="preserve">计委计价格〔2002〕1980号</w:t>
            </w:r>
            <w:r>
              <w:rPr>
                <w:rFonts w:hint="eastAsia"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文件规定</w:t>
            </w:r>
            <w:r>
              <w:rPr>
                <w:rFonts w:hint="eastAsia" w:cs="宋体"/>
                <w:color w:val="auto"/>
                <w:sz w:val="24"/>
                <w:szCs w:val="24"/>
                <w:highlight w:val="none"/>
                <w:lang w:val="en-US" w:eastAsia="zh-CN" w:bidi="ar-SA"/>
              </w:rPr>
              <w:t xml:space="preserve">80%</w:t>
            </w:r>
            <w:r>
              <w:rPr>
                <w:rFonts w:hint="eastAsia" w:ascii="宋体" w:hAnsi="宋体" w:eastAsia="宋体" w:cs="宋体"/>
                <w:color w:val="auto"/>
                <w:sz w:val="24"/>
                <w:szCs w:val="24"/>
                <w:highlight w:val="none"/>
                <w:lang w:val="en-US" w:eastAsia="zh-CN" w:bidi="ar-SA"/>
              </w:rPr>
              <w:t xml:space="preserve">计取</w:t>
            </w:r>
            <w:r>
              <w:rPr>
                <w:rFonts w:hint="eastAsia" w:cs="宋体"/>
                <w:color w:val="auto"/>
                <w:sz w:val="24"/>
                <w:szCs w:val="24"/>
                <w:highlight w:val="none"/>
                <w:lang w:val="en-US" w:eastAsia="zh-CN" w:bidi="ar-SA"/>
              </w:rPr>
              <w:t xml:space="preserve">；清单控制价编制费以第一年招标控制价为计算基数，</w:t>
            </w:r>
            <w:r>
              <w:rPr>
                <w:rFonts w:hint="eastAsia" w:ascii="宋体" w:hAnsi="宋体" w:eastAsia="宋体" w:cs="宋体"/>
                <w:color w:val="auto"/>
                <w:sz w:val="24"/>
                <w:szCs w:val="24"/>
                <w:highlight w:val="none"/>
                <w:lang w:val="en-US" w:eastAsia="zh-CN" w:bidi="ar-SA"/>
              </w:rPr>
              <w:t xml:space="preserve">按《江苏省工程造价咨询服务收费指导意见》苏建价协（2022)7号文规定</w:t>
            </w:r>
            <w:r>
              <w:rPr>
                <w:rFonts w:hint="eastAsia" w:cs="宋体"/>
                <w:color w:val="auto"/>
                <w:sz w:val="24"/>
                <w:szCs w:val="24"/>
                <w:highlight w:val="none"/>
                <w:lang w:val="en-US" w:eastAsia="zh-CN" w:bidi="ar-SA"/>
              </w:rPr>
              <w:t xml:space="preserve">80%计</w:t>
            </w:r>
            <w:r>
              <w:rPr>
                <w:rFonts w:hint="eastAsia" w:ascii="宋体" w:hAnsi="宋体" w:eastAsia="宋体" w:cs="宋体"/>
                <w:color w:val="auto"/>
                <w:sz w:val="24"/>
                <w:szCs w:val="24"/>
                <w:highlight w:val="none"/>
                <w:lang w:val="en-US" w:eastAsia="zh-CN" w:bidi="ar-SA"/>
              </w:rPr>
              <w:t xml:space="preserve">取。</w:t>
            </w:r>
            <w:r/>
          </w:p>
        </w:tc>
      </w:tr>
      <w:tr>
        <w:trPr>
          <w:jc w:val="center"/>
          <w:trHeight w:val="64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8</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评审专家人数</w:t>
            </w:r>
            <w:r/>
          </w:p>
        </w:tc>
        <w:tc>
          <w:tcPr>
            <w:shd w:val="clear" w:color="auto" w:fill="auto"/>
            <w:tcW w:w="7067" w:type="dxa"/>
            <w:vAlign w:val="center"/>
            <w:textDirection w:val="lrTb"/>
            <w:noWrap w:val="false"/>
          </w:tcPr>
          <w:p>
            <w:pPr>
              <w:pStyle w:val="695"/>
              <w:jc w:val="both"/>
              <w:spacing w:line="240" w:lineRule="auto"/>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人以上单数。</w:t>
            </w:r>
            <w:r/>
          </w:p>
        </w:tc>
      </w:tr>
      <w:tr>
        <w:trPr>
          <w:jc w:val="center"/>
          <w:trHeight w:val="90"/>
          <w:tblHeader/>
        </w:trPr>
        <w:tc>
          <w:tcPr>
            <w:tcW w:w="76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19</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的澄清或者修改</w:t>
            </w:r>
            <w:r/>
          </w:p>
        </w:tc>
        <w:tc>
          <w:tcPr>
            <w:shd w:val="clear" w:color="auto" w:fill="auto"/>
            <w:tcW w:w="7067" w:type="dxa"/>
            <w:vAlign w:val="center"/>
            <w:textDirection w:val="lrTb"/>
            <w:noWrap w:val="false"/>
          </w:tcPr>
          <w:p>
            <w:pPr>
              <w:pStyle w:val="695"/>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截止之日前，采购代理机构经采购人认可后可以对已发出的</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进行必要的澄清或者修改，澄清或者修改的内容作为</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的组成部分。澄清或者修改的内容可能影响</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编制的，在首次提交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截止时间至少</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5日前，以书面形式通知所有获取</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5日的，顺延提交首次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w:t>
            </w:r>
            <w:r/>
          </w:p>
          <w:p>
            <w:pPr>
              <w:pStyle w:val="695"/>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bidi="ar-SA"/>
              </w:rPr>
              <w:t xml:space="preserve">2、</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应及时登录“苏采云”系统获取澄清答疑文件（修改后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），如因</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原因未能及时下载澄清和修改后的</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，由此造成的相关责任，由</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承担。</w:t>
            </w:r>
            <w:r/>
          </w:p>
        </w:tc>
      </w:tr>
      <w:tr>
        <w:trPr>
          <w:jc w:val="center"/>
          <w:trHeight w:val="378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cs="宋体"/>
                <w:color w:val="auto"/>
                <w:sz w:val="24"/>
                <w:szCs w:val="24"/>
                <w:highlight w:val="none"/>
                <w:lang w:val="en-US" w:eastAsia="zh-CN"/>
              </w:rPr>
              <w:t xml:space="preserve">0</w:t>
            </w:r>
            <w:r/>
          </w:p>
        </w:tc>
        <w:tc>
          <w:tcPr>
            <w:shd w:val="clear" w:color="auto" w:fill="auto"/>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不见面交易</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制作提交说明</w:t>
            </w:r>
            <w:r/>
          </w:p>
        </w:tc>
        <w:tc>
          <w:tcPr>
            <w:shd w:val="clear" w:color="auto" w:fill="auto"/>
            <w:tcW w:w="7067" w:type="dxa"/>
            <w:vAlign w:val="center"/>
            <w:textDirection w:val="lrTb"/>
            <w:noWrap w:val="false"/>
          </w:tcPr>
          <w:p>
            <w:pPr>
              <w:pStyle w:val="695"/>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1.业务流程：潜在</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--导出加密的</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（后缀名为zip）--通过“苏采云”系统上传</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。具体见《江苏省政府采购管理交易系统（苏采云）</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w:t>
            </w:r>
            <w:r/>
          </w:p>
          <w:p>
            <w:pPr>
              <w:pStyle w:val="695"/>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2.苏采云资料：采购文件（后缀名为“.kedt”）、</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操作手册及政府采购客户端工具可通过“苏采云”系统--已报名项目--报名详情页面内相应链接进行下载；</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操作手册及政府采购客户端工具也可通过政府采购网—服务指南--下载中心，点击进入“苏采云系统操作手册（</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）”，进行下载。</w:t>
            </w:r>
            <w:r/>
          </w:p>
          <w:p>
            <w:pPr>
              <w:pStyle w:val="695"/>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http：//czj.taizhou.gov.cn/col/col61762/index.html</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1</w:t>
            </w:r>
            <w:r/>
          </w:p>
        </w:tc>
        <w:tc>
          <w:tcPr>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报价须知</w:t>
            </w:r>
            <w:r/>
          </w:p>
        </w:tc>
        <w:tc>
          <w:tcPr>
            <w:tcW w:w="7067" w:type="dxa"/>
            <w:vAlign w:val="center"/>
            <w:textDirection w:val="lrTb"/>
            <w:noWrap w:val="false"/>
          </w:tcPr>
          <w:p>
            <w:pPr>
              <w:pStyle w:val="695"/>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注：1、</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须将本前附表第1</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项所述</w:t>
            </w:r>
            <w:r>
              <w:rPr>
                <w:rFonts w:hint="eastAsia" w:cs="宋体"/>
                <w:color w:val="auto"/>
                <w:sz w:val="24"/>
                <w:szCs w:val="24"/>
                <w:highlight w:val="none"/>
                <w:lang w:val="en-US" w:eastAsia="zh-CN"/>
              </w:rPr>
              <w:t xml:space="preserve">代理服务</w:t>
            </w:r>
            <w:r>
              <w:rPr>
                <w:rFonts w:hint="eastAsia" w:ascii="宋体" w:hAnsi="宋体" w:eastAsia="宋体" w:cs="宋体"/>
                <w:color w:val="auto"/>
                <w:sz w:val="24"/>
                <w:szCs w:val="24"/>
                <w:highlight w:val="none"/>
                <w:lang w:val="zh-CN" w:eastAsia="zh-CN"/>
              </w:rPr>
              <w:t xml:space="preserve">费用计入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报价中，不计视为优惠。</w:t>
            </w:r>
            <w:r/>
          </w:p>
          <w:p>
            <w:pPr>
              <w:spacing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zh-CN" w:eastAsia="zh-CN" w:bidi="ar-SA"/>
              </w:rPr>
              <w:t xml:space="preserve">报价应是本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文件所包含确定的全部工作内容及本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文件未说明但完成该项目必须包含的所有全包的价格体现。应包含</w:t>
            </w:r>
            <w:r>
              <w:rPr>
                <w:rFonts w:hint="eastAsia" w:ascii="宋体" w:hAnsi="宋体" w:eastAsia="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zh-CN" w:eastAsia="zh-CN" w:bidi="ar-SA"/>
              </w:rPr>
              <w:t xml:space="preserve">支付给员工的工资和国家强制缴纳的各种社会保障资金，以及</w:t>
            </w:r>
            <w:r>
              <w:rPr>
                <w:rFonts w:hint="eastAsia"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认为需要的其他费用等。</w:t>
            </w:r>
            <w:r/>
          </w:p>
          <w:p>
            <w:pPr>
              <w:spacing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报价时应充分考虑所有可能影响到报价的市场风险和价格因素，一旦</w:t>
            </w:r>
            <w:r>
              <w:rPr>
                <w:rFonts w:hint="eastAsia"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，价格将确定，不予调整。</w:t>
            </w:r>
            <w:r/>
          </w:p>
        </w:tc>
      </w:tr>
    </w:tbl>
    <w:p>
      <w:pPr>
        <w:pStyle w:val="672"/>
        <w:ind w:left="0" w:firstLine="420"/>
        <w:pageBreakBefore w:val="0"/>
        <w:spacing w:before="0" w:line="440" w:lineRule="exact"/>
        <w:widowControl w:val="off"/>
        <w:rPr>
          <w:rFonts w:hint="eastAsia" w:ascii="宋体" w:hAnsi="宋体" w:eastAsia="宋体" w:cs="宋体"/>
          <w:b/>
          <w:bCs/>
          <w:color w:val="auto"/>
          <w:sz w:val="28"/>
          <w:szCs w:val="28"/>
          <w:highlight w:val="none"/>
        </w:rPr>
      </w:pPr>
      <w:r>
        <w:rPr>
          <w:rFonts w:hint="eastAsia"/>
          <w:color w:val="auto"/>
          <w:sz w:val="21"/>
          <w:szCs w:val="21"/>
          <w:highlight w:val="none"/>
          <w:lang w:val="zh-CN" w:eastAsia="zh-CN"/>
        </w:rPr>
        <w:br w:type="page" w:clear="all"/>
      </w:r>
      <w:bookmarkStart w:id="189" w:name="_Toc31171"/>
      <w:r/>
      <w:bookmarkStart w:id="190" w:name="_Toc21853"/>
      <w:r/>
      <w:bookmarkStart w:id="191" w:name="_Toc552"/>
      <w:r/>
      <w:bookmarkStart w:id="192" w:name="_Toc6185"/>
      <w:r/>
      <w:bookmarkStart w:id="193" w:name="_Toc513029203"/>
      <w:r/>
      <w:bookmarkStart w:id="194" w:name="_Toc20823275"/>
      <w:r/>
      <w:bookmarkStart w:id="195" w:name="_Toc16938519"/>
      <w:r/>
      <w:bookmarkStart w:id="196" w:name="_Toc120614214"/>
      <w:r>
        <w:rPr>
          <w:rFonts w:hint="eastAsia" w:ascii="宋体" w:hAnsi="宋体" w:eastAsia="宋体" w:cs="宋体"/>
          <w:b/>
          <w:bCs/>
          <w:color w:val="auto"/>
          <w:sz w:val="28"/>
          <w:szCs w:val="28"/>
          <w:highlight w:val="none"/>
        </w:rPr>
        <w:t xml:space="preserve">一、总则</w:t>
      </w:r>
      <w:bookmarkEnd w:id="189"/>
      <w:r/>
      <w:bookmarkEnd w:id="190"/>
      <w:r/>
      <w:bookmarkEnd w:id="191"/>
      <w:r/>
      <w:bookmarkEnd w:id="192"/>
      <w:r/>
      <w:r/>
    </w:p>
    <w:p>
      <w:pPr>
        <w:pStyle w:val="673"/>
        <w:ind w:firstLine="56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97" w:name="_Toc458694821"/>
      <w:r/>
      <w:bookmarkStart w:id="198" w:name="_Toc20823276"/>
      <w:r/>
      <w:bookmarkStart w:id="199" w:name="_Toc513029204"/>
      <w:r/>
      <w:bookmarkStart w:id="200" w:name="_Toc16938520"/>
      <w:r>
        <w:rPr>
          <w:rFonts w:hint="eastAsia" w:ascii="方正楷体_GBK" w:hAnsi="方正楷体_GBK" w:eastAsia="方正楷体_GBK" w:cs="方正楷体_GBK"/>
          <w:b/>
          <w:bCs/>
          <w:color w:val="auto"/>
          <w:sz w:val="28"/>
          <w:szCs w:val="28"/>
          <w:highlight w:val="none"/>
        </w:rPr>
        <w:t xml:space="preserve">1</w:t>
      </w:r>
      <w:bookmarkEnd w:id="197"/>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bookmarkEnd w:id="198"/>
      <w:r/>
      <w:bookmarkEnd w:id="199"/>
      <w:r/>
      <w:bookmarkEnd w:id="200"/>
      <w:r/>
      <w:r/>
    </w:p>
    <w:p>
      <w:pPr>
        <w:ind w:firstLine="48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2.合格的</w:t>
      </w:r>
      <w:r>
        <w:rPr>
          <w:rFonts w:hint="eastAsia" w:ascii="宋体" w:hAnsi="宋体" w:cs="宋体"/>
          <w:color w:val="auto"/>
          <w:sz w:val="24"/>
          <w:szCs w:val="24"/>
          <w:highlight w:val="none"/>
          <w:lang w:eastAsia="zh-CN"/>
        </w:rPr>
        <w:t xml:space="preserve">投标人</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公告对</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资格要求的规定。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规定的实质性要求和条件。</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3.1本次采购及由此产生的合同受中华人民共和国有关的法律法规制约和保护。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费用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应自行承担所有与参加采购有关的费用，无论采购过程中的做法和结果如何，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一旦参加本项目采购活动，即被认为接受了本文件的规定和约束。</w:t>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lang w:eastAsia="zh-CN"/>
        </w:rPr>
      </w:pPr>
      <w:r/>
      <w:bookmarkStart w:id="201" w:name="_Toc10216"/>
      <w:r/>
      <w:bookmarkStart w:id="202" w:name="_Toc21887"/>
      <w:r/>
      <w:bookmarkStart w:id="203" w:name="_Toc3373"/>
      <w:r/>
      <w:bookmarkStart w:id="204" w:name="_Toc17714"/>
      <w:r>
        <w:rPr>
          <w:rFonts w:hint="eastAsia" w:ascii="宋体" w:hAnsi="宋体" w:eastAsia="宋体" w:cs="宋体"/>
          <w:b/>
          <w:bCs/>
          <w:color w:val="auto"/>
          <w:sz w:val="28"/>
          <w:szCs w:val="28"/>
          <w:highlight w:val="none"/>
        </w:rPr>
        <w:t xml:space="preserve">二、</w:t>
      </w:r>
      <w:bookmarkEnd w:id="201"/>
      <w:r/>
      <w:bookmarkEnd w:id="202"/>
      <w:r/>
      <w:bookmarkEnd w:id="203"/>
      <w:r>
        <w:rPr>
          <w:rFonts w:hint="eastAsia" w:cs="宋体"/>
          <w:b/>
          <w:bCs/>
          <w:color w:val="auto"/>
          <w:sz w:val="28"/>
          <w:szCs w:val="28"/>
          <w:highlight w:val="none"/>
          <w:lang w:eastAsia="zh-CN"/>
        </w:rPr>
        <w:t xml:space="preserve">招标文件</w:t>
      </w:r>
      <w:bookmarkEnd w:id="20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由以下部分组成：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highlight w:val="none"/>
        </w:rPr>
        <w:t xml:space="preserve">投标邀请</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Times New Roman"/>
          <w:color w:val="auto"/>
          <w:sz w:val="24"/>
          <w:highlight w:val="none"/>
        </w:rPr>
        <w:t xml:space="preserve">投标人须知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Times New Roman"/>
          <w:color w:val="auto"/>
          <w:sz w:val="24"/>
          <w:highlight w:val="none"/>
        </w:rPr>
        <w:t xml:space="preserve">投标文件格式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应仔细检查</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应认真阅读</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中所有的事项、格式、条款和规范等要求。按</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要求和规定编制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，并保证所提供的全部资料的真实性，以使其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作出实质性响应，否则其风险由投标人自行承担。</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的澄清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的修改将在原公告媒体发布更正公告，更正内容将作为</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的组成部分，并对</w:t>
      </w:r>
      <w:r>
        <w:rPr>
          <w:rFonts w:hint="eastAsia" w:ascii="宋体" w:hAnsi="宋体" w:eastAsia="宋体" w:cs="Times New Roman"/>
          <w:color w:val="auto"/>
          <w:sz w:val="24"/>
          <w:highlight w:val="none"/>
        </w:rPr>
        <w:t xml:space="preserve">投标人</w:t>
      </w:r>
      <w:r>
        <w:rPr>
          <w:rFonts w:hint="eastAsia" w:ascii="宋体" w:hAnsi="宋体" w:eastAsia="宋体" w:cs="宋体"/>
          <w:color w:val="auto"/>
          <w:sz w:val="24"/>
          <w:szCs w:val="24"/>
          <w:highlight w:val="none"/>
        </w:rPr>
        <w:t xml:space="preserve">具有约束力。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Times New Roman"/>
          <w:color w:val="auto"/>
          <w:sz w:val="24"/>
          <w:highlight w:val="none"/>
        </w:rPr>
        <w:t xml:space="preserve">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05" w:name="_Toc739"/>
      <w:r/>
      <w:bookmarkStart w:id="206" w:name="_Toc30563"/>
      <w:r/>
      <w:bookmarkStart w:id="207" w:name="_Toc12674"/>
      <w:r/>
      <w:bookmarkStart w:id="208" w:name="_Toc3685"/>
      <w:r>
        <w:rPr>
          <w:rFonts w:hint="eastAsia" w:ascii="宋体" w:hAnsi="宋体" w:eastAsia="宋体" w:cs="宋体"/>
          <w:b/>
          <w:bCs/>
          <w:color w:val="auto"/>
          <w:sz w:val="28"/>
          <w:szCs w:val="28"/>
          <w:highlight w:val="none"/>
        </w:rPr>
        <w:t xml:space="preserve">三、</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的编制</w:t>
      </w:r>
      <w:bookmarkEnd w:id="205"/>
      <w:r/>
      <w:bookmarkEnd w:id="206"/>
      <w:r/>
      <w:bookmarkEnd w:id="207"/>
      <w:r/>
      <w:bookmarkEnd w:id="208"/>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的语言及度量衡单位</w:t>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09" w:name="_Toc27993"/>
      <w:r>
        <w:rPr>
          <w:rFonts w:hint="eastAsia" w:ascii="宋体" w:hAnsi="宋体" w:eastAsia="宋体" w:cs="宋体"/>
          <w:b w:val="0"/>
          <w:bCs w:val="0"/>
          <w:color w:val="auto"/>
          <w:sz w:val="24"/>
          <w:szCs w:val="24"/>
          <w:highlight w:val="none"/>
        </w:rPr>
        <w:t xml:space="preserve">9.1投标人提交的投标文件以及投标人与</w:t>
      </w:r>
      <w:r>
        <w:rPr>
          <w:rFonts w:hint="eastAsia" w:cs="宋体"/>
          <w:b w:val="0"/>
          <w:bCs w:val="0"/>
          <w:color w:val="auto"/>
          <w:sz w:val="24"/>
          <w:szCs w:val="24"/>
          <w:highlight w:val="none"/>
          <w:lang w:eastAsia="zh-CN"/>
        </w:rPr>
        <w:t xml:space="preserve">采购代理机构</w:t>
      </w:r>
      <w:r>
        <w:rPr>
          <w:rFonts w:hint="eastAsia" w:ascii="宋体" w:hAnsi="宋体" w:eastAsia="宋体" w:cs="宋体"/>
          <w:b w:val="0"/>
          <w:bCs w:val="0"/>
          <w:color w:val="auto"/>
          <w:sz w:val="24"/>
          <w:szCs w:val="24"/>
          <w:highlight w:val="none"/>
        </w:rPr>
        <w:t xml:space="preserve">就有关投标的所有来往通知、函件和文件均应使用简体中文。</w:t>
      </w:r>
      <w:bookmarkEnd w:id="209"/>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0" w:name="_Toc10889"/>
      <w:r>
        <w:rPr>
          <w:rFonts w:hint="eastAsia" w:ascii="宋体" w:hAnsi="宋体" w:eastAsia="宋体" w:cs="宋体"/>
          <w:b w:val="0"/>
          <w:bCs w:val="0"/>
          <w:color w:val="auto"/>
          <w:sz w:val="24"/>
          <w:szCs w:val="24"/>
          <w:highlight w:val="none"/>
        </w:rPr>
        <w:t xml:space="preserve">9.2除技术性能另有规定外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投标文件所使用的度量衡单位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均须采用国家法定计量单位。</w:t>
      </w:r>
      <w:bookmarkEnd w:id="210"/>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构成</w:t>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1" w:name="_Toc1968"/>
      <w:r>
        <w:rPr>
          <w:rFonts w:hint="eastAsia" w:ascii="宋体" w:hAnsi="宋体" w:eastAsia="宋体" w:cs="宋体"/>
          <w:b w:val="0"/>
          <w:bCs w:val="0"/>
          <w:color w:val="auto"/>
          <w:sz w:val="24"/>
          <w:szCs w:val="24"/>
          <w:highlight w:val="none"/>
        </w:rPr>
        <w:t xml:space="preserve">10.1投标人编写的投标文件应包括资格证明文件、符合性证明文件、</w:t>
      </w:r>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、响应及偏离表、其他证明文件、投标函、开标一览表等部分。</w:t>
      </w:r>
      <w:bookmarkEnd w:id="211"/>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2" w:name="_Toc7244"/>
      <w:r>
        <w:rPr>
          <w:rFonts w:hint="eastAsia" w:ascii="宋体" w:hAnsi="宋体" w:eastAsia="宋体" w:cs="宋体"/>
          <w:b w:val="0"/>
          <w:bCs w:val="0"/>
          <w:color w:val="auto"/>
          <w:sz w:val="24"/>
          <w:szCs w:val="24"/>
          <w:highlight w:val="none"/>
        </w:rPr>
        <w:t xml:space="preserve">10.2如标书制作工具中格式和内容与“江苏政府采购网”发布的招标文件不一致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以“江苏政府采购网”发布的招标文件为准。</w:t>
      </w:r>
      <w:bookmarkEnd w:id="212"/>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11.证明投标人及投标标的符合招标文件规定的文件</w:t>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3" w:name="_Toc23475"/>
      <w:r>
        <w:rPr>
          <w:rFonts w:hint="eastAsia" w:ascii="宋体" w:hAnsi="宋体" w:eastAsia="宋体" w:cs="宋体"/>
          <w:b w:val="0"/>
          <w:bCs w:val="0"/>
          <w:color w:val="auto"/>
          <w:sz w:val="24"/>
          <w:szCs w:val="24"/>
          <w:highlight w:val="none"/>
        </w:rPr>
        <w:t xml:space="preserve">11.1投标人应按照法律、法规、规章和规范性文件以及招标文件要求提交证明文件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证明其投标标的符合招标文件规定。</w:t>
      </w:r>
      <w:bookmarkEnd w:id="213"/>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4" w:name="_Toc24955"/>
      <w:r>
        <w:rPr>
          <w:rFonts w:hint="eastAsia" w:ascii="宋体" w:hAnsi="宋体" w:eastAsia="宋体" w:cs="宋体"/>
          <w:b w:val="0"/>
          <w:bCs w:val="0"/>
          <w:color w:val="auto"/>
          <w:sz w:val="24"/>
          <w:szCs w:val="24"/>
          <w:highlight w:val="none"/>
        </w:rPr>
        <w:t xml:space="preserve">11.2招标文件对证明文件无明确形式要求的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证明文件可以以文字资料、图纸和数据等形式提交。</w:t>
      </w:r>
      <w:bookmarkEnd w:id="21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分项报价表</w:t>
      </w:r>
      <w:r>
        <w:rPr>
          <w:rFonts w:hint="eastAsia" w:ascii="宋体" w:hAnsi="宋体" w:eastAsia="宋体" w:cs="宋体"/>
          <w:color w:val="auto"/>
          <w:sz w:val="24"/>
          <w:szCs w:val="24"/>
          <w:highlight w:val="none"/>
          <w:lang w:val="zh-CN"/>
        </w:rPr>
        <w:t xml:space="preserve">（如有）</w:t>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5" w:name="_Toc4376"/>
      <w:r>
        <w:rPr>
          <w:rFonts w:hint="eastAsia" w:ascii="宋体" w:hAnsi="宋体" w:eastAsia="宋体" w:cs="宋体"/>
          <w:b w:val="0"/>
          <w:bCs w:val="0"/>
          <w:color w:val="auto"/>
          <w:sz w:val="24"/>
          <w:szCs w:val="24"/>
          <w:highlight w:val="none"/>
        </w:rPr>
        <w:t xml:space="preserve">12.1投</w:t>
      </w:r>
      <w:bookmarkStart w:id="216" w:name="_Hlt26954840"/>
      <w:r/>
      <w:bookmarkEnd w:id="216"/>
      <w:r>
        <w:rPr>
          <w:rFonts w:hint="eastAsia" w:ascii="宋体" w:hAnsi="宋体" w:eastAsia="宋体" w:cs="宋体"/>
          <w:b w:val="0"/>
          <w:bCs w:val="0"/>
          <w:color w:val="auto"/>
          <w:sz w:val="24"/>
          <w:szCs w:val="24"/>
          <w:highlight w:val="none"/>
        </w:rPr>
        <w:t xml:space="preserve">标人应按照招标文件规定格式填报</w:t>
      </w:r>
      <w:bookmarkStart w:id="217" w:name="_Hlt26670399"/>
      <w:r/>
      <w:bookmarkEnd w:id="217"/>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w:t>
      </w:r>
      <w:bookmarkEnd w:id="215"/>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8" w:name="_Toc22675"/>
      <w:r>
        <w:rPr>
          <w:rFonts w:hint="eastAsia" w:ascii="宋体" w:hAnsi="宋体" w:eastAsia="宋体" w:cs="宋体"/>
          <w:b w:val="0"/>
          <w:bCs w:val="0"/>
          <w:color w:val="auto"/>
          <w:sz w:val="24"/>
          <w:szCs w:val="24"/>
          <w:highlight w:val="none"/>
        </w:rPr>
        <w:t xml:space="preserve">12.2投标文件中的单价和总价无特殊规定的采用人民币报价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以元为单位标注。招标文件另有规定的按规定执行。</w:t>
      </w:r>
      <w:bookmarkEnd w:id="218"/>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13.响应及偏离表</w:t>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19" w:name="_Toc29597"/>
      <w:r>
        <w:rPr>
          <w:rFonts w:hint="eastAsia" w:ascii="宋体" w:hAnsi="宋体" w:eastAsia="宋体" w:cs="宋体"/>
          <w:b w:val="0"/>
          <w:bCs w:val="0"/>
          <w:color w:val="auto"/>
          <w:sz w:val="24"/>
          <w:szCs w:val="24"/>
          <w:highlight w:val="none"/>
          <w:lang w:val="zh-CN"/>
        </w:rPr>
        <w:t xml:space="preserve">13.1投标人需对招标文件中的技术要求与商务要求逐项作出响应</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zh-CN"/>
        </w:rPr>
        <w:t xml:space="preserve">偏离说明。</w:t>
      </w:r>
      <w:bookmarkEnd w:id="219"/>
      <w:r/>
      <w:r/>
    </w:p>
    <w:p>
      <w:pPr>
        <w:pStyle w:val="672"/>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20" w:name="_Toc12484"/>
      <w:r>
        <w:rPr>
          <w:rFonts w:hint="eastAsia" w:ascii="宋体" w:hAnsi="宋体" w:eastAsia="宋体" w:cs="宋体"/>
          <w:b w:val="0"/>
          <w:bCs w:val="0"/>
          <w:color w:val="auto"/>
          <w:sz w:val="24"/>
          <w:szCs w:val="24"/>
          <w:highlight w:val="none"/>
          <w:lang w:val="zh-CN"/>
        </w:rPr>
        <w:t xml:space="preserve">13.2投标人可以在投标文件中提供认为需要的其他技术文件或说明。</w:t>
      </w:r>
      <w:bookmarkEnd w:id="220"/>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1" w:name="_Toc14577359"/>
      <w:r/>
      <w:bookmarkStart w:id="222" w:name="_Toc49090510"/>
      <w:r/>
      <w:bookmarkStart w:id="223" w:name="_Toc29859"/>
      <w:r/>
      <w:bookmarkStart w:id="224" w:name="_Toc12918"/>
      <w:r/>
      <w:bookmarkStart w:id="225" w:name="_Toc12385"/>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投标函和开标一览表</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6" w:name="_Toc26222"/>
      <w:r>
        <w:rPr>
          <w:rFonts w:hint="eastAsia" w:ascii="宋体" w:hAnsi="宋体" w:eastAsia="宋体" w:cs="宋体"/>
          <w:color w:val="auto"/>
          <w:sz w:val="24"/>
          <w:szCs w:val="24"/>
          <w:highlight w:val="none"/>
          <w:lang w:val="zh-CN"/>
        </w:rPr>
        <w:t xml:space="preserve">14.1投标人应按照招标文件规定格式完整、正确填报投标函、开标一览表。</w:t>
      </w:r>
      <w:bookmarkEnd w:id="22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7" w:name="_Toc30270"/>
      <w:r>
        <w:rPr>
          <w:rFonts w:hint="eastAsia" w:ascii="宋体" w:hAnsi="宋体" w:eastAsia="宋体" w:cs="宋体"/>
          <w:color w:val="auto"/>
          <w:sz w:val="24"/>
          <w:szCs w:val="24"/>
          <w:highlight w:val="none"/>
          <w:lang w:val="zh-CN"/>
        </w:rPr>
        <w:t xml:space="preserve">14.2对于采用货币报价的项目，开标一览表中的投标总报价应与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投标分项报价表</w:t>
      </w:r>
      <w:r>
        <w:rPr>
          <w:rFonts w:hint="eastAsia" w:ascii="宋体" w:hAnsi="宋体" w:eastAsia="宋体" w:cs="宋体"/>
          <w:color w:val="auto"/>
          <w:sz w:val="24"/>
          <w:szCs w:val="24"/>
          <w:highlight w:val="none"/>
          <w:lang w:val="zh-CN"/>
        </w:rPr>
        <w:t xml:space="preserve">中的投标总报价一致，如不一致评标时以开标一览表中价格为准。</w:t>
      </w:r>
      <w:bookmarkEnd w:id="221"/>
      <w:r/>
      <w:bookmarkEnd w:id="222"/>
      <w:r/>
      <w:bookmarkEnd w:id="227"/>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8" w:name="_Hlt26670489"/>
      <w:r/>
      <w:bookmarkEnd w:id="228"/>
      <w:r/>
      <w:bookmarkStart w:id="229" w:name="_Hlt26954850"/>
      <w:r/>
      <w:bookmarkEnd w:id="229"/>
      <w:r/>
      <w:bookmarkStart w:id="230" w:name="_Hlt26954734"/>
      <w:r/>
      <w:bookmarkEnd w:id="230"/>
      <w:r/>
      <w:bookmarkStart w:id="231" w:name="_Toc49090511"/>
      <w:r/>
      <w:bookmarkStart w:id="232" w:name="_Toc14577360"/>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w:t>
      </w:r>
      <w:bookmarkEnd w:id="231"/>
      <w:r/>
      <w:bookmarkEnd w:id="23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3" w:name="_Toc3025"/>
      <w:r>
        <w:rPr>
          <w:rFonts w:hint="eastAsia" w:ascii="宋体" w:hAnsi="宋体" w:eastAsia="宋体" w:cs="宋体"/>
          <w:color w:val="auto"/>
          <w:sz w:val="24"/>
          <w:szCs w:val="24"/>
          <w:highlight w:val="none"/>
          <w:lang w:val="zh-CN"/>
        </w:rPr>
        <w:t xml:space="preserve">15.1投标有效期为</w:t>
      </w:r>
      <w:r>
        <w:rPr>
          <w:rFonts w:hint="eastAsia" w:ascii="宋体" w:hAnsi="宋体" w:eastAsia="宋体" w:cs="宋体"/>
          <w:color w:val="auto"/>
          <w:sz w:val="24"/>
          <w:szCs w:val="24"/>
          <w:highlight w:val="none"/>
          <w:lang w:val="zh-CN" w:eastAsia="zh-CN"/>
        </w:rPr>
        <w:t xml:space="preserve">招标公告</w:t>
      </w:r>
      <w:r>
        <w:rPr>
          <w:rFonts w:hint="eastAsia" w:ascii="宋体" w:hAnsi="宋体" w:eastAsia="宋体" w:cs="宋体"/>
          <w:color w:val="auto"/>
          <w:sz w:val="24"/>
          <w:szCs w:val="24"/>
          <w:highlight w:val="none"/>
          <w:lang w:val="zh-CN"/>
        </w:rPr>
        <w:t xml:space="preserve">规定的开标之日起九十天。投标有效期比规定短的将被视为未实质性响应招标文件而被拒绝。</w:t>
      </w:r>
      <w:bookmarkEnd w:id="233"/>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投标有效期的延长</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4" w:name="_Toc13762"/>
      <w:r>
        <w:rPr>
          <w:rFonts w:hint="eastAsia" w:ascii="宋体" w:hAnsi="宋体" w:eastAsia="宋体" w:cs="宋体"/>
          <w:color w:val="auto"/>
          <w:sz w:val="24"/>
          <w:szCs w:val="24"/>
          <w:highlight w:val="none"/>
          <w:lang w:val="zh-CN"/>
        </w:rPr>
        <w:t xml:space="preserve">16.1在特殊情况下，</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auto"/>
          <w:sz w:val="24"/>
          <w:szCs w:val="24"/>
          <w:highlight w:val="none"/>
          <w:lang w:val="zh-CN" w:eastAsia="zh-CN"/>
        </w:rPr>
        <w:t xml:space="preserve">满</w:t>
      </w:r>
      <w:r>
        <w:rPr>
          <w:rFonts w:hint="eastAsia" w:ascii="宋体" w:hAnsi="宋体" w:eastAsia="宋体" w:cs="宋体"/>
          <w:color w:val="auto"/>
          <w:sz w:val="24"/>
          <w:szCs w:val="24"/>
          <w:highlight w:val="none"/>
          <w:lang w:val="zh-CN"/>
        </w:rPr>
        <w:t xml:space="preserve">。</w:t>
      </w:r>
      <w:bookmarkEnd w:id="234"/>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35" w:name="_Toc2790"/>
      <w:r>
        <w:rPr>
          <w:rFonts w:hint="eastAsia" w:ascii="宋体" w:hAnsi="宋体" w:eastAsia="宋体" w:cs="宋体"/>
          <w:b/>
          <w:bCs/>
          <w:color w:val="auto"/>
          <w:sz w:val="28"/>
          <w:szCs w:val="28"/>
          <w:highlight w:val="none"/>
        </w:rPr>
        <w:t xml:space="preserve">四、</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的递交</w:t>
      </w:r>
      <w:bookmarkEnd w:id="223"/>
      <w:r/>
      <w:bookmarkEnd w:id="224"/>
      <w:r/>
      <w:bookmarkEnd w:id="225"/>
      <w:r/>
      <w:bookmarkEnd w:id="235"/>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的递交</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36" w:name="_Toc6594"/>
      <w:r>
        <w:rPr>
          <w:rFonts w:hint="eastAsia" w:ascii="宋体" w:hAnsi="宋体" w:eastAsia="宋体" w:cs="宋体"/>
          <w:color w:val="auto"/>
          <w:sz w:val="24"/>
          <w:szCs w:val="24"/>
          <w:highlight w:val="none"/>
          <w:lang w:val="zh-CN" w:eastAsia="en-US"/>
        </w:rPr>
        <w:t xml:space="preserve">17.1投标人应当按照《操作手册》规定，在招标公告规定的投标截止时间前制作并上传电子投标文件。</w:t>
      </w:r>
      <w:bookmarkEnd w:id="236"/>
      <w:r/>
      <w:bookmarkStart w:id="237" w:name="_Toc20823298"/>
      <w:r/>
      <w:bookmarkEnd w:id="237"/>
      <w:r/>
      <w:bookmarkStart w:id="238" w:name="_Toc16938542"/>
      <w:r/>
      <w:bookmarkEnd w:id="238"/>
      <w:r/>
      <w:bookmarkStart w:id="239" w:name="_Toc513029226"/>
      <w:r/>
      <w:bookmarkEnd w:id="23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0" w:name="_Toc27846"/>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en-US"/>
        </w:rPr>
        <w:t xml:space="preserve">投标人应充分考虑网络环境、网络带宽等因素</w:t>
      </w:r>
      <w:r>
        <w:rPr>
          <w:rFonts w:hint="eastAsia" w:ascii="宋体" w:hAnsi="宋体" w:eastAsia="宋体" w:cs="宋体"/>
          <w:color w:val="auto"/>
          <w:sz w:val="24"/>
          <w:szCs w:val="24"/>
          <w:highlight w:val="none"/>
          <w:lang w:val="en-US" w:eastAsia="zh-CN"/>
        </w:rPr>
        <w:t xml:space="preserve">可能对投标产生的影响</w:t>
      </w:r>
      <w:r>
        <w:rPr>
          <w:rFonts w:hint="eastAsia" w:ascii="宋体" w:hAnsi="宋体" w:eastAsia="宋体" w:cs="宋体"/>
          <w:color w:val="auto"/>
          <w:sz w:val="24"/>
          <w:szCs w:val="24"/>
          <w:highlight w:val="none"/>
          <w:lang w:val="zh-CN" w:eastAsia="en-US"/>
        </w:rPr>
        <w:t xml:space="preserve">，如因投标人自身原因造成的电子投标文件上传不成功的，按照本招标文件第二章第2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en-US"/>
        </w:rPr>
        <w:t xml:space="preserve">.1条规定做无效投标处理。</w:t>
      </w:r>
      <w:bookmarkEnd w:id="24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1" w:name="_Toc13730"/>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3采购代理机构</w:t>
      </w:r>
      <w:r>
        <w:rPr>
          <w:rFonts w:hint="eastAsia" w:ascii="宋体" w:hAnsi="宋体" w:eastAsia="宋体" w:cs="宋体"/>
          <w:color w:val="auto"/>
          <w:sz w:val="24"/>
          <w:szCs w:val="24"/>
          <w:highlight w:val="none"/>
          <w:lang w:val="zh-CN" w:eastAsia="en-US"/>
        </w:rPr>
        <w:t xml:space="preserve">可以按照规定，通过修改招标文件酌情延长投标截止时间，在此情况下，投标人的所有权利和义务均以延长后新的截止时间为准。</w:t>
      </w:r>
      <w:bookmarkEnd w:id="241"/>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的拒收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Times New Roman"/>
          <w:color w:val="auto"/>
          <w:sz w:val="24"/>
          <w:highlight w:val="none"/>
          <w:lang w:val="zh-CN"/>
        </w:rPr>
        <w:t xml:space="preserve">投标截止时间后上传的任何投标文件将被拒绝。</w:t>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的撤回和修改</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2" w:name="_Toc4937"/>
      <w:r/>
      <w:bookmarkStart w:id="243" w:name="_Toc9252"/>
      <w:r/>
      <w:bookmarkStart w:id="244" w:name="_Toc24727"/>
      <w:r/>
      <w:bookmarkStart w:id="245" w:name="_Toc12800"/>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.1投标文件的撤回</w:t>
      </w:r>
      <w:bookmarkEnd w:id="24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6" w:name="_Toc6097"/>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.1.1投标人可在投标截止时间前撤回其电子投标文件，具体操作方法见《操作手册》。</w:t>
      </w:r>
      <w:bookmarkEnd w:id="24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7" w:name="_Toc7985"/>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.1.2投标人撤回电子投标文件，则认为其不再参与本项目投标活动。</w:t>
      </w:r>
      <w:bookmarkEnd w:id="24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8" w:name="_Toc1685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.2投标文件的修改</w:t>
      </w:r>
      <w:bookmarkEnd w:id="24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9" w:name="_Toc220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.2.1投标人可在投标截止时间前对其电子投标文件进行修改，具体操作方法见《操作手册》。</w:t>
      </w:r>
      <w:bookmarkEnd w:id="24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0" w:name="_Toc23924"/>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.2.2投标截止时间之后，投标人不得对其电子投标文件作任何修改。</w:t>
      </w:r>
      <w:bookmarkEnd w:id="25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1" w:name="_Toc973"/>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.3在投标截止时间至招标文件中规定的投标有效期满之间的这段时间内，投标人不得撤回其投标。</w:t>
      </w:r>
      <w:bookmarkEnd w:id="193"/>
      <w:r/>
      <w:bookmarkEnd w:id="194"/>
      <w:r/>
      <w:bookmarkEnd w:id="195"/>
      <w:r/>
      <w:bookmarkEnd w:id="196"/>
      <w:r/>
      <w:bookmarkEnd w:id="243"/>
      <w:r/>
      <w:bookmarkEnd w:id="244"/>
      <w:r/>
      <w:bookmarkEnd w:id="245"/>
      <w:r/>
      <w:bookmarkEnd w:id="251"/>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252" w:name="_Toc186"/>
      <w:r>
        <w:rPr>
          <w:rFonts w:hint="eastAsia" w:ascii="宋体" w:hAnsi="宋体" w:eastAsia="宋体" w:cs="宋体"/>
          <w:b/>
          <w:bCs/>
          <w:color w:val="auto"/>
          <w:sz w:val="28"/>
          <w:szCs w:val="28"/>
          <w:highlight w:val="none"/>
          <w:lang w:val="en-US" w:eastAsia="zh-CN"/>
        </w:rPr>
        <w:t xml:space="preserve">五、开标与评标</w:t>
      </w:r>
      <w:bookmarkEnd w:id="252"/>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3" w:name="_Toc20823302"/>
      <w:r/>
      <w:bookmarkStart w:id="254" w:name="_Toc16938546"/>
      <w:r/>
      <w:bookmarkStart w:id="255" w:name="_Toc513029230"/>
      <w:r>
        <w:rPr>
          <w:rFonts w:hint="eastAsia" w:ascii="宋体" w:hAnsi="宋体" w:eastAsia="宋体" w:cs="宋体"/>
          <w:color w:val="auto"/>
          <w:sz w:val="24"/>
          <w:szCs w:val="24"/>
          <w:highlight w:val="none"/>
          <w:lang w:val="en-US" w:eastAsia="zh-CN"/>
        </w:rPr>
        <w:t xml:space="preserve">20.开标</w:t>
      </w:r>
      <w:bookmarkEnd w:id="253"/>
      <w:r/>
      <w:bookmarkEnd w:id="254"/>
      <w:r/>
      <w:bookmarkEnd w:id="25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6" w:name="_Toc240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bookmarkEnd w:id="25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7" w:name="_Toc776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投标人在开标过程中涉及到的投标文件解密、开标结果确认等工作，应按照《操作手册》规定执行。</w:t>
      </w:r>
      <w:bookmarkEnd w:id="25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8" w:name="_Toc62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投标人如果对开标过程和开标结果有疑义，应当根据《操作手册》规定提出，苏采云系统中《开标记录表》公布后5分钟内未提出的，视同认可开标结果。</w:t>
      </w:r>
      <w:bookmarkEnd w:id="258"/>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9" w:name="_Toc513029231"/>
      <w:r/>
      <w:bookmarkStart w:id="260" w:name="_Toc20823303"/>
      <w:r/>
      <w:bookmarkStart w:id="261" w:name="_Toc16938547"/>
      <w:r>
        <w:rPr>
          <w:rFonts w:hint="eastAsia" w:ascii="宋体" w:hAnsi="宋体" w:eastAsia="宋体" w:cs="宋体"/>
          <w:color w:val="auto"/>
          <w:sz w:val="24"/>
          <w:szCs w:val="24"/>
          <w:highlight w:val="none"/>
          <w:lang w:val="en-US" w:eastAsia="zh-CN"/>
        </w:rPr>
        <w:t xml:space="preserve">21.评标</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2" w:name="_Toc283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评标由</w:t>
      </w:r>
      <w:r>
        <w:rPr>
          <w:rFonts w:hint="eastAsia" w:ascii="宋体" w:hAnsi="宋体" w:eastAsia="宋体" w:cs="宋体"/>
          <w:color w:val="auto"/>
          <w:sz w:val="24"/>
          <w:szCs w:val="24"/>
          <w:highlight w:val="none"/>
          <w:lang w:val="zh-CN" w:eastAsia="zh-CN"/>
        </w:rPr>
        <w:t xml:space="preserve">依法组建的评标委员会（以下简称“评委会”）进行。</w:t>
      </w:r>
      <w:bookmarkEnd w:id="26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3" w:name="_Toc3219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.2评委会由采购人代表和有关方面专家组成，人员构成符合政府采购有关规定。</w:t>
      </w:r>
      <w:bookmarkEnd w:id="26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4" w:name="_Toc157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.3评委会独立工作，负责评审所有投标文件并</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val="zh-CN" w:eastAsia="zh-CN"/>
        </w:rPr>
        <w:t xml:space="preserve">中标候选人，</w:t>
      </w:r>
      <w:r>
        <w:rPr>
          <w:rFonts w:hint="eastAsia" w:ascii="宋体" w:hAnsi="宋体" w:eastAsia="宋体" w:cs="宋体"/>
          <w:color w:val="auto"/>
          <w:sz w:val="24"/>
          <w:szCs w:val="24"/>
          <w:highlight w:val="none"/>
          <w:lang w:val="en-US" w:eastAsia="zh-CN"/>
        </w:rPr>
        <w:t xml:space="preserve">或根据采购人授权直接确定中标人</w:t>
      </w:r>
      <w:r>
        <w:rPr>
          <w:rFonts w:hint="eastAsia" w:ascii="宋体" w:hAnsi="宋体" w:eastAsia="宋体" w:cs="宋体"/>
          <w:color w:val="auto"/>
          <w:sz w:val="24"/>
          <w:szCs w:val="24"/>
          <w:highlight w:val="none"/>
          <w:lang w:val="zh-CN" w:eastAsia="zh-CN"/>
        </w:rPr>
        <w:t xml:space="preserve">。</w:t>
      </w:r>
      <w:bookmarkEnd w:id="26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22.评标过程的保密与公正</w:t>
      </w:r>
      <w:bookmarkEnd w:id="259"/>
      <w:r/>
      <w:bookmarkEnd w:id="260"/>
      <w:r/>
      <w:bookmarkEnd w:id="26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5" w:name="_Toc35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.1凡是与审查、澄清、评价和比较投标的有关资料以及授标建议等，采购人、评委、采购代理机构均不得向投标人或与评标无关的其他人员透露。</w:t>
      </w:r>
      <w:bookmarkEnd w:id="26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6" w:name="_Toc110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.2投标人不得以任何方式影响评标，否则其投标文件将被作为无效投标文件。</w:t>
      </w:r>
      <w:bookmarkEnd w:id="26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7" w:name="_Toc1281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.3采购代理机构和评委会不向未中标的投标人解释未中标原因，也不公布评标过程中的相关细节。</w:t>
      </w:r>
      <w:bookmarkEnd w:id="26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8" w:name="_Toc913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.4采用综合评分法的项目，未中标的投标人可于中标结果公告期限届满之日起通过苏采云系统查看本单位的评审得分及排名情况。</w:t>
      </w:r>
      <w:bookmarkEnd w:id="268"/>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69" w:name="_Toc513029232"/>
      <w:r/>
      <w:bookmarkStart w:id="270" w:name="_Toc16938548"/>
      <w:r/>
      <w:bookmarkStart w:id="271" w:name="_Toc20823304"/>
      <w:r>
        <w:rPr>
          <w:rFonts w:hint="eastAsia" w:ascii="宋体" w:hAnsi="宋体" w:eastAsia="宋体" w:cs="宋体"/>
          <w:color w:val="auto"/>
          <w:sz w:val="24"/>
          <w:szCs w:val="24"/>
          <w:highlight w:val="none"/>
          <w:lang w:val="en-US" w:eastAsia="zh-CN"/>
        </w:rPr>
        <w:t xml:space="preserve">23.投标文件的澄清</w:t>
      </w:r>
      <w:bookmarkEnd w:id="269"/>
      <w:r/>
      <w:bookmarkEnd w:id="270"/>
      <w:r/>
      <w:bookmarkEnd w:id="27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2" w:name="_Toc517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bookmarkEnd w:id="27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3" w:name="_Toc969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.2需要</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应当按照要求在苏采云系统中提交《澄清响应函》并加盖电子公章。澄清、说明和补正的内容作为投标文件的补充部分，具体操作方式见《操作手册》。</w:t>
      </w:r>
      <w:bookmarkEnd w:id="27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4" w:name="_Toc2766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.3接到评委会澄清、说明和补正要求的，投标人如未按规定作出澄清、说明和补正，其风险由投标人自行承担。</w:t>
      </w:r>
      <w:bookmarkEnd w:id="27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75" w:name="_Toc16938549"/>
      <w:r/>
      <w:bookmarkStart w:id="276" w:name="_Toc513029233"/>
      <w:r/>
      <w:bookmarkStart w:id="277" w:name="_Toc20823305"/>
      <w:r>
        <w:rPr>
          <w:rFonts w:hint="eastAsia" w:ascii="宋体" w:hAnsi="宋体" w:eastAsia="宋体" w:cs="宋体"/>
          <w:color w:val="auto"/>
          <w:sz w:val="24"/>
          <w:szCs w:val="24"/>
          <w:highlight w:val="none"/>
          <w:lang w:val="en-US" w:eastAsia="zh-CN"/>
        </w:rPr>
        <w:t xml:space="preserve">24.投标文件的</w:t>
      </w:r>
      <w:bookmarkEnd w:id="275"/>
      <w:r/>
      <w:bookmarkEnd w:id="276"/>
      <w:r/>
      <w:bookmarkEnd w:id="277"/>
      <w:r>
        <w:rPr>
          <w:rFonts w:hint="eastAsia" w:ascii="宋体" w:hAnsi="宋体" w:eastAsia="宋体" w:cs="宋体"/>
          <w:color w:val="auto"/>
          <w:sz w:val="24"/>
          <w:szCs w:val="24"/>
          <w:highlight w:val="none"/>
          <w:lang w:val="en-US" w:eastAsia="zh-CN"/>
        </w:rPr>
        <w:t xml:space="preserve">审查</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8" w:name="_Toc31035"/>
      <w:r>
        <w:rPr>
          <w:rFonts w:hint="eastAsia" w:ascii="宋体" w:hAnsi="宋体" w:eastAsia="宋体" w:cs="宋体"/>
          <w:color w:val="auto"/>
          <w:sz w:val="24"/>
          <w:szCs w:val="24"/>
          <w:highlight w:val="none"/>
          <w:lang w:val="zh-CN" w:eastAsia="zh-CN"/>
        </w:rPr>
        <w:t xml:space="preserve">24.1投标文件审查分为</w:t>
      </w:r>
      <w:r>
        <w:rPr>
          <w:rFonts w:hint="eastAsia" w:ascii="宋体" w:hAnsi="宋体" w:eastAsia="宋体" w:cs="宋体"/>
          <w:b/>
          <w:bCs/>
          <w:color w:val="auto"/>
          <w:sz w:val="24"/>
          <w:szCs w:val="24"/>
          <w:highlight w:val="none"/>
          <w:lang w:val="zh-CN" w:eastAsia="zh-CN"/>
        </w:rPr>
        <w:t xml:space="preserve">资格审查</w:t>
      </w:r>
      <w:r>
        <w:rPr>
          <w:rFonts w:hint="eastAsia" w:ascii="宋体" w:hAnsi="宋体" w:eastAsia="宋体" w:cs="宋体"/>
          <w:color w:val="auto"/>
          <w:sz w:val="24"/>
          <w:szCs w:val="24"/>
          <w:highlight w:val="none"/>
          <w:lang w:val="zh-CN" w:eastAsia="zh-CN"/>
        </w:rPr>
        <w:t xml:space="preserve">和</w:t>
      </w:r>
      <w:r>
        <w:rPr>
          <w:rFonts w:hint="eastAsia" w:ascii="宋体" w:hAnsi="宋体" w:eastAsia="宋体" w:cs="宋体"/>
          <w:b/>
          <w:bCs/>
          <w:color w:val="auto"/>
          <w:sz w:val="24"/>
          <w:szCs w:val="24"/>
          <w:highlight w:val="none"/>
          <w:lang w:val="zh-CN" w:eastAsia="zh-CN"/>
        </w:rPr>
        <w:t xml:space="preserve">符合性审查</w:t>
      </w:r>
      <w:r>
        <w:rPr>
          <w:rFonts w:hint="eastAsia" w:ascii="宋体" w:hAnsi="宋体" w:eastAsia="宋体" w:cs="宋体"/>
          <w:color w:val="auto"/>
          <w:sz w:val="24"/>
          <w:szCs w:val="24"/>
          <w:highlight w:val="none"/>
          <w:lang w:val="zh-CN" w:eastAsia="zh-CN"/>
        </w:rPr>
        <w:t xml:space="preserve">。</w:t>
      </w:r>
      <w:bookmarkEnd w:id="278"/>
      <w:r/>
      <w:r/>
    </w:p>
    <w:p>
      <w:pPr>
        <w:pStyle w:val="672"/>
        <w:ind w:left="0" w:firstLine="482"/>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u w:val="none"/>
          <w:lang w:val="zh-CN" w:eastAsia="zh-CN"/>
        </w:rPr>
      </w:pPr>
      <w:r/>
      <w:bookmarkStart w:id="279" w:name="_Toc32473"/>
      <w:r>
        <w:rPr>
          <w:rFonts w:hint="eastAsia" w:ascii="宋体" w:hAnsi="宋体" w:eastAsia="宋体" w:cs="宋体"/>
          <w:b/>
          <w:bCs/>
          <w:color w:val="auto"/>
          <w:sz w:val="24"/>
          <w:szCs w:val="24"/>
          <w:highlight w:val="none"/>
          <w:lang w:val="zh-CN" w:eastAsia="zh-CN"/>
        </w:rPr>
        <w:t xml:space="preserve">24.1.1资格审查。</w:t>
      </w:r>
      <w:r>
        <w:rPr>
          <w:rFonts w:hint="eastAsia" w:ascii="宋体" w:hAnsi="宋体" w:eastAsia="宋体" w:cs="宋体"/>
          <w:color w:val="auto"/>
          <w:sz w:val="24"/>
          <w:szCs w:val="24"/>
          <w:highlight w:val="none"/>
          <w:lang w:val="zh-CN" w:eastAsia="zh-CN"/>
        </w:rPr>
        <w:t xml:space="preserve">依据法律法规和招标文件规定，由采购人对投标文件中的资格证明文件进行审查，并向评委会反馈审查结论。采购人进行资格审查时，</w:t>
      </w:r>
      <w:r>
        <w:rPr>
          <w:rFonts w:hint="eastAsia" w:ascii="宋体" w:hAnsi="宋体" w:eastAsia="宋体" w:cs="宋体"/>
          <w:b/>
          <w:bCs/>
          <w:color w:val="auto"/>
          <w:sz w:val="24"/>
          <w:szCs w:val="24"/>
          <w:highlight w:val="none"/>
          <w:u w:val="single"/>
          <w:lang w:val="en-US" w:eastAsia="zh-CN"/>
        </w:rPr>
        <w:t xml:space="preserve">将在“信用中国”“中国政府采购网"网站查询</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的信用记录以确定</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是否列入“失信被执行人、重大税收违法案件当事人名单、政府采购严重违法失信行为记录名单”，查询结果留存并归档</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val="0"/>
          <w:bCs w:val="0"/>
          <w:color w:val="auto"/>
          <w:sz w:val="24"/>
          <w:szCs w:val="24"/>
          <w:highlight w:val="none"/>
          <w:u w:val="none"/>
          <w:lang w:val="zh-CN" w:eastAsia="zh-CN"/>
        </w:rPr>
        <w:t xml:space="preserve">接受联合体的项目，联合体成员存在不良信用记录的，视同联合体存在不良信用记录。</w:t>
      </w:r>
      <w:bookmarkEnd w:id="279"/>
      <w:r/>
      <w:r/>
    </w:p>
    <w:p>
      <w:pPr>
        <w:pStyle w:val="672"/>
        <w:ind w:left="0" w:firstLine="482"/>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0" w:name="_Toc16749"/>
      <w:r>
        <w:rPr>
          <w:rFonts w:hint="eastAsia" w:ascii="宋体" w:hAnsi="宋体" w:eastAsia="宋体" w:cs="宋体"/>
          <w:b/>
          <w:bCs/>
          <w:color w:val="auto"/>
          <w:sz w:val="24"/>
          <w:szCs w:val="24"/>
          <w:highlight w:val="none"/>
          <w:lang w:val="zh-CN" w:eastAsia="zh-CN"/>
        </w:rPr>
        <w:t xml:space="preserve">24.1.2符合性审查。</w:t>
      </w:r>
      <w:r>
        <w:rPr>
          <w:rFonts w:hint="eastAsia" w:ascii="宋体" w:hAnsi="宋体" w:eastAsia="宋体" w:cs="宋体"/>
          <w:color w:val="auto"/>
          <w:sz w:val="24"/>
          <w:szCs w:val="24"/>
          <w:highlight w:val="none"/>
          <w:lang w:val="zh-CN" w:eastAsia="zh-CN"/>
        </w:rPr>
        <w:t xml:space="preserve">依据招标文件的规定，由评委会从有效性、完整性和对招标文件的响应程度等方面对投标文件进行审查，以确定是否对招标文件的实质性要求作出响应。</w:t>
      </w:r>
      <w:bookmarkEnd w:id="28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1" w:name="_Toc12127"/>
      <w:r>
        <w:rPr>
          <w:rFonts w:hint="eastAsia" w:ascii="宋体" w:hAnsi="宋体" w:eastAsia="宋体" w:cs="宋体"/>
          <w:color w:val="auto"/>
          <w:sz w:val="24"/>
          <w:szCs w:val="24"/>
          <w:highlight w:val="none"/>
          <w:lang w:val="zh-CN" w:eastAsia="zh-CN"/>
        </w:rPr>
        <w:t xml:space="preserve">24.1.3未通过资格审查或符合性审查的投标人，采购代理机构将通过苏采云系统告知其具体原因，评标结束后不再接受有关询问。</w:t>
      </w:r>
      <w:bookmarkEnd w:id="28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2" w:name="_Toc29870"/>
      <w:r>
        <w:rPr>
          <w:rFonts w:hint="eastAsia" w:ascii="宋体" w:hAnsi="宋体" w:eastAsia="宋体" w:cs="宋体"/>
          <w:color w:val="auto"/>
          <w:sz w:val="24"/>
          <w:szCs w:val="24"/>
          <w:highlight w:val="none"/>
          <w:lang w:val="zh-CN" w:eastAsia="zh-CN"/>
        </w:rPr>
        <w:t xml:space="preserve">24.2</w:t>
      </w:r>
      <w:r>
        <w:rPr>
          <w:rFonts w:hint="eastAsia" w:ascii="宋体" w:hAnsi="宋体" w:eastAsia="宋体" w:cs="宋体"/>
          <w:b/>
          <w:bCs/>
          <w:color w:val="auto"/>
          <w:sz w:val="24"/>
          <w:szCs w:val="24"/>
          <w:highlight w:val="none"/>
          <w:lang w:val="zh-CN" w:eastAsia="zh-CN"/>
        </w:rPr>
        <w:t xml:space="preserve">评委会仅对实质性响应招标文件要求的投标文件进行详细评审</w:t>
      </w:r>
      <w:r>
        <w:rPr>
          <w:rFonts w:hint="eastAsia" w:ascii="宋体" w:hAnsi="宋体" w:eastAsia="宋体" w:cs="宋体"/>
          <w:color w:val="auto"/>
          <w:sz w:val="24"/>
          <w:szCs w:val="24"/>
          <w:highlight w:val="none"/>
          <w:lang w:val="zh-CN" w:eastAsia="zh-CN"/>
        </w:rPr>
        <w:t xml:space="preserve">。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bookmarkEnd w:id="28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3" w:name="_Toc992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.3如果投标文件实质上没有响应招标文件的要求，评委会将予以拒绝，投标人不得通过修改或撤销不合要求的偏离或保留而使其投标成为实质性响应的投标。</w:t>
      </w:r>
      <w:bookmarkEnd w:id="28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4" w:name="_Toc154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.4评委会将对确定为实质性响应的投标进行进一步审核，确定其是否有计算上或累加上的算术错误。修正错误的原则如下：</w:t>
      </w:r>
      <w:bookmarkEnd w:id="28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5" w:name="_Toc9147"/>
      <w:r>
        <w:rPr>
          <w:rFonts w:hint="eastAsia" w:ascii="宋体" w:hAnsi="宋体" w:eastAsia="宋体" w:cs="宋体"/>
          <w:color w:val="auto"/>
          <w:sz w:val="24"/>
          <w:szCs w:val="24"/>
          <w:highlight w:val="none"/>
          <w:lang w:val="zh-CN" w:eastAsia="zh-CN"/>
        </w:rPr>
        <w:t xml:space="preserve">（1）投标文件中开标一览表内容与投标文件中相应内容不一致的，以开标一览表为准；</w:t>
      </w:r>
      <w:bookmarkEnd w:id="28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6" w:name="_Toc13483"/>
      <w:r>
        <w:rPr>
          <w:rFonts w:hint="eastAsia" w:ascii="宋体" w:hAnsi="宋体" w:eastAsia="宋体" w:cs="宋体"/>
          <w:color w:val="auto"/>
          <w:sz w:val="24"/>
          <w:szCs w:val="24"/>
          <w:highlight w:val="none"/>
          <w:lang w:val="zh-CN" w:eastAsia="zh-CN"/>
        </w:rPr>
        <w:t xml:space="preserve">（2）大写金额和小写金额不一致的，以大写金额为准；</w:t>
      </w:r>
      <w:bookmarkEnd w:id="28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7" w:name="_Toc11730"/>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bookmarkEnd w:id="28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8" w:name="_Toc30506"/>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bookmarkEnd w:id="28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9" w:name="_Toc4780"/>
      <w:r>
        <w:rPr>
          <w:rFonts w:hint="eastAsia" w:ascii="宋体" w:hAnsi="宋体" w:eastAsia="宋体" w:cs="宋体"/>
          <w:color w:val="auto"/>
          <w:sz w:val="24"/>
          <w:szCs w:val="24"/>
          <w:highlight w:val="none"/>
          <w:lang w:val="zh-CN" w:eastAsia="zh-CN"/>
        </w:rPr>
        <w:t xml:space="preserve">同时出现两种以上错误的，按照前款规定的顺序修正。</w:t>
      </w:r>
      <w:bookmarkEnd w:id="28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0" w:name="_Toc224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.5评委会将按上述修正错误的方法调整投标文件中的投标报价，并通过苏采云系统告知投标人，调整后的价格对投标人具有约束力。如果投标人不接受修正后的价格，则其投标将被拒绝。</w:t>
      </w:r>
      <w:bookmarkEnd w:id="29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1" w:name="_Toc1868"/>
      <w:r/>
      <w:bookmarkStart w:id="292" w:name="_Toc16938550"/>
      <w:r/>
      <w:bookmarkStart w:id="293" w:name="_Toc513029234"/>
      <w:r/>
      <w:bookmarkStart w:id="294" w:name="_Toc2082330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.6投标人在开、评标全过程中应保持通讯畅通，及时登录苏采云系统查阅、答复相关信息，并安排专人与采购代理机构及评委会联系。</w:t>
      </w:r>
      <w:bookmarkEnd w:id="291"/>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bookmarkEnd w:id="292"/>
      <w:r/>
      <w:bookmarkEnd w:id="293"/>
      <w:r/>
      <w:bookmarkEnd w:id="294"/>
      <w:r>
        <w:rPr>
          <w:rFonts w:hint="eastAsia" w:ascii="宋体" w:hAnsi="宋体" w:eastAsia="宋体" w:cs="宋体"/>
          <w:color w:val="auto"/>
          <w:sz w:val="24"/>
          <w:szCs w:val="24"/>
          <w:highlight w:val="none"/>
          <w:lang w:val="en-US" w:eastAsia="zh-CN"/>
        </w:rPr>
        <w:t xml:space="preserve">5.无效投标和废标</w:t>
      </w:r>
      <w:r/>
    </w:p>
    <w:p>
      <w:pPr>
        <w:pStyle w:val="672"/>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295" w:name="_Toc27672"/>
      <w:r/>
      <w:bookmarkStart w:id="296" w:name="_Toc513029235"/>
      <w:r/>
      <w:bookmarkStart w:id="297" w:name="_Toc20823307"/>
      <w:r/>
      <w:bookmarkStart w:id="298" w:name="_Toc16938551"/>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.1无效投标</w:t>
      </w:r>
      <w:r>
        <w:rPr>
          <w:rFonts w:hint="eastAsia" w:ascii="宋体" w:hAnsi="宋体" w:eastAsia="宋体" w:cs="宋体"/>
          <w:b/>
          <w:bCs/>
          <w:color w:val="auto"/>
          <w:sz w:val="24"/>
          <w:szCs w:val="24"/>
          <w:highlight w:val="none"/>
          <w:lang w:val="en-US" w:eastAsia="zh-CN"/>
        </w:rPr>
        <w:t xml:space="preserve">情形</w:t>
      </w:r>
      <w:bookmarkEnd w:id="29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9" w:name="_Toc2151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.1.1投标人在苏采云系统规定的时间内未成功解密电子投标文件。</w:t>
      </w:r>
      <w:bookmarkEnd w:id="29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0" w:name="_Toc179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.1.2投标人未按照招标文件要求上传电子投标文件。</w:t>
      </w:r>
      <w:bookmarkEnd w:id="30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1" w:name="_Toc270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.1.3同一投标人提交两个（含两个）以上不同的投标报价。</w:t>
      </w:r>
      <w:bookmarkEnd w:id="30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2" w:name="_Toc267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.1.4投标人不具备招标文件中规定资格要求。</w:t>
      </w:r>
      <w:bookmarkEnd w:id="30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3" w:name="_Toc2815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.1.5投标人的报价超过了采购预算或最高限价</w:t>
      </w:r>
      <w:r>
        <w:rPr>
          <w:rFonts w:hint="eastAsia" w:ascii="宋体" w:hAnsi="宋体" w:eastAsia="宋体" w:cs="宋体"/>
          <w:color w:val="auto"/>
          <w:sz w:val="24"/>
          <w:szCs w:val="24"/>
          <w:highlight w:val="none"/>
          <w:lang w:val="en-US" w:eastAsia="zh-CN"/>
        </w:rPr>
        <w:t xml:space="preserve">或单价上限</w:t>
      </w:r>
      <w:r>
        <w:rPr>
          <w:rFonts w:hint="eastAsia" w:ascii="宋体" w:hAnsi="宋体" w:eastAsia="宋体" w:cs="宋体"/>
          <w:color w:val="auto"/>
          <w:sz w:val="24"/>
          <w:szCs w:val="24"/>
          <w:highlight w:val="none"/>
          <w:lang w:val="zh-CN" w:eastAsia="zh-CN"/>
        </w:rPr>
        <w:t xml:space="preserve">。</w:t>
      </w:r>
      <w:bookmarkEnd w:id="30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4" w:name="_Toc2539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.1.6未通过符合性审查。</w:t>
      </w:r>
      <w:bookmarkEnd w:id="30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5" w:name="_Toc2458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.1.7不符合招标文件中实质性要求和条件（本文件中打“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”内容为实质性要求和条件）。</w:t>
      </w:r>
      <w:bookmarkEnd w:id="30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06" w:name="_Toc27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.1.8</w:t>
      </w:r>
      <w:r>
        <w:rPr>
          <w:rFonts w:hint="eastAsia" w:ascii="宋体" w:hAnsi="宋体" w:eastAsia="宋体" w:cs="宋体"/>
          <w:color w:val="auto"/>
          <w:sz w:val="24"/>
          <w:szCs w:val="24"/>
          <w:highlight w:val="none"/>
          <w:lang w:val="en-US" w:eastAsia="zh-CN"/>
        </w:rPr>
        <w:t xml:space="preserve">属于申请人资格要求中拒绝参加本次采购活动条件之一的。</w:t>
      </w:r>
      <w:bookmarkEnd w:id="30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7" w:name="_Toc5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.1.9投标文件含有采购人不能接受的附加条件。</w:t>
      </w:r>
      <w:bookmarkEnd w:id="307"/>
      <w:r/>
      <w:r/>
    </w:p>
    <w:p>
      <w:pPr>
        <w:pStyle w:val="672"/>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08" w:name="_Toc23828"/>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bookmarkEnd w:id="30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9" w:name="_Toc27826"/>
      <w:r>
        <w:rPr>
          <w:rFonts w:hint="eastAsia" w:ascii="宋体" w:hAnsi="宋体" w:eastAsia="宋体" w:cs="宋体"/>
          <w:color w:val="auto"/>
          <w:sz w:val="24"/>
          <w:szCs w:val="24"/>
          <w:highlight w:val="none"/>
          <w:lang w:val="zh-CN" w:eastAsia="zh-CN"/>
        </w:rPr>
        <w:t xml:space="preserve">25.1.11采购产品被财政部、国家发改委、生态环境部等列入“节能产品品目清单”强制采购范围，而投标人提供的产品不在强制采购范围内。</w:t>
      </w:r>
      <w:bookmarkEnd w:id="30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10" w:name="_Toc1258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投标文件未按照招标文件要求加盖电子公章。</w:t>
      </w:r>
      <w:bookmarkEnd w:id="31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1" w:name="_Toc2560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法律法规及本招标文件规定的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无效投标情形。</w:t>
      </w:r>
      <w:bookmarkEnd w:id="311"/>
      <w:r/>
      <w:r/>
    </w:p>
    <w:p>
      <w:pPr>
        <w:pStyle w:val="672"/>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12" w:name="_Toc31786"/>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.2废标</w:t>
      </w:r>
      <w:r>
        <w:rPr>
          <w:rFonts w:hint="eastAsia" w:ascii="宋体" w:hAnsi="宋体" w:eastAsia="宋体" w:cs="宋体"/>
          <w:b/>
          <w:bCs/>
          <w:color w:val="auto"/>
          <w:sz w:val="24"/>
          <w:szCs w:val="24"/>
          <w:highlight w:val="none"/>
          <w:lang w:val="en-US" w:eastAsia="zh-CN"/>
        </w:rPr>
        <w:t xml:space="preserve">情形</w:t>
      </w:r>
      <w:bookmarkEnd w:id="31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3" w:name="_Toc1977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.2.1符合资格条件的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或者对招标文件作实质响应的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bookmarkEnd w:id="31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4" w:name="_Toc1902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.2.2出现影响采购公正的违法、违规行为。</w:t>
      </w:r>
      <w:bookmarkEnd w:id="31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5" w:name="_Toc28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.2.3因重大变故采购任务取消。</w:t>
      </w:r>
      <w:bookmarkEnd w:id="31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6" w:name="_Toc174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.2.4评委会认定招标文件存在歧义、重大缺陷导致评审工作无法进行。</w:t>
      </w:r>
      <w:bookmarkEnd w:id="31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7" w:name="_Toc310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.2.5因苏采云系统故障造成开标不成功。</w:t>
      </w:r>
      <w:bookmarkEnd w:id="31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8" w:name="_Toc6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.3如出现投标截止时间后参加投标的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或者对招标文件作出实质</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val="zh-CN" w:eastAsia="zh-CN"/>
        </w:rPr>
        <w:t xml:space="preserve">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情况，按政府采购相关规定执行。</w:t>
      </w:r>
      <w:bookmarkEnd w:id="318"/>
      <w:r/>
      <w:r/>
    </w:p>
    <w:p>
      <w:pPr>
        <w:pStyle w:val="672"/>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19" w:name="_Toc21529"/>
      <w:r>
        <w:rPr>
          <w:rFonts w:hint="eastAsia" w:ascii="宋体" w:hAnsi="宋体" w:eastAsia="宋体" w:cs="宋体"/>
          <w:color w:val="auto"/>
          <w:sz w:val="24"/>
          <w:szCs w:val="24"/>
          <w:highlight w:val="none"/>
          <w:lang w:val="zh-CN" w:eastAsia="zh-CN"/>
        </w:rPr>
        <w:t xml:space="preserve">25.4如出现25.2.1或25.3情形，招标活动失败，评审委员会</w:t>
      </w:r>
      <w:r>
        <w:rPr>
          <w:rFonts w:hint="eastAsia" w:ascii="宋体" w:hAnsi="宋体" w:eastAsia="宋体" w:cs="宋体"/>
          <w:color w:val="auto"/>
          <w:sz w:val="24"/>
          <w:szCs w:val="24"/>
          <w:highlight w:val="none"/>
          <w:lang w:val="en-US" w:eastAsia="zh-CN"/>
        </w:rPr>
        <w:t xml:space="preserve">应对</w:t>
      </w:r>
      <w:r>
        <w:rPr>
          <w:rFonts w:hint="eastAsia" w:ascii="宋体" w:hAnsi="宋体" w:eastAsia="宋体" w:cs="宋体"/>
          <w:color w:val="auto"/>
          <w:sz w:val="24"/>
          <w:szCs w:val="24"/>
          <w:highlight w:val="none"/>
          <w:lang w:val="zh-CN" w:eastAsia="zh-CN"/>
        </w:rPr>
        <w:t xml:space="preserve">招标文件是否存在不合理条款</w:t>
      </w:r>
      <w:r>
        <w:rPr>
          <w:rFonts w:hint="eastAsia" w:ascii="宋体" w:hAnsi="宋体" w:eastAsia="宋体" w:cs="宋体"/>
          <w:color w:val="auto"/>
          <w:sz w:val="24"/>
          <w:szCs w:val="24"/>
          <w:highlight w:val="none"/>
          <w:lang w:val="en-US" w:eastAsia="zh-CN"/>
        </w:rPr>
        <w:t xml:space="preserve">进行论证，并在评审报告中写明</w:t>
      </w:r>
      <w:r>
        <w:rPr>
          <w:rFonts w:hint="eastAsia" w:ascii="宋体" w:hAnsi="宋体" w:eastAsia="宋体" w:cs="宋体"/>
          <w:color w:val="auto"/>
          <w:sz w:val="24"/>
          <w:szCs w:val="24"/>
          <w:highlight w:val="none"/>
          <w:lang w:val="zh-CN" w:eastAsia="zh-CN"/>
        </w:rPr>
        <w:t xml:space="preserve">论证意见。</w:t>
      </w:r>
      <w:bookmarkEnd w:id="296"/>
      <w:r/>
      <w:bookmarkEnd w:id="297"/>
      <w:r/>
      <w:bookmarkEnd w:id="298"/>
      <w:r/>
      <w:bookmarkEnd w:id="319"/>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20" w:name="_Toc120614219"/>
      <w:r/>
      <w:bookmarkStart w:id="321" w:name="_Toc8446"/>
      <w:r>
        <w:rPr>
          <w:rFonts w:hint="eastAsia" w:ascii="宋体" w:hAnsi="宋体" w:eastAsia="宋体" w:cs="宋体"/>
          <w:b/>
          <w:bCs/>
          <w:color w:val="auto"/>
          <w:sz w:val="28"/>
          <w:szCs w:val="28"/>
          <w:highlight w:val="none"/>
          <w:lang w:val="en-US" w:eastAsia="zh-CN"/>
        </w:rPr>
        <w:t xml:space="preserve">六、定标</w:t>
      </w:r>
      <w:bookmarkEnd w:id="320"/>
      <w:r/>
      <w:bookmarkEnd w:id="321"/>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322" w:name="_Toc513029238"/>
      <w:r/>
      <w:bookmarkStart w:id="323" w:name="_Toc16938554"/>
      <w:r/>
      <w:bookmarkStart w:id="324" w:name="_Toc20823310"/>
      <w:r>
        <w:rPr>
          <w:rFonts w:hint="eastAsia" w:ascii="宋体" w:hAnsi="宋体" w:eastAsia="宋体" w:cs="宋体"/>
          <w:color w:val="auto"/>
          <w:sz w:val="24"/>
          <w:szCs w:val="24"/>
          <w:highlight w:val="none"/>
          <w:lang w:val="en-US" w:eastAsia="zh-CN"/>
        </w:rPr>
        <w:t xml:space="preserve">2</w:t>
      </w:r>
      <w:bookmarkEnd w:id="322"/>
      <w:r>
        <w:rPr>
          <w:rFonts w:hint="eastAsia" w:ascii="宋体" w:hAnsi="宋体" w:eastAsia="宋体" w:cs="宋体"/>
          <w:color w:val="auto"/>
          <w:sz w:val="24"/>
          <w:szCs w:val="24"/>
          <w:highlight w:val="none"/>
          <w:lang w:val="en-US" w:eastAsia="zh-CN"/>
        </w:rPr>
        <w:t xml:space="preserve">6.确定</w:t>
      </w:r>
      <w:bookmarkEnd w:id="323"/>
      <w:r/>
      <w:bookmarkEnd w:id="324"/>
      <w:r>
        <w:rPr>
          <w:rFonts w:hint="eastAsia" w:ascii="宋体" w:hAnsi="宋体" w:eastAsia="宋体" w:cs="宋体"/>
          <w:color w:val="auto"/>
          <w:sz w:val="24"/>
          <w:szCs w:val="24"/>
          <w:highlight w:val="none"/>
          <w:lang w:val="en-US" w:eastAsia="zh-CN"/>
        </w:rPr>
        <w:t xml:space="preserve">中标单位</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5" w:name="_Toc768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.1中标候选人的</w:t>
      </w:r>
      <w:r>
        <w:rPr>
          <w:rFonts w:hint="eastAsia" w:ascii="宋体" w:hAnsi="宋体" w:eastAsia="宋体" w:cs="宋体"/>
          <w:color w:val="auto"/>
          <w:sz w:val="24"/>
          <w:szCs w:val="24"/>
          <w:highlight w:val="none"/>
          <w:lang w:val="en-US" w:eastAsia="zh-CN"/>
        </w:rPr>
        <w:t xml:space="preserve">确定</w:t>
      </w:r>
      <w:r>
        <w:rPr>
          <w:rFonts w:hint="eastAsia" w:ascii="宋体" w:hAnsi="宋体" w:eastAsia="宋体" w:cs="宋体"/>
          <w:color w:val="auto"/>
          <w:sz w:val="24"/>
          <w:szCs w:val="24"/>
          <w:highlight w:val="none"/>
          <w:lang w:val="zh-CN" w:eastAsia="zh-CN"/>
        </w:rPr>
        <w:t xml:space="preserve">原则和数量见招标文件第五章。</w:t>
      </w:r>
      <w:bookmarkEnd w:id="32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6" w:name="_Toc1607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.2按以下第</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color w:val="auto"/>
          <w:sz w:val="24"/>
          <w:szCs w:val="24"/>
          <w:highlight w:val="none"/>
          <w:lang w:val="zh-CN" w:eastAsia="zh-CN"/>
        </w:rPr>
        <w:t xml:space="preserve">种方式确定中标人：</w:t>
      </w:r>
      <w:bookmarkEnd w:id="32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7" w:name="_Toc3116"/>
      <w:r>
        <w:rPr>
          <w:rFonts w:hint="eastAsia" w:ascii="宋体" w:hAnsi="宋体" w:eastAsia="宋体" w:cs="宋体"/>
          <w:color w:val="auto"/>
          <w:sz w:val="24"/>
          <w:szCs w:val="24"/>
          <w:highlight w:val="none"/>
          <w:lang w:val="zh-CN" w:eastAsia="zh-CN"/>
        </w:rPr>
        <w:t xml:space="preserve">（1）评委会直接确定排名第一的中标候选人为中标人；</w:t>
      </w:r>
      <w:bookmarkEnd w:id="32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8" w:name="_Toc28500"/>
      <w:r>
        <w:rPr>
          <w:rFonts w:hint="eastAsia" w:ascii="宋体" w:hAnsi="宋体" w:eastAsia="宋体" w:cs="宋体"/>
          <w:color w:val="auto"/>
          <w:sz w:val="24"/>
          <w:szCs w:val="24"/>
          <w:highlight w:val="none"/>
          <w:lang w:val="zh-CN" w:eastAsia="zh-CN"/>
        </w:rPr>
        <w:t xml:space="preserve">（2）采购人在评委会推荐的中标候选人中按顺序确定中标人。</w:t>
      </w:r>
      <w:bookmarkEnd w:id="32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9" w:name="_Toc5263"/>
      <w:r>
        <w:rPr>
          <w:rFonts w:hint="eastAsia" w:ascii="宋体" w:hAnsi="宋体" w:eastAsia="宋体" w:cs="宋体"/>
          <w:color w:val="auto"/>
          <w:sz w:val="24"/>
          <w:szCs w:val="24"/>
          <w:highlight w:val="none"/>
          <w:lang w:val="zh-CN" w:eastAsia="zh-CN"/>
        </w:rPr>
        <w:t xml:space="preserve">按第二种方式确定中标人的，采购代理机构自评审结束之日起两个工作日内将评审报告送</w:t>
      </w:r>
      <w:r>
        <w:rPr>
          <w:rFonts w:hint="eastAsia" w:ascii="宋体" w:hAnsi="宋体" w:eastAsia="宋体" w:cs="宋体"/>
          <w:color w:val="auto"/>
          <w:sz w:val="24"/>
          <w:szCs w:val="24"/>
          <w:highlight w:val="none"/>
          <w:lang w:val="en-US" w:eastAsia="zh-CN"/>
        </w:rPr>
        <w:t xml:space="preserve">达</w:t>
      </w:r>
      <w:r>
        <w:rPr>
          <w:rFonts w:hint="eastAsia" w:ascii="宋体" w:hAnsi="宋体" w:eastAsia="宋体" w:cs="宋体"/>
          <w:color w:val="auto"/>
          <w:sz w:val="24"/>
          <w:szCs w:val="24"/>
          <w:highlight w:val="none"/>
          <w:lang w:val="zh-CN" w:eastAsia="zh-CN"/>
        </w:rPr>
        <w:t xml:space="preserve">采购人，采购人自收到评审报告之日起五个工作日内，在评审报告推荐的中标候选人中按顺序确定中标人。</w:t>
      </w:r>
      <w:bookmarkEnd w:id="32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0" w:name="_Toc262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.3采购代理机构将在“江苏政府采购网”发布中标公告，公告期限为1个工作日。</w:t>
      </w:r>
      <w:bookmarkEnd w:id="330"/>
      <w:r/>
      <w:r/>
    </w:p>
    <w:p>
      <w:pPr>
        <w:pStyle w:val="672"/>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31" w:name="_Toc24804"/>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.4若有充分证据证明中标人</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eastAsia="zh-CN"/>
        </w:rPr>
        <w:t xml:space="preserve">下列情况之一的，一经查实将被取消中标资格：</w:t>
      </w:r>
      <w:bookmarkEnd w:id="33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2" w:name="_Toc158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.4.1提供虚假材料谋取中标。</w:t>
      </w:r>
      <w:bookmarkEnd w:id="33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3" w:name="_Toc1134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.4.2向评审专家、采购人或采购代理机构工作人员行贿或者提供其他不正当利益。</w:t>
      </w:r>
      <w:bookmarkEnd w:id="33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4" w:name="_Toc2302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.4.3与其他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、评审专家、采购人或采购代理机构工作人员恶意串通。</w:t>
      </w:r>
      <w:bookmarkEnd w:id="33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5" w:name="_Toc286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.4.4属于本文件规定的无效</w:t>
      </w:r>
      <w:r>
        <w:rPr>
          <w:rFonts w:hint="eastAsia" w:ascii="宋体" w:hAnsi="宋体" w:eastAsia="宋体" w:cs="宋体"/>
          <w:color w:val="auto"/>
          <w:sz w:val="24"/>
          <w:szCs w:val="24"/>
          <w:highlight w:val="none"/>
          <w:lang w:val="en-US" w:eastAsia="zh-CN"/>
        </w:rPr>
        <w:t xml:space="preserve">投标情形</w:t>
      </w:r>
      <w:r>
        <w:rPr>
          <w:rFonts w:hint="eastAsia" w:ascii="宋体" w:hAnsi="宋体" w:eastAsia="宋体" w:cs="宋体"/>
          <w:color w:val="auto"/>
          <w:sz w:val="24"/>
          <w:szCs w:val="24"/>
          <w:highlight w:val="none"/>
          <w:lang w:val="zh-CN" w:eastAsia="zh-CN"/>
        </w:rPr>
        <w:t xml:space="preserve">，但在评标过程中未被评委会发现。</w:t>
      </w:r>
      <w:bookmarkEnd w:id="33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6" w:name="_Toc654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.4.5采取不正当手段诋毁、排挤其他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w:t>
      </w:r>
      <w:bookmarkEnd w:id="33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7" w:name="_Toc22188"/>
      <w:r/>
      <w:bookmarkStart w:id="338" w:name="_Toc20045196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.5有下列情形之一的视为投标人串通投标，投标无效：</w:t>
      </w:r>
      <w:bookmarkEnd w:id="33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9" w:name="_Toc1496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.5.1不同投标人的投标文件由同一单位或者个人编制。</w:t>
      </w:r>
      <w:bookmarkEnd w:id="33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0" w:name="_Toc47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.5.2不同投标人委托同一单位或者个人办理投标事宜。</w:t>
      </w:r>
      <w:bookmarkEnd w:id="34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1" w:name="_Toc1813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.5.3不同投标人的投标文件载明的项目管理成员或者联系人员为同一人。</w:t>
      </w:r>
      <w:bookmarkEnd w:id="34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2" w:name="_Toc31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.5.4不同投标人的投标文件异常一致或者投标报价呈规律性差异。</w:t>
      </w:r>
      <w:bookmarkEnd w:id="338"/>
      <w:r/>
      <w:bookmarkEnd w:id="342"/>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27.中标通知书</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3" w:name="_Toc357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.l中标结果确定后，采购代理机构将向中标人发出《中标通知书》。中标人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eastAsia="zh-CN"/>
        </w:rPr>
        <w:t xml:space="preserve">在中标结果公告届满之日起三十日内，登录苏采云系统下载。</w:t>
      </w:r>
      <w:bookmarkEnd w:id="34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4" w:name="_Toc9787"/>
      <w:r>
        <w:rPr>
          <w:rFonts w:hint="eastAsia" w:ascii="宋体" w:hAnsi="宋体" w:eastAsia="宋体" w:cs="宋体"/>
          <w:color w:val="auto"/>
          <w:sz w:val="24"/>
          <w:szCs w:val="24"/>
          <w:highlight w:val="none"/>
          <w:lang w:val="zh-CN" w:eastAsia="zh-CN"/>
        </w:rPr>
        <w:t xml:space="preserve">因系统存储空间有限，中标结果公告届满之日起三十日后，苏采云系统不再保证提供下载《中标通知书》服务，因未及时下载而造成的不利后果由中标人自行承担。</w:t>
      </w:r>
      <w:bookmarkEnd w:id="34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5" w:name="_Toc29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中标通知书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是合同的一个组成部分，对采购人和中标人均具有法律效力。《中标通知书》发出后，采购人改变中标结果或者中标人放弃中标项目的，应当依法承担法律责任。</w:t>
      </w:r>
      <w:bookmarkEnd w:id="345"/>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46" w:name="_Toc120614220"/>
      <w:r/>
      <w:bookmarkStart w:id="347" w:name="_Toc513029236"/>
      <w:r/>
      <w:bookmarkStart w:id="348" w:name="_Toc32236"/>
      <w:r/>
      <w:bookmarkStart w:id="349" w:name="_Toc20823308"/>
      <w:r/>
      <w:bookmarkStart w:id="350" w:name="_Toc16938552"/>
      <w:r>
        <w:rPr>
          <w:rFonts w:hint="eastAsia" w:ascii="宋体" w:hAnsi="宋体" w:eastAsia="宋体" w:cs="宋体"/>
          <w:b/>
          <w:bCs/>
          <w:color w:val="auto"/>
          <w:sz w:val="28"/>
          <w:szCs w:val="28"/>
          <w:highlight w:val="none"/>
          <w:lang w:val="en-US" w:eastAsia="zh-CN"/>
        </w:rPr>
        <w:t xml:space="preserve">七、授予合同</w:t>
      </w:r>
      <w:bookmarkEnd w:id="346"/>
      <w:r/>
      <w:bookmarkEnd w:id="347"/>
      <w:r/>
      <w:bookmarkEnd w:id="348"/>
      <w:r/>
      <w:bookmarkEnd w:id="349"/>
      <w:r/>
      <w:bookmarkEnd w:id="350"/>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28.签订合同</w:t>
      </w:r>
      <w:r/>
    </w:p>
    <w:p>
      <w:pPr>
        <w:pStyle w:val="672"/>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51" w:name="_Toc31188"/>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.l中标人应当</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《中标通知书》发出之日起三十日内，按照招标文件确定的事项与采购人签订政府采购合同。采购人于合同签订后2个工作日内通过苏采云系统进行公示。</w:t>
      </w:r>
      <w:bookmarkEnd w:id="35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2" w:name="_Toc7921"/>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.2招标文件、中标人的投标文件及招标过程中有关澄清、承诺文件均作为合同附件。</w:t>
      </w:r>
      <w:bookmarkEnd w:id="35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3" w:name="_Toc28303"/>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.3签订合同后，中标人不得将合同标的进行转包。未经采购人同意，中标人也不得采用分包的形式履行合同，否则采购人有权终止合同。转包或分包造成采购人损失的，中标人应承担相应赔偿责任。</w:t>
      </w:r>
      <w:bookmarkEnd w:id="35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4" w:name="_Toc26245"/>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.4中标人因自身原因拒绝与采购人签订合同的，不得参加采购人</w:t>
      </w:r>
      <w:r>
        <w:rPr>
          <w:rFonts w:hint="eastAsia" w:ascii="宋体" w:hAnsi="宋体" w:eastAsia="宋体" w:cs="宋体"/>
          <w:color w:val="auto"/>
          <w:sz w:val="24"/>
          <w:szCs w:val="24"/>
          <w:highlight w:val="none"/>
          <w:lang w:val="en-US" w:eastAsia="zh-CN"/>
        </w:rPr>
        <w:t xml:space="preserve">重新组织的</w:t>
      </w:r>
      <w:r>
        <w:rPr>
          <w:rFonts w:hint="eastAsia" w:ascii="宋体" w:hAnsi="宋体" w:eastAsia="宋体" w:cs="宋体"/>
          <w:color w:val="auto"/>
          <w:sz w:val="24"/>
          <w:szCs w:val="24"/>
          <w:highlight w:val="none"/>
          <w:lang w:val="zh-CN" w:eastAsia="zh-CN"/>
        </w:rPr>
        <w:t xml:space="preserve">采购活动</w:t>
      </w:r>
      <w:r>
        <w:rPr>
          <w:rFonts w:hint="eastAsia" w:ascii="宋体" w:hAnsi="宋体" w:eastAsia="宋体" w:cs="宋体"/>
          <w:color w:val="auto"/>
          <w:sz w:val="24"/>
          <w:szCs w:val="24"/>
          <w:highlight w:val="none"/>
          <w:lang w:val="en-US" w:eastAsia="zh-CN"/>
        </w:rPr>
        <w:t xml:space="preserve">，且将可能被拒绝参加该采购人</w:t>
      </w:r>
      <w:r>
        <w:rPr>
          <w:rFonts w:hint="eastAsia" w:ascii="宋体" w:hAnsi="宋体" w:eastAsia="宋体" w:cs="宋体"/>
          <w:color w:val="auto"/>
          <w:sz w:val="24"/>
          <w:szCs w:val="24"/>
          <w:highlight w:val="none"/>
          <w:lang w:val="zh-CN" w:eastAsia="zh-CN"/>
        </w:rPr>
        <w:t xml:space="preserve">一年内</w:t>
      </w:r>
      <w:r>
        <w:rPr>
          <w:rFonts w:hint="eastAsia" w:ascii="宋体" w:hAnsi="宋体" w:eastAsia="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zh-CN" w:eastAsia="zh-CN"/>
        </w:rPr>
        <w:t xml:space="preserve">政府采购活动。</w:t>
      </w:r>
      <w:bookmarkEnd w:id="35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29.标的物的追加</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5" w:name="_Toc7969"/>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eastAsia="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10%。</w:t>
      </w:r>
      <w:bookmarkEnd w:id="355"/>
      <w:r/>
      <w:r/>
    </w:p>
    <w:p>
      <w:pPr>
        <w:pStyle w:val="672"/>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56" w:name="_Toc21761"/>
      <w:r>
        <w:rPr>
          <w:rFonts w:hint="eastAsia" w:ascii="宋体" w:hAnsi="宋体" w:eastAsia="宋体" w:cs="宋体"/>
          <w:b/>
          <w:bCs/>
          <w:color w:val="auto"/>
          <w:sz w:val="28"/>
          <w:szCs w:val="28"/>
          <w:highlight w:val="none"/>
          <w:lang w:val="en-US" w:eastAsia="zh-CN"/>
        </w:rPr>
        <w:t xml:space="preserve">八、质疑</w:t>
      </w:r>
      <w:bookmarkEnd w:id="35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7" w:name="_Toc4277"/>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提出质疑的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应当是参与所质疑项目采购活动的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依法获取其可质疑的采购文件的，可以对采购文件提出质疑。</w:t>
      </w:r>
      <w:bookmarkEnd w:id="357"/>
      <w:r/>
      <w:r/>
    </w:p>
    <w:p>
      <w:pPr>
        <w:pStyle w:val="672"/>
        <w:ind w:left="0" w:firstLine="480"/>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bidi="ar-SA"/>
        </w:rPr>
      </w:pPr>
      <w:r/>
      <w:bookmarkStart w:id="358" w:name="_Toc4175"/>
      <w:r>
        <w:rPr>
          <w:rFonts w:hint="eastAsia" w:ascii="宋体" w:hAnsi="宋体" w:eastAsia="宋体" w:cs="宋体"/>
          <w:color w:val="auto"/>
          <w:sz w:val="24"/>
          <w:szCs w:val="24"/>
          <w:highlight w:val="none"/>
          <w:lang w:val="en-US" w:eastAsia="zh-CN"/>
        </w:rPr>
        <w:t xml:space="preserve">31.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lang w:val="en-US" w:eastAsia="zh-CN"/>
        </w:rPr>
        <w:t xml:space="preserve">按照第33条</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第34</w:t>
      </w:r>
      <w:r>
        <w:rPr>
          <w:rFonts w:hint="eastAsia" w:ascii="宋体" w:hAnsi="宋体" w:eastAsia="宋体" w:cs="宋体"/>
          <w:color w:val="auto"/>
          <w:sz w:val="24"/>
          <w:szCs w:val="24"/>
          <w:highlight w:val="none"/>
          <w:lang w:val="zh-CN" w:eastAsia="zh-CN"/>
        </w:rPr>
        <w:t xml:space="preserve">条</w:t>
      </w:r>
      <w:r>
        <w:rPr>
          <w:rFonts w:hint="eastAsia" w:ascii="宋体" w:hAnsi="宋体" w:eastAsia="宋体" w:cs="宋体"/>
          <w:color w:val="auto"/>
          <w:sz w:val="24"/>
          <w:szCs w:val="24"/>
          <w:highlight w:val="none"/>
          <w:lang w:val="en-US" w:eastAsia="zh-CN"/>
        </w:rPr>
        <w:t xml:space="preserve">之</w:t>
      </w:r>
      <w:r>
        <w:rPr>
          <w:rFonts w:hint="eastAsia" w:ascii="宋体" w:hAnsi="宋体" w:eastAsia="宋体" w:cs="宋体"/>
          <w:color w:val="auto"/>
          <w:sz w:val="24"/>
          <w:szCs w:val="24"/>
          <w:highlight w:val="none"/>
          <w:lang w:val="zh-CN" w:eastAsia="zh-CN"/>
        </w:rPr>
        <w:t xml:space="preserve">规定以书面形式向采购人或采购代理机构提出质疑。</w:t>
      </w:r>
      <w:r>
        <w:rPr>
          <w:rFonts w:hint="eastAsia" w:ascii="宋体" w:hAnsi="宋体" w:eastAsia="宋体" w:cs="宋体"/>
          <w:b/>
          <w:bCs/>
          <w:color w:val="auto"/>
          <w:sz w:val="24"/>
          <w:szCs w:val="24"/>
          <w:highlight w:val="none"/>
          <w:lang w:val="zh-CN" w:eastAsia="zh-CN" w:bidi="ar-SA"/>
        </w:rPr>
        <w:t xml:space="preserve">上述应知其权益受到损害之日是指：</w:t>
      </w:r>
      <w:bookmarkEnd w:id="35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9" w:name="_Toc22860"/>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.1对采购文件提出质疑的，为收到采购文件之日或者采购文件公告期限届满之日。</w:t>
      </w:r>
      <w:bookmarkEnd w:id="35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0" w:name="_Toc18216"/>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.2对采购过程提出质疑的，为各采购程序环节结束之日。</w:t>
      </w:r>
      <w:bookmarkEnd w:id="36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1" w:name="_Toc657"/>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.3对中标或者成交结果提出质疑的，为中标或者成交结果公告期限届满之日。</w:t>
      </w:r>
      <w:bookmarkEnd w:id="36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2" w:name="_Toc25359"/>
      <w:r>
        <w:rPr>
          <w:rFonts w:hint="eastAsia" w:ascii="宋体" w:hAnsi="宋体" w:eastAsia="宋体" w:cs="宋体"/>
          <w:color w:val="auto"/>
          <w:sz w:val="24"/>
          <w:szCs w:val="24"/>
          <w:highlight w:val="none"/>
          <w:lang w:val="en-US" w:eastAsia="zh-CN"/>
        </w:rPr>
        <w:t xml:space="preserve">32.</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应当在法定质疑期内一次性提出针对同一采购程序环节的质疑。</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如在法定期限内对同一采购程序环节提出多次质疑的，采购代理机构或采购人将只对</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第一次质疑作出答复。</w:t>
      </w:r>
      <w:bookmarkEnd w:id="36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3" w:name="_Toc25685"/>
      <w:r>
        <w:rPr>
          <w:rFonts w:hint="eastAsia" w:ascii="宋体" w:hAnsi="宋体" w:eastAsia="宋体" w:cs="宋体"/>
          <w:color w:val="auto"/>
          <w:sz w:val="24"/>
          <w:szCs w:val="24"/>
          <w:highlight w:val="none"/>
          <w:lang w:val="en-US" w:eastAsia="zh-CN"/>
        </w:rPr>
        <w:t xml:space="preserve">33.</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提出质疑应提交《质疑函》原件，且尽可能通过邮寄方式送达，采购代理机构和采购人不接受无运单的快件。《质疑函》应按照本招标文件中《质疑函范本》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格式和内容填写。</w:t>
      </w:r>
      <w:bookmarkEnd w:id="363"/>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4" w:name="_Toc10094"/>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如组成联合体参加采购活动，《质疑函范本》中要求加盖公章之处，联合体各方均须按要求加盖公章。</w:t>
      </w:r>
      <w:bookmarkEnd w:id="364"/>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65" w:name="_Toc15317"/>
      <w:r>
        <w:rPr>
          <w:rFonts w:hint="eastAsia" w:ascii="宋体" w:hAnsi="宋体" w:eastAsia="宋体" w:cs="宋体"/>
          <w:color w:val="auto"/>
          <w:sz w:val="24"/>
          <w:szCs w:val="24"/>
          <w:highlight w:val="none"/>
          <w:lang w:val="en-US" w:eastAsia="zh-CN"/>
        </w:rPr>
        <w:t xml:space="preserve">34.</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（含潜在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）对采购方式、采购需求、</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资格条件、评标方法和评标标准、合同文本的询问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质疑向采购人提出，由采购人负责答复。</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对采购过程、采购结果</w:t>
      </w:r>
      <w:r>
        <w:rPr>
          <w:rFonts w:hint="eastAsia" w:ascii="宋体" w:hAnsi="宋体" w:eastAsia="宋体" w:cs="宋体"/>
          <w:color w:val="auto"/>
          <w:sz w:val="24"/>
          <w:szCs w:val="24"/>
          <w:highlight w:val="none"/>
          <w:lang w:val="zh-CN" w:eastAsia="zh-CN"/>
        </w:rPr>
        <w:t xml:space="preserve">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质疑向采购代理机构提出，由采购代理机构负责答复。</w:t>
      </w:r>
      <w:bookmarkEnd w:id="36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6" w:name="_Toc3640"/>
      <w:r>
        <w:rPr>
          <w:rFonts w:hint="eastAsia" w:ascii="宋体" w:hAnsi="宋体" w:eastAsia="宋体" w:cs="宋体"/>
          <w:color w:val="auto"/>
          <w:sz w:val="24"/>
          <w:szCs w:val="24"/>
          <w:highlight w:val="none"/>
          <w:lang w:val="en-US" w:eastAsia="zh-CN"/>
        </w:rPr>
        <w:t xml:space="preserve">由采购人负责答复的质疑，采购人将《质疑答复函》抄送采购代理机构。</w:t>
      </w:r>
      <w:bookmarkEnd w:id="366"/>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以下情形的质疑不予受理：</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7" w:name="_Toc11829"/>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.1内容不符合《政府采购质疑和投诉办法》第十二条规定的质疑。</w:t>
      </w:r>
      <w:bookmarkEnd w:id="36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8" w:name="_Toc30462"/>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.2超出政府采购法定期限的质疑。</w:t>
      </w:r>
      <w:bookmarkEnd w:id="36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9" w:name="_Toc610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.3以传真、电子邮件等方式递交的非原件形式的质疑。</w:t>
      </w:r>
      <w:bookmarkEnd w:id="36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0" w:name="_Toc9055"/>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.4未参加采购活动或在采购活动中自身权益未受到损害的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所提出的质疑。</w:t>
      </w:r>
      <w:bookmarkEnd w:id="370"/>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1" w:name="_Toc22396"/>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.5</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组成联合体参加采购活动，联合体中任何一方或多方未按要求签字</w:t>
      </w:r>
      <w:r>
        <w:rPr>
          <w:rFonts w:hint="eastAsia" w:ascii="宋体" w:hAnsi="宋体" w:eastAsia="宋体" w:cs="宋体"/>
          <w:color w:val="auto"/>
          <w:sz w:val="24"/>
          <w:szCs w:val="24"/>
          <w:highlight w:val="none"/>
          <w:lang w:val="en-US" w:eastAsia="zh-CN"/>
        </w:rPr>
        <w:t xml:space="preserve">或签章</w:t>
      </w:r>
      <w:r>
        <w:rPr>
          <w:rFonts w:hint="eastAsia" w:ascii="宋体" w:hAnsi="宋体" w:eastAsia="宋体" w:cs="宋体"/>
          <w:color w:val="auto"/>
          <w:sz w:val="24"/>
          <w:szCs w:val="24"/>
          <w:highlight w:val="none"/>
          <w:lang w:val="zh-CN" w:eastAsia="zh-CN"/>
        </w:rPr>
        <w:t xml:space="preserve">、加盖公章的质疑。</w:t>
      </w:r>
      <w:bookmarkEnd w:id="371"/>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2" w:name="_Toc517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法律法规规定的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不予受理情形。</w:t>
      </w:r>
      <w:bookmarkEnd w:id="372"/>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3" w:name="_Toc31565"/>
      <w:r>
        <w:rPr>
          <w:rFonts w:hint="eastAsia" w:ascii="宋体" w:hAnsi="宋体" w:eastAsia="宋体" w:cs="宋体"/>
          <w:color w:val="auto"/>
          <w:sz w:val="24"/>
          <w:szCs w:val="24"/>
          <w:highlight w:val="none"/>
          <w:lang w:val="en-US" w:eastAsia="zh-CN"/>
        </w:rPr>
        <w:t xml:space="preserve">36.</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提出书面质疑必须有理、有据，不得捏造事实、提供虚假材料进行恶意质疑。否则，一经查实，采购代理机构或采购人有权依据政府采购的有关规定，报请政府采购监管部门对该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进行相应的行政处罚和记录该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的失信信息。</w:t>
      </w:r>
      <w:bookmarkEnd w:id="373"/>
      <w:r/>
      <w:r/>
    </w:p>
    <w:p>
      <w:pPr>
        <w:pStyle w:val="672"/>
        <w:ind w:left="0" w:firstLine="562"/>
        <w:pageBreakBefore w:val="0"/>
        <w:spacing w:before="0" w:line="440" w:lineRule="exact"/>
        <w:widowControl w:val="off"/>
        <w:rPr>
          <w:rFonts w:hint="default" w:ascii="宋体" w:hAnsi="宋体" w:eastAsia="宋体" w:cs="宋体"/>
          <w:b/>
          <w:bCs/>
          <w:color w:val="auto"/>
          <w:sz w:val="28"/>
          <w:szCs w:val="28"/>
          <w:highlight w:val="none"/>
          <w:lang w:val="en-US" w:eastAsia="zh-CN"/>
        </w:rPr>
      </w:pPr>
      <w:r/>
      <w:bookmarkStart w:id="374" w:name="_Toc13551"/>
      <w:r>
        <w:rPr>
          <w:rFonts w:hint="eastAsia" w:ascii="宋体" w:hAnsi="宋体" w:eastAsia="宋体" w:cs="宋体"/>
          <w:b/>
          <w:bCs/>
          <w:color w:val="auto"/>
          <w:sz w:val="28"/>
          <w:szCs w:val="28"/>
          <w:highlight w:val="none"/>
          <w:lang w:val="en-US" w:eastAsia="zh-CN"/>
        </w:rPr>
        <w:t xml:space="preserve">九、政策功能落实</w:t>
      </w:r>
      <w:bookmarkEnd w:id="374"/>
      <w:r/>
      <w:r/>
    </w:p>
    <w:p>
      <w:pPr>
        <w:pStyle w:val="673"/>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.促进中小企业发展</w:t>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5" w:name="_Toc10041"/>
      <w:r>
        <w:rPr>
          <w:rFonts w:hint="eastAsia" w:ascii="宋体" w:hAnsi="宋体" w:eastAsia="宋体" w:cs="宋体"/>
          <w:color w:val="auto"/>
          <w:sz w:val="24"/>
          <w:szCs w:val="24"/>
          <w:highlight w:val="none"/>
          <w:lang w:val="en-US" w:eastAsia="zh-CN"/>
        </w:rPr>
        <w:t xml:space="preserve">37.1本项目</w:t>
      </w:r>
      <w:r>
        <w:rPr>
          <w:rFonts w:hint="eastAsia" w:ascii="宋体" w:hAnsi="宋体" w:eastAsia="宋体" w:cs="宋体"/>
          <w:color w:val="auto"/>
          <w:sz w:val="24"/>
          <w:szCs w:val="24"/>
          <w:highlight w:val="none"/>
          <w:lang w:val="zh-CN" w:eastAsia="zh-CN"/>
        </w:rPr>
        <w:t xml:space="preserve">服务由中小企业承接的，</w:t>
      </w:r>
      <w:r>
        <w:rPr>
          <w:rFonts w:hint="eastAsia" w:ascii="宋体" w:hAnsi="宋体" w:eastAsia="宋体" w:cs="宋体"/>
          <w:color w:val="auto"/>
          <w:sz w:val="24"/>
          <w:szCs w:val="24"/>
          <w:highlight w:val="none"/>
          <w:lang w:val="en-US" w:eastAsia="zh-CN"/>
        </w:rPr>
        <w:t xml:space="preserve">投标</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享受中小企业扶持政策。</w:t>
      </w:r>
      <w:bookmarkEnd w:id="375"/>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6" w:name="_Toc28409"/>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376"/>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7" w:name="_Toc1876"/>
      <w:r>
        <w:rPr>
          <w:rFonts w:hint="eastAsia" w:ascii="宋体" w:hAnsi="宋体" w:eastAsia="宋体" w:cs="宋体"/>
          <w:color w:val="auto"/>
          <w:sz w:val="24"/>
          <w:szCs w:val="24"/>
          <w:highlight w:val="none"/>
          <w:lang w:val="en-US" w:eastAsia="zh-CN"/>
        </w:rPr>
        <w:t xml:space="preserve">37.3</w:t>
      </w:r>
      <w:r>
        <w:rPr>
          <w:rFonts w:hint="eastAsia" w:ascii="宋体" w:hAnsi="宋体" w:eastAsia="宋体" w:cs="宋体"/>
          <w:color w:val="auto"/>
          <w:sz w:val="24"/>
          <w:szCs w:val="24"/>
          <w:highlight w:val="none"/>
          <w:lang w:val="zh-CN" w:eastAsia="zh-CN"/>
        </w:rPr>
        <w:t xml:space="preserve">中小企业参加政府采购活动，应当出具《中小企业声明函》，否则不享受相关中小企业</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lang w:val="zh-CN" w:eastAsia="zh-CN"/>
        </w:rPr>
        <w:t xml:space="preserve">政策。</w:t>
      </w:r>
      <w:bookmarkEnd w:id="377"/>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8" w:name="_Toc19742"/>
      <w:r>
        <w:rPr>
          <w:rFonts w:hint="eastAsia" w:ascii="宋体" w:hAnsi="宋体" w:eastAsia="宋体" w:cs="宋体"/>
          <w:color w:val="auto"/>
          <w:sz w:val="24"/>
          <w:szCs w:val="24"/>
          <w:highlight w:val="none"/>
          <w:lang w:val="en-US" w:eastAsia="zh-CN"/>
        </w:rPr>
        <w:t xml:space="preserve">37.4</w:t>
      </w:r>
      <w:r>
        <w:rPr>
          <w:rFonts w:hint="eastAsia" w:ascii="宋体" w:hAnsi="宋体" w:eastAsia="宋体" w:cs="宋体"/>
          <w:color w:val="auto"/>
          <w:sz w:val="24"/>
          <w:szCs w:val="24"/>
          <w:highlight w:val="none"/>
          <w:lang w:val="zh-CN" w:eastAsia="zh-CN"/>
        </w:rPr>
        <w:t xml:space="preserve">以联合体形式参加政府采购活动，联合体各方均为中小企业的，联合体视同中小企业。其中，联合体各方均为小微企业的，联合体视同小微企业。</w:t>
      </w:r>
      <w:bookmarkEnd w:id="378"/>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9" w:name="_Toc30234"/>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5监狱和戒毒企业（简称监狱企业）视同小型、微型企业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zh-CN" w:eastAsia="zh-CN"/>
        </w:rPr>
        <w:t xml:space="preserve">《关于政府采购支持监狱企业发展有关问题的通知》（财库〔2014〕68号）</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lang w:val="zh-CN" w:eastAsia="zh-CN"/>
        </w:rPr>
        <w:t xml:space="preserve">监狱企业需提供由省级以上监狱管理局、戒毒管理局(含新疆生产建设兵团)出具的属于监狱企业的证明文件。</w:t>
      </w:r>
      <w:bookmarkEnd w:id="379"/>
      <w:r/>
      <w:r/>
    </w:p>
    <w:p>
      <w:pPr>
        <w:pStyle w:val="672"/>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80" w:name="_Toc22348"/>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残疾人福利性单位</w:t>
      </w:r>
      <w:r>
        <w:rPr>
          <w:rFonts w:hint="eastAsia" w:ascii="宋体" w:hAnsi="宋体" w:eastAsia="宋体" w:cs="宋体"/>
          <w:color w:val="auto"/>
          <w:sz w:val="24"/>
          <w:szCs w:val="24"/>
          <w:highlight w:val="none"/>
          <w:lang w:val="en-US" w:eastAsia="zh-CN"/>
        </w:rPr>
        <w:t xml:space="preserve">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按照《关于促进残疾人就业政府采购政策的通知》（财库〔2017〕141号）规定，残疾人福利单位需</w:t>
      </w:r>
      <w:r>
        <w:rPr>
          <w:rFonts w:hint="eastAsia" w:ascii="宋体" w:hAnsi="宋体" w:eastAsia="宋体" w:cs="宋体"/>
          <w:color w:val="auto"/>
          <w:sz w:val="24"/>
          <w:szCs w:val="24"/>
          <w:highlight w:val="none"/>
          <w:lang w:val="zh-CN" w:eastAsia="zh-CN"/>
        </w:rPr>
        <w:t xml:space="preserve">提供《残疾人福利性单位声明函》。</w:t>
      </w:r>
      <w:bookmarkEnd w:id="380"/>
      <w:r/>
      <w:r/>
    </w:p>
    <w:p>
      <w:pPr>
        <w:ind w:left="0" w:firstLine="542"/>
        <w:pageBreakBefore w:val="0"/>
        <w:spacing w:line="440" w:lineRule="exact"/>
        <w:widowControl w:val="off"/>
        <w:rPr>
          <w:rFonts w:hint="eastAsia" w:ascii="宋体" w:hAnsi="宋体" w:eastAsia="宋体" w:cs="宋体"/>
          <w:b/>
          <w:bCs/>
          <w:color w:val="auto"/>
          <w:sz w:val="27"/>
          <w:szCs w:val="27"/>
          <w:highlight w:val="none"/>
          <w:lang w:val="en-US" w:eastAsia="zh-CN" w:bidi="ar-SA"/>
        </w:rPr>
      </w:pPr>
      <w:r>
        <w:rPr>
          <w:rFonts w:hint="eastAsia" w:ascii="宋体" w:hAnsi="宋体" w:eastAsia="宋体" w:cs="宋体"/>
          <w:b/>
          <w:bCs/>
          <w:color w:val="auto"/>
          <w:sz w:val="27"/>
          <w:szCs w:val="27"/>
          <w:highlight w:val="none"/>
          <w:lang w:val="en-US" w:eastAsia="zh-CN" w:bidi="ar-SA"/>
        </w:rPr>
        <w:br w:type="page" w:clear="all"/>
      </w:r>
      <w:r/>
    </w:p>
    <w:p>
      <w:pPr>
        <w:pStyle w:val="670"/>
        <w:numPr>
          <w:ilvl w:val="0"/>
          <w:numId w:val="1"/>
        </w:numPr>
        <w:ind w:left="100"/>
        <w:jc w:val="center"/>
        <w:spacing w:line="360" w:lineRule="auto"/>
        <w:rPr>
          <w:rFonts w:hint="eastAsia" w:cs="宋体"/>
          <w:b/>
          <w:bCs/>
          <w:color w:val="auto"/>
          <w:sz w:val="27"/>
          <w:szCs w:val="27"/>
          <w:highlight w:val="none"/>
          <w:lang w:val="en-US" w:eastAsia="zh-CN" w:bidi="ar-SA"/>
        </w:rPr>
      </w:pPr>
      <w:r/>
      <w:bookmarkStart w:id="381" w:name="_Toc32184"/>
      <w:r>
        <w:rPr>
          <w:rFonts w:hint="eastAsia" w:cs="宋体"/>
          <w:b/>
          <w:bCs/>
          <w:color w:val="auto"/>
          <w:sz w:val="27"/>
          <w:szCs w:val="27"/>
          <w:highlight w:val="none"/>
          <w:lang w:val="en-US" w:eastAsia="zh-CN" w:bidi="ar-SA"/>
        </w:rPr>
        <w:t xml:space="preserve">合同文本</w:t>
      </w:r>
      <w:bookmarkEnd w:id="381"/>
      <w:r/>
      <w:r/>
    </w:p>
    <w:p>
      <w:pPr>
        <w:ind w:firstLine="960"/>
        <w:jc w:val="center"/>
        <w:rPr>
          <w:rFonts w:hint="eastAsia"/>
          <w:color w:val="auto"/>
          <w:sz w:val="48"/>
          <w:szCs w:val="21"/>
          <w:highlight w:val="none"/>
          <w:lang w:eastAsia="zh-CN"/>
        </w:rPr>
      </w:pPr>
      <w:r>
        <w:rPr>
          <w:rFonts w:hint="eastAsia"/>
          <w:color w:val="auto"/>
          <w:sz w:val="48"/>
          <w:szCs w:val="21"/>
          <w:highlight w:val="none"/>
          <w:lang w:eastAsia="zh-CN"/>
        </w:rPr>
      </w:r>
      <w:r/>
    </w:p>
    <w:p>
      <w:pPr>
        <w:ind w:firstLine="960"/>
        <w:jc w:val="center"/>
        <w:rPr>
          <w:rFonts w:hint="eastAsia" w:ascii="仿宋" w:hAnsi="仿宋" w:eastAsia="仿宋"/>
          <w:color w:val="auto"/>
          <w:sz w:val="52"/>
          <w:highlight w:val="none"/>
          <w:lang w:eastAsia="zh-CN"/>
        </w:rPr>
      </w:pPr>
      <w:r>
        <w:rPr>
          <w:rFonts w:hint="eastAsia"/>
          <w:color w:val="auto"/>
          <w:sz w:val="48"/>
          <w:szCs w:val="21"/>
          <w:highlight w:val="none"/>
          <w:lang w:eastAsia="zh-CN"/>
        </w:rPr>
        <w:t xml:space="preserve">南京市政府采购合同</w:t>
      </w:r>
      <w:r/>
    </w:p>
    <w:p>
      <w:pPr>
        <w:ind w:firstLine="1807"/>
        <w:rPr>
          <w:rFonts w:hint="eastAsia" w:ascii="仿宋" w:hAnsi="仿宋" w:eastAsia="仿宋"/>
          <w:b/>
          <w:color w:val="auto"/>
          <w:sz w:val="36"/>
          <w:highlight w:val="none"/>
          <w:lang w:eastAsia="zh-CN"/>
        </w:rPr>
      </w:pPr>
      <w:r>
        <w:rPr>
          <w:rFonts w:hint="eastAsia" w:ascii="仿宋" w:hAnsi="仿宋" w:eastAsia="仿宋"/>
          <w:b/>
          <w:color w:val="auto"/>
          <w:sz w:val="36"/>
          <w:highlight w:val="none"/>
          <w:lang w:eastAsia="zh-CN"/>
        </w:rPr>
      </w:r>
      <w:r/>
    </w:p>
    <w:p>
      <w:pPr>
        <w:ind w:firstLine="960"/>
        <w:jc w:val="center"/>
        <w:spacing w:line="360" w:lineRule="auto"/>
        <w:rPr>
          <w:rFonts w:hint="eastAsia"/>
          <w:color w:val="auto"/>
          <w:sz w:val="48"/>
          <w:szCs w:val="21"/>
          <w:highlight w:val="none"/>
          <w:lang w:eastAsia="zh-CN"/>
        </w:rPr>
      </w:pPr>
      <w:r>
        <w:rPr>
          <w:rFonts w:hint="eastAsia"/>
          <w:color w:val="auto"/>
          <w:sz w:val="48"/>
          <w:szCs w:val="21"/>
          <w:highlight w:val="none"/>
          <w:lang w:eastAsia="zh-CN"/>
        </w:rPr>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发包方（以下简称甲方）：</w:t>
      </w:r>
      <w:r>
        <w:rPr>
          <w:rFonts w:hint="eastAsia" w:asciiTheme="minorEastAsia" w:hAnsiTheme="minorEastAsia" w:cstheme="minorEastAsia"/>
          <w:color w:val="auto"/>
          <w:sz w:val="24"/>
          <w:szCs w:val="24"/>
          <w:highlight w:val="none"/>
          <w:u w:val="single"/>
          <w:lang w:val="en-US" w:eastAsia="zh-CN"/>
        </w:rPr>
        <w:t xml:space="preserve">南京市浦口区人民政府汤泉街道办事处</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lang w:val="en-US"/>
        </w:rPr>
      </w:pPr>
      <w:r>
        <w:rPr>
          <w:rFonts w:hint="eastAsia" w:asciiTheme="minorEastAsia" w:hAnsiTheme="minorEastAsia" w:eastAsiaTheme="minorEastAsia" w:cstheme="minorEastAsia"/>
          <w:color w:val="auto"/>
          <w:sz w:val="24"/>
          <w:szCs w:val="24"/>
          <w:highlight w:val="none"/>
        </w:rPr>
        <w:t xml:space="preserve">承包方（以下简称</w:t>
      </w:r>
      <w:bookmarkStart w:id="382" w:name="_Hlk26781315"/>
      <w:r>
        <w:rPr>
          <w:rFonts w:hint="eastAsia" w:asciiTheme="minorEastAsia" w:hAnsiTheme="minorEastAsia" w:eastAsiaTheme="minorEastAsia" w:cstheme="minorEastAsia"/>
          <w:color w:val="auto"/>
          <w:sz w:val="24"/>
          <w:szCs w:val="24"/>
          <w:highlight w:val="none"/>
        </w:rPr>
        <w:t xml:space="preserve">乙方</w:t>
      </w:r>
      <w:bookmarkEnd w:id="382"/>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就乙方承包甲方</w:t>
      </w:r>
      <w:r>
        <w:rPr>
          <w:rFonts w:hint="eastAsia" w:asciiTheme="minorEastAsia" w:hAnsiTheme="minorEastAsia" w:eastAsiaTheme="minorEastAsia" w:cstheme="minorEastAsia"/>
          <w:color w:val="auto"/>
          <w:sz w:val="24"/>
          <w:szCs w:val="24"/>
          <w:highlight w:val="none"/>
          <w:u w:val="singl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rPr>
        <w:t xml:space="preserve">工作所提供的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事项，经甲乙双方协商，达成如下协议：</w:t>
      </w:r>
      <w:r/>
    </w:p>
    <w:p>
      <w:pPr>
        <w:numPr>
          <w:ilvl w:val="0"/>
          <w:numId w:val="2"/>
        </w:numPr>
        <w:spacing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合同履行期限</w:t>
      </w:r>
      <w:r>
        <w:rPr>
          <w:rFonts w:hint="eastAsia" w:asciiTheme="minorEastAsia" w:hAnsiTheme="minorEastAsia" w:eastAsiaTheme="minorEastAsia" w:cstheme="minorEastAsia"/>
          <w:color w:val="auto"/>
          <w:sz w:val="24"/>
          <w:szCs w:val="24"/>
          <w:highlight w:val="none"/>
          <w:lang w:val="en-US" w:eastAsia="zh-CN"/>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p>
    <w:p>
      <w:pPr>
        <w:numPr>
          <w:ilvl w:val="0"/>
          <w:numId w:val="0"/>
        </w:num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合同包括以下内容</w:t>
      </w:r>
      <w:r>
        <w:rPr>
          <w:rFonts w:hint="eastAsia" w:asciiTheme="minorEastAsia" w:hAnsiTheme="minorEastAsia" w:eastAsiaTheme="minorEastAsia" w:cstheme="minorEastAsia"/>
          <w:color w:val="auto"/>
          <w:sz w:val="24"/>
          <w:szCs w:val="24"/>
          <w:highlight w:val="none"/>
        </w:rPr>
        <w:t xml:space="preserve">：</w:t>
      </w:r>
      <w:r/>
    </w:p>
    <w:p>
      <w:pPr>
        <w:ind w:right="0"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昭明北路、水星大道、汤农路、平坦路、林泉路、山水田园旁广场地块绿地进行绿化养护</w:t>
      </w:r>
      <w:r>
        <w:rPr>
          <w:rFonts w:hint="eastAsia" w:ascii="宋体" w:hAnsi="宋体" w:cs="宋体"/>
          <w:color w:val="auto"/>
          <w:sz w:val="24"/>
          <w:szCs w:val="24"/>
          <w:highlight w:val="none"/>
        </w:rPr>
        <w:t xml:space="preserve">（详细内容</w:t>
      </w:r>
      <w:r>
        <w:rPr>
          <w:rFonts w:hint="eastAsia" w:asciiTheme="minorEastAsia" w:hAnsiTheme="minorEastAsia" w:eastAsiaTheme="minorEastAsia" w:cstheme="minorEastAsia"/>
          <w:color w:val="auto"/>
          <w:sz w:val="24"/>
          <w:szCs w:val="24"/>
          <w:highlight w:val="none"/>
          <w:lang w:val="en-US" w:eastAsia="zh-CN"/>
        </w:rPr>
        <w:t xml:space="preserve">详见养护清单）</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三、绿化养护劳务安全协议</w:t>
      </w:r>
      <w:r>
        <w:rPr>
          <w:rFonts w:hint="eastAsia" w:asciiTheme="minorEastAsia" w:hAnsiTheme="minorEastAsia" w:eastAsiaTheme="minorEastAsia" w:cstheme="minorEastAsia"/>
          <w:color w:val="auto"/>
          <w:sz w:val="24"/>
          <w:szCs w:val="24"/>
          <w:highlight w:val="none"/>
        </w:rPr>
        <w:t xml:space="preserve"> </w:t>
      </w:r>
      <w:r/>
    </w:p>
    <w:p>
      <w:pPr>
        <w:ind w:firstLine="480"/>
        <w:spacing w:line="360" w:lineRule="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见附件</w:t>
      </w:r>
      <w:r>
        <w:rPr>
          <w:rFonts w:hint="eastAsia" w:asciiTheme="minorEastAsia" w:hAnsiTheme="minorEastAsia" w:cstheme="minorEastAsia"/>
          <w:color w:val="auto"/>
          <w:sz w:val="24"/>
          <w:szCs w:val="24"/>
          <w:highlight w:val="none"/>
          <w:lang w:val="en-US" w:eastAsia="zh-CN"/>
        </w:rPr>
        <w:t xml:space="preserve">1</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四、绿化养护劳务作业标准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江苏省城市园林绿化植物养护技术规定》、《南京市城市绿化养护质量等级标准》、《南京市城市绿化养护技术规程》等园林绿化养护质量标准、规程为主要标准，甲方可根据实际情况对相关作业标准进行调整。</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五、组成合同的文件</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组成本合同的文件包括：</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本合同</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lang w:val="en-US" w:eastAsia="zh-CN"/>
        </w:rPr>
        <w:t xml:space="preserve">养护范围（见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年劳务安全协议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eastAsia="宋体" w:asciiTheme="minorEastAsia" w:hAnsiTheme="minorEastAsia" w:cstheme="minorEastAsia"/>
          <w:color w:val="auto"/>
          <w:sz w:val="24"/>
          <w:szCs w:val="24"/>
          <w:highlight w:val="none"/>
          <w:lang w:val="en-US" w:eastAsia="zh-CN"/>
        </w:rPr>
        <w:t xml:space="preserve">附件</w:t>
      </w:r>
      <w:r>
        <w:rPr>
          <w:rFonts w:hint="eastAsia" w:asciiTheme="minorEastAsia" w:hAnsiTheme="minorEastAsia" w:cstheme="minorEastAsia"/>
          <w:color w:val="auto"/>
          <w:sz w:val="24"/>
          <w:szCs w:val="24"/>
          <w:highlight w:val="none"/>
          <w:lang w:val="en-US" w:eastAsia="zh-CN"/>
        </w:rPr>
        <w:t xml:space="preserve">1</w:t>
      </w:r>
      <w:r>
        <w:rPr>
          <w:rFonts w:hint="eastAsia" w:eastAsia="宋体" w:asciiTheme="minorEastAsia" w:hAnsiTheme="minorEastAsia" w:cstheme="minorEastAsia"/>
          <w:color w:val="auto"/>
          <w:sz w:val="24"/>
          <w:szCs w:val="24"/>
          <w:highlight w:val="none"/>
          <w:lang w:eastAsia="zh-CN"/>
        </w:rPr>
        <w:t xml:space="preserve">）</w:t>
      </w:r>
      <w:r/>
    </w:p>
    <w:p>
      <w:pPr>
        <w:numPr>
          <w:ilvl w:val="0"/>
          <w:numId w:val="0"/>
        </w:numPr>
        <w:ind w:firstLine="480"/>
        <w:jc w:val="both"/>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lang w:val="en-US" w:eastAsia="zh-CN"/>
        </w:rPr>
        <w:t xml:space="preserve">考核表</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.双方有关的洽商、变更等书面协议或文件视为本合同的组成部分</w:t>
      </w:r>
      <w:r/>
    </w:p>
    <w:p>
      <w:pPr>
        <w:ind w:firstLine="480"/>
        <w:spacing w:line="360" w:lineRule="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6.招标文件、投标文件、中标通知书。</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六、双方权利和义务</w:t>
      </w:r>
      <w:r/>
    </w:p>
    <w:p>
      <w:pPr>
        <w:ind w:right="-193"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1、甲方制定绿化综合劳务养护作业标准及考核办法，甲方派专人定期、不定期对绿化养护作业成果进行检查考核。</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2、如遇防汛、防台、抗雪防冻、突发事件以及重大活动保障等工作，甲方负责协调乙方在作业过程中同其他部门的联系。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有权要求乙方进场后上报现场组织机构、人员配备、劳务养护作业方案等至甲方处审核备案，经甲方书面同意后方可实施，劳务养护作业方案可根据甲方要求进行合理调整，乙方不得以方案调整为由要求调整绿化养护劳务合同总价款。</w:t>
      </w:r>
      <w:r/>
    </w:p>
    <w:p>
      <w:pPr>
        <w:pStyle w:val="926"/>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4、如遇绿化特殊工作需求时（如参观、创优检查等保障工作情况），甲方有权要求乙方及时安排人员进行相应工作，乙方需按甲方要求落实劳务人员，所需费用包括在合同总价款中，甲方不再另行支付费用。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5、甲方对乙方违规行为及现象、养护质量效果可开出《整改通知单》，且乙方需及时进行处理。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eastAsia="宋体" w:asciiTheme="minorEastAsia" w:hAnsiTheme="minorEastAsia" w:cstheme="minorEastAsia"/>
          <w:color w:val="auto"/>
          <w:sz w:val="24"/>
          <w:szCs w:val="24"/>
          <w:highlight w:val="none"/>
          <w:lang w:val="en-US" w:eastAsia="zh-CN"/>
        </w:rPr>
        <w:t xml:space="preserve">乙</w:t>
      </w:r>
      <w:r>
        <w:rPr>
          <w:rFonts w:hint="eastAsia" w:asciiTheme="minorEastAsia" w:hAnsiTheme="minorEastAsia" w:eastAsiaTheme="minorEastAsia" w:cstheme="minorEastAsia"/>
          <w:color w:val="auto"/>
          <w:sz w:val="24"/>
          <w:szCs w:val="24"/>
          <w:highlight w:val="none"/>
        </w:rPr>
        <w:t xml:space="preserve">方每年</w:t>
      </w:r>
      <w:r>
        <w:rPr>
          <w:rFonts w:hint="eastAsia" w:eastAsia="宋体" w:asciiTheme="minorEastAsia" w:hAnsiTheme="minorEastAsia" w:cstheme="minorEastAsia"/>
          <w:color w:val="auto"/>
          <w:sz w:val="24"/>
          <w:szCs w:val="24"/>
          <w:highlight w:val="none"/>
          <w:lang w:val="en-US" w:eastAsia="zh-CN"/>
        </w:rPr>
        <w:t xml:space="preserve">进行</w:t>
      </w:r>
      <w:r>
        <w:rPr>
          <w:rFonts w:hint="eastAsia" w:asciiTheme="minorEastAsia" w:hAnsiTheme="minorEastAsia" w:eastAsiaTheme="minorEastAsia" w:cstheme="minorEastAsia"/>
          <w:color w:val="auto"/>
          <w:sz w:val="24"/>
          <w:szCs w:val="24"/>
          <w:highlight w:val="none"/>
        </w:rPr>
        <w:t xml:space="preserve">苗木补植，补植费用包括在合同总价款中，甲方不再另行支付，如一年中有苗木死亡，由乙方自行采购，费用由乙方承担。</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管养服务期内范围内容成活率需保证为95%以上。投标人需考虑极端天气下出现的大面积补植等情况，所有的费用均含在本次报价范围内，甲方不另行支付绿化补换费用。绿化养护过程中产生的垃圾清理外运费用由各投标单位自行考虑，结算不再调整。</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8.本项目中所需的人工、材料、机械费用均包含在合同总价款中，甲方不再另行支付费用。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（二）乙方权利和义务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1、乙方按照设施养护规范、规程的要求提供劳务人员实施并完成各项设施养护任务，达到甲方有关设施养护标准，保持所维护设施完好状况的水平，依据合同约定获得绿化养护费用。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2、乙方必须严格按合同条款、绿化综合养护作业标准及相关规定，组织好符合要求的人力。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3、乙方需确保绿化管养质量，承担设施、人员安全和公共安全责任，非因甲方原因造成的一切损失和责任由乙方全部承担。</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乙方对所管养的设施有安排人员巡查的义务，如发现绿地占用、绿化设施被人为损坏或交通事故毁绿等事件时，应予以制止，及时向甲方报告或按照甲方要求处理。如因制止或上报不及时造成的绿化问题，由乙方自行恢复，甲方不提供额外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自行准备管养工作必备的设备、工具及辅助材料，甲方现有水车可以在抗旱时免费借用，签订借用承诺书，甲方现有水车如不能满足养护需要时，乙方自行解决问题以达到养护需要，不得以未借到水车为由降低养护质量。</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6、乙方应服从甲方的管理和指挥，遵守甲方各项管理制度。</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乙方应当与所雇佣的养护劳务人员签订书面协议，约定权利义务。其所雇人员与甲方无任何劳动或劳务关系，因履行工作职责造成的一切损害与甲方无关。乙方所雇人员必须身体健康、仪容端正、品德良好，无违法犯罪记录，乙方负责养护工人的培训、教育、统一着装上岗。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8、乙方可根据自身的工作特点自行安排工作程序，但工作时间必须与甲方的要求相符合。</w:t>
      </w:r>
      <w:r/>
    </w:p>
    <w:p>
      <w:pPr>
        <w:ind w:firstLine="360"/>
        <w:spacing w:line="360" w:lineRule="auto"/>
        <w:rPr>
          <w:rFonts w:hint="eastAsia" w:eastAsia="宋体"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9、乙方应遵循安全生产、文明作业的有关规定，在管理管养过程中，</w:t>
      </w:r>
      <w:r>
        <w:rPr>
          <w:rFonts w:hint="eastAsia" w:eastAsia="宋体" w:asciiTheme="minorEastAsia" w:hAnsiTheme="minorEastAsia" w:cstheme="minorEastAsia"/>
          <w:color w:val="auto"/>
          <w:sz w:val="24"/>
          <w:szCs w:val="24"/>
          <w:highlight w:val="none"/>
          <w:lang w:val="en-US" w:eastAsia="zh-CN"/>
        </w:rPr>
        <w:t xml:space="preserve">工作人员需具有相关的资质，如登高人员需取得登高作业证书、登高车辆需具有登高作业资质等，在作业中需</w:t>
      </w:r>
      <w:r>
        <w:rPr>
          <w:rFonts w:hint="eastAsia" w:asciiTheme="minorEastAsia" w:hAnsiTheme="minorEastAsia" w:eastAsiaTheme="minorEastAsia" w:cstheme="minorEastAsia"/>
          <w:color w:val="auto"/>
          <w:sz w:val="24"/>
          <w:szCs w:val="24"/>
          <w:highlight w:val="none"/>
        </w:rPr>
        <w:t xml:space="preserve">采取严格的安全措施，杜绝安全事故的发生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乙方应组织人员参加由甲方或园林绿化相关部门组织的安全培训和应急</w:t>
      </w:r>
      <w:r>
        <w:rPr>
          <w:rFonts w:hint="eastAsia" w:eastAsia="宋体" w:asciiTheme="minorEastAsia" w:hAnsiTheme="minorEastAsia" w:cstheme="minorEastAsia"/>
          <w:b w:val="0"/>
          <w:bCs w:val="0"/>
          <w:color w:val="auto"/>
          <w:sz w:val="24"/>
          <w:szCs w:val="24"/>
          <w:highlight w:val="none"/>
          <w:lang w:val="en-US" w:eastAsia="zh-CN"/>
        </w:rPr>
        <w:t xml:space="preserve">演练。</w:t>
      </w:r>
      <w:r>
        <w:rPr>
          <w:rFonts w:hint="eastAsia" w:asciiTheme="minorEastAsia" w:hAnsiTheme="minorEastAsia" w:eastAsiaTheme="minorEastAsia" w:cstheme="minorEastAsia"/>
          <w:color w:val="auto"/>
          <w:sz w:val="24"/>
          <w:szCs w:val="24"/>
          <w:highlight w:val="none"/>
        </w:rPr>
        <w:t xml:space="preserve">如发生人身安全事故等造成的一切损失及责任由乙方承担，甲方不承担任何责任且</w:t>
      </w:r>
      <w:r>
        <w:rPr>
          <w:rFonts w:hint="eastAsia" w:asciiTheme="minorEastAsia" w:hAnsiTheme="minorEastAsia" w:eastAsiaTheme="minorEastAsia" w:cstheme="minorEastAsia"/>
          <w:b/>
          <w:bCs/>
          <w:color w:val="auto"/>
          <w:sz w:val="24"/>
          <w:szCs w:val="24"/>
          <w:highlight w:val="none"/>
        </w:rPr>
        <w:t xml:space="preserve">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、乙方需协助甲方调查、解决市民来信来访及投诉，并根据甲方要求及时处理。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如遇防汛、防台、抗雪防冻、突发事件以及重大活动保障等，乙方必须服从甲方指挥与安排，甲方制定应急预案（防冻扫雪、防台等应急预案），乙方按照预案实施，如因未按照预案制定应对措施或措施实施不到位所造成的一切损失和责任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、乙方养护劳务作业过程中产生的所有垃圾必须自行合法处理，相应费用由乙方自行承担。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、以绿化现场现有条件为基准，合同签订后应立即进场绿化养护作业，乙方无权要求甲方对现有条件进行整改后交给乙方。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、乙方应当按照本合同的约定履行义务，完成养护任务。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、合同期内乙方根据甲方要求提交完整的劳务养护台账。</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w:t>
      </w:r>
      <w:r>
        <w:rPr>
          <w:rFonts w:hint="eastAsia" w:eastAsia="宋体" w:asciiTheme="minorEastAsia" w:hAnsi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乙方必须为参加管养的劳务工人投意外伤害险，保障内容涉及意外身故、残疾等，给付不得低于50万元，其他社会保险由乙方根据相关法规自行缴纳，所有保险费均由乙方自行承担，与甲方无关。乙方需在合理期限内向甲方提供相应的保险材料。</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七、合同价款及付款方式</w:t>
      </w:r>
      <w:r/>
    </w:p>
    <w:p>
      <w:pPr>
        <w:pStyle w:val="871"/>
        <w:ind w:left="0" w:firstLine="480"/>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（一）履约保证金</w:t>
      </w:r>
      <w:r/>
    </w:p>
    <w:p>
      <w:pPr>
        <w:pStyle w:val="871"/>
        <w:numPr>
          <w:ilvl w:val="0"/>
          <w:numId w:val="0"/>
        </w:numPr>
        <w:ind w:firstLine="480"/>
        <w:jc w:val="both"/>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在签订合同后7天内，乙方向甲方缴纳中标价款的10%作为本项目的履约保证金，项目验收合格后，采购单位退还履约保证金。若乙方未按时交纳履约保证金，视为自动放弃中标资格。出现以下情形，履约保证金不予退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1.合同履行期限内，连续两次考核分数低于75分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w:t>
      </w:r>
      <w:r>
        <w:rPr>
          <w:rFonts w:hint="eastAsia" w:ascii="宋体" w:hAnsi="宋体" w:eastAsia="宋体" w:cs="宋体"/>
          <w:color w:val="auto"/>
          <w:sz w:val="24"/>
          <w:szCs w:val="24"/>
          <w:highlight w:val="none"/>
          <w:lang w:val="en-US" w:eastAsia="zh-CN"/>
        </w:rPr>
        <w:t xml:space="preserve">群众</w:t>
      </w:r>
      <w:r>
        <w:rPr>
          <w:rFonts w:hint="eastAsia" w:ascii="宋体" w:hAnsi="宋体" w:eastAsia="宋体" w:cs="宋体"/>
          <w:color w:val="auto"/>
          <w:sz w:val="24"/>
          <w:szCs w:val="24"/>
          <w:highlight w:val="none"/>
        </w:rPr>
        <w:t xml:space="preserve">到区级及以上部门上访或到街道</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次及以上上访的重大维稳事件。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发生安全事故造成人员伤亡或被相关执法部门进行行政处罚的。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管理存在漏洞或疏忽造成的事故被媒体报道产生不良影响的。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val="en-US" w:eastAsia="zh-CN"/>
        </w:rPr>
        <w:t xml:space="preserve">，出现安全生产事故、环境污染等事故或矛盾等情况的，情节严重的情形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各种创建考评期间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由于乙方不配合、整改不到位，</w:t>
      </w:r>
      <w:r>
        <w:rPr>
          <w:rFonts w:hint="eastAsia" w:ascii="宋体" w:hAnsi="宋体" w:eastAsia="宋体" w:cs="宋体"/>
          <w:color w:val="auto"/>
          <w:sz w:val="24"/>
          <w:szCs w:val="24"/>
          <w:highlight w:val="none"/>
        </w:rPr>
        <w:t xml:space="preserve">影响</w:t>
      </w:r>
      <w:r>
        <w:rPr>
          <w:rFonts w:hint="eastAsia" w:ascii="宋体" w:hAnsi="宋体" w:eastAsia="宋体" w:cs="宋体"/>
          <w:color w:val="auto"/>
          <w:sz w:val="24"/>
          <w:szCs w:val="24"/>
          <w:highlight w:val="none"/>
          <w:lang w:val="en-US" w:eastAsia="zh-CN"/>
        </w:rPr>
        <w:t xml:space="preserve">街道排名、造成恶劣影响的情况</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乙方出现分包行为；经核实乙方出现转包行为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8.连续两次区级</w:t>
      </w:r>
      <w:r>
        <w:rPr>
          <w:rFonts w:hint="eastAsia" w:ascii="宋体" w:hAnsi="宋体" w:eastAsia="宋体" w:cs="宋体"/>
          <w:color w:val="auto"/>
          <w:sz w:val="24"/>
          <w:szCs w:val="24"/>
          <w:highlight w:val="none"/>
          <w:lang w:val="en-US" w:eastAsia="zh-CN" w:bidi="ar-SA"/>
        </w:rPr>
        <w:t xml:space="preserve">考评结果在第三名以下。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9.出现乙方以不正当理由拒绝按合同约定履约的情形。</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乙方在合同期限内擅自撤出本项目。</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乙方若不按照本合同承担相应的义务，甲方有权要求乙方限期整改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若乙方拒绝整改或经整改仍不能满足甲方的要求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）合同价款</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1、合同价小写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val="en-US" w:eastAsia="zh-CN"/>
        </w:rPr>
        <w:t xml:space="preserve">/年</w:t>
      </w:r>
      <w:r>
        <w:rPr>
          <w:rFonts w:hint="eastAsia" w:asciiTheme="minorEastAsia" w:hAnsiTheme="minorEastAsia" w:eastAsiaTheme="minorEastAsia" w:cstheme="minorEastAsia"/>
          <w:color w:val="auto"/>
          <w:sz w:val="24"/>
          <w:szCs w:val="24"/>
          <w:highlight w:val="none"/>
        </w:rPr>
        <w:t xml:space="preserve"> （此价格为含税价格）。</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人民币）。</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总价款是完成本项目所发生的所有含税费用、支付给员工的工资和国家强制缴纳的各种社会保障资金，以及乙方认为需要的其他费用等。除本合同另有约定以外，甲方就本合同不再向乙方支付任何其他款项。</w:t>
      </w:r>
      <w:r/>
    </w:p>
    <w:p>
      <w:pPr>
        <w:ind w:left="0" w:firstLine="48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）付款方式：</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1.项目服务期满验收合格后，支付合同价的50%款项。</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2.项目完成后，根据服务考核情况，</w:t>
      </w: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一年后支付剩余的尾款。</w:t>
      </w:r>
      <w:r/>
    </w:p>
    <w:p>
      <w:pPr>
        <w:numPr>
          <w:ilvl w:val="0"/>
          <w:numId w:val="0"/>
        </w:numPr>
        <w:ind w:left="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（四）考核结果运用</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1.甲方将在年度结束后，全年月度考核当中当月得分排名五个街道中，排第五名的扣除5000元服务费，排名第四名的扣除2000元服务费，排名前三名的不扣服务费。</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2.每月或每季度考核中，得分在98分（含）以上的不扣服务费，98分以下按照每扣0.1分扣服务费100元标准计（每多1分扣1000元标准）。</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2.1、考核在98~100分(优秀)</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2.2、考核在90~97分(良好)</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2.3、考核在80~89分(合格)</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2.4、考核在80分以下的(不合格)。</w:t>
      </w:r>
      <w:r/>
    </w:p>
    <w:p>
      <w:pPr>
        <w:numPr>
          <w:ilvl w:val="0"/>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五</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内容以外发生的新增项目单价由甲方负责审核确认，新增量劳务作业、零星用工款项于结算审计完成后一并支付。</w:t>
      </w:r>
      <w:r/>
    </w:p>
    <w:p>
      <w:pPr>
        <w:pStyle w:val="926"/>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）乙方收款信息</w:t>
      </w:r>
      <w:r/>
    </w:p>
    <w:p>
      <w:pPr>
        <w:pStyle w:val="926"/>
        <w:ind w:firstLine="480"/>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账户名：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 w:val="24"/>
          <w:szCs w:val="24"/>
          <w:highlight w:val="none"/>
        </w:rPr>
        <w:t xml:space="preserve">开户行：</w:t>
      </w:r>
      <w:r>
        <w:rPr>
          <w:rFonts w:hint="eastAsia" w:asciiTheme="minorEastAsia" w:hAnsiTheme="minorEastAsia" w:eastAsiaTheme="minorEastAsia" w:cstheme="minorEastAsia"/>
          <w:color w:val="auto"/>
          <w:sz w:val="24"/>
          <w:szCs w:val="24"/>
          <w:highlight w:val="none"/>
          <w:lang w:val="en-US"/>
        </w:rPr>
        <w:t xml:space="preserve"> </w:t>
      </w:r>
      <w:r>
        <w:rPr>
          <w:rFonts w:hint="eastAsia" w:eastAsia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银行账号：</w:t>
      </w:r>
      <w:r>
        <w:rPr>
          <w:rFonts w:hint="eastAsia" w:asciiTheme="minorEastAsia" w:hAnsiTheme="minorEastAsia" w:eastAsiaTheme="minorEastAsia" w:cstheme="minorEastAsia"/>
          <w:color w:val="auto"/>
          <w:sz w:val="24"/>
          <w:szCs w:val="24"/>
          <w:highlight w:val="none"/>
          <w:u w:val="single"/>
          <w:lang w:val="en-US"/>
        </w:rPr>
        <w:t xml:space="preserve">                                                                 </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八、合同解除及违约责任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未按本合同约提供服务的，经有关部门发出整改通知书或者甲方要求限期整改后仍不整改或整改不到位的，合同期一年内累计达到两次的，甲方可单方解除合同，自解除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、发生</w:t>
      </w:r>
      <w:r>
        <w:rPr>
          <w:rFonts w:hint="eastAsia" w:eastAsia="宋体" w:asciiTheme="minorEastAsia" w:hAnsiTheme="minorEastAsia" w:cstheme="minorEastAsia"/>
          <w:color w:val="auto"/>
          <w:sz w:val="24"/>
          <w:szCs w:val="24"/>
          <w:highlight w:val="none"/>
          <w:lang w:val="en-US" w:eastAsia="zh-CN"/>
        </w:rPr>
        <w:t xml:space="preserve">亡人</w:t>
      </w:r>
      <w:r>
        <w:rPr>
          <w:rFonts w:hint="eastAsia" w:asciiTheme="minorEastAsia" w:hAnsiTheme="minorEastAsia" w:eastAsiaTheme="minorEastAsia" w:cstheme="minorEastAsia"/>
          <w:color w:val="auto"/>
          <w:sz w:val="24"/>
          <w:szCs w:val="24"/>
          <w:highlight w:val="none"/>
        </w:rPr>
        <w:t xml:space="preserve">生产安全事故的，甲方可单方解除合同，自解除通知到达乙方之日起生效，已产生的</w:t>
      </w:r>
      <w:r>
        <w:rPr>
          <w:rFonts w:hint="eastAsia" w:eastAsia="宋体" w:asciiTheme="minorEastAsia" w:hAnsi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费用</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甲方有权扣</w:t>
      </w:r>
      <w:r>
        <w:rPr>
          <w:rFonts w:hint="eastAsia" w:asciiTheme="minorEastAsia" w:hAnsiTheme="minorEastAsia" w:cstheme="minorEastAsia"/>
          <w:color w:val="auto"/>
          <w:sz w:val="24"/>
          <w:szCs w:val="24"/>
          <w:highlight w:val="none"/>
          <w:lang w:val="en-US" w:eastAsia="zh-CN"/>
        </w:rPr>
        <w:t xml:space="preserve">除</w:t>
      </w:r>
      <w:r>
        <w:rPr>
          <w:rFonts w:hint="eastAsia" w:eastAsia="宋体" w:asciiTheme="minorEastAsia" w:hAnsiTheme="minorEastAsia" w:cstheme="minorEastAsia"/>
          <w:color w:val="auto"/>
          <w:sz w:val="24"/>
          <w:szCs w:val="24"/>
          <w:highlight w:val="none"/>
          <w:lang w:val="en-US" w:eastAsia="zh-CN"/>
        </w:rPr>
        <w:t xml:space="preserve">50%服务费后，剩余部分支付给乙方，</w:t>
      </w:r>
      <w:r>
        <w:rPr>
          <w:rFonts w:hint="eastAsia" w:asciiTheme="minorEastAsia" w:hAnsiTheme="minorEastAsia" w:eastAsiaTheme="minorEastAsia" w:cstheme="minorEastAsia"/>
          <w:color w:val="auto"/>
          <w:sz w:val="24"/>
          <w:szCs w:val="24"/>
          <w:highlight w:val="none"/>
        </w:rPr>
        <w:t xml:space="preserve">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、如遇设施量提档改造或上级政策调整，造成养护范围变更，则甲方有权终止合同，自通知到达乙方之日起生效，已产生的劳务费用按实结算，乙方不得主张赔偿。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bookmarkStart w:id="383" w:name="_Hlk130392041"/>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违反本合同约定的，除应承担上述违约责任外，还应当赔偿因此给甲方造成的一切直接和间接损失，包括但不限于甲方的实际损失、预期可得利益损失以及因实现债权而产生的诉讼费、仲裁费、保全费、鉴定费、交通费、律师费、公证费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pStyle w:val="92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、乙方不得已任何形式件服务进行转包，如甲方发现乙未能自行履行合同相关服务将外包服务进行转包，甲方有权终止履行合同，已产生的服务费用甲方有权决绝支付。</w:t>
      </w:r>
      <w:r/>
    </w:p>
    <w:p>
      <w:pPr>
        <w:pStyle w:val="926"/>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7、出现不退还履约保证金的情形，</w:t>
      </w:r>
      <w:r>
        <w:rPr>
          <w:rFonts w:hint="eastAsia" w:asciiTheme="minorEastAsia" w:hAnsiTheme="minorEastAsia" w:eastAsiaTheme="minorEastAsia" w:cstheme="minorEastAsia"/>
          <w:color w:val="auto"/>
          <w:sz w:val="24"/>
          <w:szCs w:val="24"/>
          <w:highlight w:val="none"/>
        </w:rPr>
        <w:t xml:space="preserve">甲方有权终止履行合同，已产生的服务费用甲方有权</w:t>
      </w:r>
      <w:r>
        <w:rPr>
          <w:rFonts w:hint="eastAsia" w:eastAsia="宋体" w:asciiTheme="minorEastAsia" w:hAnsiTheme="minorEastAsia" w:cstheme="minorEastAsia"/>
          <w:color w:val="auto"/>
          <w:sz w:val="24"/>
          <w:szCs w:val="24"/>
          <w:highlight w:val="none"/>
          <w:lang w:eastAsia="zh-CN"/>
        </w:rPr>
        <w:t xml:space="preserve">拒绝</w:t>
      </w:r>
      <w:r>
        <w:rPr>
          <w:rFonts w:hint="eastAsia" w:asciiTheme="minorEastAsia" w:hAnsiTheme="minorEastAsia" w:eastAsiaTheme="minorEastAsia" w:cstheme="minorEastAsia"/>
          <w:color w:val="auto"/>
          <w:sz w:val="24"/>
          <w:szCs w:val="24"/>
          <w:highlight w:val="none"/>
        </w:rPr>
        <w:t xml:space="preserve">支付。</w:t>
      </w:r>
      <w:bookmarkEnd w:id="383"/>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九、其它事项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遇不可抗拒自然灾害（如强台风、冰雹等），乙方已做好应对措施，但仍造成损失的，乙方需第一时间将具体数据告知甲方，由甲乙双方商议解决补救办法，费用由甲方承担，否则由乙方承担因此产生的一切损失和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2、由乙方工作失误造成的一切损失和责任由乙方自负。</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十、如遇特殊情况，且不在乙方管养范围内，甲方要求乙方增加人员、机械配合，乙方必须无条件服从，增加的劳务费用按实结算，期间发生的一切安全及责任事故等由乙方全部承担。</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十一、本合同未尽事宜由甲、乙双方协商解决，协商不成，任何一方均可向甲方所在地人民法院起诉。</w:t>
      </w:r>
      <w:r/>
    </w:p>
    <w:p>
      <w:pPr>
        <w:pStyle w:val="926"/>
        <w:ind w:firstLine="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十二、双方通讯地址</w:t>
      </w:r>
      <w:r/>
    </w:p>
    <w:p>
      <w:pPr>
        <w:pStyle w:val="926"/>
        <w:ind w:firstLine="0"/>
        <w:spacing w:line="360" w:lineRule="auto"/>
        <w:tabs>
          <w:tab w:val="left" w:pos="5109" w:leader="none"/>
        </w:tabs>
        <w:rPr>
          <w:rFonts w:hint="default" w:eastAsia="宋体" w:asciiTheme="minorEastAsia" w:hAnsi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甲方地址：</w:t>
      </w:r>
      <w:r>
        <w:rPr>
          <w:rFonts w:hint="eastAsia" w:asciiTheme="minorEastAsia" w:hAnsiTheme="minorEastAsia"/>
          <w:color w:val="auto"/>
          <w:sz w:val="24"/>
          <w:szCs w:val="24"/>
          <w:highlight w:val="none"/>
          <w:u w:val="single"/>
          <w:lang w:val="en-US" w:eastAsia="zh-CN"/>
        </w:rPr>
        <w:t xml:space="preserve">                              </w:t>
      </w:r>
      <w:r/>
    </w:p>
    <w:p>
      <w:pPr>
        <w:pStyle w:val="926"/>
        <w:ind w:firstLine="0"/>
        <w:spacing w:line="360" w:lineRule="auto"/>
        <w:tabs>
          <w:tab w:val="left" w:pos="5109" w:leader="none"/>
        </w:tabs>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甲方联系方式：</w:t>
      </w:r>
      <w:r>
        <w:rPr>
          <w:rFonts w:hint="eastAsia" w:eastAsiaTheme="minorEastAsia"/>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rPr>
          <w:rFonts w:hint="eastAsia" w:eastAsiaTheme="minorEastAsia"/>
          <w:color w:val="auto"/>
          <w:sz w:val="24"/>
          <w:szCs w:val="24"/>
          <w:highlight w:val="none"/>
          <w:u w:val="single"/>
          <w:lang w:val="en-US"/>
        </w:rPr>
        <w:t xml:space="preserve">  </w:t>
      </w:r>
      <w:r>
        <w:rPr>
          <w:rFonts w:hint="eastAsia" w:eastAsiaTheme="minor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乙方地址：</w:t>
      </w:r>
      <w:r>
        <w:rPr>
          <w:rFonts w:hint="eastAsia" w:eastAsiaTheme="minorEastAsia"/>
          <w:color w:val="auto"/>
          <w:sz w:val="24"/>
          <w:szCs w:val="24"/>
          <w:highlight w:val="none"/>
          <w:u w:val="single"/>
          <w:lang w:val="en-US"/>
        </w:rPr>
        <w:t xml:space="preserve">                            </w:t>
      </w:r>
      <w:r/>
    </w:p>
    <w:p>
      <w:pPr>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乙方联系方式：</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十三、本协议一式肆份，甲方贰份，乙方贰份，自双方法定代表人或者授权代表签字并加盖单位公章后生效。 </w:t>
      </w:r>
      <w:r/>
    </w:p>
    <w:p>
      <w:pPr>
        <w:ind w:firstLine="600"/>
        <w:spacing w:line="400" w:lineRule="exact"/>
        <w:tabs>
          <w:tab w:val="left" w:pos="0" w:leader="none"/>
          <w:tab w:val="left" w:pos="993" w:leader="none"/>
          <w:tab w:val="left" w:pos="1134" w:leader="none"/>
        </w:tabs>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bl>
      <w:tblPr>
        <w:tblStyle w:val="68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37"/>
        <w:gridCol w:w="5037"/>
      </w:tblGrid>
      <w:tr>
        <w:trPr>
          <w:trHeight w:val="732"/>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cstheme="minorEastAsia"/>
                <w:color w:val="auto"/>
                <w:sz w:val="24"/>
                <w:szCs w:val="24"/>
                <w:highlight w:val="none"/>
                <w:lang w:eastAsia="zh-CN"/>
              </w:rPr>
              <w:t xml:space="preserve">南京市浦口区人民政府汤泉街道办事处</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w:t>
            </w:r>
            <w:r/>
          </w:p>
        </w:tc>
      </w:tr>
      <w:tr>
        <w:trPr>
          <w:trHeight w:val="104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pStyle w:val="926"/>
              <w:ind w:firstLine="48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pStyle w:val="926"/>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pStyle w:val="926"/>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附件1：</w:t>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202</w:t>
      </w:r>
      <w:r>
        <w:rPr>
          <w:rFonts w:hint="eastAsia" w:asciiTheme="minorEastAsia" w:hAnsiTheme="minorEastAsia" w:cstheme="minorEastAsia"/>
          <w:b/>
          <w:bCs/>
          <w:color w:val="auto"/>
          <w:sz w:val="32"/>
          <w:szCs w:val="32"/>
          <w:highlight w:val="none"/>
          <w:lang w:val="en-US" w:eastAsia="zh-CN"/>
        </w:rPr>
        <w:t xml:space="preserve">6</w:t>
      </w:r>
      <w:r>
        <w:rPr>
          <w:rFonts w:hint="eastAsia" w:asciiTheme="minorEastAsia" w:hAnsiTheme="minorEastAsia" w:eastAsiaTheme="minorEastAsia" w:cstheme="minorEastAsia"/>
          <w:b/>
          <w:bCs/>
          <w:color w:val="auto"/>
          <w:sz w:val="32"/>
          <w:szCs w:val="32"/>
          <w:highlight w:val="none"/>
        </w:rPr>
        <w:t xml:space="preserve">年劳务安全协议</w:t>
      </w:r>
      <w:r/>
    </w:p>
    <w:p>
      <w:pPr>
        <w:pStyle w:val="926"/>
        <w:ind w:firstLine="440"/>
        <w:rPr>
          <w:color w:val="auto"/>
          <w:highlight w:val="none"/>
        </w:rPr>
      </w:pPr>
      <w:r>
        <w:rPr>
          <w:color w:val="auto"/>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南京市浦口区人民政府</w:t>
      </w:r>
      <w:r>
        <w:rPr>
          <w:rFonts w:hint="eastAsia" w:asciiTheme="minorEastAsia" w:hAnsiTheme="minorEastAsia" w:cstheme="minorEastAsia"/>
          <w:color w:val="auto"/>
          <w:sz w:val="24"/>
          <w:szCs w:val="24"/>
          <w:highlight w:val="none"/>
          <w:u w:val="single"/>
          <w:lang w:val="en-US" w:eastAsia="zh-CN"/>
        </w:rPr>
        <w:t xml:space="preserve">汤泉</w:t>
      </w:r>
      <w:r>
        <w:rPr>
          <w:rFonts w:hint="eastAsia" w:asciiTheme="minorEastAsia" w:hAnsiTheme="minorEastAsia" w:eastAsiaTheme="minorEastAsia" w:cstheme="minorEastAsia"/>
          <w:color w:val="auto"/>
          <w:sz w:val="24"/>
          <w:szCs w:val="24"/>
          <w:highlight w:val="none"/>
          <w:u w:val="single"/>
        </w:rPr>
        <w:t xml:space="preserve">街道办事处</w:t>
      </w:r>
      <w:r>
        <w:rPr>
          <w:rFonts w:hint="eastAsia" w:asciiTheme="minorEastAsia" w:hAnsiTheme="minorEastAsia" w:eastAsiaTheme="minorEastAsia" w:cstheme="minorEastAsia"/>
          <w:color w:val="auto"/>
          <w:sz w:val="24"/>
          <w:szCs w:val="24"/>
          <w:highlight w:val="none"/>
        </w:rPr>
        <w:t xml:space="preserve">（以下简称甲方）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根据有关法律、法规及相关安全管理文件精神，结合绿化养护特点及现场安全作业、文明施工、疫情防控等要求，双方签订本协议。本协议作为甲乙双方养护劳务合同的附件。</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一、工程概况：见甲乙双方养护劳务合同。</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二、安全生产目标：杜绝安全隐患、安全文明施工、安全生产无事故。</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三、甲方职责：</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1、甲方根据相关安全法律法规和上级关于安全管理的相关要求对乙方安全管理工作开展指导、检查、监督和考核。</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2、甲方及时传达上级关于安全生产的相关文件精神和工作要求，指导乙方贯彻落实。</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3、对乙方作业过程中，关于安全管理方面不明确事项，甲方积极协助给予解答，帮助乙方提高安全管理水平。</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四、乙方职责：</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1、乙方严格落实有关安全生产的法律法规和上级文件精神以及甲方针对绿化养护行业特点提出安全管理要求。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2、乙方自行承担安全生产管理包括法律、经济等全部责任。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3、乙方自觉、主动地接受甲方的安全生产指导、监督和考核，对甲方提出的安全问题及时落实整改。</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4、乙方根据相关规定，配齐有执业资格的项目负责人、现场安全员、电工、登高作业人员、专用机械操作人员等；</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5、乙方使用的劳务人员为身体健康且年龄不大于70周岁人员，为参加甲方养护劳务作业人员购买保险。</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6、根据绿化养护季节性特点，适时对劳务人员开展防中暑、防冻伤、防蛇、防蜂等专项安全教育和培训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并配备相应的药品等</w:t>
      </w:r>
      <w:r>
        <w:rPr>
          <w:rFonts w:hint="eastAsia" w:asciiTheme="minorEastAsia" w:hAnsiTheme="minorEastAsia" w:eastAsiaTheme="minorEastAsia" w:cstheme="minorEastAsia"/>
          <w:color w:val="auto"/>
          <w:sz w:val="24"/>
          <w:szCs w:val="24"/>
          <w:highlight w:val="none"/>
        </w:rPr>
        <w:t xml:space="preserve">。</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7、根据具体养护劳务内容，适时开展登高作业、水面作业、运输作业、道路作业、农药喷洒等专项安全教育和培训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适时开展应急演练。</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8、加强车辆、机械设备等安全管理，使用有资质的特种作业设备</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加强车辆、机械操作人员的安全管理，完全符合国家相关安全法律要求。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9、加强农药、燃油等危化品的管理，确保危化品的采购、运输、使用、登记管理等完全符合国家相关法律规定和相关行业要求。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10、根据不同的作业内容、季节、时间、地点等实际情况，按规范和要求组织好安全管理人员，落实好针对性的安全防护措施。</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五、违约责任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应严格执行国家相关安全管理法律法规和上级相关要求，甲方根据本协议和考核细则中关于安全管理方面的处罚明细对乙方安全工作实行管理，乙方必须限时整改。对乙方未按要求及时整改，甲方有权终止合同。</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如发生争议，甲方双方应友好协商解决，协商未达成一致的可采取向浦口区人民法院起诉的司法途径解决。</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六、本协议一式肆份，甲乙双方各执贰份，具有同等法律效力。本合同自签订之日起生效。</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方：（盖章）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  方：（盖章）</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法定代表人：（签字）</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或委托代理人：（签字）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或委托代理人：（签字）</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3513"/>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签订时间：    年  月  日</w:t>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color w:val="auto"/>
          <w:sz w:val="48"/>
          <w:szCs w:val="21"/>
          <w:highlight w:val="none"/>
          <w:lang w:eastAsia="zh-CN"/>
        </w:rPr>
      </w:pPr>
      <w:r>
        <w:rPr>
          <w:rFonts w:hint="eastAsia"/>
          <w:color w:val="auto"/>
          <w:sz w:val="48"/>
          <w:szCs w:val="21"/>
          <w:highlight w:val="none"/>
          <w:lang w:eastAsia="zh-CN"/>
        </w:rPr>
        <w:br w:type="page" w:clear="all"/>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2</w:t>
      </w:r>
      <w:r>
        <w:rPr>
          <w:rFonts w:hint="eastAsia"/>
          <w:b/>
          <w:bCs/>
          <w:color w:val="auto"/>
          <w:sz w:val="24"/>
          <w:szCs w:val="24"/>
          <w:highlight w:val="none"/>
          <w:lang w:eastAsia="zh-CN"/>
        </w:rPr>
        <w:t xml:space="preserve">：</w:t>
      </w:r>
      <w:r/>
    </w:p>
    <w:tbl>
      <w:tblPr>
        <w:tblStyle w:val="680"/>
        <w:tblW w:w="10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1470"/>
        <w:gridCol w:w="5385"/>
        <w:gridCol w:w="1605"/>
        <w:gridCol w:w="1080"/>
      </w:tblGrid>
      <w:tr>
        <w:trPr>
          <w:jc w:val="cente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1032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绿化养护服务质量考核表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扣分细节</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项目检查结果</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（不符合宗数）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作业人员的行为规范</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工作中不按规定着装每宗扣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服装不整齐、干净整洁的每宗扣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工作中与甲方争吵或不服从甲方指令扣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作业人员防护措施不足，每宗扣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特种作业人员未持证上岗，每发现一次扣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未能及时响应相关工作安排，每次扣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分（雨雪大风天气应急预案情况等）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对已检查出的问题未能按要求做出整改，每次扣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未及时报送相关台账资料，每延迟一次，扣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因自身问题造成社会不良影响，影响街道形象，每次扣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安全</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警示牌、安全锥桶摆放不到位或数量明显不足每次扣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工作时间内发生事故未及时上报，每次扣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7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高空作业时，未佩戴安全帽、安全绳等防具时，每发现一次扣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1~3</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因管理防护措施不到位，造成人员伤亡和财产损失的，给予本次考核不合格并承担相应责任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植物长势</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枯枝死叉，枯黄，萎蔫，每宗扣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植物枯死的，每宗扣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植物歪斜、倒伏未及时扶正，每次扣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水肥管理</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植物出现明显缺水枯黄的，每宗扣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植物出现涝害的，每宗扣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不规范浇水，浪费水资源的，每宗扣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没按计划施肥的，每宗扣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植物干旱缺水，每次扣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没有使用规定的环保农药的，每宗扣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没按规范进行预防病虫害的，每宗扣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出现防病虫害不治理的，每宗扣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病虫害在植株超</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以上的，扣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修剪造型</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不及时修剪，植物枝长达</w:t>
            </w:r>
            <w:r>
              <w:rPr>
                <w:rFonts w:hint="eastAsia" w:ascii="宋体" w:hAnsi="宋体" w:eastAsia="宋体" w:cs="宋体"/>
                <w:b w:val="0"/>
                <w:bCs w:val="0"/>
                <w:i w:val="0"/>
                <w:iCs w:val="0"/>
                <w:color w:val="auto"/>
                <w:sz w:val="21"/>
                <w:szCs w:val="21"/>
                <w:highlight w:val="none"/>
                <w:u w:val="none"/>
                <w:lang w:val="en-US" w:eastAsia="zh-CN" w:bidi="ar"/>
              </w:rPr>
              <w:t xml:space="preserve">15</w:t>
            </w:r>
            <w:r>
              <w:rPr>
                <w:rStyle w:val="917"/>
                <w:rFonts w:hint="eastAsia" w:ascii="宋体" w:hAnsi="宋体" w:eastAsia="宋体" w:cs="宋体"/>
                <w:b w:val="0"/>
                <w:bCs w:val="0"/>
                <w:color w:val="auto"/>
                <w:sz w:val="21"/>
                <w:szCs w:val="21"/>
                <w:highlight w:val="none"/>
                <w:lang w:val="en-US" w:eastAsia="zh-CN" w:bidi="ar"/>
              </w:rPr>
              <w:t xml:space="preserve">厘米以上的，每宗扣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枯黄枝、阴枝不及时修剪的，每宗扣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修剪大枝，截面不规范的，每宗扣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草坪高度</w:t>
            </w:r>
            <w:r>
              <w:rPr>
                <w:rFonts w:hint="eastAsia" w:ascii="宋体" w:hAnsi="宋体" w:eastAsia="宋体" w:cs="宋体"/>
                <w:b w:val="0"/>
                <w:bCs w:val="0"/>
                <w:i w:val="0"/>
                <w:iCs w:val="0"/>
                <w:color w:val="auto"/>
                <w:sz w:val="21"/>
                <w:szCs w:val="21"/>
                <w:highlight w:val="none"/>
                <w:u w:val="none"/>
                <w:lang w:val="en-US" w:eastAsia="zh-CN" w:bidi="ar"/>
              </w:rPr>
              <w:t xml:space="preserve">8</w:t>
            </w:r>
            <w:r>
              <w:rPr>
                <w:rStyle w:val="917"/>
                <w:rFonts w:hint="eastAsia" w:ascii="宋体" w:hAnsi="宋体" w:eastAsia="宋体" w:cs="宋体"/>
                <w:b w:val="0"/>
                <w:bCs w:val="0"/>
                <w:color w:val="auto"/>
                <w:sz w:val="21"/>
                <w:szCs w:val="21"/>
                <w:highlight w:val="none"/>
                <w:lang w:val="en-US" w:eastAsia="zh-CN" w:bidi="ar"/>
              </w:rPr>
              <w:t xml:space="preserve">厘米以上不修剪的扣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有存在安全隐患的枯枝烂头或树洞，每次扣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中耕除草</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出现板结的，每宗扣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有明显的杂草，纯度低于</w:t>
            </w:r>
            <w:r>
              <w:rPr>
                <w:rFonts w:hint="eastAsia" w:ascii="宋体" w:hAnsi="宋体" w:eastAsia="宋体" w:cs="宋体"/>
                <w:b w:val="0"/>
                <w:bCs w:val="0"/>
                <w:i w:val="0"/>
                <w:iCs w:val="0"/>
                <w:color w:val="auto"/>
                <w:sz w:val="21"/>
                <w:szCs w:val="21"/>
                <w:highlight w:val="none"/>
                <w:u w:val="none"/>
                <w:lang w:val="en-US" w:eastAsia="zh-CN" w:bidi="ar"/>
              </w:rPr>
              <w:t xml:space="preserve">90%</w:t>
            </w:r>
            <w:r>
              <w:rPr>
                <w:rStyle w:val="917"/>
                <w:rFonts w:hint="eastAsia" w:ascii="宋体" w:hAnsi="宋体" w:eastAsia="宋体" w:cs="宋体"/>
                <w:b w:val="0"/>
                <w:bCs w:val="0"/>
                <w:color w:val="auto"/>
                <w:sz w:val="21"/>
                <w:szCs w:val="21"/>
                <w:highlight w:val="none"/>
                <w:lang w:val="en-US" w:eastAsia="zh-CN" w:bidi="ar"/>
              </w:rPr>
              <w:t xml:space="preserve">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补种补栽</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苗木缺株，未及时上报及补植，每次扣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0.4</w:t>
            </w:r>
            <w:r>
              <w:rPr>
                <w:rStyle w:val="917"/>
                <w:rFonts w:hint="eastAsia" w:ascii="宋体" w:hAnsi="宋体" w:eastAsia="宋体" w:cs="宋体"/>
                <w:b w:val="0"/>
                <w:bCs w:val="0"/>
                <w:color w:val="auto"/>
                <w:sz w:val="21"/>
                <w:szCs w:val="21"/>
                <w:highlight w:val="none"/>
                <w:lang w:val="en-US" w:eastAsia="zh-CN" w:bidi="ar"/>
              </w:rPr>
              <w:t xml:space="preserve">平方米以下未补植的，每宗扣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裸露面积占总面积的</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，超出扣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㎡范围内不得超过</w:t>
            </w:r>
            <w:r>
              <w:rPr>
                <w:rFonts w:hint="eastAsia" w:ascii="宋体" w:hAnsi="宋体" w:eastAsia="宋体" w:cs="宋体"/>
                <w:b w:val="0"/>
                <w:bCs w:val="0"/>
                <w:i w:val="0"/>
                <w:iCs w:val="0"/>
                <w:color w:val="auto"/>
                <w:sz w:val="21"/>
                <w:szCs w:val="21"/>
                <w:highlight w:val="none"/>
                <w:u w:val="none"/>
                <w:lang w:val="en-US" w:eastAsia="zh-CN" w:bidi="ar"/>
              </w:rPr>
              <w:t xml:space="preserve">3</w:t>
            </w:r>
            <w:r>
              <w:rPr>
                <w:rStyle w:val="917"/>
                <w:rFonts w:hint="eastAsia" w:ascii="宋体" w:hAnsi="宋体" w:eastAsia="宋体" w:cs="宋体"/>
                <w:b w:val="0"/>
                <w:bCs w:val="0"/>
                <w:color w:val="auto"/>
                <w:sz w:val="21"/>
                <w:szCs w:val="21"/>
                <w:highlight w:val="none"/>
                <w:lang w:val="en-US" w:eastAsia="zh-CN" w:bidi="ar"/>
              </w:rPr>
              <w:t xml:space="preserve">处缺株断档，超出每宗扣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防风抗涝</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做好防风抗涝措施，措施不规范的每宗扣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绿地卫生</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绿地清洁不及时、不按要求清理到指定地点每宗扣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绿化垃圾或货物拖运不规范，每次扣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树体有钉挂物、垃圾等，每次扣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绿化内杂草、杂藤、杂树、垃圾多，未及时清理，每次扣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不按要求提供器材</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17"/>
                <w:rFonts w:hint="eastAsia" w:ascii="宋体" w:hAnsi="宋体" w:eastAsia="宋体" w:cs="宋体"/>
                <w:b w:val="0"/>
                <w:bCs w:val="0"/>
                <w:color w:val="auto"/>
                <w:sz w:val="21"/>
                <w:szCs w:val="21"/>
                <w:highlight w:val="none"/>
                <w:lang w:val="en-US" w:eastAsia="zh-CN" w:bidi="ar"/>
              </w:rPr>
              <w:t xml:space="preserve">物料的每项扣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绿化工具摆放不整齐的每项扣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养护作业中不注重节能降耗和环境保护的每次扣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工作不当造成公共设施损坏的扣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17"/>
                <w:rFonts w:hint="eastAsia" w:ascii="宋体" w:hAnsi="宋体" w:eastAsia="宋体" w:cs="宋体"/>
                <w:b w:val="0"/>
                <w:bCs w:val="0"/>
                <w:color w:val="auto"/>
                <w:sz w:val="21"/>
                <w:szCs w:val="21"/>
                <w:highlight w:val="none"/>
                <w:lang w:val="en-US" w:eastAsia="zh-CN" w:bidi="ar"/>
              </w:rPr>
              <w:t xml:space="preserve">分，并负责赔偿或修复</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不按要求设置工作提示牌的扣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，造成他人伤害的扣</w:t>
            </w:r>
            <w:r>
              <w:rPr>
                <w:rFonts w:hint="eastAsia" w:ascii="宋体" w:hAnsi="宋体" w:eastAsia="宋体" w:cs="宋体"/>
                <w:b w:val="0"/>
                <w:bCs w:val="0"/>
                <w:i w:val="0"/>
                <w:iCs w:val="0"/>
                <w:color w:val="auto"/>
                <w:sz w:val="21"/>
                <w:szCs w:val="21"/>
                <w:highlight w:val="none"/>
                <w:u w:val="none"/>
                <w:lang w:val="en-US" w:eastAsia="zh-CN" w:bidi="ar"/>
              </w:rPr>
              <w:t xml:space="preserve">20</w:t>
            </w:r>
            <w:r>
              <w:rPr>
                <w:rStyle w:val="917"/>
                <w:rFonts w:hint="eastAsia" w:ascii="宋体" w:hAnsi="宋体" w:eastAsia="宋体" w:cs="宋体"/>
                <w:b w:val="0"/>
                <w:bCs w:val="0"/>
                <w:color w:val="auto"/>
                <w:sz w:val="21"/>
                <w:szCs w:val="21"/>
                <w:highlight w:val="none"/>
                <w:lang w:val="en-US" w:eastAsia="zh-CN" w:bidi="ar"/>
              </w:rPr>
              <w:t xml:space="preserve">分，并负责承担相应责任。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同一问题连续两个月出现扣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17"/>
                <w:rFonts w:hint="eastAsia" w:ascii="宋体" w:hAnsi="宋体" w:eastAsia="宋体" w:cs="宋体"/>
                <w:b w:val="0"/>
                <w:bCs w:val="0"/>
                <w:color w:val="auto"/>
                <w:sz w:val="21"/>
                <w:szCs w:val="21"/>
                <w:highlight w:val="none"/>
                <w:lang w:val="en-US" w:eastAsia="zh-CN" w:bidi="ar"/>
              </w:rPr>
              <w:t xml:space="preserve">分，连续三个月出现扣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17"/>
                <w:rFonts w:hint="eastAsia" w:ascii="宋体" w:hAnsi="宋体" w:eastAsia="宋体" w:cs="宋体"/>
                <w:b w:val="0"/>
                <w:bCs w:val="0"/>
                <w:color w:val="auto"/>
                <w:sz w:val="21"/>
                <w:szCs w:val="21"/>
                <w:highlight w:val="none"/>
                <w:lang w:val="en-US" w:eastAsia="zh-CN" w:bidi="ar"/>
              </w:rPr>
              <w:t xml:space="preserve">分，依次类推。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养护区域内存在严重安全隐患未上报，每发现一次扣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危险作业未提前申报，每次扣0.5分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危化品使用管理不规范，每次扣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有车辆乱停、晾晒、露宿等不文明行为，每次扣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违规挖掘占用未及时上报，每次扣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植物支撑、裹布损坏，每次扣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草花植物养护劳务不到位造成死亡，每次扣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有大面积黄土裸露，每次扣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因养护劳务问题导致的苗木死亡，每次扣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17"/>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17"/>
                <w:rFonts w:hint="eastAsia" w:ascii="宋体" w:hAnsi="宋体" w:eastAsia="宋体" w:cs="宋体"/>
                <w:b w:val="0"/>
                <w:bCs w:val="0"/>
                <w:color w:val="auto"/>
                <w:sz w:val="21"/>
                <w:szCs w:val="21"/>
                <w:highlight w:val="none"/>
                <w:lang w:val="en-US" w:eastAsia="zh-CN" w:bidi="ar"/>
              </w:rPr>
              <w:t xml:space="preserve">分，并自行更换同规格死亡苗木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严重失管（未修剪、黄土裸露、病虫害等），每次扣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12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17"/>
                <w:rFonts w:hint="eastAsia" w:ascii="宋体" w:hAnsi="宋体" w:eastAsia="宋体" w:cs="宋体"/>
                <w:b w:val="0"/>
                <w:bCs w:val="0"/>
                <w:color w:val="auto"/>
                <w:sz w:val="21"/>
                <w:szCs w:val="21"/>
                <w:highlight w:val="none"/>
                <w:lang w:val="en-US" w:eastAsia="zh-CN" w:bidi="ar"/>
              </w:rPr>
              <w:t xml:space="preserve">问题的处理</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对</w:t>
            </w: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17"/>
                <w:rFonts w:hint="eastAsia" w:ascii="宋体" w:hAnsi="宋体" w:eastAsia="宋体" w:cs="宋体"/>
                <w:b w:val="0"/>
                <w:bCs w:val="0"/>
                <w:color w:val="auto"/>
                <w:sz w:val="21"/>
                <w:szCs w:val="21"/>
                <w:highlight w:val="none"/>
                <w:lang w:val="en-US" w:eastAsia="zh-CN" w:bidi="ar"/>
              </w:rPr>
              <w:t xml:space="preserve">问题的处理不参与打分直接与经济挂钩，①问题处理不及时或消极怠慢的一次扣</w:t>
            </w:r>
            <w:r>
              <w:rPr>
                <w:rFonts w:hint="eastAsia" w:ascii="宋体" w:hAnsi="宋体" w:eastAsia="宋体" w:cs="宋体"/>
                <w:b w:val="0"/>
                <w:bCs w:val="0"/>
                <w:i w:val="0"/>
                <w:iCs w:val="0"/>
                <w:color w:val="auto"/>
                <w:sz w:val="21"/>
                <w:szCs w:val="21"/>
                <w:highlight w:val="none"/>
                <w:u w:val="none"/>
                <w:lang w:val="en-US" w:eastAsia="zh-CN" w:bidi="ar"/>
              </w:rPr>
              <w:t xml:space="preserve">1000</w:t>
            </w:r>
            <w:r>
              <w:rPr>
                <w:rStyle w:val="917"/>
                <w:rFonts w:hint="eastAsia" w:ascii="宋体" w:hAnsi="宋体" w:eastAsia="宋体" w:cs="宋体"/>
                <w:b w:val="0"/>
                <w:bCs w:val="0"/>
                <w:color w:val="auto"/>
                <w:sz w:val="21"/>
                <w:szCs w:val="21"/>
                <w:highlight w:val="none"/>
                <w:lang w:val="en-US" w:eastAsia="zh-CN" w:bidi="ar"/>
              </w:rPr>
              <w:t xml:space="preserve">元②问题处理完要及时反馈处理答复意见③</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17"/>
                <w:rFonts w:hint="eastAsia" w:ascii="宋体" w:hAnsi="宋体" w:eastAsia="宋体" w:cs="宋体"/>
                <w:b w:val="0"/>
                <w:bCs w:val="0"/>
                <w:color w:val="auto"/>
                <w:sz w:val="21"/>
                <w:szCs w:val="21"/>
                <w:highlight w:val="none"/>
                <w:lang w:val="en-US" w:eastAsia="zh-CN" w:bidi="ar"/>
              </w:rPr>
              <w:t xml:space="preserve">个别特殊问题</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17"/>
                <w:rFonts w:hint="eastAsia" w:ascii="宋体" w:hAnsi="宋体" w:eastAsia="宋体" w:cs="宋体"/>
                <w:b w:val="0"/>
                <w:bCs w:val="0"/>
                <w:color w:val="auto"/>
                <w:sz w:val="21"/>
                <w:szCs w:val="21"/>
                <w:highlight w:val="none"/>
                <w:lang w:val="en-US" w:eastAsia="zh-CN" w:bidi="ar"/>
              </w:rPr>
              <w:t xml:space="preserve">处理不了的要及时汇报。</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区级相关部门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受到区级相关部门通报批评的，每次扣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市级相关部门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17"/>
                <w:rFonts w:hint="eastAsia" w:ascii="宋体" w:hAnsi="宋体" w:eastAsia="宋体" w:cs="宋体"/>
                <w:b w:val="0"/>
                <w:bCs w:val="0"/>
                <w:color w:val="auto"/>
                <w:sz w:val="21"/>
                <w:szCs w:val="21"/>
                <w:highlight w:val="none"/>
                <w:lang w:val="en-US" w:eastAsia="zh-CN" w:bidi="ar"/>
              </w:rPr>
              <w:t xml:space="preserve">受到市级相关部门通报批评的，每次扣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17"/>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说明：考核采取100分制，检查结果按月度检查统计不合格宗数。</w:t>
            </w:r>
            <w:r/>
          </w:p>
        </w:tc>
      </w:tr>
    </w:tbl>
    <w:p>
      <w:pPr>
        <w:jc w:val="both"/>
        <w:rPr>
          <w:rFonts w:hint="eastAsia" w:asciiTheme="minorEastAsia" w:hAnsiTheme="minorEastAsia" w:eastAsiaTheme="minorEastAsia" w:cstheme="minorEastAsia"/>
          <w:color w:val="auto"/>
          <w:sz w:val="28"/>
          <w:highlight w:val="none"/>
          <w:lang w:eastAsia="zh-CN"/>
        </w:rPr>
      </w:pPr>
      <w:r>
        <w:rPr>
          <w:rFonts w:hint="eastAsia" w:asciiTheme="minorEastAsia" w:hAnsiTheme="minorEastAsia" w:eastAsiaTheme="minorEastAsia" w:cstheme="minorEastAsia"/>
          <w:color w:val="auto"/>
          <w:sz w:val="28"/>
          <w:highlight w:val="none"/>
          <w:lang w:eastAsia="zh-CN"/>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default"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附件3、投标分项报价表一、二</w:t>
      </w:r>
      <w:r/>
    </w:p>
    <w:p>
      <w:pPr>
        <w:rPr>
          <w:color w:val="auto"/>
          <w:highlight w:val="none"/>
        </w:rPr>
      </w:pPr>
      <w:r>
        <w:rPr>
          <w:color w:val="auto"/>
          <w:highlight w:val="none"/>
        </w:rPr>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670"/>
        <w:ind w:left="0" w:firstLine="0"/>
        <w:jc w:val="center"/>
        <w:spacing w:line="360" w:lineRule="auto"/>
        <w:rPr>
          <w:rFonts w:hint="eastAsia"/>
          <w:b/>
          <w:bCs/>
          <w:color w:val="auto"/>
          <w:highlight w:val="none"/>
          <w:lang w:eastAsia="zh-CN"/>
        </w:rPr>
      </w:pPr>
      <w:r>
        <w:rPr>
          <w:rFonts w:hint="eastAsia" w:cs="宋体"/>
          <w:b/>
          <w:bCs/>
          <w:color w:val="auto"/>
          <w:sz w:val="27"/>
          <w:szCs w:val="27"/>
          <w:highlight w:val="none"/>
          <w:lang w:val="en-US" w:eastAsia="zh-CN" w:bidi="ar-SA"/>
        </w:rPr>
        <w:br w:type="page" w:clear="all"/>
      </w:r>
      <w:bookmarkStart w:id="384" w:name="_Toc20768"/>
      <w:r>
        <w:rPr>
          <w:rFonts w:hint="eastAsia"/>
          <w:b/>
          <w:bCs/>
          <w:color w:val="auto"/>
          <w:highlight w:val="none"/>
          <w:lang w:eastAsia="zh-CN"/>
        </w:rPr>
        <w:t xml:space="preserve">第四章 采购需求</w:t>
      </w:r>
      <w:bookmarkEnd w:id="384"/>
      <w:r/>
      <w:r/>
    </w:p>
    <w:p>
      <w:pPr>
        <w:pStyle w:val="693"/>
        <w:ind w:left="0" w:firstLine="0"/>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一、项目概况</w:t>
      </w:r>
      <w:r/>
    </w:p>
    <w:p>
      <w:pPr>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项目名称：</w:t>
      </w:r>
      <w:r>
        <w:rPr>
          <w:rFonts w:hint="eastAsia" w:cs="宋体"/>
          <w:color w:val="auto"/>
          <w:sz w:val="24"/>
          <w:szCs w:val="24"/>
          <w:highlight w:val="none"/>
          <w:lang w:val="en-US" w:eastAsia="zh-CN"/>
        </w:rPr>
        <w:t xml:space="preserve">汤泉街道2026-2029年度道路绿化管养服务采购项目</w:t>
      </w:r>
      <w:r/>
    </w:p>
    <w:p>
      <w:pPr>
        <w:numPr>
          <w:ilvl w:val="0"/>
          <w:numId w:val="2"/>
        </w:numPr>
        <w:spacing w:line="360" w:lineRule="auto"/>
        <w:rPr>
          <w:rFonts w:hint="eastAsia" w:cs="宋体"/>
          <w:i w:val="0"/>
          <w:iCs w:val="0"/>
          <w:caps w:val="0"/>
          <w:color w:val="auto"/>
          <w:spacing w:val="0"/>
          <w:sz w:val="24"/>
          <w:szCs w:val="24"/>
          <w:highlight w:val="none"/>
          <w:shd w:val="clear" w:color="auto" w:fill="ffffff"/>
          <w:lang w:val="en-US" w:eastAsia="zh-CN" w:bidi="ar"/>
        </w:rPr>
      </w:pPr>
      <w:r>
        <w:rPr>
          <w:rFonts w:hint="eastAsia" w:cs="宋体"/>
          <w:color w:val="auto"/>
          <w:sz w:val="24"/>
          <w:szCs w:val="24"/>
          <w:highlight w:val="none"/>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履行期限：</w:t>
      </w:r>
      <w:r>
        <w:rPr>
          <w:rFonts w:hint="eastAsia" w:asciiTheme="minorEastAsia" w:hAnsiTheme="minorEastAsia" w:eastAsiaTheme="minorEastAsia" w:cstheme="minorEastAsia"/>
          <w:color w:val="auto"/>
          <w:sz w:val="24"/>
          <w:szCs w:val="24"/>
          <w:highlight w:val="none"/>
          <w:lang w:val="en-US" w:eastAsia="zh-CN"/>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p>
    <w:p>
      <w:pPr>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3.合同履行地点：南京市浦口区</w:t>
      </w:r>
      <w:r>
        <w:rPr>
          <w:rFonts w:hint="eastAsia" w:asciiTheme="minorEastAsia" w:hAnsiTheme="minorEastAsia" w:eastAsiaTheme="minorEastAsia" w:cstheme="minorEastAsia"/>
          <w:color w:val="auto"/>
          <w:sz w:val="24"/>
          <w:szCs w:val="24"/>
          <w:highlight w:val="none"/>
          <w:lang w:val="en-US" w:eastAsia="zh-CN"/>
        </w:rPr>
        <w:t xml:space="preserve">汤泉街道。</w:t>
      </w:r>
      <w:r/>
    </w:p>
    <w:p>
      <w:pPr>
        <w:numPr>
          <w:ilvl w:val="0"/>
          <w:numId w:val="0"/>
        </w:numPr>
        <w:ind w:right="0"/>
        <w:jc w:val="left"/>
        <w:keepLines w:val="0"/>
        <w:keepNext w:val="0"/>
        <w:pageBreakBefore w:val="0"/>
        <w:spacing w:before="0" w:beforeAutospacing="0" w:after="0" w:afterAutospacing="0" w:line="360" w:lineRule="auto"/>
        <w:shd w:val="clear" w:color="auto" w:fill="ffffff"/>
        <w:widowControl/>
        <w:rPr>
          <w:rFonts w:hint="eastAsia" w:cs="宋体"/>
          <w:b/>
          <w:bCs/>
          <w:color w:val="auto"/>
          <w:sz w:val="24"/>
          <w:szCs w:val="24"/>
          <w:highlight w:val="none"/>
          <w:lang w:val="en-US" w:eastAsia="zh-CN"/>
        </w:rPr>
        <w:suppressLineNumbers w:val="0"/>
      </w:pPr>
      <w:r>
        <w:rPr>
          <w:rFonts w:hint="eastAsia" w:cs="宋体"/>
          <w:b/>
          <w:bCs/>
          <w:color w:val="auto"/>
          <w:sz w:val="24"/>
          <w:szCs w:val="24"/>
          <w:highlight w:val="none"/>
          <w:lang w:val="en-US" w:eastAsia="zh-CN"/>
        </w:rPr>
        <w:t xml:space="preserve">二、项目服务要求：</w:t>
      </w:r>
      <w:r/>
    </w:p>
    <w:p>
      <w:pPr>
        <w:ind w:right="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采购需求：</w:t>
      </w: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昭明北路、水星大道、汤农路、平坦路、林泉路、山水田园旁广场地块绿地进行绿化养护。</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具体服务要求：参照《江苏省园林绿化养护标准和分类等级》要求，结合街道实际，具体要求详见清单。</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其他要求：</w:t>
      </w:r>
      <w:r>
        <w:rPr>
          <w:rFonts w:hint="eastAsia" w:cs="宋体"/>
          <w:i w:val="0"/>
          <w:iCs w:val="0"/>
          <w:caps w:val="0"/>
          <w:color w:val="auto"/>
          <w:spacing w:val="0"/>
          <w:sz w:val="24"/>
          <w:szCs w:val="24"/>
          <w:highlight w:val="none"/>
          <w:shd w:val="clear" w:color="auto" w:fill="ffffff"/>
          <w:lang w:val="en-US" w:eastAsia="zh-CN" w:bidi="ar"/>
        </w:rPr>
        <w:t xml:space="preserve">①</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管养服务期内范围内容成活率需保证为95%以上 。投标人需考虑极端天气下出现的大面积补植等情况，所有的费用均含在本次报价范围内，甲方不另行支付绿化补换费用。</w:t>
      </w:r>
      <w:r>
        <w:rPr>
          <w:rFonts w:hint="eastAsia" w:cs="宋体"/>
          <w:i w:val="0"/>
          <w:iCs w:val="0"/>
          <w:caps w:val="0"/>
          <w:color w:val="auto"/>
          <w:spacing w:val="0"/>
          <w:sz w:val="24"/>
          <w:szCs w:val="24"/>
          <w:highlight w:val="none"/>
          <w:shd w:val="clear" w:color="auto" w:fill="ffffff"/>
          <w:lang w:val="en-US" w:eastAsia="zh-CN" w:bidi="ar"/>
        </w:rPr>
        <w:t xml:space="preserve">②</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绿化养护过程中产生的垃圾清理外运费用由各投标单位自行考虑，结算不再调整。</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三、考核要求：</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详见《绿化养护服务质量考核表》。</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本项目对服务单位考核标准，重点养护区域实行月度考核，一般养护区域实行季度考核，对考核对象的绿化管养质量采用百分制的月度得分，根据考核情况支付服务费用，督促养护单位履职尽责。</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五、支付方式</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zh-CN"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1.项目服务期满验收合格后，支付合同价的50%款项。</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2.项目完成后，根据服务考核情况，一年后支付剩余的尾款。</w:t>
      </w:r>
      <w:r/>
    </w:p>
    <w:p>
      <w:pPr>
        <w:spacing w:line="360" w:lineRule="auto"/>
        <w:rPr>
          <w:rFonts w:hint="default" w:cs="宋体"/>
          <w:b/>
          <w:bCs/>
          <w:color w:val="auto"/>
          <w:sz w:val="24"/>
          <w:szCs w:val="24"/>
          <w:highlight w:val="none"/>
          <w:lang w:val="en-US" w:eastAsia="zh-CN"/>
        </w:rPr>
      </w:pPr>
      <w:r>
        <w:rPr>
          <w:rFonts w:hint="eastAsia" w:cs="宋体"/>
          <w:b/>
          <w:bCs/>
          <w:color w:val="auto"/>
          <w:sz w:val="24"/>
          <w:szCs w:val="24"/>
          <w:highlight w:val="none"/>
          <w:lang w:val="en-US" w:eastAsia="zh-CN"/>
        </w:rPr>
        <w:t xml:space="preserve">六、履约保证金</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签订合同后7天内，乙方向甲方缴纳中标价款的10%作为本项目的履约保证金，项目验收合格后，采购单位退还履约保证金。若乙方未按时交纳履约保证金，视为自动放弃中标资格。中标单位凭中标通知书、采购单位财务部门出具的履约保证金收款证明与实施单位签订合同。</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七、养护清单--详见附件</w:t>
      </w:r>
      <w:r/>
    </w:p>
    <w:p>
      <w:pPr>
        <w:rPr>
          <w:rFonts w:hint="eastAsia"/>
          <w:b/>
          <w:bCs/>
          <w:color w:val="auto"/>
          <w:highlight w:val="none"/>
          <w:lang w:val="en-US" w:eastAsia="zh-CN"/>
        </w:rPr>
      </w:pPr>
      <w:r/>
      <w:bookmarkStart w:id="385" w:name="_Toc21716"/>
      <w:r>
        <w:rPr>
          <w:rFonts w:hint="eastAsia"/>
          <w:b/>
          <w:bCs/>
          <w:color w:val="auto"/>
          <w:highlight w:val="none"/>
          <w:lang w:val="en-US" w:eastAsia="zh-CN"/>
        </w:rPr>
        <w:br w:type="page" w:clear="all"/>
      </w:r>
      <w:r/>
    </w:p>
    <w:p>
      <w:pPr>
        <w:pStyle w:val="670"/>
        <w:numPr>
          <w:ilvl w:val="0"/>
          <w:numId w:val="0"/>
        </w:numPr>
        <w:ind w:left="100"/>
        <w:jc w:val="center"/>
        <w:spacing w:line="360" w:lineRule="auto"/>
        <w:rPr>
          <w:rFonts w:hint="eastAsia"/>
          <w:b/>
          <w:bCs/>
          <w:color w:val="auto"/>
          <w:highlight w:val="none"/>
          <w:lang w:eastAsia="zh-CN"/>
        </w:rPr>
      </w:pPr>
      <w:r>
        <w:rPr>
          <w:rFonts w:hint="eastAsia"/>
          <w:b/>
          <w:bCs/>
          <w:color w:val="auto"/>
          <w:highlight w:val="none"/>
          <w:lang w:val="en-US" w:eastAsia="zh-CN"/>
        </w:rPr>
        <w:t xml:space="preserve">第五章 </w:t>
      </w:r>
      <w:r>
        <w:rPr>
          <w:rFonts w:hint="eastAsia"/>
          <w:b/>
          <w:bCs/>
          <w:color w:val="auto"/>
          <w:highlight w:val="none"/>
          <w:lang w:eastAsia="zh-CN"/>
        </w:rPr>
        <w:t xml:space="preserve">评审方法与评审标准</w:t>
      </w:r>
      <w:bookmarkEnd w:id="385"/>
      <w:r/>
      <w:r/>
    </w:p>
    <w:p>
      <w:pPr>
        <w:numPr>
          <w:ilvl w:val="0"/>
          <w:numId w:val="0"/>
        </w:numPr>
        <w:keepLines w:val="0"/>
        <w:keepNext w:val="0"/>
        <w:pageBreakBefore w:val="0"/>
        <w:spacing w:line="360" w:lineRule="exact"/>
        <w:widowControl w:val="off"/>
        <w:rPr>
          <w:color w:val="auto"/>
          <w:highlight w:val="none"/>
          <w:lang w:eastAsia="zh-CN"/>
        </w:rPr>
      </w:pPr>
      <w:r>
        <w:rPr>
          <w:color w:val="auto"/>
          <w:highlight w:val="none"/>
          <w:lang w:eastAsia="zh-CN"/>
        </w:rPr>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bookmarkStart w:id="386" w:name="_Toc12701"/>
      <w:r>
        <w:rPr>
          <w:rFonts w:hint="eastAsia"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eastAsia="zh-CN"/>
        </w:rPr>
        <w:t xml:space="preserve">方法</w:t>
      </w:r>
      <w:r/>
    </w:p>
    <w:p>
      <w:pP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采用综合评分法，评标结果按评审后得分由高到低顺序排列。得分相同的，按投标报价由低到高顺序排列。得分且投标报价相同的，按“三、评标标准中</w:t>
      </w:r>
      <w:r>
        <w:rPr>
          <w:rFonts w:hint="eastAsia"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w:t>
      </w:r>
      <w:r>
        <w:rPr>
          <w:rFonts w:hint="eastAsia" w:cs="宋体"/>
          <w:b w:val="0"/>
          <w:bCs w:val="0"/>
          <w:color w:val="auto"/>
          <w:sz w:val="24"/>
          <w:szCs w:val="24"/>
          <w:highlight w:val="none"/>
          <w:lang w:val="en-US" w:eastAsia="zh-CN"/>
        </w:rPr>
        <w:t xml:space="preserve"> 实施方案</w:t>
      </w:r>
      <w:r>
        <w:rPr>
          <w:rFonts w:hint="eastAsia" w:ascii="宋体" w:hAnsi="宋体" w:eastAsia="宋体" w:cs="宋体"/>
          <w:b w:val="0"/>
          <w:bCs w:val="0"/>
          <w:color w:val="auto"/>
          <w:sz w:val="24"/>
          <w:szCs w:val="24"/>
          <w:highlight w:val="none"/>
          <w:lang w:val="en-US" w:eastAsia="zh-CN"/>
        </w:rPr>
        <w:t xml:space="preserve">”得分由高到低顺序排列。在投标文件满足招标文件全部实质性要求的</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中，按照评审得分由高到低选取</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名中标候选人。</w:t>
      </w:r>
      <w:r/>
    </w:p>
    <w:p>
      <w:p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二、小微企业价格扣除</w:t>
      </w:r>
      <w:r/>
    </w:p>
    <w:p>
      <w:pPr>
        <w:keepLines w:val="0"/>
        <w:keepNext w:val="0"/>
        <w:pageBreakBefore w:val="0"/>
        <w:spacing w:line="36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本项目服务全部由小微企业承接</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highlight w:val="none"/>
        </w:rPr>
        <w:t xml:space="preserve">的扣除，用扣除后的价格参与评审。</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、评</w:t>
      </w:r>
      <w:r>
        <w:rPr>
          <w:rFonts w:hint="eastAsia"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eastAsia="zh-CN"/>
        </w:rPr>
        <w:t xml:space="preserve">标准</w:t>
      </w:r>
      <w:r/>
    </w:p>
    <w:tbl>
      <w:tblPr>
        <w:tblStyle w:val="680"/>
        <w:tblW w:w="107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540"/>
        <w:gridCol w:w="1290"/>
        <w:gridCol w:w="8109"/>
        <w:gridCol w:w="771"/>
      </w:tblGrid>
      <w:tr>
        <w:trPr>
          <w:jc w:val="center"/>
          <w:trHeight w:val="825"/>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bookmarkStart w:id="387" w:name="_Toc822"/>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w:t>
            </w:r>
            <w:r/>
          </w:p>
          <w:p>
            <w:pPr>
              <w:pStyle w:val="686"/>
              <w:ind w:left="0" w:right="0"/>
              <w:keepLines w:val="0"/>
              <w:keepNext w:val="0"/>
              <w:pageBreakBefore w:val="0"/>
              <w:spacing w:after="0"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采用低价优先法计算，即满足</w:t>
            </w:r>
            <w:r>
              <w:rPr>
                <w:rFonts w:hint="eastAsia"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eastAsia="zh-CN"/>
              </w:rPr>
              <w:t xml:space="preserve">文件要求且投标</w:t>
            </w:r>
            <w:r>
              <w:rPr>
                <w:rFonts w:hint="eastAsia" w:cs="宋体"/>
                <w:b w:val="0"/>
                <w:bCs w:val="0"/>
                <w:color w:val="auto"/>
                <w:sz w:val="24"/>
                <w:szCs w:val="24"/>
                <w:highlight w:val="none"/>
                <w:lang w:val="en-US" w:eastAsia="zh-CN"/>
              </w:rPr>
              <w:t xml:space="preserve">总报</w:t>
            </w:r>
            <w:r>
              <w:rPr>
                <w:rFonts w:hint="eastAsia" w:ascii="宋体" w:hAnsi="宋体" w:eastAsia="宋体" w:cs="宋体"/>
                <w:b w:val="0"/>
                <w:bCs w:val="0"/>
                <w:color w:val="auto"/>
                <w:sz w:val="24"/>
                <w:szCs w:val="24"/>
                <w:highlight w:val="none"/>
                <w:lang w:eastAsia="zh-CN"/>
              </w:rPr>
              <w:t xml:space="preserve">价最低的投标报价为评标基准价，其价格分为满分。其他</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的价格分统一按照下列公式计算:投标报价得分=(评标基准价/投标报价)×</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eastAsia="zh-CN"/>
              </w:rPr>
              <w:t xml:space="preserve">（小数点保留两位）。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rPr>
                <w:rFonts w:hint="eastAsia" w:cs="宋体"/>
                <w:b w:val="0"/>
                <w:bCs w:val="0"/>
                <w:color w:val="auto"/>
                <w:sz w:val="24"/>
                <w:szCs w:val="24"/>
                <w:highlight w:val="none"/>
                <w:lang w:val="en-US" w:eastAsia="zh-CN"/>
              </w:rPr>
              <w:t xml:space="preserve">分</w:t>
            </w:r>
            <w:r/>
          </w:p>
        </w:tc>
      </w:tr>
      <w:tr>
        <w:trPr>
          <w:jc w:val="center"/>
          <w:trHeight w:val="2459"/>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auto" w:sz="4" w:space="0"/>
              <w:left w:val="single" w:color="auto" w:sz="4" w:space="0"/>
              <w:right w:val="single" w:color="auto" w:sz="4" w:space="0"/>
            </w:tcBorders>
            <w:tcW w:w="129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实施</w:t>
            </w:r>
            <w:r>
              <w:rPr>
                <w:rFonts w:hint="eastAsia" w:ascii="宋体" w:hAnsi="宋体" w:eastAsia="宋体" w:cs="宋体"/>
                <w:b w:val="0"/>
                <w:bCs w:val="0"/>
                <w:color w:val="auto"/>
                <w:sz w:val="24"/>
                <w:szCs w:val="24"/>
                <w:highlight w:val="none"/>
                <w:lang w:eastAsia="zh-CN"/>
              </w:rPr>
              <w:t xml:space="preserve">方案（</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6分）</w:t>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响应文件中对项目的认识、服务定位、总体目标及整体设想酌情评分：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1、服务设想周到全面，服务起点高，定位明确，针对性强，总体目标清晰，在服务于本项目的重点、难点等方面，有不同于其他投标人的新颖思路的，得9分；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2、服务设想基本涵盖了招标内容，定位较为明确，针对性较强，总体目标较为清晰的，得6分；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3、服务设想不全且没有针对性，服务定位不明确，服务内容及总体目标一般的，得3分；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90"/>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响应文件中的绿化养护技术方案酌情评分：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1、绿化养护技术方案能结合季节变化针对各自特点进行养护，养护方案全面合理，质量标准具体明确，可操作性强的，得</w:t>
            </w:r>
            <w:r>
              <w:rPr>
                <w:rFonts w:hint="eastAsia"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2、绿化养护技术方案基本能结合季节变化针对各自特点进行养护，养护方案齐全较为合理，质量标准较为合理，可操作性较强的，得6分；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3、绿化养护技术方案有缺失，质量标准一般，可操作性差的，得3分；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106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响应文件中的现场管理方案以及组织架构酌情评分：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1、现场管理方案以及组织架构科学、合理，能保证管理落实到位，组织管理体系完善，项目管理人员（例如主管、质检、安检、班组长、管理员等）配备到位，项目管理事项明确，各岗位有明确的分工得8分；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2、现场管理方案以及组织架构基本合理，有一定科学性，基本能保证管理落实到位，组织管理体系基本完善，项目管理人员基本配备到位，管理事项、各岗位分工基本明确得6分；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3、现场管理方案以及组织架构不够合理，没有科学性、组织管理体系一般，项目管理人员配备不够到位，项目管理事项不够全面，各岗位分工不够明确得4分；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1371"/>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内部管理制度和员工考核管理办法等设定酌情评分（包括但不限于：1.制定内部管理和考核办法，考核办法包括：管理人员考核办法、养护工人考核办法等；2.考核内容设定科学、合理，将养护任务分解至全体养护工人，切忌重量轻质；3.制定内部管理清退制度，实行末位淘汰等奖优罚劣措施，保证队伍的素质。）：</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1、内部管理制度和员工考核管理办法科学、合理、有效及可操作性强得5分；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2、内部管理制度和员工考核管理办法较为完整、合理、基本有效，有一定可操作性得3分；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3、内部管理制度和员工考核管理办法不够完整，重点不够突出，合理性、可操作性差得1分；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提供的针对本项目养护期间安全保证措施的规范性、全面性、合理性、针对性、具体性、可靠性、及操作规程科学性等酌情评分：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1、安全保证措施规范全面、合理、有针对性，具体性、可靠性、操作规程科学性强的，得8分；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2、安全保证措施基本规范全面、基本合理、有一定针对性，具体性、可靠性、操作规程科学性满足要求的，得6分；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3、安全保证措施不够规范全面、合理性较差、针对性一般，具体性、可靠性、操作规程科学性较差的，得4分；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提供的突发事件预案，如防台风，防汛，扫雪防冻等应急处理预案以及针对突发事件的人员组织安排酌情评分：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1、突发事件应急处理预案完备健全，人员组织安排合理，对本项目服务针对性强，具有实际可操作性的得9分；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2、突发事件应急处理预案比较完备健全，人员组织安排较为合理，对本项目服务有一定针对性，实际可操作性一般的得6分；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3、应急处理预案实际操作较差的，得3分；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pStyle w:val="900"/>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评委根据</w:t>
            </w:r>
            <w:r>
              <w:rPr>
                <w:rFonts w:hint="eastAsia" w:cs="宋体"/>
                <w:b w:val="0"/>
                <w:bCs w:val="0"/>
                <w:color w:val="auto"/>
                <w:spacing w:val="-1"/>
                <w:sz w:val="24"/>
                <w:szCs w:val="24"/>
                <w:highlight w:val="none"/>
                <w:lang w:val="en-US" w:eastAsia="zh-CN"/>
              </w:rPr>
              <w:t xml:space="preserve">投标人</w:t>
            </w:r>
            <w:r>
              <w:rPr>
                <w:rFonts w:hint="eastAsia" w:ascii="宋体" w:hAnsi="宋体" w:eastAsia="宋体" w:cs="宋体"/>
                <w:b w:val="0"/>
                <w:bCs w:val="0"/>
                <w:color w:val="auto"/>
                <w:spacing w:val="-1"/>
                <w:sz w:val="24"/>
                <w:szCs w:val="24"/>
                <w:highlight w:val="none"/>
                <w:lang w:val="en-US" w:eastAsia="zh-CN"/>
              </w:rPr>
              <w:t xml:space="preserve">提供的突击保障任务、迎查工作、重大活动的措施方案酌情评分：</w:t>
            </w:r>
            <w:r/>
          </w:p>
          <w:p>
            <w:pPr>
              <w:pStyle w:val="900"/>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1、措施方案完备健全，对本项目服务针对性强，具有实际可操作性的得8分； </w:t>
            </w:r>
            <w:r/>
          </w:p>
          <w:p>
            <w:pPr>
              <w:pStyle w:val="900"/>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2、措施方案比较完备健全，对本项目服务有一定针对性，实际可操作性较好的得6分； </w:t>
            </w:r>
            <w:r/>
          </w:p>
          <w:p>
            <w:pPr>
              <w:pStyle w:val="900"/>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3、应急处理预案针对性一般，实际可操作性一般的得4分； </w:t>
            </w:r>
            <w:r/>
          </w:p>
          <w:p>
            <w:pPr>
              <w:pStyle w:val="900"/>
              <w:ind w:right="0"/>
              <w:jc w:val="both"/>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8分</w:t>
            </w:r>
            <w:r/>
          </w:p>
        </w:tc>
      </w:tr>
      <w:tr>
        <w:trPr>
          <w:jc w:val="center"/>
          <w:trHeight w:val="687"/>
        </w:trPr>
        <w:tc>
          <w:tcPr>
            <w:tcBorders>
              <w:top w:val="single" w:color="auto" w:sz="4" w:space="0"/>
              <w:left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auto" w:sz="4" w:space="0"/>
              <w:left w:val="single" w:color="auto" w:sz="4" w:space="0"/>
              <w:right w:val="single" w:color="auto" w:sz="4" w:space="0"/>
            </w:tcBorders>
            <w:tcW w:w="1290"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评委对</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投入本项目的车辆及主要设备的数量、型号种类、车辆设备的所有权等方面进行评价，主要包括：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1、具有总质量不低于5吨的洒水车，每提供1辆得1分，满分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2、具有自卸车，每提供1辆得1分，满分</w:t>
            </w: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3、具有油锯不少于5台；高枝油锯不少于5台；粉碎机不少于5台；绿篱机不少于5台；割草机不少于5台；割灌机不少于5台；吹风机不少于5台；水泵不少于5台；打药机不少于5台；梳草机不少于5台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每满足一项得1分，满分10分。</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（提供以上相应车辆及设备的证明材料，包括本单位的车辆及设备购置发票或租赁合同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以及车辆的保险、行驶证</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rPr>
                <w:rFonts w:hint="eastAsia" w:ascii="宋体" w:hAnsi="宋体" w:eastAsia="宋体" w:cs="宋体"/>
                <w:b w:val="0"/>
                <w:bCs w:val="0"/>
                <w:color w:val="auto"/>
                <w:sz w:val="24"/>
                <w:szCs w:val="24"/>
                <w:highlight w:val="none"/>
              </w:rPr>
              <w:t xml:space="preserve">，提供的复印件不清楚的，导致无法识别的，视为未提供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r>
      <w:tr>
        <w:trPr>
          <w:jc w:val="center"/>
          <w:trHeight w:val="90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项目负责人（2分）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拟投入本项目的项目负责人具有风景园林专业高级工程师及以上职称的，得2分；具有风景园林专业中级工程师职称的，得1分；满分2分。（提供职称证书以及</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为其缴纳</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近</w:t>
            </w:r>
            <w:r>
              <w:rPr>
                <w:rFonts w:hint="eastAsia" w:ascii="宋体" w:hAnsi="宋体" w:eastAsia="宋体" w:cs="宋体"/>
                <w:b w:val="0"/>
                <w:bCs w:val="0"/>
                <w:color w:val="auto"/>
                <w:sz w:val="24"/>
                <w:szCs w:val="24"/>
                <w:highlight w:val="none"/>
                <w:lang w:val="en-US" w:eastAsia="zh-CN"/>
              </w:rPr>
              <w:t xml:space="preserve">半年内</w:t>
            </w:r>
            <w:r>
              <w:rPr>
                <w:rFonts w:hint="eastAsia" w:cs="宋体"/>
                <w:b w:val="0"/>
                <w:bCs w:val="0"/>
                <w:color w:val="auto"/>
                <w:sz w:val="24"/>
                <w:szCs w:val="24"/>
                <w:highlight w:val="none"/>
                <w:lang w:val="en-US" w:eastAsia="zh-CN"/>
              </w:rPr>
              <w:t xml:space="preserve">（2025年12月-2026年5月）</w:t>
            </w:r>
            <w:r>
              <w:rPr>
                <w:rFonts w:hint="eastAsia" w:ascii="宋体" w:hAnsi="宋体" w:eastAsia="宋体" w:cs="宋体"/>
                <w:b w:val="0"/>
                <w:bCs w:val="0"/>
                <w:color w:val="auto"/>
                <w:sz w:val="24"/>
                <w:szCs w:val="24"/>
                <w:highlight w:val="none"/>
                <w:lang w:val="en-US" w:eastAsia="zh-CN"/>
              </w:rPr>
              <w:t xml:space="preserve">任意一个月</w:t>
            </w:r>
            <w:r>
              <w:rPr>
                <w:rFonts w:hint="eastAsia" w:ascii="宋体" w:hAnsi="宋体" w:eastAsia="宋体" w:cs="宋体"/>
                <w:b w:val="0"/>
                <w:bCs w:val="0"/>
                <w:color w:val="auto"/>
                <w:sz w:val="24"/>
                <w:szCs w:val="24"/>
                <w:highlight w:val="none"/>
                <w:lang w:eastAsia="zh-CN"/>
              </w:rPr>
              <w:t xml:space="preserve">的社保证明</w:t>
            </w:r>
            <w:r>
              <w:rPr>
                <w:rFonts w:hint="eastAsia" w:ascii="宋体" w:hAnsi="宋体" w:eastAsia="宋体" w:cs="宋体"/>
                <w:b w:val="0"/>
                <w:bCs w:val="0"/>
                <w:color w:val="auto"/>
                <w:sz w:val="24"/>
                <w:szCs w:val="24"/>
                <w:highlight w:val="none"/>
                <w:lang w:val="en-US" w:eastAsia="zh-CN"/>
              </w:rPr>
              <w:t xml:space="preserve">材料</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职称证书不能反映专业的，提供毕业证书</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提供证明材料</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w:t>
            </w:r>
            <w:r/>
          </w:p>
        </w:tc>
      </w:tr>
      <w:tr>
        <w:trPr>
          <w:jc w:val="center"/>
          <w:trHeight w:val="63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  绩</w:t>
            </w:r>
            <w:r/>
          </w:p>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自202</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年</w:t>
            </w: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月1日（含）以来，承担过类似</w:t>
            </w:r>
            <w:r>
              <w:rPr>
                <w:rFonts w:hint="eastAsia" w:ascii="宋体" w:hAnsi="宋体" w:eastAsia="宋体" w:cs="宋体"/>
                <w:b w:val="0"/>
                <w:bCs w:val="0"/>
                <w:color w:val="auto"/>
                <w:sz w:val="24"/>
                <w:szCs w:val="24"/>
                <w:highlight w:val="none"/>
                <w:lang w:val="en-US" w:eastAsia="zh-CN"/>
              </w:rPr>
              <w:t xml:space="preserve">养护</w:t>
            </w:r>
            <w:r>
              <w:rPr>
                <w:rFonts w:hint="eastAsia" w:ascii="宋体" w:hAnsi="宋体" w:eastAsia="宋体" w:cs="宋体"/>
                <w:b w:val="0"/>
                <w:bCs w:val="0"/>
                <w:color w:val="auto"/>
                <w:sz w:val="24"/>
                <w:szCs w:val="24"/>
                <w:highlight w:val="none"/>
                <w:lang w:eastAsia="zh-CN"/>
              </w:rPr>
              <w:t xml:space="preserve">业绩的，每提供一个得3分，满分9分。（提供合同复印件并加盖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文件中。时间以合同</w:t>
            </w:r>
            <w:r>
              <w:rPr>
                <w:rFonts w:hint="eastAsia" w:cs="宋体"/>
                <w:b w:val="0"/>
                <w:bCs w:val="0"/>
                <w:color w:val="auto"/>
                <w:sz w:val="24"/>
                <w:szCs w:val="24"/>
                <w:highlight w:val="none"/>
                <w:lang w:val="en-US" w:eastAsia="zh-CN"/>
              </w:rPr>
              <w:t xml:space="preserve">签订的时间</w:t>
            </w:r>
            <w:r>
              <w:rPr>
                <w:rFonts w:hint="eastAsia" w:ascii="宋体" w:hAnsi="宋体" w:eastAsia="宋体" w:cs="宋体"/>
                <w:b w:val="0"/>
                <w:bCs w:val="0"/>
                <w:color w:val="auto"/>
                <w:sz w:val="24"/>
                <w:szCs w:val="24"/>
                <w:highlight w:val="none"/>
                <w:lang w:eastAsia="zh-CN"/>
              </w:rPr>
              <w:t xml:space="preserve">为准，未提供或提供的证明材料无法反映相关数据内容的不得分）。</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分</w:t>
            </w:r>
            <w:r/>
          </w:p>
        </w:tc>
      </w:tr>
      <w:tr>
        <w:trPr>
          <w:jc w:val="center"/>
          <w:trHeight w:val="721"/>
        </w:trPr>
        <w:tc>
          <w:tcPr>
            <w:gridSpan w:val="3"/>
            <w:tcBorders>
              <w:top w:val="single" w:color="auto" w:sz="4" w:space="0"/>
              <w:left w:val="single" w:color="auto" w:sz="4" w:space="0"/>
              <w:bottom w:val="single" w:color="auto" w:sz="4" w:space="0"/>
              <w:right w:val="single" w:color="auto" w:sz="4" w:space="0"/>
            </w:tcBorders>
            <w:tcW w:w="993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100分</w:t>
            </w:r>
            <w:r/>
          </w:p>
        </w:tc>
      </w:tr>
    </w:tbl>
    <w:p>
      <w:pPr>
        <w:rPr>
          <w:rFonts w:hint="eastAsia"/>
          <w:b/>
          <w:bCs/>
          <w:color w:val="auto"/>
          <w:highlight w:val="none"/>
          <w:lang w:eastAsia="zh-CN"/>
        </w:rPr>
      </w:pPr>
      <w:r>
        <w:rPr>
          <w:rFonts w:hint="eastAsia" w:ascii="宋体" w:hAnsi="宋体" w:eastAsia="宋体" w:cs="宋体"/>
          <w:b/>
          <w:bCs/>
          <w:color w:val="auto"/>
          <w:sz w:val="32"/>
          <w:szCs w:val="32"/>
          <w:highlight w:val="none"/>
          <w:lang w:val="en-US" w:eastAsia="zh-CN"/>
        </w:rPr>
        <w:br w:type="page" w:clear="all"/>
      </w:r>
      <w:bookmarkEnd w:id="387"/>
      <w:r/>
      <w:bookmarkStart w:id="388" w:name="_Toc32332"/>
      <w:r/>
      <w:bookmarkEnd w:id="388"/>
      <w:r/>
      <w:r/>
    </w:p>
    <w:p>
      <w:pPr>
        <w:pStyle w:val="670"/>
        <w:jc w:val="center"/>
        <w:spacing w:line="360" w:lineRule="auto"/>
        <w:rPr>
          <w:b/>
          <w:bCs/>
          <w:color w:val="auto"/>
          <w:highlight w:val="none"/>
          <w:lang w:eastAsia="zh-CN"/>
        </w:rPr>
      </w:pPr>
      <w:r/>
      <w:bookmarkStart w:id="389" w:name="_Toc27369"/>
      <w:r/>
      <w:bookmarkStart w:id="390" w:name="_Toc6688"/>
      <w:r>
        <w:rPr>
          <w:rFonts w:hint="eastAsia"/>
          <w:b/>
          <w:bCs/>
          <w:color w:val="auto"/>
          <w:highlight w:val="none"/>
          <w:lang w:eastAsia="zh-CN"/>
        </w:rPr>
        <w:t xml:space="preserve">第六章 投标文件格式</w:t>
      </w:r>
      <w:bookmarkEnd w:id="386"/>
      <w:r/>
      <w:bookmarkEnd w:id="389"/>
      <w:r/>
      <w:bookmarkEnd w:id="390"/>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投</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pStyle w:val="871"/>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w:t>
      </w:r>
      <w:r>
        <w:rPr>
          <w:rFonts w:hint="eastAsia"/>
          <w:b/>
          <w:bCs/>
          <w:color w:val="auto"/>
          <w:sz w:val="32"/>
          <w:szCs w:val="32"/>
          <w:highlight w:val="none"/>
          <w:lang w:val="zh-CN" w:eastAsia="zh-CN"/>
        </w:rPr>
        <w:t xml:space="preserve">汤泉街道2026-2029年度道路绿化管养服务采购项目</w:t>
      </w:r>
      <w:r>
        <w:rPr>
          <w:rFonts w:hint="eastAsia"/>
          <w:b/>
          <w:bCs/>
          <w:color w:val="auto"/>
          <w:sz w:val="32"/>
          <w:szCs w:val="32"/>
          <w:highlight w:val="none"/>
          <w:lang w:eastAsia="zh-CN"/>
        </w:rPr>
        <w:t xml:space="preserve">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投标人名称 </w:t>
      </w:r>
      <w:r>
        <w:rPr>
          <w:rFonts w:hint="eastAsia"/>
          <w:b/>
          <w:bCs/>
          <w:color w:val="auto"/>
          <w:sz w:val="32"/>
          <w:szCs w:val="32"/>
          <w:highlight w:val="none"/>
          <w:u w:val="none"/>
          <w:lang w:eastAsia="zh-CN"/>
        </w:rPr>
        <w:t xml:space="preserve">（</w:t>
      </w:r>
      <w:r>
        <w:rPr>
          <w:rFonts w:hint="eastAsia" w:ascii="宋体" w:hAnsi="宋体"/>
          <w:b/>
          <w:color w:val="auto"/>
          <w:sz w:val="36"/>
          <w:szCs w:val="21"/>
          <w:highlight w:val="none"/>
          <w:u w:val="none"/>
        </w:rPr>
        <w:t xml:space="preserve">加盖电子公章</w:t>
      </w:r>
      <w:r>
        <w:rPr>
          <w:rFonts w:hint="eastAsia"/>
          <w:b/>
          <w:bCs/>
          <w:color w:val="auto"/>
          <w:sz w:val="32"/>
          <w:szCs w:val="32"/>
          <w:highlight w:val="none"/>
          <w:u w:val="none"/>
          <w:lang w:eastAsia="zh-CN"/>
        </w:rPr>
        <w:t xml:space="preserve">）</w:t>
      </w:r>
      <w:r>
        <w:rPr>
          <w:rFonts w:hint="eastAsia"/>
          <w:b/>
          <w:bCs/>
          <w:color w:val="auto"/>
          <w:sz w:val="32"/>
          <w:szCs w:val="32"/>
          <w:highlight w:val="none"/>
          <w:lang w:eastAsia="zh-CN"/>
        </w:rPr>
        <w:t xml:space="preserve">：</w:t>
      </w:r>
      <w:r>
        <w:rPr>
          <w:rFonts w:hint="eastAsia"/>
          <w:b/>
          <w:bCs/>
          <w:color w:val="auto"/>
          <w:sz w:val="32"/>
          <w:szCs w:val="32"/>
          <w:highlight w:val="none"/>
          <w:u w:val="single"/>
          <w:lang w:eastAsia="zh-CN"/>
        </w:rPr>
        <w:t xml:space="preserve">                   </w:t>
      </w:r>
      <w:r/>
    </w:p>
    <w:p>
      <w:pPr>
        <w:spacing w:line="360" w:lineRule="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rPr>
          <w:rFonts w:hint="eastAsia" w:ascii="宋体" w:hAnsi="宋体"/>
          <w:b/>
          <w:bCs/>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numPr>
          <w:ilvl w:val="0"/>
          <w:numId w:val="3"/>
        </w:num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三、满足特定资格要求的证明文件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七、类似业绩情况表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w:t>
      </w:r>
      <w:bookmarkStart w:id="391" w:name="_Toc15642"/>
      <w:r/>
      <w:bookmarkStart w:id="392" w:name="_Toc96265021"/>
      <w:r/>
      <w:bookmarkStart w:id="393" w:name="_Toc13506"/>
      <w:r/>
      <w:bookmarkStart w:id="394" w:name="_Toc5606"/>
      <w:r>
        <w:rPr>
          <w:rFonts w:hint="eastAsia" w:ascii="宋体" w:hAnsi="宋体" w:eastAsia="宋体" w:cs="宋体"/>
          <w:b w:val="0"/>
          <w:bCs w:val="0"/>
          <w:i w:val="0"/>
          <w:color w:val="auto"/>
          <w:sz w:val="28"/>
          <w:szCs w:val="28"/>
          <w:highlight w:val="none"/>
          <w:u w:val="none"/>
          <w:lang w:val="en-US" w:eastAsia="zh-CN"/>
        </w:rPr>
        <w:t xml:space="preserve">项目人员配置表</w:t>
      </w:r>
      <w:bookmarkEnd w:id="391"/>
      <w:r/>
      <w:bookmarkEnd w:id="392"/>
      <w:r/>
      <w:bookmarkEnd w:id="393"/>
      <w:r/>
      <w:bookmarkEnd w:id="394"/>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九、投入本项目的车辆及主要设备</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投标人</w:t>
      </w:r>
      <w:r>
        <w:rPr>
          <w:rFonts w:hint="eastAsia" w:ascii="宋体" w:hAnsi="宋体" w:eastAsia="宋体" w:cs="宋体"/>
          <w:b w:val="0"/>
          <w:bCs w:val="0"/>
          <w:i w:val="0"/>
          <w:color w:val="auto"/>
          <w:sz w:val="28"/>
          <w:szCs w:val="28"/>
          <w:highlight w:val="none"/>
          <w:u w:val="none"/>
          <w:lang w:val="en-US" w:eastAsia="zh-CN"/>
        </w:rPr>
        <w:t xml:space="preserve">认为有必要提供的其它材料</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十三、联合体协议（如有）</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val="0"/>
          <w:color w:val="auto"/>
          <w:sz w:val="32"/>
          <w:szCs w:val="32"/>
          <w:highlight w:val="none"/>
          <w:u w:val="none"/>
          <w:lang w:val="en-US" w:eastAsia="zh-CN"/>
        </w:rPr>
      </w:pPr>
      <w:r/>
      <w:bookmarkStart w:id="395" w:name="_Toc120614284"/>
      <w:r>
        <w:rPr>
          <w:rFonts w:hint="eastAsia" w:ascii="黑体" w:hAnsi="黑体" w:eastAsia="黑体" w:cs="Times New Roman"/>
          <w:i w:val="0"/>
          <w:color w:val="auto"/>
          <w:sz w:val="32"/>
          <w:szCs w:val="32"/>
          <w:highlight w:val="none"/>
          <w:u w:val="none"/>
          <w:lang w:val="en-US" w:eastAsia="zh-CN"/>
        </w:rPr>
        <w:br w:type="page" w:clear="all"/>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一、投标函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bookmarkStart w:id="396" w:name="_Toc14959"/>
      <w:r>
        <w:rPr>
          <w:rFonts w:hint="eastAsia" w:ascii="方正小标宋简体" w:hAnsi="方正小标宋简体" w:eastAsia="方正小标宋简体" w:cs="方正小标宋简体"/>
          <w:color w:val="auto"/>
          <w:sz w:val="32"/>
          <w:szCs w:val="32"/>
          <w:highlight w:val="none"/>
          <w:lang w:val="en-US" w:eastAsia="zh-CN"/>
        </w:rPr>
        <w:t xml:space="preserve">投标函</w:t>
      </w:r>
      <w:bookmarkEnd w:id="396"/>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pStyle w:val="922"/>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编号及项目名称为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w:t>
      </w:r>
      <w:r/>
    </w:p>
    <w:p>
      <w:pPr>
        <w:pStyle w:val="9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9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92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92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22"/>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22"/>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22"/>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22"/>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2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2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2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2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22"/>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22"/>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22"/>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bookmarkStart w:id="397" w:name="_Toc9370"/>
      <w:r>
        <w:rPr>
          <w:rFonts w:hint="eastAsia" w:ascii="方正小标宋简体" w:hAnsi="方正小标宋简体" w:eastAsia="方正小标宋简体" w:cs="方正小标宋简体"/>
          <w:color w:val="auto"/>
          <w:sz w:val="32"/>
          <w:szCs w:val="32"/>
          <w:highlight w:val="none"/>
          <w:lang w:val="en-US"/>
        </w:rPr>
        <w:t xml:space="preserve">法人授权书</w:t>
      </w:r>
      <w:bookmarkEnd w:id="397"/>
      <w:r/>
      <w:r/>
    </w:p>
    <w:p>
      <w:pPr>
        <w:pStyle w:val="921"/>
        <w:ind w:firstLine="480"/>
        <w:spacing w:line="420" w:lineRule="exact"/>
        <w:rPr>
          <w:rFonts w:hint="eastAsia"/>
          <w:color w:val="auto"/>
          <w:sz w:val="24"/>
          <w:szCs w:val="24"/>
          <w:highlight w:val="none"/>
        </w:rPr>
      </w:pPr>
      <w:r>
        <w:rPr>
          <w:rFonts w:hint="eastAsia"/>
          <w:color w:val="auto"/>
          <w:sz w:val="24"/>
          <w:szCs w:val="24"/>
          <w:highlight w:val="none"/>
        </w:rPr>
      </w:r>
      <w:r/>
    </w:p>
    <w:p>
      <w:pPr>
        <w:pStyle w:val="921"/>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参加编号及项目名称为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21"/>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21"/>
        <w:ind w:firstLine="480"/>
        <w:spacing w:line="480" w:lineRule="exact"/>
        <w:rPr>
          <w:rFonts w:hint="eastAsia"/>
          <w:color w:val="auto"/>
          <w:sz w:val="24"/>
          <w:szCs w:val="24"/>
          <w:highlight w:val="none"/>
        </w:rPr>
      </w:pPr>
      <w:r>
        <w:rPr>
          <w:rFonts w:hint="eastAsia"/>
          <w:color w:val="auto"/>
          <w:sz w:val="24"/>
          <w:szCs w:val="24"/>
          <w:highlight w:val="none"/>
        </w:rPr>
      </w:r>
      <w:r/>
    </w:p>
    <w:p>
      <w:pPr>
        <w:pStyle w:val="921"/>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w:t>
      </w:r>
      <w:r>
        <w:rPr>
          <w:rFonts w:hint="eastAsia"/>
          <w:color w:val="auto"/>
          <w:sz w:val="24"/>
          <w:szCs w:val="24"/>
          <w:highlight w:val="none"/>
          <w:lang w:val="en-US" w:eastAsia="zh-CN"/>
        </w:rPr>
        <w:t xml:space="preserve">正反面</w:t>
      </w:r>
      <w:r>
        <w:rPr>
          <w:rFonts w:hint="eastAsia"/>
          <w:color w:val="auto"/>
          <w:sz w:val="24"/>
          <w:szCs w:val="24"/>
          <w:highlight w:val="none"/>
        </w:rPr>
        <w:t xml:space="preserve">：</w:t>
      </w:r>
      <w:r/>
    </w:p>
    <w:p>
      <w:pPr>
        <w:pStyle w:val="921"/>
        <w:ind w:firstLine="480"/>
        <w:spacing w:line="480" w:lineRule="exact"/>
        <w:rPr>
          <w:rFonts w:hint="eastAsia"/>
          <w:color w:val="auto"/>
          <w:sz w:val="24"/>
          <w:szCs w:val="24"/>
          <w:highlight w:val="none"/>
        </w:rPr>
      </w:pPr>
      <w:r>
        <w:rPr>
          <w:rFonts w:hint="eastAsia"/>
          <w:color w:val="auto"/>
          <w:sz w:val="24"/>
          <w:szCs w:val="24"/>
          <w:highlight w:val="none"/>
        </w:rPr>
      </w:r>
      <w:r/>
    </w:p>
    <w:p>
      <w:pPr>
        <w:pStyle w:val="921"/>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921"/>
        <w:ind w:firstLine="468"/>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21"/>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21"/>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398" w:name="_Hlt26671380"/>
      <w:r/>
      <w:bookmarkEnd w:id="398"/>
      <w:r/>
      <w:bookmarkStart w:id="399" w:name="_Hlt26955070"/>
      <w:r/>
      <w:bookmarkEnd w:id="399"/>
      <w:r/>
      <w:bookmarkStart w:id="400" w:name="_格式3__银行出具的资信证明"/>
      <w:r/>
      <w:bookmarkEnd w:id="400"/>
      <w:r/>
      <w:r/>
    </w:p>
    <w:p>
      <w:pPr>
        <w:pStyle w:val="682"/>
        <w:rPr>
          <w:rFonts w:hint="eastAsia"/>
          <w:i/>
          <w:color w:val="auto"/>
          <w:sz w:val="24"/>
          <w:szCs w:val="24"/>
          <w:highlight w:val="none"/>
          <w:u w:val="single"/>
        </w:rPr>
      </w:pPr>
      <w:r>
        <w:rPr>
          <w:rFonts w:hint="eastAsia"/>
          <w:i/>
          <w:color w:val="auto"/>
          <w:sz w:val="24"/>
          <w:szCs w:val="24"/>
          <w:highlight w:val="none"/>
          <w:u w:val="single"/>
        </w:rPr>
      </w:r>
      <w:r/>
    </w:p>
    <w:p>
      <w:pPr>
        <w:pStyle w:val="682"/>
        <w:rPr>
          <w:rFonts w:hint="eastAsia"/>
          <w:i/>
          <w:color w:val="auto"/>
          <w:sz w:val="24"/>
          <w:szCs w:val="24"/>
          <w:highlight w:val="none"/>
          <w:u w:val="single"/>
        </w:rPr>
      </w:pPr>
      <w:r>
        <w:rPr>
          <w:rFonts w:hint="eastAsia"/>
          <w:i/>
          <w:color w:val="auto"/>
          <w:sz w:val="24"/>
          <w:szCs w:val="24"/>
          <w:highlight w:val="none"/>
          <w:u w:val="single"/>
        </w:rPr>
      </w:r>
      <w:r/>
    </w:p>
    <w:p>
      <w:pPr>
        <w:pStyle w:val="682"/>
        <w:rPr>
          <w:rFonts w:hint="eastAsia"/>
          <w:i/>
          <w:color w:val="auto"/>
          <w:sz w:val="24"/>
          <w:szCs w:val="24"/>
          <w:highlight w:val="none"/>
          <w:u w:val="single"/>
        </w:rPr>
      </w:pPr>
      <w:r>
        <w:rPr>
          <w:rFonts w:hint="eastAsia"/>
          <w:i/>
          <w:color w:val="auto"/>
          <w:sz w:val="24"/>
          <w:szCs w:val="24"/>
          <w:highlight w:val="none"/>
          <w:u w:val="single"/>
        </w:rPr>
      </w:r>
      <w:r/>
    </w:p>
    <w:p>
      <w:pPr>
        <w:pStyle w:val="682"/>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27"/>
        <w:rPr>
          <w:rFonts w:hint="eastAsia" w:ascii="宋体" w:hAnsi="宋体"/>
          <w:bCs/>
          <w:color w:val="auto"/>
          <w:sz w:val="24"/>
          <w:highlight w:val="none"/>
        </w:rPr>
      </w:pPr>
      <w:r>
        <w:rPr>
          <w:rFonts w:hint="eastAsia" w:ascii="宋体" w:hAnsi="宋体"/>
          <w:bCs/>
          <w:color w:val="auto"/>
          <w:sz w:val="24"/>
          <w:highlight w:val="none"/>
        </w:rPr>
      </w:r>
      <w:r/>
    </w:p>
    <w:p>
      <w:pPr>
        <w:pStyle w:val="927"/>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923"/>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三、开标一览表</w:t>
      </w:r>
      <w:r/>
    </w:p>
    <w:p>
      <w:pPr>
        <w:jc w:val="center"/>
        <w:keepLines w:val="0"/>
        <w:keepNext w:val="0"/>
        <w:pageBreakBefore w:val="0"/>
        <w:spacing w:line="336"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bookmarkStart w:id="401" w:name="_Toc29125"/>
      <w:r>
        <w:rPr>
          <w:rFonts w:hint="eastAsia" w:ascii="方正小标宋简体" w:hAnsi="方正小标宋简体" w:eastAsia="方正小标宋简体" w:cs="方正小标宋简体"/>
          <w:color w:val="auto"/>
          <w:sz w:val="32"/>
          <w:szCs w:val="32"/>
          <w:highlight w:val="none"/>
          <w:lang w:val="en-US" w:eastAsia="zh-CN"/>
        </w:rPr>
        <w:t xml:space="preserve">开标一览表</w:t>
      </w:r>
      <w:bookmarkEnd w:id="401"/>
      <w:r/>
      <w:r/>
    </w:p>
    <w:p>
      <w:pPr>
        <w:ind w:firstLine="0"/>
        <w:keepLines w:val="0"/>
        <w:keepNext w:val="0"/>
        <w:pageBreakBefore w:val="0"/>
        <w:spacing w:line="336"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336" w:lineRule="auto"/>
        <w:widowControl w:val="off"/>
        <w:rPr>
          <w:color w:val="auto"/>
          <w:sz w:val="24"/>
          <w:szCs w:val="24"/>
          <w:highlight w:val="none"/>
        </w:rPr>
        <w:outlineLvl w:val="9"/>
      </w:pPr>
      <w:r>
        <w:rPr>
          <w:rFonts w:hint="eastAsia" w:ascii="宋体" w:hAnsi="宋体"/>
          <w:color w:val="auto"/>
          <w:sz w:val="24"/>
          <w:szCs w:val="24"/>
          <w:highlight w:val="none"/>
        </w:rPr>
        <w:t xml:space="preserve">项目名称：</w:t>
      </w:r>
      <w:r>
        <w:rPr>
          <w:rFonts w:hint="eastAsia"/>
          <w:color w:val="auto"/>
          <w:sz w:val="24"/>
          <w:szCs w:val="24"/>
          <w:highlight w:val="none"/>
          <w:lang w:val="zh-CN" w:eastAsia="zh-CN"/>
        </w:rPr>
        <w:t xml:space="preserve">汤泉街道2026-2029年度道路绿化管养服务采购项目</w:t>
      </w:r>
      <w:r/>
    </w:p>
    <w:p>
      <w:pPr>
        <w:ind w:firstLine="0"/>
        <w:keepLines w:val="0"/>
        <w:keepNext w:val="0"/>
        <w:pageBreakBefore w:val="0"/>
        <w:spacing w:line="336"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p>
    <w:tbl>
      <w:tblPr>
        <w:tblStyle w:val="680"/>
        <w:tblW w:w="9522" w:type="dxa"/>
        <w:tblInd w:w="3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2"/>
      </w:tblGrid>
      <w:tr>
        <w:trPr>
          <w:cantSplit/>
          <w:trHeight w:val="725"/>
        </w:trPr>
        <w:tc>
          <w:tcPr>
            <w:tcW w:w="9522"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olor w:val="auto"/>
                <w:sz w:val="24"/>
                <w:szCs w:val="24"/>
                <w:highlight w:val="none"/>
                <w:lang w:eastAsia="zh-CN"/>
              </w:rPr>
              <w:outlineLvl w:val="9"/>
            </w:pPr>
            <w:r>
              <w:rPr>
                <w:rFonts w:hint="eastAsia"/>
                <w:color w:val="auto"/>
                <w:sz w:val="24"/>
                <w:szCs w:val="24"/>
                <w:highlight w:val="none"/>
                <w:lang w:val="en-US" w:eastAsia="zh-CN"/>
              </w:rPr>
              <w:t xml:space="preserve">三年</w:t>
            </w:r>
            <w:r>
              <w:rPr>
                <w:rFonts w:hint="eastAsia" w:ascii="宋体" w:hAnsi="宋体"/>
                <w:color w:val="auto"/>
                <w:sz w:val="24"/>
                <w:szCs w:val="24"/>
                <w:highlight w:val="none"/>
              </w:rPr>
              <w:t xml:space="preserve">投标总报价</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含税</w:t>
            </w:r>
            <w:r>
              <w:rPr>
                <w:rFonts w:hint="eastAsia"/>
                <w:color w:val="auto"/>
                <w:sz w:val="24"/>
                <w:szCs w:val="24"/>
                <w:highlight w:val="none"/>
                <w:lang w:eastAsia="zh-CN"/>
              </w:rPr>
              <w:t xml:space="preserve">）</w:t>
            </w:r>
            <w:r/>
          </w:p>
        </w:tc>
      </w:tr>
      <w:tr>
        <w:trPr>
          <w:cantSplit/>
          <w:trHeight w:val="780"/>
        </w:trPr>
        <w:tc>
          <w:tcPr>
            <w:tcW w:w="9522" w:type="dxa"/>
            <w:vAlign w:val="center"/>
            <w:textDirection w:val="lrTb"/>
            <w:noWrap w:val="false"/>
          </w:tcPr>
          <w:p>
            <w:pPr>
              <w:pStyle w:val="922"/>
              <w:ind w:firstLine="0"/>
              <w:keepLines w:val="0"/>
              <w:keepNext w:val="0"/>
              <w:pageBreakBefore w:val="0"/>
              <w:spacing w:before="0" w:after="0" w:line="336" w:lineRule="auto"/>
              <w:widowControl w:val="off"/>
              <w:rPr>
                <w:rFonts w:hint="eastAsia" w:ascii="宋体" w:hAnsi="宋体"/>
                <w:color w:val="auto"/>
                <w:szCs w:val="21"/>
                <w:highlight w:val="none"/>
              </w:rPr>
              <w:outlineLvl w:val="9"/>
            </w:pPr>
            <w:r>
              <w:rPr>
                <w:rFonts w:hint="eastAsia" w:ascii="宋体" w:hAnsi="宋体" w:cs="宋体"/>
                <w:color w:val="auto"/>
                <w:highlight w:val="none"/>
              </w:rPr>
              <w:t xml:space="preserve">小写（元）：   </w:t>
            </w:r>
            <w:r>
              <w:rPr>
                <w:rFonts w:hint="eastAsia" w:ascii="宋体" w:hAnsi="宋体" w:cs="宋体"/>
                <w:color w:val="auto"/>
                <w:highlight w:val="none"/>
                <w:lang w:val="en-US" w:eastAsia="zh-CN"/>
              </w:rPr>
              <w:t xml:space="preserve">      大写：</w:t>
            </w:r>
            <w:r>
              <w:rPr>
                <w:rFonts w:hint="eastAsia" w:ascii="宋体" w:hAnsi="宋体" w:cs="宋体"/>
                <w:color w:val="auto"/>
                <w:highlight w:val="none"/>
              </w:rPr>
              <w:t xml:space="preserve">                          </w:t>
            </w:r>
            <w:r/>
          </w:p>
        </w:tc>
      </w:tr>
      <w:tr>
        <w:trPr>
          <w:cantSplit/>
          <w:trHeight w:val="780"/>
        </w:trPr>
        <w:tc>
          <w:tcPr>
            <w:tcW w:w="9522" w:type="dxa"/>
            <w:vAlign w:val="center"/>
            <w:textDirection w:val="lrTb"/>
            <w:noWrap w:val="false"/>
          </w:tcPr>
          <w:p>
            <w:pPr>
              <w:pStyle w:val="922"/>
              <w:ind w:firstLine="0"/>
              <w:keepLines w:val="0"/>
              <w:keepNext w:val="0"/>
              <w:pageBreakBefore w:val="0"/>
              <w:spacing w:before="0" w:after="0" w:line="336" w:lineRule="auto"/>
              <w:widowControl w:val="off"/>
              <w:rPr>
                <w:rFonts w:hint="eastAsia" w:ascii="宋体" w:hAnsi="宋体" w:cs="宋体"/>
                <w:color w:val="auto"/>
                <w:highlight w:val="none"/>
              </w:rPr>
              <w:outlineLvl w:val="9"/>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tc>
      </w:tr>
      <w:tr>
        <w:trPr>
          <w:cantSplit/>
          <w:trHeight w:val="780"/>
        </w:trPr>
        <w:tc>
          <w:tcPr>
            <w:tcW w:w="9522" w:type="dxa"/>
            <w:vAlign w:val="center"/>
            <w:textDirection w:val="lrTb"/>
            <w:noWrap w:val="false"/>
          </w:tcPr>
          <w:p>
            <w:pPr>
              <w:pStyle w:val="922"/>
              <w:ind w:firstLine="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val="en-US" w:eastAsia="zh-CN"/>
              </w:rPr>
              <w:t xml:space="preserve">：</w:t>
            </w:r>
            <w:bookmarkStart w:id="414" w:name="_GoBack"/>
            <w:r/>
            <w:bookmarkEnd w:id="414"/>
            <w:r/>
            <w:r/>
          </w:p>
        </w:tc>
      </w:tr>
      <w:tr>
        <w:trPr>
          <w:cantSplit/>
          <w:trHeight w:val="780"/>
        </w:trPr>
        <w:tc>
          <w:tcPr>
            <w:tcW w:w="9522" w:type="dxa"/>
            <w:vAlign w:val="center"/>
            <w:textDirection w:val="lrTb"/>
            <w:noWrap w:val="false"/>
          </w:tcPr>
          <w:p>
            <w:pPr>
              <w:pStyle w:val="922"/>
              <w:ind w:firstLine="0"/>
              <w:keepLines w:val="0"/>
              <w:keepNext w:val="0"/>
              <w:pageBreakBefore w:val="0"/>
              <w:spacing w:before="0" w:after="0" w:line="336" w:lineRule="auto"/>
              <w:widowControl w:val="off"/>
              <w:rPr>
                <w:rFonts w:hint="default" w:ascii="宋体" w:hAnsi="宋体" w:eastAsia="宋体" w:cs="宋体"/>
                <w:color w:val="auto"/>
                <w:sz w:val="24"/>
                <w:szCs w:val="24"/>
                <w:highlight w:val="none"/>
                <w:lang w:val="en-US" w:eastAsia="zh-CN"/>
              </w:rPr>
              <w:outlineLvl w:val="9"/>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rPr>
                <w:rFonts w:hint="eastAsia" w:ascii="宋体" w:hAnsi="宋体" w:cs="宋体"/>
                <w:color w:val="auto"/>
                <w:sz w:val="24"/>
                <w:szCs w:val="24"/>
                <w:highlight w:val="none"/>
                <w:lang w:val="en-US" w:eastAsia="zh-CN"/>
              </w:rPr>
              <w:t xml:space="preserve">  日</w:t>
            </w:r>
            <w:r/>
          </w:p>
        </w:tc>
      </w:tr>
    </w:tbl>
    <w:p>
      <w:pPr>
        <w:keepLines w:val="0"/>
        <w:keepNext w:val="0"/>
        <w:pageBreakBefore w:val="0"/>
        <w:spacing w:line="336" w:lineRule="auto"/>
        <w:widowControl w:val="off"/>
        <w:rPr>
          <w:rFonts w:ascii="宋体" w:hAnsi="宋体"/>
          <w:color w:val="auto"/>
          <w:sz w:val="24"/>
          <w:szCs w:val="24"/>
          <w:highlight w:val="none"/>
        </w:rPr>
        <w:outlineLvl w:val="9"/>
      </w:pPr>
      <w:r>
        <w:rPr>
          <w:rFonts w:ascii="宋体" w:hAnsi="宋体"/>
          <w:color w:val="auto"/>
          <w:sz w:val="24"/>
          <w:szCs w:val="24"/>
          <w:highlight w:val="none"/>
        </w:rPr>
      </w:r>
      <w:r/>
    </w:p>
    <w:p>
      <w:pPr>
        <w:ind w:firstLine="480"/>
        <w:keepLines w:val="0"/>
        <w:keepNext w:val="0"/>
        <w:pageBreakBefore w:val="0"/>
        <w:spacing w:line="336" w:lineRule="auto"/>
        <w:widowControl w:val="off"/>
        <w:rPr>
          <w:rFonts w:hint="eastAsia" w:ascii="黑体" w:hAnsi="黑体" w:eastAsia="黑体"/>
          <w:b/>
          <w:i/>
          <w:color w:val="auto"/>
          <w:sz w:val="32"/>
          <w:szCs w:val="32"/>
          <w:highlight w:val="none"/>
          <w:u w:val="single"/>
        </w:rPr>
        <w:outlineLvl w:val="9"/>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643"/>
        <w:spacing w:line="480" w:lineRule="exact"/>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ind w:firstLine="482"/>
        <w:spacing w:line="480" w:lineRule="exact"/>
        <w:rPr>
          <w:rFonts w:hint="eastAsia" w:ascii="宋体" w:hAnsi="宋体" w:eastAsia="宋体" w:cs="Times New Roman"/>
          <w:b/>
          <w:bCs/>
          <w:i w:val="0"/>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备注：1</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投标(响应)报价低于全部通过符合性审查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投标(响应)报价平均值50%的，即投标(响应)报价&lt;全部通过符合性审查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50%</w:t>
      </w:r>
      <w:r>
        <w:rPr>
          <w:rFonts w:hint="eastAsia" w:cs="Times New Roman"/>
          <w:b/>
          <w:bCs/>
          <w:color w:val="auto"/>
          <w:sz w:val="24"/>
          <w:szCs w:val="24"/>
          <w:highlight w:val="none"/>
          <w:lang w:val="en-US" w:eastAsia="zh-CN"/>
        </w:rPr>
        <w:t xml:space="preserve">；2、投标(响应)报价低于通过符合性审查的次低报价投标人设标(响应)报价50%的，即投标(响应)报价&lt;通过符合性审查的次低报价投标人投标(响应)报价*50%;3、</w:t>
      </w:r>
      <w:r>
        <w:rPr>
          <w:rFonts w:hint="eastAsia" w:ascii="宋体" w:hAnsi="宋体" w:eastAsia="宋体" w:cs="Times New Roman"/>
          <w:b/>
          <w:bCs/>
          <w:color w:val="auto"/>
          <w:sz w:val="24"/>
          <w:szCs w:val="24"/>
          <w:highlight w:val="none"/>
          <w:lang w:val="en-US" w:eastAsia="zh-CN"/>
        </w:rPr>
        <w:t xml:space="preserve">投标(响应)报价低于采购项目最高限价45%的，即投标(响应)报价&lt;采购项目最高限价</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45%;</w:t>
      </w:r>
      <w:r>
        <w:rPr>
          <w:rFonts w:hint="eastAsia"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评审委员会基于专业判断，认为投标人报价</w:t>
      </w:r>
      <w:r>
        <w:rPr>
          <w:rFonts w:hint="eastAsia"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cs="Times New Roman"/>
          <w:b/>
          <w:bCs/>
          <w:color w:val="auto"/>
          <w:sz w:val="24"/>
          <w:szCs w:val="24"/>
          <w:highlight w:val="none"/>
          <w:lang w:val="en-US" w:eastAsia="zh-CN"/>
        </w:rPr>
        <w:t xml:space="preserve">其他情形</w:t>
      </w:r>
      <w:r>
        <w:rPr>
          <w:rFonts w:hint="eastAsia" w:ascii="宋体" w:hAnsi="宋体" w:eastAsia="宋体" w:cs="Times New Roman"/>
          <w:b/>
          <w:bCs/>
          <w:color w:val="auto"/>
          <w:sz w:val="24"/>
          <w:szCs w:val="24"/>
          <w:highlight w:val="none"/>
          <w:lang w:val="zh-CN"/>
        </w:rPr>
        <w:t xml:space="preserve">，</w:t>
      </w:r>
      <w:r>
        <w:rPr>
          <w:rFonts w:hint="eastAsia" w:ascii="宋体" w:hAnsi="宋体" w:eastAsia="宋体" w:cs="Times New Roman"/>
          <w:b/>
          <w:bCs/>
          <w:color w:val="auto"/>
          <w:sz w:val="24"/>
          <w:szCs w:val="24"/>
          <w:highlight w:val="none"/>
          <w:lang w:val="en-US" w:eastAsia="zh-CN"/>
        </w:rPr>
        <w:t xml:space="preserve">评委会将启动异常低价投标审查机制，投标人应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color w:val="auto"/>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color w:val="auto"/>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p>
    <w:p>
      <w:pPr>
        <w:ind w:firstLine="480"/>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投标分项报价表一</w:t>
      </w:r>
      <w:r/>
    </w:p>
    <w:p>
      <w:pPr>
        <w:ind w:right="180" w:firstLine="480"/>
        <w:jc w:val="center"/>
        <w:keepLines w:val="0"/>
        <w:keepNext w:val="0"/>
        <w:pageBreakBefore w:val="0"/>
        <w:spacing w:line="36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根据养护清单格式进行报价</w:t>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70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70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70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707"/>
        <w:ind w:firstLine="480"/>
        <w:jc w:val="both"/>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3.《投标分项报价表》中的分项名称须与“第四章-采购需求-养护清单”中的名称一一对应，如有缺项、漏项，视为无效投标。“项目清单”中分项仅为一项的，此表无需提供。</w:t>
      </w:r>
      <w:r/>
    </w:p>
    <w:p>
      <w:pPr>
        <w:pStyle w:val="70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4.行数不够，可自行添加。</w:t>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投标分项报价表二</w:t>
      </w:r>
      <w:r/>
    </w:p>
    <w:tbl>
      <w:tblPr>
        <w:tblStyle w:val="680"/>
        <w:tblW w:w="106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2835"/>
        <w:gridCol w:w="2464"/>
        <w:gridCol w:w="1575"/>
        <w:gridCol w:w="1374"/>
        <w:gridCol w:w="1535"/>
      </w:tblGrid>
      <w:tr>
        <w:trPr>
          <w:jc w:val="center"/>
          <w:trHeight w:val="284"/>
        </w:trPr>
        <w:tc>
          <w:tcPr>
            <w:tcW w:w="896"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序号</w:t>
            </w:r>
            <w:r/>
          </w:p>
        </w:tc>
        <w:tc>
          <w:tcPr>
            <w:tcW w:w="28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lang w:val="en-US" w:eastAsia="zh-CN"/>
              </w:rPr>
              <w:t xml:space="preserve">内容</w:t>
            </w:r>
            <w:r/>
          </w:p>
        </w:tc>
        <w:tc>
          <w:tcPr>
            <w:tcW w:w="2464"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rPr>
              <w:t xml:space="preserve">报价（元）</w:t>
            </w:r>
            <w:r/>
          </w:p>
        </w:tc>
        <w:tc>
          <w:tcPr>
            <w:tcW w:w="1575"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其中小、微型企业报价（元）</w:t>
            </w:r>
            <w:r/>
          </w:p>
        </w:tc>
        <w:tc>
          <w:tcPr>
            <w:tcW w:w="1374"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其中残疾人福利单位报价（元）</w:t>
            </w:r>
            <w:r/>
          </w:p>
        </w:tc>
        <w:tc>
          <w:tcPr>
            <w:tcW w:w="15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val="en-US" w:eastAsia="zh-CN"/>
              </w:rPr>
            </w:pPr>
            <w:r>
              <w:rPr>
                <w:rFonts w:hint="eastAsia"/>
                <w:b/>
                <w:bCs/>
                <w:color w:val="auto"/>
                <w:sz w:val="28"/>
                <w:szCs w:val="22"/>
                <w:highlight w:val="none"/>
              </w:rPr>
              <w:t xml:space="preserve">其中监狱企业报价（元）</w:t>
            </w:r>
            <w:r/>
          </w:p>
        </w:tc>
      </w:tr>
      <w:tr>
        <w:trPr>
          <w:jc w:val="center"/>
          <w:trHeight w:val="576"/>
        </w:trPr>
        <w:tc>
          <w:tcPr>
            <w:tcW w:w="896" w:type="dxa"/>
            <w:vAlign w:val="center"/>
            <w:textDirection w:val="lrTb"/>
            <w:noWrap w:val="false"/>
          </w:tcPr>
          <w:p>
            <w:pPr>
              <w:ind w:right="0"/>
              <w:jc w:val="center"/>
              <w:keepLines w:val="0"/>
              <w:keepNext w:val="0"/>
              <w:pageBreakBefore w:val="0"/>
              <w:spacing w:line="400" w:lineRule="exact"/>
              <w:rPr>
                <w:rFonts w:hint="eastAsia" w:eastAsia="宋体"/>
                <w:color w:val="auto"/>
                <w:spacing w:val="-2"/>
                <w:szCs w:val="20"/>
                <w:highlight w:val="none"/>
                <w:lang w:val="en-US" w:eastAsia="zh-CN"/>
              </w:rPr>
            </w:pPr>
            <w:r>
              <w:rPr>
                <w:rFonts w:hint="eastAsia"/>
                <w:color w:val="auto"/>
                <w:spacing w:val="-2"/>
                <w:szCs w:val="20"/>
                <w:highlight w:val="none"/>
                <w:lang w:val="en-US" w:eastAsia="zh-CN"/>
              </w:rPr>
              <w:t xml:space="preserve">1</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2026年—2027年度养护服务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2027年-2028年度养护服务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default" w:eastAsia="宋体"/>
                <w:color w:val="auto"/>
                <w:szCs w:val="20"/>
                <w:highlight w:val="none"/>
                <w:lang w:val="en-US" w:eastAsia="zh-CN"/>
              </w:rPr>
            </w:pPr>
            <w:r>
              <w:rPr>
                <w:rFonts w:hint="default"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3</w:t>
            </w:r>
            <w:r/>
          </w:p>
        </w:tc>
        <w:tc>
          <w:tcPr>
            <w:tcW w:w="2835" w:type="dxa"/>
            <w:vAlign w:val="center"/>
            <w:textDirection w:val="lrTb"/>
            <w:noWrap w:val="false"/>
          </w:tcPr>
          <w:p>
            <w:pPr>
              <w:ind w:right="0"/>
              <w:jc w:val="center"/>
              <w:keepLines w:val="0"/>
              <w:keepNext w:val="0"/>
              <w:pageBreakBefore w:val="0"/>
              <w:spacing w:line="400" w:lineRule="exact"/>
              <w:rPr>
                <w:rFonts w:hint="default"/>
                <w:color w:val="auto"/>
                <w:spacing w:val="-2"/>
                <w:szCs w:val="20"/>
                <w:highlight w:val="none"/>
                <w:lang w:val="en-US" w:eastAsia="zh-CN"/>
              </w:rPr>
            </w:pPr>
            <w:r>
              <w:rPr>
                <w:rFonts w:hint="eastAsia"/>
                <w:color w:val="auto"/>
                <w:spacing w:val="-2"/>
                <w:szCs w:val="20"/>
                <w:highlight w:val="none"/>
                <w:lang w:val="en-US" w:eastAsia="zh-CN"/>
              </w:rPr>
              <w:t xml:space="preserve">2028年-2029年度养护服务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eastAsia" w:eastAsia="宋体"/>
                <w:color w:val="auto"/>
                <w:szCs w:val="20"/>
                <w:highlight w:val="none"/>
                <w:lang w:val="en-US" w:eastAsia="zh-CN"/>
              </w:rPr>
            </w:pPr>
            <w:r>
              <w:rPr>
                <w:rFonts w:hint="eastAsia"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662"/>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三年投标总报价（人民币，小写）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rFonts w:hint="eastAsia"/>
                <w:color w:val="auto"/>
                <w:szCs w:val="20"/>
                <w:highlight w:val="none"/>
              </w:rPr>
              <w:t xml:space="preserve">元</w:t>
            </w:r>
            <w:r/>
          </w:p>
        </w:tc>
      </w:tr>
      <w:tr>
        <w:trPr>
          <w:jc w:val="center"/>
          <w:trHeight w:val="700"/>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三年投标总报价（人民币，大写）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color w:val="auto"/>
                <w:szCs w:val="20"/>
                <w:highlight w:val="none"/>
              </w:rPr>
            </w:r>
            <w:r/>
          </w:p>
        </w:tc>
      </w:tr>
    </w:tbl>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70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70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707"/>
        <w:ind w:firstLine="480"/>
        <w:jc w:val="both"/>
        <w:keepLines w:val="0"/>
        <w:keepNext w:val="0"/>
        <w:pageBreakBefore w:val="0"/>
        <w:spacing w:before="0" w:beforeAutospacing="0" w:after="0" w:afterAutospacing="0" w:line="360" w:lineRule="auto"/>
        <w:widowControl/>
        <w:rPr>
          <w:rFonts w:hint="eastAsia"/>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ind w:firstLine="48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3.本项目实行总价与年度双重限价控制。投标总报价不得高于最高限价412万元；同时，第一年报价不得高于第一年控制价145万元，第二年养护资金不得高于137万元，第三年养护资金不得高于130万元，凡超出上述任一限额的投标报价，均作无效标处理</w:t>
      </w:r>
      <w:r>
        <w:rPr>
          <w:rFonts w:hint="eastAsia" w:ascii="宋体" w:hAnsi="宋体" w:eastAsia="宋体" w:cs="宋体"/>
          <w:color w:val="auto"/>
          <w:sz w:val="24"/>
          <w:szCs w:val="24"/>
          <w:highlight w:val="none"/>
        </w:rPr>
        <w:t xml:space="preserve">。</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921"/>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w:t>
      </w:r>
      <w:r>
        <w:rPr>
          <w:rFonts w:hint="eastAsia" w:cs="宋体"/>
          <w:b/>
          <w:bCs/>
          <w:color w:val="auto"/>
          <w:spacing w:val="8"/>
          <w:sz w:val="28"/>
          <w:szCs w:val="28"/>
          <w:highlight w:val="none"/>
          <w:lang w:eastAsia="zh-CN"/>
        </w:rPr>
        <w:t xml:space="preserve">投标人</w:t>
      </w:r>
      <w:r>
        <w:rPr>
          <w:rFonts w:hint="eastAsia" w:ascii="宋体" w:hAnsi="宋体" w:eastAsia="宋体" w:cs="宋体"/>
          <w:b/>
          <w:bCs/>
          <w:color w:val="auto"/>
          <w:spacing w:val="8"/>
          <w:sz w:val="28"/>
          <w:szCs w:val="28"/>
          <w:highlight w:val="none"/>
          <w:lang w:eastAsia="zh-CN"/>
        </w:rPr>
        <w:t xml:space="preserve">信用记录表暨信用承诺书</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以下表格仅供参考，以系统中打印的格式为准</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89"/>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信用承诺</w:t>
            </w:r>
            <w:r/>
          </w:p>
        </w:tc>
        <w:tc>
          <w:tcPr>
            <w:gridSpan w:val="3"/>
            <w:tcW w:w="7125" w:type="dxa"/>
            <w:vAlign w:val="center"/>
            <w:textDirection w:val="lrTb"/>
            <w:noWrap w:val="false"/>
          </w:tcPr>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我公司自愿参加贵中心（</w:t>
            </w:r>
            <w:r>
              <w:rPr>
                <w:rFonts w:hint="eastAsia" w:ascii="宋体" w:hAnsi="宋体" w:eastAsia="宋体" w:cs="宋体"/>
                <w:color w:val="auto"/>
                <w:sz w:val="24"/>
                <w:szCs w:val="24"/>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4"/>
                <w:szCs w:val="24"/>
                <w:highlight w:val="none"/>
                <w:lang w:val="en-US" w:eastAsia="zh-CN"/>
              </w:rPr>
              <w:t xml:space="preserve">愿</w:t>
            </w:r>
            <w:r>
              <w:rPr>
                <w:rFonts w:hint="eastAsia" w:ascii="宋体" w:hAnsi="宋体" w:eastAsia="宋体" w:cs="宋体"/>
                <w:color w:val="auto"/>
                <w:sz w:val="24"/>
                <w:szCs w:val="24"/>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名称（盖章）：</w:t>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法定代表人（签字）：</w:t>
            </w:r>
            <w:r/>
          </w:p>
          <w:p>
            <w:pPr>
              <w:ind w:firstLine="384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年   月   日 </w:t>
            </w:r>
            <w:r/>
          </w:p>
        </w:tc>
      </w:tr>
    </w:tbl>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r>
      <w:r/>
    </w:p>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br w:type="page" w:clear="all"/>
      </w:r>
      <w:r/>
    </w:p>
    <w:p>
      <w:pPr>
        <w:ind w:right="0"/>
        <w:keepLines w:val="0"/>
        <w:keepNext w:val="0"/>
        <w:pageBreakBefore w:val="0"/>
        <w:spacing w:line="440" w:lineRule="exact"/>
        <w:widowControl w:val="off"/>
        <w:rPr>
          <w:rFonts w:hint="eastAsia" w:ascii="宋体" w:hAnsi="宋体" w:eastAsia="宋体" w:cs="宋体"/>
          <w:b/>
          <w:bCs/>
          <w:color w:val="auto"/>
          <w:spacing w:val="8"/>
          <w:sz w:val="28"/>
          <w:szCs w:val="28"/>
          <w:highlight w:val="none"/>
          <w:lang w:val="en-US" w:eastAsia="zh-CN"/>
        </w:rPr>
      </w:pP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公章。）</w:t>
      </w:r>
      <w:r/>
    </w:p>
    <w:p>
      <w:pPr>
        <w:ind w:firstLine="492"/>
        <w:spacing w:line="460" w:lineRule="exact"/>
        <w:rPr>
          <w:color w:val="auto"/>
          <w:sz w:val="24"/>
          <w:szCs w:val="24"/>
          <w:highlight w:val="none"/>
        </w:rPr>
      </w:pPr>
      <w:r>
        <w:rPr>
          <w:color w:val="auto"/>
          <w:sz w:val="24"/>
          <w:szCs w:val="24"/>
          <w:highlight w:val="none"/>
        </w:rPr>
      </w:r>
      <w:r/>
    </w:p>
    <w:p>
      <w:pPr>
        <w:pStyle w:val="92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color w:val="auto"/>
          <w:sz w:val="24"/>
          <w:szCs w:val="24"/>
          <w:highlight w:val="none"/>
          <w:lang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4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jc w:val="both"/>
        <w:spacing w:line="360" w:lineRule="auto"/>
        <w:rPr>
          <w:rFonts w:hint="eastAsia"/>
          <w:b/>
          <w:bCs/>
          <w:color w:val="auto"/>
          <w:sz w:val="24"/>
          <w:szCs w:val="24"/>
          <w:highlight w:val="none"/>
          <w:lang w:val="en-US" w:eastAsia="zh-CN"/>
        </w:rPr>
      </w:pPr>
      <w:r>
        <w:rPr>
          <w:rFonts w:hint="eastAsia"/>
          <w:color w:val="auto"/>
          <w:highlight w:val="none"/>
          <w:lang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二</w:t>
      </w:r>
      <w:r>
        <w:rPr>
          <w:rFonts w:hint="eastAsia" w:ascii="宋体" w:hAnsi="宋体" w:eastAsia="宋体" w:cs="宋体"/>
          <w:b/>
          <w:bCs/>
          <w:color w:val="auto"/>
          <w:spacing w:val="8"/>
          <w:sz w:val="28"/>
          <w:szCs w:val="28"/>
          <w:highlight w:val="none"/>
          <w:lang w:val="en-US" w:eastAsia="zh-CN"/>
        </w:rPr>
        <w:t xml:space="preserve">（不适用信用承诺的单位提供以下证明材料）</w:t>
      </w:r>
      <w:r/>
    </w:p>
    <w:p>
      <w:pPr>
        <w:pStyle w:val="878"/>
        <w:ind w:left="0" w:firstLine="0"/>
        <w:rPr>
          <w:rFonts w:hint="default" w:ascii="宋体" w:hAnsi="宋体" w:eastAsia="宋体"/>
          <w:b/>
          <w:bCs/>
          <w:color w:val="auto"/>
          <w:sz w:val="22"/>
          <w:szCs w:val="22"/>
          <w:highlight w:val="none"/>
          <w:lang w:val="en-US" w:eastAsia="zh-CN"/>
        </w:rPr>
      </w:pPr>
      <w:r>
        <w:rPr>
          <w:rFonts w:hint="eastAsia" w:ascii="宋体" w:hAnsi="宋体" w:eastAsia="宋体"/>
          <w:b/>
          <w:bCs/>
          <w:color w:val="auto"/>
          <w:sz w:val="22"/>
          <w:szCs w:val="22"/>
          <w:highlight w:val="none"/>
          <w:lang w:val="en-US" w:eastAsia="zh-CN"/>
        </w:rPr>
        <w:t xml:space="preserve">(注：</w:t>
      </w:r>
      <w:r>
        <w:rPr>
          <w:rFonts w:hint="eastAsia"/>
          <w:b/>
          <w:bCs/>
          <w:color w:val="auto"/>
          <w:sz w:val="22"/>
          <w:szCs w:val="22"/>
          <w:highlight w:val="none"/>
          <w:lang w:val="en-US" w:eastAsia="zh-CN"/>
        </w:rPr>
        <w:t xml:space="preserve">投标人</w:t>
      </w:r>
      <w:r>
        <w:rPr>
          <w:rFonts w:hint="eastAsia" w:ascii="宋体" w:hAnsi="宋体" w:eastAsia="宋体"/>
          <w:b/>
          <w:bCs/>
          <w:color w:val="auto"/>
          <w:sz w:val="22"/>
          <w:szCs w:val="22"/>
          <w:highlight w:val="none"/>
          <w:lang w:val="en-US" w:eastAsia="zh-CN"/>
        </w:rPr>
        <w:t xml:space="preserve">不适用信用承诺</w:t>
      </w:r>
      <w:r>
        <w:rPr>
          <w:rFonts w:hint="eastAsia"/>
          <w:b/>
          <w:bCs/>
          <w:color w:val="auto"/>
          <w:sz w:val="22"/>
          <w:szCs w:val="22"/>
          <w:highlight w:val="none"/>
          <w:lang w:val="en-US" w:eastAsia="zh-CN"/>
        </w:rPr>
        <w:t xml:space="preserve">的</w:t>
      </w:r>
      <w:r>
        <w:rPr>
          <w:rFonts w:hint="eastAsia" w:ascii="宋体" w:hAnsi="宋体" w:eastAsia="宋体"/>
          <w:b/>
          <w:bCs/>
          <w:color w:val="auto"/>
          <w:sz w:val="22"/>
          <w:szCs w:val="22"/>
          <w:highlight w:val="none"/>
          <w:lang w:val="en-US" w:eastAsia="zh-CN"/>
        </w:rPr>
        <w:t xml:space="preserve">，</w:t>
      </w:r>
      <w:r>
        <w:rPr>
          <w:rFonts w:hint="eastAsia"/>
          <w:b/>
          <w:bCs/>
          <w:color w:val="auto"/>
          <w:sz w:val="22"/>
          <w:szCs w:val="22"/>
          <w:highlight w:val="none"/>
          <w:lang w:val="en-US" w:eastAsia="zh-CN"/>
        </w:rPr>
        <w:t xml:space="preserve">需要在</w:t>
      </w:r>
      <w:r>
        <w:rPr>
          <w:rFonts w:hint="eastAsia" w:ascii="宋体" w:hAnsi="宋体" w:eastAsia="宋体"/>
          <w:b/>
          <w:bCs/>
          <w:color w:val="auto"/>
          <w:sz w:val="22"/>
          <w:szCs w:val="22"/>
          <w:highlight w:val="none"/>
          <w:lang w:val="en-US" w:eastAsia="zh-CN"/>
        </w:rPr>
        <w:t xml:space="preserve">资格审查环节</w:t>
      </w:r>
      <w:r>
        <w:rPr>
          <w:rFonts w:hint="eastAsia"/>
          <w:b/>
          <w:bCs/>
          <w:color w:val="auto"/>
          <w:sz w:val="22"/>
          <w:szCs w:val="22"/>
          <w:highlight w:val="none"/>
          <w:lang w:val="en-US" w:eastAsia="zh-CN"/>
        </w:rPr>
        <w:t xml:space="preserve">按照以下要求准备材料编入投标文件中。</w:t>
      </w:r>
      <w:r>
        <w:rPr>
          <w:rFonts w:hint="eastAsia" w:ascii="宋体" w:hAnsi="宋体" w:eastAsia="宋体"/>
          <w:b/>
          <w:bCs/>
          <w:color w:val="auto"/>
          <w:sz w:val="22"/>
          <w:szCs w:val="22"/>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color w:val="auto"/>
          <w:highlight w:val="none"/>
          <w:lang w:eastAsia="zh-CN"/>
        </w:rPr>
      </w:pPr>
      <w:r>
        <w:rPr>
          <w:rFonts w:hint="eastAsia"/>
          <w:color w:val="auto"/>
          <w:highlight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五、</w:t>
      </w:r>
      <w:bookmarkEnd w:id="395"/>
      <w:r>
        <w:rPr>
          <w:rFonts w:hint="eastAsia" w:ascii="黑体" w:hAnsi="黑体" w:eastAsia="黑体" w:cs="Times New Roman"/>
          <w:i w:val="0"/>
          <w:color w:val="auto"/>
          <w:sz w:val="32"/>
          <w:szCs w:val="32"/>
          <w:highlight w:val="none"/>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2" w:name="_Toc24685"/>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bookmarkEnd w:id="402"/>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color w:val="auto"/>
                <w:highlight w:val="none"/>
              </w:rPr>
            </w:pPr>
            <w:r>
              <w:rPr>
                <w:color w:val="auto"/>
                <w:highlight w:val="none"/>
              </w:rPr>
            </w:r>
            <w:r/>
          </w:p>
          <w:p>
            <w:pPr>
              <w:pStyle w:val="710"/>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0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0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须对招标文件技术要求中的实质性要求（打“★”内容）及其他要求做出明确响应，否则视为无效投标。</w:t>
      </w:r>
      <w:r/>
    </w:p>
    <w:p>
      <w:pPr>
        <w:pStyle w:val="70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六、商务要求响应及偏离表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3" w:name="_Toc26214"/>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bookmarkEnd w:id="403"/>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404" w:name="_Hlt24879081"/>
            <w:r/>
            <w:bookmarkEnd w:id="404"/>
            <w:r/>
            <w:bookmarkStart w:id="405" w:name="_Hlt26580838"/>
            <w:r/>
            <w:bookmarkEnd w:id="405"/>
            <w:r/>
            <w:bookmarkStart w:id="406" w:name="_Hlt26609391"/>
            <w:r/>
            <w:bookmarkEnd w:id="406"/>
            <w:r/>
            <w:bookmarkStart w:id="407" w:name="_Hlt26671372"/>
            <w:r/>
            <w:bookmarkEnd w:id="407"/>
            <w:r/>
            <w:bookmarkStart w:id="408" w:name="_Hlt26782999"/>
            <w:r/>
            <w:bookmarkEnd w:id="408"/>
            <w:r/>
            <w:bookmarkStart w:id="409" w:name="_Hlt26671343"/>
            <w:r/>
            <w:bookmarkEnd w:id="409"/>
            <w:r/>
            <w:bookmarkStart w:id="410" w:name="_Hlt26955064"/>
            <w:r/>
            <w:bookmarkEnd w:id="410"/>
            <w:r/>
            <w:bookmarkStart w:id="411" w:name="_Hlt26955056"/>
            <w:r/>
            <w:bookmarkEnd w:id="411"/>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color w:val="auto"/>
                <w:highlight w:val="none"/>
              </w:rPr>
            </w:pPr>
            <w:r>
              <w:rPr>
                <w:color w:val="auto"/>
                <w:highlight w:val="none"/>
              </w:rPr>
            </w:r>
            <w:r/>
          </w:p>
          <w:p>
            <w:pPr>
              <w:pStyle w:val="710"/>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0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0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0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须对招标文件商务要求中的实质性要求（打“★”内容）做出明确响应，否则视为无效投标。</w:t>
      </w:r>
      <w:r/>
    </w:p>
    <w:p>
      <w:pPr>
        <w:pStyle w:val="70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23"/>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360" w:lineRule="auto"/>
        <w:widowControl/>
        <w:rPr>
          <w:rFonts w:hint="eastAsia" w:ascii="宋体" w:hAnsi="宋体" w:eastAsia="宋体" w:cs="宋体"/>
          <w:b/>
          <w:bCs/>
          <w:color w:val="auto"/>
          <w:spacing w:val="8"/>
          <w:sz w:val="24"/>
          <w:szCs w:val="24"/>
          <w:highlight w:val="none"/>
          <w:lang w:eastAsia="zh-CN"/>
        </w:rPr>
        <w:outlineLvl w:val="1"/>
      </w:pPr>
      <w:r>
        <w:rPr>
          <w:rFonts w:hint="eastAsia" w:ascii="宋体" w:hAnsi="宋体" w:cs="仿宋"/>
          <w:b/>
          <w:bCs/>
          <w:color w:val="auto"/>
          <w:sz w:val="32"/>
          <w:szCs w:val="32"/>
          <w:highlight w:val="none"/>
        </w:rPr>
        <w:br w:type="page" w:clear="all"/>
      </w:r>
      <w:bookmarkStart w:id="412" w:name="_Toc8537"/>
      <w:r>
        <w:rPr>
          <w:rFonts w:hint="eastAsia" w:cs="宋体"/>
          <w:b/>
          <w:bCs/>
          <w:color w:val="auto"/>
          <w:spacing w:val="8"/>
          <w:sz w:val="28"/>
          <w:szCs w:val="28"/>
          <w:highlight w:val="none"/>
          <w:lang w:val="en-US" w:eastAsia="zh-CN"/>
        </w:rPr>
        <w:t xml:space="preserve">七、类似业绩情况表</w:t>
      </w:r>
      <w:bookmarkEnd w:id="412"/>
      <w:r/>
      <w:r/>
    </w:p>
    <w:p>
      <w:pPr>
        <w:jc w:val="center"/>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汤泉街道2026-2029年度道路绿化管养服务采购项目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680"/>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spacing w:line="360" w:lineRule="auto"/>
        <w:widowControl/>
        <w:rPr>
          <w:rFonts w:hint="eastAsia" w:ascii="宋体" w:hAnsi="宋体" w:eastAsia="宋体" w:cs="宋体"/>
          <w:b/>
          <w:bCs/>
          <w:color w:val="auto"/>
          <w:spacing w:val="8"/>
          <w:sz w:val="24"/>
          <w:szCs w:val="24"/>
          <w:highlight w:val="none"/>
          <w:lang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八、项目人员配置表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汤泉街道2026-2029年度道路绿化管养服务采购项目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680"/>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年限</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文件要求及评分标准的要求，提供证明材料等，附后；如果行数不够，请自行增加。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spacing w:line="360" w:lineRule="auto"/>
        <w:widowControl/>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 xml:space="preserve">九、投入本项目的车辆及主要设备</w:t>
      </w:r>
      <w:r/>
    </w:p>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投入本项目的车辆及主要设备</w:t>
      </w:r>
      <w:r>
        <w:rPr>
          <w:rFonts w:hint="eastAsia" w:ascii="宋体" w:hAnsi="宋体" w:eastAsia="宋体" w:cs="宋体"/>
          <w:b w:val="0"/>
          <w:bCs w:val="0"/>
          <w:color w:val="auto"/>
          <w:sz w:val="24"/>
          <w:szCs w:val="24"/>
          <w:highlight w:val="none"/>
        </w:rPr>
        <w:t xml:space="preserve">的数量、型号种类、车辆设备的所有权等</w:t>
      </w:r>
      <w:r/>
    </w:p>
    <w:tbl>
      <w:tblPr>
        <w:tblStyle w:val="680"/>
        <w:tblW w:w="9681" w:type="dxa"/>
        <w:jc w:val="center"/>
        <w:tblLayout w:type="fixed"/>
        <w:tblCellMar>
          <w:left w:w="15" w:type="dxa"/>
          <w:top w:w="15" w:type="dxa"/>
          <w:right w:w="15" w:type="dxa"/>
          <w:bottom w:w="15" w:type="dxa"/>
        </w:tblCellMar>
        <w:tblLook w:val="04A0" w:firstRow="1" w:lastRow="0" w:firstColumn="1" w:lastColumn="0" w:noHBand="0" w:noVBand="1"/>
      </w:tblPr>
      <w:tblGrid>
        <w:gridCol w:w="2121"/>
        <w:gridCol w:w="1140"/>
        <w:gridCol w:w="2221"/>
        <w:gridCol w:w="3040"/>
        <w:gridCol w:w="1159"/>
      </w:tblGrid>
      <w:tr>
        <w:trPr>
          <w:jc w:val="center"/>
          <w:trHeight w:val="60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000000" w:sz="4" w:space="0"/>
              <w:left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型号种类</w:t>
            </w:r>
            <w:r/>
          </w:p>
        </w:tc>
        <w:tc>
          <w:tcPr>
            <w:tcBorders>
              <w:top w:val="single" w:color="000000" w:sz="4" w:space="0"/>
              <w:left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车辆设备的所有权</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自有/租赁</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文件评分标准的要求，提供证明材料等，附后；如果行数不够，请自行增加。</w:t>
      </w:r>
      <w:r/>
    </w:p>
    <w:p>
      <w:pPr>
        <w:jc w:val="left"/>
        <w:spacing w:line="360" w:lineRule="auto"/>
        <w:widowControl/>
        <w:rPr>
          <w:rFonts w:hint="default" w:ascii="宋体" w:hAnsi="宋体" w:eastAsia="宋体" w:cs="宋体"/>
          <w:b/>
          <w:bCs/>
          <w:color w:val="auto"/>
          <w:spacing w:val="8"/>
          <w:sz w:val="28"/>
          <w:szCs w:val="28"/>
          <w:highlight w:val="none"/>
          <w:lang w:val="en-US" w:eastAsia="zh-CN"/>
        </w:rPr>
        <w:sectPr>
          <w:footnotePr/>
          <w:endnotePr/>
          <w:type w:val="nextPage"/>
          <w:pgSz w:w="12240" w:h="15840" w:orient="portrait"/>
          <w:pgMar w:top="1134" w:right="1191" w:bottom="1134" w:left="1191" w:header="720" w:footer="720" w:gutter="0"/>
          <w:cols w:num="1" w:sep="0" w:space="0" w:equalWidth="1"/>
          <w:docGrid w:linePitch="360"/>
        </w:sect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宋体" w:hAnsi="宋体" w:eastAsia="宋体" w:cs="宋体"/>
          <w:b/>
          <w:bCs/>
          <w:color w:val="auto"/>
          <w:spacing w:val="8"/>
          <w:sz w:val="28"/>
          <w:szCs w:val="28"/>
          <w:highlight w:val="none"/>
          <w:lang w:val="en-US" w:eastAsia="zh-CN"/>
        </w:rPr>
        <w:t xml:space="preserve">十、</w:t>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认为有必要提供的其它材料</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十一、中小企业声明函</w:t>
      </w:r>
      <w:r>
        <w:rPr>
          <w:rFonts w:hint="eastAsia" w:ascii="黑体" w:hAnsi="黑体" w:eastAsia="黑体" w:cs="Times New Roman"/>
          <w:i w:val="0"/>
          <w:iCs w:val="0"/>
          <w:color w:val="auto"/>
          <w:sz w:val="32"/>
          <w:szCs w:val="32"/>
          <w:highlight w:val="none"/>
          <w:u w:val="none"/>
          <w:lang w:val="en-US" w:eastAsia="zh-CN"/>
        </w:rPr>
        <w:t xml:space="preserve">（</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13" w:name="_Toc472"/>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bookmarkEnd w:id="413"/>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服务全部由符合政策的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23"/>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u w:val="none"/>
          <w:lang w:val="en-US" w:eastAsia="zh-CN"/>
        </w:rPr>
        <w:t xml:space="preserve">内打“√”。</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w:t>
      </w:r>
      <w:r>
        <w:rPr>
          <w:rFonts w:hint="default" w:ascii="宋体" w:hAnsi="宋体" w:eastAsia="宋体" w:cs="Times New Roman"/>
          <w:color w:val="auto"/>
          <w:sz w:val="24"/>
          <w:szCs w:val="24"/>
          <w:highlight w:val="none"/>
          <w:lang w:val="en-US" w:eastAsia="zh-CN"/>
        </w:rPr>
        <w:t xml:space="preserve">服务</w:t>
      </w:r>
      <w:r>
        <w:rPr>
          <w:rFonts w:hint="eastAsia" w:ascii="宋体" w:hAnsi="宋体" w:eastAsia="宋体" w:cs="Times New Roman"/>
          <w:color w:val="auto"/>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十二、</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23"/>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eastAsia="zh-CN"/>
        </w:rPr>
        <w:t xml:space="preserve">作</w:t>
      </w:r>
      <w:r>
        <w:rPr>
          <w:rFonts w:hint="eastAsia" w:ascii="宋体" w:hAnsi="宋体"/>
          <w:color w:val="auto"/>
          <w:sz w:val="24"/>
          <w:highlight w:val="none"/>
        </w:rPr>
        <w:t xml:space="preserve">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十三、联合体协议（如有）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9"/>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71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23"/>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w:t>
      </w:r>
      <w:r>
        <w:rPr>
          <w:rFonts w:hint="eastAsia" w:ascii="方正黑体_GBK" w:hAnsi="方正黑体_GBK" w:eastAsia="方正黑体_GBK" w:cs="方正黑体_GBK"/>
          <w:bCs/>
          <w:color w:val="auto"/>
          <w:sz w:val="24"/>
          <w:szCs w:val="24"/>
          <w:highlight w:val="none"/>
          <w:lang w:eastAsia="zh-CN"/>
        </w:rPr>
        <w:t xml:space="preserve">投标人</w:t>
      </w:r>
      <w:r>
        <w:rPr>
          <w:rFonts w:hint="eastAsia" w:ascii="方正黑体_GBK" w:hAnsi="方正黑体_GBK" w:eastAsia="方正黑体_GBK" w:cs="方正黑体_GBK"/>
          <w:bCs/>
          <w:color w:val="auto"/>
          <w:sz w:val="24"/>
          <w:szCs w:val="24"/>
          <w:highlight w:val="none"/>
        </w:rPr>
        <w:t xml:space="preserve">基本信息</w:t>
      </w:r>
      <w:r/>
    </w:p>
    <w:p>
      <w:pPr>
        <w:spacing w:line="360" w:lineRule="auto"/>
        <w:rPr>
          <w:rFonts w:ascii="宋体" w:hAnsi="宋体" w:cs="仿宋"/>
          <w:color w:val="auto"/>
          <w:sz w:val="24"/>
          <w:szCs w:val="24"/>
          <w:highlight w:val="none"/>
          <w:u w:val="single"/>
        </w:rPr>
      </w:pPr>
      <w:r>
        <w:rPr>
          <w:rFonts w:hint="eastAsia" w:cs="仿宋"/>
          <w:color w:val="auto"/>
          <w:sz w:val="24"/>
          <w:szCs w:val="24"/>
          <w:highlight w:val="none"/>
          <w:lang w:eastAsia="zh-CN"/>
        </w:rPr>
        <w:t xml:space="preserve">投标人</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w:t>
      </w:r>
      <w:r>
        <w:rPr>
          <w:rFonts w:hint="eastAsia" w:cs="仿宋"/>
          <w:color w:val="auto"/>
          <w:sz w:val="24"/>
          <w:szCs w:val="24"/>
          <w:highlight w:val="none"/>
          <w:lang w:eastAsia="zh-CN"/>
        </w:rPr>
        <w:t xml:space="preserve">投标人</w:t>
      </w:r>
      <w:r>
        <w:rPr>
          <w:rFonts w:hint="eastAsia" w:ascii="宋体" w:hAnsi="宋体" w:eastAsia="宋体" w:cs="仿宋"/>
          <w:color w:val="auto"/>
          <w:sz w:val="24"/>
          <w:szCs w:val="24"/>
          <w:highlight w:val="none"/>
          <w:lang w:eastAsia="zh-CN"/>
        </w:rPr>
        <w:t xml:space="preserve">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cs="仿宋"/>
          <w:b w:val="0"/>
          <w:bCs w:val="0"/>
          <w:color w:val="auto"/>
          <w:sz w:val="24"/>
          <w:szCs w:val="24"/>
          <w:highlight w:val="none"/>
          <w:lang w:val="zh-CN" w:eastAsia="zh-CN"/>
        </w:rPr>
        <w:t xml:space="preserve">投标人</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672"/>
        <w:rPr>
          <w:rFonts w:hint="eastAsia"/>
          <w:color w:val="auto"/>
          <w:highlight w:val="none"/>
          <w:lang w:val="en-US" w:eastAsia="zh-CN"/>
        </w:rPr>
      </w:pPr>
      <w:r>
        <w:rPr>
          <w:rFonts w:hint="eastAsia"/>
          <w:color w:val="auto"/>
          <w:highlight w:val="none"/>
          <w:lang w:val="en-US" w:eastAsia="zh-CN"/>
        </w:rPr>
      </w:r>
      <w:r/>
    </w:p>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_GB2312">
    <w:panose1 w:val="02010609060101010101"/>
  </w:font>
  <w:font w:name="Verdana">
    <w:panose1 w:val="020B0604030504040204"/>
  </w:font>
  <w:font w:name="Symbol">
    <w:panose1 w:val="05050102010706020507"/>
  </w:font>
  <w:font w:name="Wingdings">
    <w:panose1 w:val="05000000000000000000"/>
  </w:font>
  <w:font w:name="方正楷体_GBK">
    <w:panose1 w:val="020B0503020202020204"/>
  </w:font>
  <w:font w:name="仿宋">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方正仿宋_GBK">
    <w:panose1 w:val="020B0503020202020204"/>
  </w:font>
  <w:font w:name="方正黑体_GBK">
    <w:panose1 w:val="020B0503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next w:val="681"/>
    <w:link w:val="914"/>
    <w:uiPriority w:val="0"/>
    <w:qFormat/>
    <w:pPr>
      <w:widowControl w:val="off"/>
    </w:pPr>
    <w:rPr>
      <w:rFonts w:hint="default" w:ascii="宋体" w:hAnsi="宋体" w:eastAsia="宋体" w:cs="宋体"/>
      <w:sz w:val="22"/>
      <w:szCs w:val="22"/>
      <w:lang w:val="en-US" w:eastAsia="en-US" w:bidi="ar-SA"/>
    </w:rPr>
  </w:style>
  <w:style w:type="paragraph" w:styleId="670">
    <w:name w:val="Heading 1"/>
    <w:basedOn w:val="669"/>
    <w:next w:val="669"/>
    <w:link w:val="875"/>
    <w:uiPriority w:val="99"/>
    <w:qFormat/>
    <w:pPr>
      <w:ind w:left="100"/>
      <w:spacing w:before="39"/>
      <w:outlineLvl w:val="0"/>
    </w:pPr>
    <w:rPr>
      <w:sz w:val="27"/>
      <w:szCs w:val="27"/>
    </w:rPr>
  </w:style>
  <w:style w:type="paragraph" w:styleId="671">
    <w:name w:val="Heading 2"/>
    <w:basedOn w:val="669"/>
    <w:next w:val="669"/>
    <w:link w:val="882"/>
    <w:uiPriority w:val="99"/>
    <w:qFormat/>
    <w:pPr>
      <w:ind w:left="100"/>
      <w:spacing w:before="54"/>
      <w:outlineLvl w:val="1"/>
    </w:pPr>
    <w:rPr>
      <w:sz w:val="24"/>
      <w:szCs w:val="24"/>
    </w:rPr>
  </w:style>
  <w:style w:type="paragraph" w:styleId="672">
    <w:name w:val="Heading 3"/>
    <w:basedOn w:val="669"/>
    <w:next w:val="682"/>
    <w:link w:val="884"/>
    <w:uiPriority w:val="99"/>
    <w:qFormat/>
    <w:pPr>
      <w:ind w:left="521"/>
      <w:spacing w:before="60"/>
      <w:outlineLvl w:val="2"/>
    </w:pPr>
    <w:rPr>
      <w:sz w:val="21"/>
      <w:szCs w:val="21"/>
    </w:rPr>
  </w:style>
  <w:style w:type="paragraph" w:styleId="673">
    <w:name w:val="Heading 4"/>
    <w:basedOn w:val="669"/>
    <w:next w:val="682"/>
    <w:link w:val="885"/>
    <w:uiPriority w:val="99"/>
    <w:qFormat/>
    <w:pPr>
      <w:keepLines/>
      <w:keepNext/>
      <w:spacing w:before="280" w:after="290" w:line="376" w:lineRule="auto"/>
      <w:outlineLvl w:val="3"/>
    </w:pPr>
    <w:rPr>
      <w:rFonts w:ascii="Cambria" w:hAnsi="Cambria" w:cs="Cambria"/>
      <w:b/>
      <w:bCs/>
      <w:sz w:val="28"/>
      <w:szCs w:val="28"/>
    </w:rPr>
  </w:style>
  <w:style w:type="paragraph" w:styleId="674">
    <w:name w:val="Heading 5"/>
    <w:basedOn w:val="669"/>
    <w:next w:val="669"/>
    <w:link w:val="728"/>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669"/>
    <w:next w:val="669"/>
    <w:link w:val="729"/>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731"/>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732"/>
    <w:uiPriority w:val="9"/>
    <w:unhideWhenUsed/>
    <w:qFormat/>
    <w:pPr>
      <w:keepLines/>
      <w:keepNext/>
      <w:spacing w:before="320" w:after="200"/>
      <w:outlineLvl w:val="8"/>
    </w:pPr>
    <w:rPr>
      <w:rFonts w:ascii="Arial" w:hAnsi="Arial" w:eastAsia="Arial" w:cs="Arial"/>
      <w:i/>
      <w:iCs/>
      <w:sz w:val="21"/>
      <w:szCs w:val="21"/>
    </w:rPr>
  </w:style>
  <w:style w:type="character" w:styleId="679" w:default="1">
    <w:name w:val="Default Paragraph Font"/>
    <w:uiPriority w:val="1"/>
    <w:unhideWhenUsed/>
    <w:qFormat/>
  </w:style>
  <w:style w:type="table" w:styleId="680" w:default="1">
    <w:name w:val="Normal Table"/>
    <w:uiPriority w:val="99"/>
    <w:unhideWhenUsed/>
    <w:qFormat/>
    <w:tblPr>
      <w:tblCellMar>
        <w:left w:w="108" w:type="dxa"/>
        <w:top w:w="0" w:type="dxa"/>
        <w:right w:w="108" w:type="dxa"/>
        <w:bottom w:w="0" w:type="dxa"/>
      </w:tblCellMar>
    </w:tblPr>
  </w:style>
  <w:style w:type="paragraph" w:styleId="681">
    <w:name w:val="Body Text"/>
    <w:basedOn w:val="669"/>
    <w:link w:val="888"/>
    <w:uiPriority w:val="1"/>
    <w:qFormat/>
    <w:pPr>
      <w:ind w:left="100"/>
      <w:spacing w:before="129"/>
    </w:pPr>
    <w:rPr>
      <w:sz w:val="18"/>
      <w:szCs w:val="18"/>
    </w:rPr>
  </w:style>
  <w:style w:type="paragraph" w:styleId="682">
    <w:name w:val="Normal Indent"/>
    <w:basedOn w:val="669"/>
    <w:link w:val="886"/>
    <w:uiPriority w:val="99"/>
    <w:qFormat/>
    <w:pPr>
      <w:ind w:firstLine="420"/>
      <w:jc w:val="both"/>
    </w:pPr>
    <w:rPr>
      <w:rFonts w:ascii="Times New Roman" w:hAnsi="Times New Roman" w:cs="Times New Roman"/>
      <w:b/>
      <w:bCs/>
      <w:sz w:val="20"/>
      <w:szCs w:val="20"/>
      <w:lang w:eastAsia="zh-CN"/>
    </w:rPr>
  </w:style>
  <w:style w:type="paragraph" w:styleId="683">
    <w:name w:val="toc 7"/>
    <w:basedOn w:val="669"/>
    <w:next w:val="669"/>
    <w:uiPriority w:val="39"/>
    <w:unhideWhenUsed/>
    <w:qFormat/>
    <w:pPr>
      <w:ind w:left="1701" w:right="0" w:firstLine="0"/>
      <w:spacing w:after="57"/>
    </w:pPr>
  </w:style>
  <w:style w:type="paragraph" w:styleId="684">
    <w:name w:val="Caption"/>
    <w:basedOn w:val="669"/>
    <w:next w:val="6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69"/>
    <w:link w:val="887"/>
    <w:uiPriority w:val="99"/>
    <w:unhideWhenUsed/>
    <w:qFormat/>
  </w:style>
  <w:style w:type="paragraph" w:styleId="686">
    <w:name w:val="Body Text Indent"/>
    <w:basedOn w:val="669"/>
    <w:link w:val="889"/>
    <w:uiPriority w:val="99"/>
    <w:semiHidden/>
    <w:qFormat/>
    <w:pPr>
      <w:ind w:left="420"/>
      <w:spacing w:after="120"/>
    </w:pPr>
  </w:style>
  <w:style w:type="paragraph" w:styleId="687">
    <w:name w:val="index 4"/>
    <w:basedOn w:val="669"/>
    <w:next w:val="669"/>
    <w:uiPriority w:val="99"/>
    <w:qFormat/>
    <w:pPr>
      <w:ind w:left="600"/>
    </w:pPr>
  </w:style>
  <w:style w:type="paragraph" w:styleId="688">
    <w:name w:val="toc 5"/>
    <w:basedOn w:val="669"/>
    <w:next w:val="669"/>
    <w:uiPriority w:val="39"/>
    <w:unhideWhenUsed/>
    <w:qFormat/>
    <w:pPr>
      <w:ind w:left="1134" w:right="0" w:firstLine="0"/>
      <w:spacing w:after="57"/>
    </w:pPr>
  </w:style>
  <w:style w:type="paragraph" w:styleId="689">
    <w:name w:val="toc 3"/>
    <w:basedOn w:val="669"/>
    <w:next w:val="669"/>
    <w:uiPriority w:val="99"/>
    <w:semiHidden/>
    <w:qFormat/>
    <w:pPr>
      <w:ind w:left="440"/>
      <w:spacing w:after="100" w:line="259" w:lineRule="auto"/>
      <w:widowControl/>
    </w:pPr>
    <w:rPr>
      <w:rFonts w:ascii="Calibri" w:hAnsi="Calibri" w:cs="Calibri"/>
      <w:lang w:eastAsia="zh-CN"/>
    </w:rPr>
  </w:style>
  <w:style w:type="paragraph" w:styleId="690">
    <w:name w:val="Plain Text"/>
    <w:basedOn w:val="669"/>
    <w:link w:val="897"/>
    <w:uiPriority w:val="99"/>
    <w:qFormat/>
    <w:pPr>
      <w:jc w:val="both"/>
      <w:spacing w:line="460" w:lineRule="exact"/>
    </w:pPr>
    <w:rPr>
      <w:rFonts w:hAnsi="Courier New" w:cs="Times New Roman"/>
      <w:spacing w:val="10"/>
      <w:sz w:val="21"/>
      <w:szCs w:val="21"/>
    </w:rPr>
  </w:style>
  <w:style w:type="paragraph" w:styleId="691">
    <w:name w:val="toc 8"/>
    <w:basedOn w:val="669"/>
    <w:next w:val="669"/>
    <w:uiPriority w:val="39"/>
    <w:unhideWhenUsed/>
    <w:qFormat/>
    <w:pPr>
      <w:ind w:left="1984" w:right="0" w:firstLine="0"/>
      <w:spacing w:after="57"/>
    </w:pPr>
  </w:style>
  <w:style w:type="paragraph" w:styleId="692">
    <w:name w:val="Date"/>
    <w:basedOn w:val="669"/>
    <w:next w:val="669"/>
    <w:link w:val="898"/>
    <w:uiPriority w:val="99"/>
    <w:qFormat/>
    <w:pPr>
      <w:jc w:val="both"/>
    </w:pPr>
    <w:rPr>
      <w:rFonts w:hAnsi="Calibri" w:cs="Times New Roman"/>
      <w:spacing w:val="12"/>
      <w:sz w:val="24"/>
      <w:szCs w:val="24"/>
    </w:rPr>
  </w:style>
  <w:style w:type="paragraph" w:styleId="693">
    <w:name w:val="Body Text Indent 2"/>
    <w:basedOn w:val="669"/>
    <w:next w:val="669"/>
    <w:uiPriority w:val="0"/>
    <w:qFormat/>
    <w:pPr>
      <w:ind w:firstLine="560"/>
      <w:spacing w:line="560" w:lineRule="exact"/>
    </w:pPr>
    <w:rPr>
      <w:sz w:val="28"/>
    </w:rPr>
  </w:style>
  <w:style w:type="paragraph" w:styleId="694">
    <w:name w:val="endnote text"/>
    <w:basedOn w:val="669"/>
    <w:link w:val="869"/>
    <w:uiPriority w:val="99"/>
    <w:semiHidden/>
    <w:unhideWhenUsed/>
    <w:qFormat/>
    <w:pPr>
      <w:spacing w:after="0" w:line="240" w:lineRule="auto"/>
    </w:pPr>
    <w:rPr>
      <w:sz w:val="20"/>
    </w:rPr>
  </w:style>
  <w:style w:type="paragraph" w:styleId="695">
    <w:name w:val="Balloon Text"/>
    <w:basedOn w:val="669"/>
    <w:link w:val="883"/>
    <w:uiPriority w:val="99"/>
    <w:semiHidden/>
    <w:qFormat/>
    <w:rPr>
      <w:sz w:val="18"/>
      <w:szCs w:val="18"/>
    </w:rPr>
  </w:style>
  <w:style w:type="paragraph" w:styleId="696">
    <w:name w:val="Footer"/>
    <w:basedOn w:val="669"/>
    <w:link w:val="892"/>
    <w:uiPriority w:val="99"/>
    <w:qFormat/>
    <w:pPr>
      <w:tabs>
        <w:tab w:val="center" w:pos="4153" w:leader="none"/>
        <w:tab w:val="right" w:pos="8306" w:leader="none"/>
      </w:tabs>
    </w:pPr>
    <w:rPr>
      <w:sz w:val="18"/>
      <w:szCs w:val="18"/>
    </w:rPr>
  </w:style>
  <w:style w:type="paragraph" w:styleId="697">
    <w:name w:val="envelope return"/>
    <w:basedOn w:val="669"/>
    <w:uiPriority w:val="0"/>
    <w:qFormat/>
    <w:rPr>
      <w:rFonts w:ascii="Arial" w:hAnsi="Arial" w:eastAsia="宋体" w:cs="宋体"/>
    </w:rPr>
  </w:style>
  <w:style w:type="paragraph" w:styleId="698">
    <w:name w:val="Header"/>
    <w:basedOn w:val="669"/>
    <w:link w:val="893"/>
    <w:uiPriority w:val="99"/>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9"/>
    <w:next w:val="669"/>
    <w:uiPriority w:val="39"/>
    <w:qFormat/>
    <w:pPr>
      <w:spacing w:after="100" w:line="360" w:lineRule="auto"/>
      <w:widowControl/>
      <w:tabs>
        <w:tab w:val="right" w:pos="8630" w:leader="dot"/>
      </w:tabs>
    </w:pPr>
    <w:rPr>
      <w:rFonts w:ascii="Calibri" w:hAnsi="Calibri" w:cs="Calibri"/>
      <w:lang w:eastAsia="zh-CN"/>
    </w:rPr>
  </w:style>
  <w:style w:type="paragraph" w:styleId="700">
    <w:name w:val="toc 4"/>
    <w:basedOn w:val="669"/>
    <w:next w:val="669"/>
    <w:uiPriority w:val="39"/>
    <w:unhideWhenUsed/>
    <w:qFormat/>
    <w:pPr>
      <w:ind w:left="850" w:right="0" w:firstLine="0"/>
      <w:spacing w:after="57"/>
    </w:pPr>
  </w:style>
  <w:style w:type="paragraph" w:styleId="701">
    <w:name w:val="Subtitle"/>
    <w:basedOn w:val="669"/>
    <w:next w:val="669"/>
    <w:link w:val="735"/>
    <w:uiPriority w:val="11"/>
    <w:qFormat/>
    <w:pPr>
      <w:spacing w:before="200" w:after="200"/>
    </w:pPr>
    <w:rPr>
      <w:sz w:val="24"/>
      <w:szCs w:val="24"/>
    </w:rPr>
  </w:style>
  <w:style w:type="paragraph" w:styleId="702">
    <w:name w:val="footnote text"/>
    <w:basedOn w:val="669"/>
    <w:link w:val="894"/>
    <w:uiPriority w:val="99"/>
    <w:semiHidden/>
    <w:qFormat/>
    <w:rPr>
      <w:rFonts w:ascii="Times New Roman" w:hAnsi="Times New Roman" w:cs="Times New Roman"/>
      <w:sz w:val="18"/>
      <w:szCs w:val="18"/>
      <w:lang w:eastAsia="zh-CN"/>
    </w:rPr>
  </w:style>
  <w:style w:type="paragraph" w:styleId="703">
    <w:name w:val="toc 6"/>
    <w:basedOn w:val="669"/>
    <w:next w:val="669"/>
    <w:uiPriority w:val="39"/>
    <w:unhideWhenUsed/>
    <w:qFormat/>
    <w:pPr>
      <w:ind w:left="1417" w:right="0" w:firstLine="0"/>
      <w:spacing w:after="57"/>
    </w:pPr>
  </w:style>
  <w:style w:type="paragraph" w:styleId="704">
    <w:name w:val="table of figures"/>
    <w:basedOn w:val="669"/>
    <w:next w:val="669"/>
    <w:uiPriority w:val="99"/>
    <w:unhideWhenUsed/>
    <w:qFormat/>
    <w:pPr>
      <w:spacing w:after="0" w:afterAutospacing="0"/>
    </w:pPr>
  </w:style>
  <w:style w:type="paragraph" w:styleId="705">
    <w:name w:val="toc 2"/>
    <w:basedOn w:val="669"/>
    <w:next w:val="669"/>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06">
    <w:name w:val="toc 9"/>
    <w:basedOn w:val="669"/>
    <w:next w:val="669"/>
    <w:uiPriority w:val="39"/>
    <w:unhideWhenUsed/>
    <w:qFormat/>
    <w:pPr>
      <w:ind w:left="2268" w:right="0" w:firstLine="0"/>
      <w:spacing w:after="57"/>
    </w:pPr>
  </w:style>
  <w:style w:type="paragraph" w:styleId="707">
    <w:name w:val="Normal (Web)"/>
    <w:basedOn w:val="669"/>
    <w:uiPriority w:val="99"/>
    <w:unhideWhenUsed/>
    <w:qFormat/>
    <w:pPr>
      <w:ind w:left="0" w:right="0"/>
      <w:jc w:val="left"/>
      <w:spacing w:before="0" w:beforeAutospacing="1" w:after="0" w:afterAutospacing="1"/>
    </w:pPr>
    <w:rPr>
      <w:sz w:val="24"/>
      <w:lang w:val="en-US" w:eastAsia="zh-CN" w:bidi="ar"/>
    </w:rPr>
  </w:style>
  <w:style w:type="paragraph" w:styleId="708">
    <w:name w:val="Title"/>
    <w:basedOn w:val="669"/>
    <w:link w:val="895"/>
    <w:uiPriority w:val="99"/>
    <w:qFormat/>
    <w:pPr>
      <w:ind w:left="2875"/>
      <w:spacing w:line="930" w:lineRule="exact"/>
    </w:pPr>
    <w:rPr>
      <w:sz w:val="75"/>
      <w:szCs w:val="75"/>
    </w:rPr>
  </w:style>
  <w:style w:type="paragraph" w:styleId="709">
    <w:name w:val="Body Text First Indent"/>
    <w:basedOn w:val="681"/>
    <w:link w:val="896"/>
    <w:uiPriority w:val="99"/>
    <w:unhideWhenUsed/>
    <w:qFormat/>
    <w:pPr>
      <w:ind w:left="0" w:firstLine="420"/>
      <w:spacing w:before="0" w:after="120"/>
    </w:pPr>
    <w:rPr>
      <w:sz w:val="22"/>
      <w:szCs w:val="22"/>
    </w:rPr>
  </w:style>
  <w:style w:type="paragraph" w:styleId="710">
    <w:name w:val="Body Text First Indent 2"/>
    <w:basedOn w:val="686"/>
    <w:next w:val="669"/>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11">
    <w:name w:val="Table Grid"/>
    <w:basedOn w:val="68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79"/>
    <w:uiPriority w:val="99"/>
    <w:qFormat/>
    <w:rPr>
      <w:b/>
      <w:bCs/>
    </w:rPr>
  </w:style>
  <w:style w:type="character" w:styleId="713">
    <w:name w:val="endnote reference"/>
    <w:basedOn w:val="679"/>
    <w:uiPriority w:val="99"/>
    <w:semiHidden/>
    <w:unhideWhenUsed/>
    <w:qFormat/>
    <w:rPr>
      <w:vertAlign w:val="superscript"/>
    </w:rPr>
  </w:style>
  <w:style w:type="character" w:styleId="714">
    <w:name w:val="page number"/>
    <w:uiPriority w:val="0"/>
    <w:qFormat/>
    <w:rPr>
      <w:lang w:val="zh-TW" w:eastAsia="zh-TW"/>
    </w:rPr>
  </w:style>
  <w:style w:type="character" w:styleId="715">
    <w:name w:val="FollowedHyperlink"/>
    <w:uiPriority w:val="99"/>
    <w:unhideWhenUsed/>
    <w:qFormat/>
    <w:rPr>
      <w:color w:val="800080"/>
      <w:u w:val="none"/>
    </w:rPr>
  </w:style>
  <w:style w:type="character" w:styleId="716">
    <w:name w:val="Emphasis"/>
    <w:basedOn w:val="679"/>
    <w:uiPriority w:val="0"/>
    <w:qFormat/>
    <w:rPr>
      <w:i/>
    </w:rPr>
  </w:style>
  <w:style w:type="character" w:styleId="717">
    <w:name w:val="HTML Typewriter"/>
    <w:uiPriority w:val="99"/>
    <w:unhideWhenUsed/>
    <w:qFormat/>
    <w:rPr>
      <w:rFonts w:hint="default" w:ascii="monospace" w:hAnsi="monospace" w:eastAsia="monospace" w:cs="monospace"/>
      <w:sz w:val="20"/>
    </w:rPr>
  </w:style>
  <w:style w:type="character" w:styleId="718">
    <w:name w:val="HTML Acronym"/>
    <w:uiPriority w:val="99"/>
    <w:unhideWhenUsed/>
    <w:qFormat/>
  </w:style>
  <w:style w:type="character" w:styleId="719">
    <w:name w:val="Hyperlink"/>
    <w:uiPriority w:val="99"/>
    <w:qFormat/>
    <w:rPr>
      <w:color w:val="0000ff"/>
      <w:u w:val="none"/>
    </w:rPr>
  </w:style>
  <w:style w:type="character" w:styleId="720">
    <w:name w:val="HTML Code"/>
    <w:uiPriority w:val="99"/>
    <w:unhideWhenUsed/>
    <w:qFormat/>
    <w:rPr>
      <w:rFonts w:hint="default" w:ascii="monospace" w:hAnsi="monospace" w:eastAsia="monospace" w:cs="monospace"/>
      <w:sz w:val="20"/>
    </w:rPr>
  </w:style>
  <w:style w:type="character" w:styleId="721">
    <w:name w:val="footnote reference"/>
    <w:uiPriority w:val="99"/>
    <w:semiHidden/>
    <w:qFormat/>
    <w:rPr>
      <w:vertAlign w:val="superscript"/>
    </w:rPr>
  </w:style>
  <w:style w:type="character" w:styleId="722">
    <w:name w:val="HTML Keyboard"/>
    <w:uiPriority w:val="99"/>
    <w:unhideWhenUsed/>
    <w:qFormat/>
    <w:rPr>
      <w:rFonts w:ascii="monospace" w:hAnsi="monospace" w:eastAsia="monospace" w:cs="monospace"/>
      <w:sz w:val="20"/>
    </w:rPr>
  </w:style>
  <w:style w:type="character" w:styleId="723">
    <w:name w:val="HTML Sample"/>
    <w:uiPriority w:val="99"/>
    <w:unhideWhenUsed/>
    <w:qFormat/>
    <w:rPr>
      <w:rFonts w:hint="default" w:ascii="monospace" w:hAnsi="monospace" w:eastAsia="monospace" w:cs="monospace"/>
    </w:rPr>
  </w:style>
  <w:style w:type="character" w:styleId="724" w:customStyle="1">
    <w:name w:val="Heading 1 Char"/>
    <w:basedOn w:val="679"/>
    <w:uiPriority w:val="9"/>
    <w:qFormat/>
    <w:rPr>
      <w:rFonts w:ascii="Arial" w:hAnsi="Arial" w:eastAsia="Arial" w:cs="Arial"/>
      <w:sz w:val="40"/>
      <w:szCs w:val="40"/>
    </w:rPr>
  </w:style>
  <w:style w:type="character" w:styleId="725" w:customStyle="1">
    <w:name w:val="Heading 2 Char"/>
    <w:basedOn w:val="679"/>
    <w:uiPriority w:val="9"/>
    <w:qFormat/>
    <w:rPr>
      <w:rFonts w:ascii="Arial" w:hAnsi="Arial" w:eastAsia="Arial" w:cs="Arial"/>
      <w:sz w:val="34"/>
    </w:rPr>
  </w:style>
  <w:style w:type="character" w:styleId="726" w:customStyle="1">
    <w:name w:val="Heading 3 Char"/>
    <w:basedOn w:val="679"/>
    <w:uiPriority w:val="9"/>
    <w:qFormat/>
    <w:rPr>
      <w:rFonts w:ascii="Arial" w:hAnsi="Arial" w:eastAsia="Arial" w:cs="Arial"/>
      <w:sz w:val="30"/>
      <w:szCs w:val="30"/>
    </w:rPr>
  </w:style>
  <w:style w:type="character" w:styleId="727" w:customStyle="1">
    <w:name w:val="Heading 4 Char"/>
    <w:basedOn w:val="679"/>
    <w:uiPriority w:val="9"/>
    <w:qFormat/>
    <w:rPr>
      <w:rFonts w:ascii="Arial" w:hAnsi="Arial" w:eastAsia="Arial" w:cs="Arial"/>
      <w:b/>
      <w:bCs/>
      <w:sz w:val="26"/>
      <w:szCs w:val="26"/>
    </w:rPr>
  </w:style>
  <w:style w:type="character" w:styleId="728" w:customStyle="1">
    <w:name w:val="Heading 5 Char"/>
    <w:basedOn w:val="679"/>
    <w:link w:val="674"/>
    <w:uiPriority w:val="9"/>
    <w:qFormat/>
    <w:rPr>
      <w:rFonts w:ascii="Arial" w:hAnsi="Arial" w:eastAsia="Arial" w:cs="Arial"/>
      <w:b/>
      <w:bCs/>
      <w:sz w:val="24"/>
      <w:szCs w:val="24"/>
    </w:rPr>
  </w:style>
  <w:style w:type="character" w:styleId="729" w:customStyle="1">
    <w:name w:val="Heading 6 Char"/>
    <w:basedOn w:val="679"/>
    <w:link w:val="675"/>
    <w:uiPriority w:val="9"/>
    <w:qFormat/>
    <w:rPr>
      <w:rFonts w:ascii="Arial" w:hAnsi="Arial" w:eastAsia="Arial" w:cs="Arial"/>
      <w:b/>
      <w:bCs/>
      <w:sz w:val="22"/>
      <w:szCs w:val="22"/>
    </w:rPr>
  </w:style>
  <w:style w:type="character" w:styleId="730" w:customStyle="1">
    <w:name w:val="Heading 7 Char"/>
    <w:basedOn w:val="679"/>
    <w:link w:val="676"/>
    <w:uiPriority w:val="9"/>
    <w:qFormat/>
    <w:rPr>
      <w:rFonts w:ascii="Arial" w:hAnsi="Arial" w:eastAsia="Arial" w:cs="Arial"/>
      <w:b/>
      <w:bCs/>
      <w:i/>
      <w:iCs/>
      <w:sz w:val="22"/>
      <w:szCs w:val="22"/>
    </w:rPr>
  </w:style>
  <w:style w:type="character" w:styleId="731" w:customStyle="1">
    <w:name w:val="Heading 8 Char"/>
    <w:basedOn w:val="679"/>
    <w:link w:val="677"/>
    <w:uiPriority w:val="9"/>
    <w:qFormat/>
    <w:rPr>
      <w:rFonts w:ascii="Arial" w:hAnsi="Arial" w:eastAsia="Arial" w:cs="Arial"/>
      <w:i/>
      <w:iCs/>
      <w:sz w:val="22"/>
      <w:szCs w:val="22"/>
    </w:rPr>
  </w:style>
  <w:style w:type="character" w:styleId="732" w:customStyle="1">
    <w:name w:val="Heading 9 Char"/>
    <w:basedOn w:val="679"/>
    <w:link w:val="678"/>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basedOn w:val="679"/>
    <w:uiPriority w:val="10"/>
    <w:rPr>
      <w:sz w:val="48"/>
      <w:szCs w:val="48"/>
    </w:rPr>
  </w:style>
  <w:style w:type="character" w:styleId="735" w:customStyle="1">
    <w:name w:val="Subtitle Char"/>
    <w:basedOn w:val="679"/>
    <w:link w:val="701"/>
    <w:uiPriority w:val="11"/>
    <w:rPr>
      <w:sz w:val="24"/>
      <w:szCs w:val="24"/>
    </w:rPr>
  </w:style>
  <w:style w:type="paragraph" w:styleId="736">
    <w:name w:val="Quote"/>
    <w:basedOn w:val="669"/>
    <w:next w:val="669"/>
    <w:link w:val="737"/>
    <w:uiPriority w:val="29"/>
    <w:qFormat/>
    <w:pPr>
      <w:ind w:left="720" w:right="720"/>
    </w:pPr>
    <w:rPr>
      <w:i/>
    </w:rPr>
  </w:style>
  <w:style w:type="character" w:styleId="737" w:customStyle="1">
    <w:name w:val="Quote Char"/>
    <w:link w:val="736"/>
    <w:uiPriority w:val="29"/>
    <w:rPr>
      <w:i/>
    </w:rPr>
  </w:style>
  <w:style w:type="paragraph" w:styleId="738">
    <w:name w:val="Intense Quote"/>
    <w:basedOn w:val="669"/>
    <w:next w:val="669"/>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rPr>
      <w:i/>
    </w:rPr>
  </w:style>
  <w:style w:type="character" w:styleId="740" w:customStyle="1">
    <w:name w:val="Header Char"/>
    <w:basedOn w:val="679"/>
    <w:uiPriority w:val="99"/>
    <w:qFormat/>
  </w:style>
  <w:style w:type="character" w:styleId="741" w:customStyle="1">
    <w:name w:val="Footer Char"/>
    <w:basedOn w:val="679"/>
    <w:uiPriority w:val="99"/>
    <w:qFormat/>
  </w:style>
  <w:style w:type="character" w:styleId="742" w:customStyle="1">
    <w:name w:val="Caption Char"/>
    <w:uiPriority w:val="99"/>
    <w:qFormat/>
  </w:style>
  <w:style w:type="table" w:styleId="743" w:customStyle="1">
    <w:name w:val="Table Grid Light"/>
    <w:basedOn w:val="68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8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8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8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8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8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8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8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8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8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8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8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8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8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8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8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basedOn w:val="68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8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8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8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8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8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8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8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80"/>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basedOn w:val="68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basedOn w:val="680"/>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basedOn w:val="68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basedOn w:val="680"/>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basedOn w:val="680"/>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basedOn w:val="68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basedOn w:val="68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8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8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8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8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8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basedOn w:val="680"/>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basedOn w:val="68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80"/>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8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80"/>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8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80"/>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80"/>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8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80"/>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80"/>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80"/>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80"/>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80"/>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80"/>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basedOn w:val="68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8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basedOn w:val="680"/>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basedOn w:val="680"/>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basedOn w:val="680"/>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basedOn w:val="680"/>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basedOn w:val="680"/>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basedOn w:val="68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80"/>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basedOn w:val="68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80"/>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8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80"/>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80"/>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basedOn w:val="68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8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basedOn w:val="680"/>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basedOn w:val="68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basedOn w:val="680"/>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basedOn w:val="680"/>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basedOn w:val="680"/>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basedOn w:val="68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80"/>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8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80"/>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8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80"/>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80"/>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8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80"/>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basedOn w:val="680"/>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basedOn w:val="680"/>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basedOn w:val="680"/>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basedOn w:val="680"/>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basedOn w:val="680"/>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basedOn w:val="68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8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0"/>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0"/>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0"/>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0"/>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0"/>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basedOn w:val="68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basedOn w:val="68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0"/>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basedOn w:val="68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basedOn w:val="680"/>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basedOn w:val="680"/>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basedOn w:val="680"/>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basedOn w:val="680"/>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basedOn w:val="68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basedOn w:val="68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basedOn w:val="6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basedOn w:val="6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basedOn w:val="6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basedOn w:val="6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uiPriority w:val="99"/>
    <w:qFormat/>
    <w:rPr>
      <w:sz w:val="18"/>
    </w:rPr>
  </w:style>
  <w:style w:type="character" w:styleId="869" w:customStyle="1">
    <w:name w:val="Endnote Text Char"/>
    <w:link w:val="694"/>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首行缩进"/>
    <w:basedOn w:val="669"/>
    <w:uiPriority w:val="0"/>
    <w:qFormat/>
    <w:pPr>
      <w:ind w:firstLine="480"/>
    </w:pPr>
    <w:rPr>
      <w:szCs w:val="20"/>
      <w:lang w:val="zh-CN"/>
    </w:rPr>
  </w:style>
  <w:style w:type="paragraph" w:styleId="872" w:customStyle="1">
    <w:name w:val="正文首行缩进 21"/>
    <w:basedOn w:val="873"/>
    <w:next w:val="669"/>
    <w:uiPriority w:val="0"/>
    <w:qFormat/>
    <w:pPr>
      <w:ind w:firstLine="420"/>
      <w:spacing w:line="360" w:lineRule="auto"/>
    </w:pPr>
    <w:rPr>
      <w:rFonts w:ascii="宋体" w:hAnsi="宋体" w:eastAsia="宋体"/>
      <w:sz w:val="21"/>
      <w:szCs w:val="20"/>
    </w:rPr>
  </w:style>
  <w:style w:type="paragraph" w:styleId="873" w:customStyle="1">
    <w:name w:val="正文文本缩进11"/>
    <w:basedOn w:val="669"/>
    <w:next w:val="874"/>
    <w:uiPriority w:val="0"/>
    <w:unhideWhenUsed/>
    <w:qFormat/>
    <w:pPr>
      <w:ind w:left="420"/>
      <w:spacing w:after="120"/>
    </w:pPr>
  </w:style>
  <w:style w:type="paragraph" w:styleId="874" w:customStyle="1">
    <w:name w:val="寄信人地址1"/>
    <w:basedOn w:val="669"/>
    <w:uiPriority w:val="0"/>
    <w:qFormat/>
    <w:rPr>
      <w:rFonts w:ascii="Arial" w:hAnsi="Arial" w:eastAsia="宋体" w:cs="宋体"/>
    </w:rPr>
  </w:style>
  <w:style w:type="character" w:styleId="875" w:customStyle="1">
    <w:name w:val="标题 1 Char"/>
    <w:link w:val="670"/>
    <w:uiPriority w:val="9"/>
    <w:qFormat/>
    <w:rPr>
      <w:rFonts w:ascii="宋体" w:hAnsi="宋体" w:cs="宋体"/>
      <w:b/>
      <w:bCs/>
      <w:sz w:val="44"/>
      <w:szCs w:val="44"/>
      <w:lang w:eastAsia="en-US"/>
    </w:rPr>
  </w:style>
  <w:style w:type="paragraph" w:styleId="876" w:customStyle="1">
    <w:name w:val="正文首行缩进 211"/>
    <w:basedOn w:val="873"/>
    <w:uiPriority w:val="0"/>
    <w:qFormat/>
    <w:pPr>
      <w:ind w:left="0" w:firstLine="420"/>
      <w:spacing w:after="0" w:line="360" w:lineRule="auto"/>
    </w:pPr>
    <w:rPr>
      <w:rFonts w:ascii="宋体" w:hAnsi="宋体" w:eastAsia="宋体" w:cs="Times New Roman"/>
      <w:szCs w:val="20"/>
    </w:rPr>
  </w:style>
  <w:style w:type="paragraph" w:styleId="877" w:customStyle="1">
    <w:name w:val="列表段落1"/>
    <w:basedOn w:val="669"/>
    <w:uiPriority w:val="99"/>
    <w:qFormat/>
  </w:style>
  <w:style w:type="paragraph" w:styleId="878">
    <w:name w:val="List Paragraph"/>
    <w:basedOn w:val="669"/>
    <w:next w:val="669"/>
    <w:uiPriority w:val="99"/>
    <w:qFormat/>
    <w:pPr>
      <w:ind w:firstLine="420"/>
    </w:pPr>
    <w:rPr>
      <w:rFonts w:cs="Times New Roman"/>
      <w:sz w:val="21"/>
      <w:szCs w:val="24"/>
    </w:rPr>
  </w:style>
  <w:style w:type="paragraph" w:styleId="879" w:customStyle="1">
    <w:name w:val="标题 41"/>
    <w:basedOn w:val="669"/>
    <w:next w:val="669"/>
    <w:uiPriority w:val="0"/>
    <w:qFormat/>
    <w:pPr>
      <w:keepLines/>
      <w:keepNext/>
      <w:spacing w:before="120" w:after="120"/>
      <w:outlineLvl w:val="3"/>
    </w:pPr>
    <w:rPr>
      <w:rFonts w:ascii="Arial" w:hAnsi="Arial" w:eastAsia="黑体"/>
      <w:b/>
      <w:sz w:val="28"/>
      <w:lang w:val="en-US" w:eastAsia="en-US"/>
    </w:rPr>
  </w:style>
  <w:style w:type="paragraph" w:styleId="880"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881" w:customStyle="1">
    <w:name w:val="_Style 59"/>
    <w:basedOn w:val="669"/>
    <w:uiPriority w:val="0"/>
    <w:semiHidden/>
    <w:qFormat/>
    <w:pPr>
      <w:jc w:val="both"/>
    </w:pPr>
    <w:rPr>
      <w:rFonts w:ascii="Times New Roman" w:hAnsi="Times New Roman" w:cs="Times New Roman"/>
      <w:sz w:val="21"/>
      <w:szCs w:val="24"/>
      <w:lang w:eastAsia="zh-CN"/>
    </w:rPr>
  </w:style>
  <w:style w:type="character" w:styleId="882" w:customStyle="1">
    <w:name w:val="标题 2 Char"/>
    <w:link w:val="671"/>
    <w:uiPriority w:val="9"/>
    <w:semiHidden/>
    <w:qFormat/>
    <w:rPr>
      <w:rFonts w:ascii="Cambria" w:hAnsi="Cambria" w:eastAsia="宋体" w:cs="Times New Roman"/>
      <w:b/>
      <w:bCs/>
      <w:sz w:val="32"/>
      <w:szCs w:val="32"/>
      <w:lang w:eastAsia="en-US"/>
    </w:rPr>
  </w:style>
  <w:style w:type="character" w:styleId="883" w:customStyle="1">
    <w:name w:val="批注框文本 Char"/>
    <w:link w:val="695"/>
    <w:uiPriority w:val="99"/>
    <w:semiHidden/>
    <w:qFormat/>
    <w:rPr>
      <w:rFonts w:ascii="宋体" w:hAnsi="宋体" w:cs="宋体"/>
      <w:sz w:val="18"/>
      <w:szCs w:val="18"/>
      <w:lang w:eastAsia="en-US"/>
    </w:rPr>
  </w:style>
  <w:style w:type="character" w:styleId="884" w:customStyle="1">
    <w:name w:val="标题 3 Char"/>
    <w:link w:val="672"/>
    <w:uiPriority w:val="9"/>
    <w:semiHidden/>
    <w:qFormat/>
    <w:rPr>
      <w:rFonts w:ascii="宋体" w:hAnsi="宋体" w:cs="宋体"/>
      <w:b/>
      <w:bCs/>
      <w:sz w:val="32"/>
      <w:szCs w:val="32"/>
      <w:lang w:eastAsia="en-US"/>
    </w:rPr>
  </w:style>
  <w:style w:type="character" w:styleId="885" w:customStyle="1">
    <w:name w:val="标题 4 Char"/>
    <w:link w:val="673"/>
    <w:uiPriority w:val="99"/>
    <w:qFormat/>
    <w:rPr>
      <w:rFonts w:ascii="Cambria" w:hAnsi="Cambria" w:eastAsia="宋体" w:cs="Cambria"/>
      <w:b/>
      <w:bCs/>
      <w:sz w:val="28"/>
      <w:szCs w:val="28"/>
    </w:rPr>
  </w:style>
  <w:style w:type="character" w:styleId="886" w:customStyle="1">
    <w:name w:val="正文缩进 Char"/>
    <w:link w:val="682"/>
    <w:uiPriority w:val="99"/>
    <w:qFormat/>
    <w:rPr>
      <w:rFonts w:ascii="Times New Roman" w:hAnsi="Times New Roman" w:eastAsia="宋体" w:cs="Times New Roman"/>
      <w:b/>
      <w:bCs/>
      <w:sz w:val="20"/>
      <w:szCs w:val="20"/>
      <w:lang w:eastAsia="zh-CN"/>
    </w:rPr>
  </w:style>
  <w:style w:type="character" w:styleId="887" w:customStyle="1">
    <w:name w:val="批注文字 Char"/>
    <w:link w:val="685"/>
    <w:uiPriority w:val="99"/>
    <w:qFormat/>
    <w:rPr>
      <w:rFonts w:ascii="宋体" w:hAnsi="宋体" w:cs="宋体"/>
      <w:sz w:val="22"/>
      <w:szCs w:val="22"/>
      <w:lang w:eastAsia="en-US"/>
    </w:rPr>
  </w:style>
  <w:style w:type="character" w:styleId="888" w:customStyle="1">
    <w:name w:val="正文文本 Char"/>
    <w:link w:val="681"/>
    <w:uiPriority w:val="1"/>
    <w:qFormat/>
    <w:rPr>
      <w:rFonts w:ascii="宋体" w:hAnsi="宋体" w:eastAsia="宋体" w:cs="宋体"/>
      <w:sz w:val="18"/>
      <w:szCs w:val="18"/>
    </w:rPr>
  </w:style>
  <w:style w:type="character" w:styleId="889" w:customStyle="1">
    <w:name w:val="正文文本缩进 Char"/>
    <w:link w:val="686"/>
    <w:uiPriority w:val="99"/>
    <w:semiHidden/>
    <w:qFormat/>
    <w:rPr>
      <w:rFonts w:ascii="宋体" w:hAnsi="宋体" w:eastAsia="宋体" w:cs="宋体"/>
    </w:rPr>
  </w:style>
  <w:style w:type="character" w:styleId="890" w:customStyle="1">
    <w:name w:val="纯文本 Char"/>
    <w:uiPriority w:val="99"/>
    <w:semiHidden/>
    <w:qFormat/>
    <w:rPr>
      <w:rFonts w:ascii="宋体" w:hAnsi="Courier New" w:cs="Courier New"/>
      <w:szCs w:val="21"/>
      <w:lang w:eastAsia="en-US"/>
    </w:rPr>
  </w:style>
  <w:style w:type="character" w:styleId="891" w:customStyle="1">
    <w:name w:val="日期 Char"/>
    <w:uiPriority w:val="99"/>
    <w:semiHidden/>
    <w:qFormat/>
    <w:rPr>
      <w:rFonts w:ascii="宋体" w:hAnsi="宋体" w:cs="宋体"/>
      <w:sz w:val="22"/>
      <w:lang w:eastAsia="en-US"/>
    </w:rPr>
  </w:style>
  <w:style w:type="character" w:styleId="892" w:customStyle="1">
    <w:name w:val="页脚 Char"/>
    <w:link w:val="696"/>
    <w:uiPriority w:val="99"/>
    <w:qFormat/>
    <w:rPr>
      <w:rFonts w:ascii="宋体" w:hAnsi="宋体" w:eastAsia="宋体" w:cs="宋体"/>
      <w:sz w:val="18"/>
      <w:szCs w:val="18"/>
    </w:rPr>
  </w:style>
  <w:style w:type="character" w:styleId="893" w:customStyle="1">
    <w:name w:val="页眉 Char"/>
    <w:link w:val="698"/>
    <w:uiPriority w:val="99"/>
    <w:qFormat/>
    <w:rPr>
      <w:rFonts w:ascii="宋体" w:hAnsi="宋体" w:eastAsia="宋体" w:cs="宋体"/>
      <w:sz w:val="18"/>
      <w:szCs w:val="18"/>
    </w:rPr>
  </w:style>
  <w:style w:type="character" w:styleId="894" w:customStyle="1">
    <w:name w:val="脚注文本 Char"/>
    <w:link w:val="702"/>
    <w:uiPriority w:val="99"/>
    <w:qFormat/>
    <w:rPr>
      <w:rFonts w:ascii="Times New Roman" w:hAnsi="Times New Roman" w:eastAsia="宋体" w:cs="Times New Roman"/>
      <w:sz w:val="18"/>
      <w:szCs w:val="18"/>
      <w:lang w:eastAsia="zh-CN"/>
    </w:rPr>
  </w:style>
  <w:style w:type="character" w:styleId="895" w:customStyle="1">
    <w:name w:val="标题 Char"/>
    <w:link w:val="708"/>
    <w:uiPriority w:val="10"/>
    <w:qFormat/>
    <w:rPr>
      <w:rFonts w:ascii="Cambria" w:hAnsi="Cambria" w:cs="Times New Roman"/>
      <w:b/>
      <w:bCs/>
      <w:sz w:val="32"/>
      <w:szCs w:val="32"/>
      <w:lang w:eastAsia="en-US"/>
    </w:rPr>
  </w:style>
  <w:style w:type="character" w:styleId="896" w:customStyle="1">
    <w:name w:val="正文首行缩进 Char"/>
    <w:link w:val="709"/>
    <w:uiPriority w:val="99"/>
    <w:semiHidden/>
    <w:qFormat/>
    <w:rPr>
      <w:rFonts w:ascii="宋体" w:hAnsi="宋体" w:eastAsia="宋体" w:cs="宋体"/>
      <w:sz w:val="22"/>
      <w:szCs w:val="22"/>
      <w:lang w:eastAsia="en-US"/>
    </w:rPr>
  </w:style>
  <w:style w:type="character" w:styleId="897" w:customStyle="1">
    <w:name w:val="纯文本 Char1"/>
    <w:link w:val="690"/>
    <w:uiPriority w:val="99"/>
    <w:qFormat/>
    <w:rPr>
      <w:rFonts w:ascii="宋体" w:hAnsi="Courier New" w:cs="宋体"/>
      <w:spacing w:val="10"/>
      <w:sz w:val="21"/>
      <w:szCs w:val="21"/>
    </w:rPr>
  </w:style>
  <w:style w:type="character" w:styleId="898" w:customStyle="1">
    <w:name w:val="日期 Char1"/>
    <w:link w:val="692"/>
    <w:uiPriority w:val="99"/>
    <w:qFormat/>
    <w:rPr>
      <w:rFonts w:ascii="宋体" w:cs="宋体"/>
      <w:spacing w:val="12"/>
      <w:sz w:val="24"/>
      <w:szCs w:val="24"/>
    </w:rPr>
  </w:style>
  <w:style w:type="table" w:styleId="899"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00" w:customStyle="1">
    <w:name w:val="Table Paragraph"/>
    <w:basedOn w:val="669"/>
    <w:uiPriority w:val="99"/>
    <w:qFormat/>
  </w:style>
  <w:style w:type="paragraph" w:styleId="901" w:customStyle="1">
    <w:name w:val="p0"/>
    <w:basedOn w:val="669"/>
    <w:uiPriority w:val="0"/>
    <w:qFormat/>
    <w:pPr>
      <w:spacing w:before="100" w:beforeAutospacing="1" w:after="100" w:afterAutospacing="1"/>
      <w:widowControl/>
    </w:pPr>
    <w:rPr>
      <w:sz w:val="24"/>
      <w:szCs w:val="24"/>
      <w:lang w:eastAsia="zh-CN"/>
    </w:rPr>
  </w:style>
  <w:style w:type="paragraph" w:styleId="902" w:customStyle="1">
    <w:name w:val="格式３"/>
    <w:basedOn w:val="669"/>
    <w:uiPriority w:val="99"/>
    <w:qFormat/>
    <w:pPr>
      <w:ind w:left="600" w:hanging="600"/>
      <w:jc w:val="both"/>
      <w:spacing w:line="420" w:lineRule="exact"/>
    </w:pPr>
    <w:rPr>
      <w:color w:val="000000"/>
      <w:sz w:val="24"/>
      <w:szCs w:val="24"/>
      <w:lang w:eastAsia="zh-CN"/>
    </w:rPr>
  </w:style>
  <w:style w:type="paragraph" w:styleId="903" w:customStyle="1">
    <w:name w:val="TOC 标题1"/>
    <w:basedOn w:val="670"/>
    <w:next w:val="669"/>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04" w:customStyle="1">
    <w:name w:val="Normal Char"/>
    <w:link w:val="905"/>
    <w:uiPriority w:val="99"/>
    <w:qFormat/>
    <w:rPr>
      <w:rFonts w:cs="Calibri"/>
      <w:sz w:val="24"/>
      <w:szCs w:val="24"/>
      <w:lang w:val="en-US" w:eastAsia="en-US" w:bidi="ar-SA"/>
    </w:rPr>
  </w:style>
  <w:style w:type="paragraph" w:styleId="905" w:customStyle="1">
    <w:name w:val="正文1"/>
    <w:link w:val="904"/>
    <w:uiPriority w:val="99"/>
    <w:qFormat/>
    <w:rPr>
      <w:rFonts w:hint="default" w:ascii="Times New Roman" w:hAnsi="Times New Roman" w:eastAsia="宋体" w:cs="Calibri"/>
      <w:sz w:val="24"/>
      <w:szCs w:val="24"/>
      <w:lang w:val="en-US" w:eastAsia="en-US" w:bidi="ar-SA"/>
    </w:rPr>
  </w:style>
  <w:style w:type="character" w:styleId="906" w:customStyle="1">
    <w:name w:val="未处理的提及1"/>
    <w:uiPriority w:val="99"/>
    <w:semiHidden/>
    <w:qFormat/>
    <w:rPr>
      <w:color w:val="auto"/>
      <w:shd w:val="clear" w:color="auto" w:fill="auto"/>
    </w:rPr>
  </w:style>
  <w:style w:type="character" w:styleId="907" w:customStyle="1">
    <w:name w:val="日期 字符1"/>
    <w:uiPriority w:val="99"/>
    <w:semiHidden/>
    <w:qFormat/>
    <w:rPr>
      <w:rFonts w:ascii="宋体" w:hAnsi="宋体" w:eastAsia="宋体" w:cs="宋体"/>
    </w:rPr>
  </w:style>
  <w:style w:type="character" w:styleId="908" w:customStyle="1">
    <w:name w:val="纯文本 字符1"/>
    <w:uiPriority w:val="99"/>
    <w:semiHidden/>
    <w:qFormat/>
    <w:rPr>
      <w:rFonts w:ascii="宋体" w:hAnsi="Courier New" w:cs="宋体"/>
    </w:rPr>
  </w:style>
  <w:style w:type="character" w:styleId="909" w:customStyle="1">
    <w:name w:val="NormalCharacter"/>
    <w:uiPriority w:val="99"/>
    <w:semiHidden/>
    <w:qFormat/>
  </w:style>
  <w:style w:type="paragraph" w:styleId="910" w:customStyle="1">
    <w:name w:val="_Style 66"/>
    <w:uiPriority w:val="99"/>
    <w:semiHidden/>
    <w:qFormat/>
    <w:rPr>
      <w:rFonts w:hint="default" w:ascii="宋体" w:hAnsi="宋体" w:eastAsia="宋体" w:cs="宋体"/>
      <w:sz w:val="22"/>
      <w:szCs w:val="22"/>
      <w:lang w:val="en-US" w:eastAsia="en-US" w:bidi="ar-SA"/>
    </w:rPr>
  </w:style>
  <w:style w:type="paragraph" w:styleId="911" w:customStyle="1">
    <w:name w:val="ewb-con-p2"/>
    <w:basedOn w:val="669"/>
    <w:uiPriority w:val="0"/>
    <w:qFormat/>
    <w:pPr>
      <w:spacing w:before="100" w:beforeAutospacing="1" w:after="100" w:afterAutospacing="1"/>
      <w:widowControl/>
    </w:pPr>
    <w:rPr>
      <w:sz w:val="24"/>
      <w:szCs w:val="24"/>
      <w:lang w:eastAsia="zh-CN"/>
    </w:rPr>
  </w:style>
  <w:style w:type="paragraph" w:styleId="912" w:customStyle="1">
    <w:name w:val="列出段落1"/>
    <w:basedOn w:val="669"/>
    <w:uiPriority w:val="0"/>
    <w:qFormat/>
    <w:pPr>
      <w:ind w:firstLine="200"/>
    </w:pPr>
  </w:style>
  <w:style w:type="paragraph" w:styleId="91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14" w:customStyle="1">
    <w:name w:val="NormalCharacter1"/>
    <w:link w:val="669"/>
    <w:uiPriority w:val="0"/>
    <w:qFormat/>
    <w:rPr>
      <w:rFonts w:ascii="宋体" w:hAnsi="宋体" w:eastAsia="宋体" w:cs="宋体"/>
      <w:sz w:val="22"/>
      <w:szCs w:val="22"/>
      <w:lang w:val="en-US" w:eastAsia="en-US" w:bidi="ar-SA"/>
    </w:rPr>
  </w:style>
  <w:style w:type="character" w:styleId="915" w:customStyle="1">
    <w:name w:val="font41"/>
    <w:basedOn w:val="679"/>
    <w:uiPriority w:val="0"/>
    <w:qFormat/>
    <w:rPr>
      <w:rFonts w:ascii="仿宋" w:hAnsi="仿宋" w:eastAsia="仿宋" w:cs="仿宋"/>
      <w:color w:val="000000"/>
      <w:sz w:val="22"/>
      <w:szCs w:val="22"/>
      <w:u w:val="none"/>
    </w:rPr>
  </w:style>
  <w:style w:type="paragraph" w:styleId="916" w:customStyle="1">
    <w:name w:val="样式4"/>
    <w:basedOn w:val="669"/>
    <w:uiPriority w:val="0"/>
    <w:qFormat/>
    <w:pPr>
      <w:ind w:firstLine="420"/>
      <w:jc w:val="center"/>
      <w:spacing w:line="360" w:lineRule="auto"/>
      <w:widowControl/>
    </w:pPr>
    <w:rPr>
      <w:rFonts w:ascii="宋体" w:hAnsi="宋体"/>
      <w:bCs/>
      <w:sz w:val="21"/>
      <w:szCs w:val="21"/>
    </w:rPr>
  </w:style>
  <w:style w:type="character" w:styleId="917" w:customStyle="1">
    <w:name w:val="font51"/>
    <w:basedOn w:val="679"/>
    <w:uiPriority w:val="0"/>
    <w:qFormat/>
    <w:rPr>
      <w:rFonts w:hint="default" w:ascii="Times New Roman" w:hAnsi="Times New Roman" w:cs="Times New Roman"/>
      <w:b/>
      <w:bCs/>
      <w:color w:val="000000"/>
      <w:sz w:val="18"/>
      <w:szCs w:val="18"/>
      <w:u w:val="none"/>
    </w:rPr>
  </w:style>
  <w:style w:type="character" w:styleId="918" w:customStyle="1">
    <w:name w:val="font31"/>
    <w:basedOn w:val="679"/>
    <w:uiPriority w:val="0"/>
    <w:qFormat/>
    <w:rPr>
      <w:rFonts w:hint="eastAsia" w:ascii="宋体" w:hAnsi="宋体" w:eastAsia="宋体" w:cs="宋体"/>
      <w:b/>
      <w:bCs/>
      <w:color w:val="000000"/>
      <w:sz w:val="18"/>
      <w:szCs w:val="18"/>
      <w:u w:val="none"/>
    </w:rPr>
  </w:style>
  <w:style w:type="character" w:styleId="919" w:customStyle="1">
    <w:name w:val="font91"/>
    <w:basedOn w:val="679"/>
    <w:uiPriority w:val="0"/>
    <w:qFormat/>
    <w:rPr>
      <w:rFonts w:hint="eastAsia" w:ascii="宋体" w:hAnsi="宋体" w:eastAsia="宋体" w:cs="宋体"/>
      <w:b/>
      <w:bCs/>
      <w:color w:val="000000"/>
      <w:sz w:val="22"/>
      <w:szCs w:val="22"/>
      <w:u w:val="none"/>
    </w:rPr>
  </w:style>
  <w:style w:type="table" w:styleId="920" w:customStyle="1">
    <w:name w:val="Table Normal"/>
    <w:uiPriority w:val="0"/>
    <w:qFormat/>
    <w:tblPr>
      <w:tblCellMar>
        <w:left w:w="0" w:type="dxa"/>
        <w:top w:w="0" w:type="dxa"/>
        <w:right w:w="0" w:type="dxa"/>
        <w:bottom w:w="0" w:type="dxa"/>
      </w:tblCellMar>
    </w:tblPr>
  </w:style>
  <w:style w:type="paragraph" w:styleId="921" w:customStyle="1">
    <w:name w:val="Char"/>
    <w:basedOn w:val="669"/>
    <w:uiPriority w:val="0"/>
    <w:qFormat/>
    <w:pPr>
      <w:ind w:firstLine="200"/>
      <w:tabs>
        <w:tab w:val="left" w:pos="360" w:leader="none"/>
      </w:tabs>
    </w:pPr>
    <w:rPr>
      <w:rFonts w:ascii="Times New Roman" w:hAnsi="Times New Roman" w:eastAsia="宋体" w:cs="Times New Roman"/>
      <w:sz w:val="28"/>
      <w:szCs w:val="30"/>
    </w:rPr>
  </w:style>
  <w:style w:type="paragraph" w:styleId="922" w:customStyle="1">
    <w:name w:val="普通正文"/>
    <w:basedOn w:val="669"/>
    <w:uiPriority w:val="0"/>
    <w:qFormat/>
    <w:pPr>
      <w:ind w:firstLine="480"/>
      <w:jc w:val="left"/>
      <w:spacing w:before="120" w:after="120" w:line="360" w:lineRule="auto"/>
    </w:pPr>
    <w:rPr>
      <w:rFonts w:ascii="Arial" w:hAnsi="Arial" w:eastAsia="宋体" w:cs="Times New Roman"/>
      <w:sz w:val="24"/>
      <w:szCs w:val="24"/>
    </w:rPr>
  </w:style>
  <w:style w:type="paragraph" w:styleId="923" w:customStyle="1">
    <w:name w:val="索引 41"/>
    <w:basedOn w:val="669"/>
    <w:next w:val="669"/>
    <w:uiPriority w:val="0"/>
    <w:semiHidden/>
    <w:qFormat/>
    <w:pPr>
      <w:ind w:left="1260"/>
    </w:pPr>
    <w:rPr>
      <w:rFonts w:ascii="Calibri" w:hAnsi="Calibri" w:eastAsia="Calibri" w:cs="宋体"/>
      <w:sz w:val="20"/>
      <w:lang w:val="zh-CN"/>
    </w:rPr>
  </w:style>
  <w:style w:type="character" w:styleId="924" w:customStyle="1">
    <w:name w:val="font61"/>
    <w:basedOn w:val="679"/>
    <w:uiPriority w:val="0"/>
    <w:qFormat/>
    <w:rPr>
      <w:rFonts w:hint="default" w:ascii="Times New Roman" w:hAnsi="Times New Roman" w:cs="Times New Roman"/>
      <w:color w:val="000000"/>
      <w:sz w:val="24"/>
      <w:szCs w:val="24"/>
      <w:u w:val="none"/>
    </w:rPr>
  </w:style>
  <w:style w:type="character" w:styleId="925" w:customStyle="1">
    <w:name w:val="font81"/>
    <w:basedOn w:val="679"/>
    <w:uiPriority w:val="0"/>
    <w:qFormat/>
    <w:rPr>
      <w:rFonts w:hint="eastAsia" w:ascii="方正仿宋_GBK" w:hAnsi="方正仿宋_GBK" w:eastAsia="方正仿宋_GBK" w:cs="方正仿宋_GBK"/>
      <w:color w:val="000000"/>
      <w:sz w:val="24"/>
      <w:szCs w:val="24"/>
      <w:u w:val="none"/>
    </w:rPr>
  </w:style>
  <w:style w:type="paragraph" w:styleId="926" w:customStyle="1">
    <w:name w:val="_Style 1"/>
    <w:basedOn w:val="669"/>
    <w:uiPriority w:val="0"/>
    <w:qFormat/>
    <w:pPr>
      <w:ind w:firstLine="420"/>
    </w:pPr>
  </w:style>
  <w:style w:type="paragraph" w:styleId="927" w:customStyle="1">
    <w:name w:val="正文文本12"/>
    <w:basedOn w:val="669"/>
    <w:uiPriority w:val="1"/>
    <w:qFormat/>
    <w:pPr>
      <w:ind w:left="120"/>
    </w:pPr>
    <w:rPr>
      <w:rFonts w:ascii="宋体" w:hAnsi="宋体" w:eastAsia="宋体" w:cs="宋体"/>
      <w:sz w:val="21"/>
      <w:szCs w:val="21"/>
      <w:lang w:val="zh-CN" w:eastAsia="zh-CN" w:bidi="zh-CN"/>
    </w:rPr>
  </w:style>
  <w:style w:type="paragraph" w:styleId="928" w:customStyle="1">
    <w:name w:val="正文文本 211"/>
    <w:basedOn w:val="669"/>
    <w:uiPriority w:val="99"/>
    <w:qFormat/>
    <w:pPr>
      <w:jc w:val="center"/>
    </w:pPr>
    <w:rPr>
      <w:b/>
      <w:bCs/>
      <w:sz w:val="20"/>
      <w:szCs w:val="20"/>
    </w:rPr>
  </w:style>
  <w:style w:type="numbering" w:styleId="15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陶涛</cp:lastModifiedBy>
  <cp:revision>7</cp:revision>
  <dcterms:created xsi:type="dcterms:W3CDTF">2024-08-15T01:28:00Z</dcterms:created>
  <dcterms:modified xsi:type="dcterms:W3CDTF">2026-06-23T08:56:08Z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9C486E8B2CCC43E29DC703C3263D97C3_13</vt:lpwstr>
  </property>
  <property fmtid="{D5CDD505-2E9C-101B-9397-08002B2CF9AE}" pid="4" name="KSOTemplateDocerSaveRecord">
    <vt:lpwstr>eyJoZGlkIjoiYjhhYTUyOTZlZjg2MzQ5NDRmMTM2ZWQ1ODcwYjE5OTMiLCJ1c2VySWQiOiIxODExNjMyMTM4In0=</vt:lpwstr>
  </property>
</Properties>
</file>