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3C39">
      <w:pPr>
        <w:autoSpaceDE w:val="0"/>
        <w:autoSpaceDN w:val="0"/>
        <w:adjustRightInd w:val="0"/>
        <w:jc w:val="center"/>
        <w:rPr>
          <w:rFonts w:ascii="方正小标宋_GBK" w:eastAsia="方正小标宋_GBK" w:cs="宋体"/>
          <w:b/>
          <w:kern w:val="0"/>
          <w:sz w:val="44"/>
          <w:szCs w:val="44"/>
          <w:highlight w:val="none"/>
        </w:rPr>
      </w:pPr>
      <w:r>
        <w:rPr>
          <w:rFonts w:hint="eastAsia" w:ascii="方正小标宋_GBK" w:eastAsia="方正小标宋_GBK" w:cs="宋体"/>
          <w:b/>
          <w:kern w:val="0"/>
          <w:sz w:val="44"/>
          <w:szCs w:val="44"/>
          <w:highlight w:val="none"/>
        </w:rPr>
        <w:t>江浦街道农村人居环境长效管理考核办法</w:t>
      </w:r>
    </w:p>
    <w:p w14:paraId="133311BA">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为切实提高我街辖区村庄市场化保洁服务质量，加强环境卫生管理，完善环境卫生长效管理机制，不断改善人居环境，提升我街道的城市品位，依据客观、公开、公平、公正的原则，结合实际情况，特制定本考核办法。</w:t>
      </w:r>
    </w:p>
    <w:p w14:paraId="25F0E429">
      <w:pPr>
        <w:spacing w:line="560" w:lineRule="exact"/>
        <w:ind w:firstLine="640" w:firstLineChars="200"/>
        <w:rPr>
          <w:rFonts w:ascii="Times New Roman" w:hAnsi="Times New Roman" w:eastAsia="方正黑体_GBK"/>
          <w:color w:val="000000"/>
          <w:sz w:val="32"/>
          <w:szCs w:val="32"/>
          <w:highlight w:val="none"/>
        </w:rPr>
      </w:pPr>
      <w:r>
        <w:rPr>
          <w:rFonts w:ascii="Times New Roman" w:hAnsi="Times New Roman" w:eastAsia="方正黑体_GBK"/>
          <w:color w:val="000000"/>
          <w:sz w:val="32"/>
          <w:szCs w:val="32"/>
          <w:highlight w:val="none"/>
        </w:rPr>
        <w:t>一、目标要求</w:t>
      </w:r>
    </w:p>
    <w:p w14:paraId="4535289B">
      <w:pPr>
        <w:spacing w:line="560" w:lineRule="exact"/>
        <w:ind w:firstLine="600"/>
        <w:rPr>
          <w:rFonts w:ascii="Times New Roman" w:hAnsi="Times New Roman" w:eastAsia="方正黑体_GBK"/>
          <w:color w:val="000000"/>
          <w:sz w:val="32"/>
          <w:szCs w:val="32"/>
          <w:highlight w:val="none"/>
        </w:rPr>
      </w:pPr>
      <w:r>
        <w:rPr>
          <w:rFonts w:ascii="Times New Roman" w:hAnsi="Times New Roman" w:eastAsia="方正仿宋_GBK"/>
          <w:color w:val="000000"/>
          <w:sz w:val="32"/>
          <w:szCs w:val="32"/>
          <w:highlight w:val="none"/>
        </w:rPr>
        <w:t>以村容整洁、绿化良好等为主要任务，通过规范日常环境管理标准，使农村综合环境得以明显改善。包括环卫基础设施、保洁环卫与措施配套健全</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村庄容貌整洁</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路面通行良好</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垃圾日产日清</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畜禽圈养</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户厕、公厕清洁卫生</w:t>
      </w:r>
      <w:r>
        <w:rPr>
          <w:rFonts w:hint="eastAsia" w:ascii="Times New Roman" w:hAnsi="Times New Roman" w:eastAsia="方正仿宋_GBK"/>
          <w:color w:val="000000"/>
          <w:sz w:val="32"/>
          <w:szCs w:val="32"/>
          <w:highlight w:val="none"/>
        </w:rPr>
        <w:t>，水环境治理，建设美丽庭院</w:t>
      </w:r>
      <w:r>
        <w:rPr>
          <w:rFonts w:ascii="Times New Roman" w:hAnsi="Times New Roman" w:eastAsia="方正仿宋_GBK"/>
          <w:color w:val="000000"/>
          <w:sz w:val="32"/>
          <w:szCs w:val="32"/>
          <w:highlight w:val="none"/>
        </w:rPr>
        <w:t>等。</w:t>
      </w:r>
    </w:p>
    <w:p w14:paraId="678A099D">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二、考核对象</w:t>
      </w:r>
    </w:p>
    <w:p w14:paraId="0887B776">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从事浦口区江浦街道辖区范围內农村人居环境承包公司。</w:t>
      </w:r>
    </w:p>
    <w:p w14:paraId="0E747E65">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三、考核范围</w:t>
      </w:r>
    </w:p>
    <w:p w14:paraId="3DB09DCD">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lang w:val="en-US" w:eastAsia="zh-CN"/>
        </w:rPr>
        <w:t>合同约定服务范围</w:t>
      </w:r>
      <w:r>
        <w:rPr>
          <w:rFonts w:hint="eastAsia" w:ascii="方正仿宋_GBK" w:eastAsia="方正仿宋_GBK" w:cs="宋体"/>
          <w:kern w:val="0"/>
          <w:sz w:val="32"/>
          <w:szCs w:val="32"/>
          <w:highlight w:val="none"/>
        </w:rPr>
        <w:t>。</w:t>
      </w:r>
    </w:p>
    <w:p w14:paraId="03EFB3F0">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四、考核内容</w:t>
      </w:r>
    </w:p>
    <w:p w14:paraId="735BF56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（1）承包公司内部管理（不限于人员、车辆、管理考核制度），由属地社区考核；</w:t>
      </w:r>
    </w:p>
    <w:p w14:paraId="6A95B11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（2）生活垃圾治理，由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43C63747">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（3）垃圾分类，由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50EF29F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（4）公厕革命，由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33FD550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5</w:t>
      </w:r>
      <w:r>
        <w:rPr>
          <w:rFonts w:hint="eastAsia" w:ascii="方正仿宋_GBK" w:eastAsia="方正仿宋_GBK" w:cs="宋体"/>
          <w:kern w:val="0"/>
          <w:sz w:val="32"/>
          <w:szCs w:val="32"/>
          <w:highlight w:val="none"/>
        </w:rPr>
        <w:t>）轨道交通沿线环境综合治理，由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48D7078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6</w:t>
      </w:r>
      <w:r>
        <w:rPr>
          <w:rFonts w:hint="eastAsia" w:ascii="方正仿宋_GBK" w:eastAsia="方正仿宋_GBK" w:cs="宋体"/>
          <w:kern w:val="0"/>
          <w:sz w:val="32"/>
          <w:szCs w:val="32"/>
          <w:highlight w:val="none"/>
        </w:rPr>
        <w:t>）禽畜养殖粪污等农业生产废弃物，由农服中心、属地社区考核；</w:t>
      </w:r>
    </w:p>
    <w:p w14:paraId="0E30562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7</w:t>
      </w:r>
      <w:r>
        <w:rPr>
          <w:rFonts w:hint="eastAsia" w:ascii="方正仿宋_GBK" w:eastAsia="方正仿宋_GBK" w:cs="宋体"/>
          <w:kern w:val="0"/>
          <w:sz w:val="32"/>
          <w:szCs w:val="32"/>
          <w:highlight w:val="none"/>
        </w:rPr>
        <w:t>）农村水环境治理，由水务站、属地社区考核；</w:t>
      </w:r>
    </w:p>
    <w:p w14:paraId="4BC2E36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8</w:t>
      </w:r>
      <w:r>
        <w:rPr>
          <w:rFonts w:hint="eastAsia" w:ascii="方正仿宋_GBK" w:eastAsia="方正仿宋_GBK" w:cs="宋体"/>
          <w:kern w:val="0"/>
          <w:sz w:val="32"/>
          <w:szCs w:val="32"/>
          <w:highlight w:val="none"/>
        </w:rPr>
        <w:t>）农村户厕管护，由属地社区考核；</w:t>
      </w:r>
    </w:p>
    <w:p w14:paraId="5C39D7F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9</w:t>
      </w:r>
      <w:r>
        <w:rPr>
          <w:rFonts w:hint="eastAsia" w:ascii="方正仿宋_GBK" w:eastAsia="方正仿宋_GBK" w:cs="宋体"/>
          <w:kern w:val="0"/>
          <w:sz w:val="32"/>
          <w:szCs w:val="32"/>
          <w:highlight w:val="none"/>
        </w:rPr>
        <w:t>）“四美庭院”的维护，由妇联、属地社区考核；</w:t>
      </w:r>
    </w:p>
    <w:p w14:paraId="287306B7">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）加分项（创新做法、特色经验，提供资料支撑），由各部门、属地社区考核。</w:t>
      </w:r>
    </w:p>
    <w:p w14:paraId="5CBED63E">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五、考核体系</w:t>
      </w:r>
    </w:p>
    <w:p w14:paraId="232DC050">
      <w:pPr>
        <w:spacing w:line="560" w:lineRule="exact"/>
        <w:ind w:firstLine="320" w:firstLineChars="1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村庄长效管护运行机制考核评价体系共涉及</w:t>
      </w:r>
      <w:r>
        <w:rPr>
          <w:rFonts w:hint="eastAsia" w:ascii="Times New Roman" w:hAnsi="Times New Roman" w:eastAsia="方正仿宋_GBK"/>
          <w:color w:val="000000"/>
          <w:sz w:val="32"/>
          <w:szCs w:val="32"/>
          <w:highlight w:val="none"/>
          <w:lang w:val="en-US" w:eastAsia="zh-CN"/>
        </w:rPr>
        <w:t>4</w:t>
      </w:r>
      <w:r>
        <w:rPr>
          <w:rFonts w:ascii="Times New Roman" w:hAnsi="Times New Roman" w:eastAsia="方正仿宋_GBK"/>
          <w:color w:val="000000"/>
          <w:sz w:val="32"/>
          <w:szCs w:val="32"/>
          <w:highlight w:val="none"/>
        </w:rPr>
        <w:t>个部门</w:t>
      </w:r>
      <w:r>
        <w:rPr>
          <w:rFonts w:hint="eastAsia" w:ascii="Times New Roman" w:hAnsi="Times New Roman" w:eastAsia="方正仿宋_GBK"/>
          <w:color w:val="000000"/>
          <w:sz w:val="32"/>
          <w:szCs w:val="32"/>
          <w:highlight w:val="none"/>
          <w:lang w:val="en-US" w:eastAsia="zh-CN"/>
        </w:rPr>
        <w:t>5</w:t>
      </w:r>
      <w:r>
        <w:rPr>
          <w:rFonts w:hint="eastAsia" w:ascii="Times New Roman" w:hAnsi="Times New Roman" w:eastAsia="方正仿宋_GBK"/>
          <w:color w:val="000000"/>
          <w:sz w:val="32"/>
          <w:szCs w:val="32"/>
          <w:highlight w:val="none"/>
        </w:rPr>
        <w:t>个社区</w:t>
      </w:r>
      <w:r>
        <w:rPr>
          <w:rFonts w:ascii="Times New Roman" w:hAnsi="Times New Roman" w:eastAsia="方正仿宋_GBK"/>
          <w:color w:val="000000"/>
          <w:sz w:val="32"/>
          <w:szCs w:val="32"/>
          <w:highlight w:val="none"/>
        </w:rPr>
        <w:t xml:space="preserve">， </w:t>
      </w:r>
      <w:r>
        <w:rPr>
          <w:rFonts w:hint="eastAsia" w:ascii="Times New Roman" w:hAnsi="Times New Roman" w:eastAsia="方正仿宋_GBK"/>
          <w:color w:val="000000"/>
          <w:sz w:val="32"/>
          <w:szCs w:val="32"/>
          <w:highlight w:val="none"/>
          <w:lang w:val="en-US" w:eastAsia="zh-CN"/>
        </w:rPr>
        <w:t>10</w:t>
      </w:r>
      <w:r>
        <w:rPr>
          <w:rFonts w:ascii="Times New Roman" w:hAnsi="Times New Roman" w:eastAsia="方正仿宋_GBK"/>
          <w:color w:val="000000"/>
          <w:sz w:val="32"/>
          <w:szCs w:val="32"/>
          <w:highlight w:val="none"/>
        </w:rPr>
        <w:t>大类，</w:t>
      </w:r>
      <w:r>
        <w:rPr>
          <w:rFonts w:hint="eastAsia" w:ascii="Times New Roman" w:hAnsi="Times New Roman" w:eastAsia="方正仿宋_GBK"/>
          <w:color w:val="000000"/>
          <w:sz w:val="32"/>
          <w:szCs w:val="32"/>
          <w:highlight w:val="none"/>
          <w:lang w:val="en-US" w:eastAsia="zh-CN"/>
        </w:rPr>
        <w:t>42</w:t>
      </w:r>
      <w:r>
        <w:rPr>
          <w:rFonts w:ascii="Times New Roman" w:hAnsi="Times New Roman" w:eastAsia="方正仿宋_GBK"/>
          <w:color w:val="000000"/>
          <w:sz w:val="32"/>
          <w:szCs w:val="32"/>
          <w:highlight w:val="none"/>
        </w:rPr>
        <w:t>条细化指标，实行百分制考核(含加分），其中</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Times New Roman" w:hAnsi="Times New Roman" w:eastAsia="方正仿宋_GBK"/>
          <w:color w:val="000000"/>
          <w:sz w:val="32"/>
          <w:szCs w:val="32"/>
          <w:highlight w:val="none"/>
        </w:rPr>
        <w:t>4</w:t>
      </w:r>
      <w:r>
        <w:rPr>
          <w:rFonts w:hint="eastAsia" w:ascii="Times New Roman" w:hAnsi="Times New Roman" w:eastAsia="方正仿宋_GBK"/>
          <w:color w:val="000000"/>
          <w:sz w:val="32"/>
          <w:szCs w:val="32"/>
          <w:highlight w:val="none"/>
          <w:lang w:val="en-US" w:eastAsia="zh-CN"/>
        </w:rPr>
        <w:t>5</w:t>
      </w:r>
      <w:r>
        <w:rPr>
          <w:rFonts w:ascii="Times New Roman" w:hAnsi="Times New Roman" w:eastAsia="方正仿宋_GBK"/>
          <w:color w:val="000000"/>
          <w:sz w:val="32"/>
          <w:szCs w:val="32"/>
          <w:highlight w:val="none"/>
        </w:rPr>
        <w:t>分、农服中心</w:t>
      </w:r>
      <w:r>
        <w:rPr>
          <w:rFonts w:hint="eastAsia" w:ascii="Times New Roman" w:hAnsi="Times New Roman" w:eastAsia="方正仿宋_GBK"/>
          <w:color w:val="000000"/>
          <w:sz w:val="32"/>
          <w:szCs w:val="32"/>
          <w:highlight w:val="none"/>
          <w:lang w:val="en-US" w:eastAsia="zh-CN"/>
        </w:rPr>
        <w:t>25</w:t>
      </w:r>
      <w:r>
        <w:rPr>
          <w:rFonts w:ascii="Times New Roman" w:hAnsi="Times New Roman" w:eastAsia="方正仿宋_GBK"/>
          <w:color w:val="000000"/>
          <w:sz w:val="32"/>
          <w:szCs w:val="32"/>
          <w:highlight w:val="none"/>
        </w:rPr>
        <w:t>分、水务站</w:t>
      </w:r>
      <w:r>
        <w:rPr>
          <w:rFonts w:hint="eastAsia" w:ascii="Times New Roman" w:hAnsi="Times New Roman" w:eastAsia="方正仿宋_GBK"/>
          <w:color w:val="000000"/>
          <w:sz w:val="32"/>
          <w:szCs w:val="32"/>
          <w:highlight w:val="none"/>
          <w:lang w:val="en-US" w:eastAsia="zh-CN"/>
        </w:rPr>
        <w:t>26</w:t>
      </w:r>
      <w:r>
        <w:rPr>
          <w:rFonts w:ascii="Times New Roman" w:hAnsi="Times New Roman" w:eastAsia="方正仿宋_GBK"/>
          <w:color w:val="000000"/>
          <w:sz w:val="32"/>
          <w:szCs w:val="32"/>
          <w:highlight w:val="none"/>
        </w:rPr>
        <w:t>分、妇联</w:t>
      </w:r>
      <w:r>
        <w:rPr>
          <w:rFonts w:hint="eastAsia" w:ascii="Times New Roman" w:hAnsi="Times New Roman" w:eastAsia="方正仿宋_GBK"/>
          <w:color w:val="000000"/>
          <w:sz w:val="32"/>
          <w:szCs w:val="32"/>
          <w:highlight w:val="none"/>
          <w:lang w:val="en-US" w:eastAsia="zh-CN"/>
        </w:rPr>
        <w:t>2</w:t>
      </w:r>
      <w:r>
        <w:rPr>
          <w:rFonts w:ascii="Times New Roman" w:hAnsi="Times New Roman" w:eastAsia="方正仿宋_GBK"/>
          <w:color w:val="000000"/>
          <w:sz w:val="32"/>
          <w:szCs w:val="32"/>
          <w:highlight w:val="none"/>
        </w:rPr>
        <w:t>分，各</w:t>
      </w:r>
      <w:r>
        <w:rPr>
          <w:rFonts w:hint="eastAsia" w:ascii="Times New Roman" w:hAnsi="Times New Roman" w:eastAsia="方正仿宋_GBK"/>
          <w:color w:val="000000"/>
          <w:sz w:val="32"/>
          <w:szCs w:val="32"/>
          <w:highlight w:val="none"/>
        </w:rPr>
        <w:t>承包公司</w:t>
      </w:r>
      <w:r>
        <w:rPr>
          <w:rFonts w:ascii="Times New Roman" w:hAnsi="Times New Roman" w:eastAsia="方正仿宋_GBK"/>
          <w:color w:val="000000"/>
          <w:sz w:val="32"/>
          <w:szCs w:val="32"/>
          <w:highlight w:val="none"/>
        </w:rPr>
        <w:t>制度建设</w:t>
      </w:r>
      <w:r>
        <w:rPr>
          <w:rFonts w:hint="eastAsia" w:ascii="Times New Roman" w:hAnsi="Times New Roman" w:eastAsia="方正仿宋_GBK"/>
          <w:color w:val="000000"/>
          <w:sz w:val="32"/>
          <w:szCs w:val="32"/>
          <w:highlight w:val="none"/>
        </w:rPr>
        <w:t>2</w:t>
      </w:r>
      <w:r>
        <w:rPr>
          <w:rFonts w:ascii="Times New Roman" w:hAnsi="Times New Roman" w:eastAsia="方正仿宋_GBK"/>
          <w:color w:val="000000"/>
          <w:sz w:val="32"/>
          <w:szCs w:val="32"/>
          <w:highlight w:val="none"/>
        </w:rPr>
        <w:t>分</w:t>
      </w:r>
      <w:r>
        <w:rPr>
          <w:rFonts w:hint="eastAsia" w:ascii="Times New Roman" w:hAnsi="Times New Roman" w:eastAsia="方正仿宋_GBK"/>
          <w:color w:val="000000"/>
          <w:sz w:val="32"/>
          <w:szCs w:val="32"/>
          <w:highlight w:val="none"/>
        </w:rPr>
        <w:t>（属地社区考核），另</w:t>
      </w:r>
      <w:r>
        <w:rPr>
          <w:rFonts w:ascii="Times New Roman" w:hAnsi="Times New Roman" w:eastAsia="方正仿宋_GBK"/>
          <w:color w:val="000000"/>
          <w:sz w:val="32"/>
          <w:szCs w:val="32"/>
          <w:highlight w:val="none"/>
        </w:rPr>
        <w:t>加分项2分，详见</w:t>
      </w:r>
      <w:r>
        <w:rPr>
          <w:rFonts w:hint="eastAsia" w:ascii="Times New Roman" w:hAnsi="Times New Roman" w:eastAsia="方正仿宋_GBK"/>
          <w:color w:val="000000"/>
          <w:sz w:val="32"/>
          <w:szCs w:val="32"/>
          <w:highlight w:val="none"/>
        </w:rPr>
        <w:t>附件2</w:t>
      </w:r>
      <w:r>
        <w:rPr>
          <w:rFonts w:ascii="Times New Roman" w:hAnsi="Times New Roman" w:eastAsia="方正仿宋_GBK"/>
          <w:color w:val="000000"/>
          <w:sz w:val="32"/>
          <w:szCs w:val="32"/>
          <w:highlight w:val="none"/>
        </w:rPr>
        <w:t>。</w:t>
      </w:r>
    </w:p>
    <w:p w14:paraId="51D22652">
      <w:pPr>
        <w:spacing w:line="560" w:lineRule="exact"/>
        <w:ind w:firstLine="627" w:firstLineChars="196"/>
        <w:rPr>
          <w:rFonts w:ascii="Times New Roman" w:hAnsi="Times New Roman" w:eastAsia="方正黑体_GBK"/>
          <w:color w:val="000000"/>
          <w:sz w:val="32"/>
          <w:szCs w:val="32"/>
          <w:highlight w:val="none"/>
        </w:rPr>
      </w:pPr>
      <w:r>
        <w:rPr>
          <w:rFonts w:hint="eastAsia" w:ascii="Times New Roman" w:hAnsi="Times New Roman" w:eastAsia="方正黑体_GBK"/>
          <w:color w:val="000000"/>
          <w:sz w:val="32"/>
          <w:szCs w:val="32"/>
          <w:highlight w:val="none"/>
        </w:rPr>
        <w:t>六</w:t>
      </w:r>
      <w:r>
        <w:rPr>
          <w:rFonts w:ascii="Times New Roman" w:hAnsi="Times New Roman" w:eastAsia="方正黑体_GBK"/>
          <w:color w:val="000000"/>
          <w:sz w:val="32"/>
          <w:szCs w:val="32"/>
          <w:highlight w:val="none"/>
        </w:rPr>
        <w:t>、考核运行时间</w:t>
      </w:r>
    </w:p>
    <w:p w14:paraId="1EA97FB5">
      <w:pPr>
        <w:spacing w:line="560" w:lineRule="exact"/>
        <w:ind w:firstLine="640" w:firstLineChars="2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方案试行1年，</w:t>
      </w:r>
      <w:r>
        <w:rPr>
          <w:rFonts w:hint="eastAsia" w:ascii="Times New Roman" w:hAnsi="Times New Roman" w:eastAsia="方正仿宋_GBK"/>
          <w:color w:val="000000"/>
          <w:sz w:val="32"/>
          <w:szCs w:val="32"/>
          <w:highlight w:val="none"/>
          <w:lang w:val="en-US" w:eastAsia="zh-CN"/>
        </w:rPr>
        <w:t>合同签订之日</w:t>
      </w:r>
      <w:r>
        <w:rPr>
          <w:rFonts w:ascii="Times New Roman" w:hAnsi="Times New Roman" w:eastAsia="方正仿宋_GBK"/>
          <w:color w:val="000000"/>
          <w:sz w:val="32"/>
          <w:szCs w:val="32"/>
          <w:highlight w:val="none"/>
        </w:rPr>
        <w:t>起全面实施。</w:t>
      </w:r>
    </w:p>
    <w:p w14:paraId="7AFF1588">
      <w:pPr>
        <w:spacing w:line="560" w:lineRule="exact"/>
        <w:ind w:firstLine="627" w:firstLineChars="196"/>
        <w:rPr>
          <w:rFonts w:ascii="Times New Roman" w:hAnsi="Times New Roman" w:eastAsia="方正黑体_GBK"/>
          <w:color w:val="000000"/>
          <w:sz w:val="32"/>
          <w:szCs w:val="32"/>
          <w:highlight w:val="none"/>
        </w:rPr>
      </w:pPr>
      <w:r>
        <w:rPr>
          <w:rFonts w:hint="eastAsia" w:ascii="Times New Roman" w:hAnsi="Times New Roman" w:eastAsia="方正黑体_GBK"/>
          <w:color w:val="000000"/>
          <w:sz w:val="32"/>
          <w:szCs w:val="32"/>
          <w:highlight w:val="none"/>
        </w:rPr>
        <w:t>七</w:t>
      </w:r>
      <w:r>
        <w:rPr>
          <w:rFonts w:ascii="Times New Roman" w:hAnsi="Times New Roman" w:eastAsia="方正黑体_GBK"/>
          <w:color w:val="000000"/>
          <w:sz w:val="32"/>
          <w:szCs w:val="32"/>
          <w:highlight w:val="none"/>
        </w:rPr>
        <w:t>、评定原则</w:t>
      </w:r>
    </w:p>
    <w:p w14:paraId="4BBC9F02">
      <w:pPr>
        <w:spacing w:line="560" w:lineRule="exact"/>
        <w:ind w:firstLine="640" w:firstLineChars="2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坚持公平、公正、公开的规范操作原则，确保考核结果公信力。坚持因地制宜、分类指导、突出重点、兼顾一般的原则，保证村庄长效管护运行机制的考核实效性。</w:t>
      </w:r>
    </w:p>
    <w:p w14:paraId="422A704A">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八、考核办法</w:t>
      </w:r>
    </w:p>
    <w:p w14:paraId="71DA16DA">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1、考核检查形式分为</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w:t>
      </w:r>
    </w:p>
    <w:p w14:paraId="0BF6504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日常管理考核：由江浦街道各社区考核小组负责，考核小组根据本办法中的考核内容加强日常管理考核，</w:t>
      </w:r>
      <w:r>
        <w:rPr>
          <w:rFonts w:hint="eastAsia" w:ascii="方正仿宋_GBK" w:eastAsia="方正仿宋_GBK" w:cs="宋体"/>
          <w:kern w:val="0"/>
          <w:sz w:val="32"/>
          <w:szCs w:val="32"/>
          <w:highlight w:val="none"/>
          <w:lang w:eastAsia="zh-CN"/>
        </w:rPr>
        <w:t>每周</w:t>
      </w:r>
      <w:r>
        <w:rPr>
          <w:rFonts w:hint="eastAsia" w:ascii="方正仿宋_GBK" w:eastAsia="方正仿宋_GBK" w:cs="宋体"/>
          <w:kern w:val="0"/>
          <w:sz w:val="32"/>
          <w:szCs w:val="32"/>
          <w:highlight w:val="none"/>
        </w:rPr>
        <w:t>不少于</w:t>
      </w:r>
      <w:r>
        <w:rPr>
          <w:rFonts w:hint="eastAsia" w:ascii="方正仿宋_GBK" w:eastAsia="方正仿宋_GBK" w:cs="宋体"/>
          <w:kern w:val="0"/>
          <w:sz w:val="32"/>
          <w:szCs w:val="32"/>
          <w:highlight w:val="none"/>
          <w:lang w:val="en-US" w:eastAsia="zh-CN"/>
        </w:rPr>
        <w:t>2</w:t>
      </w:r>
      <w:r>
        <w:rPr>
          <w:rFonts w:hint="eastAsia" w:ascii="方正仿宋_GBK" w:eastAsia="方正仿宋_GBK" w:cs="宋体"/>
          <w:kern w:val="0"/>
          <w:sz w:val="32"/>
          <w:szCs w:val="32"/>
          <w:highlight w:val="none"/>
        </w:rPr>
        <w:t>次。在每月最终考核结果评议时，将日常管理考核月平均分的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%计入月考核最终得分。</w:t>
      </w:r>
    </w:p>
    <w:p w14:paraId="2F3580B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专项考核：由街道农服中心、水务站、妇联、</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部门人员以社区为单元进行专项考核，</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专项考核，每</w:t>
      </w:r>
      <w:r>
        <w:rPr>
          <w:rFonts w:hint="eastAsia" w:ascii="方正仿宋_GBK" w:eastAsia="方正仿宋_GBK" w:cs="宋体"/>
          <w:kern w:val="0"/>
          <w:sz w:val="32"/>
          <w:szCs w:val="32"/>
          <w:highlight w:val="none"/>
          <w:lang w:eastAsia="zh-CN"/>
        </w:rPr>
        <w:t>周</w:t>
      </w:r>
      <w:r>
        <w:rPr>
          <w:rFonts w:hint="eastAsia" w:ascii="方正仿宋_GBK" w:eastAsia="方正仿宋_GBK" w:cs="宋体"/>
          <w:kern w:val="0"/>
          <w:sz w:val="32"/>
          <w:szCs w:val="32"/>
          <w:highlight w:val="none"/>
        </w:rPr>
        <w:t>不少于</w:t>
      </w:r>
      <w:r>
        <w:rPr>
          <w:rFonts w:hint="eastAsia" w:ascii="方正仿宋_GBK" w:eastAsia="方正仿宋_GBK" w:cs="宋体"/>
          <w:kern w:val="0"/>
          <w:sz w:val="32"/>
          <w:szCs w:val="32"/>
          <w:highlight w:val="none"/>
          <w:lang w:val="en-US" w:eastAsia="zh-CN"/>
        </w:rPr>
        <w:t>1</w:t>
      </w:r>
      <w:r>
        <w:rPr>
          <w:rFonts w:hint="eastAsia" w:ascii="方正仿宋_GBK" w:eastAsia="方正仿宋_GBK" w:cs="宋体"/>
          <w:kern w:val="0"/>
          <w:sz w:val="32"/>
          <w:szCs w:val="32"/>
          <w:highlight w:val="none"/>
        </w:rPr>
        <w:t>次。在每月最终考核结果评议时，将</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专项考核月平均分的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%计入月考核最终得分。</w:t>
      </w:r>
    </w:p>
    <w:p w14:paraId="4F2F139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（3）所有考核均以社区为单元进行。</w:t>
      </w:r>
    </w:p>
    <w:p w14:paraId="7CA5622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日常管理考核以社区为主体，每次采取百分制考核扣分，最终以月均考核分数的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%计入最终考核。</w:t>
      </w:r>
    </w:p>
    <w:p w14:paraId="470FFBB4">
      <w:pPr>
        <w:spacing w:line="560" w:lineRule="exact"/>
        <w:ind w:firstLine="640" w:firstLineChars="200"/>
        <w:rPr>
          <w:rFonts w:ascii="Times New Roman" w:hAnsi="Times New Roman" w:eastAsia="方正仿宋_GBK"/>
          <w:color w:val="000000"/>
          <w:sz w:val="32"/>
          <w:szCs w:val="32"/>
          <w:highlight w:val="none"/>
        </w:rPr>
      </w:pPr>
      <w:r>
        <w:rPr>
          <w:rFonts w:hint="eastAsia" w:ascii="方正仿宋_GBK" w:eastAsia="方正仿宋_GBK" w:cs="宋体"/>
          <w:kern w:val="0"/>
          <w:sz w:val="32"/>
          <w:szCs w:val="32"/>
          <w:highlight w:val="none"/>
        </w:rPr>
        <w:t>专项考核以部门为主体，每次采取百分制考核扣分，最终以月均考核分数的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%计入最终考核。</w:t>
      </w:r>
      <w:r>
        <w:rPr>
          <w:rFonts w:hint="eastAsia" w:ascii="Times New Roman" w:hAnsi="Times New Roman" w:eastAsia="方正仿宋_GBK"/>
          <w:color w:val="000000"/>
          <w:sz w:val="32"/>
          <w:szCs w:val="32"/>
          <w:highlight w:val="none"/>
        </w:rPr>
        <w:t>部门每次根据附件2中各部门对应的分值进行考核扣分，部门总分为扣分上限分值。</w:t>
      </w:r>
    </w:p>
    <w:p w14:paraId="683445D0">
      <w:pPr>
        <w:spacing w:line="560" w:lineRule="exact"/>
        <w:ind w:firstLine="601"/>
        <w:rPr>
          <w:rFonts w:ascii="Times New Roman" w:hAnsi="Times New Roman" w:eastAsia="方正仿宋_GBK"/>
          <w:color w:val="000000"/>
          <w:sz w:val="32"/>
          <w:szCs w:val="32"/>
          <w:highlight w:val="none"/>
        </w:rPr>
      </w:pPr>
      <w:r>
        <w:rPr>
          <w:rFonts w:hint="eastAsia" w:ascii="方正仿宋_GBK" w:eastAsia="方正仿宋_GBK" w:cs="宋体"/>
          <w:kern w:val="0"/>
          <w:sz w:val="32"/>
          <w:szCs w:val="32"/>
          <w:highlight w:val="none"/>
        </w:rPr>
        <w:t>2</w:t>
      </w:r>
      <w:r>
        <w:rPr>
          <w:rFonts w:hint="eastAsia" w:ascii="Times New Roman" w:hAnsi="Times New Roman"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社区</w:t>
      </w:r>
      <w:r>
        <w:rPr>
          <w:rFonts w:hint="eastAsia" w:ascii="Times New Roman" w:hAnsi="Times New Roman" w:eastAsia="方正仿宋_GBK"/>
          <w:color w:val="000000"/>
          <w:sz w:val="32"/>
          <w:szCs w:val="32"/>
          <w:highlight w:val="none"/>
        </w:rPr>
        <w:t>一周</w:t>
      </w:r>
      <w:r>
        <w:rPr>
          <w:rFonts w:hint="eastAsia" w:ascii="Times New Roman" w:hAnsi="Times New Roman" w:eastAsia="方正仿宋_GBK"/>
          <w:color w:val="000000"/>
          <w:sz w:val="32"/>
          <w:szCs w:val="32"/>
          <w:highlight w:val="none"/>
          <w:lang w:eastAsia="zh-CN"/>
        </w:rPr>
        <w:t>二次</w:t>
      </w:r>
      <w:r>
        <w:rPr>
          <w:rFonts w:hint="eastAsia" w:ascii="Times New Roman" w:hAnsi="Times New Roman" w:eastAsia="方正仿宋_GBK"/>
          <w:color w:val="000000"/>
          <w:sz w:val="32"/>
          <w:szCs w:val="32"/>
          <w:highlight w:val="none"/>
        </w:rPr>
        <w:t>考核，</w:t>
      </w:r>
      <w:r>
        <w:rPr>
          <w:rFonts w:hint="eastAsia" w:ascii="Times New Roman" w:hAnsi="Times New Roman" w:eastAsia="方正仿宋_GBK"/>
          <w:color w:val="000000"/>
          <w:sz w:val="32"/>
          <w:szCs w:val="32"/>
          <w:highlight w:val="none"/>
          <w:lang w:eastAsia="zh-CN"/>
        </w:rPr>
        <w:t>部门一周一考核，</w:t>
      </w:r>
      <w:r>
        <w:rPr>
          <w:rFonts w:hint="eastAsia" w:ascii="Times New Roman" w:hAnsi="Times New Roman" w:eastAsia="方正仿宋_GBK"/>
          <w:color w:val="000000"/>
          <w:sz w:val="32"/>
          <w:szCs w:val="32"/>
          <w:highlight w:val="none"/>
        </w:rPr>
        <w:t>一月一通报。</w:t>
      </w:r>
    </w:p>
    <w:p w14:paraId="662CC208">
      <w:pPr>
        <w:spacing w:line="560" w:lineRule="exact"/>
        <w:ind w:firstLine="601"/>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每周各部门根据工作安排，针对考核</w:t>
      </w:r>
      <w:r>
        <w:rPr>
          <w:rFonts w:hint="eastAsia" w:ascii="Times New Roman" w:hAnsi="Times New Roman" w:eastAsia="方正仿宋_GBK"/>
          <w:color w:val="000000"/>
          <w:sz w:val="32"/>
          <w:szCs w:val="32"/>
          <w:highlight w:val="none"/>
        </w:rPr>
        <w:t>内容实地</w:t>
      </w:r>
      <w:r>
        <w:rPr>
          <w:rFonts w:ascii="Times New Roman" w:hAnsi="Times New Roman" w:eastAsia="方正仿宋_GBK"/>
          <w:color w:val="000000"/>
          <w:sz w:val="32"/>
          <w:szCs w:val="32"/>
          <w:highlight w:val="none"/>
        </w:rPr>
        <w:t>检查，</w:t>
      </w:r>
      <w:r>
        <w:rPr>
          <w:rFonts w:hint="eastAsia" w:ascii="Times New Roman" w:hAnsi="Times New Roman" w:eastAsia="方正仿宋_GBK"/>
          <w:color w:val="000000"/>
          <w:sz w:val="32"/>
          <w:szCs w:val="32"/>
          <w:highlight w:val="none"/>
        </w:rPr>
        <w:t>将</w:t>
      </w:r>
      <w:r>
        <w:rPr>
          <w:rFonts w:ascii="Times New Roman" w:hAnsi="Times New Roman" w:eastAsia="方正仿宋_GBK"/>
          <w:color w:val="000000"/>
          <w:sz w:val="32"/>
          <w:szCs w:val="32"/>
          <w:highlight w:val="none"/>
        </w:rPr>
        <w:t>问题形成菜单发至</w:t>
      </w:r>
      <w:r>
        <w:rPr>
          <w:rFonts w:hint="eastAsia" w:ascii="Times New Roman" w:hAnsi="Times New Roman" w:eastAsia="方正仿宋_GBK"/>
          <w:color w:val="000000"/>
          <w:sz w:val="32"/>
          <w:szCs w:val="32"/>
          <w:highlight w:val="none"/>
          <w:lang w:eastAsia="zh-CN"/>
        </w:rPr>
        <w:t>江浦街道综合行政执法和安全生产监督管理办公室，由江浦街道综合行政执法和安全生产监督管理办公室发至</w:t>
      </w:r>
      <w:r>
        <w:rPr>
          <w:rFonts w:hint="eastAsia" w:ascii="Times New Roman" w:hAnsi="Times New Roman" w:eastAsia="方正仿宋_GBK"/>
          <w:color w:val="000000"/>
          <w:sz w:val="32"/>
          <w:szCs w:val="32"/>
          <w:highlight w:val="none"/>
        </w:rPr>
        <w:t>外包公司</w:t>
      </w:r>
      <w:r>
        <w:rPr>
          <w:rFonts w:hint="eastAsia" w:ascii="Times New Roman" w:hAnsi="Times New Roman" w:eastAsia="方正仿宋_GBK"/>
          <w:color w:val="000000"/>
          <w:sz w:val="32"/>
          <w:szCs w:val="32"/>
          <w:highlight w:val="none"/>
          <w:lang w:eastAsia="zh-CN"/>
        </w:rPr>
        <w:t>和社区，限定</w:t>
      </w:r>
      <w:r>
        <w:rPr>
          <w:rFonts w:ascii="Times New Roman" w:hAnsi="Times New Roman" w:eastAsia="方正仿宋_GBK"/>
          <w:color w:val="000000"/>
          <w:sz w:val="32"/>
          <w:szCs w:val="32"/>
          <w:highlight w:val="none"/>
        </w:rPr>
        <w:t>整改</w:t>
      </w:r>
      <w:r>
        <w:rPr>
          <w:rFonts w:hint="eastAsia" w:ascii="Times New Roman" w:hAnsi="Times New Roman" w:eastAsia="方正仿宋_GBK"/>
          <w:color w:val="000000"/>
          <w:sz w:val="32"/>
          <w:szCs w:val="32"/>
          <w:highlight w:val="none"/>
          <w:lang w:eastAsia="zh-CN"/>
        </w:rPr>
        <w:t>时效内</w:t>
      </w:r>
      <w:r>
        <w:rPr>
          <w:rFonts w:hint="eastAsia" w:ascii="Times New Roman" w:hAnsi="Times New Roman" w:eastAsia="方正仿宋_GBK"/>
          <w:color w:val="000000"/>
          <w:sz w:val="32"/>
          <w:szCs w:val="32"/>
          <w:highlight w:val="none"/>
        </w:rPr>
        <w:t>反馈</w:t>
      </w:r>
      <w:r>
        <w:rPr>
          <w:rFonts w:ascii="Times New Roman" w:hAnsi="Times New Roman" w:eastAsia="方正仿宋_GBK"/>
          <w:color w:val="000000"/>
          <w:sz w:val="32"/>
          <w:szCs w:val="32"/>
          <w:highlight w:val="none"/>
        </w:rPr>
        <w:t>。</w:t>
      </w:r>
      <w:r>
        <w:rPr>
          <w:rFonts w:hint="eastAsia" w:ascii="Times New Roman" w:hAnsi="Times New Roman" w:eastAsia="方正仿宋_GBK"/>
          <w:color w:val="000000"/>
          <w:sz w:val="32"/>
          <w:szCs w:val="32"/>
          <w:highlight w:val="none"/>
        </w:rPr>
        <w:t>并采取“回头看”形式，</w:t>
      </w:r>
      <w:r>
        <w:rPr>
          <w:rFonts w:ascii="Times New Roman" w:hAnsi="Times New Roman" w:eastAsia="方正仿宋_GBK"/>
          <w:color w:val="000000"/>
          <w:sz w:val="32"/>
          <w:szCs w:val="32"/>
          <w:highlight w:val="none"/>
        </w:rPr>
        <w:t>根据每周的检查整改情况</w:t>
      </w:r>
      <w:r>
        <w:rPr>
          <w:rFonts w:hint="eastAsia" w:ascii="Times New Roman" w:hAnsi="Times New Roman" w:eastAsia="方正仿宋_GBK"/>
          <w:color w:val="000000"/>
          <w:sz w:val="32"/>
          <w:szCs w:val="32"/>
          <w:highlight w:val="none"/>
        </w:rPr>
        <w:t>对外包</w:t>
      </w:r>
      <w:r>
        <w:rPr>
          <w:rFonts w:ascii="Times New Roman" w:hAnsi="Times New Roman" w:eastAsia="方正仿宋_GBK"/>
          <w:color w:val="000000"/>
          <w:sz w:val="32"/>
          <w:szCs w:val="32"/>
          <w:highlight w:val="none"/>
        </w:rPr>
        <w:t>进行考核打分，</w:t>
      </w:r>
      <w:r>
        <w:rPr>
          <w:rFonts w:hint="eastAsia" w:ascii="Times New Roman" w:hAnsi="Times New Roman" w:eastAsia="方正仿宋_GBK"/>
          <w:color w:val="000000"/>
          <w:sz w:val="32"/>
          <w:szCs w:val="32"/>
          <w:highlight w:val="none"/>
        </w:rPr>
        <w:t>考核结果每月由</w:t>
      </w:r>
      <w:r>
        <w:rPr>
          <w:rFonts w:hint="eastAsia" w:ascii="Times New Roman" w:hAnsi="Times New Roman" w:eastAsia="方正仿宋_GBK"/>
          <w:color w:val="000000"/>
          <w:sz w:val="32"/>
          <w:szCs w:val="32"/>
          <w:highlight w:val="none"/>
          <w:lang w:eastAsia="zh-CN"/>
        </w:rPr>
        <w:t>个部门，社区</w:t>
      </w:r>
      <w:r>
        <w:rPr>
          <w:rFonts w:hint="eastAsia" w:ascii="Times New Roman" w:hAnsi="Times New Roman" w:eastAsia="方正仿宋_GBK"/>
          <w:color w:val="000000"/>
          <w:sz w:val="32"/>
          <w:szCs w:val="32"/>
          <w:highlight w:val="none"/>
        </w:rPr>
        <w:t>办公室汇总至</w:t>
      </w:r>
      <w:r>
        <w:rPr>
          <w:rFonts w:ascii="Times New Roman" w:hAnsi="Times New Roman" w:eastAsia="方正仿宋_GBK"/>
          <w:color w:val="000000"/>
          <w:sz w:val="32"/>
          <w:szCs w:val="32"/>
          <w:highlight w:val="none"/>
        </w:rPr>
        <w:t>督察办</w:t>
      </w:r>
      <w:r>
        <w:rPr>
          <w:rFonts w:hint="eastAsia" w:ascii="Times New Roman" w:hAnsi="Times New Roman" w:eastAsia="方正仿宋_GBK"/>
          <w:color w:val="000000"/>
          <w:sz w:val="32"/>
          <w:szCs w:val="32"/>
          <w:highlight w:val="none"/>
        </w:rPr>
        <w:t>，督察办</w:t>
      </w:r>
      <w:r>
        <w:rPr>
          <w:rFonts w:ascii="Times New Roman" w:hAnsi="Times New Roman" w:eastAsia="方正仿宋_GBK"/>
          <w:color w:val="000000"/>
          <w:sz w:val="32"/>
          <w:szCs w:val="32"/>
          <w:highlight w:val="none"/>
        </w:rPr>
        <w:t>将每月考核情况呈报主要领导，并在重点工作会议上进行通报。</w:t>
      </w:r>
    </w:p>
    <w:p w14:paraId="4AFCB67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考核扣分注意事项：对于暴露垃圾、垃圾桶漫溢、偷倒建筑垃圾、河道漂浮物、违规张贴、公厕保洁等常规化保洁方面缺失的，以及受到上级单位考核通报扣分的，采取直接扣分形式；对于大量杂物乱堆放等复杂性问题，根据整改反馈率进行扣分。</w:t>
      </w:r>
    </w:p>
    <w:p w14:paraId="523B0001">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九、考核结果评议与扣款规则</w:t>
      </w:r>
    </w:p>
    <w:p w14:paraId="6210265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1、考核结果评议：每月进行一次，承包单位当月最终考核得分=（</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日常管理考核月平均分×</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专项考核月平均分×</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eastAsia="zh-CN"/>
        </w:rPr>
        <w:t>，</w:t>
      </w:r>
      <w:r>
        <w:rPr>
          <w:rFonts w:hint="eastAsia" w:ascii="方正仿宋_GBK" w:eastAsia="方正仿宋_GBK" w:cs="宋体"/>
          <w:kern w:val="0"/>
          <w:sz w:val="32"/>
          <w:szCs w:val="32"/>
          <w:highlight w:val="none"/>
          <w:lang w:val="en-US" w:eastAsia="zh-CN"/>
        </w:rPr>
        <w:t>考核得分四舍五入保留整数(如：90.2最终保留为90分，90.5最终保留为91分)</w:t>
      </w:r>
      <w:r>
        <w:rPr>
          <w:rFonts w:hint="eastAsia" w:ascii="方正仿宋_GBK" w:eastAsia="方正仿宋_GBK" w:cs="宋体"/>
          <w:kern w:val="0"/>
          <w:sz w:val="32"/>
          <w:szCs w:val="32"/>
          <w:highlight w:val="none"/>
        </w:rPr>
        <w:t>。</w:t>
      </w:r>
    </w:p>
    <w:p w14:paraId="3EB2EB60">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2、评分：根据考核打分办法与标准，每</w:t>
      </w:r>
      <w:r>
        <w:rPr>
          <w:rFonts w:hint="eastAsia" w:ascii="方正仿宋_GBK" w:eastAsia="方正仿宋_GBK" w:cs="宋体"/>
          <w:kern w:val="0"/>
          <w:sz w:val="32"/>
          <w:szCs w:val="32"/>
          <w:highlight w:val="none"/>
          <w:lang w:eastAsia="zh-CN"/>
        </w:rPr>
        <w:t>月</w:t>
      </w:r>
      <w:r>
        <w:rPr>
          <w:rFonts w:hint="eastAsia" w:ascii="方正仿宋_GBK" w:eastAsia="方正仿宋_GBK" w:cs="宋体"/>
          <w:kern w:val="0"/>
          <w:sz w:val="32"/>
          <w:szCs w:val="32"/>
          <w:highlight w:val="none"/>
          <w:lang w:val="en-US" w:eastAsia="zh-CN"/>
        </w:rPr>
        <w:t>25日前对</w:t>
      </w:r>
      <w:r>
        <w:rPr>
          <w:rFonts w:hint="eastAsia" w:ascii="方正仿宋_GBK" w:eastAsia="方正仿宋_GBK" w:cs="宋体"/>
          <w:kern w:val="0"/>
          <w:sz w:val="32"/>
          <w:szCs w:val="32"/>
          <w:highlight w:val="none"/>
        </w:rPr>
        <w:t>考核评分结果进行一次记录，由江浦街道</w:t>
      </w:r>
      <w:r>
        <w:rPr>
          <w:rFonts w:hint="eastAsia" w:ascii="方正仿宋_GBK" w:eastAsia="方正仿宋_GBK" w:cs="宋体"/>
          <w:kern w:val="0"/>
          <w:sz w:val="32"/>
          <w:szCs w:val="32"/>
          <w:highlight w:val="none"/>
          <w:lang w:eastAsia="zh-CN"/>
        </w:rPr>
        <w:t>江浦街道综合行政执法和安全生产监督管理办公室对部门考核情况</w:t>
      </w:r>
      <w:r>
        <w:rPr>
          <w:rFonts w:hint="eastAsia" w:ascii="方正仿宋_GBK" w:eastAsia="方正仿宋_GBK" w:cs="宋体"/>
          <w:kern w:val="0"/>
          <w:sz w:val="32"/>
          <w:szCs w:val="32"/>
          <w:highlight w:val="none"/>
        </w:rPr>
        <w:t>进行一次汇总</w:t>
      </w:r>
      <w:r>
        <w:rPr>
          <w:rFonts w:hint="eastAsia" w:ascii="方正仿宋_GBK" w:eastAsia="方正仿宋_GBK" w:cs="宋体"/>
          <w:kern w:val="0"/>
          <w:sz w:val="32"/>
          <w:szCs w:val="32"/>
          <w:highlight w:val="none"/>
          <w:lang w:eastAsia="zh-CN"/>
        </w:rPr>
        <w:t>并转发至各社区，由社区</w:t>
      </w:r>
      <w:r>
        <w:rPr>
          <w:rFonts w:hint="eastAsia" w:ascii="方正仿宋_GBK" w:eastAsia="方正仿宋_GBK" w:cs="宋体"/>
          <w:kern w:val="0"/>
          <w:sz w:val="32"/>
          <w:szCs w:val="32"/>
          <w:highlight w:val="none"/>
        </w:rPr>
        <w:t>按规定计算出承包单位当月最终考核得分。</w:t>
      </w:r>
    </w:p>
    <w:p w14:paraId="071F611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3、扣分罚款细则</w:t>
      </w:r>
    </w:p>
    <w:p w14:paraId="3395385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ascii="Times New Roman" w:hAnsi="Times New Roman" w:eastAsia="方正仿宋_GBK"/>
          <w:color w:val="000000"/>
          <w:sz w:val="32"/>
          <w:szCs w:val="32"/>
          <w:highlight w:val="none"/>
        </w:rPr>
        <w:t>考核满分为100分，考核结果分为</w:t>
      </w:r>
      <w:r>
        <w:rPr>
          <w:rFonts w:hint="eastAsia" w:ascii="Times New Roman" w:hAnsi="Times New Roman" w:eastAsia="方正仿宋_GBK"/>
          <w:color w:val="000000"/>
          <w:sz w:val="32"/>
          <w:szCs w:val="32"/>
          <w:highlight w:val="none"/>
          <w:lang w:val="en-US" w:eastAsia="zh-CN"/>
        </w:rPr>
        <w:t>3</w:t>
      </w:r>
      <w:r>
        <w:rPr>
          <w:rFonts w:ascii="Times New Roman" w:hAnsi="Times New Roman" w:eastAsia="方正仿宋_GBK"/>
          <w:color w:val="000000"/>
          <w:sz w:val="32"/>
          <w:szCs w:val="32"/>
          <w:highlight w:val="none"/>
        </w:rPr>
        <w:t>个档次</w:t>
      </w:r>
      <w:r>
        <w:rPr>
          <w:rFonts w:hint="eastAsia" w:ascii="Times New Roman" w:hAnsi="Times New Roman" w:eastAsia="方正仿宋_GBK"/>
          <w:color w:val="000000"/>
          <w:sz w:val="32"/>
          <w:szCs w:val="32"/>
          <w:highlight w:val="none"/>
        </w:rPr>
        <w:t>，</w:t>
      </w:r>
      <w:r>
        <w:rPr>
          <w:rFonts w:hint="eastAsia" w:ascii="方正仿宋_GBK" w:eastAsia="方正仿宋_GBK" w:cs="宋体"/>
          <w:kern w:val="0"/>
          <w:sz w:val="32"/>
          <w:szCs w:val="32"/>
          <w:highlight w:val="none"/>
        </w:rPr>
        <w:t>月最终考核得分95分（含95分）以上的，全额拨付当月承包费；得分在95分-90分（含90分），</w:t>
      </w:r>
      <w:r>
        <w:rPr>
          <w:rFonts w:hint="eastAsia" w:ascii="方正仿宋_GBK" w:eastAsia="方正仿宋_GBK" w:cs="宋体"/>
          <w:kern w:val="0"/>
          <w:sz w:val="32"/>
          <w:szCs w:val="32"/>
          <w:highlight w:val="none"/>
          <w:lang w:val="en-US" w:eastAsia="zh-CN"/>
        </w:rPr>
        <w:t>每扣一分扣减2000元</w:t>
      </w:r>
      <w:r>
        <w:rPr>
          <w:rFonts w:hint="eastAsia" w:ascii="方正仿宋_GBK" w:eastAsia="方正仿宋_GBK" w:cs="宋体"/>
          <w:kern w:val="0"/>
          <w:sz w:val="32"/>
          <w:szCs w:val="32"/>
          <w:highlight w:val="none"/>
        </w:rPr>
        <w:t>；得分在90分-8</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分（含8</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分），</w:t>
      </w:r>
      <w:r>
        <w:rPr>
          <w:rFonts w:hint="eastAsia" w:ascii="方正仿宋_GBK" w:eastAsia="方正仿宋_GBK" w:cs="宋体"/>
          <w:kern w:val="0"/>
          <w:sz w:val="32"/>
          <w:szCs w:val="32"/>
          <w:highlight w:val="none"/>
          <w:lang w:val="en-US" w:eastAsia="zh-CN"/>
        </w:rPr>
        <w:t>每扣一分扣减4000元</w:t>
      </w:r>
      <w:r>
        <w:rPr>
          <w:rFonts w:hint="eastAsia" w:ascii="方正仿宋_GBK" w:eastAsia="方正仿宋_GBK" w:cs="宋体"/>
          <w:kern w:val="0"/>
          <w:sz w:val="32"/>
          <w:szCs w:val="32"/>
          <w:highlight w:val="none"/>
        </w:rPr>
        <w:t>；得分在80分以下需无条件直接退场。扣分罚款在每季度服务承包费中扣除。</w:t>
      </w:r>
    </w:p>
    <w:p w14:paraId="55F2ECA6">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（2）同一作业班次、同一地点、同一问题考评不重复扣分。</w:t>
      </w:r>
    </w:p>
    <w:p w14:paraId="1C5246B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实行村庄“三定”管理，定村庄保洁人员数、定村庄保洁人员岗位、定保洁人员职责，考核时如村庄保洁人员无按规定配备，按人工工价和人数从每季度承包款中抵扣，一直到人员按规定配备到位为止，同时进行扣分。</w:t>
      </w:r>
    </w:p>
    <w:p w14:paraId="59D70D2B">
      <w:pPr>
        <w:autoSpaceDE w:val="0"/>
        <w:autoSpaceDN w:val="0"/>
        <w:adjustRightInd w:val="0"/>
        <w:spacing w:line="560" w:lineRule="exact"/>
        <w:ind w:firstLine="640" w:firstLineChars="200"/>
        <w:rPr>
          <w:rFonts w:hint="eastAsia" w:ascii="方正仿宋_GBK" w:eastAsia="方正仿宋_GBK" w:cs="宋体"/>
          <w:kern w:val="0"/>
          <w:sz w:val="32"/>
          <w:szCs w:val="32"/>
          <w:highlight w:val="none"/>
        </w:rPr>
      </w:pPr>
      <w:r>
        <w:rPr>
          <w:rFonts w:hint="eastAsia" w:ascii="方正仿宋_GBK" w:eastAsia="方正仿宋_GBK" w:cs="宋体"/>
          <w:kern w:val="0"/>
          <w:sz w:val="32"/>
          <w:szCs w:val="32"/>
          <w:highlight w:val="none"/>
        </w:rPr>
        <w:t>（4）承包方未及时落实整改或整改不符合标准的，采购人通过雇佣其他作业队伍进行整改，所需费用在承包款中抵扣，并视情节予以扣分。</w:t>
      </w:r>
    </w:p>
    <w:p w14:paraId="71AF2122">
      <w:pPr>
        <w:autoSpaceDE w:val="0"/>
        <w:autoSpaceDN w:val="0"/>
        <w:adjustRightInd w:val="0"/>
        <w:spacing w:line="560" w:lineRule="exact"/>
        <w:ind w:firstLine="640" w:firstLineChars="200"/>
        <w:rPr>
          <w:rFonts w:hint="eastAsia" w:ascii="方正仿宋_GBK" w:eastAsia="方正仿宋_GBK" w:cs="宋体"/>
          <w:kern w:val="0"/>
          <w:sz w:val="32"/>
          <w:szCs w:val="32"/>
          <w:highlight w:val="none"/>
          <w:lang w:eastAsia="zh-CN"/>
        </w:rPr>
      </w:pPr>
      <w:r>
        <w:rPr>
          <w:rFonts w:hint="eastAsia" w:ascii="方正仿宋_GBK" w:eastAsia="方正仿宋_GBK" w:cs="宋体"/>
          <w:kern w:val="0"/>
          <w:sz w:val="32"/>
          <w:szCs w:val="32"/>
          <w:highlight w:val="none"/>
          <w:lang w:eastAsia="zh-CN"/>
        </w:rPr>
        <w:t>（</w:t>
      </w:r>
      <w:r>
        <w:rPr>
          <w:rFonts w:hint="eastAsia" w:ascii="方正仿宋_GBK" w:eastAsia="方正仿宋_GBK" w:cs="宋体"/>
          <w:kern w:val="0"/>
          <w:sz w:val="32"/>
          <w:szCs w:val="32"/>
          <w:highlight w:val="none"/>
          <w:lang w:val="en-US" w:eastAsia="zh-CN"/>
        </w:rPr>
        <w:t>5</w:t>
      </w:r>
      <w:r>
        <w:rPr>
          <w:rFonts w:hint="eastAsia" w:ascii="方正仿宋_GBK" w:eastAsia="方正仿宋_GBK" w:cs="宋体"/>
          <w:kern w:val="0"/>
          <w:sz w:val="32"/>
          <w:szCs w:val="32"/>
          <w:highlight w:val="none"/>
          <w:lang w:eastAsia="zh-CN"/>
        </w:rPr>
        <w:t>）村庄自然村组内</w:t>
      </w:r>
      <w:r>
        <w:rPr>
          <w:rFonts w:hint="eastAsia" w:ascii="方正仿宋_GBK" w:hAnsi="方正仿宋_GBK" w:eastAsia="方正仿宋_GBK" w:cs="方正仿宋_GBK"/>
          <w:sz w:val="32"/>
          <w:szCs w:val="32"/>
          <w:highlight w:val="none"/>
          <w:lang w:val="en-US" w:eastAsia="zh-CN"/>
        </w:rPr>
        <w:t>发现超过100m³的偷倒垃圾，一票否决直接扣除当月考核分数；</w:t>
      </w:r>
    </w:p>
    <w:p w14:paraId="393B80BE">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十、如果出现以下现象之一，随时解除合同，并赔偿损失。</w:t>
      </w:r>
    </w:p>
    <w:p w14:paraId="31184459">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（1）承包人在服务期一年内（以作业周期计算）累计出现3次以上（含3次）月考核评分低于80分，随时解除合同，并没收承包人的履约保证金作为违约金。</w:t>
      </w:r>
    </w:p>
    <w:p w14:paraId="3F8FC26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（2）承包人在服务期一年内（以作业周期计算）累计出现3 次以上（含3 次）月考核抽查上门（楼）收集垃圾户数低于80%，随时解除合同，并没收承包人的履约保证金作为违约金。</w:t>
      </w:r>
    </w:p>
    <w:p w14:paraId="37700B7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（3）承包人在服务期间因管理不善导致出现安全事故，并在社会上造成不良影响及严重后果的。</w:t>
      </w:r>
    </w:p>
    <w:p w14:paraId="050A1E10">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（4）任何由承包人的管理工作而引起的劳资纠纷问题影响正常作业的，街道有权另行聘请人员确保正常保洁工作，所产生的费用在承包款中抵扣。情节严重的，有权解除合同。</w:t>
      </w:r>
    </w:p>
    <w:p w14:paraId="28F09AE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5）中标企业试用期为一个月，试用期满后，采购人将对中标企业的技术力量、服务质量、服务成果等进行考核。考核月度由采购人组织街道相关部门、社区、行政村人员进行评价打分，以平均分作为最终得分。中标企业试用期考核当月考评分值得分如在80分以下，采购人有权终止合同，同时没收履约保证金。</w:t>
      </w:r>
    </w:p>
    <w:p w14:paraId="0192B90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（6）承包人出现有违约而解除合同的，三年内不得参与江浦街道政府采购的环卫保洁和垃圾转运项目的投标。</w:t>
      </w:r>
    </w:p>
    <w:p w14:paraId="0C4DBF5C">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十一、说明</w:t>
      </w:r>
    </w:p>
    <w:p w14:paraId="6E106F5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本考核管理办法自合同签订后实施，合同执行期间采购人有权根据实际运行情况可作出相应调整，承包单位应无条件服从。</w:t>
      </w:r>
    </w:p>
    <w:p w14:paraId="631D2BD4">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十二、解释权</w:t>
      </w:r>
    </w:p>
    <w:p w14:paraId="13D6D055">
      <w:pPr>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本考核管理办法解释权归浦口区江浦街道办事处。</w:t>
      </w:r>
    </w:p>
    <w:p w14:paraId="02FCD884">
      <w:pPr>
        <w:spacing w:line="560" w:lineRule="exact"/>
        <w:ind w:firstLine="640" w:firstLineChars="200"/>
        <w:rPr>
          <w:rFonts w:ascii="方正仿宋_GBK" w:eastAsia="方正仿宋_GBK" w:cs="宋体"/>
          <w:kern w:val="0"/>
          <w:sz w:val="32"/>
          <w:szCs w:val="32"/>
          <w:highlight w:val="none"/>
        </w:rPr>
      </w:pPr>
    </w:p>
    <w:p w14:paraId="10493867">
      <w:pPr>
        <w:spacing w:line="560" w:lineRule="exact"/>
        <w:ind w:firstLine="640" w:firstLineChars="200"/>
        <w:rPr>
          <w:rFonts w:hint="eastAsia" w:ascii="方正仿宋_GBK" w:eastAsia="方正仿宋_GBK" w:cs="宋体"/>
          <w:kern w:val="0"/>
          <w:sz w:val="32"/>
          <w:szCs w:val="32"/>
          <w:highlight w:val="none"/>
          <w:lang w:val="en-US" w:eastAsia="zh-CN"/>
        </w:rPr>
      </w:pPr>
      <w:r>
        <w:rPr>
          <w:rFonts w:hint="eastAsia" w:ascii="方正仿宋_GBK" w:eastAsia="方正仿宋_GBK" w:cs="宋体"/>
          <w:kern w:val="0"/>
          <w:sz w:val="32"/>
          <w:szCs w:val="32"/>
          <w:highlight w:val="none"/>
        </w:rPr>
        <w:t>附件：1.</w:t>
      </w:r>
      <w:r>
        <w:rPr>
          <w:rFonts w:hint="eastAsia" w:ascii="方正仿宋_GBK" w:eastAsia="方正仿宋_GBK" w:cs="宋体"/>
          <w:kern w:val="0"/>
          <w:sz w:val="32"/>
          <w:szCs w:val="32"/>
          <w:highlight w:val="none"/>
          <w:lang w:val="en-US" w:eastAsia="zh-CN"/>
        </w:rPr>
        <w:t>2025年农村人居环境长效管护服务采购项目</w:t>
      </w:r>
    </w:p>
    <w:p w14:paraId="11885611">
      <w:pPr>
        <w:spacing w:line="560" w:lineRule="exact"/>
        <w:ind w:firstLine="640" w:firstLineChars="200"/>
        <w:rPr>
          <w:rFonts w:ascii="方正仿宋_GBK" w:eastAsia="方正仿宋_GBK" w:cs="宋体"/>
          <w:kern w:val="0"/>
          <w:sz w:val="32"/>
          <w:szCs w:val="32"/>
          <w:highlight w:val="none"/>
        </w:rPr>
      </w:pPr>
    </w:p>
    <w:p w14:paraId="475E64CE">
      <w:pPr>
        <w:spacing w:line="560" w:lineRule="exact"/>
        <w:ind w:firstLine="1600" w:firstLineChars="5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w:t>
      </w:r>
      <w:r>
        <w:rPr>
          <w:rFonts w:ascii="Times New Roman" w:hAnsi="Times New Roman" w:eastAsia="方正仿宋_GBK"/>
          <w:color w:val="000000"/>
          <w:sz w:val="32"/>
          <w:szCs w:val="32"/>
          <w:highlight w:val="none"/>
        </w:rPr>
        <w:t>江浦街道村庄长效管护运行机制考核细则</w:t>
      </w:r>
    </w:p>
    <w:p w14:paraId="065ECC24">
      <w:pPr>
        <w:rPr>
          <w:rFonts w:hint="eastAsia" w:ascii="方正仿宋_GBK" w:eastAsia="方正仿宋_GBK" w:cs="宋体"/>
          <w:kern w:val="0"/>
          <w:sz w:val="32"/>
          <w:szCs w:val="32"/>
          <w:highlight w:val="none"/>
        </w:rPr>
      </w:pPr>
    </w:p>
    <w:p w14:paraId="04431E3E">
      <w:pPr>
        <w:rPr>
          <w:rFonts w:hint="eastAsia" w:ascii="方正仿宋_GBK" w:eastAsia="方正仿宋_GBK" w:cs="宋体"/>
          <w:kern w:val="0"/>
          <w:sz w:val="32"/>
          <w:szCs w:val="32"/>
          <w:highlight w:val="none"/>
        </w:rPr>
      </w:pPr>
    </w:p>
    <w:p w14:paraId="789783AA">
      <w:pPr>
        <w:rPr>
          <w:rFonts w:hint="eastAsia" w:ascii="方正仿宋_GBK" w:eastAsia="方正仿宋_GBK" w:cs="宋体"/>
          <w:kern w:val="0"/>
          <w:sz w:val="32"/>
          <w:szCs w:val="32"/>
          <w:highlight w:val="none"/>
        </w:rPr>
      </w:pPr>
      <w:r>
        <w:rPr>
          <w:rFonts w:hint="eastAsia" w:ascii="方正仿宋_GBK" w:eastAsia="方正仿宋_GBK" w:cs="宋体"/>
          <w:kern w:val="0"/>
          <w:sz w:val="32"/>
          <w:szCs w:val="32"/>
          <w:highlight w:val="none"/>
        </w:rPr>
        <w:t>附件1：</w:t>
      </w:r>
    </w:p>
    <w:p w14:paraId="43B749B1">
      <w:pPr>
        <w:jc w:val="center"/>
        <w:rPr>
          <w:rFonts w:hint="default"/>
          <w:sz w:val="32"/>
          <w:szCs w:val="32"/>
          <w:lang w:val="en-US" w:eastAsia="zh-CN"/>
        </w:rPr>
      </w:pPr>
      <w:r>
        <w:rPr>
          <w:rFonts w:hint="eastAsia"/>
          <w:sz w:val="32"/>
          <w:szCs w:val="32"/>
          <w:lang w:val="en-US" w:eastAsia="zh-CN"/>
        </w:rPr>
        <w:t>2025年农村人居环境长效管护服务采购项目</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023"/>
        <w:gridCol w:w="2023"/>
        <w:gridCol w:w="2023"/>
        <w:gridCol w:w="2023"/>
        <w:gridCol w:w="2024"/>
        <w:gridCol w:w="2024"/>
      </w:tblGrid>
      <w:tr w14:paraId="4FB3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968F74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714" w:type="pct"/>
            <w:vAlign w:val="center"/>
          </w:tcPr>
          <w:p w14:paraId="76247FB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社区</w:t>
            </w:r>
          </w:p>
        </w:tc>
        <w:tc>
          <w:tcPr>
            <w:tcW w:w="714" w:type="pct"/>
            <w:vAlign w:val="center"/>
          </w:tcPr>
          <w:p w14:paraId="5AFB25BB">
            <w:pPr>
              <w:jc w:val="center"/>
              <w:rPr>
                <w:rFonts w:hint="eastAsia" w:ascii="宋体" w:hAnsi="宋体" w:eastAsia="宋体" w:cs="宋体"/>
                <w:sz w:val="21"/>
                <w:szCs w:val="21"/>
                <w:vertAlign w:val="baseline"/>
                <w:lang w:val="en-US" w:eastAsia="zh-CN"/>
              </w:rPr>
            </w:pPr>
            <w:r>
              <w:rPr>
                <w:rFonts w:hint="eastAsia" w:ascii="宋体" w:hAnsi="宋体" w:eastAsia="宋体" w:cs="宋体"/>
                <w:b w:val="0"/>
                <w:bCs w:val="0"/>
                <w:color w:val="000000"/>
                <w:sz w:val="21"/>
                <w:szCs w:val="21"/>
              </w:rPr>
              <w:t>自然村/住宅 小区</w:t>
            </w:r>
          </w:p>
        </w:tc>
        <w:tc>
          <w:tcPr>
            <w:tcW w:w="714" w:type="pct"/>
            <w:vAlign w:val="center"/>
          </w:tcPr>
          <w:p w14:paraId="4BC35AA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服务项目</w:t>
            </w:r>
          </w:p>
        </w:tc>
        <w:tc>
          <w:tcPr>
            <w:tcW w:w="714" w:type="pct"/>
            <w:vAlign w:val="center"/>
          </w:tcPr>
          <w:p w14:paraId="5BB0801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14" w:type="pct"/>
            <w:vAlign w:val="center"/>
          </w:tcPr>
          <w:p w14:paraId="709C01B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14" w:type="pct"/>
            <w:vAlign w:val="center"/>
          </w:tcPr>
          <w:p w14:paraId="19AF40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6150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14:paraId="76929A38">
            <w:pPr>
              <w:jc w:val="center"/>
              <w:rPr>
                <w:rFonts w:hint="default" w:ascii="宋体" w:hAnsi="宋体" w:eastAsia="宋体" w:cs="宋体"/>
                <w:sz w:val="21"/>
                <w:szCs w:val="21"/>
                <w:vertAlign w:val="baseline"/>
                <w:lang w:val="en-US" w:eastAsia="zh-CN"/>
              </w:rPr>
            </w:pPr>
          </w:p>
        </w:tc>
        <w:tc>
          <w:tcPr>
            <w:tcW w:w="714" w:type="pct"/>
            <w:vMerge w:val="restart"/>
            <w:vAlign w:val="center"/>
          </w:tcPr>
          <w:p w14:paraId="5DFC883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w:t>
            </w:r>
          </w:p>
        </w:tc>
        <w:tc>
          <w:tcPr>
            <w:tcW w:w="714" w:type="pct"/>
            <w:vMerge w:val="restart"/>
            <w:vAlign w:val="center"/>
          </w:tcPr>
          <w:p w14:paraId="52E01D2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32个自然村</w:t>
            </w:r>
          </w:p>
        </w:tc>
        <w:tc>
          <w:tcPr>
            <w:tcW w:w="714" w:type="pct"/>
            <w:vAlign w:val="center"/>
          </w:tcPr>
          <w:p w14:paraId="4E40ACC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二类公厕、三类公厕、卫生公厕</w:t>
            </w:r>
          </w:p>
        </w:tc>
        <w:tc>
          <w:tcPr>
            <w:tcW w:w="714" w:type="pct"/>
            <w:vAlign w:val="center"/>
          </w:tcPr>
          <w:p w14:paraId="2ED1237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w:t>
            </w:r>
          </w:p>
        </w:tc>
        <w:tc>
          <w:tcPr>
            <w:tcW w:w="2024" w:type="dxa"/>
            <w:vAlign w:val="center"/>
          </w:tcPr>
          <w:p w14:paraId="2EF618DD">
            <w:pPr>
              <w:jc w:val="center"/>
              <w:rPr>
                <w:rFonts w:hint="default" w:ascii="宋体" w:hAnsi="宋体" w:eastAsia="宋体" w:cs="宋体"/>
                <w:sz w:val="21"/>
                <w:szCs w:val="21"/>
                <w:highlight w:val="yellow"/>
                <w:vertAlign w:val="baseline"/>
                <w:lang w:val="en-US" w:eastAsia="zh-CN"/>
              </w:rPr>
            </w:pPr>
            <w:r>
              <w:rPr>
                <w:rFonts w:hint="eastAsia" w:ascii="宋体" w:hAnsi="宋体" w:eastAsia="宋体" w:cs="宋体"/>
                <w:sz w:val="21"/>
                <w:szCs w:val="21"/>
                <w:vertAlign w:val="baseline"/>
                <w:lang w:val="en-US" w:eastAsia="zh-CN"/>
              </w:rPr>
              <w:t>14</w:t>
            </w:r>
          </w:p>
        </w:tc>
        <w:tc>
          <w:tcPr>
            <w:tcW w:w="714" w:type="pct"/>
            <w:vAlign w:val="center"/>
          </w:tcPr>
          <w:p w14:paraId="7C03629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保洁、垃圾运输、实施 设 备维修、化粪池吸粪处理</w:t>
            </w:r>
          </w:p>
        </w:tc>
      </w:tr>
      <w:tr w14:paraId="6144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21C9556B">
            <w:pPr>
              <w:jc w:val="center"/>
              <w:rPr>
                <w:rFonts w:hint="eastAsia" w:ascii="宋体" w:hAnsi="宋体" w:eastAsia="宋体" w:cs="宋体"/>
                <w:sz w:val="21"/>
                <w:szCs w:val="21"/>
                <w:vertAlign w:val="baseline"/>
                <w:lang w:val="en-US" w:eastAsia="zh-CN"/>
              </w:rPr>
            </w:pPr>
          </w:p>
        </w:tc>
        <w:tc>
          <w:tcPr>
            <w:tcW w:w="714" w:type="pct"/>
            <w:vMerge w:val="continue"/>
          </w:tcPr>
          <w:p w14:paraId="4EBA482B">
            <w:pPr>
              <w:jc w:val="center"/>
              <w:rPr>
                <w:rFonts w:hint="eastAsia" w:ascii="宋体" w:hAnsi="宋体" w:eastAsia="宋体" w:cs="宋体"/>
                <w:sz w:val="21"/>
                <w:szCs w:val="21"/>
                <w:vertAlign w:val="baseline"/>
                <w:lang w:val="en-US" w:eastAsia="zh-CN"/>
              </w:rPr>
            </w:pPr>
          </w:p>
        </w:tc>
        <w:tc>
          <w:tcPr>
            <w:tcW w:w="714" w:type="pct"/>
            <w:vMerge w:val="continue"/>
          </w:tcPr>
          <w:p w14:paraId="6958F3EC">
            <w:pPr>
              <w:jc w:val="center"/>
              <w:rPr>
                <w:rFonts w:hint="eastAsia" w:ascii="宋体" w:hAnsi="宋体" w:eastAsia="宋体" w:cs="宋体"/>
                <w:sz w:val="21"/>
                <w:szCs w:val="21"/>
                <w:vertAlign w:val="baseline"/>
                <w:lang w:val="en-US" w:eastAsia="zh-CN"/>
              </w:rPr>
            </w:pPr>
          </w:p>
        </w:tc>
        <w:tc>
          <w:tcPr>
            <w:tcW w:w="714" w:type="pct"/>
            <w:vAlign w:val="center"/>
          </w:tcPr>
          <w:p w14:paraId="64575AE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河塘</w:t>
            </w:r>
          </w:p>
        </w:tc>
        <w:tc>
          <w:tcPr>
            <w:tcW w:w="714" w:type="pct"/>
            <w:vAlign w:val="center"/>
          </w:tcPr>
          <w:p w14:paraId="14930A2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2024" w:type="dxa"/>
            <w:vAlign w:val="center"/>
          </w:tcPr>
          <w:p w14:paraId="3735E1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158</w:t>
            </w:r>
          </w:p>
        </w:tc>
        <w:tc>
          <w:tcPr>
            <w:tcW w:w="714" w:type="pct"/>
            <w:vAlign w:val="center"/>
          </w:tcPr>
          <w:p w14:paraId="1EC483F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68B6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EFE02EA">
            <w:pPr>
              <w:jc w:val="center"/>
              <w:rPr>
                <w:rFonts w:hint="eastAsia" w:ascii="宋体" w:hAnsi="宋体" w:eastAsia="宋体" w:cs="宋体"/>
                <w:sz w:val="21"/>
                <w:szCs w:val="21"/>
                <w:vertAlign w:val="baseline"/>
                <w:lang w:val="en-US" w:eastAsia="zh-CN"/>
              </w:rPr>
            </w:pPr>
          </w:p>
        </w:tc>
        <w:tc>
          <w:tcPr>
            <w:tcW w:w="714" w:type="pct"/>
            <w:vMerge w:val="continue"/>
          </w:tcPr>
          <w:p w14:paraId="6A58B919">
            <w:pPr>
              <w:jc w:val="center"/>
              <w:rPr>
                <w:rFonts w:hint="eastAsia" w:ascii="宋体" w:hAnsi="宋体" w:eastAsia="宋体" w:cs="宋体"/>
                <w:sz w:val="21"/>
                <w:szCs w:val="21"/>
                <w:vertAlign w:val="baseline"/>
                <w:lang w:val="en-US" w:eastAsia="zh-CN"/>
              </w:rPr>
            </w:pPr>
          </w:p>
        </w:tc>
        <w:tc>
          <w:tcPr>
            <w:tcW w:w="714" w:type="pct"/>
            <w:vMerge w:val="continue"/>
          </w:tcPr>
          <w:p w14:paraId="3C5763D2">
            <w:pPr>
              <w:jc w:val="center"/>
              <w:rPr>
                <w:rFonts w:hint="eastAsia" w:ascii="宋体" w:hAnsi="宋体" w:eastAsia="宋体" w:cs="宋体"/>
                <w:sz w:val="21"/>
                <w:szCs w:val="21"/>
                <w:vertAlign w:val="baseline"/>
                <w:lang w:val="en-US" w:eastAsia="zh-CN"/>
              </w:rPr>
            </w:pPr>
          </w:p>
        </w:tc>
        <w:tc>
          <w:tcPr>
            <w:tcW w:w="714" w:type="pct"/>
            <w:vAlign w:val="center"/>
          </w:tcPr>
          <w:p w14:paraId="4AF2A2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河道</w:t>
            </w:r>
          </w:p>
        </w:tc>
        <w:tc>
          <w:tcPr>
            <w:tcW w:w="714" w:type="pct"/>
            <w:vAlign w:val="center"/>
          </w:tcPr>
          <w:p w14:paraId="19A7425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KM</w:t>
            </w:r>
          </w:p>
        </w:tc>
        <w:tc>
          <w:tcPr>
            <w:tcW w:w="714" w:type="pct"/>
            <w:vAlign w:val="center"/>
          </w:tcPr>
          <w:p w14:paraId="635518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6317C4F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48C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17B6E3EF">
            <w:pPr>
              <w:jc w:val="center"/>
              <w:rPr>
                <w:rFonts w:hint="eastAsia" w:ascii="宋体" w:hAnsi="宋体" w:eastAsia="宋体" w:cs="宋体"/>
                <w:sz w:val="21"/>
                <w:szCs w:val="21"/>
                <w:vertAlign w:val="baseline"/>
                <w:lang w:val="en-US" w:eastAsia="zh-CN"/>
              </w:rPr>
            </w:pPr>
          </w:p>
        </w:tc>
        <w:tc>
          <w:tcPr>
            <w:tcW w:w="714" w:type="pct"/>
            <w:vMerge w:val="continue"/>
          </w:tcPr>
          <w:p w14:paraId="57D9AF29">
            <w:pPr>
              <w:jc w:val="center"/>
              <w:rPr>
                <w:rFonts w:hint="eastAsia" w:ascii="宋体" w:hAnsi="宋体" w:eastAsia="宋体" w:cs="宋体"/>
                <w:sz w:val="21"/>
                <w:szCs w:val="21"/>
                <w:vertAlign w:val="baseline"/>
                <w:lang w:val="en-US" w:eastAsia="zh-CN"/>
              </w:rPr>
            </w:pPr>
          </w:p>
        </w:tc>
        <w:tc>
          <w:tcPr>
            <w:tcW w:w="714" w:type="pct"/>
            <w:vMerge w:val="continue"/>
          </w:tcPr>
          <w:p w14:paraId="786E4A0B">
            <w:pPr>
              <w:jc w:val="center"/>
              <w:rPr>
                <w:rFonts w:hint="eastAsia" w:ascii="宋体" w:hAnsi="宋体" w:eastAsia="宋体" w:cs="宋体"/>
                <w:sz w:val="21"/>
                <w:szCs w:val="21"/>
                <w:vertAlign w:val="baseline"/>
                <w:lang w:val="en-US" w:eastAsia="zh-CN"/>
              </w:rPr>
            </w:pPr>
          </w:p>
        </w:tc>
        <w:tc>
          <w:tcPr>
            <w:tcW w:w="714" w:type="pct"/>
            <w:vAlign w:val="center"/>
          </w:tcPr>
          <w:p w14:paraId="7304BA9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健身器材设施管护</w:t>
            </w:r>
          </w:p>
        </w:tc>
        <w:tc>
          <w:tcPr>
            <w:tcW w:w="714" w:type="pct"/>
            <w:vAlign w:val="center"/>
          </w:tcPr>
          <w:p w14:paraId="1843DE7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3C7DC5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1B9EA2D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5C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080F2AA5">
            <w:pPr>
              <w:jc w:val="center"/>
              <w:rPr>
                <w:rFonts w:hint="eastAsia" w:ascii="宋体" w:hAnsi="宋体" w:eastAsia="宋体" w:cs="宋体"/>
                <w:sz w:val="21"/>
                <w:szCs w:val="21"/>
                <w:vertAlign w:val="baseline"/>
                <w:lang w:val="en-US" w:eastAsia="zh-CN"/>
              </w:rPr>
            </w:pPr>
          </w:p>
        </w:tc>
        <w:tc>
          <w:tcPr>
            <w:tcW w:w="714" w:type="pct"/>
            <w:vMerge w:val="continue"/>
          </w:tcPr>
          <w:p w14:paraId="7BFD0B1F">
            <w:pPr>
              <w:jc w:val="center"/>
              <w:rPr>
                <w:rFonts w:hint="eastAsia" w:ascii="宋体" w:hAnsi="宋体" w:eastAsia="宋体" w:cs="宋体"/>
                <w:sz w:val="21"/>
                <w:szCs w:val="21"/>
                <w:vertAlign w:val="baseline"/>
                <w:lang w:val="en-US" w:eastAsia="zh-CN"/>
              </w:rPr>
            </w:pPr>
          </w:p>
        </w:tc>
        <w:tc>
          <w:tcPr>
            <w:tcW w:w="714" w:type="pct"/>
            <w:vMerge w:val="continue"/>
          </w:tcPr>
          <w:p w14:paraId="270C1DF8">
            <w:pPr>
              <w:jc w:val="center"/>
              <w:rPr>
                <w:rFonts w:hint="eastAsia" w:ascii="宋体" w:hAnsi="宋体" w:eastAsia="宋体" w:cs="宋体"/>
                <w:sz w:val="21"/>
                <w:szCs w:val="21"/>
                <w:vertAlign w:val="baseline"/>
                <w:lang w:val="en-US" w:eastAsia="zh-CN"/>
              </w:rPr>
            </w:pPr>
          </w:p>
        </w:tc>
        <w:tc>
          <w:tcPr>
            <w:tcW w:w="714" w:type="pct"/>
            <w:vAlign w:val="center"/>
          </w:tcPr>
          <w:p w14:paraId="7836C0A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公共厕所设施管护</w:t>
            </w:r>
          </w:p>
        </w:tc>
        <w:tc>
          <w:tcPr>
            <w:tcW w:w="714" w:type="pct"/>
            <w:vAlign w:val="center"/>
          </w:tcPr>
          <w:p w14:paraId="2551750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07091D6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28453FC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EEA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48014A0C">
            <w:pPr>
              <w:jc w:val="center"/>
              <w:rPr>
                <w:rFonts w:hint="eastAsia" w:ascii="宋体" w:hAnsi="宋体" w:eastAsia="宋体" w:cs="宋体"/>
                <w:sz w:val="21"/>
                <w:szCs w:val="21"/>
                <w:vertAlign w:val="baseline"/>
                <w:lang w:val="en-US" w:eastAsia="zh-CN"/>
              </w:rPr>
            </w:pPr>
          </w:p>
        </w:tc>
        <w:tc>
          <w:tcPr>
            <w:tcW w:w="714" w:type="pct"/>
            <w:vMerge w:val="continue"/>
          </w:tcPr>
          <w:p w14:paraId="61B23E04">
            <w:pPr>
              <w:jc w:val="center"/>
              <w:rPr>
                <w:rFonts w:hint="eastAsia" w:ascii="宋体" w:hAnsi="宋体" w:eastAsia="宋体" w:cs="宋体"/>
                <w:sz w:val="21"/>
                <w:szCs w:val="21"/>
                <w:vertAlign w:val="baseline"/>
                <w:lang w:val="en-US" w:eastAsia="zh-CN"/>
              </w:rPr>
            </w:pPr>
          </w:p>
        </w:tc>
        <w:tc>
          <w:tcPr>
            <w:tcW w:w="714" w:type="pct"/>
            <w:vMerge w:val="continue"/>
          </w:tcPr>
          <w:p w14:paraId="159FCDE4">
            <w:pPr>
              <w:jc w:val="center"/>
              <w:rPr>
                <w:rFonts w:hint="eastAsia" w:ascii="宋体" w:hAnsi="宋体" w:eastAsia="宋体" w:cs="宋体"/>
                <w:sz w:val="21"/>
                <w:szCs w:val="21"/>
                <w:vertAlign w:val="baseline"/>
                <w:lang w:val="en-US" w:eastAsia="zh-CN"/>
              </w:rPr>
            </w:pPr>
          </w:p>
        </w:tc>
        <w:tc>
          <w:tcPr>
            <w:tcW w:w="714" w:type="pct"/>
            <w:vAlign w:val="center"/>
          </w:tcPr>
          <w:p w14:paraId="5530F19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硬质化地面点位设施管护</w:t>
            </w:r>
          </w:p>
        </w:tc>
        <w:tc>
          <w:tcPr>
            <w:tcW w:w="714" w:type="pct"/>
            <w:vAlign w:val="center"/>
          </w:tcPr>
          <w:p w14:paraId="367BE3F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0600317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27CBF95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6148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CC04E3C">
            <w:pPr>
              <w:jc w:val="center"/>
              <w:rPr>
                <w:rFonts w:hint="eastAsia" w:ascii="宋体" w:hAnsi="宋体" w:eastAsia="宋体" w:cs="宋体"/>
                <w:sz w:val="21"/>
                <w:szCs w:val="21"/>
                <w:vertAlign w:val="baseline"/>
                <w:lang w:val="en-US" w:eastAsia="zh-CN"/>
              </w:rPr>
            </w:pPr>
          </w:p>
        </w:tc>
        <w:tc>
          <w:tcPr>
            <w:tcW w:w="714" w:type="pct"/>
            <w:vMerge w:val="continue"/>
          </w:tcPr>
          <w:p w14:paraId="0F284A13">
            <w:pPr>
              <w:jc w:val="center"/>
              <w:rPr>
                <w:rFonts w:hint="eastAsia" w:ascii="宋体" w:hAnsi="宋体" w:eastAsia="宋体" w:cs="宋体"/>
                <w:sz w:val="21"/>
                <w:szCs w:val="21"/>
                <w:vertAlign w:val="baseline"/>
                <w:lang w:val="en-US" w:eastAsia="zh-CN"/>
              </w:rPr>
            </w:pPr>
          </w:p>
        </w:tc>
        <w:tc>
          <w:tcPr>
            <w:tcW w:w="714" w:type="pct"/>
            <w:vMerge w:val="continue"/>
          </w:tcPr>
          <w:p w14:paraId="1C71031A">
            <w:pPr>
              <w:jc w:val="center"/>
              <w:rPr>
                <w:rFonts w:hint="eastAsia" w:ascii="宋体" w:hAnsi="宋体" w:eastAsia="宋体" w:cs="宋体"/>
                <w:sz w:val="21"/>
                <w:szCs w:val="21"/>
                <w:vertAlign w:val="baseline"/>
                <w:lang w:val="en-US" w:eastAsia="zh-CN"/>
              </w:rPr>
            </w:pPr>
          </w:p>
        </w:tc>
        <w:tc>
          <w:tcPr>
            <w:tcW w:w="714" w:type="pct"/>
            <w:vAlign w:val="center"/>
          </w:tcPr>
          <w:p w14:paraId="27DCD3D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垃圾分类收集亭设施管护</w:t>
            </w:r>
          </w:p>
        </w:tc>
        <w:tc>
          <w:tcPr>
            <w:tcW w:w="714" w:type="pct"/>
            <w:vAlign w:val="center"/>
          </w:tcPr>
          <w:p w14:paraId="17164B6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108A87B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08BEFE9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7FA1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7707B3EA">
            <w:pPr>
              <w:jc w:val="center"/>
              <w:rPr>
                <w:rFonts w:hint="eastAsia" w:ascii="宋体" w:hAnsi="宋体" w:eastAsia="宋体" w:cs="宋体"/>
                <w:sz w:val="21"/>
                <w:szCs w:val="21"/>
                <w:vertAlign w:val="baseline"/>
                <w:lang w:val="en-US" w:eastAsia="zh-CN"/>
              </w:rPr>
            </w:pPr>
          </w:p>
        </w:tc>
        <w:tc>
          <w:tcPr>
            <w:tcW w:w="714" w:type="pct"/>
            <w:vMerge w:val="continue"/>
          </w:tcPr>
          <w:p w14:paraId="75074E09">
            <w:pPr>
              <w:jc w:val="center"/>
              <w:rPr>
                <w:rFonts w:hint="eastAsia" w:ascii="宋体" w:hAnsi="宋体" w:eastAsia="宋体" w:cs="宋体"/>
                <w:sz w:val="21"/>
                <w:szCs w:val="21"/>
                <w:vertAlign w:val="baseline"/>
                <w:lang w:val="en-US" w:eastAsia="zh-CN"/>
              </w:rPr>
            </w:pPr>
          </w:p>
        </w:tc>
        <w:tc>
          <w:tcPr>
            <w:tcW w:w="714" w:type="pct"/>
            <w:vMerge w:val="continue"/>
          </w:tcPr>
          <w:p w14:paraId="4CA074B3">
            <w:pPr>
              <w:jc w:val="center"/>
              <w:rPr>
                <w:rFonts w:hint="eastAsia" w:ascii="宋体" w:hAnsi="宋体" w:eastAsia="宋体" w:cs="宋体"/>
                <w:sz w:val="21"/>
                <w:szCs w:val="21"/>
                <w:vertAlign w:val="baseline"/>
                <w:lang w:val="en-US" w:eastAsia="zh-CN"/>
              </w:rPr>
            </w:pPr>
          </w:p>
        </w:tc>
        <w:tc>
          <w:tcPr>
            <w:tcW w:w="714" w:type="pct"/>
            <w:vAlign w:val="center"/>
          </w:tcPr>
          <w:p w14:paraId="68B9ED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广场内果皮箱等设施管护</w:t>
            </w:r>
          </w:p>
        </w:tc>
        <w:tc>
          <w:tcPr>
            <w:tcW w:w="714" w:type="pct"/>
            <w:vAlign w:val="center"/>
          </w:tcPr>
          <w:p w14:paraId="0036D58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28F159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高旺社区辖区范围</w:t>
            </w:r>
          </w:p>
        </w:tc>
        <w:tc>
          <w:tcPr>
            <w:tcW w:w="714" w:type="pct"/>
            <w:vAlign w:val="center"/>
          </w:tcPr>
          <w:p w14:paraId="4C656BE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D31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2110C0A4">
            <w:pPr>
              <w:jc w:val="center"/>
              <w:rPr>
                <w:rFonts w:hint="eastAsia" w:ascii="宋体" w:hAnsi="宋体" w:eastAsia="宋体" w:cs="宋体"/>
                <w:sz w:val="21"/>
                <w:szCs w:val="21"/>
                <w:vertAlign w:val="baseline"/>
                <w:lang w:val="en-US" w:eastAsia="zh-CN"/>
              </w:rPr>
            </w:pPr>
          </w:p>
        </w:tc>
        <w:tc>
          <w:tcPr>
            <w:tcW w:w="714" w:type="pct"/>
            <w:vMerge w:val="continue"/>
          </w:tcPr>
          <w:p w14:paraId="22F9C3E5">
            <w:pPr>
              <w:jc w:val="center"/>
              <w:rPr>
                <w:rFonts w:hint="eastAsia" w:ascii="宋体" w:hAnsi="宋体" w:eastAsia="宋体" w:cs="宋体"/>
                <w:sz w:val="21"/>
                <w:szCs w:val="21"/>
                <w:vertAlign w:val="baseline"/>
                <w:lang w:val="en-US" w:eastAsia="zh-CN"/>
              </w:rPr>
            </w:pPr>
          </w:p>
        </w:tc>
        <w:tc>
          <w:tcPr>
            <w:tcW w:w="714" w:type="pct"/>
            <w:vMerge w:val="continue"/>
          </w:tcPr>
          <w:p w14:paraId="5277BF74">
            <w:pPr>
              <w:jc w:val="center"/>
              <w:rPr>
                <w:rFonts w:hint="eastAsia" w:ascii="宋体" w:hAnsi="宋体" w:eastAsia="宋体" w:cs="宋体"/>
                <w:sz w:val="21"/>
                <w:szCs w:val="21"/>
                <w:vertAlign w:val="baseline"/>
                <w:lang w:val="en-US" w:eastAsia="zh-CN"/>
              </w:rPr>
            </w:pPr>
          </w:p>
        </w:tc>
        <w:tc>
          <w:tcPr>
            <w:tcW w:w="714" w:type="pct"/>
            <w:vAlign w:val="center"/>
          </w:tcPr>
          <w:p w14:paraId="1AABFE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公共区域（除主次干道、河塘河道、 公共厕所以外的区域）</w:t>
            </w:r>
          </w:p>
        </w:tc>
        <w:tc>
          <w:tcPr>
            <w:tcW w:w="714" w:type="pct"/>
            <w:vAlign w:val="center"/>
          </w:tcPr>
          <w:p w14:paraId="44412FD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277168E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32个</w:t>
            </w:r>
          </w:p>
        </w:tc>
        <w:tc>
          <w:tcPr>
            <w:tcW w:w="714" w:type="pct"/>
            <w:vAlign w:val="center"/>
          </w:tcPr>
          <w:p w14:paraId="230148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2EA9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DA376EB">
            <w:pPr>
              <w:jc w:val="center"/>
              <w:rPr>
                <w:rFonts w:hint="eastAsia" w:ascii="宋体" w:hAnsi="宋体" w:eastAsia="宋体" w:cs="宋体"/>
                <w:sz w:val="21"/>
                <w:szCs w:val="21"/>
                <w:vertAlign w:val="baseline"/>
                <w:lang w:val="en-US" w:eastAsia="zh-CN"/>
              </w:rPr>
            </w:pPr>
          </w:p>
        </w:tc>
        <w:tc>
          <w:tcPr>
            <w:tcW w:w="714" w:type="pct"/>
            <w:vMerge w:val="continue"/>
          </w:tcPr>
          <w:p w14:paraId="00C0AEFC">
            <w:pPr>
              <w:jc w:val="center"/>
              <w:rPr>
                <w:rFonts w:hint="eastAsia" w:ascii="宋体" w:hAnsi="宋体" w:eastAsia="宋体" w:cs="宋体"/>
                <w:sz w:val="21"/>
                <w:szCs w:val="21"/>
                <w:vertAlign w:val="baseline"/>
                <w:lang w:val="en-US" w:eastAsia="zh-CN"/>
              </w:rPr>
            </w:pPr>
          </w:p>
        </w:tc>
        <w:tc>
          <w:tcPr>
            <w:tcW w:w="714" w:type="pct"/>
            <w:vMerge w:val="continue"/>
          </w:tcPr>
          <w:p w14:paraId="7F4039F9">
            <w:pPr>
              <w:jc w:val="center"/>
              <w:rPr>
                <w:rFonts w:hint="eastAsia" w:ascii="宋体" w:hAnsi="宋体" w:eastAsia="宋体" w:cs="宋体"/>
                <w:sz w:val="21"/>
                <w:szCs w:val="21"/>
                <w:vertAlign w:val="baseline"/>
                <w:lang w:val="en-US" w:eastAsia="zh-CN"/>
              </w:rPr>
            </w:pPr>
          </w:p>
        </w:tc>
        <w:tc>
          <w:tcPr>
            <w:tcW w:w="714" w:type="pct"/>
            <w:vAlign w:val="center"/>
          </w:tcPr>
          <w:p w14:paraId="498B25F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生活垃圾分类宣传</w:t>
            </w:r>
          </w:p>
        </w:tc>
        <w:tc>
          <w:tcPr>
            <w:tcW w:w="714" w:type="pct"/>
            <w:vAlign w:val="center"/>
          </w:tcPr>
          <w:p w14:paraId="2FCD1B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5D59D73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32个</w:t>
            </w:r>
          </w:p>
        </w:tc>
        <w:tc>
          <w:tcPr>
            <w:tcW w:w="714" w:type="pct"/>
            <w:vAlign w:val="center"/>
          </w:tcPr>
          <w:p w14:paraId="0C43C65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每月每村组开展 1 次活 动。</w:t>
            </w:r>
          </w:p>
        </w:tc>
      </w:tr>
      <w:tr w14:paraId="3B46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509D68B7">
            <w:pPr>
              <w:jc w:val="center"/>
              <w:rPr>
                <w:rFonts w:hint="eastAsia" w:ascii="宋体" w:hAnsi="宋体" w:eastAsia="宋体" w:cs="宋体"/>
                <w:sz w:val="21"/>
                <w:szCs w:val="21"/>
                <w:vertAlign w:val="baseline"/>
                <w:lang w:val="en-US" w:eastAsia="zh-CN"/>
              </w:rPr>
            </w:pPr>
          </w:p>
        </w:tc>
        <w:tc>
          <w:tcPr>
            <w:tcW w:w="714" w:type="pct"/>
            <w:vMerge w:val="continue"/>
          </w:tcPr>
          <w:p w14:paraId="7C1A85A7">
            <w:pPr>
              <w:jc w:val="center"/>
              <w:rPr>
                <w:rFonts w:hint="eastAsia" w:ascii="宋体" w:hAnsi="宋体" w:eastAsia="宋体" w:cs="宋体"/>
                <w:sz w:val="21"/>
                <w:szCs w:val="21"/>
                <w:vertAlign w:val="baseline"/>
                <w:lang w:val="en-US" w:eastAsia="zh-CN"/>
              </w:rPr>
            </w:pPr>
          </w:p>
        </w:tc>
        <w:tc>
          <w:tcPr>
            <w:tcW w:w="714" w:type="pct"/>
            <w:vMerge w:val="continue"/>
          </w:tcPr>
          <w:p w14:paraId="539393FB">
            <w:pPr>
              <w:jc w:val="center"/>
              <w:rPr>
                <w:rFonts w:hint="eastAsia" w:ascii="宋体" w:hAnsi="宋体" w:eastAsia="宋体" w:cs="宋体"/>
                <w:sz w:val="21"/>
                <w:szCs w:val="21"/>
                <w:vertAlign w:val="baseline"/>
                <w:lang w:val="en-US" w:eastAsia="zh-CN"/>
              </w:rPr>
            </w:pPr>
          </w:p>
        </w:tc>
        <w:tc>
          <w:tcPr>
            <w:tcW w:w="714" w:type="pct"/>
            <w:vAlign w:val="center"/>
          </w:tcPr>
          <w:p w14:paraId="461F68B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垃圾分类宣传设施</w:t>
            </w:r>
          </w:p>
        </w:tc>
        <w:tc>
          <w:tcPr>
            <w:tcW w:w="714" w:type="pct"/>
            <w:vAlign w:val="center"/>
          </w:tcPr>
          <w:p w14:paraId="43303CB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3C3C8A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32个</w:t>
            </w:r>
          </w:p>
        </w:tc>
        <w:tc>
          <w:tcPr>
            <w:tcW w:w="714" w:type="pct"/>
            <w:vAlign w:val="center"/>
          </w:tcPr>
          <w:p w14:paraId="741CE66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收集点的更新，垃圾分类 宣传设施（含宣传展板、 宣传栏、告示牌等宣传物 料）宣传用品</w:t>
            </w:r>
          </w:p>
        </w:tc>
      </w:tr>
      <w:tr w14:paraId="321D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09DE9D71">
            <w:pPr>
              <w:jc w:val="center"/>
              <w:rPr>
                <w:rFonts w:hint="eastAsia" w:ascii="宋体" w:hAnsi="宋体" w:eastAsia="宋体" w:cs="宋体"/>
                <w:sz w:val="21"/>
                <w:szCs w:val="21"/>
                <w:vertAlign w:val="baseline"/>
                <w:lang w:val="en-US" w:eastAsia="zh-CN"/>
              </w:rPr>
            </w:pPr>
          </w:p>
        </w:tc>
        <w:tc>
          <w:tcPr>
            <w:tcW w:w="714" w:type="pct"/>
            <w:vMerge w:val="continue"/>
          </w:tcPr>
          <w:p w14:paraId="4366346B">
            <w:pPr>
              <w:jc w:val="center"/>
              <w:rPr>
                <w:rFonts w:hint="eastAsia" w:ascii="宋体" w:hAnsi="宋体" w:eastAsia="宋体" w:cs="宋体"/>
                <w:sz w:val="21"/>
                <w:szCs w:val="21"/>
                <w:vertAlign w:val="baseline"/>
                <w:lang w:val="en-US" w:eastAsia="zh-CN"/>
              </w:rPr>
            </w:pPr>
          </w:p>
        </w:tc>
        <w:tc>
          <w:tcPr>
            <w:tcW w:w="714" w:type="pct"/>
            <w:vMerge w:val="continue"/>
          </w:tcPr>
          <w:p w14:paraId="4CCFF224">
            <w:pPr>
              <w:jc w:val="center"/>
              <w:rPr>
                <w:rFonts w:hint="eastAsia" w:ascii="宋体" w:hAnsi="宋体" w:eastAsia="宋体" w:cs="宋体"/>
                <w:sz w:val="21"/>
                <w:szCs w:val="21"/>
                <w:vertAlign w:val="baseline"/>
                <w:lang w:val="en-US" w:eastAsia="zh-CN"/>
              </w:rPr>
            </w:pPr>
          </w:p>
        </w:tc>
        <w:tc>
          <w:tcPr>
            <w:tcW w:w="714" w:type="pct"/>
            <w:vAlign w:val="center"/>
          </w:tcPr>
          <w:p w14:paraId="06FEB61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生活垃圾入户收集、运输</w:t>
            </w:r>
          </w:p>
        </w:tc>
        <w:tc>
          <w:tcPr>
            <w:tcW w:w="714" w:type="pct"/>
            <w:vAlign w:val="center"/>
          </w:tcPr>
          <w:p w14:paraId="52847F9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户</w:t>
            </w:r>
          </w:p>
        </w:tc>
        <w:tc>
          <w:tcPr>
            <w:tcW w:w="714" w:type="pct"/>
            <w:vAlign w:val="center"/>
          </w:tcPr>
          <w:p w14:paraId="1FD8201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2352</w:t>
            </w:r>
          </w:p>
        </w:tc>
        <w:tc>
          <w:tcPr>
            <w:tcW w:w="714" w:type="pct"/>
            <w:vAlign w:val="center"/>
          </w:tcPr>
          <w:p w14:paraId="1909BD5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每日有害垃圾、可回收垃 圾、其他垃圾、厨余垃圾 入户收集及转运清理</w:t>
            </w:r>
          </w:p>
        </w:tc>
      </w:tr>
      <w:tr w14:paraId="3985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42A66543">
            <w:pPr>
              <w:jc w:val="center"/>
              <w:rPr>
                <w:rFonts w:hint="eastAsia" w:ascii="宋体" w:hAnsi="宋体" w:eastAsia="宋体" w:cs="宋体"/>
                <w:sz w:val="21"/>
                <w:szCs w:val="21"/>
                <w:vertAlign w:val="baseline"/>
                <w:lang w:val="en-US" w:eastAsia="zh-CN"/>
              </w:rPr>
            </w:pPr>
          </w:p>
        </w:tc>
        <w:tc>
          <w:tcPr>
            <w:tcW w:w="714" w:type="pct"/>
            <w:vMerge w:val="continue"/>
          </w:tcPr>
          <w:p w14:paraId="62F715C4">
            <w:pPr>
              <w:jc w:val="center"/>
              <w:rPr>
                <w:rFonts w:hint="eastAsia" w:ascii="宋体" w:hAnsi="宋体" w:eastAsia="宋体" w:cs="宋体"/>
                <w:sz w:val="21"/>
                <w:szCs w:val="21"/>
                <w:vertAlign w:val="baseline"/>
                <w:lang w:val="en-US" w:eastAsia="zh-CN"/>
              </w:rPr>
            </w:pPr>
          </w:p>
        </w:tc>
        <w:tc>
          <w:tcPr>
            <w:tcW w:w="714" w:type="pct"/>
            <w:vMerge w:val="continue"/>
          </w:tcPr>
          <w:p w14:paraId="2582327D">
            <w:pPr>
              <w:jc w:val="center"/>
              <w:rPr>
                <w:rFonts w:hint="eastAsia" w:ascii="宋体" w:hAnsi="宋体" w:eastAsia="宋体" w:cs="宋体"/>
                <w:sz w:val="21"/>
                <w:szCs w:val="21"/>
                <w:vertAlign w:val="baseline"/>
                <w:lang w:val="en-US" w:eastAsia="zh-CN"/>
              </w:rPr>
            </w:pPr>
          </w:p>
        </w:tc>
        <w:tc>
          <w:tcPr>
            <w:tcW w:w="714" w:type="pct"/>
            <w:vAlign w:val="center"/>
          </w:tcPr>
          <w:p w14:paraId="6B88F77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生活垃圾分类用品、设施更新</w:t>
            </w:r>
          </w:p>
        </w:tc>
        <w:tc>
          <w:tcPr>
            <w:tcW w:w="714" w:type="pct"/>
            <w:vAlign w:val="center"/>
          </w:tcPr>
          <w:p w14:paraId="459E8A6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5431532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32个</w:t>
            </w:r>
          </w:p>
        </w:tc>
        <w:tc>
          <w:tcPr>
            <w:tcW w:w="714" w:type="pct"/>
            <w:vAlign w:val="center"/>
          </w:tcPr>
          <w:p w14:paraId="7220066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60个自然村组 240L 垃圾 桶替换更新、每日垃圾袋 等用品等</w:t>
            </w:r>
          </w:p>
        </w:tc>
      </w:tr>
    </w:tbl>
    <w:p w14:paraId="3320AF2A">
      <w:pPr>
        <w:jc w:val="left"/>
        <w:rPr>
          <w:rFonts w:ascii="宋体" w:hAnsi="宋体" w:eastAsia="宋体" w:cs="宋体"/>
          <w:b w:val="0"/>
          <w:bCs w:val="0"/>
          <w:color w:val="000000"/>
          <w:sz w:val="22"/>
          <w:szCs w:val="22"/>
        </w:rPr>
      </w:pPr>
      <w:r>
        <w:rPr>
          <w:rFonts w:ascii="宋体" w:hAnsi="宋体" w:eastAsia="宋体" w:cs="宋体"/>
          <w:b w:val="0"/>
          <w:bCs w:val="0"/>
          <w:color w:val="000000"/>
          <w:sz w:val="22"/>
          <w:szCs w:val="22"/>
        </w:rPr>
        <w:t>注：如承包期间承包范围內实际作业面积、垃圾收集户数和垃圾量发生变动 (增加或 减少的作业量) ，均不 增加或减少承包经费。</w:t>
      </w:r>
    </w:p>
    <w:p w14:paraId="4B76EC4F">
      <w:pPr>
        <w:jc w:val="center"/>
        <w:rPr>
          <w:rFonts w:hint="eastAsia" w:ascii="宋体" w:hAnsi="宋体" w:eastAsia="宋体" w:cs="宋体"/>
          <w:b w:val="0"/>
          <w:bCs w:val="0"/>
          <w:color w:val="000000"/>
          <w:sz w:val="22"/>
          <w:szCs w:val="22"/>
          <w:highlight w:val="none"/>
          <w:lang w:val="en-US" w:eastAsia="zh-CN"/>
        </w:rPr>
      </w:pPr>
    </w:p>
    <w:p w14:paraId="05284775">
      <w:pPr>
        <w:spacing w:line="560" w:lineRule="exact"/>
        <w:ind w:firstLine="320" w:firstLineChars="100"/>
        <w:jc w:val="left"/>
        <w:rPr>
          <w:rFonts w:hint="eastAsia" w:ascii="方正仿宋_GBK" w:hAnsi="方正小标宋_GBK" w:eastAsia="方正仿宋_GBK"/>
          <w:color w:val="000000"/>
          <w:sz w:val="32"/>
          <w:szCs w:val="32"/>
          <w:highlight w:val="none"/>
        </w:rPr>
      </w:pPr>
    </w:p>
    <w:p w14:paraId="3902A965">
      <w:pPr>
        <w:spacing w:line="560" w:lineRule="exact"/>
        <w:jc w:val="left"/>
        <w:rPr>
          <w:rFonts w:hint="eastAsia" w:ascii="方正仿宋_GBK" w:hAnsi="方正小标宋_GBK" w:eastAsia="方正仿宋_GBK"/>
          <w:color w:val="000000"/>
          <w:sz w:val="32"/>
          <w:szCs w:val="32"/>
          <w:highlight w:val="none"/>
        </w:rPr>
      </w:pPr>
    </w:p>
    <w:p w14:paraId="7569B5CD">
      <w:pPr>
        <w:spacing w:line="560" w:lineRule="exact"/>
        <w:ind w:firstLine="320" w:firstLineChars="100"/>
        <w:jc w:val="left"/>
        <w:rPr>
          <w:rFonts w:hint="eastAsia" w:ascii="方正仿宋_GBK" w:hAnsi="方正小标宋_GBK" w:eastAsia="方正仿宋_GBK"/>
          <w:color w:val="000000"/>
          <w:sz w:val="32"/>
          <w:szCs w:val="32"/>
          <w:highlight w:val="none"/>
        </w:rPr>
      </w:pPr>
    </w:p>
    <w:p w14:paraId="57FE7434">
      <w:pPr>
        <w:tabs>
          <w:tab w:val="left" w:pos="2305"/>
        </w:tabs>
        <w:spacing w:line="560" w:lineRule="exact"/>
        <w:ind w:firstLine="320" w:firstLineChars="100"/>
        <w:jc w:val="left"/>
        <w:rPr>
          <w:rFonts w:hint="eastAsia" w:ascii="方正仿宋_GBK" w:hAnsi="方正小标宋_GBK" w:eastAsia="方正仿宋_GBK"/>
          <w:color w:val="000000"/>
          <w:sz w:val="32"/>
          <w:szCs w:val="32"/>
          <w:highlight w:val="none"/>
          <w:lang w:eastAsia="zh-CN"/>
        </w:rPr>
      </w:pPr>
      <w:r>
        <w:rPr>
          <w:rFonts w:hint="eastAsia" w:ascii="方正仿宋_GBK" w:hAnsi="方正小标宋_GBK" w:eastAsia="方正仿宋_GBK"/>
          <w:color w:val="000000"/>
          <w:sz w:val="32"/>
          <w:szCs w:val="32"/>
          <w:highlight w:val="none"/>
          <w:lang w:eastAsia="zh-CN"/>
        </w:rPr>
        <w:tab/>
      </w:r>
    </w:p>
    <w:p w14:paraId="1B6E0F05">
      <w:pPr>
        <w:tabs>
          <w:tab w:val="left" w:pos="205"/>
        </w:tabs>
        <w:spacing w:line="560" w:lineRule="exact"/>
        <w:jc w:val="left"/>
        <w:rPr>
          <w:rFonts w:hint="eastAsia" w:ascii="方正仿宋_GBK" w:hAnsi="方正小标宋_GBK" w:eastAsia="方正仿宋_GBK"/>
          <w:color w:val="000000"/>
          <w:sz w:val="32"/>
          <w:szCs w:val="32"/>
          <w:highlight w:val="none"/>
        </w:rPr>
      </w:pPr>
    </w:p>
    <w:p w14:paraId="15030FBF">
      <w:pPr>
        <w:tabs>
          <w:tab w:val="left" w:pos="205"/>
        </w:tabs>
        <w:spacing w:line="560" w:lineRule="exact"/>
        <w:jc w:val="left"/>
        <w:rPr>
          <w:rFonts w:hint="eastAsia" w:ascii="方正仿宋_GBK" w:hAnsi="方正小标宋_GBK" w:eastAsia="方正仿宋_GBK"/>
          <w:color w:val="000000"/>
          <w:sz w:val="32"/>
          <w:szCs w:val="32"/>
          <w:highlight w:val="none"/>
        </w:rPr>
      </w:pPr>
    </w:p>
    <w:p w14:paraId="19E1FF98">
      <w:pPr>
        <w:tabs>
          <w:tab w:val="left" w:pos="205"/>
        </w:tabs>
        <w:spacing w:line="560" w:lineRule="exact"/>
        <w:jc w:val="left"/>
        <w:rPr>
          <w:rFonts w:ascii="方正仿宋_GBK" w:hAnsi="方正小标宋_GBK" w:eastAsia="方正仿宋_GBK"/>
          <w:color w:val="000000"/>
          <w:sz w:val="32"/>
          <w:szCs w:val="32"/>
          <w:highlight w:val="none"/>
        </w:rPr>
      </w:pPr>
      <w:bookmarkStart w:id="0" w:name="_GoBack"/>
      <w:bookmarkEnd w:id="0"/>
      <w:r>
        <w:rPr>
          <w:rFonts w:hint="eastAsia" w:ascii="方正仿宋_GBK" w:hAnsi="方正小标宋_GBK" w:eastAsia="方正仿宋_GBK"/>
          <w:color w:val="000000"/>
          <w:sz w:val="32"/>
          <w:szCs w:val="32"/>
          <w:highlight w:val="none"/>
        </w:rPr>
        <w:t>附件2：</w:t>
      </w:r>
    </w:p>
    <w:p w14:paraId="53A86C1E">
      <w:pPr>
        <w:spacing w:line="560" w:lineRule="exact"/>
        <w:ind w:firstLine="440" w:firstLineChars="100"/>
        <w:jc w:val="center"/>
        <w:rPr>
          <w:rFonts w:ascii="Times New Roman" w:hAnsi="Times New Roman" w:eastAsia="方正小标宋_GBK"/>
          <w:color w:val="000000"/>
          <w:sz w:val="44"/>
          <w:szCs w:val="44"/>
          <w:highlight w:val="none"/>
        </w:rPr>
      </w:pPr>
      <w:r>
        <w:rPr>
          <w:rFonts w:ascii="Times New Roman" w:hAnsi="方正小标宋_GBK" w:eastAsia="方正小标宋_GBK"/>
          <w:color w:val="000000"/>
          <w:sz w:val="44"/>
          <w:szCs w:val="44"/>
          <w:highlight w:val="none"/>
        </w:rPr>
        <w:t>江浦街道村庄长效管护运行机制考核细则</w:t>
      </w:r>
    </w:p>
    <w:tbl>
      <w:tblPr>
        <w:tblStyle w:val="6"/>
        <w:tblpPr w:leftFromText="180" w:rightFromText="180" w:vertAnchor="text" w:horzAnchor="page" w:tblpX="1274" w:tblpY="332"/>
        <w:tblOverlap w:val="never"/>
        <w:tblW w:w="14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99"/>
        <w:gridCol w:w="8131"/>
        <w:gridCol w:w="1079"/>
        <w:gridCol w:w="915"/>
        <w:gridCol w:w="1545"/>
        <w:gridCol w:w="660"/>
      </w:tblGrid>
      <w:tr w14:paraId="7EAC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0" w:hRule="atLeast"/>
        </w:trPr>
        <w:tc>
          <w:tcPr>
            <w:tcW w:w="2399" w:type="dxa"/>
            <w:tcBorders>
              <w:bottom w:val="single" w:color="auto" w:sz="4" w:space="0"/>
            </w:tcBorders>
            <w:vAlign w:val="center"/>
          </w:tcPr>
          <w:p w14:paraId="59E498E6">
            <w:pPr>
              <w:pStyle w:val="11"/>
              <w:spacing w:before="3" w:line="560" w:lineRule="exact"/>
              <w:jc w:val="center"/>
              <w:rPr>
                <w:szCs w:val="21"/>
                <w:highlight w:val="none"/>
              </w:rPr>
            </w:pPr>
            <w:r>
              <w:rPr>
                <w:rFonts w:hint="eastAsia"/>
                <w:szCs w:val="21"/>
                <w:highlight w:val="none"/>
              </w:rPr>
              <w:t>工作内容</w:t>
            </w:r>
          </w:p>
        </w:tc>
        <w:tc>
          <w:tcPr>
            <w:tcW w:w="8131" w:type="dxa"/>
            <w:vAlign w:val="center"/>
          </w:tcPr>
          <w:p w14:paraId="7C1253B1">
            <w:pPr>
              <w:pStyle w:val="11"/>
              <w:spacing w:before="3" w:line="560" w:lineRule="exact"/>
              <w:jc w:val="center"/>
              <w:rPr>
                <w:szCs w:val="21"/>
                <w:highlight w:val="none"/>
              </w:rPr>
            </w:pPr>
            <w:r>
              <w:rPr>
                <w:rFonts w:hint="eastAsia"/>
                <w:szCs w:val="21"/>
                <w:highlight w:val="none"/>
              </w:rPr>
              <w:t>工作要求</w:t>
            </w:r>
          </w:p>
        </w:tc>
        <w:tc>
          <w:tcPr>
            <w:tcW w:w="1079" w:type="dxa"/>
            <w:vAlign w:val="center"/>
          </w:tcPr>
          <w:p w14:paraId="1F1D5BCB">
            <w:pPr>
              <w:pStyle w:val="11"/>
              <w:spacing w:before="3" w:line="560" w:lineRule="exact"/>
              <w:jc w:val="center"/>
              <w:rPr>
                <w:szCs w:val="21"/>
                <w:highlight w:val="none"/>
              </w:rPr>
            </w:pPr>
            <w:r>
              <w:rPr>
                <w:rFonts w:hint="eastAsia"/>
                <w:szCs w:val="21"/>
                <w:highlight w:val="none"/>
              </w:rPr>
              <w:t>牵头考核部门</w:t>
            </w:r>
          </w:p>
        </w:tc>
        <w:tc>
          <w:tcPr>
            <w:tcW w:w="915" w:type="dxa"/>
            <w:vAlign w:val="center"/>
          </w:tcPr>
          <w:p w14:paraId="55849652">
            <w:pPr>
              <w:pStyle w:val="11"/>
              <w:spacing w:before="3" w:line="560" w:lineRule="exact"/>
              <w:jc w:val="center"/>
              <w:rPr>
                <w:szCs w:val="21"/>
                <w:highlight w:val="none"/>
              </w:rPr>
            </w:pPr>
            <w:r>
              <w:rPr>
                <w:rFonts w:hint="eastAsia"/>
                <w:szCs w:val="21"/>
                <w:highlight w:val="none"/>
              </w:rPr>
              <w:t>分值</w:t>
            </w:r>
          </w:p>
        </w:tc>
        <w:tc>
          <w:tcPr>
            <w:tcW w:w="1545" w:type="dxa"/>
            <w:vAlign w:val="center"/>
          </w:tcPr>
          <w:p w14:paraId="24107F54">
            <w:pPr>
              <w:pStyle w:val="11"/>
              <w:spacing w:before="3" w:line="560" w:lineRule="exact"/>
              <w:jc w:val="center"/>
              <w:rPr>
                <w:szCs w:val="21"/>
                <w:highlight w:val="none"/>
              </w:rPr>
            </w:pPr>
            <w:r>
              <w:rPr>
                <w:rFonts w:hint="eastAsia"/>
                <w:szCs w:val="21"/>
                <w:highlight w:val="none"/>
              </w:rPr>
              <w:t>问题点</w:t>
            </w:r>
          </w:p>
        </w:tc>
        <w:tc>
          <w:tcPr>
            <w:tcW w:w="660" w:type="dxa"/>
            <w:vAlign w:val="center"/>
          </w:tcPr>
          <w:p w14:paraId="43A90239">
            <w:pPr>
              <w:pStyle w:val="11"/>
              <w:spacing w:before="3" w:line="560" w:lineRule="exact"/>
              <w:jc w:val="center"/>
              <w:rPr>
                <w:szCs w:val="21"/>
                <w:highlight w:val="none"/>
              </w:rPr>
            </w:pPr>
            <w:r>
              <w:rPr>
                <w:rFonts w:hint="eastAsia"/>
                <w:szCs w:val="21"/>
                <w:highlight w:val="none"/>
              </w:rPr>
              <w:t>得分</w:t>
            </w:r>
          </w:p>
        </w:tc>
      </w:tr>
      <w:tr w14:paraId="11FE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399" w:type="dxa"/>
            <w:tcBorders>
              <w:top w:val="single" w:color="auto" w:sz="4" w:space="0"/>
              <w:left w:val="single" w:color="auto" w:sz="4" w:space="0"/>
              <w:bottom w:val="single" w:color="auto" w:sz="4" w:space="0"/>
              <w:right w:val="single" w:color="auto" w:sz="4" w:space="0"/>
            </w:tcBorders>
            <w:vAlign w:val="center"/>
          </w:tcPr>
          <w:p w14:paraId="5A467F02">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制度建设</w:t>
            </w:r>
          </w:p>
        </w:tc>
        <w:tc>
          <w:tcPr>
            <w:tcW w:w="8131" w:type="dxa"/>
            <w:vAlign w:val="center"/>
          </w:tcPr>
          <w:p w14:paraId="13A610B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未建立长效管护队伍或人员、设备等配备不达标扣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分，未制定机制、考核方案各扣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Align w:val="center"/>
          </w:tcPr>
          <w:p w14:paraId="7AB8A051">
            <w:pPr>
              <w:pStyle w:val="11"/>
              <w:spacing w:before="3" w:line="560" w:lineRule="exact"/>
              <w:jc w:val="center"/>
              <w:rPr>
                <w:szCs w:val="21"/>
                <w:highlight w:val="none"/>
              </w:rPr>
            </w:pPr>
            <w:r>
              <w:rPr>
                <w:rFonts w:hint="eastAsia" w:ascii="方正仿宋_GBK" w:hAnsi="方正仿宋_GBK" w:eastAsia="方正仿宋_GBK" w:cs="方正仿宋_GBK"/>
                <w:sz w:val="24"/>
                <w:szCs w:val="24"/>
                <w:highlight w:val="none"/>
              </w:rPr>
              <w:t>属地社区</w:t>
            </w:r>
          </w:p>
        </w:tc>
        <w:tc>
          <w:tcPr>
            <w:tcW w:w="915" w:type="dxa"/>
            <w:vAlign w:val="center"/>
          </w:tcPr>
          <w:p w14:paraId="7C3D040D">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0B179118">
            <w:pPr>
              <w:pStyle w:val="11"/>
              <w:spacing w:before="3" w:line="560" w:lineRule="exact"/>
              <w:jc w:val="center"/>
              <w:rPr>
                <w:szCs w:val="21"/>
                <w:highlight w:val="none"/>
              </w:rPr>
            </w:pPr>
          </w:p>
        </w:tc>
        <w:tc>
          <w:tcPr>
            <w:tcW w:w="660" w:type="dxa"/>
            <w:vAlign w:val="center"/>
          </w:tcPr>
          <w:p w14:paraId="22F36AC1">
            <w:pPr>
              <w:pStyle w:val="11"/>
              <w:spacing w:before="3" w:line="560" w:lineRule="exact"/>
              <w:jc w:val="center"/>
              <w:rPr>
                <w:szCs w:val="21"/>
                <w:highlight w:val="none"/>
              </w:rPr>
            </w:pPr>
          </w:p>
        </w:tc>
      </w:tr>
      <w:tr w14:paraId="4185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left w:val="single" w:color="auto" w:sz="4" w:space="0"/>
              <w:right w:val="single" w:color="auto" w:sz="4" w:space="0"/>
            </w:tcBorders>
            <w:vAlign w:val="center"/>
          </w:tcPr>
          <w:p w14:paraId="453544D9">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生活垃圾</w:t>
            </w:r>
          </w:p>
          <w:p w14:paraId="61FE524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治   理</w:t>
            </w:r>
          </w:p>
        </w:tc>
        <w:tc>
          <w:tcPr>
            <w:tcW w:w="8131" w:type="dxa"/>
            <w:vAlign w:val="center"/>
          </w:tcPr>
          <w:p w14:paraId="4615F27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分类集中投放点周边等有暴露生活垃圾扣</w:t>
            </w:r>
            <w:r>
              <w:rPr>
                <w:rFonts w:hint="eastAsia" w:ascii="方正仿宋_GBK" w:hAnsi="方正仿宋_GBK" w:eastAsia="方正仿宋_GBK" w:cs="方正仿宋_GBK"/>
                <w:sz w:val="22"/>
                <w:highlight w:val="none"/>
                <w:lang w:val="en-US" w:eastAsia="zh-CN"/>
              </w:rPr>
              <w:t>1.5</w:t>
            </w:r>
            <w:r>
              <w:rPr>
                <w:rFonts w:hint="eastAsia" w:ascii="方正仿宋_GBK" w:hAnsi="方正仿宋_GBK" w:eastAsia="方正仿宋_GBK" w:cs="方正仿宋_GBK"/>
                <w:sz w:val="22"/>
                <w:highlight w:val="none"/>
              </w:rPr>
              <w:t>分；</w:t>
            </w:r>
          </w:p>
        </w:tc>
        <w:tc>
          <w:tcPr>
            <w:tcW w:w="1079" w:type="dxa"/>
            <w:vMerge w:val="restart"/>
            <w:vAlign w:val="center"/>
          </w:tcPr>
          <w:p w14:paraId="34AA3D16">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Merge w:val="restart"/>
            <w:vAlign w:val="center"/>
          </w:tcPr>
          <w:p w14:paraId="566B615C">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5</w:t>
            </w:r>
          </w:p>
        </w:tc>
        <w:tc>
          <w:tcPr>
            <w:tcW w:w="1545" w:type="dxa"/>
            <w:vMerge w:val="restart"/>
            <w:vAlign w:val="center"/>
          </w:tcPr>
          <w:p w14:paraId="67EAA14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7034C8F3">
            <w:pPr>
              <w:pStyle w:val="11"/>
              <w:spacing w:before="3" w:line="560" w:lineRule="exact"/>
              <w:jc w:val="center"/>
              <w:rPr>
                <w:rFonts w:ascii="方正仿宋_GBK" w:hAnsi="方正仿宋_GBK" w:eastAsia="方正仿宋_GBK" w:cs="方正仿宋_GBK"/>
                <w:sz w:val="24"/>
                <w:szCs w:val="24"/>
                <w:highlight w:val="none"/>
              </w:rPr>
            </w:pPr>
          </w:p>
        </w:tc>
      </w:tr>
      <w:tr w14:paraId="4D60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A9F5FE0">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9CA7689">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保洁范围：村庄辖区内公共广场、建筑及构筑物地面、设施设备 、空旷地、闲置地（含无硬底化部分）。绿化带内清掏及时，无杂物、无落叶等。严禁在道路、绿化带内焚烧垃圾、 树叶、杂物。公共广场、建筑及构筑物的地面每天普扫1次。保洁区域无垃圾 、泥迹、杂物、油渍和污水横溢现象；亭廊、小件品、指示牌、标识牌、栏杆、坐 椅等设施外观整洁，无污迹、积尘、蜘蛛网；栏杆无积尘 和污渍；外包服务公司在村庄内醒目位置将该村庄保洁员人数，岗位，职责全部上墙，实行村庄</w:t>
            </w:r>
            <w:r>
              <w:rPr>
                <w:rFonts w:hint="eastAsia" w:ascii="方正仿宋_GBK" w:eastAsia="方正仿宋_GBK" w:cs="宋体"/>
                <w:kern w:val="0"/>
                <w:sz w:val="22"/>
                <w:szCs w:val="22"/>
                <w:highlight w:val="none"/>
              </w:rPr>
              <w:t>“三定”</w:t>
            </w:r>
            <w:r>
              <w:rPr>
                <w:rFonts w:hint="eastAsia" w:ascii="方正仿宋_GBK" w:hAnsi="方正仿宋_GBK" w:eastAsia="方正仿宋_GBK" w:cs="方正仿宋_GBK"/>
                <w:color w:val="000000"/>
                <w:kern w:val="0"/>
                <w:sz w:val="22"/>
                <w:szCs w:val="22"/>
                <w:highlight w:val="none"/>
                <w:lang w:val="en-US" w:eastAsia="zh-CN" w:bidi="ar"/>
              </w:rPr>
              <w:t>管理。如</w:t>
            </w:r>
            <w:r>
              <w:rPr>
                <w:rFonts w:hint="eastAsia" w:ascii="方正仿宋_GBK" w:hAnsi="方正仿宋_GBK" w:eastAsia="方正仿宋_GBK" w:cs="方正仿宋_GBK"/>
                <w:sz w:val="22"/>
                <w:highlight w:val="none"/>
              </w:rPr>
              <w:t>公共休闲广场、文体娱乐设施、绿化带、花坛有零散垃圾</w:t>
            </w:r>
            <w:r>
              <w:rPr>
                <w:rFonts w:hint="eastAsia" w:ascii="方正仿宋_GBK" w:hAnsi="方正仿宋_GBK" w:eastAsia="方正仿宋_GBK" w:cs="方正仿宋_GBK"/>
                <w:sz w:val="22"/>
                <w:highlight w:val="none"/>
                <w:lang w:eastAsia="zh-CN"/>
              </w:rPr>
              <w:t>，保洁不到位，发现问题未及时上报整改</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r>
              <w:rPr>
                <w:rFonts w:hint="eastAsia" w:ascii="方正仿宋_GBK" w:hAnsi="方正仿宋_GBK" w:eastAsia="方正仿宋_GBK" w:cs="方正仿宋_GBK"/>
                <w:sz w:val="22"/>
                <w:highlight w:val="none"/>
                <w:lang w:eastAsia="zh-CN"/>
              </w:rPr>
              <w:t>保洁区域内一眼望去有大面积白色垃圾，枯枝落叶的</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011D436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25929D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7249E6A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26DCA96">
            <w:pPr>
              <w:pStyle w:val="11"/>
              <w:spacing w:before="3" w:line="560" w:lineRule="exact"/>
              <w:jc w:val="center"/>
              <w:rPr>
                <w:rFonts w:ascii="方正仿宋_GBK" w:hAnsi="方正仿宋_GBK" w:eastAsia="方正仿宋_GBK" w:cs="方正仿宋_GBK"/>
                <w:sz w:val="24"/>
                <w:szCs w:val="24"/>
                <w:highlight w:val="none"/>
              </w:rPr>
            </w:pPr>
          </w:p>
        </w:tc>
      </w:tr>
      <w:tr w14:paraId="4716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40111B48">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8E3418D">
            <w:pPr>
              <w:keepNext w:val="0"/>
              <w:keepLines w:val="0"/>
              <w:widowControl/>
              <w:suppressLineNumbers w:val="0"/>
              <w:jc w:val="left"/>
              <w:rPr>
                <w:rFonts w:hint="eastAsia" w:ascii="方正仿宋_GBK" w:hAnsi="方正仿宋_GBK" w:eastAsia="方正仿宋_GBK" w:cs="方正仿宋_GBK"/>
                <w:color w:val="000000"/>
                <w:kern w:val="0"/>
                <w:sz w:val="22"/>
                <w:szCs w:val="22"/>
                <w:highlight w:val="none"/>
                <w:lang w:val="en-US" w:eastAsia="zh-CN" w:bidi="ar"/>
              </w:rPr>
            </w:pPr>
            <w:r>
              <w:rPr>
                <w:rFonts w:hint="eastAsia" w:ascii="方正仿宋_GBK" w:hAnsi="方正仿宋_GBK" w:eastAsia="方正仿宋_GBK" w:cs="方正仿宋_GBK"/>
                <w:color w:val="000000"/>
                <w:kern w:val="0"/>
                <w:sz w:val="22"/>
                <w:szCs w:val="22"/>
                <w:highlight w:val="none"/>
                <w:lang w:val="en-US" w:eastAsia="zh-CN" w:bidi="ar"/>
              </w:rPr>
              <w:t>公共绿地要求清理绿化中的垃圾、抛洒物、零星废弃物，卫生死角、积存垃 圾杂物，确保绿化区域干净整洁，垃圾运至临时堆放点。</w:t>
            </w:r>
            <w:r>
              <w:rPr>
                <w:rFonts w:hint="eastAsia" w:ascii="宋体" w:hAnsi="宋体" w:eastAsia="宋体" w:cs="宋体"/>
                <w:color w:val="000000"/>
                <w:kern w:val="0"/>
                <w:sz w:val="18"/>
                <w:szCs w:val="18"/>
                <w:highlight w:val="none"/>
                <w:lang w:val="en-US" w:eastAsia="zh-CN" w:bidi="ar"/>
              </w:rPr>
              <w:t xml:space="preserve"> </w:t>
            </w:r>
          </w:p>
          <w:p w14:paraId="273549D2">
            <w:pPr>
              <w:keepNext w:val="0"/>
              <w:keepLines w:val="0"/>
              <w:widowControl/>
              <w:suppressLineNumbers w:val="0"/>
              <w:jc w:val="left"/>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rPr>
              <w:t>村民集中居住区、房前屋后有大量积存垃圾及卫生死角的扣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w:t>
            </w:r>
            <w:r>
              <w:rPr>
                <w:rFonts w:hint="eastAsia" w:ascii="方正仿宋_GBK" w:hAnsi="方正仿宋_GBK" w:eastAsia="方正仿宋_GBK" w:cs="方正仿宋_GBK"/>
                <w:sz w:val="22"/>
                <w:highlight w:val="none"/>
                <w:lang w:eastAsia="zh-CN"/>
              </w:rPr>
              <w:t>发现非正规垃圾堆放点扣</w:t>
            </w:r>
            <w:r>
              <w:rPr>
                <w:rFonts w:hint="eastAsia" w:ascii="方正仿宋_GBK" w:hAnsi="方正仿宋_GBK" w:eastAsia="方正仿宋_GBK" w:cs="方正仿宋_GBK"/>
                <w:sz w:val="22"/>
                <w:highlight w:val="none"/>
                <w:lang w:val="en-US" w:eastAsia="zh-CN"/>
              </w:rPr>
              <w:t>0.5分；</w:t>
            </w:r>
          </w:p>
        </w:tc>
        <w:tc>
          <w:tcPr>
            <w:tcW w:w="1079" w:type="dxa"/>
            <w:vMerge w:val="continue"/>
            <w:vAlign w:val="center"/>
          </w:tcPr>
          <w:p w14:paraId="61959C48">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164201F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47C8B32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B3416B1">
            <w:pPr>
              <w:pStyle w:val="11"/>
              <w:spacing w:before="3" w:line="560" w:lineRule="exact"/>
              <w:jc w:val="center"/>
              <w:rPr>
                <w:rFonts w:ascii="方正仿宋_GBK" w:hAnsi="方正仿宋_GBK" w:eastAsia="方正仿宋_GBK" w:cs="方正仿宋_GBK"/>
                <w:sz w:val="24"/>
                <w:szCs w:val="24"/>
                <w:highlight w:val="none"/>
              </w:rPr>
            </w:pPr>
          </w:p>
        </w:tc>
      </w:tr>
      <w:tr w14:paraId="7563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BF07212">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E1C78A">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清理小广告配备相应的操作工具、材料及专职工作人员。清理质量要求，外墙、地面、栏杆等清理保洁做到“日有日清”，并及时清理现场，确保作业场地整洁。原则上应在每日上午9点以前清除完毕，白天当天发现的新乱张贴乱涂写小广告立即清理。 </w:t>
            </w:r>
            <w:r>
              <w:rPr>
                <w:rFonts w:hint="eastAsia" w:ascii="方正仿宋_GBK" w:hAnsi="方正仿宋_GBK" w:eastAsia="方正仿宋_GBK" w:cs="方正仿宋_GBK"/>
                <w:sz w:val="22"/>
                <w:highlight w:val="none"/>
                <w:lang w:eastAsia="zh-CN"/>
              </w:rPr>
              <w:t>如</w:t>
            </w:r>
            <w:r>
              <w:rPr>
                <w:rFonts w:hint="eastAsia" w:ascii="方正仿宋_GBK" w:hAnsi="方正仿宋_GBK" w:eastAsia="方正仿宋_GBK" w:cs="方正仿宋_GBK"/>
                <w:sz w:val="22"/>
                <w:highlight w:val="none"/>
              </w:rPr>
              <w:t>墙体、树木、设施等处存在违规张贴、涂画的扣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w:t>
            </w:r>
          </w:p>
        </w:tc>
        <w:tc>
          <w:tcPr>
            <w:tcW w:w="1079" w:type="dxa"/>
            <w:vMerge w:val="continue"/>
            <w:vAlign w:val="center"/>
          </w:tcPr>
          <w:p w14:paraId="2D48791D">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D1E418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FB27B80">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8F29150">
            <w:pPr>
              <w:pStyle w:val="11"/>
              <w:spacing w:before="3" w:line="560" w:lineRule="exact"/>
              <w:jc w:val="center"/>
              <w:rPr>
                <w:rFonts w:ascii="方正仿宋_GBK" w:hAnsi="方正仿宋_GBK" w:eastAsia="方正仿宋_GBK" w:cs="方正仿宋_GBK"/>
                <w:sz w:val="24"/>
                <w:szCs w:val="24"/>
                <w:highlight w:val="none"/>
              </w:rPr>
            </w:pPr>
          </w:p>
        </w:tc>
      </w:tr>
      <w:tr w14:paraId="3446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left w:val="single" w:color="auto" w:sz="4" w:space="0"/>
              <w:right w:val="single" w:color="auto" w:sz="4" w:space="0"/>
            </w:tcBorders>
            <w:vAlign w:val="center"/>
          </w:tcPr>
          <w:p w14:paraId="6CE37A15">
            <w:pPr>
              <w:pStyle w:val="11"/>
              <w:spacing w:before="3" w:line="560" w:lineRule="exact"/>
              <w:jc w:val="center"/>
              <w:rPr>
                <w:rFonts w:hint="eastAsia" w:ascii="方正仿宋_GBK" w:hAnsi="方正仿宋_GBK" w:eastAsia="方正仿宋_GBK" w:cs="方正仿宋_GBK"/>
                <w:sz w:val="24"/>
                <w:szCs w:val="24"/>
                <w:highlight w:val="none"/>
              </w:rPr>
            </w:pPr>
          </w:p>
          <w:p w14:paraId="3738DDF1">
            <w:pPr>
              <w:pStyle w:val="11"/>
              <w:spacing w:before="3" w:line="560" w:lineRule="exact"/>
              <w:jc w:val="center"/>
              <w:rPr>
                <w:rFonts w:hint="eastAsia" w:ascii="方正仿宋_GBK" w:hAnsi="方正仿宋_GBK" w:eastAsia="方正仿宋_GBK" w:cs="方正仿宋_GBK"/>
                <w:sz w:val="24"/>
                <w:szCs w:val="24"/>
                <w:highlight w:val="none"/>
              </w:rPr>
            </w:pPr>
          </w:p>
          <w:p w14:paraId="4421E64C">
            <w:pPr>
              <w:pStyle w:val="11"/>
              <w:spacing w:before="3" w:line="560" w:lineRule="exact"/>
              <w:jc w:val="center"/>
              <w:rPr>
                <w:rFonts w:hint="eastAsia" w:ascii="方正仿宋_GBK" w:hAnsi="方正仿宋_GBK" w:eastAsia="方正仿宋_GBK" w:cs="方正仿宋_GBK"/>
                <w:sz w:val="24"/>
                <w:szCs w:val="24"/>
                <w:highlight w:val="none"/>
              </w:rPr>
            </w:pPr>
          </w:p>
          <w:p w14:paraId="2BEF6D9E">
            <w:pPr>
              <w:pStyle w:val="11"/>
              <w:spacing w:before="3" w:line="560" w:lineRule="exact"/>
              <w:jc w:val="center"/>
              <w:rPr>
                <w:rFonts w:hint="eastAsia" w:ascii="方正仿宋_GBK" w:hAnsi="方正仿宋_GBK" w:eastAsia="方正仿宋_GBK" w:cs="方正仿宋_GBK"/>
                <w:sz w:val="24"/>
                <w:szCs w:val="24"/>
                <w:highlight w:val="none"/>
              </w:rPr>
            </w:pPr>
          </w:p>
          <w:p w14:paraId="7605CEBA">
            <w:pPr>
              <w:pStyle w:val="11"/>
              <w:spacing w:before="3" w:line="560" w:lineRule="exact"/>
              <w:jc w:val="center"/>
              <w:rPr>
                <w:rFonts w:hint="eastAsia" w:ascii="方正仿宋_GBK" w:hAnsi="方正仿宋_GBK" w:eastAsia="方正仿宋_GBK" w:cs="方正仿宋_GBK"/>
                <w:sz w:val="24"/>
                <w:szCs w:val="24"/>
                <w:highlight w:val="none"/>
              </w:rPr>
            </w:pPr>
          </w:p>
          <w:p w14:paraId="1BE3349A">
            <w:pPr>
              <w:pStyle w:val="11"/>
              <w:spacing w:before="3" w:line="560" w:lineRule="exact"/>
              <w:jc w:val="center"/>
              <w:rPr>
                <w:rFonts w:hint="eastAsia" w:ascii="方正仿宋_GBK" w:hAnsi="方正仿宋_GBK" w:eastAsia="方正仿宋_GBK" w:cs="方正仿宋_GBK"/>
                <w:sz w:val="24"/>
                <w:szCs w:val="24"/>
                <w:highlight w:val="none"/>
              </w:rPr>
            </w:pPr>
          </w:p>
          <w:p w14:paraId="643C0D64">
            <w:pPr>
              <w:pStyle w:val="11"/>
              <w:spacing w:before="3" w:line="560" w:lineRule="exact"/>
              <w:jc w:val="center"/>
              <w:rPr>
                <w:rFonts w:hint="eastAsia" w:ascii="方正仿宋_GBK" w:hAnsi="方正仿宋_GBK" w:eastAsia="方正仿宋_GBK" w:cs="方正仿宋_GBK"/>
                <w:sz w:val="24"/>
                <w:szCs w:val="24"/>
                <w:highlight w:val="none"/>
              </w:rPr>
            </w:pPr>
          </w:p>
          <w:p w14:paraId="623F8E65">
            <w:pPr>
              <w:pStyle w:val="11"/>
              <w:spacing w:before="3" w:line="560" w:lineRule="exact"/>
              <w:ind w:left="0" w:leftChars="0" w:firstLine="480" w:firstLineChars="200"/>
              <w:jc w:val="both"/>
              <w:rPr>
                <w:rFonts w:hint="eastAsia" w:ascii="方正仿宋_GBK" w:hAnsi="方正仿宋_GBK" w:eastAsia="方正仿宋_GBK" w:cs="方正仿宋_GBK"/>
                <w:sz w:val="24"/>
                <w:szCs w:val="24"/>
                <w:highlight w:val="none"/>
              </w:rPr>
            </w:pPr>
          </w:p>
          <w:p w14:paraId="52F40A5A">
            <w:pPr>
              <w:pStyle w:val="11"/>
              <w:spacing w:before="3" w:line="560" w:lineRule="exact"/>
              <w:ind w:left="0" w:leftChars="0" w:firstLine="480" w:firstLineChars="200"/>
              <w:jc w:val="both"/>
              <w:rPr>
                <w:rFonts w:hint="eastAsia" w:ascii="方正仿宋_GBK" w:hAnsi="方正仿宋_GBK" w:eastAsia="方正仿宋_GBK" w:cs="方正仿宋_GBK"/>
                <w:sz w:val="24"/>
                <w:szCs w:val="24"/>
                <w:highlight w:val="none"/>
              </w:rPr>
            </w:pPr>
          </w:p>
          <w:p w14:paraId="2562264E">
            <w:pPr>
              <w:pStyle w:val="11"/>
              <w:spacing w:before="3" w:line="560" w:lineRule="exact"/>
              <w:ind w:left="0" w:leftChars="0" w:firstLine="480" w:firstLineChars="200"/>
              <w:jc w:val="both"/>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垃圾分类</w:t>
            </w:r>
          </w:p>
        </w:tc>
        <w:tc>
          <w:tcPr>
            <w:tcW w:w="8131" w:type="dxa"/>
            <w:vAlign w:val="center"/>
          </w:tcPr>
          <w:p w14:paraId="520566B2">
            <w:pPr>
              <w:keepNext w:val="0"/>
              <w:keepLines w:val="0"/>
              <w:widowControl/>
              <w:suppressLineNumbers w:val="0"/>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垃圾分类收集时间要求：每日完成垃圾收集，垃圾做到日产日清，所有垃圾转运至指定的垃圾收集点，做到合理、卫生、四周无散溢垃圾垃圾存放点保持清洁，无异味垃圾桶必须套装垃圾袋垃圾运输车辆干净整洁，一日一洗，保持安全正常运转， 定期维护； 运输车车身应印刷公司名称、编号，字迹清晰、整洁、密闭运输、摆放有序。每户门前按不可腐烂垃圾（灰色）、可腐烂垃圾（绿色）设置两个垃圾桶；单个收集容器容积须不低于30L； 每个自然村设置不少于1处集中垃圾投放点，投放点数量根据村庄规模大小及居民需求合理设置，投放点须包含（ 厨余、其他垃圾）垃圾桶、宣传栏等，垃圾桶容积须达 到240L。清运人员（分拣员）需全面落实二次分拣工作，对垃圾桶内误丢的垃圾进行正确分类，确保垃圾分类设施、容器干净整洁、完好。分类容器出现破旧、遗失或者数 量不足的，必须及时维修、更换或补设。 实行上门收集垃圾，每日不少于2次，早晚各一次，可根据实际情况调整收集时间，毎次定点收集时间不得少于 15 分钟并对丢垃圾的居民实时督导宜教，提高垃圾分类准确率。同时应制定着实有效的作业规范确保所有垃圾在收集和清运的过程中不产生二次污染。</w:t>
            </w:r>
          </w:p>
        </w:tc>
        <w:tc>
          <w:tcPr>
            <w:tcW w:w="1079" w:type="dxa"/>
            <w:vMerge w:val="restart"/>
            <w:vAlign w:val="center"/>
          </w:tcPr>
          <w:p w14:paraId="37F259C8">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449B300">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FD24429">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5DEA7C4D">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7670470">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9CEF659">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36FDC1D">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14BB8BE">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FF4D181">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59D9FC03">
            <w:pPr>
              <w:pStyle w:val="11"/>
              <w:spacing w:before="3" w:line="560" w:lineRule="exact"/>
              <w:ind w:left="0" w:leftChars="0" w:firstLine="0" w:firstLineChars="0"/>
              <w:jc w:val="both"/>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江浦街道综合行政执法和安全生产监督管理办公室</w:t>
            </w:r>
            <w:r>
              <w:rPr>
                <w:rFonts w:hint="eastAsia" w:ascii="方正仿宋_GBK" w:hAnsi="方正仿宋_GBK" w:eastAsia="方正仿宋_GBK" w:cs="方正仿宋_GBK"/>
                <w:sz w:val="24"/>
                <w:szCs w:val="24"/>
                <w:highlight w:val="none"/>
              </w:rPr>
              <w:t xml:space="preserve">      </w:t>
            </w:r>
          </w:p>
        </w:tc>
        <w:tc>
          <w:tcPr>
            <w:tcW w:w="915" w:type="dxa"/>
            <w:vMerge w:val="restart"/>
            <w:vAlign w:val="center"/>
          </w:tcPr>
          <w:p w14:paraId="4536801B">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259BFC7">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647921E7">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C3B416F">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718D51E0">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3378815B">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3CB7FC11">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EEA1C31">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2291AF54">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18D44C33">
            <w:pPr>
              <w:pStyle w:val="11"/>
              <w:spacing w:before="3" w:line="560" w:lineRule="exact"/>
              <w:ind w:firstLine="240" w:firstLineChars="100"/>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1</w:t>
            </w:r>
          </w:p>
        </w:tc>
        <w:tc>
          <w:tcPr>
            <w:tcW w:w="1545" w:type="dxa"/>
            <w:vMerge w:val="restart"/>
            <w:vAlign w:val="center"/>
          </w:tcPr>
          <w:p w14:paraId="524C5123">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67D46AE9">
            <w:pPr>
              <w:pStyle w:val="11"/>
              <w:spacing w:before="3" w:line="560" w:lineRule="exact"/>
              <w:jc w:val="center"/>
              <w:rPr>
                <w:rFonts w:ascii="方正仿宋_GBK" w:hAnsi="方正仿宋_GBK" w:eastAsia="方正仿宋_GBK" w:cs="方正仿宋_GBK"/>
                <w:sz w:val="24"/>
                <w:szCs w:val="24"/>
                <w:highlight w:val="none"/>
              </w:rPr>
            </w:pPr>
          </w:p>
        </w:tc>
      </w:tr>
      <w:tr w14:paraId="538A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03A78F44">
            <w:pPr>
              <w:pStyle w:val="11"/>
              <w:spacing w:before="3" w:line="560" w:lineRule="exact"/>
              <w:jc w:val="center"/>
              <w:rPr>
                <w:rFonts w:hint="eastAsia" w:ascii="方正仿宋_GBK" w:hAnsi="方正仿宋_GBK" w:eastAsia="方正仿宋_GBK" w:cs="方正仿宋_GBK"/>
                <w:sz w:val="24"/>
                <w:szCs w:val="24"/>
                <w:highlight w:val="none"/>
              </w:rPr>
            </w:pPr>
          </w:p>
        </w:tc>
        <w:tc>
          <w:tcPr>
            <w:tcW w:w="8131" w:type="dxa"/>
            <w:vAlign w:val="center"/>
          </w:tcPr>
          <w:p w14:paraId="5EFF5A9F">
            <w:pPr>
              <w:keepNext w:val="0"/>
              <w:keepLines w:val="0"/>
              <w:widowControl/>
              <w:suppressLineNumbers w:val="0"/>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未开展垃圾分类扣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55C0E7AB">
            <w:pPr>
              <w:pStyle w:val="11"/>
              <w:spacing w:before="3" w:line="560" w:lineRule="exact"/>
              <w:jc w:val="center"/>
              <w:rPr>
                <w:rFonts w:hint="eastAsia" w:ascii="方正仿宋_GBK" w:hAnsi="方正仿宋_GBK" w:eastAsia="方正仿宋_GBK" w:cs="方正仿宋_GBK"/>
                <w:sz w:val="24"/>
                <w:szCs w:val="24"/>
                <w:highlight w:val="none"/>
              </w:rPr>
            </w:pPr>
          </w:p>
        </w:tc>
        <w:tc>
          <w:tcPr>
            <w:tcW w:w="915" w:type="dxa"/>
            <w:vMerge w:val="continue"/>
            <w:vAlign w:val="center"/>
          </w:tcPr>
          <w:p w14:paraId="7CF262A6">
            <w:pPr>
              <w:pStyle w:val="11"/>
              <w:spacing w:before="3" w:line="560" w:lineRule="exact"/>
              <w:jc w:val="center"/>
              <w:rPr>
                <w:rFonts w:hint="eastAsia" w:ascii="方正仿宋_GBK" w:hAnsi="方正仿宋_GBK" w:eastAsia="方正仿宋_GBK" w:cs="方正仿宋_GBK"/>
                <w:sz w:val="24"/>
                <w:szCs w:val="24"/>
                <w:highlight w:val="none"/>
              </w:rPr>
            </w:pPr>
          </w:p>
        </w:tc>
        <w:tc>
          <w:tcPr>
            <w:tcW w:w="1545" w:type="dxa"/>
            <w:vMerge w:val="continue"/>
            <w:vAlign w:val="center"/>
          </w:tcPr>
          <w:p w14:paraId="5391F221">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D9552E4">
            <w:pPr>
              <w:pStyle w:val="11"/>
              <w:spacing w:before="3" w:line="560" w:lineRule="exact"/>
              <w:jc w:val="center"/>
              <w:rPr>
                <w:rFonts w:ascii="方正仿宋_GBK" w:hAnsi="方正仿宋_GBK" w:eastAsia="方正仿宋_GBK" w:cs="方正仿宋_GBK"/>
                <w:sz w:val="24"/>
                <w:szCs w:val="24"/>
                <w:highlight w:val="none"/>
              </w:rPr>
            </w:pPr>
          </w:p>
        </w:tc>
      </w:tr>
      <w:tr w14:paraId="2D18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7ED2D10">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18601B4C">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分类垃圾桶、箱损坏、标识不清扣1</w:t>
            </w:r>
            <w:r>
              <w:rPr>
                <w:rFonts w:hint="eastAsia" w:ascii="方正仿宋_GBK" w:hAnsi="方正仿宋_GBK" w:eastAsia="方正仿宋_GBK" w:cs="方正仿宋_GBK"/>
                <w:sz w:val="22"/>
                <w:highlight w:val="none"/>
                <w:lang w:val="en-US" w:eastAsia="zh-CN"/>
              </w:rPr>
              <w:t>.5</w:t>
            </w:r>
            <w:r>
              <w:rPr>
                <w:rFonts w:hint="eastAsia" w:ascii="方正仿宋_GBK" w:hAnsi="方正仿宋_GBK" w:eastAsia="方正仿宋_GBK" w:cs="方正仿宋_GBK"/>
                <w:sz w:val="22"/>
                <w:highlight w:val="none"/>
              </w:rPr>
              <w:t>分；分类垃圾桶、箱不洁扣1</w:t>
            </w:r>
            <w:r>
              <w:rPr>
                <w:rFonts w:hint="eastAsia" w:ascii="方正仿宋_GBK" w:hAnsi="方正仿宋_GBK" w:eastAsia="方正仿宋_GBK" w:cs="方正仿宋_GBK"/>
                <w:sz w:val="22"/>
                <w:highlight w:val="none"/>
                <w:lang w:val="en-US" w:eastAsia="zh-CN"/>
              </w:rPr>
              <w:t>.5</w:t>
            </w:r>
            <w:r>
              <w:rPr>
                <w:rFonts w:hint="eastAsia" w:ascii="方正仿宋_GBK" w:hAnsi="方正仿宋_GBK" w:eastAsia="方正仿宋_GBK" w:cs="方正仿宋_GBK"/>
                <w:sz w:val="22"/>
                <w:highlight w:val="none"/>
              </w:rPr>
              <w:t>分；</w:t>
            </w:r>
          </w:p>
        </w:tc>
        <w:tc>
          <w:tcPr>
            <w:tcW w:w="1079" w:type="dxa"/>
            <w:vMerge w:val="continue"/>
            <w:tcBorders>
              <w:bottom w:val="single" w:color="000000" w:sz="6" w:space="0"/>
            </w:tcBorders>
            <w:vAlign w:val="center"/>
          </w:tcPr>
          <w:p w14:paraId="406BB69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1890610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3235A12A">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6FB036A2">
            <w:pPr>
              <w:pStyle w:val="11"/>
              <w:spacing w:before="3" w:line="560" w:lineRule="exact"/>
              <w:jc w:val="center"/>
              <w:rPr>
                <w:rFonts w:ascii="方正仿宋_GBK" w:hAnsi="方正仿宋_GBK" w:eastAsia="方正仿宋_GBK" w:cs="方正仿宋_GBK"/>
                <w:sz w:val="24"/>
                <w:szCs w:val="24"/>
                <w:highlight w:val="none"/>
              </w:rPr>
            </w:pPr>
          </w:p>
        </w:tc>
      </w:tr>
      <w:tr w14:paraId="137E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2691A25D">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3DE0F1E">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分类收集点、投放点周边环境脏、乱、差扣</w:t>
            </w:r>
            <w:r>
              <w:rPr>
                <w:rFonts w:hint="eastAsia" w:ascii="方正仿宋_GBK" w:hAnsi="方正仿宋_GBK" w:eastAsia="方正仿宋_GBK" w:cs="方正仿宋_GBK"/>
                <w:sz w:val="22"/>
                <w:highlight w:val="none"/>
                <w:lang w:val="en-US" w:eastAsia="zh-CN"/>
              </w:rPr>
              <w:t>4</w:t>
            </w:r>
            <w:r>
              <w:rPr>
                <w:rFonts w:hint="eastAsia" w:ascii="方正仿宋_GBK" w:hAnsi="方正仿宋_GBK" w:eastAsia="方正仿宋_GBK" w:cs="方正仿宋_GBK"/>
                <w:sz w:val="22"/>
                <w:highlight w:val="none"/>
              </w:rPr>
              <w:t>分；</w:t>
            </w:r>
          </w:p>
        </w:tc>
        <w:tc>
          <w:tcPr>
            <w:tcW w:w="1079" w:type="dxa"/>
            <w:vMerge w:val="continue"/>
            <w:vAlign w:val="center"/>
          </w:tcPr>
          <w:p w14:paraId="0293BC64">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63A1D98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958762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101864C">
            <w:pPr>
              <w:pStyle w:val="11"/>
              <w:spacing w:before="3" w:line="560" w:lineRule="exact"/>
              <w:jc w:val="center"/>
              <w:rPr>
                <w:rFonts w:ascii="方正仿宋_GBK" w:hAnsi="方正仿宋_GBK" w:eastAsia="方正仿宋_GBK" w:cs="方正仿宋_GBK"/>
                <w:sz w:val="24"/>
                <w:szCs w:val="24"/>
                <w:highlight w:val="none"/>
              </w:rPr>
            </w:pPr>
          </w:p>
        </w:tc>
      </w:tr>
      <w:tr w14:paraId="0807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399" w:type="dxa"/>
            <w:vMerge w:val="continue"/>
            <w:tcBorders>
              <w:left w:val="single" w:color="auto" w:sz="4" w:space="0"/>
              <w:right w:val="single" w:color="auto" w:sz="4" w:space="0"/>
            </w:tcBorders>
            <w:vAlign w:val="center"/>
          </w:tcPr>
          <w:p w14:paraId="7388A503">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A413B6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居民集中区域垃圾分类未达到省、市目标任务要求扣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071ED6C1">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37F42A8B">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64E53DB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B3DF4E">
            <w:pPr>
              <w:pStyle w:val="11"/>
              <w:spacing w:before="3" w:line="560" w:lineRule="exact"/>
              <w:jc w:val="center"/>
              <w:rPr>
                <w:rFonts w:ascii="方正仿宋_GBK" w:hAnsi="方正仿宋_GBK" w:eastAsia="方正仿宋_GBK" w:cs="方正仿宋_GBK"/>
                <w:sz w:val="24"/>
                <w:szCs w:val="24"/>
                <w:highlight w:val="none"/>
              </w:rPr>
            </w:pPr>
          </w:p>
        </w:tc>
      </w:tr>
      <w:tr w14:paraId="0718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4FA8F3F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3FB8162">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未在村（组）醒目的位置设置生活垃圾分类上门收集时间、收运范围、车辆、收集人员、联系方式、引导牌及收运线路图扣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4519F86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0BC865E">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637CC89A">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B988BE8">
            <w:pPr>
              <w:pStyle w:val="11"/>
              <w:spacing w:before="3" w:line="560" w:lineRule="exact"/>
              <w:jc w:val="center"/>
              <w:rPr>
                <w:rFonts w:ascii="方正仿宋_GBK" w:hAnsi="方正仿宋_GBK" w:eastAsia="方正仿宋_GBK" w:cs="方正仿宋_GBK"/>
                <w:sz w:val="24"/>
                <w:szCs w:val="24"/>
                <w:highlight w:val="none"/>
              </w:rPr>
            </w:pPr>
          </w:p>
        </w:tc>
      </w:tr>
      <w:tr w14:paraId="195B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7348356D">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61BC45B">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未组织村民、收运人员进行培训，使村民、保洁员、收运员不知晓垃圾分类不同种类的投放时间、地点及相关要求扣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2AF253BE">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9D372C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94E86A0">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98115A4">
            <w:pPr>
              <w:pStyle w:val="11"/>
              <w:spacing w:before="3" w:line="560" w:lineRule="exact"/>
              <w:jc w:val="center"/>
              <w:rPr>
                <w:rFonts w:ascii="方正仿宋_GBK" w:hAnsi="方正仿宋_GBK" w:eastAsia="方正仿宋_GBK" w:cs="方正仿宋_GBK"/>
                <w:sz w:val="24"/>
                <w:szCs w:val="24"/>
                <w:highlight w:val="none"/>
              </w:rPr>
            </w:pPr>
          </w:p>
        </w:tc>
      </w:tr>
      <w:tr w14:paraId="475D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634CF3A1">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078AE7A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收运车辆未标注分类标识及运行单位名称的扣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330AD16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B56028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15EB06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A11D6FF">
            <w:pPr>
              <w:pStyle w:val="11"/>
              <w:spacing w:before="3" w:line="560" w:lineRule="exact"/>
              <w:jc w:val="center"/>
              <w:rPr>
                <w:rFonts w:ascii="方正仿宋_GBK" w:hAnsi="方正仿宋_GBK" w:eastAsia="方正仿宋_GBK" w:cs="方正仿宋_GBK"/>
                <w:sz w:val="24"/>
                <w:szCs w:val="24"/>
                <w:highlight w:val="none"/>
              </w:rPr>
            </w:pPr>
          </w:p>
        </w:tc>
      </w:tr>
      <w:tr w14:paraId="2498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6411D183">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C9E974E">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未按规定线路、时间进行收运的扣1分；</w:t>
            </w:r>
          </w:p>
        </w:tc>
        <w:tc>
          <w:tcPr>
            <w:tcW w:w="1079" w:type="dxa"/>
            <w:vMerge w:val="continue"/>
            <w:vAlign w:val="center"/>
          </w:tcPr>
          <w:p w14:paraId="2BE23578">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A92CD6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5D1D055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05D8A0A">
            <w:pPr>
              <w:pStyle w:val="11"/>
              <w:spacing w:before="3" w:line="560" w:lineRule="exact"/>
              <w:jc w:val="center"/>
              <w:rPr>
                <w:rFonts w:ascii="方正仿宋_GBK" w:hAnsi="方正仿宋_GBK" w:eastAsia="方正仿宋_GBK" w:cs="方正仿宋_GBK"/>
                <w:sz w:val="24"/>
                <w:szCs w:val="24"/>
                <w:highlight w:val="none"/>
              </w:rPr>
            </w:pPr>
          </w:p>
        </w:tc>
      </w:tr>
      <w:tr w14:paraId="0ADC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7F08016A">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58FB7D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分拣中心不运行扣2分；未进行消杀的扣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vAlign w:val="center"/>
          </w:tcPr>
          <w:p w14:paraId="0008DAB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19C0E829">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664297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F31F5F2">
            <w:pPr>
              <w:pStyle w:val="11"/>
              <w:spacing w:before="3" w:line="560" w:lineRule="exact"/>
              <w:jc w:val="center"/>
              <w:rPr>
                <w:rFonts w:ascii="方正仿宋_GBK" w:hAnsi="方正仿宋_GBK" w:eastAsia="方正仿宋_GBK" w:cs="方正仿宋_GBK"/>
                <w:sz w:val="24"/>
                <w:szCs w:val="24"/>
                <w:highlight w:val="none"/>
              </w:rPr>
            </w:pPr>
          </w:p>
        </w:tc>
      </w:tr>
      <w:tr w14:paraId="58A0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bottom w:val="single" w:color="000000" w:sz="6" w:space="0"/>
              <w:right w:val="single" w:color="auto" w:sz="4" w:space="0"/>
            </w:tcBorders>
            <w:vAlign w:val="center"/>
          </w:tcPr>
          <w:p w14:paraId="57884393">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578812E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数据瞒报、漏报，造假</w:t>
            </w:r>
            <w:r>
              <w:rPr>
                <w:rFonts w:hint="eastAsia" w:ascii="方正仿宋_GBK" w:hAnsi="方正仿宋_GBK" w:eastAsia="方正仿宋_GBK" w:cs="方正仿宋_GBK"/>
                <w:sz w:val="22"/>
                <w:highlight w:val="none"/>
                <w:lang w:eastAsia="zh-CN"/>
              </w:rPr>
              <w:t>未及时上报</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tcBorders>
              <w:bottom w:val="single" w:color="000000" w:sz="6" w:space="0"/>
            </w:tcBorders>
            <w:vAlign w:val="center"/>
          </w:tcPr>
          <w:p w14:paraId="201AAFF9">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3F6934B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47CC18C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7CE30505">
            <w:pPr>
              <w:pStyle w:val="11"/>
              <w:spacing w:before="3" w:line="560" w:lineRule="exact"/>
              <w:jc w:val="center"/>
              <w:rPr>
                <w:rFonts w:ascii="方正仿宋_GBK" w:hAnsi="方正仿宋_GBK" w:eastAsia="方正仿宋_GBK" w:cs="方正仿宋_GBK"/>
                <w:sz w:val="24"/>
                <w:szCs w:val="24"/>
                <w:highlight w:val="none"/>
              </w:rPr>
            </w:pPr>
          </w:p>
        </w:tc>
      </w:tr>
      <w:tr w14:paraId="7419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3EB634FB">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0FB20E7F">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可回收、餐厨密闭化收运车辆未加装GPS定位扣2分；</w:t>
            </w:r>
          </w:p>
        </w:tc>
        <w:tc>
          <w:tcPr>
            <w:tcW w:w="1079" w:type="dxa"/>
            <w:vMerge w:val="continue"/>
            <w:tcBorders>
              <w:bottom w:val="single" w:color="000000" w:sz="6" w:space="0"/>
            </w:tcBorders>
            <w:vAlign w:val="center"/>
          </w:tcPr>
          <w:p w14:paraId="1B3E81F0">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323B33E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0F5C4058">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29294B4E">
            <w:pPr>
              <w:pStyle w:val="11"/>
              <w:spacing w:before="3" w:line="560" w:lineRule="exact"/>
              <w:jc w:val="center"/>
              <w:rPr>
                <w:rFonts w:ascii="方正仿宋_GBK" w:hAnsi="方正仿宋_GBK" w:eastAsia="方正仿宋_GBK" w:cs="方正仿宋_GBK"/>
                <w:sz w:val="24"/>
                <w:szCs w:val="24"/>
                <w:highlight w:val="none"/>
              </w:rPr>
            </w:pPr>
          </w:p>
        </w:tc>
      </w:tr>
      <w:tr w14:paraId="129D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33076D3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DABF5F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农村垃圾分类配套设施运行管理优良率未达到90%以上扣1分；</w:t>
            </w:r>
          </w:p>
        </w:tc>
        <w:tc>
          <w:tcPr>
            <w:tcW w:w="1079" w:type="dxa"/>
            <w:vMerge w:val="continue"/>
            <w:vAlign w:val="center"/>
          </w:tcPr>
          <w:p w14:paraId="44BEE2A5">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416A80DB">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04776058">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200BEE7C">
            <w:pPr>
              <w:pStyle w:val="11"/>
              <w:spacing w:before="3" w:line="560" w:lineRule="exact"/>
              <w:jc w:val="center"/>
              <w:rPr>
                <w:rFonts w:ascii="方正仿宋_GBK" w:hAnsi="方正仿宋_GBK" w:eastAsia="方正仿宋_GBK" w:cs="方正仿宋_GBK"/>
                <w:sz w:val="24"/>
                <w:szCs w:val="24"/>
                <w:highlight w:val="none"/>
              </w:rPr>
            </w:pPr>
          </w:p>
        </w:tc>
      </w:tr>
      <w:tr w14:paraId="0F2D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0E8306E5">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77EE5F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未每月定期开展村民垃圾分类投放情况评比的扣1分；</w:t>
            </w:r>
          </w:p>
        </w:tc>
        <w:tc>
          <w:tcPr>
            <w:tcW w:w="1079" w:type="dxa"/>
            <w:vMerge w:val="continue"/>
            <w:vAlign w:val="center"/>
          </w:tcPr>
          <w:p w14:paraId="6D83A2C5">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2EEB961">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8229901">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B01D7F8">
            <w:pPr>
              <w:pStyle w:val="11"/>
              <w:spacing w:before="3" w:line="560" w:lineRule="exact"/>
              <w:jc w:val="center"/>
              <w:rPr>
                <w:rFonts w:ascii="方正仿宋_GBK" w:hAnsi="方正仿宋_GBK" w:eastAsia="方正仿宋_GBK" w:cs="方正仿宋_GBK"/>
                <w:sz w:val="24"/>
                <w:szCs w:val="24"/>
                <w:highlight w:val="none"/>
              </w:rPr>
            </w:pPr>
          </w:p>
        </w:tc>
      </w:tr>
      <w:tr w14:paraId="216C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2399" w:type="dxa"/>
            <w:vMerge w:val="continue"/>
            <w:tcBorders>
              <w:left w:val="single" w:color="auto" w:sz="4" w:space="0"/>
              <w:right w:val="single" w:color="auto" w:sz="4" w:space="0"/>
            </w:tcBorders>
            <w:vAlign w:val="center"/>
          </w:tcPr>
          <w:p w14:paraId="16A01324">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8BB7FA">
            <w:pPr>
              <w:pStyle w:val="11"/>
              <w:spacing w:before="3" w:line="560" w:lineRule="exact"/>
              <w:jc w:val="left"/>
              <w:rPr>
                <w:rFonts w:hint="eastAsia"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rPr>
              <w:t>受到</w:t>
            </w:r>
            <w:r>
              <w:rPr>
                <w:rFonts w:hint="eastAsia" w:ascii="方正仿宋_GBK" w:hAnsi="方正仿宋_GBK" w:eastAsia="方正仿宋_GBK" w:cs="方正仿宋_GBK"/>
                <w:sz w:val="22"/>
                <w:highlight w:val="none"/>
                <w:lang w:eastAsia="zh-CN"/>
              </w:rPr>
              <w:t>上级</w:t>
            </w:r>
            <w:r>
              <w:rPr>
                <w:rFonts w:hint="eastAsia" w:ascii="方正仿宋_GBK" w:hAnsi="方正仿宋_GBK" w:eastAsia="方正仿宋_GBK" w:cs="方正仿宋_GBK"/>
                <w:sz w:val="22"/>
                <w:highlight w:val="none"/>
              </w:rPr>
              <w:t>通报批评、领导批办问题、市民投诉举报、媒体曝光的环境卫生问题，经确认有责的扣</w:t>
            </w:r>
            <w:r>
              <w:rPr>
                <w:rFonts w:hint="eastAsia" w:ascii="方正仿宋_GBK" w:hAnsi="方正仿宋_GBK" w:eastAsia="方正仿宋_GBK" w:cs="方正仿宋_GBK"/>
                <w:sz w:val="22"/>
                <w:highlight w:val="none"/>
                <w:lang w:val="en-US" w:eastAsia="zh-CN"/>
              </w:rPr>
              <w:t>4</w:t>
            </w:r>
            <w:r>
              <w:rPr>
                <w:rFonts w:hint="eastAsia" w:ascii="方正仿宋_GBK" w:hAnsi="方正仿宋_GBK" w:eastAsia="方正仿宋_GBK" w:cs="方正仿宋_GBK"/>
                <w:sz w:val="22"/>
                <w:highlight w:val="none"/>
              </w:rPr>
              <w:t>分；</w:t>
            </w:r>
          </w:p>
        </w:tc>
        <w:tc>
          <w:tcPr>
            <w:tcW w:w="1079" w:type="dxa"/>
            <w:vMerge w:val="continue"/>
            <w:vAlign w:val="center"/>
          </w:tcPr>
          <w:p w14:paraId="309DEA9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36CACFA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FED9DBE">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1EA798A">
            <w:pPr>
              <w:pStyle w:val="11"/>
              <w:spacing w:before="3" w:line="560" w:lineRule="exact"/>
              <w:jc w:val="center"/>
              <w:rPr>
                <w:rFonts w:ascii="方正仿宋_GBK" w:hAnsi="方正仿宋_GBK" w:eastAsia="方正仿宋_GBK" w:cs="方正仿宋_GBK"/>
                <w:sz w:val="24"/>
                <w:szCs w:val="24"/>
                <w:highlight w:val="none"/>
              </w:rPr>
            </w:pPr>
          </w:p>
        </w:tc>
      </w:tr>
      <w:tr w14:paraId="3CAA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2399" w:type="dxa"/>
            <w:tcBorders>
              <w:left w:val="single" w:color="auto" w:sz="4" w:space="0"/>
              <w:right w:val="single" w:color="auto" w:sz="4" w:space="0"/>
            </w:tcBorders>
            <w:vAlign w:val="center"/>
          </w:tcPr>
          <w:p w14:paraId="1EF9CF10">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安全生产</w:t>
            </w:r>
          </w:p>
        </w:tc>
        <w:tc>
          <w:tcPr>
            <w:tcW w:w="8131" w:type="dxa"/>
            <w:vAlign w:val="center"/>
          </w:tcPr>
          <w:p w14:paraId="320FCCFB">
            <w:pPr>
              <w:pStyle w:val="11"/>
              <w:spacing w:before="3" w:line="560" w:lineRule="exact"/>
              <w:jc w:val="lef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lang w:eastAsia="zh-CN"/>
              </w:rPr>
              <w:t>在日常工作中发生安全事故，伤害人身安全和健康，或者损坏设备设施，或者造成经济损失意外事件的扣2分</w:t>
            </w:r>
          </w:p>
        </w:tc>
        <w:tc>
          <w:tcPr>
            <w:tcW w:w="1079" w:type="dxa"/>
            <w:vAlign w:val="center"/>
          </w:tcPr>
          <w:p w14:paraId="156F40E6">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Align w:val="center"/>
          </w:tcPr>
          <w:p w14:paraId="03A2457A">
            <w:pPr>
              <w:pStyle w:val="11"/>
              <w:spacing w:before="3" w:line="56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0A35B0D4">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3778CE78">
            <w:pPr>
              <w:pStyle w:val="11"/>
              <w:spacing w:before="3" w:line="560" w:lineRule="exact"/>
              <w:jc w:val="center"/>
              <w:rPr>
                <w:rFonts w:ascii="方正仿宋_GBK" w:hAnsi="方正仿宋_GBK" w:eastAsia="方正仿宋_GBK" w:cs="方正仿宋_GBK"/>
                <w:sz w:val="24"/>
                <w:szCs w:val="24"/>
                <w:highlight w:val="none"/>
              </w:rPr>
            </w:pPr>
          </w:p>
        </w:tc>
      </w:tr>
      <w:tr w14:paraId="7E1D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53238EB1">
            <w:pPr>
              <w:pStyle w:val="11"/>
              <w:spacing w:before="3" w:line="560" w:lineRule="exact"/>
              <w:jc w:val="center"/>
              <w:rPr>
                <w:rFonts w:hint="eastAsia" w:ascii="方正仿宋_GBK" w:hAnsi="方正仿宋_GBK" w:eastAsia="方正仿宋_GBK" w:cs="方正仿宋_GBK"/>
                <w:sz w:val="24"/>
                <w:szCs w:val="24"/>
                <w:highlight w:val="none"/>
              </w:rPr>
            </w:pPr>
          </w:p>
          <w:p w14:paraId="0D035186">
            <w:pPr>
              <w:pStyle w:val="11"/>
              <w:spacing w:before="3" w:line="560" w:lineRule="exact"/>
              <w:jc w:val="center"/>
              <w:rPr>
                <w:rFonts w:hint="eastAsia" w:ascii="方正仿宋_GBK" w:hAnsi="方正仿宋_GBK" w:eastAsia="方正仿宋_GBK" w:cs="方正仿宋_GBK"/>
                <w:sz w:val="24"/>
                <w:szCs w:val="24"/>
                <w:highlight w:val="none"/>
              </w:rPr>
            </w:pPr>
          </w:p>
          <w:p w14:paraId="52E8DC1D">
            <w:pPr>
              <w:pStyle w:val="11"/>
              <w:spacing w:before="3" w:line="560" w:lineRule="exact"/>
              <w:jc w:val="center"/>
              <w:rPr>
                <w:rFonts w:hint="eastAsia" w:ascii="方正仿宋_GBK" w:hAnsi="方正仿宋_GBK" w:eastAsia="方正仿宋_GBK" w:cs="方正仿宋_GBK"/>
                <w:sz w:val="24"/>
                <w:szCs w:val="24"/>
                <w:highlight w:val="none"/>
              </w:rPr>
            </w:pPr>
          </w:p>
          <w:p w14:paraId="73CA0568">
            <w:pPr>
              <w:pStyle w:val="11"/>
              <w:spacing w:before="3" w:line="560" w:lineRule="exact"/>
              <w:jc w:val="center"/>
              <w:rPr>
                <w:rFonts w:hint="eastAsia" w:ascii="方正仿宋_GBK" w:hAnsi="方正仿宋_GBK" w:eastAsia="方正仿宋_GBK" w:cs="方正仿宋_GBK"/>
                <w:sz w:val="24"/>
                <w:szCs w:val="24"/>
                <w:highlight w:val="none"/>
              </w:rPr>
            </w:pPr>
          </w:p>
          <w:p w14:paraId="29CDF971">
            <w:pPr>
              <w:pStyle w:val="11"/>
              <w:spacing w:before="3" w:line="560" w:lineRule="exact"/>
              <w:jc w:val="center"/>
              <w:rPr>
                <w:rFonts w:hint="eastAsia" w:ascii="方正仿宋_GBK" w:hAnsi="方正仿宋_GBK" w:eastAsia="方正仿宋_GBK" w:cs="方正仿宋_GBK"/>
                <w:sz w:val="24"/>
                <w:szCs w:val="24"/>
                <w:highlight w:val="none"/>
              </w:rPr>
            </w:pPr>
          </w:p>
          <w:p w14:paraId="3B901DC3">
            <w:pPr>
              <w:pStyle w:val="11"/>
              <w:spacing w:before="3" w:line="560" w:lineRule="exact"/>
              <w:jc w:val="center"/>
              <w:rPr>
                <w:rFonts w:hint="eastAsia" w:ascii="方正仿宋_GBK" w:hAnsi="方正仿宋_GBK" w:eastAsia="方正仿宋_GBK" w:cs="方正仿宋_GBK"/>
                <w:sz w:val="24"/>
                <w:szCs w:val="24"/>
                <w:highlight w:val="none"/>
              </w:rPr>
            </w:pPr>
          </w:p>
          <w:p w14:paraId="0349099B">
            <w:pPr>
              <w:pStyle w:val="11"/>
              <w:spacing w:before="3" w:line="560" w:lineRule="exact"/>
              <w:jc w:val="center"/>
              <w:rPr>
                <w:rFonts w:hint="eastAsia" w:ascii="方正仿宋_GBK" w:hAnsi="方正仿宋_GBK" w:eastAsia="方正仿宋_GBK" w:cs="方正仿宋_GBK"/>
                <w:sz w:val="24"/>
                <w:szCs w:val="24"/>
                <w:highlight w:val="none"/>
              </w:rPr>
            </w:pPr>
          </w:p>
          <w:p w14:paraId="03B0444B">
            <w:pPr>
              <w:pStyle w:val="11"/>
              <w:spacing w:before="3" w:line="560" w:lineRule="exact"/>
              <w:jc w:val="center"/>
              <w:rPr>
                <w:rFonts w:hint="eastAsia" w:ascii="方正仿宋_GBK" w:hAnsi="方正仿宋_GBK" w:eastAsia="方正仿宋_GBK" w:cs="方正仿宋_GBK"/>
                <w:sz w:val="24"/>
                <w:szCs w:val="24"/>
                <w:highlight w:val="none"/>
              </w:rPr>
            </w:pPr>
          </w:p>
          <w:p w14:paraId="75D8600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公厕革命</w:t>
            </w:r>
          </w:p>
        </w:tc>
        <w:tc>
          <w:tcPr>
            <w:tcW w:w="8131" w:type="dxa"/>
            <w:vAlign w:val="center"/>
          </w:tcPr>
          <w:p w14:paraId="084AE5D2">
            <w:pPr>
              <w:keepNext w:val="0"/>
              <w:keepLines w:val="0"/>
              <w:widowControl/>
              <w:suppressLineNumbers w:val="0"/>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公共厕所的日常保洁作业、运行管理服务，质量标准应达到二类公厕标准， 每周用清洁剂全面清洁一次，每日清洁2次，平时巡回保洁。 公厕内采光、照明和通风应良好，无明显臭味； 公厕内墙面、天花板、门窗和隔离板应无积灰、污迹、蛛网，无乱涂乱画;墙面 应光洁，公厕外墙面应整洁； 公厕内地面应光洁，无积水； </w:t>
            </w:r>
          </w:p>
          <w:p w14:paraId="2A0695AA">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蹲位应整洁，大便槽两侧应无粪便污物，槽内无积粪，洁净见底；小便槽(斗) 应无水锈、尿垢、垃圾，基本无臭；沟眼、管道保持畅通； 洗漱台每天清洁一次，保持台面无水印、无杂物、无污迹、明亮干净 公厕内照明灯具、洗手器具、镜子、挂衣钩、烘手器、冲水设备等应完好，无积灰、污物； 公厕外环境应整洁，无乱堆杂物，保洁工具应放置整齐。公厕四周3～5m范围内 ，应无垃圾、粪便、污水等污物； 蝇蚊孳生季节，应定时喷洒灭蚊蝇药物，有效控制蝇蛆孳生；公共卫生间工具箱和管理间内物品摆放整齐，不得堆放杂物；作业完毕，作业工具及时放入工具箱或管理间；公厕巡查记录做到每日有记录、签字 ，对公厕内破损设施，要及时维修（并有台帐记录）； </w:t>
            </w:r>
          </w:p>
        </w:tc>
        <w:tc>
          <w:tcPr>
            <w:tcW w:w="1079" w:type="dxa"/>
            <w:vMerge w:val="restart"/>
            <w:vAlign w:val="center"/>
          </w:tcPr>
          <w:p w14:paraId="6D09716D">
            <w:pPr>
              <w:pStyle w:val="11"/>
              <w:spacing w:before="3" w:line="560" w:lineRule="exact"/>
              <w:jc w:val="left"/>
              <w:rPr>
                <w:rFonts w:hint="eastAsia" w:ascii="方正仿宋_GBK" w:hAnsi="方正仿宋_GBK" w:eastAsia="方正仿宋_GBK" w:cs="方正仿宋_GBK"/>
                <w:sz w:val="24"/>
                <w:szCs w:val="24"/>
                <w:highlight w:val="none"/>
              </w:rPr>
            </w:pPr>
          </w:p>
          <w:p w14:paraId="4E3977E9">
            <w:pPr>
              <w:pStyle w:val="11"/>
              <w:spacing w:before="3" w:line="560" w:lineRule="exact"/>
              <w:jc w:val="left"/>
              <w:rPr>
                <w:rFonts w:hint="eastAsia" w:ascii="方正仿宋_GBK" w:hAnsi="方正仿宋_GBK" w:eastAsia="方正仿宋_GBK" w:cs="方正仿宋_GBK"/>
                <w:sz w:val="24"/>
                <w:szCs w:val="24"/>
                <w:highlight w:val="none"/>
              </w:rPr>
            </w:pPr>
          </w:p>
          <w:p w14:paraId="569DF308">
            <w:pPr>
              <w:pStyle w:val="11"/>
              <w:spacing w:before="3" w:line="560" w:lineRule="exact"/>
              <w:jc w:val="left"/>
              <w:rPr>
                <w:rFonts w:hint="eastAsia" w:ascii="方正仿宋_GBK" w:hAnsi="方正仿宋_GBK" w:eastAsia="方正仿宋_GBK" w:cs="方正仿宋_GBK"/>
                <w:sz w:val="24"/>
                <w:szCs w:val="24"/>
                <w:highlight w:val="none"/>
              </w:rPr>
            </w:pPr>
          </w:p>
          <w:p w14:paraId="3F0BCC43">
            <w:pPr>
              <w:pStyle w:val="11"/>
              <w:spacing w:before="3" w:line="560" w:lineRule="exact"/>
              <w:jc w:val="left"/>
              <w:rPr>
                <w:rFonts w:hint="eastAsia" w:ascii="方正仿宋_GBK" w:hAnsi="方正仿宋_GBK" w:eastAsia="方正仿宋_GBK" w:cs="方正仿宋_GBK"/>
                <w:sz w:val="24"/>
                <w:szCs w:val="24"/>
                <w:highlight w:val="none"/>
              </w:rPr>
            </w:pPr>
          </w:p>
          <w:p w14:paraId="78945C95">
            <w:pPr>
              <w:pStyle w:val="11"/>
              <w:spacing w:before="3" w:line="560" w:lineRule="exact"/>
              <w:jc w:val="left"/>
              <w:rPr>
                <w:rFonts w:hint="eastAsia" w:ascii="方正仿宋_GBK" w:hAnsi="方正仿宋_GBK" w:eastAsia="方正仿宋_GBK" w:cs="方正仿宋_GBK"/>
                <w:sz w:val="24"/>
                <w:szCs w:val="24"/>
                <w:highlight w:val="none"/>
              </w:rPr>
            </w:pPr>
          </w:p>
          <w:p w14:paraId="5B29C58C">
            <w:pPr>
              <w:pStyle w:val="11"/>
              <w:spacing w:before="3" w:line="560" w:lineRule="exact"/>
              <w:jc w:val="left"/>
              <w:rPr>
                <w:rFonts w:hint="eastAsia" w:ascii="方正仿宋_GBK" w:hAnsi="方正仿宋_GBK" w:eastAsia="方正仿宋_GBK" w:cs="方正仿宋_GBK"/>
                <w:sz w:val="24"/>
                <w:szCs w:val="24"/>
                <w:highlight w:val="none"/>
              </w:rPr>
            </w:pPr>
          </w:p>
          <w:p w14:paraId="4B57DC33">
            <w:pPr>
              <w:pStyle w:val="11"/>
              <w:spacing w:before="3" w:line="560" w:lineRule="exact"/>
              <w:jc w:val="left"/>
              <w:rPr>
                <w:rFonts w:hint="eastAsia" w:ascii="方正仿宋_GBK" w:hAnsi="方正仿宋_GBK" w:eastAsia="方正仿宋_GBK" w:cs="方正仿宋_GBK"/>
                <w:sz w:val="24"/>
                <w:szCs w:val="24"/>
                <w:highlight w:val="none"/>
              </w:rPr>
            </w:pPr>
          </w:p>
          <w:p w14:paraId="6C3F2517">
            <w:pPr>
              <w:pStyle w:val="11"/>
              <w:spacing w:before="3" w:line="560" w:lineRule="exact"/>
              <w:jc w:val="left"/>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Merge w:val="restart"/>
            <w:vAlign w:val="center"/>
          </w:tcPr>
          <w:p w14:paraId="7CE1665F">
            <w:pPr>
              <w:pStyle w:val="11"/>
              <w:spacing w:before="3" w:line="560" w:lineRule="exact"/>
              <w:jc w:val="center"/>
              <w:rPr>
                <w:rFonts w:hint="eastAsia" w:ascii="方正仿宋_GBK" w:hAnsi="方正仿宋_GBK" w:eastAsia="方正仿宋_GBK" w:cs="方正仿宋_GBK"/>
                <w:sz w:val="24"/>
                <w:szCs w:val="24"/>
                <w:highlight w:val="none"/>
              </w:rPr>
            </w:pPr>
          </w:p>
          <w:p w14:paraId="686E0F7B">
            <w:pPr>
              <w:pStyle w:val="11"/>
              <w:spacing w:before="3" w:line="560" w:lineRule="exact"/>
              <w:jc w:val="center"/>
              <w:rPr>
                <w:rFonts w:hint="eastAsia" w:ascii="方正仿宋_GBK" w:hAnsi="方正仿宋_GBK" w:eastAsia="方正仿宋_GBK" w:cs="方正仿宋_GBK"/>
                <w:sz w:val="24"/>
                <w:szCs w:val="24"/>
                <w:highlight w:val="none"/>
              </w:rPr>
            </w:pPr>
          </w:p>
          <w:p w14:paraId="1104EFF9">
            <w:pPr>
              <w:pStyle w:val="11"/>
              <w:spacing w:before="3" w:line="560" w:lineRule="exact"/>
              <w:jc w:val="center"/>
              <w:rPr>
                <w:rFonts w:hint="eastAsia" w:ascii="方正仿宋_GBK" w:hAnsi="方正仿宋_GBK" w:eastAsia="方正仿宋_GBK" w:cs="方正仿宋_GBK"/>
                <w:sz w:val="24"/>
                <w:szCs w:val="24"/>
                <w:highlight w:val="none"/>
              </w:rPr>
            </w:pPr>
          </w:p>
          <w:p w14:paraId="14488F72">
            <w:pPr>
              <w:pStyle w:val="11"/>
              <w:spacing w:before="3" w:line="560" w:lineRule="exact"/>
              <w:jc w:val="center"/>
              <w:rPr>
                <w:rFonts w:hint="eastAsia" w:ascii="方正仿宋_GBK" w:hAnsi="方正仿宋_GBK" w:eastAsia="方正仿宋_GBK" w:cs="方正仿宋_GBK"/>
                <w:sz w:val="24"/>
                <w:szCs w:val="24"/>
                <w:highlight w:val="none"/>
              </w:rPr>
            </w:pPr>
          </w:p>
          <w:p w14:paraId="2126DB7A">
            <w:pPr>
              <w:pStyle w:val="11"/>
              <w:spacing w:before="3" w:line="560" w:lineRule="exact"/>
              <w:jc w:val="center"/>
              <w:rPr>
                <w:rFonts w:hint="eastAsia" w:ascii="方正仿宋_GBK" w:hAnsi="方正仿宋_GBK" w:eastAsia="方正仿宋_GBK" w:cs="方正仿宋_GBK"/>
                <w:sz w:val="24"/>
                <w:szCs w:val="24"/>
                <w:highlight w:val="none"/>
              </w:rPr>
            </w:pPr>
          </w:p>
          <w:p w14:paraId="1F6DE207">
            <w:pPr>
              <w:pStyle w:val="11"/>
              <w:spacing w:before="3" w:line="560" w:lineRule="exact"/>
              <w:jc w:val="center"/>
              <w:rPr>
                <w:rFonts w:hint="eastAsia" w:ascii="方正仿宋_GBK" w:hAnsi="方正仿宋_GBK" w:eastAsia="方正仿宋_GBK" w:cs="方正仿宋_GBK"/>
                <w:sz w:val="24"/>
                <w:szCs w:val="24"/>
                <w:highlight w:val="none"/>
              </w:rPr>
            </w:pPr>
          </w:p>
          <w:p w14:paraId="7993099F">
            <w:pPr>
              <w:pStyle w:val="11"/>
              <w:spacing w:before="3" w:line="560" w:lineRule="exact"/>
              <w:jc w:val="center"/>
              <w:rPr>
                <w:rFonts w:hint="eastAsia" w:ascii="方正仿宋_GBK" w:hAnsi="方正仿宋_GBK" w:eastAsia="方正仿宋_GBK" w:cs="方正仿宋_GBK"/>
                <w:sz w:val="24"/>
                <w:szCs w:val="24"/>
                <w:highlight w:val="none"/>
              </w:rPr>
            </w:pPr>
          </w:p>
          <w:p w14:paraId="50BCAAFD">
            <w:pPr>
              <w:pStyle w:val="11"/>
              <w:spacing w:before="3" w:line="560" w:lineRule="exact"/>
              <w:jc w:val="center"/>
              <w:rPr>
                <w:rFonts w:hint="eastAsia" w:ascii="方正仿宋_GBK" w:hAnsi="方正仿宋_GBK" w:eastAsia="方正仿宋_GBK" w:cs="方正仿宋_GBK"/>
                <w:sz w:val="24"/>
                <w:szCs w:val="24"/>
                <w:highlight w:val="none"/>
              </w:rPr>
            </w:pPr>
          </w:p>
          <w:p w14:paraId="5ABAF767">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545" w:type="dxa"/>
            <w:vMerge w:val="restart"/>
            <w:vAlign w:val="center"/>
          </w:tcPr>
          <w:p w14:paraId="5847A86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4770DA52">
            <w:pPr>
              <w:pStyle w:val="11"/>
              <w:spacing w:before="3" w:line="560" w:lineRule="exact"/>
              <w:jc w:val="center"/>
              <w:rPr>
                <w:rFonts w:ascii="方正仿宋_GBK" w:hAnsi="方正仿宋_GBK" w:eastAsia="方正仿宋_GBK" w:cs="方正仿宋_GBK"/>
                <w:sz w:val="24"/>
                <w:szCs w:val="24"/>
                <w:highlight w:val="none"/>
              </w:rPr>
            </w:pPr>
          </w:p>
        </w:tc>
      </w:tr>
      <w:tr w14:paraId="00C9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6724566">
            <w:pPr>
              <w:pStyle w:val="11"/>
              <w:spacing w:before="3" w:line="560" w:lineRule="exact"/>
              <w:jc w:val="center"/>
              <w:rPr>
                <w:rFonts w:hint="eastAsia" w:ascii="方正仿宋_GBK" w:hAnsi="方正仿宋_GBK" w:eastAsia="方正仿宋_GBK" w:cs="方正仿宋_GBK"/>
                <w:sz w:val="24"/>
                <w:szCs w:val="24"/>
                <w:highlight w:val="none"/>
              </w:rPr>
            </w:pPr>
          </w:p>
        </w:tc>
        <w:tc>
          <w:tcPr>
            <w:tcW w:w="8131" w:type="dxa"/>
            <w:vAlign w:val="center"/>
          </w:tcPr>
          <w:p w14:paraId="604306ED">
            <w:pPr>
              <w:pStyle w:val="11"/>
              <w:spacing w:before="3" w:line="560" w:lineRule="exact"/>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公厕无规范的标志牌、标识牌及导向牌扣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4224837C">
            <w:pPr>
              <w:pStyle w:val="11"/>
              <w:spacing w:before="3" w:line="560" w:lineRule="exact"/>
              <w:jc w:val="left"/>
              <w:rPr>
                <w:rFonts w:hint="eastAsia" w:ascii="方正仿宋_GBK" w:hAnsi="方正仿宋_GBK" w:eastAsia="方正仿宋_GBK" w:cs="方正仿宋_GBK"/>
                <w:sz w:val="24"/>
                <w:szCs w:val="24"/>
                <w:highlight w:val="none"/>
              </w:rPr>
            </w:pPr>
          </w:p>
        </w:tc>
        <w:tc>
          <w:tcPr>
            <w:tcW w:w="915" w:type="dxa"/>
            <w:vMerge w:val="continue"/>
            <w:vAlign w:val="center"/>
          </w:tcPr>
          <w:p w14:paraId="17BED794">
            <w:pPr>
              <w:pStyle w:val="11"/>
              <w:spacing w:before="3" w:line="560" w:lineRule="exact"/>
              <w:jc w:val="center"/>
              <w:rPr>
                <w:rFonts w:hint="eastAsia" w:ascii="方正仿宋_GBK" w:hAnsi="方正仿宋_GBK" w:eastAsia="方正仿宋_GBK" w:cs="方正仿宋_GBK"/>
                <w:sz w:val="24"/>
                <w:szCs w:val="24"/>
                <w:highlight w:val="none"/>
              </w:rPr>
            </w:pPr>
          </w:p>
        </w:tc>
        <w:tc>
          <w:tcPr>
            <w:tcW w:w="1545" w:type="dxa"/>
            <w:vMerge w:val="continue"/>
            <w:vAlign w:val="center"/>
          </w:tcPr>
          <w:p w14:paraId="4146BF57">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C4BBAF0">
            <w:pPr>
              <w:pStyle w:val="11"/>
              <w:spacing w:before="3" w:line="560" w:lineRule="exact"/>
              <w:jc w:val="center"/>
              <w:rPr>
                <w:rFonts w:ascii="方正仿宋_GBK" w:hAnsi="方正仿宋_GBK" w:eastAsia="方正仿宋_GBK" w:cs="方正仿宋_GBK"/>
                <w:sz w:val="24"/>
                <w:szCs w:val="24"/>
                <w:highlight w:val="none"/>
              </w:rPr>
            </w:pPr>
          </w:p>
        </w:tc>
      </w:tr>
      <w:tr w14:paraId="54C5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AF6AAA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173A793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卫生差，有尿碱、粪疤、地面脏、异味重，存在违规张贴扣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4134CFEE">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69D452AA">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F001DB3">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0F76107">
            <w:pPr>
              <w:pStyle w:val="11"/>
              <w:spacing w:before="3" w:line="560" w:lineRule="exact"/>
              <w:jc w:val="center"/>
              <w:rPr>
                <w:rFonts w:ascii="方正仿宋_GBK" w:hAnsi="方正仿宋_GBK" w:eastAsia="方正仿宋_GBK" w:cs="方正仿宋_GBK"/>
                <w:sz w:val="24"/>
                <w:szCs w:val="24"/>
                <w:highlight w:val="none"/>
              </w:rPr>
            </w:pPr>
          </w:p>
        </w:tc>
      </w:tr>
      <w:tr w14:paraId="0F10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399" w:type="dxa"/>
            <w:vMerge w:val="continue"/>
            <w:vAlign w:val="center"/>
          </w:tcPr>
          <w:p w14:paraId="784AA7D7">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02886E7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水、电设备无法正常使用的扣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1173F43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D5E4C7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16ED25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59093C41">
            <w:pPr>
              <w:pStyle w:val="11"/>
              <w:spacing w:before="3" w:line="560" w:lineRule="exact"/>
              <w:jc w:val="center"/>
              <w:rPr>
                <w:rFonts w:ascii="方正仿宋_GBK" w:hAnsi="方正仿宋_GBK" w:eastAsia="方正仿宋_GBK" w:cs="方正仿宋_GBK"/>
                <w:sz w:val="24"/>
                <w:szCs w:val="24"/>
                <w:highlight w:val="none"/>
              </w:rPr>
            </w:pPr>
          </w:p>
        </w:tc>
      </w:tr>
      <w:tr w14:paraId="1B73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92E306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45E693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各类公共设施缺损、脏乱扣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78E92CD1">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2FF8F9A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48A722A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8A9ACAB">
            <w:pPr>
              <w:pStyle w:val="11"/>
              <w:spacing w:before="3" w:line="560" w:lineRule="exact"/>
              <w:jc w:val="center"/>
              <w:rPr>
                <w:rFonts w:ascii="方正仿宋_GBK" w:hAnsi="方正仿宋_GBK" w:eastAsia="方正仿宋_GBK" w:cs="方正仿宋_GBK"/>
                <w:sz w:val="24"/>
                <w:szCs w:val="24"/>
                <w:highlight w:val="none"/>
              </w:rPr>
            </w:pPr>
          </w:p>
        </w:tc>
      </w:tr>
      <w:tr w14:paraId="4E61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7E520500">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B6437FC">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粪污未经无害化处理，乱排放扣0.5分；</w:t>
            </w:r>
          </w:p>
        </w:tc>
        <w:tc>
          <w:tcPr>
            <w:tcW w:w="1079" w:type="dxa"/>
            <w:vMerge w:val="continue"/>
            <w:vAlign w:val="center"/>
          </w:tcPr>
          <w:p w14:paraId="00AE932C">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DCA1E26">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7519723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DC37AA2">
            <w:pPr>
              <w:pStyle w:val="11"/>
              <w:spacing w:before="3" w:line="560" w:lineRule="exact"/>
              <w:jc w:val="center"/>
              <w:rPr>
                <w:rFonts w:ascii="方正仿宋_GBK" w:hAnsi="方正仿宋_GBK" w:eastAsia="方正仿宋_GBK" w:cs="方正仿宋_GBK"/>
                <w:sz w:val="24"/>
                <w:szCs w:val="24"/>
                <w:highlight w:val="none"/>
              </w:rPr>
            </w:pPr>
          </w:p>
        </w:tc>
      </w:tr>
      <w:tr w14:paraId="7A8C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0122796">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218A70">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第三卫生间、无障碍卫生间私自关闭停用扣0.5分；</w:t>
            </w:r>
          </w:p>
        </w:tc>
        <w:tc>
          <w:tcPr>
            <w:tcW w:w="1079" w:type="dxa"/>
            <w:vMerge w:val="continue"/>
            <w:vAlign w:val="center"/>
          </w:tcPr>
          <w:p w14:paraId="21953BFD">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5A9D06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8A922A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2F07EFC7">
            <w:pPr>
              <w:pStyle w:val="11"/>
              <w:spacing w:before="3" w:line="560" w:lineRule="exact"/>
              <w:jc w:val="center"/>
              <w:rPr>
                <w:rFonts w:ascii="方正仿宋_GBK" w:hAnsi="方正仿宋_GBK" w:eastAsia="方正仿宋_GBK" w:cs="方正仿宋_GBK"/>
                <w:sz w:val="24"/>
                <w:szCs w:val="24"/>
                <w:highlight w:val="none"/>
              </w:rPr>
            </w:pPr>
          </w:p>
        </w:tc>
      </w:tr>
      <w:tr w14:paraId="6781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Align w:val="center"/>
          </w:tcPr>
          <w:p w14:paraId="7601AB1D">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轨道交通沿线环境综合整治</w:t>
            </w:r>
          </w:p>
        </w:tc>
        <w:tc>
          <w:tcPr>
            <w:tcW w:w="8131" w:type="dxa"/>
            <w:vAlign w:val="center"/>
          </w:tcPr>
          <w:p w14:paraId="10E615F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按照全年轨道交通沿线环境综合整治任务未完成量占任务总量比例扣分，共2分（扣完为止）</w:t>
            </w:r>
          </w:p>
        </w:tc>
        <w:tc>
          <w:tcPr>
            <w:tcW w:w="1079" w:type="dxa"/>
            <w:vAlign w:val="center"/>
          </w:tcPr>
          <w:p w14:paraId="3FE29199">
            <w:pPr>
              <w:pStyle w:val="11"/>
              <w:spacing w:before="3" w:line="560" w:lineRule="exact"/>
              <w:jc w:val="lef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lang w:eastAsia="zh-CN"/>
              </w:rPr>
              <w:t>江浦街道综合行政执法和安全生产监督管理办公室</w:t>
            </w:r>
          </w:p>
        </w:tc>
        <w:tc>
          <w:tcPr>
            <w:tcW w:w="915" w:type="dxa"/>
            <w:vAlign w:val="center"/>
          </w:tcPr>
          <w:p w14:paraId="6ABA4F9C">
            <w:pPr>
              <w:pStyle w:val="11"/>
              <w:spacing w:before="3" w:line="560" w:lineRule="exact"/>
              <w:jc w:val="center"/>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2</w:t>
            </w:r>
          </w:p>
        </w:tc>
        <w:tc>
          <w:tcPr>
            <w:tcW w:w="1545" w:type="dxa"/>
            <w:vAlign w:val="center"/>
          </w:tcPr>
          <w:p w14:paraId="49DC6113">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1C2CB0C8">
            <w:pPr>
              <w:pStyle w:val="11"/>
              <w:spacing w:before="3" w:line="560" w:lineRule="exact"/>
              <w:jc w:val="center"/>
              <w:rPr>
                <w:rFonts w:ascii="方正仿宋_GBK" w:hAnsi="方正仿宋_GBK" w:eastAsia="方正仿宋_GBK" w:cs="方正仿宋_GBK"/>
                <w:sz w:val="24"/>
                <w:szCs w:val="24"/>
                <w:highlight w:val="none"/>
              </w:rPr>
            </w:pPr>
          </w:p>
        </w:tc>
      </w:tr>
      <w:tr w14:paraId="3C75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7521787E">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清理畜禽养殖粪污等农业生产废弃物排查</w:t>
            </w:r>
          </w:p>
        </w:tc>
        <w:tc>
          <w:tcPr>
            <w:tcW w:w="8131" w:type="dxa"/>
            <w:vAlign w:val="center"/>
          </w:tcPr>
          <w:p w14:paraId="5BC05F4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未规范畜禽圈养，病死畜禽尸体未进行无害化处理，随意丢弃，共</w:t>
            </w:r>
            <w:r>
              <w:rPr>
                <w:rFonts w:hint="eastAsia" w:ascii="方正仿宋_GBK" w:hAnsi="方正仿宋_GBK" w:eastAsia="方正仿宋_GBK" w:cs="方正仿宋_GBK"/>
                <w:sz w:val="22"/>
                <w:highlight w:val="none"/>
                <w:lang w:val="en-US" w:eastAsia="zh-CN"/>
              </w:rPr>
              <w:t>6</w:t>
            </w:r>
            <w:r>
              <w:rPr>
                <w:rFonts w:hint="eastAsia" w:ascii="方正仿宋_GBK" w:hAnsi="方正仿宋_GBK" w:eastAsia="方正仿宋_GBK" w:cs="方正仿宋_GBK"/>
                <w:sz w:val="22"/>
                <w:highlight w:val="none"/>
              </w:rPr>
              <w:t>分，发现1处扣</w:t>
            </w:r>
            <w:r>
              <w:rPr>
                <w:rFonts w:hint="eastAsia" w:ascii="方正仿宋_GBK" w:hAnsi="方正仿宋_GBK" w:eastAsia="方正仿宋_GBK" w:cs="方正仿宋_GBK"/>
                <w:sz w:val="22"/>
                <w:highlight w:val="none"/>
                <w:lang w:val="en-US" w:eastAsia="zh-CN"/>
              </w:rPr>
              <w:t>6</w:t>
            </w:r>
            <w:r>
              <w:rPr>
                <w:rFonts w:hint="eastAsia" w:ascii="方正仿宋_GBK" w:hAnsi="方正仿宋_GBK" w:eastAsia="方正仿宋_GBK" w:cs="方正仿宋_GBK"/>
                <w:sz w:val="22"/>
                <w:highlight w:val="none"/>
              </w:rPr>
              <w:t>分；</w:t>
            </w:r>
          </w:p>
        </w:tc>
        <w:tc>
          <w:tcPr>
            <w:tcW w:w="1079" w:type="dxa"/>
            <w:vMerge w:val="restart"/>
            <w:vAlign w:val="center"/>
          </w:tcPr>
          <w:p w14:paraId="445B821D">
            <w:pPr>
              <w:pStyle w:val="11"/>
              <w:spacing w:before="3" w:line="560" w:lineRule="exact"/>
              <w:ind w:left="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农业服务中心</w:t>
            </w:r>
          </w:p>
        </w:tc>
        <w:tc>
          <w:tcPr>
            <w:tcW w:w="915" w:type="dxa"/>
            <w:vAlign w:val="center"/>
          </w:tcPr>
          <w:p w14:paraId="2E61F352">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5AD26612">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78753EA3">
            <w:pPr>
              <w:pStyle w:val="11"/>
              <w:spacing w:before="3" w:line="560" w:lineRule="exact"/>
              <w:jc w:val="center"/>
              <w:rPr>
                <w:rFonts w:ascii="方正仿宋_GBK" w:hAnsi="方正仿宋_GBK" w:eastAsia="方正仿宋_GBK" w:cs="方正仿宋_GBK"/>
                <w:sz w:val="24"/>
                <w:szCs w:val="24"/>
                <w:highlight w:val="none"/>
              </w:rPr>
            </w:pPr>
          </w:p>
        </w:tc>
      </w:tr>
      <w:tr w14:paraId="4D1D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399" w:type="dxa"/>
            <w:vMerge w:val="continue"/>
            <w:vAlign w:val="center"/>
          </w:tcPr>
          <w:p w14:paraId="16F106A6">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00B6372">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畜禽粪污未及时收集处理，直接暴露或溢流，共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分，发现1处扣1分；庭院、房前屋后及路面存在粪臭，无污物残留，共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w:t>
            </w:r>
          </w:p>
        </w:tc>
        <w:tc>
          <w:tcPr>
            <w:tcW w:w="1079" w:type="dxa"/>
            <w:vMerge w:val="continue"/>
            <w:vAlign w:val="center"/>
          </w:tcPr>
          <w:p w14:paraId="1B4902A8">
            <w:pPr>
              <w:pStyle w:val="11"/>
              <w:spacing w:before="3" w:line="560" w:lineRule="exact"/>
              <w:jc w:val="center"/>
              <w:rPr>
                <w:rFonts w:ascii="方正仿宋_GBK" w:hAnsi="方正仿宋_GBK" w:eastAsia="方正仿宋_GBK" w:cs="方正仿宋_GBK"/>
                <w:sz w:val="24"/>
                <w:szCs w:val="24"/>
                <w:highlight w:val="none"/>
              </w:rPr>
            </w:pPr>
          </w:p>
        </w:tc>
        <w:tc>
          <w:tcPr>
            <w:tcW w:w="915" w:type="dxa"/>
            <w:vAlign w:val="center"/>
          </w:tcPr>
          <w:p w14:paraId="24A962F3">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219161D8">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03A59F94">
            <w:pPr>
              <w:pStyle w:val="11"/>
              <w:spacing w:before="3" w:line="560" w:lineRule="exact"/>
              <w:jc w:val="center"/>
              <w:rPr>
                <w:rFonts w:ascii="方正仿宋_GBK" w:hAnsi="方正仿宋_GBK" w:eastAsia="方正仿宋_GBK" w:cs="方正仿宋_GBK"/>
                <w:sz w:val="24"/>
                <w:szCs w:val="24"/>
                <w:highlight w:val="none"/>
              </w:rPr>
            </w:pPr>
          </w:p>
        </w:tc>
      </w:tr>
      <w:tr w14:paraId="6CBA1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1032D2C">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FB5607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农业投入品包装物未按规定收集、整齐堆放，安全处置，随意丢弃在田间地头和垃圾堆，共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分，发现1处扣1分；农膜回收利用率未达到 80%扣3分；</w:t>
            </w:r>
          </w:p>
        </w:tc>
        <w:tc>
          <w:tcPr>
            <w:tcW w:w="1079" w:type="dxa"/>
            <w:vMerge w:val="continue"/>
            <w:vAlign w:val="center"/>
          </w:tcPr>
          <w:p w14:paraId="67DFADC2">
            <w:pPr>
              <w:pStyle w:val="11"/>
              <w:spacing w:before="3" w:line="560" w:lineRule="exact"/>
              <w:jc w:val="center"/>
              <w:rPr>
                <w:rFonts w:ascii="方正仿宋_GBK" w:hAnsi="方正仿宋_GBK" w:eastAsia="方正仿宋_GBK" w:cs="方正仿宋_GBK"/>
                <w:sz w:val="24"/>
                <w:szCs w:val="24"/>
                <w:highlight w:val="none"/>
              </w:rPr>
            </w:pPr>
          </w:p>
        </w:tc>
        <w:tc>
          <w:tcPr>
            <w:tcW w:w="915" w:type="dxa"/>
            <w:vAlign w:val="center"/>
          </w:tcPr>
          <w:p w14:paraId="05091854">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580D474A">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401B7195">
            <w:pPr>
              <w:pStyle w:val="11"/>
              <w:spacing w:before="3" w:line="560" w:lineRule="exact"/>
              <w:jc w:val="center"/>
              <w:rPr>
                <w:rFonts w:ascii="方正仿宋_GBK" w:hAnsi="方正仿宋_GBK" w:eastAsia="方正仿宋_GBK" w:cs="方正仿宋_GBK"/>
                <w:sz w:val="24"/>
                <w:szCs w:val="24"/>
                <w:highlight w:val="none"/>
              </w:rPr>
            </w:pPr>
          </w:p>
        </w:tc>
      </w:tr>
      <w:tr w14:paraId="206E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20EB8B5B">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707785C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通过长效整治，未达到路面保洁到位、搭接道口硬化无泥泞、边沟无堵塞、路肩边坡杂草割除到位。共</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分，发现1处且未及时完成整改，扣0.2分（扣完为止）；严重路段造成较大负面影响或媒体曝光，</w:t>
            </w:r>
            <w:r>
              <w:rPr>
                <w:rFonts w:hint="eastAsia" w:ascii="方正仿宋_GBK" w:hAnsi="方正仿宋_GBK" w:eastAsia="方正仿宋_GBK" w:cs="方正仿宋_GBK"/>
                <w:sz w:val="22"/>
                <w:highlight w:val="none"/>
                <w:lang w:eastAsia="zh-CN"/>
              </w:rPr>
              <w:t>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分；未按治超牵头单位要求派驻人员参与超限超载治理工作，扣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分；未对道路、桥梁及其附属设施进行安全隐患排查，共</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分，发现一处安全隐患且未及时消除，扣0.2分（扣完为止）；发生一起及以上因管养不到位的安全生产事故，扣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分；未按要求配置养护人员，扣0.5分；</w:t>
            </w:r>
          </w:p>
        </w:tc>
        <w:tc>
          <w:tcPr>
            <w:tcW w:w="1079" w:type="dxa"/>
            <w:vMerge w:val="continue"/>
            <w:vAlign w:val="center"/>
          </w:tcPr>
          <w:p w14:paraId="46CCB667">
            <w:pPr>
              <w:pStyle w:val="11"/>
              <w:spacing w:before="3" w:line="560" w:lineRule="exact"/>
              <w:jc w:val="left"/>
              <w:rPr>
                <w:rFonts w:ascii="方正仿宋_GBK" w:hAnsi="方正仿宋_GBK" w:eastAsia="方正仿宋_GBK" w:cs="方正仿宋_GBK"/>
                <w:sz w:val="22"/>
                <w:highlight w:val="none"/>
              </w:rPr>
            </w:pPr>
          </w:p>
        </w:tc>
        <w:tc>
          <w:tcPr>
            <w:tcW w:w="915" w:type="dxa"/>
            <w:vAlign w:val="center"/>
          </w:tcPr>
          <w:p w14:paraId="21290492">
            <w:pPr>
              <w:pStyle w:val="11"/>
              <w:spacing w:before="3" w:line="560" w:lineRule="exact"/>
              <w:jc w:val="center"/>
              <w:rPr>
                <w:rFonts w:hint="eastAsia"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lang w:val="en-US" w:eastAsia="zh-CN"/>
              </w:rPr>
              <w:t>7</w:t>
            </w:r>
          </w:p>
        </w:tc>
        <w:tc>
          <w:tcPr>
            <w:tcW w:w="1545" w:type="dxa"/>
            <w:vAlign w:val="center"/>
          </w:tcPr>
          <w:p w14:paraId="75E11EE9">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30BDFF61">
            <w:pPr>
              <w:pStyle w:val="11"/>
              <w:spacing w:before="3" w:line="560" w:lineRule="exact"/>
              <w:jc w:val="center"/>
              <w:rPr>
                <w:rFonts w:ascii="方正仿宋_GBK" w:hAnsi="方正仿宋_GBK" w:eastAsia="方正仿宋_GBK" w:cs="方正仿宋_GBK"/>
                <w:sz w:val="24"/>
                <w:szCs w:val="24"/>
                <w:highlight w:val="none"/>
              </w:rPr>
            </w:pPr>
          </w:p>
        </w:tc>
      </w:tr>
      <w:tr w14:paraId="54E8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3F8CCB18">
            <w:pPr>
              <w:pStyle w:val="11"/>
              <w:spacing w:before="3" w:line="560" w:lineRule="exact"/>
              <w:jc w:val="center"/>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农村水环境</w:t>
            </w:r>
          </w:p>
        </w:tc>
        <w:tc>
          <w:tcPr>
            <w:tcW w:w="8131" w:type="dxa"/>
            <w:vAlign w:val="center"/>
          </w:tcPr>
          <w:p w14:paraId="113C3918">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各类农村水体未实现管理全覆盖扣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分；未明确管护责任人扣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restart"/>
            <w:vAlign w:val="center"/>
          </w:tcPr>
          <w:p w14:paraId="4659B0C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水务站</w:t>
            </w:r>
          </w:p>
        </w:tc>
        <w:tc>
          <w:tcPr>
            <w:tcW w:w="915" w:type="dxa"/>
            <w:vMerge w:val="restart"/>
            <w:vAlign w:val="center"/>
          </w:tcPr>
          <w:p w14:paraId="24ED957F">
            <w:pPr>
              <w:pStyle w:val="11"/>
              <w:spacing w:before="3" w:line="560" w:lineRule="exact"/>
              <w:jc w:val="center"/>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lang w:val="en-US" w:eastAsia="zh-CN"/>
              </w:rPr>
              <w:t>26</w:t>
            </w:r>
          </w:p>
        </w:tc>
        <w:tc>
          <w:tcPr>
            <w:tcW w:w="1545" w:type="dxa"/>
            <w:vMerge w:val="restart"/>
            <w:vAlign w:val="center"/>
          </w:tcPr>
          <w:p w14:paraId="4F6A6EE7">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016C841A">
            <w:pPr>
              <w:pStyle w:val="11"/>
              <w:spacing w:before="3" w:line="560" w:lineRule="exact"/>
              <w:jc w:val="center"/>
              <w:rPr>
                <w:rFonts w:ascii="方正仿宋_GBK" w:hAnsi="方正仿宋_GBK" w:eastAsia="方正仿宋_GBK" w:cs="方正仿宋_GBK"/>
                <w:sz w:val="24"/>
                <w:szCs w:val="24"/>
                <w:highlight w:val="none"/>
              </w:rPr>
            </w:pPr>
          </w:p>
        </w:tc>
      </w:tr>
      <w:tr w14:paraId="6F92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212ACB53">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109B879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管护资金投入不足、</w:t>
            </w:r>
            <w:r>
              <w:rPr>
                <w:rFonts w:hint="eastAsia" w:ascii="方正仿宋_GBK" w:hAnsi="方正仿宋_GBK" w:eastAsia="方正仿宋_GBK" w:cs="方正仿宋_GBK"/>
                <w:sz w:val="22"/>
                <w:highlight w:val="none"/>
                <w:lang w:eastAsia="zh-CN"/>
              </w:rPr>
              <w:t>未</w:t>
            </w:r>
            <w:r>
              <w:rPr>
                <w:rFonts w:hint="eastAsia" w:ascii="方正仿宋_GBK" w:hAnsi="方正仿宋_GBK" w:eastAsia="方正仿宋_GBK" w:cs="方正仿宋_GBK"/>
                <w:sz w:val="22"/>
                <w:highlight w:val="none"/>
              </w:rPr>
              <w:t>配套管护经费扣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vAlign w:val="center"/>
          </w:tcPr>
          <w:p w14:paraId="343C1842">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A49E574">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70454C2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FAE270">
            <w:pPr>
              <w:pStyle w:val="11"/>
              <w:spacing w:before="3" w:line="560" w:lineRule="exact"/>
              <w:jc w:val="center"/>
              <w:rPr>
                <w:rFonts w:ascii="方正仿宋_GBK" w:hAnsi="方正仿宋_GBK" w:eastAsia="方正仿宋_GBK" w:cs="方正仿宋_GBK"/>
                <w:sz w:val="24"/>
                <w:szCs w:val="24"/>
                <w:highlight w:val="none"/>
              </w:rPr>
            </w:pPr>
          </w:p>
        </w:tc>
      </w:tr>
      <w:tr w14:paraId="568E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00A7987">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109E1D7F">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水体明显黑臭扣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分；截污拦污不到位、存在污水入河现象扣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6EDFF264">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5684085D">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7D600D2C">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A0A23D">
            <w:pPr>
              <w:pStyle w:val="11"/>
              <w:spacing w:before="3" w:line="560" w:lineRule="exact"/>
              <w:jc w:val="center"/>
              <w:rPr>
                <w:rFonts w:ascii="方正仿宋_GBK" w:hAnsi="方正仿宋_GBK" w:eastAsia="方正仿宋_GBK" w:cs="方正仿宋_GBK"/>
                <w:sz w:val="24"/>
                <w:szCs w:val="24"/>
                <w:highlight w:val="none"/>
              </w:rPr>
            </w:pPr>
          </w:p>
        </w:tc>
      </w:tr>
      <w:tr w14:paraId="1988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4883267A">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4F1BD859">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河道淤塞、拥堵、水流不畅，存在人为侵占现象扣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3F08930B">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0107694">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6EB4E9B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F4ADE65">
            <w:pPr>
              <w:pStyle w:val="11"/>
              <w:spacing w:before="3" w:line="560" w:lineRule="exact"/>
              <w:jc w:val="center"/>
              <w:rPr>
                <w:rFonts w:ascii="方正仿宋_GBK" w:hAnsi="方正仿宋_GBK" w:eastAsia="方正仿宋_GBK" w:cs="方正仿宋_GBK"/>
                <w:sz w:val="24"/>
                <w:szCs w:val="24"/>
                <w:highlight w:val="none"/>
              </w:rPr>
            </w:pPr>
          </w:p>
        </w:tc>
      </w:tr>
      <w:tr w14:paraId="091B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C4D50CE">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6BD3E9E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未定期打捞水花生等有害水生物及各种水面漂浮物的扣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6021ECD8">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3DAA963">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0F3B69A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34624AA">
            <w:pPr>
              <w:pStyle w:val="11"/>
              <w:spacing w:before="3" w:line="560" w:lineRule="exact"/>
              <w:jc w:val="center"/>
              <w:rPr>
                <w:rFonts w:ascii="方正仿宋_GBK" w:hAnsi="方正仿宋_GBK" w:eastAsia="方正仿宋_GBK" w:cs="方正仿宋_GBK"/>
                <w:sz w:val="24"/>
                <w:szCs w:val="24"/>
                <w:highlight w:val="none"/>
              </w:rPr>
            </w:pPr>
          </w:p>
        </w:tc>
      </w:tr>
      <w:tr w14:paraId="249A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BEC80EC">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63EF5925">
            <w:pPr>
              <w:pStyle w:val="11"/>
              <w:spacing w:before="3" w:line="560" w:lineRule="exact"/>
              <w:jc w:val="left"/>
              <w:rPr>
                <w:rFonts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rPr>
              <w:t>岸坡无绿化、不美观扣</w:t>
            </w:r>
            <w:r>
              <w:rPr>
                <w:rFonts w:hint="eastAsia" w:ascii="方正仿宋_GBK" w:hAnsi="方正仿宋_GBK" w:eastAsia="方正仿宋_GBK" w:cs="方正仿宋_GBK"/>
                <w:color w:val="auto"/>
                <w:sz w:val="22"/>
                <w:highlight w:val="none"/>
                <w:lang w:val="en-US" w:eastAsia="zh-CN"/>
              </w:rPr>
              <w:t>2</w:t>
            </w:r>
            <w:r>
              <w:rPr>
                <w:rFonts w:hint="eastAsia" w:ascii="方正仿宋_GBK" w:hAnsi="方正仿宋_GBK" w:eastAsia="方正仿宋_GBK" w:cs="方正仿宋_GBK"/>
                <w:color w:val="auto"/>
                <w:sz w:val="22"/>
                <w:highlight w:val="none"/>
              </w:rPr>
              <w:t>分；管护混乱，存在种植、水土流失、严重浪坎与塌陷的扣</w:t>
            </w:r>
            <w:r>
              <w:rPr>
                <w:rFonts w:hint="eastAsia" w:ascii="方正仿宋_GBK" w:hAnsi="方正仿宋_GBK" w:eastAsia="方正仿宋_GBK" w:cs="方正仿宋_GBK"/>
                <w:color w:val="auto"/>
                <w:sz w:val="22"/>
                <w:highlight w:val="none"/>
                <w:lang w:val="en-US" w:eastAsia="zh-CN"/>
              </w:rPr>
              <w:t>2</w:t>
            </w:r>
            <w:r>
              <w:rPr>
                <w:rFonts w:hint="eastAsia" w:ascii="方正仿宋_GBK" w:hAnsi="方正仿宋_GBK" w:eastAsia="方正仿宋_GBK" w:cs="方正仿宋_GBK"/>
                <w:color w:val="auto"/>
                <w:sz w:val="22"/>
                <w:highlight w:val="none"/>
              </w:rPr>
              <w:t>分；</w:t>
            </w:r>
          </w:p>
        </w:tc>
        <w:tc>
          <w:tcPr>
            <w:tcW w:w="1079" w:type="dxa"/>
            <w:vMerge w:val="continue"/>
            <w:vAlign w:val="center"/>
          </w:tcPr>
          <w:p w14:paraId="14021AC2">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58CF1906">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0B8CAED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26E8339">
            <w:pPr>
              <w:pStyle w:val="11"/>
              <w:spacing w:before="3" w:line="560" w:lineRule="exact"/>
              <w:jc w:val="center"/>
              <w:rPr>
                <w:rFonts w:ascii="方正仿宋_GBK" w:hAnsi="方正仿宋_GBK" w:eastAsia="方正仿宋_GBK" w:cs="方正仿宋_GBK"/>
                <w:sz w:val="24"/>
                <w:szCs w:val="24"/>
                <w:highlight w:val="none"/>
              </w:rPr>
            </w:pPr>
          </w:p>
        </w:tc>
      </w:tr>
      <w:tr w14:paraId="603E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2399" w:type="dxa"/>
            <w:vMerge w:val="continue"/>
            <w:vAlign w:val="center"/>
          </w:tcPr>
          <w:p w14:paraId="308F24D1">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0CE52FDD">
            <w:pPr>
              <w:pStyle w:val="11"/>
              <w:spacing w:before="3" w:line="560" w:lineRule="exact"/>
              <w:ind w:left="0" w:leftChars="0" w:firstLine="0" w:firstLineChars="0"/>
              <w:jc w:val="left"/>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rPr>
              <w:t>正常年份未通过拦蓄调控，未保持一定的河面水位扣</w:t>
            </w:r>
            <w:r>
              <w:rPr>
                <w:rFonts w:hint="eastAsia" w:ascii="方正仿宋_GBK" w:hAnsi="方正仿宋_GBK" w:eastAsia="方正仿宋_GBK" w:cs="方正仿宋_GBK"/>
                <w:color w:val="auto"/>
                <w:sz w:val="22"/>
                <w:highlight w:val="none"/>
                <w:lang w:val="en-US" w:eastAsia="zh-CN"/>
              </w:rPr>
              <w:t>1</w:t>
            </w:r>
            <w:r>
              <w:rPr>
                <w:rFonts w:hint="eastAsia" w:ascii="方正仿宋_GBK" w:hAnsi="方正仿宋_GBK" w:eastAsia="方正仿宋_GBK" w:cs="方正仿宋_GBK"/>
                <w:color w:val="auto"/>
                <w:sz w:val="22"/>
                <w:highlight w:val="none"/>
              </w:rPr>
              <w:t>分；</w:t>
            </w:r>
          </w:p>
          <w:p w14:paraId="7A669536">
            <w:pPr>
              <w:pStyle w:val="11"/>
              <w:spacing w:before="3" w:line="560" w:lineRule="exact"/>
              <w:ind w:left="0" w:leftChars="0" w:firstLine="0" w:firstLineChars="0"/>
              <w:jc w:val="left"/>
              <w:rPr>
                <w:rFonts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kern w:val="0"/>
                <w:sz w:val="22"/>
                <w:szCs w:val="22"/>
                <w:highlight w:val="none"/>
                <w:lang w:val="en-US" w:eastAsia="zh-CN" w:bidi="ar"/>
              </w:rPr>
              <w:t>如</w:t>
            </w:r>
            <w:r>
              <w:rPr>
                <w:rFonts w:hint="eastAsia" w:ascii="方正仿宋_GBK" w:hAnsi="方正仿宋_GBK" w:eastAsia="方正仿宋_GBK" w:cs="方正仿宋_GBK"/>
                <w:color w:val="auto"/>
                <w:sz w:val="22"/>
                <w:highlight w:val="none"/>
              </w:rPr>
              <w:t>河坡岸边有大量垃圾、漂浮物、</w:t>
            </w:r>
            <w:r>
              <w:rPr>
                <w:rFonts w:hint="eastAsia" w:ascii="方正仿宋_GBK" w:hAnsi="方正仿宋_GBK" w:eastAsia="方正仿宋_GBK" w:cs="方正仿宋_GBK"/>
                <w:color w:val="auto"/>
                <w:sz w:val="22"/>
                <w:highlight w:val="none"/>
                <w:lang w:eastAsia="zh-CN"/>
              </w:rPr>
              <w:t>扣</w:t>
            </w:r>
            <w:r>
              <w:rPr>
                <w:rFonts w:hint="eastAsia" w:ascii="方正仿宋_GBK" w:hAnsi="方正仿宋_GBK" w:eastAsia="方正仿宋_GBK" w:cs="方正仿宋_GBK"/>
                <w:color w:val="auto"/>
                <w:sz w:val="22"/>
                <w:highlight w:val="none"/>
                <w:lang w:val="en-US" w:eastAsia="zh-CN"/>
              </w:rPr>
              <w:t>1</w:t>
            </w:r>
            <w:r>
              <w:rPr>
                <w:rFonts w:hint="eastAsia" w:ascii="方正仿宋_GBK" w:hAnsi="方正仿宋_GBK" w:eastAsia="方正仿宋_GBK" w:cs="方正仿宋_GBK"/>
                <w:color w:val="auto"/>
                <w:sz w:val="22"/>
                <w:highlight w:val="none"/>
              </w:rPr>
              <w:t>分；</w:t>
            </w:r>
          </w:p>
        </w:tc>
        <w:tc>
          <w:tcPr>
            <w:tcW w:w="1079" w:type="dxa"/>
            <w:vMerge w:val="continue"/>
            <w:vAlign w:val="center"/>
          </w:tcPr>
          <w:p w14:paraId="58144913">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7D6A5783">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123756D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0E5F05C">
            <w:pPr>
              <w:pStyle w:val="11"/>
              <w:spacing w:before="3" w:line="560" w:lineRule="exact"/>
              <w:jc w:val="center"/>
              <w:rPr>
                <w:rFonts w:ascii="方正仿宋_GBK" w:hAnsi="方正仿宋_GBK" w:eastAsia="方正仿宋_GBK" w:cs="方正仿宋_GBK"/>
                <w:sz w:val="24"/>
                <w:szCs w:val="24"/>
                <w:highlight w:val="none"/>
              </w:rPr>
            </w:pPr>
          </w:p>
        </w:tc>
      </w:tr>
      <w:tr w14:paraId="448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2399" w:type="dxa"/>
            <w:tcBorders>
              <w:top w:val="single" w:color="auto" w:sz="4" w:space="0"/>
              <w:bottom w:val="single" w:color="auto" w:sz="4" w:space="0"/>
            </w:tcBorders>
            <w:vAlign w:val="center"/>
          </w:tcPr>
          <w:p w14:paraId="17B5D504">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“四美”庭院</w:t>
            </w:r>
          </w:p>
        </w:tc>
        <w:tc>
          <w:tcPr>
            <w:tcW w:w="8131" w:type="dxa"/>
            <w:vAlign w:val="center"/>
          </w:tcPr>
          <w:p w14:paraId="73C7C4FD">
            <w:pPr>
              <w:pStyle w:val="11"/>
              <w:spacing w:before="3" w:line="560" w:lineRule="exac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对已创建的庭院，在运行降低“四美”落实标准的扣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Align w:val="center"/>
          </w:tcPr>
          <w:p w14:paraId="06F7A3EB">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妇联</w:t>
            </w:r>
          </w:p>
        </w:tc>
        <w:tc>
          <w:tcPr>
            <w:tcW w:w="915" w:type="dxa"/>
            <w:vAlign w:val="center"/>
          </w:tcPr>
          <w:p w14:paraId="5BD343B9">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3B7B26A5">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227EB98C">
            <w:pPr>
              <w:pStyle w:val="11"/>
              <w:spacing w:before="3" w:line="560" w:lineRule="exact"/>
              <w:jc w:val="center"/>
              <w:rPr>
                <w:rFonts w:ascii="方正仿宋_GBK" w:hAnsi="方正仿宋_GBK" w:eastAsia="方正仿宋_GBK" w:cs="方正仿宋_GBK"/>
                <w:sz w:val="24"/>
                <w:szCs w:val="24"/>
                <w:highlight w:val="none"/>
              </w:rPr>
            </w:pPr>
          </w:p>
        </w:tc>
      </w:tr>
      <w:tr w14:paraId="28D8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2399" w:type="dxa"/>
            <w:tcBorders>
              <w:top w:val="single" w:color="auto" w:sz="4" w:space="0"/>
              <w:bottom w:val="single" w:color="auto" w:sz="4" w:space="0"/>
            </w:tcBorders>
            <w:vAlign w:val="center"/>
          </w:tcPr>
          <w:p w14:paraId="5E8A7F7C">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加分项</w:t>
            </w:r>
          </w:p>
        </w:tc>
        <w:tc>
          <w:tcPr>
            <w:tcW w:w="8131" w:type="dxa"/>
            <w:vAlign w:val="center"/>
          </w:tcPr>
          <w:p w14:paraId="1B9A0A4D">
            <w:pPr>
              <w:pStyle w:val="11"/>
              <w:spacing w:before="3" w:line="560" w:lineRule="exac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rPr>
              <w:t>在运维中有创新做法和特色经验的，并得到各级领导认可及媒体报道的，提供相关支撑资料加2分；</w:t>
            </w:r>
            <w:r>
              <w:rPr>
                <w:rFonts w:hint="eastAsia" w:ascii="方正仿宋_GBK" w:hAnsi="方正仿宋_GBK" w:eastAsia="方正仿宋_GBK" w:cs="方正仿宋_GBK"/>
                <w:sz w:val="22"/>
                <w:highlight w:val="none"/>
                <w:lang w:eastAsia="zh-CN"/>
              </w:rPr>
              <w:t>各社区自然村组经典点位得到各级部门认可的，每月均可加分；</w:t>
            </w:r>
          </w:p>
        </w:tc>
        <w:tc>
          <w:tcPr>
            <w:tcW w:w="1079" w:type="dxa"/>
            <w:vAlign w:val="center"/>
          </w:tcPr>
          <w:p w14:paraId="406AD08E">
            <w:pPr>
              <w:pStyle w:val="11"/>
              <w:spacing w:before="3" w:line="56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各部门</w:t>
            </w:r>
          </w:p>
        </w:tc>
        <w:tc>
          <w:tcPr>
            <w:tcW w:w="915" w:type="dxa"/>
            <w:vAlign w:val="center"/>
          </w:tcPr>
          <w:p w14:paraId="6B6B706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545" w:type="dxa"/>
            <w:vAlign w:val="center"/>
          </w:tcPr>
          <w:p w14:paraId="1BABFEFF">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1113D898">
            <w:pPr>
              <w:pStyle w:val="11"/>
              <w:spacing w:before="3" w:line="560" w:lineRule="exact"/>
              <w:jc w:val="center"/>
              <w:rPr>
                <w:rFonts w:ascii="方正仿宋_GBK" w:hAnsi="方正仿宋_GBK" w:eastAsia="方正仿宋_GBK" w:cs="方正仿宋_GBK"/>
                <w:sz w:val="24"/>
                <w:szCs w:val="24"/>
                <w:highlight w:val="none"/>
              </w:rPr>
            </w:pPr>
          </w:p>
        </w:tc>
      </w:tr>
    </w:tbl>
    <w:p w14:paraId="025F6498">
      <w:pPr>
        <w:spacing w:line="560" w:lineRule="exact"/>
        <w:rPr>
          <w:rFonts w:ascii="方正小标宋_GBK" w:eastAsia="方正小标宋_GBK" w:cs="宋体"/>
          <w:kern w:val="0"/>
          <w:sz w:val="44"/>
          <w:szCs w:val="4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846F5370-4C2B-4B92-AD83-8CF93861D44E}"/>
  </w:font>
  <w:font w:name="方正仿宋_GBK">
    <w:panose1 w:val="02000000000000000000"/>
    <w:charset w:val="86"/>
    <w:family w:val="script"/>
    <w:pitch w:val="default"/>
    <w:sig w:usb0="A00002BF" w:usb1="38CF7CFA" w:usb2="00082016" w:usb3="00000000" w:csb0="00040001" w:csb1="00000000"/>
    <w:embedRegular r:id="rId2" w:fontKey="{3A484CDC-ECA7-48F1-896D-7D30288E11F9}"/>
  </w:font>
  <w:font w:name="方正黑体_GBK">
    <w:altName w:val="微软雅黑"/>
    <w:panose1 w:val="03000509000000000000"/>
    <w:charset w:val="86"/>
    <w:family w:val="script"/>
    <w:pitch w:val="default"/>
    <w:sig w:usb0="00000000" w:usb1="00000000" w:usb2="00000000" w:usb3="00000000" w:csb0="00040000" w:csb1="00000000"/>
    <w:embedRegular r:id="rId3" w:fontKey="{A4FA44D5-7A57-4B5E-A1AC-A4BFD5E6EEC2}"/>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43F5">
    <w:pPr>
      <w:pStyle w:val="4"/>
      <w:jc w:val="center"/>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439390389"/>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GZjYTQ4OTRjNWZmMWI3MjdhN2M5YWZhNWFjODMifQ=="/>
  </w:docVars>
  <w:rsids>
    <w:rsidRoot w:val="006943BC"/>
    <w:rsid w:val="000101B4"/>
    <w:rsid w:val="00015E3C"/>
    <w:rsid w:val="000203B1"/>
    <w:rsid w:val="000211B2"/>
    <w:rsid w:val="0004128C"/>
    <w:rsid w:val="000458BC"/>
    <w:rsid w:val="00052929"/>
    <w:rsid w:val="00062986"/>
    <w:rsid w:val="000659E9"/>
    <w:rsid w:val="0008070C"/>
    <w:rsid w:val="00087121"/>
    <w:rsid w:val="00092F1F"/>
    <w:rsid w:val="000A1C65"/>
    <w:rsid w:val="000C79EE"/>
    <w:rsid w:val="000F3923"/>
    <w:rsid w:val="000F4284"/>
    <w:rsid w:val="00107D01"/>
    <w:rsid w:val="00120C77"/>
    <w:rsid w:val="0012603E"/>
    <w:rsid w:val="00127AF8"/>
    <w:rsid w:val="00131CB1"/>
    <w:rsid w:val="00136D7E"/>
    <w:rsid w:val="001458F0"/>
    <w:rsid w:val="00154B2E"/>
    <w:rsid w:val="00171CCE"/>
    <w:rsid w:val="00196CAD"/>
    <w:rsid w:val="001979C2"/>
    <w:rsid w:val="001A2019"/>
    <w:rsid w:val="001A661B"/>
    <w:rsid w:val="001D114E"/>
    <w:rsid w:val="001D238D"/>
    <w:rsid w:val="001E4A41"/>
    <w:rsid w:val="001E7ACC"/>
    <w:rsid w:val="001F03CE"/>
    <w:rsid w:val="001F3FB4"/>
    <w:rsid w:val="001F7327"/>
    <w:rsid w:val="00211C3C"/>
    <w:rsid w:val="00216A32"/>
    <w:rsid w:val="002231D9"/>
    <w:rsid w:val="002646F0"/>
    <w:rsid w:val="002665F4"/>
    <w:rsid w:val="00271B2B"/>
    <w:rsid w:val="00271F46"/>
    <w:rsid w:val="00272A75"/>
    <w:rsid w:val="00283068"/>
    <w:rsid w:val="00283F90"/>
    <w:rsid w:val="00285F55"/>
    <w:rsid w:val="00293CA6"/>
    <w:rsid w:val="00296C39"/>
    <w:rsid w:val="00297043"/>
    <w:rsid w:val="002A0689"/>
    <w:rsid w:val="002A4348"/>
    <w:rsid w:val="002C3DA1"/>
    <w:rsid w:val="002E0517"/>
    <w:rsid w:val="002F3B09"/>
    <w:rsid w:val="003015D6"/>
    <w:rsid w:val="00322B00"/>
    <w:rsid w:val="00345CAB"/>
    <w:rsid w:val="0035286C"/>
    <w:rsid w:val="00364E80"/>
    <w:rsid w:val="00371606"/>
    <w:rsid w:val="003759EA"/>
    <w:rsid w:val="00381E0B"/>
    <w:rsid w:val="00393CFB"/>
    <w:rsid w:val="003A14EF"/>
    <w:rsid w:val="003A1610"/>
    <w:rsid w:val="003A1F70"/>
    <w:rsid w:val="003B5BF6"/>
    <w:rsid w:val="003C4E38"/>
    <w:rsid w:val="003D00D1"/>
    <w:rsid w:val="003E3748"/>
    <w:rsid w:val="003F099F"/>
    <w:rsid w:val="003F6B6D"/>
    <w:rsid w:val="00414918"/>
    <w:rsid w:val="00416696"/>
    <w:rsid w:val="00420FF4"/>
    <w:rsid w:val="0042132D"/>
    <w:rsid w:val="004316D2"/>
    <w:rsid w:val="004324B9"/>
    <w:rsid w:val="00433BCE"/>
    <w:rsid w:val="00473BA4"/>
    <w:rsid w:val="00473D67"/>
    <w:rsid w:val="0047734F"/>
    <w:rsid w:val="0049362A"/>
    <w:rsid w:val="0049388F"/>
    <w:rsid w:val="0049545C"/>
    <w:rsid w:val="004A0DF9"/>
    <w:rsid w:val="004A287D"/>
    <w:rsid w:val="004C7A8F"/>
    <w:rsid w:val="004D02CB"/>
    <w:rsid w:val="004D67A5"/>
    <w:rsid w:val="004F07BE"/>
    <w:rsid w:val="004F093F"/>
    <w:rsid w:val="005174B5"/>
    <w:rsid w:val="00525880"/>
    <w:rsid w:val="00526195"/>
    <w:rsid w:val="00556BC8"/>
    <w:rsid w:val="005609BF"/>
    <w:rsid w:val="00571669"/>
    <w:rsid w:val="00584C1E"/>
    <w:rsid w:val="00587C5E"/>
    <w:rsid w:val="005923C0"/>
    <w:rsid w:val="00597826"/>
    <w:rsid w:val="005A282C"/>
    <w:rsid w:val="005C3858"/>
    <w:rsid w:val="005C7F07"/>
    <w:rsid w:val="005D3DEF"/>
    <w:rsid w:val="005E28E5"/>
    <w:rsid w:val="00600F16"/>
    <w:rsid w:val="006010B0"/>
    <w:rsid w:val="00605629"/>
    <w:rsid w:val="006171C3"/>
    <w:rsid w:val="00617C66"/>
    <w:rsid w:val="00632A6D"/>
    <w:rsid w:val="00636DB7"/>
    <w:rsid w:val="00645AD4"/>
    <w:rsid w:val="006931B0"/>
    <w:rsid w:val="006943BC"/>
    <w:rsid w:val="006A73F2"/>
    <w:rsid w:val="006B0895"/>
    <w:rsid w:val="006B55FD"/>
    <w:rsid w:val="006E1D63"/>
    <w:rsid w:val="006E2CB2"/>
    <w:rsid w:val="006E3D7D"/>
    <w:rsid w:val="0071282F"/>
    <w:rsid w:val="00744F08"/>
    <w:rsid w:val="0075290F"/>
    <w:rsid w:val="007531E3"/>
    <w:rsid w:val="00756E1D"/>
    <w:rsid w:val="007674BA"/>
    <w:rsid w:val="007679E0"/>
    <w:rsid w:val="0077208E"/>
    <w:rsid w:val="007941DE"/>
    <w:rsid w:val="007A0F22"/>
    <w:rsid w:val="007A1A04"/>
    <w:rsid w:val="007B28D2"/>
    <w:rsid w:val="007B7236"/>
    <w:rsid w:val="007C0534"/>
    <w:rsid w:val="007C47C0"/>
    <w:rsid w:val="007C61A6"/>
    <w:rsid w:val="007D4EF3"/>
    <w:rsid w:val="007F744C"/>
    <w:rsid w:val="00815118"/>
    <w:rsid w:val="00824333"/>
    <w:rsid w:val="00826883"/>
    <w:rsid w:val="00833EB0"/>
    <w:rsid w:val="008435F6"/>
    <w:rsid w:val="00844FE9"/>
    <w:rsid w:val="008658ED"/>
    <w:rsid w:val="008709BF"/>
    <w:rsid w:val="008864CB"/>
    <w:rsid w:val="0089464A"/>
    <w:rsid w:val="00897A6D"/>
    <w:rsid w:val="008A2CBC"/>
    <w:rsid w:val="008A3D7D"/>
    <w:rsid w:val="008B3D39"/>
    <w:rsid w:val="008C0CEE"/>
    <w:rsid w:val="008C2B74"/>
    <w:rsid w:val="008F3617"/>
    <w:rsid w:val="008F5E80"/>
    <w:rsid w:val="008F710A"/>
    <w:rsid w:val="0091648E"/>
    <w:rsid w:val="00925FB3"/>
    <w:rsid w:val="00927EFD"/>
    <w:rsid w:val="00934B0E"/>
    <w:rsid w:val="00941F84"/>
    <w:rsid w:val="00966CB5"/>
    <w:rsid w:val="00977E10"/>
    <w:rsid w:val="0098175C"/>
    <w:rsid w:val="00990E87"/>
    <w:rsid w:val="009A095A"/>
    <w:rsid w:val="009A3785"/>
    <w:rsid w:val="009B7721"/>
    <w:rsid w:val="009C31F5"/>
    <w:rsid w:val="009C4864"/>
    <w:rsid w:val="009E54F2"/>
    <w:rsid w:val="009E62EE"/>
    <w:rsid w:val="009F4C1F"/>
    <w:rsid w:val="00A120DC"/>
    <w:rsid w:val="00A13435"/>
    <w:rsid w:val="00A23F6D"/>
    <w:rsid w:val="00A27D9C"/>
    <w:rsid w:val="00A36448"/>
    <w:rsid w:val="00A41631"/>
    <w:rsid w:val="00A4308F"/>
    <w:rsid w:val="00A70704"/>
    <w:rsid w:val="00A72B0F"/>
    <w:rsid w:val="00A773F7"/>
    <w:rsid w:val="00A8536E"/>
    <w:rsid w:val="00AA5FF2"/>
    <w:rsid w:val="00AC7FF8"/>
    <w:rsid w:val="00AD3866"/>
    <w:rsid w:val="00AE3577"/>
    <w:rsid w:val="00AE7982"/>
    <w:rsid w:val="00B21242"/>
    <w:rsid w:val="00B22F8A"/>
    <w:rsid w:val="00B34AD0"/>
    <w:rsid w:val="00B350D9"/>
    <w:rsid w:val="00B412C6"/>
    <w:rsid w:val="00B46B16"/>
    <w:rsid w:val="00B56512"/>
    <w:rsid w:val="00B6319D"/>
    <w:rsid w:val="00B809F0"/>
    <w:rsid w:val="00B97705"/>
    <w:rsid w:val="00BA1FC8"/>
    <w:rsid w:val="00BA4970"/>
    <w:rsid w:val="00BC2A3F"/>
    <w:rsid w:val="00BD0F13"/>
    <w:rsid w:val="00BE170D"/>
    <w:rsid w:val="00BE2E67"/>
    <w:rsid w:val="00BF3772"/>
    <w:rsid w:val="00BF6E29"/>
    <w:rsid w:val="00C10F51"/>
    <w:rsid w:val="00C26D72"/>
    <w:rsid w:val="00C33270"/>
    <w:rsid w:val="00C37B56"/>
    <w:rsid w:val="00C55891"/>
    <w:rsid w:val="00C717FB"/>
    <w:rsid w:val="00C74BE8"/>
    <w:rsid w:val="00C758B9"/>
    <w:rsid w:val="00C95D39"/>
    <w:rsid w:val="00CC5316"/>
    <w:rsid w:val="00CF2270"/>
    <w:rsid w:val="00CF5B64"/>
    <w:rsid w:val="00CF6C05"/>
    <w:rsid w:val="00CF7213"/>
    <w:rsid w:val="00D03088"/>
    <w:rsid w:val="00D069F5"/>
    <w:rsid w:val="00D21798"/>
    <w:rsid w:val="00D229A2"/>
    <w:rsid w:val="00D30D8A"/>
    <w:rsid w:val="00D3266E"/>
    <w:rsid w:val="00D70B5C"/>
    <w:rsid w:val="00D8348A"/>
    <w:rsid w:val="00D87D51"/>
    <w:rsid w:val="00D97B6C"/>
    <w:rsid w:val="00DA4E13"/>
    <w:rsid w:val="00DC370D"/>
    <w:rsid w:val="00DC4DE5"/>
    <w:rsid w:val="00DD7376"/>
    <w:rsid w:val="00DE48FE"/>
    <w:rsid w:val="00DF112E"/>
    <w:rsid w:val="00DF3A16"/>
    <w:rsid w:val="00DF61D3"/>
    <w:rsid w:val="00DF62EB"/>
    <w:rsid w:val="00DF73B2"/>
    <w:rsid w:val="00E464B2"/>
    <w:rsid w:val="00E51EE5"/>
    <w:rsid w:val="00E54564"/>
    <w:rsid w:val="00E619AF"/>
    <w:rsid w:val="00E73B06"/>
    <w:rsid w:val="00E7426F"/>
    <w:rsid w:val="00E75172"/>
    <w:rsid w:val="00E838B6"/>
    <w:rsid w:val="00E86A6A"/>
    <w:rsid w:val="00EB3BF0"/>
    <w:rsid w:val="00EB4E7F"/>
    <w:rsid w:val="00EB5FB1"/>
    <w:rsid w:val="00EC7A0B"/>
    <w:rsid w:val="00ED3954"/>
    <w:rsid w:val="00EE624C"/>
    <w:rsid w:val="00F04E62"/>
    <w:rsid w:val="00F11534"/>
    <w:rsid w:val="00F208DF"/>
    <w:rsid w:val="00F21DBD"/>
    <w:rsid w:val="00F22603"/>
    <w:rsid w:val="00F2289B"/>
    <w:rsid w:val="00F3578E"/>
    <w:rsid w:val="00F36AF7"/>
    <w:rsid w:val="00F45896"/>
    <w:rsid w:val="00F45E15"/>
    <w:rsid w:val="00F63B61"/>
    <w:rsid w:val="00F64E01"/>
    <w:rsid w:val="00F75FBE"/>
    <w:rsid w:val="00F90A04"/>
    <w:rsid w:val="00F9432B"/>
    <w:rsid w:val="00F95DA0"/>
    <w:rsid w:val="00F967C1"/>
    <w:rsid w:val="00FC09ED"/>
    <w:rsid w:val="00FC1CB7"/>
    <w:rsid w:val="00FC65DB"/>
    <w:rsid w:val="00FE02DC"/>
    <w:rsid w:val="00FF19A0"/>
    <w:rsid w:val="0251578C"/>
    <w:rsid w:val="04F460CB"/>
    <w:rsid w:val="0BAD643E"/>
    <w:rsid w:val="0CCD5153"/>
    <w:rsid w:val="103F4F14"/>
    <w:rsid w:val="10BC0440"/>
    <w:rsid w:val="132757D8"/>
    <w:rsid w:val="178A6A8A"/>
    <w:rsid w:val="19AA220F"/>
    <w:rsid w:val="1F344758"/>
    <w:rsid w:val="1FDA0002"/>
    <w:rsid w:val="21A2361C"/>
    <w:rsid w:val="22DA2379"/>
    <w:rsid w:val="246B6A3F"/>
    <w:rsid w:val="2A2032EA"/>
    <w:rsid w:val="2D532243"/>
    <w:rsid w:val="2ED32671"/>
    <w:rsid w:val="36213F74"/>
    <w:rsid w:val="36DF4642"/>
    <w:rsid w:val="3D1916A5"/>
    <w:rsid w:val="3E502AD5"/>
    <w:rsid w:val="420F4A55"/>
    <w:rsid w:val="42BE084B"/>
    <w:rsid w:val="43291B47"/>
    <w:rsid w:val="43876A52"/>
    <w:rsid w:val="4545258D"/>
    <w:rsid w:val="4A35123C"/>
    <w:rsid w:val="4D0F1DAD"/>
    <w:rsid w:val="4D315ADB"/>
    <w:rsid w:val="4D6173DA"/>
    <w:rsid w:val="4D7E5D75"/>
    <w:rsid w:val="52271947"/>
    <w:rsid w:val="599572EF"/>
    <w:rsid w:val="5CDC1CAC"/>
    <w:rsid w:val="5DC42740"/>
    <w:rsid w:val="627D5DDF"/>
    <w:rsid w:val="63155EDF"/>
    <w:rsid w:val="64EC6458"/>
    <w:rsid w:val="67307521"/>
    <w:rsid w:val="68BA33A4"/>
    <w:rsid w:val="6EC83EDB"/>
    <w:rsid w:val="6F9A47D5"/>
    <w:rsid w:val="6FD94920"/>
    <w:rsid w:val="72D364DA"/>
    <w:rsid w:val="74B310ED"/>
    <w:rsid w:val="750706E5"/>
    <w:rsid w:val="754664D0"/>
    <w:rsid w:val="76FD0985"/>
    <w:rsid w:val="78171406"/>
    <w:rsid w:val="78721477"/>
    <w:rsid w:val="7989273C"/>
    <w:rsid w:val="7C79030A"/>
    <w:rsid w:val="7CAF663E"/>
    <w:rsid w:val="7D590172"/>
    <w:rsid w:val="7DAC7C5E"/>
    <w:rsid w:val="7DF503A9"/>
    <w:rsid w:val="7F031BEA"/>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Table Paragraph"/>
    <w:basedOn w:val="1"/>
    <w:qFormat/>
    <w:uiPriority w:val="1"/>
    <w:pPr>
      <w:ind w:left="106"/>
    </w:pPr>
    <w:rPr>
      <w:rFonts w:ascii="Calibri" w:hAnsi="Calibri" w:eastAsia="宋体" w:cs="Times New Roman"/>
    </w:rPr>
  </w:style>
  <w:style w:type="character" w:customStyle="1" w:styleId="12">
    <w:name w:val="批注框文本 Char"/>
    <w:basedOn w:val="8"/>
    <w:link w:val="3"/>
    <w:semiHidden/>
    <w:qFormat/>
    <w:uiPriority w:val="99"/>
    <w:rPr>
      <w:sz w:val="18"/>
      <w:szCs w:val="18"/>
    </w:rPr>
  </w:style>
  <w:style w:type="table" w:customStyle="1" w:styleId="1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1269</Words>
  <Characters>1283</Characters>
  <Lines>49</Lines>
  <Paragraphs>13</Paragraphs>
  <TotalTime>3</TotalTime>
  <ScaleCrop>false</ScaleCrop>
  <LinksUpToDate>false</LinksUpToDate>
  <CharactersWithSpaces>1284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2020-05-29T05:18:00Z</dcterms:created>
  <dc:creator>Administrator</dc:creator>
  <cp:lastModifiedBy>廷</cp:lastModifiedBy>
  <cp:lastPrinted>2021-08-28T08:50:00Z</cp:lastPrinted>
  <dcterms:modified xsi:type="dcterms:W3CDTF">2025-06-03T03:46:07Z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8C1DFF08ED8A496B979E4FAC10AB0CB2_13</vt:lpwstr>
  </property>
  <property fmtid="{D5CDD505-2E9C-101B-9397-08002B2CF9AE}" pid="4" name="KSOTemplateDocerSaveRecord">
    <vt:lpwstr>eyJoZGlkIjoiZmUzOWU0MGZmMzcxMDY0NjdhMDQxZWM0NDgxMWMyYTAiLCJ1c2VySWQiOiI0NjcxNjIxMzAifQ==</vt:lpwstr>
  </property>
</Properties>
</file>