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项目编号：JSZC-320106-NJJC-G2026-0090</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项目名称：2026年鼓楼区西北护城河生态养护服务</w:t>
      </w:r>
      <w:r/>
    </w:p>
    <w:p>
      <w:pPr>
        <w:ind w:left="0" w:right="0" w:firstLine="28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采购人：南京市鼓楼区水务设施综合养护中心</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二○二六年七月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 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2026年鼓楼区西北护城河生态养护服务项目</w:t>
      </w:r>
      <w:r>
        <w:rPr>
          <w:rFonts w:ascii="SimSun" w:hAnsi="SimSun" w:eastAsia="SimSun" w:cs="SimSun"/>
          <w:color w:val="000000"/>
          <w:sz w:val="21"/>
        </w:rPr>
        <w:t xml:space="preserve">的潜在供应商应</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 获取招标文件，并于2026年08月05 日09时30分（北京时间）前递交投标文件。</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JSZC-320106-NJJC-G2026-0090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2026年鼓楼区西北护城河生态养护服务项目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预算金额：363.181万元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最高限价（如有）：311.51189757 万元，各投标人不得超出最高限价的报价，超过将作无效投标处理。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对鼓楼区西北护城河水生植物、曝气装置、循环水泵、水面保洁等进行生态养护工作，同步承担设施的日常巡查维护、操作指令落实、防汛抢险、防寒防冻、创建迎查、应急处置、投诉处理、专项治理、重大活动保障等任务，并及时完成各项指令性任务，具体内容详见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本项目服务期限自合同签订之日起1年。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本项目专门面向中小企业（或监狱企业或残疾人福利性单位）采购（供应商应为中小微企业或监狱企业或残疾人福利性单位）（须提供《中小企业声明函》或《残疾人福利性单位声明函》或属于监狱企业的证明文件，未提供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2026年08月05 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）‘南京市政府采购供应商诚信档案’系统链接打开系统页面（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w:t>
      </w:r>
      <w:r>
        <w:rPr>
          <w:rFonts w:ascii="SimSun" w:hAnsi="SimSun" w:eastAsia="SimSun" w:cs="SimSun"/>
          <w:b/>
          <w:color w:val="000000"/>
          <w:sz w:val="21"/>
        </w:rPr>
        <w:t xml:space="preserve">下载本单位信用记录表，由法人签字并盖单位公章，上传至电子文件中，未提供或者未按要求签字改造将作为无效投标</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名称：南京市鼓楼区水务设施综合养护中心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地址：南京市鼓楼区山西路88号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郁科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83235612</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供应商须知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3、政策功能（本项目不执行政策优惠）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供应商须知；</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如选择之外，供应商所投产品，技术参数、性能指标、质量标准等同档次、同规格的兼容替代产品，替代产品技术性能不得低于现有品牌对应型号标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w:t>
      </w:r>
      <w:r>
        <w:rPr>
          <w:rFonts w:ascii="SimSun" w:hAnsi="SimSun" w:eastAsia="SimSun" w:cs="SimSun"/>
          <w:color w:val="000000"/>
          <w:sz w:val="21"/>
        </w:rPr>
        <w:t xml:space="preserve">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（1）技术说明或项目实施方案；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本项目招标代理费根据苏财规【2026】1号文的相关规定，按照苏招办[2022]002号文文件所列收费标准的45%收取，以中标价为计算基准价，该项目招标控制价的编制费按《江苏省工程造价咨询服务收费指导意见》苏建价协[2022]7号文所列收费标准的45%收取，该项费用请供应商综合考虑在投标报价中，须在领取中标通知书前向招标代理机构支付招标代理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评委会由采购人代表和有关技术、经济等方面的专家组成，且人员构成符合政府采购有关规定。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（9）不同投标人的投标文件以及投标文件制作过程出现了评标委员会认为不应当雷同的情况的。（如标书IP一致、MAC码等其他雷同性问题）</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实质性要求是指本招标文件中用带星号（“★”）等或者其他明确要求的废标的商务和技术要求。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b/>
          <w:color w:val="000000"/>
          <w:sz w:val="21"/>
        </w:rPr>
        <w:t xml:space="preserve">政府采购异常低价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应)报价平均值50%的，即投标(响应)报价&lt;全部通过符合性审查供应商投标(响应)报价平均值×50%；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投标(响应)报价50%的，即投标(响应)报价&lt;通过符合性审查 的次低报价供应商投标(响应)报价×50%；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 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（4）评标委员会认定的供应商响应报价过低、有可能影响产品质量或者不能诚信履约的其他情形。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23.3本项目采用综合评分法。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最终得分由高到低进行排名，得分相同的，按投标报价由低到高顺序排列，得分且报价报价相同的，按实施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23.2按以下第（2）种方式确定中标人：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24.2《中标通知书》是合同的一个组成部分，对采购人和中标人均具有法律效力。《中标通知书》发出后，采购人改变中标结果或者中标人放弃中标项目的，应当依法承担法律责任。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26.1中标人应当在《中标通知书》发出之日起三十日内，按照招标文件确定的事项与采购人签订政府采购合同。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招标文件、中标人的投标文件及招标过程中有关澄清、承诺文件均作为合同附件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中标人因不可抗力或者自身原因不能履行合同的，采购人可以重新招标，也可以视情与排位在中标供应商之后第一位的中标候选人签订采购合同。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报价报价相同的，按实施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912"/>
        <w:gridCol w:w="6922"/>
        <w:gridCol w:w="713"/>
      </w:tblGrid>
      <w:tr>
        <w:trPr>
          <w:trHeight w:val="61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6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照下列公式计算：投标报价得分=(评标基准价/投标报价)×20。（保留到小数点后两位，第三位四舍五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3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9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养护实施方案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养护组织方案：对养护总体认识、思路、理解阐释等进行综合评审。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对养护工作总体认识清晰、理解把握准确，对主要问题梳理全面得当，阐述到位，思路清晰的得8分；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对总体认识较清晰、理解把握较准确，对主要问题梳理全面较得当，阐述较到位，思路较清晰的得6分；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对总体认识基本清晰、理解把握基本准确，对主要问题梳理全面基本得当，阐述基本到位，思路基本清晰的得4分；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对总体认识不够清晰、理解把握不够准确，对主要问题梳理全面不够得当，阐述不够到位，思路不够清晰的得2分；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养护进度计划及各阶段进度的保证措施：养护进度计划、实施、各阶段投入安排等进行综合评审。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养护工作实施方案全面，各阶段服务计划详细、周到，管理措施得当，人员安排合理的得8分；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养护工作实施方案全面，各阶段服务计划较为详细周到，管理措施较得当，人员安排合理的得6分；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养护工作实施方案较全面，各阶段服务计划一般，管理措施可行性一般、人员安排合理性一般的得4分；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养护工作实施方案全面性一般，各阶段服务计划有所欠缺，管理措施可行性较弱、人员安排合理性较弱的得2分；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重点难点分析：包括不限于养护实施过程的重点难点、解决措施等进行综合评审。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分析全面，重点难点把握准确的的8分；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重点难点分析较为全面，重点难点把握较为准确的得6分；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重点难点分析一般，重点难点把握较弱的得4分；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重点难点分析不够全面，重点难点把握不够准确的得2分；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水质保障方案：包括水质质量保障措施、服务质量保证承诺目标等进行评审。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方案内容具体全面，针对性、可行性强的得8分；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方案内容较为合理全面且有一定针对性可行性的得6分；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方案合理全面性一般，且针对性可行性一般的得4分；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方案内容存在不合理，针对性欠缺的得2分；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应急方案：各类设施维护和使用方案、垃圾清运方案、水质及其它应急方案等进行评审。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方案内容具体全面，针对性、可行性强的得8分；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方案内容较为合理全面且有一定针对性可行性的得6分；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方案合理全面性一般，且针对性可行性一般的得4分；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方案内容存在不合理，针对性欠缺的得2分；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2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资料管理方案：对养护实施过程中相关文字及影像资料及时、完整、规范、是否满足要求进行综合评审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资料管理及时、内容完整、规范，符合审计、考核和移交要求、准确上报相关部门，达到项目预定要求的得5分；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资料管理响应要求，完备，基本符合审计、考核和移交要求，满足上报相关部门，基本满足项目预定要求的得3分；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资料管理滞后、基本合理、考核、移交欠缺的得1分。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（1）供应商提供河道打捞船（水草修割船不得少于5艘）得4分，每增加一艘加1分，本项最高得6分；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（2）供应商提供除草设备（2台）得1分、高压水枪（2套）得1分、巡查应急车辆（2辆）得1分、清运车辆（2辆）得1分。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满分10分。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打捞船、巡查应急车辆、清运车辆，且承诺完成相关垃圾清运工作，并提供相关证明和承诺书；如为自有，供应商须提供主要设备的购买发票等证明材料加盖公章；如为租赁，则还另请提供覆盖本项目服务期的租赁协议等证明材料加盖公章，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注：允许提供的车辆、设备名称与评分标准给定名称有差别，但不能改变车辆、设备实质性功能，否则不得分。如提供的车辆、设备名称不一致，须提供车辆、设备的主要功能介绍并附证明材料。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91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拟投入人员情况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工程技术类（建设工程或水利工程或生态环境工程专业）（专业以提供的职称证书或毕业证载明的专业为准）高级及以上技术职称的得3分，具有工程技术类（建设工程或水利工程或生态环境工程专业）（专业以提供的职称证书或毕业证载明的专业为准）中级技术职称的得1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（提供相关职称证书扫描件加盖公章，并提供供应商为其缴纳的近半年（2026年01月-2026年06月）任意一个月的社保缴纳证明，否则不得分。如职称反应不出专业则以毕业证载明的专业为准）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具有工程技术类（建设工程或水利工程或生态环境工程专业）（专业以提供的职称证书或毕业证载明的专业为准）高级及以上技术职称的得3分，具有工程技术类（建设工程或水利工程或生态环境工程专业）（专业以提供的职称证书或毕业证载明的专业为准）中级技术职称的得1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（提供相关职称证书扫描件加盖公章，并提供供应商为其缴纳的近半年（2026年01月-2026年06月）任意一个月的社保缴纳证明，否则不得分。如职称反应不出专业则以毕业证载明的专业为准）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项目负责人、技术负责人不可兼任。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项目组成员（除项目负责人、技术负责人除外）具有工程技术类（建设工程或水利工程或生态环境工程专业）（专业以提供的职称证书或毕业证载明的专业为准）中级及以上技术职称的得2分，最多得10分。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（提供相关职称证书扫描件加盖公章，并提供供应商为其缴纳的近半年（2026年01月-2026年06月）任意一个月的社保缴纳证明，否则不得分。）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0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9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供应商自2023年1月1日（含）以来承担过类似项目的，每有一项得3分，满分6分。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（提供合同扫描件加盖公章，时间以合同签订时间为准，资料须反映出相关内容，否则不得分，企业业绩与项目负责人业绩不可兼得。）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1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供应商项目负责人自2023年1月1日（含）以来承担过类似项目的，每有一项得3分，满分3分。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（提供合同扫描件加盖公章，时间以合同签订时间为准，资料须反映出相关内容，否则不得分，企业业绩与项目负责人业绩不可兼得。）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72"/>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本项目所属行业：“其他未列明行业”</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招标项目的技术规格、要求和数量等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rPr>
          <w:rFonts w:ascii="SimSun" w:hAnsi="SimSun" w:eastAsia="SimSun" w:cs="SimSun"/>
          <w:color w:val="000000"/>
          <w:sz w:val="21"/>
        </w:rPr>
        <w:t xml:space="preserve">：2026年鼓楼区西北护城河生态养护服务项目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对鼓楼区西北护城河水生植物、曝气装置、循环水泵、水面保洁等进行生态养护工作，同步承担设施的日常巡查维护、操作指令落实、防汛抢险、防寒防冻、创建迎查、应急处置、投诉处理、专项治理、重大活动保障等任务，并及时完成各项指令性任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2、对服务清单内的河面、岸坡、硬质驳坎、排水、绿化等水务设施进行的巡查、保洁、管养， 以及相关的监测、管理工作。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三、项目内容（具体养护内容详见服务清单）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按照《鼓楼区城市河道养护技术管理规程》、《鼓楼区城市排水设施考核办法》及相关政府、行业的规定规范做好日常巡查、管养工作，并进行安全巡查，协助做好养护管理范围内违法水事行为的巡查、制止、举报、取证工作，并根据指令，参与防洪抢险工作和处理各类涉河事件，接受采购人的管理和监督。主要养护工作包括但不限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(一）河道及岸坡保洁、管理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配备符合要求的船只、工具及安全救生用具每天对河道及岸坡进行常态化保洁，保证洁净无垃圾，按时上下班，不脱岗、离岗、上班期间不饮酒、不聚众聊天。为保障行船安全定期对设施进行安全检查。河面、岸坡垃圾及时清运，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1、保洁员要配备专用船只、清捞工具、安全救生用具；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2、保洁员要按时上下班，身穿工作服、救生衣进行常态化保洁；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3、河面无影响水生态的杂草及障碍物；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4、河面及岸坡无垃圾；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5、垃圾及时清运至指定地点倾倒；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6、保洁员离船时保持保洁船只洁净，及时清除船舱内垃圾；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7、定期对相关设施进行安全检查；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8、岸坡硬化部分无人为损坏、无污渍、无杂物等；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9、河道管理范围内无违章行为。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（二）硬质驳坎保洁养护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保洁员要按规范对硬质驳坎进行常态化保洁，保证硬质驳坎干净整洁、无裂缝等，有问题及时处理并上报，清理的垃圾要做到日产日清。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1、定期对临水侧硬质驳坎进行清洗，清除垃圾；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2、硬质驳坎无松动、脱落、塌陷、架空等现象；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3、保持硬质驳坎干净整洁、无青苔、无杂物等。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（三）曝气装置养护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曝气装置对河道起到净化水质的作用，要定期对设备进行检查与维护，出现异常情况及时上报采购人。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1、定期巡检曝气装置；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2、观察设备是否正常运行，控制柜功能是否正常；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3、观察设备运转是否正常（声音、水流水花等）；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4、观察设备的固定有无松动情况；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5、及时清理曝气周围漂浮物及垃圾，以免堵塞曝气进水口，影响其正常工作。若因养护清理不到位等原因造成的曝气设备异常，由中标供应商负责维修；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6、根据实际情况合理安排运行时间，且不对附近居民生活造成影响。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（四）水生态动植物养护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有重要的生态修复功用，净化水质的同时可以起到美化河道景观的作用，保洁员要定期对水生植物进行修剪保养工作，以防水生植物生长旺盛、过度蔓延，残枝败叶在水中积存、产生污染等。水生动物具备关键的水体生态调节作用，能够分解水体有机物、平衡水域生物群落，同时维持河道生态系统稳定。工作人员需定期巡查管护水生动物种群数量，防止生物过量繁殖、种群失衡，其代谢排泄物与死亡个体大量堆积，引发水体富营养化、水质恶化等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养护内容包含但不限于：水生态植物的修整、清杂、打捞或机割、枯萎/死株的清理、补种、病虫害防治等。水生植物需进行增肥。生态浮床床体的维护及更换。水生植物的购买补种。水生动物的定期巡查、外来物种入侵的检查及清除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1、及时修剪枯黄、枯死和倒伏植株，及时清理植物间及植物周围的杂物及垃圾；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2、沉水植物长出水面影响景观时，应进行人工打捞或机割，对于浮出水面的死株，应及时清除；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3、定期去除杂草，除草时注意不要破坏植物根系，在生长季节，定期对枯萎枝叶进行修剪；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4、对于因病虫害等原因造成的植物死亡时，应将植物撤出，并进行相应的补种；当植物有病虫害时，应及时消杀处理；定期检查是否存来外来物种入侵情况，发现及时上报并处置；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5、检查生态浮床有无破损、松散及链接扣有否掉落，及时清理附着在生态浮床周围的杂物或垃圾，浮床上植物如果发生歪倒，及时扶正或修剪。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6、生态浮床单体受到损坏时，依损坏程度进行修补或更换生态浮床单体，同时补种植物。因水位涨落或其它原因而导致生态浮床搁浅时，应及时复位加固处理。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7、台风、大风，大雨天气及强泄洪前后 2d~3d，应检查生态浮岛、种植篮等的固定情况，如有脱落及时固定。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8、确保水生动物生态良好，无破坏生态的物种或入侵物种的情况，水生动物数量和物种匹配合理。对于物种比例失调等现象及时采取措施加以控制，确保生态系统结构合理稳定。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9、常态巡查是否存在水生动物的私自放养和非法捕捞，发现后及时劝阻并留存相应凭证。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（五）绿化养护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岸坡绿化是一种能有效的防护裸露坡面的生态护坡方式，有重要的生态修复功用，同时可以起到美化河道景观的作用，保洁员要定期对岸坡绿化进行修剪保养工作， 以防绿化植物生长旺盛、过度蔓延。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1、保洁人员每日对绿化进行保洁，保证河岸范围内无垃圾、杂草；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2、河道岸坡绿化范围内无违章、废弃设施，无种菜、放养家禽宠物的行为；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3、定期对绿化进行修剪、施肥；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4、定期对岸坡绿化进行杀虫处理，定期巡查是否存在外来物种入侵，发现及时处置；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5、植物生长良好，无黄土裸露。</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（六）标警示牌养护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保洁员要定期对标警示牌进行清洁，保证标警示牌干净无破损，发现问题及时上报并处理。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1、对养护范围内的河道警示牌、宣传牌等标志标牌进行清洁、维修；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2、保证标志标牌外观完好整洁、字迹清楚；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3、保证标志标牌固定牢靠无晃动，无锈蚀、缺损。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（八）各类闸、溢流坝（堰）及阀门养护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养护人员做好各类闸、坝、溢流坝（堰）、阀门日常养护及保洁工作，定期开展巡查检查，保障设施运行完好、功能正常。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1、定期检查闸、坝、溢流坝（堰）及阀门启闭运行状况，确保启闭灵活、功能正常；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2、设施主体结构完好，无缺损、脱落、塌陷、破损等现象；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3、设施外观整洁，无锈蚀、无污物、无积泥、无青苔、无杂草植物附着；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4、及时清理设施周边及表面杂物、垃圾，保持整体干净整洁；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5、按照采购人指令性任务要求，在规定时间内完成设施调度等运行管理工作；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6、严格按照相关技术规范要求，做好各类部件日常保养维护工作。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 护栏、栏杆养护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1、护栏、栏杆应定期巡查确保设施牢固可靠，不得悬挂、晾晒物品；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2、发生变形、损坏，应及时修复，修复应与原结构、材质、色调协调；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3、立柱及水平构件松脱，应及时紧固或更换；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4、护栏表面应保持洁净，无锈蚀。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 拦污栅养护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1、拦污栅前的漂浮物应及时打捞；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2、拦污栅松动、变形损坏或不能正常使用时，应及时修理或更换；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3、拦污栅无锈蚀。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(十一)水循环系统、排水系统养护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循环系统主要对河道中流动性差的水域进行补水，增加流动性，改善水质，排水系统为汛期应急调排系统，确保周边居民生命财产安全及环境安全。要定期对设备进行检查与维护，出现异常情况及时上报并安排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1、定期巡检水循环系统；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2、观察设备是否正常运行，控制柜功能是否正常；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3、观察设备运转是否正常；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4、观察设备的固定有无松动情况；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5、定期对设备进行保养，保证工况良好。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6、根据实际情况合理安排运行时间，且不对附近居民生活造成影响。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（十二）巡查工作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巡查人员要及时掌握养护范围内设施运行状况，对于发现的问题，要及时安排分析研判，按规范进行上报，并安排设施维修、违章行为制止，如实进行记录。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1、巡查员定期对河道生态养护情况进行巡查；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2、检查保洁员是否有脱岗、离岗现象；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3、检查生态养护质量，河道水质、引补水等状况是否正常；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4、检查河道水面、岸坡管养范围内有无垃圾、漂浮物；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5、检查有无违章搭建、 占用、挖掘、乱倒及破坏设施等现象。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(十三)其他事项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1、对于采购人检查下发的问题整改菜单，及时整改。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2、完成项目范围内各类信访、投诉、举报的处理和整改；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3、完成采购人布置的各类指令性工作。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根据相关考核标准及办法对中标供应商实施考核，如中标供应商多次未达到采购人考核要求（详见附件考核办法），采购人有权责令中标供应商退场，并与中标供应商终止合同，中标供应商须赔偿因此给采购人带来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5、按采购人要求完成各类养护计划、台帐并及时报送采购人；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6、中标供应商需按照采购人的要求，熟练掌握市、区水务信息化平台网页端及手机客户端，现场养护工作人员需熟悉打卡有关操作流程，并严格按照要求执行到位；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7、及时做好按相关养护规定、要求应完成的工作。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8、本项目生态养护，供应商在实施过程必须配备河道打捞船（具有打捞、保洁、清漂、收割等功能）、除草设备、高压水枪 、巡查应急车辆、清运车辆。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四、安全要求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投入的现场工作人员严格佩戴安全帽、救生衣等相关安全用具，注意相关防护措施，加强文明作业和安全生产管理，严格遵守相关行业操作要求。若因供应商自身原因造成的一切损失由其自行承担（</w:t>
      </w:r>
      <w:r>
        <w:rPr>
          <w:rFonts w:ascii="SimSun" w:hAnsi="SimSun" w:eastAsia="SimSun" w:cs="SimSun"/>
          <w:b/>
          <w:color w:val="000000"/>
          <w:sz w:val="21"/>
        </w:rPr>
        <w:t xml:space="preserve">提供上述相关承诺，承诺书的内容与格式自拟，未提供视为无效投标）。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五、服务清单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7"/>
        <w:gridCol w:w="1912"/>
        <w:gridCol w:w="3871"/>
        <w:gridCol w:w="856"/>
        <w:gridCol w:w="1090"/>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1、按规范对河面常态化保洁、保证洁净无垃圾</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58253.90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1、按规范对坡岸常态化保洁，保证坡岸干净整洁等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4489.92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河道巡查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1、按规范对河道进行巡查等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Km/年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5.04 </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硬质驳坎保洁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1、按规范对硬质驳岸常态化保洁，保证硬质驳坎干净整洁、无裂缝等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19613.87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硬化面积保洁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1、按规范硬化地面常态化保洁</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840.92 </w:t>
            </w:r>
            <w:r/>
          </w:p>
        </w:tc>
      </w:tr>
      <w:tr>
        <w:trPr>
          <w:trHeight w:val="1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栏杆养护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1、护栏、栏杆应定期巡查确保设施牢固可靠，不得悬挂、晾晒物品；</w:t>
              <w:br/>
              <w:t xml:space="preserve">2、发生变形、损坏，应及时修复，修复应与原结构、材质、色调协调；</w:t>
              <w:br/>
              <w:t xml:space="preserve">3、立柱及水平构件松脱，应及时紧固或更换；</w:t>
              <w:br/>
              <w:t xml:space="preserve">4、护栏表面应保持洁净，无锈蚀。</w:t>
              <w:br/>
              <w:t xml:space="preserve">5、具体要求详见招标文件采购人需求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8370.00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1、按规范定期对岸坡绿化进行修剪保养工作，以防绿化植物生长旺盛、过度蔓延</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1470.85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1、按规范定期对标警示牌进行清洁，保证标警示牌干净无破损，发现问题及时上报并处理</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 </w:t>
            </w:r>
            <w:r/>
          </w:p>
        </w:tc>
      </w:tr>
      <w:tr>
        <w:trPr>
          <w:trHeight w:val="1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1、拦污栅前的漂浮物应及时打捞；</w:t>
              <w:br/>
              <w:t xml:space="preserve">2、拦污栅松动、变形损坏或不能正常使用时，应及时修理或更换；</w:t>
              <w:br/>
              <w:t xml:space="preserve">3、拦污栅无锈蚀。</w:t>
              <w:br/>
              <w:t xml:space="preserve">4、具体要求详见招标文件采购人需求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 </w:t>
            </w:r>
            <w:r/>
          </w:p>
        </w:tc>
      </w:tr>
      <w:tr>
        <w:trPr>
          <w:trHeight w:val="3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1、定期检查闸启闭运行状况，确保启闭灵活、功能正常；</w:t>
              <w:br/>
              <w:t xml:space="preserve">2、设施主体结构完好，无缺损、脱落、塌陷、破损等现象；</w:t>
              <w:br/>
              <w:t xml:space="preserve">3、设施外观整洁，无锈蚀、无污物、无积泥、无青苔、无杂草植物附着；</w:t>
              <w:br/>
              <w:t xml:space="preserve">4、及时清理设施周边及表面杂物、垃圾，保持整体干净整洁；</w:t>
              <w:br/>
              <w:t xml:space="preserve">5、按照采购人指令性任务要求，在规定时间内完成设施调度等运行管理工作；</w:t>
              <w:br/>
              <w:t xml:space="preserve">6、严格按照相关技术规范要求，做好各类部件日常保养维护工作。</w:t>
              <w:br/>
              <w:t xml:space="preserve">7、具体要求详见招标文件采购人需求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垃圾外运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1、根据建设单位要求对范围内垃圾清理、外运，运距综合考虑</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279050.90 </w:t>
            </w:r>
            <w:r/>
          </w:p>
        </w:tc>
      </w:tr>
      <w:tr>
        <w:trPr>
          <w:trHeight w:val="1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1、按规范定期对水生植物进行修剪保养工作，以防水生植物生长旺盛、过度蔓延，残枝败叶在水中积存、产生污染等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220797.00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曝气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1、按规范定期对设备进行检查与维护，出现异常情况及时上报采购人</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33.00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水循环系统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1、按规范定期对设备进行检查与维护，出现异常情况及时上报采购人</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溢流坝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1、按规范定期对溢流坝进行常态化保洁</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2、合同期内上述河道新增移交的其他相关设施。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3、服务期结束后，供应商应提供以上服务清单内水生植物的现状布置图，并提供第三方有测绘资质公司对水生植物的测绘成果，总面积不得小于养护设施面积，不足部分应进行补植，多出的面积应控制在3%以内。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本项目服务期限自合同签订之日起1年。</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1、整体要求：供应商提供服务完整合理的服务方案，内容包含但不限于服务组织、服务制度、人员力量、支撑保障等内容。要投入充足的人力物力保证项目顺利进行，高质量按期完成项目工作任务。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（1）纪律要求。项目实施期间，服务人员遵守采购人各项管理制度和工作要求，工作态度认真负责，7*24小时即时响应采购人的需求。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（2）质量要求。项目服务方案合理、先进、创新、实用，实施方案和计划详实、清晰、可操作；提供的服务高效、高质、实用、安全。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（3）内控管理要求。做好日常工作考勤记录、工作量记录，及时反馈工作进展，及时整理相关工作资料，做好验收准备，项目移交材料真实、完整。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2、人员要求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（1）供应商须组建架构合理、高效协同的专职项目团队服务于本项目，本项目对项目团队人员的基本要求为：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（2）项目负责人1名，统筹负责本项目管理，提供7*24小时的手机在线服务。项目经理具有水利、水环境或建设类相关专业的证书等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（3）技术负责人1名，技术负责人需要辅助项目负责人完成项目的整体管理，提供7*24小时的手机在线服务，具有水利、水环境或建设类相关专业的证书等。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（4）项目服务人员不少于3人，负责本项目服务工作。提供7*24小时的手机在线值班，以配合采购人的日常养护。项目服务人员具备相关服务方面的专业技术能力证书等。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3、人员稳定性要求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项目负责人、技术负责人非必要不得更换，如需要更换，需提前两个月报采购人同意。项目服务人员如需更换，需提前1个月报采购人同意；更换人员应确保工作衔接交接不断档，所更换的服务人员资质要求不能低于原服务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4、服务响应要求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（1）服务团队应即时响应现场服务需求，业务出现问题时，应在4小时内解决，紧急突发工作任务，应即时响应处理。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（2）如果项目服务人员无法在规定时间完成服务，采购人有权另请第三方服务，所发生费用由供应商承担。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（3）提供节假日、重大活动、上级检查等重要时期安全保障服务，须根据要求组织专业保障团队，做好保障工作。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5、项目质量保障要求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制定项目服务质量保障方案，包括但不限于：养护工作组织，养护进度计划及各阶段进度，各类设施维护和使用方案、垃圾清运方案、水质及其它应急方案；养护实施过程中相关文字及影像资料、资料档案管理；投入车辆及主要设备；养护实施过程中的重点、难点等分析。</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付款方式：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合同中标额的20%作为合同周期内考核经费，待合同期结束后，依据考核情况拨付；合同中标额的80%，分12个月等额拨付，每月拨付上月款项。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本章加★内容为实质性要求，不允许负偏离，负偏离为无效投标。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其他要求需在商务、技术条款偏离表里逐条响应并注明偏离情况，如在实施方案中响应的内容，同时需同时在偏离表里注明实施方案中具体响应章节及页码。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47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2026年鼓楼区西北护城河生态养护服务项目考核办法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后，应提前了解和熟悉养护内容，服从采购人管理，按照采购人相关管理制度执行，采购人根据工作要求组织检查、抽查和考核，根据上级部门考核标准及我区《城市河道养护技术管理规范》T/NEEPA003-2023编制以下细则执行考核奖惩。本考核办法为试行办法，采购人有权根据实际执行情况调整考核条款。</w:t>
      </w:r>
      <w:r/>
    </w:p>
    <w:p>
      <w:pPr>
        <w:numPr>
          <w:ilvl w:val="0"/>
          <w:numId w:val="9"/>
        </w:numP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2026年鼓楼区西北护城河生态养护服务项目检查考核采用月度考核评分方式。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月度考核评分实行百分制，主要包括日常养护、应急处置及指令性任务、管理及内页台账3个方面：</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（一）日常养护及巡查</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供应商每月底前按照相关行业规范和工作要求，合理制定下一月养护计划并上报采购人，月度考核通过现场考核方式，对养护完成工作量、现场设备运行等情况实行抽查考核。</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（二）应急处置及指令性任务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供应商应及时发现、上报、处置各类应急事件，并完成采购人下发的指令性任务。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（三）管理及内页台账</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供应商应做好各类预案、养护巡查报表等台账资料的整理、归档、保存，并做好各类应急预案、安全文明施工等管理制度。</w:t>
      </w:r>
      <w:r/>
    </w:p>
    <w:p>
      <w:pPr>
        <w:numPr>
          <w:ilvl w:val="0"/>
          <w:numId w:val="10"/>
        </w:numP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考核指标及加减分明细（满分100分）</w:t>
      </w:r>
      <w:r/>
    </w:p>
    <w:p>
      <w:pPr>
        <w:numPr>
          <w:ilvl w:val="0"/>
          <w:numId w:val="11"/>
        </w:numPr>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日常养护及巡查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（1）水生态设施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230"/>
        <w:gridCol w:w="4536"/>
        <w:gridCol w:w="19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未定期巡查水生植物生长情况、是否有病虫害及外来物种入侵等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水生植物范围内有垃圾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w:t>
            </w:r>
            <w:r/>
          </w:p>
        </w:tc>
      </w:tr>
      <w:tr>
        <w:trPr>
          <w:trHeight w:val="22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未定期修剪枯黄、枯死、倒伏的植株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w:t>
            </w: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水生植物泛滥影响景观时，未及时打捞或机割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1处扣2分</w:t>
            </w:r>
            <w:r/>
          </w:p>
        </w:tc>
      </w:tr>
      <w:tr>
        <w:trPr>
          <w:trHeight w:val="17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植被死亡后未及时撤除并补种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w:t>
            </w:r>
            <w:r/>
          </w:p>
        </w:tc>
      </w:tr>
      <w:tr>
        <w:trPr>
          <w:trHeight w:val="1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生态浮岛浮框破损，未及时修补或更换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w:t>
            </w:r>
            <w:r/>
          </w:p>
        </w:tc>
      </w:tr>
      <w:tr>
        <w:trPr>
          <w:trHeight w:val="2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生态浮岛移位未及时固定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r>
      <w:tr>
        <w:trPr>
          <w:trHeight w:val="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水生动物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未及时发现水生动物的私自放养和非法捕捞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1次扣2-3分</w:t>
            </w:r>
            <w:r/>
          </w:p>
        </w:tc>
      </w:tr>
      <w:tr>
        <w:trPr>
          <w:trHeight w:val="1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未及时采取有效措施清理外来入侵生物（如福寿螺等）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r>
      <w:tr>
        <w:trPr>
          <w:trHeight w:val="2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河道藻华暴发应急处置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藻华易暴发时期未进行定期巡查并发现问题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2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无藻华暴发应急处置预案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未及时采取管控措施（曝气装置调控运行、河道水体循环等）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曝气及附属设施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未巡查、未及时发现问题并上报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50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曝气及附属设施有维护不到位情况（运作异常、有堵塞现象、设备缆绳或支架有松动等）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1次扣2-3分</w:t>
            </w:r>
            <w:r/>
          </w:p>
        </w:tc>
      </w:tr>
      <w:tr>
        <w:trPr>
          <w:trHeight w:val="16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未定期对设备进行保养（涂油、清理等）、电路测试及设备的绝缘性能检查的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曝气设备周围有垃圾或漂浮物聚集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曝气及附属设施发生故障，供应商应及时维修处置，处置不及时或不到位的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曝气设备未按照采购人调度要求完成的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水循环系统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未按计划巡检水循环系统装置及附属设施，未及时发现问题并上报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1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系统及附属设施有维护不到位情况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1次扣2-4处</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未定期对设备进行保养（涂油、清理等）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溢流坝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坝主体存在青苔、植物及积泥等杂物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w:t>
            </w:r>
            <w:r/>
          </w:p>
        </w:tc>
      </w:tr>
      <w:tr>
        <w:trPr>
          <w:trHeight w:val="1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坝主体破损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1处扣2分</w:t>
            </w:r>
            <w:r/>
          </w:p>
        </w:tc>
      </w:tr>
      <w:tr>
        <w:trPr>
          <w:trHeight w:val="6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发现日常养护带班人员缺岗或一线作业人员缺员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r>
      <w:tr>
        <w:trPr>
          <w:trHeight w:val="6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巡查人员未着显著标识着装，未配备必要录像设备及辅助工具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7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未对涉及养护设施的违法违章行为及时发现并进行劝阻和制止并如实记录取证上报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1次扣3分</w:t>
            </w:r>
            <w:r/>
          </w:p>
        </w:tc>
      </w:tr>
      <w:tr>
        <w:trPr>
          <w:trHeight w:val="7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保洁人员未配备相应的清捞工具、设备及安全用品（如救生衣、救生圈等）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1次扣2-3分</w:t>
            </w:r>
            <w:r/>
          </w:p>
        </w:tc>
      </w:tr>
      <w:tr>
        <w:trPr>
          <w:trHeight w:val="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清理的水草、杂物等未做到日产日清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2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其他不符合《城市河道养护技术管理规范》等相关管理要求及规定的情况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1处（次）扣1-5分</w:t>
            </w:r>
            <w:r/>
          </w:p>
        </w:tc>
      </w:tr>
      <w:tr>
        <w:trPr>
          <w:trHeight w:val="2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养护质效突出，得到群众或相关部门、单位、媒体正面肯定的，或主动作为促动养护提升的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视情加1-3分</w:t>
            </w:r>
            <w:r/>
          </w:p>
        </w:tc>
      </w:tr>
    </w:tbl>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（2）河道及附属设施</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1202"/>
        <w:gridCol w:w="3688"/>
        <w:gridCol w:w="3767"/>
      </w:tblGrid>
      <w:tr>
        <w:trPr>
          <w:trHeight w:val="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评分办法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河面有超标漂浮物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1处扣1-3分；超过1平方扣4-5分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水中有违法阻水障碍物，且未及时发现制止并上报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1处扣3分</w:t>
            </w:r>
            <w:r/>
          </w:p>
        </w:tc>
      </w:tr>
      <w:tr>
        <w:trPr>
          <w:trHeight w:val="9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打捞漂浮物在河边指定地点和指定范围内（＜4平方）临时堆放沥水，超过24小时未清运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超标1次扣3分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河岸保护范围内有垃圾、杂草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1处扣1-3分；超过1平方扣4-5分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河岸保护范围内有毁绿种菜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有毁绿现象扣3分</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河岸绿地养护有死树、缺株、枯枝等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1处扣1分，情况严重的扣3分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压顶缺损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1处扣2分；超过0.2平方以上扣3-4分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勾缝、片石脱落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1处扣1分；超过1米上扣2-3分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堤身裂缝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裂缝宽度超过5毫米，扣2-4分/处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岸坡掏空、塌陷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扣2-4分/处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闸门、坝、</w:t>
            </w:r>
            <w:r/>
          </w:p>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拦污栅悬空、淹没、阻水﹥20cm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扣4分/处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擅自提起拦污栅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扣3分/处</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闸门或坝破损、腐锈、裂纹、穿孔，闸槽杂物；启动装置失灵、故障等问题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1处扣1-2分；闸门、坝不能正常启闭，扣4分；闸门、坝体破损扣3-5分。汛期加倍扣分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附属建筑物、附属设施缺损或存在安全隐患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存在安全隐患，一项扣1-2分；维护不到位，一项扣1分</w:t>
            </w:r>
            <w:r/>
          </w:p>
        </w:tc>
      </w:tr>
      <w:tr>
        <w:trPr>
          <w:trHeight w:val="8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护栏、警示牌、宣传牌、栏杆、拦污栅等附属设施损坏、缺失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扣2分/处</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前1-14项为提炼的养护中常见问题，其它养护质效考核，参照《城市河道养护技术管理规程》（T/NEEPA 003-2023）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其它未尽事项，未按标准执行或成效不符合要求的，扣1-3分/处</w:t>
            </w:r>
            <w:r/>
          </w:p>
        </w:tc>
      </w:tr>
    </w:tbl>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2、应急处置及指令性任务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6274"/>
        <w:gridCol w:w="2056"/>
      </w:tblGrid>
      <w:tr>
        <w:trPr>
          <w:trHeight w:val="3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供应商应完成采购人布置的各类临时性或指令性任务，未能在规定时间内完成的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项目负责人、技术人员及安全员未按采购人要求到达现场的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应急处置现场人员未做好佩戴救生衣、安全帽、防电等安全文明措施的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应急事件发生后，未及时制定并上报有效处置方案，导致进度迟缓的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组织不合理，效率低下，人员、物资、机械设备、现场管理混乱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其他不符合相关应急处置及指令性要求及规定的情况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1次扣1-5分</w:t>
            </w:r>
            <w:r/>
          </w:p>
        </w:tc>
      </w:tr>
    </w:tbl>
    <w:p>
      <w:pPr>
        <w:ind w:left="0" w:right="0" w:firstLine="0"/>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3、管理及内业台账</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6097"/>
        <w:gridCol w:w="1127"/>
        <w:gridCol w:w="8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未制定月度养护计划并按要求上报的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相关记录、报表等台账资料（养护、安全等）格式不规范、内容有明显错误或遗漏的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资料上报、归档不及时，未按采购人要求的时间节点报送的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每延迟1天扣1分（上限5分）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因台账资料保管不善导致损毁、丢失的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日常养护工作场所相关的安全、规程、岗位等制度未上墙的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未落实规范的用工制度、签订劳动合同、办理社会基本保险等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未按技术规程规程要求建立完善的快速处置突发事件的预案和应急机制，未按预案要求配置人员、设备、物资等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其他不符合相关管理及内业要求及规定的情况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三、关键工作指标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8675"/>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考核项目及奖惩标准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因维护、监管、巡查、处置等不到位被市、区领导或上级主管部门发现并点名批评的，造成不良影响的，扣1万元/次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因养护工作不力导致市对区考核扣分的，扣0.5万元/分。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因全市相关创建目标工作不力影响创建成绩的扣1万元/次，因养护等工作不力造成社会重大负面影响的扣10万元/次。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纳入市、局目标考核的重点指令性任务未完成的，扣2万/项</w:t>
            </w:r>
            <w:r/>
          </w:p>
        </w:tc>
      </w:tr>
      <w:tr>
        <w:trPr>
          <w:trHeight w:val="1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安全生产事故，未造成人身伤害的，扣5万元/次，造成人身伤害的，扣10万元/次;因维护不到位造成被通报安全性事故的扣5万元/次。发生重大安全责任事故扣10万元/次。由于突发事件现场处置不当，发生衍生事故的扣10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采购人向供应商发出警告处罚及责令整改通知，扣0.1-1万元/次。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存在擅自将所维护的设施出租、抵押、担保或利用其从事其他经营性行为的，发现一次扣10万元，并收缴其违规所得。</w:t>
            </w:r>
            <w:r/>
          </w:p>
        </w:tc>
      </w:tr>
    </w:tbl>
    <w:p>
      <w:pPr>
        <w:ind w:left="0" w:right="0" w:firstLine="422"/>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四、其他事项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到采购人任务指令后，供应商原则上1个工作日内必须进场（客观原因或不可抗力因素除外），同时做好进场准备：包括人员准备、施工材料准备以及技术准备。非因客观原因或不可抗力推迟进场，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2、供应商项目负责人不得单方面更换，确因特殊原因需更换必须书面报告采购人，征得采购人同意后方可更换，否则采购人有权终止合同并责令供应商退场。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3、供应商作业人员在施工时应当统一着装，并按照要求采取有效的安全防护措施，同时安排专职安全人员进行安全管理和监督，以确保作业安全，未按要求作业的，将予以警告处罚并责令整改。</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当气象台发布黄色及以上暴雨信号或可能影响水面作业安全的灾害性天气预警时，不宜开展相关河面作业。台风、暴雨等灾害性天气及洪水过后应组织力量进行应急处置，加大养护力度，增加养护频次，及时清理垃圾等废弃物、生态浮岛浮框等。</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5、垃圾等废弃物处理：按照技术规程和国家相关规范要求，运输、处置垃圾和相关废弃物未按要求的，将予以警告处罚并责令整改。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生产：供应商做好项目范围内作业安全保障工作，建立健全各项安全工作体系，落实各项安全措施，加强作业人员安全思想教育工作，完善各类安全台账，确保养护工作安全有序进行。若发生重大安全责任事故或造成重大影响，采购人有权终止合同并责令供应商退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7、供应商在重大节日、“迎检”、“创建”等期间按要求完成采购人交办的突击性任务和指令性任务。未能及时响应完成的，将予以警告处罚并责令整改。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因作业管理不当，造成严重负面影响，或受到上级相关部门点名批评的，将予以警告处罚并责令整改；因作业管理不当，经媒体曝光、12345政务热线、网络问政、公众监督网等举报，一经查实，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9、因养护、维护、操作、调度执行、水位控制不当等原因，发生人员伤亡和财产损失的，由供应商负责赔偿相关损失，且采购人有权终止合同并责令供应商退场。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10、根据每月市对区城市排水设施维护管理情况通报问题，直接兑现经费奖惩。具体参照《鼓楼区城市排水设施考核办法》第十四条第2点执行（“根据市对区城市排水设施维护管理情况通报问题，对照鼓楼区排水设施考核评分细则对应分值，结合设施的实际运行情况，管网设施按 500 元/分扣除，河道及泵站设施按 1500 元/分扣除”）。</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违反考核办法，采购人视情况可给予供应商警告处罚或责令整改通知，并根据考核项目及奖惩标准兑现处罚；除上述涉及退场条件的条款外，同类事件第二次警告处罚或责令整改，除兑现考核奖惩外，额外扣罚人民币1万元/次；同类事件累计发生三次警告处罚或责令整改，采购人有权终止合同并责令供应商退场，并取消供应商再次投标资格。</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考核周期及经费奖惩：每月专项考核一次加不定期巡查。月度考核成绩95分（含）-100分的，不扣除养护经费；90（含）-94分的，相较于95分每低1分扣除0.2万元；考核成绩小于90分的，在扣除0.2*5=1万元基础上，相较于90分每低1分扣除0.3万元。若累计有三次月考核成绩低于（不含）85分，采购人有权终止合同并责令供应商无条件退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考核扣除经费的使用：考核扣除经费可用于日常养护职责范围之外的相关备品备件购置、附属设施更新、维修改造等设施养护和提升工作。供应商按采购人要求落实，或根据日常养护实际需要，形成建议报告并报采购人同意后实施。产生费用经采购人审核后在考核扣减经费中列支，在支付合同约定的尾款第二次费用时按实核算拨付，总额不超过扣减经费总额，购置相关备品备件的，原则上应与既有设施相同规格或根据需要优化调整，不得擅自降低设备参数。</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14、采购人可根据管理需要更新、修订或制定相关管理制度，供应商应配合执行。其他未尽事宜，由双方协商解决。</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0"/>
        <w:gridCol w:w="4250"/>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《中华人民共和国政府采购法》、《中华人民共和国民法典》（合同编）的有关规定，由（甲方）委托（乙方）承担本合同规定内容。经双方友好协商，签订本合同。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第一条合同标的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项目名称：2026年鼓楼区西北护城河生态养护服务项目，具体内容详见乙方响应性文件等。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第二条合同总价款</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本合同项下服务总价款为</w:t>
      </w:r>
      <w:r>
        <w:rPr>
          <w:rFonts w:ascii="Times New Roman" w:hAnsi="Times New Roman" w:eastAsia="Times New Roman" w:cs="Times New Roman"/>
          <w:color w:val="000000"/>
          <w:sz w:val="21"/>
        </w:rPr>
        <w:t xml:space="preserve">___________</w:t>
      </w:r>
      <w:r>
        <w:rPr>
          <w:rFonts w:ascii="SimSun" w:hAnsi="SimSun" w:eastAsia="SimSun" w:cs="SimSun"/>
          <w:color w:val="000000"/>
          <w:sz w:val="21"/>
        </w:rPr>
        <w:t xml:space="preserve">（大写）人民币，分项价款在“分项报价表”中有明确规定。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本合同价款包含完成本服务项目发生的所有含人员工资、税费、维修费、支付给员工的工资和国家强制缴纳的各种社会保障资金，以及供应商认为需要的其他费用等。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甲方就本合同不再向乙方支付任何其他款项。</w:t>
      </w:r>
      <w:r/>
    </w:p>
    <w:p>
      <w:pPr>
        <w:ind w:left="0" w:right="0" w:firstLine="4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组成本合同的有关文件</w:t>
      </w:r>
      <w:r/>
    </w:p>
    <w:p>
      <w:pPr>
        <w:ind w:left="0" w:right="0" w:firstLine="411"/>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招标文件和有关附件是本合同不可分割的组成部分，与本合同具有同等法律效力。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乙方提供的服务必须全部达到采购文件各项要求，国家或行业有规定的，还要符合相应规定。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、进度要求：详见第四章 采购需求。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、服务期：本项目服务期限自合同签订之日起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、验收标准：按行业通行标准和乙方投标文件的承诺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（详见合同附件载明的标准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，并不低于国家相关标准）。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履约保证金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合同款支付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、本合同项下的采购资金由甲方自行支付，乙方向甲方开具发票。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、付款方式：合同中标额的20%作为合同周期内考核经费，待合同期结束后，依据考核情况拨付；合同中标额的80%，分12个月等额拨付，每月拨付上月款项。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１、甲方无正当理由拒绝验收或拒付款的，甲方向乙方偿付合同总价的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违约金。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２、甲方未按合同规定的期限向乙方支付合同款的，每逾期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天甲方向乙方偿付欠款总额的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滞纳金，但累计滞纳金总额不超过欠款总额的</w:t>
      </w: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３、如乙方不能按期交付货物的，乙方应向甲方支付合同总价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４、乙方逾期交付的，每逾期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天，乙方向甲方偿付合同总额的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的滞纳金。如乙方逾期交付达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天，甲方有权解除合同，解除合同的通知自到达乙方时生效。乙方逾期交付的，今后参加政府采购信誉将受到影响。</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、乙方在承担违约责任后，仍应继续履行合同规定的义务（甲方解除合同的除外）。甲方未能及时追究乙方的任何一项违约责任并不表明甲方放弃追究乙方该项或其他违约责任。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、乙方虚假承诺，或经相关部门检测提供的货物和服务不能满足采购文件要求，或是由于乙方的过错造成合同无法继续履行的，应向甲方支付不少于合同总价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赔偿金。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合同的变更和终止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、除《政府采购法》第</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条第二款规定的情形外，本合同一经签订，甲乙双方不得擅自变更、中止或终止合同。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、除发生法律规定的不能预见、不能避免并不能克服的客观情况外，甲乙双方不得放弃或拒绝履行合同。乙方放弃或拒绝履行合同，在三年内不得参加甲方组织的政府采购活动。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合同的转让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争议的解决</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、因履行本合同引起的或与本合同有关的争议，甲、乙双方应首先通过友好协商解决，如果协商不能解决争议，则采取以下第（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）种方式解决争议：</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）向南京仲裁委员会按其仲裁规则申请仲裁。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、在仲裁期间，本合同应继续履行。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诚实信用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合同生效及其他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、本合同自签订之日起生效。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、本合同一式伍份，甲乙双方各执两份，一份交招标机构存档。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、本合同应按照中华人民共和国的现行法律进行解释。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本合同附件：考核办法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（以下为正文）</w:t>
      </w:r>
      <w:r/>
    </w:p>
    <w:p>
      <w:pPr>
        <w:ind w:left="0" w:right="0" w:firstLine="0"/>
        <w:spacing w:before="0" w:after="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甲方（签字盖章）：乙方（签字盖章）：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0"/>
        <w:jc w:val="both"/>
        <w:spacing w:before="0" w:after="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0"/>
        <w:jc w:val="both"/>
        <w:spacing w:before="0" w:after="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both"/>
        <w:spacing w:before="0" w:after="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收件人：收件人：</w:t>
      </w:r>
      <w:r/>
    </w:p>
    <w:p>
      <w:pPr>
        <w:ind w:left="0" w:right="0" w:firstLine="0"/>
        <w:jc w:val="both"/>
        <w:spacing w:before="0" w:after="0" w:line="85" w:lineRule="atLeast"/>
        <w:tabs>
          <w:tab w:val="left" w:pos="5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签字日期：年月日签字日期：年月日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47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附件：2026年鼓楼区西北护城河生态养护服务项目考核办法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后，应提前了解和熟悉养护内容，服从采购人管理，按照采购人相关管理制度执行，采购人根据工作要求组织检查、抽查和考核，根据上级部门考核标准及我区《城市河道养护技术管理规范》T/NEEPA003-2023编制以下细则执行考核奖惩。本考核办法为试行办法，采购人有权根据实际执行情况调整考核条款。</w:t>
      </w:r>
      <w:r/>
    </w:p>
    <w:p>
      <w:pPr>
        <w:numPr>
          <w:ilvl w:val="0"/>
          <w:numId w:val="9"/>
        </w:numP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2026年鼓楼区西北护城河生态养护服务项目检查考核采用月度考核评分方式。</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月度考核评分实行百分制，主要包括日常养护、应急处置及指令性任务、管理及内页台账3个方面：</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（一）日常养护及巡查</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供应商每月底前按照相关行业规范和工作要求，合理制定下一月养护计划并上报采购人，月度考核通过现场考核方式，对养护完成工作量、现场设备运行等情况实行抽查考核。</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（二）应急处置及指令性任务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供应商应及时发现、上报、处置各类应急事件，并完成采购人下发的指令性任务。</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（三）管理及内页台账</w:t>
      </w:r>
      <w:r/>
    </w:p>
    <w:p>
      <w:pPr>
        <w:ind w:left="0" w:right="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供应商应做好各类预案、养护巡查报表等台账资料的整理、归档、保存，并做好各类应急预案、安全文明施工等管理制度。</w:t>
      </w:r>
      <w:r/>
    </w:p>
    <w:p>
      <w:pPr>
        <w:numPr>
          <w:ilvl w:val="0"/>
          <w:numId w:val="10"/>
        </w:numP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考核指标及加减分明细（满分100分）</w:t>
      </w:r>
      <w:r/>
    </w:p>
    <w:p>
      <w:pPr>
        <w:numPr>
          <w:ilvl w:val="0"/>
          <w:numId w:val="11"/>
        </w:numPr>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日常养护及巡查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（1）水生态设施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230"/>
        <w:gridCol w:w="4536"/>
        <w:gridCol w:w="19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未定期巡查水生植物生长情况、是否有病虫害及外来物种入侵等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水生植物范围内有垃圾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w:t>
            </w:r>
            <w:r/>
          </w:p>
        </w:tc>
      </w:tr>
      <w:tr>
        <w:trPr>
          <w:trHeight w:val="22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未定期修剪枯黄、枯死、倒伏的植株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w:t>
            </w: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水生植物泛滥影响景观时，未及时打捞或机割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1处扣2分</w:t>
            </w:r>
            <w:r/>
          </w:p>
        </w:tc>
      </w:tr>
      <w:tr>
        <w:trPr>
          <w:trHeight w:val="17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植被死亡后未及时撤除并补种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w:t>
            </w:r>
            <w:r/>
          </w:p>
        </w:tc>
      </w:tr>
      <w:tr>
        <w:trPr>
          <w:trHeight w:val="1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生态浮岛浮框破损，未及时修补或更换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w:t>
            </w:r>
            <w:r/>
          </w:p>
        </w:tc>
      </w:tr>
      <w:tr>
        <w:trPr>
          <w:trHeight w:val="2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生态浮岛移位未及时固定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r>
      <w:tr>
        <w:trPr>
          <w:trHeight w:val="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水生动物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未及时发现水生动物的私自放养和非法捕捞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1次扣2-3分</w:t>
            </w:r>
            <w:r/>
          </w:p>
        </w:tc>
      </w:tr>
      <w:tr>
        <w:trPr>
          <w:trHeight w:val="1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未及时采取有效措施清理外来入侵生物（如福寿螺等）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r>
      <w:tr>
        <w:trPr>
          <w:trHeight w:val="2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河道藻华暴发应急处置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藻华易暴发时期未进行定期巡查并发现问题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2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无藻华暴发应急处置预案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未及时采取管控措施（曝气装置调控运行、河道水体循环等）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曝气及附属设施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未巡查、未及时发现问题并上报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50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曝气及附属设施有维护不到位情况（运作异常、有堵塞现象、设备缆绳或支架有松动等）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1次扣2-3分</w:t>
            </w:r>
            <w:r/>
          </w:p>
        </w:tc>
      </w:tr>
      <w:tr>
        <w:trPr>
          <w:trHeight w:val="16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未定期对设备进行保养（涂油、清理等）、电路测试及设备的绝缘性能检查的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曝气设备周围有垃圾或漂浮物聚集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曝气及附属设施发生故障，供应商应及时维修处置，处置不及时或不到位的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曝气设备未按照采购人调度要求完成的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水循环系统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未按计划巡检水循环系统装置及附属设施，未及时发现问题并上报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1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系统及附属设施有维护不到位情况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1次扣2-4处</w:t>
            </w:r>
            <w:r/>
          </w:p>
        </w:tc>
      </w:tr>
      <w:tr>
        <w:trPr>
          <w:trHeight w:val="2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未定期对设备进行保养（涂油、清理等）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溢流坝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坝主体存在青苔、植物及积泥等杂物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w:t>
            </w:r>
            <w:r/>
          </w:p>
        </w:tc>
      </w:tr>
      <w:tr>
        <w:trPr>
          <w:trHeight w:val="1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坝主体破损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1处扣2分</w:t>
            </w:r>
            <w:r/>
          </w:p>
        </w:tc>
      </w:tr>
      <w:tr>
        <w:trPr>
          <w:trHeight w:val="6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发现日常养护带班人员缺岗或一线作业人员缺员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r>
      <w:tr>
        <w:trPr>
          <w:trHeight w:val="6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巡查人员未着显著标识着装，未配备必要录像设备及辅助工具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7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未对涉及养护设施的违法违章行为及时发现并进行劝阻和制止并如实记录取证上报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1次扣3分</w:t>
            </w:r>
            <w:r/>
          </w:p>
        </w:tc>
      </w:tr>
      <w:tr>
        <w:trPr>
          <w:trHeight w:val="7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保洁人员未配备相应的清捞工具、设备及安全用品（如救生衣、救生圈等）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1次扣2-3分</w:t>
            </w:r>
            <w:r/>
          </w:p>
        </w:tc>
      </w:tr>
      <w:tr>
        <w:trPr>
          <w:trHeight w:val="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清理的水草、杂物等未做到日产日清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2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其他不符合《城市河道养护技术管理规范》等相关管理要求及规定的情况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1处（次）扣1-5分</w:t>
            </w:r>
            <w:r/>
          </w:p>
        </w:tc>
      </w:tr>
      <w:tr>
        <w:trPr>
          <w:trHeight w:val="2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养护质效突出，得到群众或相关部门、单位、媒体正面肯定的，或主动作为促动养护提升的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视情加1-3分</w:t>
            </w:r>
            <w:r/>
          </w:p>
        </w:tc>
      </w:tr>
    </w:tbl>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（2）河道及附属设施</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1202"/>
        <w:gridCol w:w="3688"/>
        <w:gridCol w:w="3767"/>
      </w:tblGrid>
      <w:tr>
        <w:trPr>
          <w:trHeight w:val="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评分办法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河面有超标漂浮物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1处扣1-3分；超过1平方扣4-5分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水中有违法阻水障碍物，且未及时发现制止并上报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1处扣3分</w:t>
            </w:r>
            <w:r/>
          </w:p>
        </w:tc>
      </w:tr>
      <w:tr>
        <w:trPr>
          <w:trHeight w:val="9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打捞漂浮物在河边指定地点和指定范围内（＜4平方）临时堆放沥水，超过24小时未清运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超标1次扣3分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河岸保护范围内有垃圾、杂草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1处扣1-3分；超过1平方扣4-5分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河岸保护范围内有毁绿种菜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有毁绿现象扣3分</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河岸绿地养护有死树、缺株、枯枝等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1处扣1分，情况严重的扣3分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压顶缺损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1处扣2分；超过0.2平方以上扣3-4分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勾缝、片石脱落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1处扣1分；超过1米上扣2-3分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堤身裂缝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裂缝宽度超过5毫米，扣2-4分/处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岸坡掏空、塌陷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扣2-4分/处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闸门、坝、</w:t>
            </w:r>
            <w:r/>
          </w:p>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拦污栅悬空、淹没、阻水﹥20cm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扣4分/处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擅自提起拦污栅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扣3分/处</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闸门或坝破损、腐锈、裂纹、穿孔，闸槽杂物；启动装置失灵、故障等问题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1处扣1-2分；闸门、坝不能正常启闭，扣4分；闸门、坝体破损扣3-5分。汛期加倍扣分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附属建筑物、附属设施缺损或存在安全隐患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存在安全隐患，一项扣1-2分；维护不到位，一项扣1分</w:t>
            </w:r>
            <w:r/>
          </w:p>
        </w:tc>
      </w:tr>
      <w:tr>
        <w:trPr>
          <w:trHeight w:val="8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护栏、警示牌、宣传牌、栏杆、拦污栅等附属设施损坏、缺失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扣2分/处</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前1-14项为提炼的养护中常见问题，其它养护质效考核，参照《城市河道养护技术管理规程》（T/NEEPA 003-2023）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其它未尽事项，未按标准执行或成效不符合要求的，扣1-3分/处</w:t>
            </w:r>
            <w:r/>
          </w:p>
        </w:tc>
      </w:tr>
    </w:tbl>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6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2、应急处置及指令性任务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6274"/>
        <w:gridCol w:w="2056"/>
      </w:tblGrid>
      <w:tr>
        <w:trPr>
          <w:trHeight w:val="3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供应商应完成采购人布置的各类临时性或指令性任务，未能在规定时间内完成的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项目负责人、技术人员及安全员未按采购人要求到达现场的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应急处置现场人员未做好佩戴救生衣、安全帽、防电等安全文明措施的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应急事件发生后，未及时制定并上报有效处置方案，导致进度迟缓的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1次扣1分</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组织不合理，效率低下，人员、物资、机械设备、现场管理混乱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1次扣1-3分</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4"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其他不符合相关应急处置及指令性要求及规定的情况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1次扣1-5分</w:t>
            </w:r>
            <w:r/>
          </w:p>
        </w:tc>
      </w:tr>
    </w:tbl>
    <w:p>
      <w:pPr>
        <w:ind w:left="0" w:right="0" w:firstLine="0"/>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3、管理及内业台账</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6097"/>
        <w:gridCol w:w="1127"/>
        <w:gridCol w:w="8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未制定月度养护计划并按要求上报的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相关记录、报表等台账资料（养护、安全等）格式不规范、内容有明显错误或遗漏的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资料上报、归档不及时，未按采购人要求的时间节点报送的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每延迟1天扣1分（上限5分）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因台账资料保管不善导致损毁、丢失的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日常养护工作场所相关的安全、规程、岗位等制度未上墙的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未落实规范的用工制度、签订劳动合同、办理社会基本保险等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未按技术规程规程要求建立完善的快速处置突发事件的预案和应急机制，未按预案要求配置人员、设备、物资等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其他不符合相关管理及内业要求及规定的情况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1次扣1-5分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三、关键工作指标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8675"/>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考核项目及奖惩标准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因维护、监管、巡查、处置等不到位被市、区领导或上级主管部门发现并点名批评的，造成不良影响的，扣1万元/次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因养护工作不力导致市对区考核扣分的，扣0.5万元/分。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因全市相关创建目标工作不力影响创建成绩的扣1万元/次，因养护等工作不力造成社会重大负面影响的扣10万元/次。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纳入市、局目标考核的重点指令性任务未完成的，扣2万/项</w:t>
            </w:r>
            <w:r/>
          </w:p>
        </w:tc>
      </w:tr>
      <w:tr>
        <w:trPr>
          <w:trHeight w:val="1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安全生产事故，未造成人身伤害的，扣5万元/次，造成人身伤害的，扣10万元/次;因维护不到位造成被通报安全性事故的扣5万元/次。发生重大安全责任事故扣10万元/次。由于突发事件现场处置不当，发生衍生事故的扣10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采购人向供应商发出警告处罚及责令整改通知，扣0.1-1万元/次。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5" w:type="dxa"/>
            <w:vAlign w:val="center"/>
            <w:textDirection w:val="lrTb"/>
            <w:noWrap w:val="false"/>
          </w:tcPr>
          <w:p>
            <w:pPr>
              <w:ind w:left="0" w:right="0" w:firstLine="0"/>
              <w:spacing w:before="0" w:after="0" w:line="320" w:lineRule="atLeast"/>
              <w:tabs>
                <w:tab w:val="left" w:pos="23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存在擅自将所维护的设施出租、抵押、担保或利用其从事其他经营性行为的，发现一次扣10万元，并收缴其违规所得。</w:t>
            </w:r>
            <w:r/>
          </w:p>
        </w:tc>
      </w:tr>
    </w:tbl>
    <w:p>
      <w:pPr>
        <w:ind w:left="0" w:right="0" w:firstLine="422"/>
        <w:jc w:val="both"/>
        <w:spacing w:before="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四、其他事项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到采购人任务指令后，供应商原则上1个工作日内必须进场（客观原因或不可抗力因素除外），同时做好进场准备：包括人员准备、施工材料准备以及技术准备。非因客观原因或不可抗力推迟进场，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2、供应商项目负责人不得单方面更换，确因特殊原因需更换必须书面报告采购人，征得采购人同意后方可更换，否则采购人有权终止合同并责令供应商退场。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3、供应商作业人员在施工时应当统一着装，并按照要求采取有效的安全防护措施，同时安排专职安全人员进行安全管理和监督，以确保作业安全，未按要求作业的，将予以警告处罚并责令整改。</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4、当气象台发布黄色及以上暴雨信号或可能影响水面作业安全的灾害性天气预警时，不宜开展相关河面作业。台风、暴雨等灾害性天气及洪水过后应组织力量进行应急处置，加大养护力度，增加养护频次，及时清理垃圾等废弃物、生态浮岛浮框等。</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5、垃圾等废弃物处理：按照技术规程和国家相关规范要求，运输、处置垃圾和相关废弃物未按要求的，将予以警告处罚并责令整改。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生产：供应商做好项目范围内作业安全保障工作，建立健全各项安全工作体系，落实各项安全措施，加强作业人员安全思想教育工作，完善各类安全台账，确保养护工作安全有序进行。若发生重大安全责任事故或造成重大影响，采购人有权终止合同并责令供应商退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7、供应商在重大节日、“迎检”、“创建”等期间按要求完成采购人交办的突击性任务和指令性任务。未能及时响应完成的，将予以警告处罚并责令整改。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因作业管理不当，造成严重负面影响，或受到上级相关部门点名批评的，将予以警告处罚并责令整改；因作业管理不当，经媒体曝光、12345政务热线、网络问政、公众监督网等举报，一经查实，将予以警告处罚并责令整改。</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9、因养护、维护、操作、调度执行、水位控制不当等原因，发生人员伤亡和财产损失的，由供应商负责赔偿相关损失，且采购人有权终止合同并责令供应商退场。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10、根据每月市对区城市排水设施维护管理情况通报问题，直接兑现经费奖惩。具体参照《鼓楼区城市排水设施考核办法》第十四条第2点执行（“根据市对区城市排水设施维护管理情况通报问题，对照鼓楼区排水设施考核评分细则对应分值，结合设施的实际运行情况，管网设施按 500 元/分扣除，河道及泵站设施按 1500 元/分扣除”）。</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违反考核办法，采购人视情况可给予供应商警告处罚或责令整改通知，并根据考核项目及奖惩标准兑现处罚；除上述涉及退场条件的条款外，同类事件第二次警告处罚或责令整改，除兑现考核奖惩外，额外扣罚人民币1万元/次；同类事件累计发生三次警告处罚或责令整改，采购人有权终止合同并责令供应商退场，并取消供应商再次投标资格。</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考核周期及经费奖惩：每月专项考核一次加不定期巡查。月度考核成绩95分（含）-100分的，不扣除养护经费；90（含）-94分的，相较于95分每低1分扣除0.2万元；考核成绩小于90分的，在扣除0.2*5=1万元基础上，相较于90分每低1分扣除0.3万元。若累计有三次月考核成绩低于（不含）85分，采购人有权终止合同并责令供应商无条件退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考核扣除经费的使用：考核扣除经费可用于日常养护职责范围之外的相关备品备件购置、附属设施更新、维修改造等设施养护和提升工作。供应商按采购人要求落实，或根据日常养护实际需要，形成建议报告并报采购人同意后实施。产生费用经采购人审核后在考核扣减经费中列支，在支付合同约定的尾款第二次费用时按实核算拨付，总额不超过扣减经费总额，购置相关备品备件的，原则上应与既有设施相同规格或根据需要优化调整，不得擅自降低设备参数。</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14、采购人可根据管理需要更新、修订或制定相关管理制度，供应商应配合执行。其他未尽事宜，由双方协商解决。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附</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35" w:right="187" w:firstLine="2239"/>
        <w:spacing w:before="26" w:after="64"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资格性和符合性检查响应对照表</w:t>
      </w:r>
      <w:r/>
    </w:p>
    <w:p>
      <w:pPr>
        <w:ind w:left="535" w:right="187" w:firstLine="0"/>
        <w:jc w:val="both"/>
        <w:spacing w:before="16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3998"/>
        <w:gridCol w:w="2566"/>
        <w:gridCol w:w="1867"/>
      </w:tblGrid>
      <w:tr>
        <w:trPr>
          <w:trHeight w:val="11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36" w:firstLine="0"/>
              <w:jc w:val="center"/>
              <w:spacing w:before="1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投标文件中的页码位置</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0"/>
        <w:gridCol w:w="3526"/>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72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6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致：南京市鼓楼区水务设施综合养护中心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 </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     （按招标文件要求）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 ）投标，以本公司名义处理一切与之有关的事务。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rPr>
          <w:rFonts w:ascii="SimSun" w:hAnsi="SimSun" w:eastAsia="SimSun" w:cs="SimSun"/>
          <w:color w:val="000000"/>
          <w:sz w:val="21"/>
          <w:u w:val="single"/>
        </w:rPr>
        <w:t xml:space="preserve">  </w:t>
      </w:r>
      <w:r>
        <w:rPr>
          <w:rFonts w:ascii="SimSun" w:hAnsi="SimSun" w:eastAsia="SimSun" w:cs="SimSun"/>
          <w:color w:val="000000"/>
          <w:sz w:val="21"/>
        </w:rPr>
        <w:t xml:space="preserve"> 月 </w:t>
      </w:r>
      <w:r>
        <w:rPr>
          <w:rFonts w:ascii="SimSun" w:hAnsi="SimSun" w:eastAsia="SimSun" w:cs="SimSun"/>
          <w:color w:val="000000"/>
          <w:sz w:val="21"/>
          <w:u w:val="single"/>
        </w:rPr>
        <w:t xml:space="preserve">  </w:t>
      </w:r>
      <w:r>
        <w:rPr>
          <w:rFonts w:ascii="SimSun" w:hAnsi="SimSun" w:eastAsia="SimSun" w:cs="SimSun"/>
          <w:color w:val="000000"/>
          <w:sz w:val="21"/>
        </w:rPr>
        <w:t xml:space="preserve">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3588"/>
        <w:gridCol/>
        <w:gridCol w:w="2240"/>
        <w:gridCol w:w="266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9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66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本项目仅接受一个价格，不得填报有选择性报价方案。若有优惠条款须注明，但不得影响报价，影响产品整体功能。</w:t>
      </w:r>
      <w:r/>
    </w:p>
    <w:p>
      <w:pPr>
        <w:numPr>
          <w:ilvl w:val="0"/>
          <w:numId w:val="1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345"/>
        <w:gridCol w:w="2899"/>
        <w:gridCol w:w="991"/>
        <w:gridCol w:w="1078"/>
        <w:gridCol w:w="615"/>
        <w:gridCol w:w="615"/>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总价（元）</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1、按规范对河面常态化保洁、保证洁净无垃圾</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58253.90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1、按规范对坡岸常态化保洁，保证坡岸干净整洁等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4489.92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河道巡查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1、按规范对河道进行巡查等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Km/年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硬质驳坎保洁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1、按规范对硬质驳岸常态化保洁，保证硬质驳坎干净整洁、无裂缝等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19613.87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硬化面积保洁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1、按规范硬化地面常态化保洁</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840.92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栏杆养护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1、护栏、栏杆应定期巡查确保设施牢固可靠，不得悬挂、晾晒物品；</w:t>
              <w:br/>
              <w:t xml:space="preserve">2、发生变形、损坏，应及时修复，修复应与原结构、材质、色调协调；</w:t>
              <w:br/>
              <w:t xml:space="preserve">3、立柱及水平构件松脱，应及时紧固或更换；</w:t>
              <w:br/>
              <w:t xml:space="preserve">4、护栏表面应保持洁净，无锈蚀。</w:t>
              <w:br/>
              <w:t xml:space="preserve">5、具体要求详见招标文件采购人需求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8370.00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1、按规范定期对岸坡绿化进行修剪保养工作，以防绿化植物生长旺盛、过度蔓延</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1470.85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1、按规范定期对标警示牌进行清洁，保证标警示牌干净无破损，发现问题及时上报并处理</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1、拦污栅前的漂浮物应及时打捞；</w:t>
              <w:br/>
              <w:t xml:space="preserve">2、拦污栅松动、变形损坏或不能正常使用时，应及时修理或更换；</w:t>
              <w:br/>
              <w:t xml:space="preserve">3、拦污栅无锈蚀。</w:t>
              <w:br/>
              <w:t xml:space="preserve">4、具体要求详见招标文件采购人需求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1、定期检查闸启闭运行状况，确保启闭灵活、功能正常；</w:t>
              <w:br/>
              <w:t xml:space="preserve">2、设施主体结构完好，无缺损、脱落、塌陷、破损等现象；</w:t>
              <w:br/>
              <w:t xml:space="preserve">3、设施外观整洁，无锈蚀、无污物、无积泥、无青苔、无杂草植物附着；</w:t>
              <w:br/>
              <w:t xml:space="preserve">4、及时清理设施周边及表面杂物、垃圾，保持整体干净整洁；</w:t>
              <w:br/>
              <w:t xml:space="preserve">5、按照采购人指令性任务要求，在规定时间内完成设施调度等运行管理工作；</w:t>
              <w:br/>
              <w:t xml:space="preserve">6、严格按照相关技术规范要求，做好各类部件日常保养维护工作。</w:t>
              <w:br/>
              <w:t xml:space="preserve">7、具体要求详见招标文件采购人需求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垃圾外运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1、根据建设单位要求对范围内垃圾清理、外运，运距综合考虑</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279050.90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1、按规范定期对水生植物进行修剪保养工作，以防水生植物生长旺盛、过度蔓延，残枝败叶在水中积存、产生污染等</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220797.00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曝气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1、按规范定期对设备进行检查与维护，出现异常情况及时上报采购人</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水循环系统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1、按规范定期对设备进行检查与维护，出现异常情况及时上报采购人</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溢流坝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1、按规范定期对溢流坝进行常态化保洁</w:t>
              <w:br/>
              <w:t xml:space="preserve">2、具体要求详见招标文件采购人需求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1.</w:t>
      </w:r>
      <w:r>
        <w:rPr>
          <w:rFonts w:ascii="SimSun" w:hAnsi="SimSun" w:eastAsia="SimSun" w:cs="SimSun"/>
          <w:color w:val="000000"/>
          <w:sz w:val="21"/>
        </w:rPr>
        <w:t xml:space="preserve">此表为表样，行数可自行添加，但表式不变。</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2.</w:t>
      </w:r>
      <w:r>
        <w:rPr>
          <w:rFonts w:ascii="SimSun" w:hAnsi="SimSun" w:eastAsia="SimSun" w:cs="SimSun"/>
          <w:color w:val="000000"/>
          <w:sz w:val="21"/>
        </w:rPr>
        <w:t xml:space="preserve">总价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单价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数量，数量由供应商根据项目需求计算并填列。</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3.</w:t>
      </w:r>
      <w:r>
        <w:rPr>
          <w:rFonts w:ascii="SimSun" w:hAnsi="SimSun" w:eastAsia="SimSun" w:cs="SimSun"/>
          <w:color w:val="000000"/>
          <w:sz w:val="21"/>
        </w:rPr>
        <w:t xml:space="preserve">供应商必须保证承诺使用小、微型企业参加投标的真实性，如出现虚假响应，一经查实，将按照采购方采购有关法律法规进行处理。</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4.</w:t>
      </w:r>
      <w:r>
        <w:rPr>
          <w:rFonts w:ascii="SimSun" w:hAnsi="SimSun" w:eastAsia="SimSun" w:cs="SimSun"/>
          <w:color w:val="000000"/>
          <w:sz w:val="21"/>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6"/>
        <w:gridCol w:w="1986"/>
        <w:gridCol w:w="1920"/>
        <w:gridCol w:w="1550"/>
        <w:gridCol w:w="1599"/>
        <w:gridCol w:w="1314"/>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1397"/>
        <w:gridCol w:w="2370"/>
        <w:gridCol w:w="1365"/>
        <w:gridCol w:w="1827"/>
        <w:gridCol w:w="1351"/>
      </w:tblGrid>
      <w:tr>
        <w:trPr>
          <w:trHeight w:val="267"/>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1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说明：请投标人根据评标标准要求提供相关资料。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附件八、项目负责人一览表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011"/>
        <w:gridCol w:w="761"/>
        <w:gridCol w:w="1423"/>
        <w:gridCol w:w="653"/>
        <w:gridCol w:w="1447"/>
        <w:gridCol w:w="1496"/>
        <w:gridCol w:w="1196"/>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2、请投标人根据评标标准要求提供相关资料。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011"/>
        <w:gridCol w:w="761"/>
        <w:gridCol w:w="810"/>
        <w:gridCol w:w="1266"/>
        <w:gridCol w:w="1049"/>
        <w:gridCol w:w="962"/>
        <w:gridCol w:w="2127"/>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2、请投标人根据评标标准要求提供相关资料。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年内在经营活动中没有重大违法记录的书面声明）（格式见后附件）；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具备履行合同所必需的设备和专业技术能力的声明格式</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     （供应商名称）郑重声明：我公司具备履行本项采购合同所必需的设备和专业技术能力，为履行本项采购合同我单位具备如下主要设备和主要专业技术能力：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附件（4）：有依法缴纳税收和社会保障资金的良好记录；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附件（6）：法律、行政法规规定的其他条件。</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上传至电子文件中，未提供或者未按要求签字改造将作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附件十一、中小企业声明函（服务）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采购活动，项目的服务单位全部为符合政策要求的中小企业。相关企业（含联合体中的中小企业、签订分包意向协议的中小企业）的具体情况如下：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w:t>
      </w:r>
      <w:r>
        <w:rPr>
          <w:rFonts w:ascii="SimSun" w:hAnsi="SimSun" w:eastAsia="SimSun" w:cs="SimSun"/>
          <w:color w:val="000000"/>
          <w:sz w:val="21"/>
          <w:u w:val="single"/>
        </w:rPr>
        <w:t xml:space="preserve">（承接）</w:t>
      </w:r>
      <w:r>
        <w:rPr>
          <w:rFonts w:ascii="SimSun" w:hAnsi="SimSun" w:eastAsia="SimSun" w:cs="SimSun"/>
          <w:color w:val="000000"/>
          <w:sz w:val="21"/>
        </w:rPr>
        <w:t xml:space="preserve">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业人员 </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 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，属于（中型企业、 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3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5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附件十二、残疾人福利性单位声明函、属于监狱企业的证明文件</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附件十三、实施方案</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（各投标人根据招标文件规定的实施方案打分细则内容，格式自拟）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（各投标人根据招标文件规定的打分细则对应提供相关证明材料等，格式自拟）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22" w:hanging="480"/>
      </w:pPr>
    </w:lvl>
    <w:lvl w:ilvl="1">
      <w:start w:val="1"/>
      <w:numFmt w:val="lowerLetter"/>
      <w:isLgl w:val="false"/>
      <w:suff w:val="tab"/>
      <w:lvlText w:val="%2)"/>
      <w:lvlJc w:val="left"/>
      <w:pPr>
        <w:ind w:left="1322" w:hanging="440"/>
      </w:pPr>
    </w:lvl>
    <w:lvl w:ilvl="2">
      <w:start w:val="1"/>
      <w:numFmt w:val="decimal"/>
      <w:isLgl w:val="false"/>
      <w:suff w:val="tab"/>
      <w:lvlText w:val="%3."/>
      <w:lvlJc w:val="right"/>
      <w:pPr>
        <w:ind w:left="1762" w:hanging="440"/>
      </w:pPr>
    </w:lvl>
    <w:lvl w:ilvl="3">
      <w:start w:val="1"/>
      <w:numFmt w:val="decimal"/>
      <w:isLgl w:val="false"/>
      <w:suff w:val="tab"/>
      <w:lvlText w:val="%4."/>
      <w:lvlJc w:val="left"/>
      <w:pPr>
        <w:ind w:left="2202" w:hanging="440"/>
      </w:pPr>
    </w:lvl>
    <w:lvl w:ilvl="4">
      <w:start w:val="1"/>
      <w:numFmt w:val="lowerLetter"/>
      <w:isLgl w:val="false"/>
      <w:suff w:val="tab"/>
      <w:lvlText w:val="%5)"/>
      <w:lvlJc w:val="left"/>
      <w:pPr>
        <w:ind w:left="2642" w:hanging="440"/>
      </w:pPr>
    </w:lvl>
    <w:lvl w:ilvl="5">
      <w:start w:val="1"/>
      <w:numFmt w:val="decimal"/>
      <w:isLgl w:val="false"/>
      <w:suff w:val="tab"/>
      <w:lvlText w:val="%6."/>
      <w:lvlJc w:val="right"/>
      <w:pPr>
        <w:ind w:left="3082" w:hanging="440"/>
      </w:pPr>
    </w:lvl>
    <w:lvl w:ilvl="6">
      <w:start w:val="1"/>
      <w:numFmt w:val="decimal"/>
      <w:isLgl w:val="false"/>
      <w:suff w:val="tab"/>
      <w:lvlText w:val="%7."/>
      <w:lvlJc w:val="left"/>
      <w:pPr>
        <w:ind w:left="3522" w:hanging="440"/>
      </w:pPr>
    </w:lvl>
    <w:lvl w:ilvl="7">
      <w:start w:val="1"/>
      <w:numFmt w:val="lowerLetter"/>
      <w:isLgl w:val="false"/>
      <w:suff w:val="tab"/>
      <w:lvlText w:val="%8)"/>
      <w:lvlJc w:val="left"/>
      <w:pPr>
        <w:ind w:left="3962" w:hanging="440"/>
      </w:pPr>
    </w:lvl>
    <w:lvl w:ilvl="8">
      <w:start w:val="1"/>
      <w:numFmt w:val="decimal"/>
      <w:isLgl w:val="false"/>
      <w:suff w:val="tab"/>
      <w:lvlText w:val="%9."/>
      <w:lvlJc w:val="right"/>
      <w:pPr>
        <w:ind w:left="4402" w:hanging="440"/>
      </w:pPr>
    </w:lvl>
  </w:abstractNum>
  <w:abstractNum w:abstractNumId="9">
    <w:multiLevelType w:val="hybridMultilevel"/>
    <w:lvl w:ilvl="0">
      <w:start w:val="2"/>
      <w:numFmt w:val="decimal"/>
      <w:isLgl w:val="false"/>
      <w:suff w:val="tab"/>
      <w:lvlText w:val="%1、"/>
      <w:lvlJc w:val="left"/>
      <w:pPr>
        <w:ind w:left="922" w:hanging="480"/>
      </w:pPr>
    </w:lvl>
    <w:lvl w:ilvl="1">
      <w:start w:val="1"/>
      <w:numFmt w:val="lowerLetter"/>
      <w:isLgl w:val="false"/>
      <w:suff w:val="tab"/>
      <w:lvlText w:val="%2)"/>
      <w:lvlJc w:val="left"/>
      <w:pPr>
        <w:ind w:left="1322" w:hanging="440"/>
      </w:pPr>
    </w:lvl>
    <w:lvl w:ilvl="2">
      <w:start w:val="1"/>
      <w:numFmt w:val="decimal"/>
      <w:isLgl w:val="false"/>
      <w:suff w:val="tab"/>
      <w:lvlText w:val="%3."/>
      <w:lvlJc w:val="right"/>
      <w:pPr>
        <w:ind w:left="1762" w:hanging="440"/>
      </w:pPr>
    </w:lvl>
    <w:lvl w:ilvl="3">
      <w:start w:val="1"/>
      <w:numFmt w:val="decimal"/>
      <w:isLgl w:val="false"/>
      <w:suff w:val="tab"/>
      <w:lvlText w:val="%4."/>
      <w:lvlJc w:val="left"/>
      <w:pPr>
        <w:ind w:left="2202" w:hanging="440"/>
      </w:pPr>
    </w:lvl>
    <w:lvl w:ilvl="4">
      <w:start w:val="1"/>
      <w:numFmt w:val="lowerLetter"/>
      <w:isLgl w:val="false"/>
      <w:suff w:val="tab"/>
      <w:lvlText w:val="%5)"/>
      <w:lvlJc w:val="left"/>
      <w:pPr>
        <w:ind w:left="2642" w:hanging="440"/>
      </w:pPr>
    </w:lvl>
    <w:lvl w:ilvl="5">
      <w:start w:val="1"/>
      <w:numFmt w:val="decimal"/>
      <w:isLgl w:val="false"/>
      <w:suff w:val="tab"/>
      <w:lvlText w:val="%6."/>
      <w:lvlJc w:val="right"/>
      <w:pPr>
        <w:ind w:left="3082" w:hanging="440"/>
      </w:pPr>
    </w:lvl>
    <w:lvl w:ilvl="6">
      <w:start w:val="1"/>
      <w:numFmt w:val="decimal"/>
      <w:isLgl w:val="false"/>
      <w:suff w:val="tab"/>
      <w:lvlText w:val="%7."/>
      <w:lvlJc w:val="left"/>
      <w:pPr>
        <w:ind w:left="3522" w:hanging="440"/>
      </w:pPr>
    </w:lvl>
    <w:lvl w:ilvl="7">
      <w:start w:val="1"/>
      <w:numFmt w:val="lowerLetter"/>
      <w:isLgl w:val="false"/>
      <w:suff w:val="tab"/>
      <w:lvlText w:val="%8)"/>
      <w:lvlJc w:val="left"/>
      <w:pPr>
        <w:ind w:left="3962" w:hanging="440"/>
      </w:pPr>
    </w:lvl>
    <w:lvl w:ilvl="8">
      <w:start w:val="1"/>
      <w:numFmt w:val="decimal"/>
      <w:isLgl w:val="false"/>
      <w:suff w:val="tab"/>
      <w:lvlText w:val="%9."/>
      <w:lvlJc w:val="right"/>
      <w:pPr>
        <w:ind w:left="4402" w:hanging="44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曹雪（南京江城）</cp:lastModifiedBy>
  <cp:revision>2</cp:revision>
  <dcterms:created xsi:type="dcterms:W3CDTF">2026-07-13T06:19:44Z</dcterms:created>
  <dcterms:modified xsi:type="dcterms:W3CDTF">2026-07-13T07:10:16Z</dcterms:modified>
</cp:coreProperties>
</file>