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bookmarkStart w:id="217" w:name="_GoBack"/>
      <w:r/>
      <w:bookmarkEnd w:id="217"/>
      <w:r/>
      <w:r/>
    </w:p>
    <w:p>
      <w:pPr>
        <w:pStyle w:val="932"/>
        <w:rPr>
          <w:color w:val="auto"/>
          <w:highlight w:val="none"/>
        </w:rPr>
      </w:pPr>
      <w:r>
        <w:rPr>
          <w:color w:val="auto"/>
          <w:highlight w:val="none"/>
        </w:rPr>
      </w:r>
      <w:r/>
    </w:p>
    <w:p>
      <w:pPr>
        <w:pStyle w:val="943"/>
        <w:jc w:val="center"/>
        <w:rPr>
          <w:rFonts w:eastAsia="黑体"/>
          <w:b/>
          <w:bCs/>
          <w:color w:val="auto"/>
          <w:sz w:val="84"/>
          <w:highlight w:val="none"/>
        </w:rPr>
      </w:pPr>
      <w:r>
        <w:rPr>
          <w:rFonts w:hint="eastAsia" w:eastAsia="黑体"/>
          <w:b/>
          <w:bCs/>
          <w:color w:val="auto"/>
          <w:sz w:val="84"/>
          <w:highlight w:val="none"/>
        </w:rPr>
        <w:t xml:space="preserve">招　标　文　件</w:t>
      </w:r>
      <w:r/>
    </w:p>
    <w:p>
      <w:pPr>
        <w:ind w:left="2997" w:hanging="1506"/>
        <w:spacing w:line="360" w:lineRule="auto"/>
        <w:rPr>
          <w:b/>
          <w:color w:val="auto"/>
          <w:sz w:val="30"/>
          <w:szCs w:val="30"/>
          <w:highlight w:val="none"/>
          <w:u w:val="single"/>
        </w:rPr>
      </w:pPr>
      <w:r>
        <w:rPr>
          <w:rFonts w:hint="eastAsia"/>
          <w:b/>
          <w:color w:val="auto"/>
          <w:sz w:val="30"/>
          <w:szCs w:val="30"/>
          <w:highlight w:val="none"/>
        </w:rPr>
        <w:t xml:space="preserve">项目名称：南京一中浦口分校等学校信息化等设备采购项目</w:t>
      </w:r>
      <w:r/>
    </w:p>
    <w:p>
      <w:pPr>
        <w:ind w:firstLine="1506"/>
        <w:rPr>
          <w:b/>
          <w:color w:val="auto"/>
          <w:sz w:val="30"/>
          <w:szCs w:val="30"/>
          <w:highlight w:val="none"/>
        </w:rPr>
        <w:outlineLvl w:val="0"/>
      </w:pPr>
      <w:r>
        <w:rPr>
          <w:rFonts w:hint="eastAsia"/>
          <w:b/>
          <w:color w:val="auto"/>
          <w:sz w:val="30"/>
          <w:szCs w:val="30"/>
          <w:highlight w:val="none"/>
        </w:rPr>
        <w:t xml:space="preserve">项目编号：</w:t>
      </w:r>
      <w:r>
        <w:rPr>
          <w:b/>
          <w:color w:val="auto"/>
          <w:sz w:val="32"/>
          <w:szCs w:val="32"/>
          <w:highlight w:val="none"/>
        </w:rPr>
        <w:t xml:space="preserve">JSZC-320111-JZCG-G2026-0034</w:t>
      </w:r>
      <w:r>
        <w:rPr>
          <w:rFonts w:hint="eastAsia"/>
          <w:b/>
          <w:color w:val="auto"/>
          <w:sz w:val="30"/>
          <w:szCs w:val="30"/>
          <w:highlight w:val="none"/>
        </w:rPr>
        <w:t xml:space="preserve">              </w:t>
      </w:r>
      <w:r/>
    </w:p>
    <w:p>
      <w:pPr>
        <w:jc w:val="center"/>
        <w:rPr>
          <w:b/>
          <w:color w:val="auto"/>
          <w:sz w:val="30"/>
          <w:szCs w:val="30"/>
          <w:highlight w:val="none"/>
        </w:rPr>
      </w:pPr>
      <w:r>
        <w:rPr>
          <w:rFonts w:hint="eastAsia"/>
          <w:b/>
          <w:color w:val="auto"/>
          <w:sz w:val="30"/>
          <w:szCs w:val="30"/>
          <w:highlight w:val="none"/>
        </w:rPr>
        <w:t xml:space="preserve">       （</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711"/>
        <w:rPr>
          <w:rFonts w:hint="eastAsia"/>
          <w:color w:val="auto"/>
          <w:sz w:val="24"/>
          <w:szCs w:val="24"/>
          <w:highlight w:val="none"/>
          <w:lang w:eastAsia="zh-CN"/>
        </w:rPr>
      </w:pPr>
      <w:r>
        <w:rPr>
          <w:rFonts w:hint="eastAsia"/>
          <w:color w:val="auto"/>
          <w:sz w:val="24"/>
          <w:szCs w:val="24"/>
          <w:highlight w:val="none"/>
          <w:lang w:eastAsia="zh-CN"/>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11"/>
        <w:rPr>
          <w:rFonts w:hint="eastAsia"/>
          <w:color w:val="auto"/>
          <w:sz w:val="24"/>
          <w:szCs w:val="24"/>
          <w:highlight w:val="none"/>
          <w:lang w:eastAsia="zh-CN"/>
        </w:rPr>
      </w:pPr>
      <w:r>
        <w:rPr>
          <w:rFonts w:hint="eastAsia"/>
          <w:color w:val="auto"/>
          <w:sz w:val="24"/>
          <w:szCs w:val="24"/>
          <w:highlight w:val="none"/>
          <w:lang w:eastAsia="zh-CN"/>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11"/>
        <w:rPr>
          <w:rFonts w:hint="eastAsia"/>
          <w:color w:val="auto"/>
          <w:sz w:val="24"/>
          <w:szCs w:val="24"/>
          <w:highlight w:val="none"/>
          <w:lang w:eastAsia="zh-CN"/>
        </w:rPr>
      </w:pPr>
      <w:r>
        <w:rPr>
          <w:rFonts w:hint="eastAsia"/>
          <w:color w:val="auto"/>
          <w:sz w:val="24"/>
          <w:szCs w:val="24"/>
          <w:highlight w:val="none"/>
          <w:lang w:eastAsia="zh-CN"/>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11"/>
        <w:rPr>
          <w:rFonts w:hint="eastAsia"/>
          <w:color w:val="auto"/>
          <w:highlight w:val="none"/>
          <w:lang w:eastAsia="zh-CN"/>
        </w:rPr>
      </w:pPr>
      <w:r>
        <w:rPr>
          <w:rFonts w:hint="eastAsia"/>
          <w:color w:val="auto"/>
          <w:highlight w:val="none"/>
          <w:lang w:eastAsia="zh-CN"/>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43"/>
        <w:ind w:firstLine="0"/>
        <w:jc w:val="center"/>
        <w:rPr>
          <w:b/>
          <w:bCs/>
          <w:color w:val="auto"/>
          <w:sz w:val="32"/>
          <w:highlight w:val="none"/>
        </w:rPr>
      </w:pPr>
      <w:r>
        <w:rPr>
          <w:rFonts w:hint="eastAsia"/>
          <w:b/>
          <w:bCs/>
          <w:color w:val="auto"/>
          <w:sz w:val="32"/>
          <w:highlight w:val="none"/>
        </w:rPr>
        <w:t xml:space="preserve">南京市公共资源交易中心浦口分中心</w:t>
      </w:r>
      <w:r/>
    </w:p>
    <w:p>
      <w:pPr>
        <w:jc w:val="center"/>
        <w:rPr>
          <w:b/>
          <w:color w:val="auto"/>
          <w:sz w:val="32"/>
          <w:szCs w:val="32"/>
          <w:highlight w:val="none"/>
        </w:rPr>
      </w:pPr>
      <w:r>
        <w:rPr>
          <w:rFonts w:hint="eastAsia"/>
          <w:b/>
          <w:color w:val="auto"/>
          <w:sz w:val="32"/>
          <w:szCs w:val="32"/>
          <w:highlight w:val="none"/>
        </w:rPr>
        <w:t xml:space="preserve">2026年6月</w:t>
      </w:r>
      <w:r/>
    </w:p>
    <w:p>
      <w:pPr>
        <w:jc w:val="left"/>
        <w:spacing w:before="120" w:after="120" w:line="360" w:lineRule="auto"/>
        <w:rPr>
          <w:rFonts w:ascii="Arial" w:hAnsi="Arial"/>
          <w:color w:val="auto"/>
          <w:sz w:val="24"/>
          <w:szCs w:val="24"/>
          <w:highlight w:val="none"/>
          <w:u w:val="single"/>
        </w:rPr>
      </w:pPr>
      <w:r>
        <w:rPr>
          <w:rFonts w:ascii="Arial" w:hAnsi="Arial"/>
          <w:color w:val="auto"/>
          <w:sz w:val="24"/>
          <w:szCs w:val="24"/>
          <w:highlight w:val="none"/>
          <w:u w:val="single"/>
        </w:rPr>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jc w:val="center"/>
        <w:spacing w:line="480" w:lineRule="auto"/>
        <w:rPr>
          <w:rFonts w:ascii="黑体" w:hAnsi="Arial" w:eastAsia="黑体"/>
          <w:b/>
          <w:color w:val="auto"/>
          <w:sz w:val="44"/>
          <w:szCs w:val="21"/>
          <w:highlight w:val="none"/>
        </w:rPr>
        <w:outlineLvl w:val="0"/>
      </w:pPr>
      <w:r>
        <w:rPr>
          <w:color w:val="auto"/>
          <w:szCs w:val="21"/>
          <w:highlight w:val="none"/>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投标邀请…………………………………… 3</w:t>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投标人须知………………………………… 5</w:t>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合同文本……………………………………14</w:t>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采购需求……………………………………18</w:t>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评标方法与评标标准………………………80</w:t>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投标文件格式………………………………84</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 xml:space="preserve">投标邀请</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受南京市浦口区教育局的委托，南京市公共资源交易中心浦口分中心就南京一中浦口分校等学校信息化等设备采购项目进行公开招标采购，欢迎符合条件的供应商投标。</w:t>
      </w:r>
      <w:r/>
    </w:p>
    <w:p>
      <w:pPr>
        <w:pStyle w:val="659"/>
        <w:ind w:firstLine="465"/>
        <w:spacing w:before="145" w:after="145" w:line="264" w:lineRule="auto"/>
        <w:rPr>
          <w:rFonts w:ascii="方正黑体_GBK" w:hAnsi="方正黑体_GBK" w:eastAsia="方正黑体_GBK" w:cs="方正黑体_GBK"/>
          <w:b w:val="0"/>
          <w:bCs w:val="0"/>
          <w:color w:val="auto"/>
          <w:sz w:val="30"/>
          <w:szCs w:val="30"/>
          <w:highlight w:val="none"/>
        </w:rPr>
      </w:pPr>
      <w:r/>
      <w:bookmarkStart w:id="6" w:name="_Hlk24379207"/>
      <w:r/>
      <w:bookmarkStart w:id="7" w:name="_Toc38985263"/>
      <w:r/>
      <w:bookmarkStart w:id="8" w:name="_Toc35393621"/>
      <w:r/>
      <w:bookmarkStart w:id="9" w:name="_Toc28359079"/>
      <w:r/>
      <w:bookmarkStart w:id="10" w:name="_Toc35393790"/>
      <w:r/>
      <w:bookmarkStart w:id="11" w:name="_Toc28359002"/>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1.项目编号：</w:t>
      </w:r>
      <w:r>
        <w:rPr>
          <w:rFonts w:ascii="宋体" w:hAnsi="宋体"/>
          <w:color w:val="auto"/>
          <w:sz w:val="24"/>
          <w:szCs w:val="24"/>
          <w:highlight w:val="none"/>
        </w:rPr>
        <w:t xml:space="preserve">JSZC-320111-JZCG-G2026-0034</w:t>
      </w:r>
      <w:r/>
    </w:p>
    <w:p>
      <w:pPr>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 xml:space="preserve">2.项目名称：南京一中浦口分校等学校信息化等设备采购项目</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3.预算金额：250万</w:t>
      </w:r>
      <w:r>
        <w:rPr>
          <w:rFonts w:hint="eastAsia" w:ascii="宋体" w:hAnsi="宋体"/>
          <w:color w:val="auto"/>
          <w:sz w:val="24"/>
          <w:szCs w:val="24"/>
          <w:highlight w:val="none"/>
        </w:rPr>
        <w:t xml:space="preserve">元</w:t>
      </w:r>
      <w:r/>
    </w:p>
    <w:p>
      <w:pPr>
        <w:ind w:firstLine="480"/>
        <w:jc w:val="lef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4.本项目</w:t>
      </w:r>
      <w:r>
        <w:rPr>
          <w:rFonts w:hint="eastAsia" w:ascii="宋体" w:hAnsi="宋体"/>
          <w:bCs/>
          <w:color w:val="auto"/>
          <w:sz w:val="24"/>
          <w:szCs w:val="24"/>
          <w:highlight w:val="none"/>
          <w:u w:val="single"/>
        </w:rPr>
        <w:t xml:space="preserve"> 设定 </w:t>
      </w:r>
      <w:r>
        <w:rPr>
          <w:rFonts w:hint="eastAsia" w:ascii="宋体" w:hAnsi="宋体"/>
          <w:color w:val="auto"/>
          <w:sz w:val="24"/>
          <w:szCs w:val="24"/>
          <w:highlight w:val="none"/>
        </w:rPr>
        <w:t xml:space="preserve">最高限价为 250万</w:t>
      </w:r>
      <w:r>
        <w:rPr>
          <w:rFonts w:hint="eastAsia" w:ascii="宋体" w:hAnsi="宋体"/>
          <w:color w:val="auto"/>
          <w:sz w:val="24"/>
          <w:szCs w:val="24"/>
          <w:highlight w:val="none"/>
        </w:rPr>
        <w:t xml:space="preserve">元</w:t>
      </w:r>
      <w:r>
        <w:rPr>
          <w:rFonts w:hint="eastAsia" w:ascii="宋体" w:hAnsi="宋体"/>
          <w:color w:val="auto"/>
          <w:sz w:val="24"/>
          <w:szCs w:val="24"/>
          <w:highlight w:val="none"/>
        </w:rPr>
        <w:t xml:space="preserve">。</w:t>
      </w:r>
      <w:r/>
    </w:p>
    <w:p>
      <w:pPr>
        <w:ind w:firstLine="480"/>
        <w:spacing w:line="264"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5.采购需求（简介）：根据学校教育教学需求，配置教学终端、录播设备、多媒体设备等信息化设备。（详细内容</w:t>
      </w:r>
      <w:r>
        <w:rPr>
          <w:rFonts w:hint="eastAsia" w:ascii="宋体" w:hAnsi="宋体" w:cs="宋体"/>
          <w:color w:val="auto"/>
          <w:sz w:val="24"/>
          <w:szCs w:val="24"/>
          <w:highlight w:val="none"/>
        </w:rPr>
        <w:t xml:space="preserve">见本招标文件第四章）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6.合同履行期限：1140天（备注：交货期为合同签订后45天内，质保期为1095天。）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合同签订后45日内交付，自验收报告签字确认日起开始进入质保期。</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7.本项目不接受进口产品投标。</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8.本项目不接受联合体投标。</w:t>
      </w:r>
      <w:r/>
    </w:p>
    <w:p>
      <w:pPr>
        <w:pStyle w:val="659"/>
        <w:ind w:firstLine="465"/>
        <w:spacing w:before="145" w:after="145" w:line="264" w:lineRule="auto"/>
        <w:rPr>
          <w:rFonts w:ascii="方正黑体_GBK" w:hAnsi="方正黑体_GBK" w:eastAsia="方正黑体_GBK" w:cs="方正黑体_GBK"/>
          <w:b w:val="0"/>
          <w:bCs w:val="0"/>
          <w:color w:val="auto"/>
          <w:sz w:val="30"/>
          <w:szCs w:val="30"/>
          <w:highlight w:val="none"/>
        </w:rPr>
      </w:pPr>
      <w:r/>
      <w:bookmarkStart w:id="12" w:name="_Toc35393622"/>
      <w:r/>
      <w:bookmarkStart w:id="13" w:name="_Toc28359080"/>
      <w:r/>
      <w:bookmarkStart w:id="14" w:name="_Toc35393791"/>
      <w:r/>
      <w:bookmarkStart w:id="15" w:name="_Toc28359003"/>
      <w:r/>
      <w:bookmarkStart w:id="16" w:name="_Toc38985264"/>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color w:val="auto"/>
          <w:sz w:val="24"/>
          <w:szCs w:val="24"/>
          <w:highlight w:val="none"/>
        </w:rPr>
      </w:pPr>
      <w:r/>
      <w:bookmarkStart w:id="17" w:name="_Toc38985265"/>
      <w:r/>
      <w:bookmarkStart w:id="18" w:name="_Toc35393792"/>
      <w:r/>
      <w:bookmarkStart w:id="19" w:name="_Toc28359004"/>
      <w:r/>
      <w:bookmarkStart w:id="20" w:name="_Toc28359081"/>
      <w:r/>
      <w:bookmarkStart w:id="21" w:name="_Toc35393623"/>
      <w:r>
        <w:rPr>
          <w:rFonts w:hint="eastAsia" w:ascii="宋体" w:hAnsi="宋体" w:cs="宋体"/>
          <w:color w:val="auto"/>
          <w:sz w:val="24"/>
          <w:szCs w:val="24"/>
          <w:highlight w:val="none"/>
        </w:rPr>
        <w:t xml:space="preserve">（一）通用资格要求</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w:t>
      </w:r>
      <w:bookmarkStart w:id="22" w:name="OLE_LINK45"/>
      <w:r>
        <w:rPr>
          <w:rFonts w:hint="eastAsia" w:ascii="宋体" w:hAnsi="宋体"/>
          <w:color w:val="auto"/>
          <w:sz w:val="24"/>
          <w:szCs w:val="24"/>
          <w:highlight w:val="none"/>
          <w:lang w:val="zh-CN"/>
        </w:rPr>
        <w:t xml:space="preserve">供应商信用承诺函（格式见第六章）</w:t>
      </w:r>
      <w:bookmarkEnd w:id="22"/>
      <w:r>
        <w:rPr>
          <w:rFonts w:hint="eastAsia" w:ascii="宋体" w:hAnsi="宋体"/>
          <w:color w:val="auto"/>
          <w:sz w:val="24"/>
          <w:szCs w:val="24"/>
          <w:highlight w:val="none"/>
          <w:lang w:val="zh-CN"/>
        </w:rPr>
        <w:t xml:space="preserve">。</w:t>
      </w:r>
      <w:r/>
    </w:p>
    <w:p>
      <w:pPr>
        <w:ind w:firstLine="480"/>
        <w:spacing w:line="264" w:lineRule="auto"/>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本项目不专门面向中小微企业采购，执行价格扣除优惠政策</w:t>
      </w:r>
      <w:r>
        <w:rPr>
          <w:rFonts w:hint="eastAsia" w:ascii="宋体" w:hAnsi="宋体" w:cs="宋体"/>
          <w:color w:val="auto"/>
          <w:sz w:val="24"/>
          <w:szCs w:val="24"/>
          <w:highlight w:val="none"/>
          <w:lang w:val="zh-CN"/>
        </w:rPr>
        <w:t xml:space="preserve">。提供《</w:t>
      </w:r>
      <w:r>
        <w:rPr>
          <w:rFonts w:hint="eastAsia" w:ascii="宋体" w:hAnsi="宋体" w:cs="宋体"/>
          <w:color w:val="auto"/>
          <w:sz w:val="24"/>
          <w:szCs w:val="24"/>
          <w:highlight w:val="none"/>
        </w:rPr>
        <w:t xml:space="preserve">中</w:t>
      </w:r>
      <w:r>
        <w:rPr>
          <w:rFonts w:hint="eastAsia" w:ascii="宋体" w:hAnsi="宋体" w:cs="宋体"/>
          <w:color w:val="auto"/>
          <w:sz w:val="24"/>
          <w:szCs w:val="24"/>
          <w:highlight w:val="none"/>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本项目采购标的对应的中小企业划分标准所属行业为：</w:t>
      </w:r>
      <w:r>
        <w:rPr>
          <w:rFonts w:hint="eastAsia" w:ascii="宋体" w:hAnsi="宋体"/>
          <w:color w:val="auto"/>
          <w:sz w:val="24"/>
          <w:szCs w:val="24"/>
          <w:highlight w:val="none"/>
        </w:rPr>
        <w:t xml:space="preserve">工</w:t>
      </w:r>
      <w:r>
        <w:rPr>
          <w:rFonts w:hint="eastAsia" w:ascii="宋体" w:hAnsi="宋体"/>
          <w:color w:val="auto"/>
          <w:sz w:val="24"/>
          <w:szCs w:val="24"/>
          <w:highlight w:val="none"/>
          <w:lang w:val="zh-CN"/>
        </w:rPr>
        <w:t xml:space="preserve">业。</w:t>
      </w:r>
      <w:r>
        <w:rPr>
          <w:rFonts w:hint="eastAsia" w:ascii="宋体" w:hAnsi="宋体"/>
          <w:color w:val="auto"/>
          <w:sz w:val="24"/>
          <w:szCs w:val="24"/>
          <w:highlight w:val="none"/>
        </w:rPr>
        <w:t xml:space="preserve">根据《中小企业划型标准规定》（工信部联企业</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2011</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（二）本项目特定资格要求：</w:t>
      </w:r>
      <w:r>
        <w:rPr>
          <w:rFonts w:hint="eastAsia" w:ascii="宋体" w:hAnsi="宋体"/>
          <w:color w:val="auto"/>
          <w:sz w:val="24"/>
          <w:szCs w:val="24"/>
          <w:highlight w:val="none"/>
        </w:rPr>
        <w:t xml:space="preserve">无</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（三）拒绝下述供应商参加本次采购活动</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3.供应商被“信用中国”网站（www.creditchina.gov.cn）列入失信被执行人、重大税收违法案件当事人名单、政府采购严重违法失信行为记录名单。</w:t>
      </w:r>
      <w:r/>
    </w:p>
    <w:p>
      <w:pPr>
        <w:pStyle w:val="659"/>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bookmarkEnd w:id="18"/>
      <w:r/>
      <w:bookmarkEnd w:id="19"/>
      <w:r/>
      <w:bookmarkEnd w:id="20"/>
      <w:r/>
      <w:bookmarkEnd w:id="21"/>
      <w:r/>
      <w:r/>
    </w:p>
    <w:p>
      <w:pPr>
        <w:ind w:firstLine="480"/>
        <w:spacing w:line="264" w:lineRule="auto"/>
        <w:rPr>
          <w:rFonts w:hint="eastAsia" w:ascii="宋体" w:hAnsi="宋体" w:cs="宋体"/>
          <w:color w:val="auto"/>
          <w:sz w:val="24"/>
          <w:szCs w:val="24"/>
          <w:highlight w:val="none"/>
        </w:rPr>
      </w:pPr>
      <w:r/>
      <w:bookmarkStart w:id="23" w:name="_Toc28359082"/>
      <w:r/>
      <w:bookmarkStart w:id="24" w:name="_Toc28359005"/>
      <w:r/>
      <w:bookmarkStart w:id="25" w:name="_Toc35393793"/>
      <w:r/>
      <w:bookmarkStart w:id="26" w:name="_Toc38985266"/>
      <w:r/>
      <w:bookmarkStart w:id="27" w:name="_Toc35393624"/>
      <w:r>
        <w:rPr>
          <w:rFonts w:hint="eastAsia" w:ascii="宋体" w:hAnsi="宋体" w:cs="宋体"/>
          <w:color w:val="auto"/>
          <w:sz w:val="24"/>
          <w:szCs w:val="24"/>
          <w:highlight w:val="none"/>
        </w:rPr>
        <w:t xml:space="preserve">1.时间：自招标文件公告发布之日起。</w:t>
      </w:r>
      <w:r/>
    </w:p>
    <w:p>
      <w:pPr>
        <w:ind w:firstLine="480"/>
        <w:spacing w:line="264"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659"/>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5"/>
      <w:r/>
      <w:bookmarkEnd w:id="26"/>
      <w:r/>
      <w:bookmarkEnd w:id="27"/>
      <w:r/>
      <w:r/>
    </w:p>
    <w:p>
      <w:pPr>
        <w:ind w:firstLine="480"/>
        <w:rPr>
          <w:rFonts w:hint="eastAsia" w:ascii="宋体" w:hAnsi="宋体"/>
          <w:bCs/>
          <w:color w:val="auto"/>
          <w:sz w:val="24"/>
          <w:szCs w:val="24"/>
          <w:highlight w:val="none"/>
          <w:u w:val="single"/>
        </w:rPr>
      </w:pPr>
      <w:r/>
      <w:bookmarkStart w:id="28" w:name="_Toc35393625"/>
      <w:r/>
      <w:bookmarkStart w:id="29" w:name="_Toc35393794"/>
      <w:r/>
      <w:bookmarkStart w:id="30" w:name="_Toc28359007"/>
      <w:r/>
      <w:bookmarkStart w:id="31" w:name="_Toc28359084"/>
      <w:r/>
      <w:bookmarkStart w:id="32" w:name="_Toc38985267"/>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rPr>
        <w:t xml:space="preserve">6</w:t>
      </w:r>
      <w:r>
        <w:rPr>
          <w:rFonts w:hint="eastAsia" w:ascii="宋体" w:hAnsi="宋体"/>
          <w:bCs/>
          <w:color w:val="auto"/>
          <w:sz w:val="24"/>
          <w:szCs w:val="24"/>
          <w:highlight w:val="none"/>
        </w:rPr>
        <w:t xml:space="preserve">月</w:t>
      </w:r>
      <w:r>
        <w:rPr>
          <w:rFonts w:hint="eastAsia" w:ascii="宋体" w:hAnsi="宋体" w:cs="宋体"/>
          <w:color w:val="auto"/>
          <w:sz w:val="24"/>
          <w:szCs w:val="24"/>
          <w:highlight w:val="none"/>
        </w:rPr>
        <w:t xml:space="preserve">26</w:t>
      </w:r>
      <w:r>
        <w:rPr>
          <w:rFonts w:hint="eastAsia" w:ascii="宋体" w:hAnsi="宋体"/>
          <w:bCs/>
          <w:color w:val="auto"/>
          <w:sz w:val="24"/>
          <w:szCs w:val="24"/>
          <w:highlight w:val="none"/>
        </w:rPr>
        <w:t xml:space="preserve">日</w:t>
      </w:r>
      <w:r>
        <w:rPr>
          <w:rFonts w:hint="eastAsia" w:ascii="宋体" w:hAnsi="宋体" w:cs="宋体"/>
          <w:color w:val="auto"/>
          <w:sz w:val="24"/>
          <w:szCs w:val="24"/>
          <w:highlight w:val="none"/>
        </w:rPr>
        <w:t xml:space="preserve">09</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30</w:t>
      </w:r>
      <w:r>
        <w:rPr>
          <w:rFonts w:hint="eastAsia" w:ascii="宋体" w:hAnsi="宋体"/>
          <w:bCs/>
          <w:color w:val="auto"/>
          <w:sz w:val="24"/>
          <w:szCs w:val="24"/>
          <w:highlight w:val="none"/>
        </w:rPr>
        <w:t xml:space="preserve">分（北京时间）。</w:t>
      </w:r>
      <w:r/>
    </w:p>
    <w:p>
      <w:pPr>
        <w:pStyle w:val="659"/>
        <w:ind w:left="479" w:firstLine="50"/>
        <w:spacing w:before="145" w:after="145" w:line="264" w:lineRule="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 xml:space="preserve">2.地点：</w:t>
      </w:r>
      <w:r>
        <w:rPr>
          <w:rFonts w:hint="eastAsia" w:ascii="宋体" w:hAnsi="宋体" w:cs="宋体"/>
          <w:b w:val="0"/>
          <w:bCs w:val="0"/>
          <w:color w:val="auto"/>
          <w:sz w:val="24"/>
          <w:szCs w:val="24"/>
          <w:highlight w:val="none"/>
        </w:rPr>
        <w:t xml:space="preserve">江苏省政府采购交易系统（以下简称“苏采云系统”）网上开标大厅。</w:t>
      </w:r>
      <w:r/>
    </w:p>
    <w:p>
      <w:pPr>
        <w:pStyle w:val="659"/>
        <w:ind w:left="479" w:firstLine="63"/>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8"/>
      <w:r/>
      <w:bookmarkEnd w:id="29"/>
      <w:r/>
      <w:bookmarkEnd w:id="30"/>
      <w:r/>
      <w:bookmarkEnd w:id="31"/>
      <w:r/>
      <w:bookmarkEnd w:id="32"/>
      <w:r/>
      <w:r/>
    </w:p>
    <w:p>
      <w:pPr>
        <w:ind w:firstLine="480"/>
        <w:spacing w:line="264" w:lineRule="auto"/>
        <w:rPr>
          <w:rFonts w:hint="eastAsia" w:ascii="宋体" w:hAnsi="宋体" w:cs="宋体"/>
          <w:color w:val="auto"/>
          <w:sz w:val="24"/>
          <w:szCs w:val="24"/>
          <w:highlight w:val="none"/>
        </w:rPr>
      </w:pPr>
      <w:r/>
      <w:bookmarkStart w:id="33" w:name="_Toc35393626"/>
      <w:r/>
      <w:bookmarkStart w:id="34" w:name="_Toc35393795"/>
      <w:r/>
      <w:bookmarkStart w:id="35" w:name="_Toc38985268"/>
      <w:r>
        <w:rPr>
          <w:rFonts w:hint="eastAsia" w:ascii="宋体" w:hAnsi="宋体" w:cs="宋体"/>
          <w:color w:val="auto"/>
          <w:sz w:val="24"/>
          <w:szCs w:val="24"/>
          <w:highlight w:val="none"/>
        </w:rPr>
        <w:t xml:space="preserve">公告期限为自本公告发布之日起5个工作日。</w:t>
      </w:r>
      <w:r/>
    </w:p>
    <w:p>
      <w:pPr>
        <w:pStyle w:val="659"/>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3"/>
      <w:r/>
      <w:bookmarkEnd w:id="34"/>
      <w:r/>
      <w:bookmarkEnd w:id="35"/>
      <w:r/>
      <w:r/>
    </w:p>
    <w:p>
      <w:pPr>
        <w:ind w:firstLine="480"/>
        <w:spacing w:line="264" w:lineRule="auto"/>
        <w:tabs>
          <w:tab w:val="left" w:pos="900" w:leader="none"/>
        </w:tabs>
        <w:rPr>
          <w:rFonts w:hint="eastAsia" w:ascii="宋体" w:hAnsi="宋体"/>
          <w:bCs/>
          <w:color w:val="auto"/>
          <w:sz w:val="24"/>
          <w:szCs w:val="24"/>
          <w:highlight w:val="none"/>
        </w:rPr>
      </w:pPr>
      <w:r/>
      <w:bookmarkStart w:id="36" w:name="_Toc28359008"/>
      <w:r/>
      <w:bookmarkStart w:id="37" w:name="_Toc35393627"/>
      <w:r/>
      <w:bookmarkStart w:id="38" w:name="_Toc38985269"/>
      <w:r/>
      <w:bookmarkStart w:id="39" w:name="_Toc28359085"/>
      <w:r/>
      <w:bookmarkStart w:id="40" w:name="_Toc35393796"/>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64"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2.本次项目不组织勘察现场。</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931"/>
          <w:rFonts w:hint="eastAsia" w:ascii="宋体" w:hAnsi="宋体" w:cs="宋体"/>
          <w:color w:val="auto"/>
          <w:sz w:val="24"/>
          <w:szCs w:val="24"/>
          <w:highlight w:val="none"/>
        </w:rPr>
        <w:t xml:space="preserve">下载地址</w:t>
      </w:r>
      <w:r>
        <w:rPr>
          <w:rStyle w:val="931"/>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（CTRL+鼠标左键）。</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pStyle w:val="659"/>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6"/>
      <w:r/>
      <w:bookmarkEnd w:id="37"/>
      <w:r/>
      <w:bookmarkEnd w:id="38"/>
      <w:r/>
      <w:bookmarkEnd w:id="39"/>
      <w:r/>
      <w:bookmarkEnd w:id="40"/>
      <w:r/>
      <w:r/>
    </w:p>
    <w:p>
      <w:pPr>
        <w:ind w:firstLine="480"/>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1.采购人</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称：南京市浦口区教育局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南京市行知路5号</w:t>
      </w:r>
      <w:r>
        <w:rPr>
          <w:rFonts w:hint="eastAsia" w:ascii="宋体" w:hAnsi="宋体"/>
          <w:color w:val="auto"/>
          <w:sz w:val="24"/>
          <w:szCs w:val="24"/>
          <w:highlight w:val="none"/>
        </w:rPr>
        <w:t xml:space="preserve">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联系人：沈老师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联系电话：025-58882126 </w:t>
      </w:r>
      <w:bookmarkStart w:id="41" w:name="_Toc28359009"/>
      <w:r/>
      <w:bookmarkStart w:id="42" w:name="_Toc28359086"/>
      <w:r/>
      <w:r/>
    </w:p>
    <w:p>
      <w:pPr>
        <w:ind w:firstLine="480"/>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2.交易中心</w:t>
      </w:r>
      <w:bookmarkEnd w:id="41"/>
      <w:r/>
      <w:bookmarkEnd w:id="42"/>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址：南京市公共资源交易中心浦口分中心浦口区象山路4号B栋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联系人：李工</w:t>
      </w:r>
      <w:r/>
    </w:p>
    <w:p>
      <w:pPr>
        <w:ind w:right="840" w:firstLine="480"/>
        <w:jc w:val="center"/>
        <w:rPr>
          <w:rFonts w:ascii="方正小标宋简体" w:hAnsi="方正小标宋简体" w:eastAsia="方正小标宋简体" w:cs="方正小标宋简体"/>
          <w:color w:val="auto"/>
          <w:sz w:val="36"/>
          <w:szCs w:val="36"/>
          <w:highlight w:val="none"/>
        </w:rPr>
      </w:pPr>
      <w:r>
        <w:rPr>
          <w:rFonts w:hint="eastAsia" w:ascii="宋体" w:hAnsi="宋体"/>
          <w:color w:val="auto"/>
          <w:sz w:val="24"/>
          <w:szCs w:val="24"/>
          <w:highlight w:val="none"/>
        </w:rPr>
        <w:t xml:space="preserve">联系电话：025-69659365</w:t>
      </w:r>
      <w:r>
        <w:rPr>
          <w:rFonts w:hint="eastAsia" w:ascii="方正小标宋简体" w:hAnsi="方正小标宋简体" w:eastAsia="方正小标宋简体" w:cs="方正小标宋简体"/>
          <w:color w:val="auto"/>
          <w:sz w:val="36"/>
          <w:szCs w:val="36"/>
          <w:highlight w:val="none"/>
        </w:rPr>
        <w:br w:type="page" w:clear="all"/>
      </w:r>
      <w:bookmarkStart w:id="43" w:name="_Toc120614211"/>
      <w:r>
        <w:rPr>
          <w:rFonts w:hint="eastAsia" w:ascii="方正小标宋简体" w:hAnsi="方正小标宋简体" w:eastAsia="方正小标宋简体" w:cs="方正小标宋简体"/>
          <w:color w:val="auto"/>
          <w:sz w:val="36"/>
          <w:szCs w:val="36"/>
          <w:highlight w:val="none"/>
        </w:rPr>
        <w:t xml:space="preserve">第二章  </w:t>
      </w:r>
      <w:bookmarkEnd w:id="1"/>
      <w:r/>
      <w:bookmarkEnd w:id="2"/>
      <w:r/>
      <w:bookmarkEnd w:id="3"/>
      <w:r/>
      <w:bookmarkEnd w:id="4"/>
      <w:r/>
      <w:bookmarkEnd w:id="5"/>
      <w:r/>
      <w:bookmarkEnd w:id="43"/>
      <w:r/>
      <w:bookmarkStart w:id="44" w:name="_Toc513029202"/>
      <w:r/>
      <w:bookmarkStart w:id="45" w:name="_Toc20823274"/>
      <w:r/>
      <w:bookmarkStart w:id="46" w:name="_Toc16938518"/>
      <w:r/>
      <w:bookmarkStart w:id="47" w:name="_Toc120614213"/>
      <w:r>
        <w:rPr>
          <w:rFonts w:hint="eastAsia" w:ascii="方正小标宋简体" w:hAnsi="方正小标宋简体" w:eastAsia="方正小标宋简体" w:cs="方正小标宋简体"/>
          <w:color w:val="auto"/>
          <w:sz w:val="36"/>
          <w:szCs w:val="36"/>
          <w:highlight w:val="none"/>
        </w:rPr>
        <w:t xml:space="preserve">投标人须知</w:t>
      </w:r>
      <w:bookmarkEnd w:id="44"/>
      <w:r/>
      <w:bookmarkEnd w:id="45"/>
      <w:r/>
      <w:bookmarkEnd w:id="46"/>
      <w:r/>
      <w:bookmarkEnd w:id="47"/>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48" w:name="_Toc513029203"/>
      <w:r/>
      <w:bookmarkStart w:id="49" w:name="_Toc120614214"/>
      <w:r/>
      <w:bookmarkStart w:id="50" w:name="_Toc16938519"/>
      <w:r/>
      <w:bookmarkStart w:id="51" w:name="_Toc20823275"/>
      <w:r/>
      <w:bookmarkStart w:id="52" w:name="_Toc16938558"/>
      <w:r/>
      <w:bookmarkStart w:id="53" w:name="_Toc479757207"/>
      <w:r/>
      <w:bookmarkStart w:id="54" w:name="_Toc120614221"/>
      <w:r/>
      <w:bookmarkStart w:id="55" w:name="_Toc513029242"/>
      <w:r/>
      <w:bookmarkStart w:id="56" w:name="_Toc20823314"/>
      <w:r>
        <w:rPr>
          <w:rFonts w:hint="eastAsia" w:ascii="方正黑体_GBK" w:hAnsi="方正黑体_GBK" w:eastAsia="方正黑体_GBK" w:cs="方正黑体_GBK"/>
          <w:b w:val="0"/>
          <w:bCs w:val="0"/>
          <w:color w:val="auto"/>
          <w:sz w:val="30"/>
          <w:szCs w:val="30"/>
          <w:highlight w:val="none"/>
        </w:rPr>
        <w:t xml:space="preserve">一、总则</w:t>
      </w:r>
      <w:bookmarkEnd w:id="48"/>
      <w:r/>
      <w:bookmarkEnd w:id="49"/>
      <w:r/>
      <w:bookmarkEnd w:id="50"/>
      <w:r/>
      <w:bookmarkEnd w:id="51"/>
      <w:r/>
      <w:r/>
    </w:p>
    <w:p>
      <w:pPr>
        <w:pStyle w:val="660"/>
        <w:ind w:firstLine="422"/>
        <w:spacing w:before="0" w:after="0" w:line="240" w:lineRule="auto"/>
        <w:rPr>
          <w:rFonts w:ascii="方正楷体_GBK" w:hAnsi="方正楷体_GBK" w:eastAsia="方正楷体_GBK" w:cs="方正楷体_GBK"/>
          <w:color w:val="auto"/>
          <w:highlight w:val="none"/>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方正楷体_GBK" w:hAnsi="方正楷体_GBK" w:eastAsia="方正楷体_GBK" w:cs="方正楷体_GBK"/>
          <w:color w:val="auto"/>
          <w:highlight w:val="none"/>
        </w:rPr>
        <w:t xml:space="preserve">1</w:t>
      </w:r>
      <w:bookmarkEnd w:id="58"/>
      <w:r>
        <w:rPr>
          <w:rFonts w:hint="eastAsia" w:ascii="方正楷体_GBK" w:hAnsi="方正楷体_GBK" w:eastAsia="方正楷体_GBK" w:cs="方正楷体_GBK"/>
          <w:color w:val="auto"/>
          <w:highlight w:val="none"/>
        </w:rPr>
        <w:t xml:space="preserve">.招标方式</w:t>
      </w:r>
      <w:bookmarkEnd w:id="59"/>
      <w:r/>
      <w:bookmarkEnd w:id="60"/>
      <w:r/>
      <w:bookmarkEnd w:id="61"/>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660"/>
        <w:ind w:firstLine="422"/>
        <w:spacing w:before="0" w:after="0" w:line="240" w:lineRule="auto"/>
        <w:rPr>
          <w:rFonts w:ascii="方正楷体_GBK" w:hAnsi="方正楷体_GBK" w:eastAsia="方正楷体_GBK" w:cs="方正楷体_GBK"/>
          <w:color w:val="auto"/>
          <w:highlight w:val="none"/>
        </w:rPr>
      </w:pPr>
      <w:r/>
      <w:bookmarkStart w:id="62" w:name="_Toc20823277"/>
      <w:r/>
      <w:bookmarkStart w:id="63" w:name="_Toc16938521"/>
      <w:r/>
      <w:bookmarkStart w:id="64" w:name="_Toc513029205"/>
      <w:r>
        <w:rPr>
          <w:rFonts w:hint="eastAsia" w:ascii="方正楷体_GBK" w:hAnsi="方正楷体_GBK" w:eastAsia="方正楷体_GBK" w:cs="方正楷体_GBK"/>
          <w:color w:val="auto"/>
          <w:highlight w:val="none"/>
        </w:rPr>
        <w:t xml:space="preserve">2.合格的投标人</w:t>
      </w:r>
      <w:bookmarkEnd w:id="62"/>
      <w:r/>
      <w:bookmarkEnd w:id="63"/>
      <w:r/>
      <w:bookmarkEnd w:id="64"/>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660"/>
        <w:ind w:firstLine="422"/>
        <w:spacing w:before="0" w:after="0" w:line="240" w:lineRule="auto"/>
        <w:rPr>
          <w:rFonts w:ascii="方正楷体_GBK" w:hAnsi="方正楷体_GBK" w:eastAsia="方正楷体_GBK" w:cs="方正楷体_GBK"/>
          <w:color w:val="auto"/>
          <w:highlight w:val="none"/>
        </w:rPr>
      </w:pPr>
      <w:r/>
      <w:bookmarkStart w:id="65" w:name="_Toc16938522"/>
      <w:r/>
      <w:bookmarkStart w:id="66" w:name="_Toc20823278"/>
      <w:r/>
      <w:bookmarkStart w:id="67" w:name="_Toc513029206"/>
      <w:r>
        <w:rPr>
          <w:rFonts w:hint="eastAsia" w:ascii="方正楷体_GBK" w:hAnsi="方正楷体_GBK" w:eastAsia="方正楷体_GBK" w:cs="方正楷体_GBK"/>
          <w:color w:val="auto"/>
          <w:highlight w:val="none"/>
        </w:rPr>
        <w:t xml:space="preserve">3.适用法律</w:t>
      </w:r>
      <w:bookmarkEnd w:id="65"/>
      <w:r/>
      <w:bookmarkEnd w:id="66"/>
      <w:r/>
      <w:bookmarkEnd w:id="67"/>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660"/>
        <w:ind w:firstLine="422"/>
        <w:spacing w:before="0" w:after="0" w:line="240" w:lineRule="auto"/>
        <w:rPr>
          <w:rFonts w:ascii="方正楷体_GBK" w:hAnsi="方正楷体_GBK" w:eastAsia="方正楷体_GBK" w:cs="方正楷体_GBK"/>
          <w:color w:val="auto"/>
          <w:highlight w:val="none"/>
        </w:rPr>
      </w:pPr>
      <w:r/>
      <w:bookmarkStart w:id="68" w:name="_Toc20823279"/>
      <w:r/>
      <w:bookmarkStart w:id="69" w:name="_Toc513029207"/>
      <w:r/>
      <w:bookmarkStart w:id="70" w:name="_Toc462564067"/>
      <w:r/>
      <w:bookmarkStart w:id="71" w:name="_Toc16938523"/>
      <w:r>
        <w:rPr>
          <w:rFonts w:hint="eastAsia" w:ascii="方正楷体_GBK" w:hAnsi="方正楷体_GBK" w:eastAsia="方正楷体_GBK" w:cs="方正楷体_GBK"/>
          <w:color w:val="auto"/>
          <w:highlight w:val="none"/>
        </w:rPr>
        <w:t xml:space="preserve">4.投标费用</w:t>
      </w:r>
      <w:bookmarkEnd w:id="68"/>
      <w:r/>
      <w:bookmarkEnd w:id="69"/>
      <w:r/>
      <w:bookmarkEnd w:id="70"/>
      <w:r/>
      <w:bookmarkEnd w:id="71"/>
      <w:r/>
      <w:r/>
    </w:p>
    <w:p>
      <w:pPr>
        <w:ind w:firstLine="420"/>
        <w:rPr>
          <w:rFonts w:hint="eastAsia" w:ascii="宋体" w:hAnsi="宋体"/>
          <w:color w:val="auto"/>
          <w:sz w:val="24"/>
          <w:highlight w:val="none"/>
        </w:rPr>
      </w:pPr>
      <w:r>
        <w:rPr>
          <w:rFonts w:hint="eastAsia" w:ascii="宋体" w:hAnsi="宋体"/>
          <w:color w:val="auto"/>
          <w:sz w:val="24"/>
          <w:highlight w:val="none"/>
        </w:rPr>
        <w:t xml:space="preserve">4.1投标人应自行承担所有与参加投标有关的费用，无论投标过程中的做法和结果如何，交易中心在任何情况下均无义务和责任承担这些费用。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72" w:name="_Toc16938525"/>
      <w:r/>
      <w:bookmarkStart w:id="73" w:name="_Toc120614215"/>
      <w:r/>
      <w:bookmarkStart w:id="74" w:name="_Toc20823281"/>
      <w:r/>
      <w:bookmarkStart w:id="75" w:name="_Toc513029209"/>
      <w:r>
        <w:rPr>
          <w:rFonts w:hint="eastAsia" w:ascii="方正黑体_GBK" w:hAnsi="方正黑体_GBK" w:eastAsia="方正黑体_GBK" w:cs="方正黑体_GBK"/>
          <w:b w:val="0"/>
          <w:bCs w:val="0"/>
          <w:color w:val="auto"/>
          <w:sz w:val="30"/>
          <w:szCs w:val="30"/>
          <w:highlight w:val="none"/>
        </w:rPr>
        <w:t xml:space="preserve">二、招标文件</w:t>
      </w:r>
      <w:bookmarkEnd w:id="72"/>
      <w:r/>
      <w:bookmarkEnd w:id="73"/>
      <w:r/>
      <w:bookmarkEnd w:id="74"/>
      <w:r/>
      <w:bookmarkEnd w:id="75"/>
      <w:r/>
      <w:r/>
    </w:p>
    <w:p>
      <w:pPr>
        <w:pStyle w:val="660"/>
        <w:ind w:firstLine="422"/>
        <w:spacing w:before="0" w:after="0" w:line="240" w:lineRule="auto"/>
        <w:rPr>
          <w:rFonts w:ascii="方正楷体_GBK" w:hAnsi="方正楷体_GBK" w:eastAsia="方正楷体_GBK" w:cs="方正楷体_GBK"/>
          <w:color w:val="auto"/>
          <w:highlight w:val="none"/>
        </w:rPr>
      </w:pPr>
      <w:r/>
      <w:bookmarkStart w:id="76" w:name="_Toc16938526"/>
      <w:r/>
      <w:bookmarkStart w:id="77" w:name="_Toc513029210"/>
      <w:r/>
      <w:bookmarkStart w:id="78" w:name="_Toc20823282"/>
      <w:r>
        <w:rPr>
          <w:rFonts w:hint="eastAsia" w:ascii="方正楷体_GBK" w:hAnsi="方正楷体_GBK" w:eastAsia="方正楷体_GBK" w:cs="方正楷体_GBK"/>
          <w:color w:val="auto"/>
          <w:highlight w:val="none"/>
        </w:rPr>
        <w:t xml:space="preserve">6.招标文件构成</w:t>
      </w:r>
      <w:bookmarkEnd w:id="76"/>
      <w:r/>
      <w:bookmarkEnd w:id="77"/>
      <w:r/>
      <w:bookmarkEnd w:id="78"/>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422"/>
        <w:spacing w:before="0" w:after="0" w:line="240" w:lineRule="auto"/>
        <w:rPr>
          <w:rFonts w:ascii="方正楷体_GBK" w:hAnsi="方正楷体_GBK" w:eastAsia="方正楷体_GBK" w:cs="方正楷体_GBK"/>
          <w:color w:val="auto"/>
          <w:highlight w:val="none"/>
        </w:rPr>
      </w:pPr>
      <w:r/>
      <w:bookmarkStart w:id="79" w:name="_Toc16938527"/>
      <w:r/>
      <w:bookmarkStart w:id="80" w:name="_Toc462564070"/>
      <w:r/>
      <w:bookmarkStart w:id="81" w:name="_Toc20823283"/>
      <w:r/>
      <w:bookmarkStart w:id="82" w:name="_Toc513029211"/>
      <w:r>
        <w:rPr>
          <w:rFonts w:hint="eastAsia" w:ascii="方正楷体_GBK" w:hAnsi="方正楷体_GBK" w:eastAsia="方正楷体_GBK" w:cs="方正楷体_GBK"/>
          <w:color w:val="auto"/>
          <w:highlight w:val="none"/>
        </w:rPr>
        <w:t xml:space="preserve">7.招标文件的澄清</w:t>
      </w:r>
      <w:bookmarkEnd w:id="79"/>
      <w:r/>
      <w:bookmarkEnd w:id="80"/>
      <w:r/>
      <w:bookmarkEnd w:id="81"/>
      <w:r/>
      <w:bookmarkEnd w:id="82"/>
      <w:r/>
      <w:r/>
    </w:p>
    <w:p>
      <w:pPr>
        <w:ind w:firstLine="420"/>
        <w:rPr>
          <w:rFonts w:hint="eastAsia" w:ascii="宋体" w:hAnsi="宋体"/>
          <w:color w:val="auto"/>
          <w:sz w:val="24"/>
          <w:highlight w:val="none"/>
        </w:rPr>
      </w:pPr>
      <w:r>
        <w:rPr>
          <w:rFonts w:hint="eastAsia" w:ascii="宋体" w:hAnsi="宋体"/>
          <w:color w:val="auto"/>
          <w:sz w:val="24"/>
          <w:highlight w:val="none"/>
        </w:rPr>
        <w:t xml:space="preserve">7.1任何要求对招标文件进行澄清的投标人，应在投标截止期十日前按招标公告中的通讯地址，以书面形式通知交易中心。</w:t>
      </w:r>
      <w:r/>
    </w:p>
    <w:p>
      <w:pPr>
        <w:pStyle w:val="660"/>
        <w:ind w:firstLine="422"/>
        <w:spacing w:before="0" w:after="0" w:line="240" w:lineRule="auto"/>
        <w:rPr>
          <w:rFonts w:ascii="方正楷体_GBK" w:hAnsi="方正楷体_GBK" w:eastAsia="方正楷体_GBK" w:cs="方正楷体_GBK"/>
          <w:color w:val="auto"/>
          <w:highlight w:val="none"/>
        </w:rPr>
      </w:pPr>
      <w:r/>
      <w:bookmarkStart w:id="83" w:name="_Toc513029212"/>
      <w:r/>
      <w:bookmarkStart w:id="84" w:name="_Toc20823284"/>
      <w:r/>
      <w:bookmarkStart w:id="85" w:name="_Toc462564071"/>
      <w:r/>
      <w:bookmarkStart w:id="86" w:name="_Toc16938528"/>
      <w:r>
        <w:rPr>
          <w:rFonts w:hint="eastAsia" w:ascii="方正楷体_GBK" w:hAnsi="方正楷体_GBK" w:eastAsia="方正楷体_GBK" w:cs="方正楷体_GBK"/>
          <w:color w:val="auto"/>
          <w:highlight w:val="none"/>
        </w:rPr>
        <w:t xml:space="preserve">8.招标文件的修改</w:t>
      </w:r>
      <w:bookmarkEnd w:id="83"/>
      <w:r/>
      <w:bookmarkEnd w:id="84"/>
      <w:r/>
      <w:bookmarkEnd w:id="85"/>
      <w:r/>
      <w:bookmarkEnd w:id="86"/>
      <w:r/>
      <w:r/>
    </w:p>
    <w:p>
      <w:pPr>
        <w:ind w:firstLine="420"/>
        <w:rPr>
          <w:rFonts w:hint="eastAsia" w:ascii="宋体" w:hAnsi="宋体"/>
          <w:color w:val="auto"/>
          <w:sz w:val="24"/>
          <w:highlight w:val="none"/>
        </w:rPr>
      </w:pPr>
      <w:r/>
      <w:bookmarkStart w:id="87" w:name="_Toc16938529"/>
      <w:r/>
      <w:bookmarkStart w:id="88" w:name="_Toc120614216"/>
      <w:r/>
      <w:bookmarkStart w:id="89" w:name="_Toc513029213"/>
      <w:r/>
      <w:bookmarkStart w:id="90" w:name="_Toc462564072"/>
      <w:r/>
      <w:bookmarkStart w:id="91" w:name="_Toc20823285"/>
      <w:r>
        <w:rPr>
          <w:rFonts w:hint="eastAsia" w:ascii="宋体" w:hAnsi="宋体"/>
          <w:color w:val="auto"/>
          <w:sz w:val="24"/>
          <w:highlight w:val="none"/>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8.3交易中心有权按照法定的要求推迟投标截止日期和开标日期，并在原公告媒体发布更正公告。</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7"/>
      <w:r/>
      <w:bookmarkEnd w:id="88"/>
      <w:r/>
      <w:bookmarkEnd w:id="89"/>
      <w:r/>
      <w:bookmarkEnd w:id="90"/>
      <w:r/>
      <w:bookmarkEnd w:id="91"/>
      <w:r/>
      <w:r/>
    </w:p>
    <w:p>
      <w:pPr>
        <w:pStyle w:val="660"/>
        <w:ind w:firstLine="422"/>
        <w:spacing w:before="0" w:after="0" w:line="240" w:lineRule="auto"/>
        <w:rPr>
          <w:rFonts w:ascii="方正楷体_GBK" w:hAnsi="方正楷体_GBK" w:eastAsia="方正楷体_GBK" w:cs="方正楷体_GBK"/>
          <w:color w:val="auto"/>
          <w:highlight w:val="none"/>
        </w:rPr>
      </w:pPr>
      <w:r/>
      <w:bookmarkStart w:id="92" w:name="_Toc16938530"/>
      <w:r/>
      <w:bookmarkStart w:id="93" w:name="_Toc513029214"/>
      <w:r/>
      <w:bookmarkStart w:id="94" w:name="_Toc462564073"/>
      <w:r/>
      <w:bookmarkStart w:id="95" w:name="_Toc20823286"/>
      <w:r>
        <w:rPr>
          <w:rFonts w:hint="eastAsia" w:ascii="方正楷体_GBK" w:hAnsi="方正楷体_GBK" w:eastAsia="方正楷体_GBK" w:cs="方正楷体_GBK"/>
          <w:color w:val="auto"/>
          <w:highlight w:val="none"/>
        </w:rPr>
        <w:t xml:space="preserve">9.投标文件的语言及度量衡单位</w:t>
      </w:r>
      <w:bookmarkEnd w:id="92"/>
      <w:r/>
      <w:bookmarkEnd w:id="93"/>
      <w:r/>
      <w:bookmarkEnd w:id="94"/>
      <w:r/>
      <w:bookmarkEnd w:id="95"/>
      <w:r/>
      <w:r/>
    </w:p>
    <w:p>
      <w:pPr>
        <w:ind w:firstLine="420"/>
        <w:rPr>
          <w:rFonts w:hint="eastAsia" w:ascii="宋体" w:hAnsi="宋体"/>
          <w:color w:val="auto"/>
          <w:sz w:val="24"/>
          <w:highlight w:val="none"/>
        </w:rPr>
      </w:pPr>
      <w:r>
        <w:rPr>
          <w:rFonts w:hint="eastAsia" w:ascii="宋体" w:hAnsi="宋体"/>
          <w:color w:val="auto"/>
          <w:sz w:val="24"/>
          <w:highlight w:val="none"/>
        </w:rPr>
        <w:t xml:space="preserve">9.1投标人提交的投标文件以及投标人与交易中心就有关投标的所有来往通知、函件和文件均应使用简体中文。</w:t>
      </w:r>
      <w:r/>
    </w:p>
    <w:p>
      <w:pPr>
        <w:ind w:firstLine="420"/>
        <w:rPr>
          <w:rFonts w:hint="eastAsia" w:ascii="宋体" w:hAnsi="宋体"/>
          <w:color w:val="auto"/>
          <w:sz w:val="24"/>
          <w:highlight w:val="none"/>
        </w:rPr>
      </w:pPr>
      <w:r>
        <w:rPr>
          <w:rFonts w:hint="eastAsia" w:ascii="宋体" w:hAnsi="宋体"/>
          <w:color w:val="auto"/>
          <w:sz w:val="24"/>
          <w:highlight w:val="none"/>
        </w:rPr>
        <w:t xml:space="preserve">9.2除技术性能另有规定外，投标文件所使用的度量衡单位，均须采用国家法定计量单位。</w:t>
      </w:r>
      <w:r/>
    </w:p>
    <w:p>
      <w:pPr>
        <w:pStyle w:val="660"/>
        <w:ind w:firstLine="422"/>
        <w:spacing w:before="0" w:after="0" w:line="240" w:lineRule="auto"/>
        <w:rPr>
          <w:rFonts w:ascii="方正楷体_GBK" w:hAnsi="方正楷体_GBK" w:eastAsia="方正楷体_GBK" w:cs="方正楷体_GBK"/>
          <w:color w:val="auto"/>
          <w:highlight w:val="none"/>
        </w:rPr>
      </w:pPr>
      <w:r/>
      <w:bookmarkStart w:id="96" w:name="_Toc20823287"/>
      <w:r/>
      <w:bookmarkStart w:id="97" w:name="_Toc16938531"/>
      <w:r/>
      <w:bookmarkStart w:id="98" w:name="_Toc513029215"/>
      <w:r/>
      <w:bookmarkStart w:id="99" w:name="_Toc462564074"/>
      <w:r>
        <w:rPr>
          <w:rFonts w:hint="eastAsia" w:ascii="方正楷体_GBK" w:hAnsi="方正楷体_GBK" w:eastAsia="方正楷体_GBK" w:cs="方正楷体_GBK"/>
          <w:color w:val="auto"/>
          <w:highlight w:val="none"/>
        </w:rPr>
        <w:t xml:space="preserve">10.投标文件构成</w:t>
      </w:r>
      <w:bookmarkEnd w:id="96"/>
      <w:r/>
      <w:bookmarkEnd w:id="97"/>
      <w:r/>
      <w:bookmarkEnd w:id="98"/>
      <w:r/>
      <w:bookmarkEnd w:id="99"/>
      <w:r/>
      <w:r/>
    </w:p>
    <w:p>
      <w:pPr>
        <w:ind w:firstLine="420"/>
        <w:rPr>
          <w:rFonts w:hint="eastAsia"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10.2如标书制作工具中格式和内容与“江苏政府采购网”发布的招标文件不一致，以“江苏政府采购网”发布的招标文件为准。</w:t>
      </w:r>
      <w:r/>
    </w:p>
    <w:p>
      <w:pPr>
        <w:pStyle w:val="660"/>
        <w:ind w:firstLine="422"/>
        <w:spacing w:before="0" w:after="0" w:line="240" w:lineRule="auto"/>
        <w:rPr>
          <w:rFonts w:ascii="方正楷体_GBK" w:hAnsi="方正楷体_GBK" w:eastAsia="方正楷体_GBK" w:cs="方正楷体_GBK"/>
          <w:color w:val="auto"/>
          <w:highlight w:val="none"/>
        </w:rPr>
      </w:pPr>
      <w:r/>
      <w:bookmarkStart w:id="100" w:name="_Hlt26954838"/>
      <w:r/>
      <w:bookmarkEnd w:id="100"/>
      <w:r/>
      <w:bookmarkStart w:id="101" w:name="_Hlt26670360"/>
      <w:r/>
      <w:bookmarkEnd w:id="101"/>
      <w:r/>
      <w:bookmarkStart w:id="102" w:name="_Hlt26668975"/>
      <w:r/>
      <w:bookmarkEnd w:id="102"/>
      <w:r/>
      <w:bookmarkStart w:id="103" w:name="_Toc14577357"/>
      <w:r/>
      <w:bookmarkStart w:id="104" w:name="_Toc49090507"/>
      <w:r/>
      <w:bookmarkStart w:id="105" w:name="_Toc513029216"/>
      <w:r/>
      <w:bookmarkStart w:id="106" w:name="_Toc513029219"/>
      <w:r/>
      <w:bookmarkStart w:id="107" w:name="_Toc14577354"/>
      <w:r/>
      <w:bookmarkStart w:id="108" w:name="_Toc49090509"/>
      <w:r>
        <w:rPr>
          <w:rFonts w:hint="eastAsia" w:ascii="方正楷体_GBK" w:hAnsi="方正楷体_GBK" w:eastAsia="方正楷体_GBK" w:cs="方正楷体_GBK"/>
          <w:color w:val="auto"/>
          <w:highlight w:val="none"/>
        </w:rPr>
        <w:t xml:space="preserve">11.证明投标人及投标标的符合招标文件规定的文件</w:t>
      </w:r>
      <w:bookmarkEnd w:id="103"/>
      <w:r/>
      <w:bookmarkEnd w:id="104"/>
      <w:r/>
      <w:bookmarkEnd w:id="105"/>
      <w:r/>
      <w:bookmarkEnd w:id="106"/>
      <w:r/>
      <w:bookmarkEnd w:id="107"/>
      <w:r/>
      <w:bookmarkEnd w:id="108"/>
      <w:r/>
      <w:r/>
    </w:p>
    <w:p>
      <w:pPr>
        <w:ind w:firstLine="420"/>
        <w:rPr>
          <w:rFonts w:hint="eastAsia" w:ascii="宋体" w:hAnsi="宋体"/>
          <w:color w:val="auto"/>
          <w:sz w:val="24"/>
          <w:highlight w:val="none"/>
        </w:rPr>
      </w:pPr>
      <w:r/>
      <w:bookmarkStart w:id="109" w:name="_Toc14577355"/>
      <w:r/>
      <w:bookmarkStart w:id="110"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12.投标分项报价</w:t>
      </w:r>
      <w:bookmarkEnd w:id="109"/>
      <w:r/>
      <w:bookmarkStart w:id="111" w:name="_Hlt26670373"/>
      <w:r/>
      <w:bookmarkEnd w:id="111"/>
      <w:r>
        <w:rPr>
          <w:rFonts w:hint="eastAsia" w:ascii="方正楷体_GBK" w:hAnsi="方正楷体_GBK" w:eastAsia="方正楷体_GBK" w:cs="方正楷体_GBK"/>
          <w:color w:val="auto"/>
          <w:highlight w:val="none"/>
        </w:rPr>
        <w:t xml:space="preserve">表</w:t>
      </w:r>
      <w:bookmarkEnd w:id="110"/>
      <w:r>
        <w:rPr>
          <w:rFonts w:hint="eastAsia" w:ascii="方正楷体_GBK" w:hAnsi="方正楷体_GBK" w:eastAsia="方正楷体_GBK" w:cs="方正楷体_GBK"/>
          <w:color w:val="auto"/>
          <w:highlight w:val="none"/>
        </w:rPr>
        <w:t xml:space="preserve">（如有）</w:t>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12" w:name="_Hlt26954840"/>
      <w:r/>
      <w:bookmarkEnd w:id="112"/>
      <w:r>
        <w:rPr>
          <w:rFonts w:hint="eastAsia" w:ascii="宋体" w:hAnsi="宋体"/>
          <w:color w:val="auto"/>
          <w:sz w:val="24"/>
          <w:highlight w:val="none"/>
        </w:rPr>
        <w:t xml:space="preserve">标人应按照招标文件规定格式填报投标分项报价表</w:t>
      </w:r>
      <w:bookmarkStart w:id="113" w:name="_Hlt26670399"/>
      <w:r/>
      <w:bookmarkEnd w:id="113"/>
      <w:r>
        <w:rPr>
          <w:rFonts w:hint="eastAsia" w:ascii="宋体" w:hAnsi="宋体"/>
          <w:color w:val="auto"/>
          <w:sz w:val="24"/>
          <w:highlight w:val="none"/>
        </w:rPr>
        <w:t xml:space="preserve">。</w:t>
      </w:r>
      <w:r/>
    </w:p>
    <w:p>
      <w:pPr>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660"/>
        <w:ind w:firstLine="422"/>
        <w:spacing w:before="0" w:after="0" w:line="240" w:lineRule="auto"/>
        <w:rPr>
          <w:rFonts w:ascii="方正楷体_GBK" w:hAnsi="方正楷体_GBK" w:eastAsia="方正楷体_GBK" w:cs="方正楷体_GBK"/>
          <w:color w:val="auto"/>
          <w:highlight w:val="none"/>
        </w:rPr>
      </w:pPr>
      <w:r/>
      <w:bookmarkStart w:id="114" w:name="_Hlt26670425"/>
      <w:r/>
      <w:bookmarkEnd w:id="114"/>
      <w:r/>
      <w:bookmarkStart w:id="115" w:name="_Hlt26668983"/>
      <w:r/>
      <w:bookmarkEnd w:id="115"/>
      <w:r/>
      <w:bookmarkStart w:id="116" w:name="_Hlt26670403"/>
      <w:r/>
      <w:bookmarkEnd w:id="116"/>
      <w:r/>
      <w:bookmarkStart w:id="117" w:name="_Hlt26670482"/>
      <w:r/>
      <w:bookmarkEnd w:id="117"/>
      <w:r/>
      <w:bookmarkStart w:id="118" w:name="_Hlt26954842"/>
      <w:r/>
      <w:bookmarkEnd w:id="118"/>
      <w:r/>
      <w:bookmarkStart w:id="119" w:name="_Hlt26954848"/>
      <w:r/>
      <w:bookmarkEnd w:id="119"/>
      <w:r/>
      <w:bookmarkStart w:id="120" w:name="_Hlt26954846"/>
      <w:r/>
      <w:bookmarkEnd w:id="120"/>
      <w:r/>
      <w:bookmarkStart w:id="121" w:name="_Hlt26954844"/>
      <w:r/>
      <w:bookmarkEnd w:id="121"/>
      <w:r/>
      <w:bookmarkStart w:id="122" w:name="_Hlt26954731"/>
      <w:r/>
      <w:bookmarkEnd w:id="122"/>
      <w:r/>
      <w:bookmarkStart w:id="123" w:name="_Hlt26670486"/>
      <w:r/>
      <w:bookmarkEnd w:id="123"/>
      <w:r>
        <w:rPr>
          <w:rFonts w:hint="eastAsia" w:ascii="方正楷体_GBK" w:hAnsi="方正楷体_GBK" w:eastAsia="方正楷体_GBK" w:cs="方正楷体_GBK"/>
          <w:color w:val="auto"/>
          <w:highlight w:val="none"/>
        </w:rPr>
        <w:t xml:space="preserve">13.响应及偏离表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660"/>
        <w:ind w:firstLine="422"/>
        <w:spacing w:before="0" w:after="0" w:line="240" w:lineRule="auto"/>
        <w:rPr>
          <w:rFonts w:ascii="方正楷体_GBK" w:hAnsi="方正楷体_GBK" w:eastAsia="方正楷体_GBK" w:cs="方正楷体_GBK"/>
          <w:color w:val="auto"/>
          <w:highlight w:val="none"/>
        </w:rPr>
      </w:pPr>
      <w:r/>
      <w:bookmarkStart w:id="124" w:name="_Toc49090510"/>
      <w:r/>
      <w:bookmarkStart w:id="125" w:name="_Toc14577359"/>
      <w:r>
        <w:rPr>
          <w:rFonts w:hint="eastAsia" w:ascii="方正楷体_GBK" w:hAnsi="方正楷体_GBK" w:eastAsia="方正楷体_GBK" w:cs="方正楷体_GBK"/>
          <w:color w:val="auto"/>
          <w:highlight w:val="none"/>
        </w:rPr>
        <w:t xml:space="preserve">14.投标函和开标一览表及核心产品品牌一览表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auto"/>
          <w:sz w:val="24"/>
          <w:highlight w:val="none"/>
        </w:rPr>
        <w:t xml:space="preserve">以</w:t>
      </w:r>
      <w:r>
        <w:rPr>
          <w:rFonts w:hint="eastAsia" w:ascii="宋体" w:hAnsi="宋体"/>
          <w:color w:val="auto"/>
          <w:sz w:val="24"/>
          <w:highlight w:val="none"/>
          <w:lang w:val="zh-CN"/>
        </w:rPr>
        <w:t xml:space="preserve">开标一览表中价格为准。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14.3 核心产品品牌一览表中所投核心产品品牌缺项的将视为无效投标。</w:t>
      </w:r>
      <w:bookmarkEnd w:id="124"/>
      <w:r/>
      <w:bookmarkEnd w:id="125"/>
      <w:r/>
      <w:r/>
    </w:p>
    <w:p>
      <w:pPr>
        <w:pStyle w:val="660"/>
        <w:ind w:firstLine="422"/>
        <w:spacing w:before="0" w:after="0" w:line="240" w:lineRule="auto"/>
        <w:rPr>
          <w:rFonts w:ascii="方正楷体_GBK" w:hAnsi="方正楷体_GBK" w:eastAsia="方正楷体_GBK" w:cs="方正楷体_GBK"/>
          <w:color w:val="auto"/>
          <w:highlight w:val="none"/>
        </w:rPr>
      </w:pPr>
      <w:r/>
      <w:bookmarkStart w:id="126" w:name="_Hlt26670489"/>
      <w:r/>
      <w:bookmarkEnd w:id="126"/>
      <w:r/>
      <w:bookmarkStart w:id="127" w:name="_Hlt26954850"/>
      <w:r/>
      <w:bookmarkEnd w:id="127"/>
      <w:r/>
      <w:bookmarkStart w:id="128" w:name="_Hlt26954734"/>
      <w:r/>
      <w:bookmarkEnd w:id="128"/>
      <w:r/>
      <w:bookmarkStart w:id="129" w:name="_Toc49090511"/>
      <w:r/>
      <w:bookmarkStart w:id="130" w:name="_Toc14577360"/>
      <w:r>
        <w:rPr>
          <w:rFonts w:hint="eastAsia" w:ascii="方正楷体_GBK" w:hAnsi="方正楷体_GBK" w:eastAsia="方正楷体_GBK" w:cs="方正楷体_GBK"/>
          <w:color w:val="auto"/>
          <w:highlight w:val="none"/>
        </w:rPr>
        <w:t xml:space="preserve">15.投标有效期</w:t>
      </w:r>
      <w:bookmarkEnd w:id="129"/>
      <w:r/>
      <w:bookmarkEnd w:id="130"/>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w:t>
      </w:r>
      <w:r>
        <w:rPr>
          <w:rFonts w:hint="eastAsia" w:ascii="宋体" w:hAnsi="宋体"/>
          <w:color w:val="auto"/>
          <w:sz w:val="24"/>
          <w:highlight w:val="none"/>
        </w:rPr>
        <w:t xml:space="preserve">招标公告</w:t>
      </w:r>
      <w:r>
        <w:rPr>
          <w:rFonts w:hint="eastAsia" w:ascii="宋体" w:hAnsi="宋体"/>
          <w:color w:val="auto"/>
          <w:sz w:val="24"/>
          <w:highlight w:val="none"/>
          <w:lang w:val="zh-CN"/>
        </w:rPr>
        <w:t xml:space="preserve">规定的开标之日</w:t>
      </w:r>
      <w:r>
        <w:rPr>
          <w:rFonts w:hint="eastAsia" w:ascii="宋体" w:hAnsi="宋体"/>
          <w:color w:val="auto"/>
          <w:sz w:val="24"/>
          <w:highlight w:val="none"/>
        </w:rPr>
        <w:t xml:space="preserve">起</w:t>
      </w:r>
      <w:r>
        <w:rPr>
          <w:rFonts w:hint="eastAsia" w:ascii="宋体" w:hAnsi="宋体"/>
          <w:color w:val="auto"/>
          <w:sz w:val="24"/>
          <w:highlight w:val="none"/>
          <w:lang w:val="zh-CN"/>
        </w:rPr>
        <w:t xml:space="preserve">六十天。投标有效期比规定短的将被视为未实质性响应招标文件而</w:t>
      </w:r>
      <w:r>
        <w:rPr>
          <w:rFonts w:hint="eastAsia" w:ascii="宋体" w:hAnsi="宋体"/>
          <w:color w:val="auto"/>
          <w:sz w:val="24"/>
          <w:highlight w:val="none"/>
        </w:rPr>
        <w:t xml:space="preserve">被</w:t>
      </w:r>
      <w:r>
        <w:rPr>
          <w:rFonts w:hint="eastAsia" w:ascii="宋体" w:hAnsi="宋体"/>
          <w:color w:val="auto"/>
          <w:sz w:val="24"/>
          <w:highlight w:val="none"/>
          <w:lang w:val="zh-CN"/>
        </w:rPr>
        <w:t xml:space="preserve">拒绝。</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131" w:name="_Hlt26954852"/>
      <w:r/>
      <w:bookmarkEnd w:id="131"/>
      <w:r/>
      <w:bookmarkStart w:id="132" w:name="_Hlt26954739"/>
      <w:r/>
      <w:bookmarkEnd w:id="132"/>
      <w:r/>
      <w:bookmarkStart w:id="133" w:name="_Toc16938540"/>
      <w:r/>
      <w:bookmarkStart w:id="134" w:name="_Toc20823296"/>
      <w:r/>
      <w:bookmarkStart w:id="135" w:name="_Toc513029224"/>
      <w:r/>
      <w:bookmarkStart w:id="136" w:name="_Toc120614217"/>
      <w:r>
        <w:rPr>
          <w:rFonts w:hint="eastAsia" w:ascii="方正黑体_GBK" w:hAnsi="方正黑体_GBK" w:eastAsia="方正黑体_GBK" w:cs="方正黑体_GBK"/>
          <w:b w:val="0"/>
          <w:bCs w:val="0"/>
          <w:color w:val="auto"/>
          <w:sz w:val="30"/>
          <w:szCs w:val="30"/>
          <w:highlight w:val="none"/>
        </w:rPr>
        <w:t xml:space="preserve">四、投标文件的递交</w:t>
      </w:r>
      <w:bookmarkEnd w:id="133"/>
      <w:r/>
      <w:bookmarkEnd w:id="134"/>
      <w:r/>
      <w:bookmarkEnd w:id="135"/>
      <w:r/>
      <w:bookmarkEnd w:id="136"/>
      <w:r/>
      <w:r/>
    </w:p>
    <w:p>
      <w:pPr>
        <w:pStyle w:val="660"/>
        <w:ind w:firstLine="422"/>
        <w:spacing w:before="0" w:after="0" w:line="240" w:lineRule="auto"/>
        <w:rPr>
          <w:rFonts w:ascii="方正楷体_GBK" w:hAnsi="方正楷体_GBK" w:eastAsia="方正楷体_GBK" w:cs="方正楷体_GBK"/>
          <w:color w:val="auto"/>
          <w:highlight w:val="none"/>
        </w:rPr>
      </w:pPr>
      <w:r/>
      <w:bookmarkStart w:id="137" w:name="_Toc20823297"/>
      <w:r/>
      <w:bookmarkStart w:id="138" w:name="_Toc513029225"/>
      <w:r/>
      <w:bookmarkStart w:id="139" w:name="_Toc462564084"/>
      <w:r/>
      <w:bookmarkStart w:id="140" w:name="_Toc16938541"/>
      <w:r>
        <w:rPr>
          <w:rFonts w:hint="eastAsia" w:ascii="方正楷体_GBK" w:hAnsi="方正楷体_GBK" w:eastAsia="方正楷体_GBK" w:cs="方正楷体_GBK"/>
          <w:color w:val="auto"/>
          <w:highlight w:val="none"/>
        </w:rPr>
        <w:t xml:space="preserve">17.投标文件</w:t>
      </w:r>
      <w:bookmarkEnd w:id="137"/>
      <w:r/>
      <w:bookmarkEnd w:id="138"/>
      <w:r/>
      <w:bookmarkEnd w:id="139"/>
      <w:r/>
      <w:bookmarkEnd w:id="140"/>
      <w:r>
        <w:rPr>
          <w:rFonts w:hint="eastAsia" w:ascii="方正楷体_GBK" w:hAnsi="方正楷体_GBK" w:eastAsia="方正楷体_GBK" w:cs="方正楷体_GBK"/>
          <w:color w:val="auto"/>
          <w:highlight w:val="none"/>
        </w:rPr>
        <w:t xml:space="preserve">的递交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41" w:name="_Toc16938542"/>
      <w:r/>
      <w:bookmarkEnd w:id="141"/>
      <w:r/>
      <w:bookmarkStart w:id="142" w:name="_Toc20823298"/>
      <w:r/>
      <w:bookmarkEnd w:id="142"/>
      <w:r/>
      <w:bookmarkStart w:id="143" w:name="_Toc513029226"/>
      <w:r/>
      <w:bookmarkEnd w:id="143"/>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660"/>
        <w:ind w:firstLine="422"/>
        <w:spacing w:before="0" w:after="0" w:line="240" w:lineRule="auto"/>
        <w:rPr>
          <w:rFonts w:ascii="方正楷体_GBK" w:hAnsi="方正楷体_GBK" w:eastAsia="方正楷体_GBK" w:cs="方正楷体_GBK"/>
          <w:color w:val="auto"/>
          <w:highlight w:val="none"/>
        </w:rPr>
      </w:pPr>
      <w:r/>
      <w:bookmarkStart w:id="144" w:name="_Toc16938543"/>
      <w:r/>
      <w:bookmarkStart w:id="145" w:name="_Toc513029227"/>
      <w:r/>
      <w:bookmarkStart w:id="146" w:name="_Toc20823299"/>
      <w:r>
        <w:rPr>
          <w:rFonts w:hint="eastAsia" w:ascii="方正楷体_GBK" w:hAnsi="方正楷体_GBK" w:eastAsia="方正楷体_GBK" w:cs="方正楷体_GBK"/>
          <w:color w:val="auto"/>
          <w:highlight w:val="none"/>
        </w:rPr>
        <w:t xml:space="preserve">18.投标文件</w:t>
      </w:r>
      <w:bookmarkEnd w:id="144"/>
      <w:r/>
      <w:bookmarkEnd w:id="145"/>
      <w:r/>
      <w:bookmarkEnd w:id="146"/>
      <w:r>
        <w:rPr>
          <w:rFonts w:hint="eastAsia" w:ascii="方正楷体_GBK" w:hAnsi="方正楷体_GBK" w:eastAsia="方正楷体_GBK" w:cs="方正楷体_GBK"/>
          <w:color w:val="auto"/>
          <w:highlight w:val="none"/>
        </w:rPr>
        <w:t xml:space="preserve">的拒收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.1投标截止时间后上传的任何投标文件将被拒绝。</w:t>
      </w:r>
      <w:r/>
    </w:p>
    <w:p>
      <w:pPr>
        <w:pStyle w:val="660"/>
        <w:ind w:firstLine="422"/>
        <w:spacing w:before="0" w:after="0" w:line="240" w:lineRule="auto"/>
        <w:rPr>
          <w:rFonts w:ascii="方正楷体_GBK" w:hAnsi="方正楷体_GBK" w:eastAsia="方正楷体_GBK" w:cs="方正楷体_GBK"/>
          <w:color w:val="auto"/>
          <w:highlight w:val="none"/>
        </w:rPr>
      </w:pPr>
      <w:r/>
      <w:bookmarkStart w:id="147" w:name="_Toc20823300"/>
      <w:r/>
      <w:bookmarkStart w:id="148" w:name="_Toc513029228"/>
      <w:r/>
      <w:bookmarkStart w:id="149" w:name="_Toc16938544"/>
      <w:r>
        <w:rPr>
          <w:rFonts w:hint="eastAsia" w:ascii="方正楷体_GBK" w:hAnsi="方正楷体_GBK" w:eastAsia="方正楷体_GBK" w:cs="方正楷体_GBK"/>
          <w:color w:val="auto"/>
          <w:highlight w:val="none"/>
        </w:rPr>
        <w:t xml:space="preserve">19.投标文件的撤回和修改</w:t>
      </w:r>
      <w:bookmarkEnd w:id="147"/>
      <w:r/>
      <w:bookmarkEnd w:id="148"/>
      <w:r/>
      <w:bookmarkEnd w:id="149"/>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.1.1投标人可在投标截止时间前撤回其电子投标文件，具体操作方法见《操作手册》。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.1.2投标人撤回电子投标文件，则认为其不再参与本项目投标活动。</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.2.1投标人可在投标截止时间前对其电子投标文件进行修改，具体操作方法见《操作手册》。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.2.2投标截止时间之后，投标人不得对其电子投标文件作任何修改。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50" w:name="_Toc20823301"/>
      <w:r/>
      <w:bookmarkStart w:id="151" w:name="_Toc16938545"/>
      <w:r/>
      <w:bookmarkStart w:id="152" w:name="_Toc120614218"/>
      <w:r/>
      <w:bookmarkStart w:id="153" w:name="_Toc513029229"/>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50"/>
      <w:r/>
      <w:bookmarkEnd w:id="151"/>
      <w:r/>
      <w:bookmarkEnd w:id="152"/>
      <w:r/>
      <w:bookmarkEnd w:id="153"/>
      <w:r/>
      <w:r/>
    </w:p>
    <w:p>
      <w:pPr>
        <w:pStyle w:val="660"/>
        <w:ind w:firstLine="422"/>
        <w:spacing w:before="0" w:after="0" w:line="240" w:lineRule="auto"/>
        <w:rPr>
          <w:rFonts w:ascii="方正楷体_GBK" w:hAnsi="方正楷体_GBK" w:eastAsia="方正楷体_GBK" w:cs="方正楷体_GBK"/>
          <w:color w:val="auto"/>
          <w:highlight w:val="none"/>
        </w:rPr>
      </w:pPr>
      <w:r/>
      <w:bookmarkStart w:id="154" w:name="_Toc16938546"/>
      <w:r/>
      <w:bookmarkStart w:id="155" w:name="_Toc20823302"/>
      <w:r/>
      <w:bookmarkStart w:id="156" w:name="_Toc513029230"/>
      <w:r>
        <w:rPr>
          <w:rFonts w:hint="eastAsia" w:ascii="方正楷体_GBK" w:hAnsi="方正楷体_GBK" w:eastAsia="方正楷体_GBK" w:cs="方正楷体_GBK"/>
          <w:color w:val="auto"/>
          <w:highlight w:val="none"/>
        </w:rPr>
        <w:t xml:space="preserve">20.开标</w:t>
      </w:r>
      <w:bookmarkEnd w:id="154"/>
      <w:r/>
      <w:bookmarkEnd w:id="155"/>
      <w:r/>
      <w:bookmarkEnd w:id="156"/>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w:t>
      </w:r>
      <w:r>
        <w:rPr>
          <w:rFonts w:hint="eastAsia" w:ascii="宋体" w:hAnsi="宋体"/>
          <w:color w:val="auto"/>
          <w:sz w:val="24"/>
          <w:highlight w:val="none"/>
        </w:rPr>
        <w:t xml:space="preserve">结果</w:t>
      </w:r>
      <w:r>
        <w:rPr>
          <w:rFonts w:hint="eastAsia" w:ascii="宋体" w:hAnsi="宋体"/>
          <w:color w:val="auto"/>
          <w:sz w:val="24"/>
          <w:highlight w:val="none"/>
          <w:lang w:val="zh-CN"/>
        </w:rPr>
        <w:t xml:space="preserve">有疑义，应当根据《操作手册》规定提出，苏采云系统中《开标记录表》公布后5分钟内未提出的，视同认可开标结果。</w:t>
      </w:r>
      <w:r/>
    </w:p>
    <w:p>
      <w:pPr>
        <w:pStyle w:val="660"/>
        <w:ind w:firstLine="422"/>
        <w:spacing w:before="0" w:after="0" w:line="240" w:lineRule="auto"/>
        <w:rPr>
          <w:rFonts w:ascii="方正楷体_GBK" w:hAnsi="方正楷体_GBK" w:eastAsia="方正楷体_GBK" w:cs="方正楷体_GBK"/>
          <w:color w:val="auto"/>
          <w:highlight w:val="none"/>
        </w:rPr>
      </w:pPr>
      <w:r/>
      <w:bookmarkStart w:id="157" w:name="_Toc16938547"/>
      <w:r/>
      <w:bookmarkStart w:id="158" w:name="_Toc20823303"/>
      <w:r/>
      <w:bookmarkStart w:id="159" w:name="_Toc513029231"/>
      <w:r>
        <w:rPr>
          <w:rFonts w:hint="eastAsia" w:ascii="方正楷体_GBK" w:hAnsi="方正楷体_GBK" w:eastAsia="方正楷体_GBK" w:cs="方正楷体_GBK"/>
          <w:color w:val="auto"/>
          <w:highlight w:val="none"/>
        </w:rPr>
        <w:t xml:space="preserve">21.评标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评委会由采购人代表和有关技术、经济或法律等方面的专家组成，且人员构成符合政府采购有关规定。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57"/>
      <w:r/>
      <w:bookmarkEnd w:id="158"/>
      <w:r/>
      <w:bookmarkEnd w:id="159"/>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.2投标人不得以任何</w:t>
      </w:r>
      <w:r>
        <w:rPr>
          <w:rFonts w:hint="eastAsia" w:ascii="宋体" w:hAnsi="宋体"/>
          <w:color w:val="auto"/>
          <w:sz w:val="24"/>
          <w:highlight w:val="none"/>
        </w:rPr>
        <w:t xml:space="preserve">方式</w:t>
      </w:r>
      <w:r>
        <w:rPr>
          <w:rFonts w:hint="eastAsia" w:ascii="宋体" w:hAnsi="宋体"/>
          <w:color w:val="auto"/>
          <w:sz w:val="24"/>
          <w:highlight w:val="none"/>
          <w:lang w:val="zh-CN"/>
        </w:rPr>
        <w:t xml:space="preserve">影响评标，否则其投标文件将被作为无效投标文件。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w:t>
      </w:r>
      <w:r>
        <w:rPr>
          <w:rFonts w:hint="eastAsia" w:ascii="宋体" w:hAnsi="宋体"/>
          <w:color w:val="auto"/>
          <w:sz w:val="24"/>
          <w:highlight w:val="none"/>
        </w:rPr>
        <w:t xml:space="preserve">本单位</w:t>
      </w:r>
      <w:r>
        <w:rPr>
          <w:rFonts w:hint="eastAsia" w:ascii="宋体" w:hAnsi="宋体"/>
          <w:color w:val="auto"/>
          <w:sz w:val="24"/>
          <w:highlight w:val="none"/>
          <w:lang w:val="zh-CN"/>
        </w:rPr>
        <w:t xml:space="preserve">的评审得分及排</w:t>
      </w:r>
      <w:r>
        <w:rPr>
          <w:rFonts w:hint="eastAsia" w:ascii="宋体" w:hAnsi="宋体"/>
          <w:color w:val="auto"/>
          <w:sz w:val="24"/>
          <w:highlight w:val="none"/>
        </w:rPr>
        <w:t xml:space="preserve">名</w:t>
      </w:r>
      <w:r>
        <w:rPr>
          <w:rFonts w:hint="eastAsia" w:ascii="宋体" w:hAnsi="宋体"/>
          <w:color w:val="auto"/>
          <w:sz w:val="24"/>
          <w:highlight w:val="none"/>
          <w:lang w:val="zh-CN"/>
        </w:rPr>
        <w:t xml:space="preserve">情况。</w:t>
      </w:r>
      <w:r/>
    </w:p>
    <w:p>
      <w:pPr>
        <w:pStyle w:val="660"/>
        <w:ind w:firstLine="422"/>
        <w:spacing w:before="0" w:after="0" w:line="240" w:lineRule="auto"/>
        <w:rPr>
          <w:rFonts w:ascii="方正楷体_GBK" w:hAnsi="方正楷体_GBK" w:eastAsia="方正楷体_GBK" w:cs="方正楷体_GBK"/>
          <w:color w:val="auto"/>
          <w:highlight w:val="none"/>
        </w:rPr>
      </w:pPr>
      <w:r/>
      <w:bookmarkStart w:id="160" w:name="_Toc16938548"/>
      <w:r/>
      <w:bookmarkStart w:id="161" w:name="_Toc20823304"/>
      <w:r/>
      <w:bookmarkStart w:id="162" w:name="_Toc513029232"/>
      <w:r>
        <w:rPr>
          <w:rFonts w:hint="eastAsia" w:ascii="方正楷体_GBK" w:hAnsi="方正楷体_GBK" w:eastAsia="方正楷体_GBK" w:cs="方正楷体_GBK"/>
          <w:color w:val="auto"/>
          <w:highlight w:val="none"/>
        </w:rPr>
        <w:t xml:space="preserve">23.投标文件的澄清</w:t>
      </w:r>
      <w:bookmarkEnd w:id="160"/>
      <w:r/>
      <w:bookmarkEnd w:id="161"/>
      <w:r/>
      <w:bookmarkEnd w:id="162"/>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出澄清、说明和补正，其风险由投标人自行承担。</w:t>
      </w:r>
      <w:r/>
    </w:p>
    <w:p>
      <w:pPr>
        <w:pStyle w:val="660"/>
        <w:ind w:firstLine="422"/>
        <w:spacing w:before="0" w:after="0" w:line="240" w:lineRule="auto"/>
        <w:rPr>
          <w:rFonts w:ascii="方正楷体_GBK" w:hAnsi="方正楷体_GBK" w:eastAsia="方正楷体_GBK" w:cs="方正楷体_GBK"/>
          <w:color w:val="auto"/>
          <w:highlight w:val="none"/>
        </w:rPr>
      </w:pPr>
      <w:r/>
      <w:bookmarkStart w:id="163" w:name="_Toc20823305"/>
      <w:r/>
      <w:bookmarkStart w:id="164" w:name="_Toc16938549"/>
      <w:r/>
      <w:bookmarkStart w:id="165" w:name="_Toc513029233"/>
      <w:r>
        <w:rPr>
          <w:rFonts w:hint="eastAsia" w:ascii="方正楷体_GBK" w:hAnsi="方正楷体_GBK" w:eastAsia="方正楷体_GBK" w:cs="方正楷体_GBK"/>
          <w:color w:val="auto"/>
          <w:highlight w:val="none"/>
        </w:rPr>
        <w:t xml:space="preserve">24.投标文件的</w:t>
      </w:r>
      <w:bookmarkEnd w:id="163"/>
      <w:r/>
      <w:bookmarkEnd w:id="164"/>
      <w:r/>
      <w:bookmarkEnd w:id="165"/>
      <w:r>
        <w:rPr>
          <w:rFonts w:hint="eastAsia" w:ascii="方正楷体_GBK" w:hAnsi="方正楷体_GBK" w:eastAsia="方正楷体_GBK" w:cs="方正楷体_GBK"/>
          <w:color w:val="auto"/>
          <w:highlight w:val="none"/>
        </w:rPr>
        <w:t xml:space="preserve">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.1投标文件审查分为资格审查和符合性审查。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.1.1资格审查。依据法律法规和招标文件规定，由采购人对投标文件中的资格证明文件进行审查，</w:t>
      </w:r>
      <w:r>
        <w:rPr>
          <w:rFonts w:hint="eastAsia" w:ascii="宋体" w:hAnsi="宋体"/>
          <w:color w:val="auto"/>
          <w:sz w:val="24"/>
          <w:highlight w:val="none"/>
        </w:rPr>
        <w:t xml:space="preserve">并</w:t>
      </w:r>
      <w:r>
        <w:rPr>
          <w:rFonts w:hint="eastAsia" w:ascii="宋体" w:hAnsi="宋体"/>
          <w:color w:val="auto"/>
          <w:sz w:val="24"/>
          <w:highlight w:val="none"/>
          <w:lang w:val="zh-CN"/>
        </w:rPr>
        <w:t xml:space="preserve">向评委会反馈</w:t>
      </w:r>
      <w:r>
        <w:rPr>
          <w:rFonts w:hint="eastAsia" w:ascii="宋体" w:hAnsi="宋体"/>
          <w:color w:val="auto"/>
          <w:sz w:val="24"/>
          <w:highlight w:val="none"/>
        </w:rPr>
        <w:t xml:space="preserve">审查结论</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.1.2符合性审查。依据招标文件的规定，由评委会从有效性、完整性和对招标文件的响应程度</w:t>
      </w:r>
      <w:r>
        <w:rPr>
          <w:rFonts w:hint="eastAsia" w:ascii="宋体" w:hAnsi="宋体"/>
          <w:color w:val="auto"/>
          <w:sz w:val="24"/>
          <w:highlight w:val="none"/>
        </w:rPr>
        <w:t xml:space="preserve">等方面对投标文件</w:t>
      </w:r>
      <w:r>
        <w:rPr>
          <w:rFonts w:hint="eastAsia" w:ascii="宋体" w:hAnsi="宋体"/>
          <w:color w:val="auto"/>
          <w:sz w:val="24"/>
          <w:highlight w:val="none"/>
          <w:lang w:val="zh-CN"/>
        </w:rPr>
        <w:t xml:space="preserve">进行审查，以确定是否对招标文件的实质性要求作出响应。</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.1.3未通过资格审查或符合性审查的投标人，交易中心将</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苏采云系统告知</w:t>
      </w:r>
      <w:r>
        <w:rPr>
          <w:rFonts w:hint="eastAsia" w:ascii="宋体" w:hAnsi="宋体"/>
          <w:color w:val="auto"/>
          <w:sz w:val="24"/>
          <w:highlight w:val="none"/>
        </w:rPr>
        <w:t xml:space="preserve">其具体</w:t>
      </w:r>
      <w:r>
        <w:rPr>
          <w:rFonts w:hint="eastAsia" w:ascii="宋体" w:hAnsi="宋体"/>
          <w:color w:val="auto"/>
          <w:sz w:val="24"/>
          <w:highlight w:val="none"/>
          <w:lang w:val="zh-CN"/>
        </w:rPr>
        <w:t xml:space="preserve">原因，评标结束后</w:t>
      </w:r>
      <w:r>
        <w:rPr>
          <w:rFonts w:hint="eastAsia" w:ascii="宋体" w:hAnsi="宋体"/>
          <w:color w:val="auto"/>
          <w:sz w:val="24"/>
          <w:highlight w:val="none"/>
        </w:rPr>
        <w:t xml:space="preserve">不再接受有关询问</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.2评委会</w:t>
      </w:r>
      <w:r>
        <w:rPr>
          <w:rFonts w:hint="eastAsia" w:ascii="宋体" w:hAnsi="宋体"/>
          <w:color w:val="auto"/>
          <w:sz w:val="24"/>
          <w:highlight w:val="none"/>
        </w:rPr>
        <w:t xml:space="preserve">仅对</w:t>
      </w:r>
      <w:r>
        <w:rPr>
          <w:rFonts w:hint="eastAsia" w:ascii="宋体" w:hAnsi="宋体"/>
          <w:color w:val="auto"/>
          <w:sz w:val="24"/>
          <w:highlight w:val="none"/>
          <w:lang w:val="zh-CN"/>
        </w:rPr>
        <w:t xml:space="preserve">实质性响应招标文件要求</w:t>
      </w:r>
      <w:r>
        <w:rPr>
          <w:rFonts w:hint="eastAsia" w:ascii="宋体" w:hAnsi="宋体"/>
          <w:color w:val="auto"/>
          <w:sz w:val="24"/>
          <w:highlight w:val="none"/>
        </w:rPr>
        <w:t xml:space="preserve">的投标文件进行详细评审</w:t>
      </w:r>
      <w:r>
        <w:rPr>
          <w:rFonts w:hint="eastAsia" w:ascii="宋体" w:hAnsi="宋体"/>
          <w:color w:val="auto"/>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少数服从多数的原则作出结论。评委</w:t>
      </w:r>
      <w:r>
        <w:rPr>
          <w:rFonts w:hint="eastAsia" w:ascii="宋体" w:hAnsi="宋体"/>
          <w:color w:val="auto"/>
          <w:sz w:val="24"/>
          <w:highlight w:val="none"/>
        </w:rPr>
        <w:t xml:space="preserve">会认</w:t>
      </w:r>
      <w:r>
        <w:rPr>
          <w:rFonts w:hint="eastAsia" w:ascii="宋体" w:hAnsi="宋体"/>
          <w:color w:val="auto"/>
          <w:sz w:val="24"/>
          <w:highlight w:val="none"/>
          <w:lang w:val="zh-CN"/>
        </w:rPr>
        <w:t xml:space="preserve">定投标文件的响应性只根据投标文件本身的内容，而不寻求外部的证据。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b/>
          <w:bCs/>
          <w:color w:val="auto"/>
          <w:sz w:val="24"/>
          <w:szCs w:val="21"/>
          <w:highlight w:val="none"/>
        </w:rPr>
      </w:pPr>
      <w:r>
        <w:rPr>
          <w:rFonts w:hint="eastAsia" w:ascii="宋体" w:hAnsi="宋体"/>
          <w:color w:val="auto"/>
          <w:sz w:val="24"/>
          <w:szCs w:val="21"/>
          <w:highlight w:val="none"/>
        </w:rPr>
        <w:t xml:space="preserve">24.3.1评委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b/>
          <w:bCs/>
          <w:color w:val="auto"/>
          <w:sz w:val="24"/>
          <w:szCs w:val="21"/>
          <w:highlight w:val="none"/>
        </w:rPr>
        <w:t xml:space="preserve">评委小组应当将其作为无效响应处理。根据财库〔2026〕2号《关于推动解决政府采购异常低价问题的通知》，政府采购评审中出现下列情形之一的，评审委员会应当启动异常低价投标（响应）审查程序：</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（一）1.投标（响应）报价低于全部通过符合性审查供应商投标（响应）报价平均值50%的，即投标（响应）报价&lt;全部通过符合性审查供应商投标（响应）报价平均值×50%； </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3.投标（响应）报价低于采购项目最高限价45%的，即投标（响应）报价&lt;采购项目最高限价×45%； </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4.评审委员会基于专业判断，认为供应商报价过低，有可能影响产品质量或者不能诚信履约的其他情形。</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lang w:val="zh-CN"/>
        </w:rPr>
      </w:pPr>
      <w:r/>
      <w:bookmarkStart w:id="166" w:name="_Toc16938550"/>
      <w:r/>
      <w:bookmarkStart w:id="167" w:name="_Toc513029234"/>
      <w:r/>
      <w:bookmarkStart w:id="168" w:name="_Toc20823306"/>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.6投标人在开、评标全过程中应保持通讯畅通，及时登录苏采云系统查阅、答复相关信息，并安排专人与交易中心及评委会联系。</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66"/>
      <w:r/>
      <w:bookmarkEnd w:id="167"/>
      <w:r/>
      <w:bookmarkEnd w:id="168"/>
      <w:r>
        <w:rPr>
          <w:rFonts w:hint="eastAsia" w:ascii="方正楷体_GBK" w:hAnsi="方正楷体_GBK" w:eastAsia="方正楷体_GBK" w:cs="方正楷体_GBK"/>
          <w:color w:val="auto"/>
          <w:highlight w:val="none"/>
        </w:rPr>
        <w:t xml:space="preserve">5.无效投标和废标</w:t>
      </w:r>
      <w:r/>
    </w:p>
    <w:p>
      <w:pPr>
        <w:ind w:firstLine="420"/>
        <w:rPr>
          <w:rFonts w:hint="eastAsia" w:ascii="宋体" w:hAnsi="宋体"/>
          <w:color w:val="auto"/>
          <w:sz w:val="24"/>
          <w:highlight w:val="none"/>
          <w:lang w:val="zh-CN"/>
        </w:rPr>
      </w:pPr>
      <w:r/>
      <w:bookmarkStart w:id="169" w:name="_Toc16938551"/>
      <w:r/>
      <w:bookmarkStart w:id="170" w:name="_Toc513029235"/>
      <w:r/>
      <w:bookmarkStart w:id="171" w:name="_Toc20823307"/>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.1.1投标人在苏采云系统规定的时间内未成功解密电子投标文件。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.1.2投标人未按照招标文件要求上传电子投标文件。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.1.3同一投标人提交两个（含两个）以上不同的投标报价。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.1.4投标人不具备招标文件规定</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.1.5投标人的报价超过了采购预算或最高限价。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.1.7不符合招标文件中实质性要求和条件（</w:t>
      </w:r>
      <w:r>
        <w:rPr>
          <w:rFonts w:hint="eastAsia" w:ascii="宋体" w:hAnsi="宋体"/>
          <w:b/>
          <w:bCs/>
          <w:iCs/>
          <w:color w:val="auto"/>
          <w:sz w:val="24"/>
          <w:highlight w:val="none"/>
          <w:lang w:val="zh-CN"/>
        </w:rPr>
        <w:t xml:space="preserve">本文件中斜体且有下划线部分，</w:t>
      </w:r>
      <w:r>
        <w:rPr>
          <w:rFonts w:hint="eastAsia" w:ascii="宋体" w:hAnsi="宋体"/>
          <w:b/>
          <w:bCs/>
          <w:color w:val="auto"/>
          <w:sz w:val="24"/>
          <w:highlight w:val="none"/>
          <w:lang w:val="zh-CN"/>
        </w:rPr>
        <w:t xml:space="preserve">或者打“</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.1.9投标文件含有采购人不能接受的附加条件。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b/>
          <w:bCs/>
          <w:color w:val="auto"/>
          <w:sz w:val="24"/>
          <w:szCs w:val="21"/>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.1.11</w:t>
      </w:r>
      <w:r>
        <w:rPr>
          <w:rFonts w:hint="eastAsia" w:ascii="宋体" w:hAnsi="宋体"/>
          <w:color w:val="auto"/>
          <w:sz w:val="24"/>
          <w:szCs w:val="21"/>
          <w:highlight w:val="none"/>
        </w:rPr>
        <w:t xml:space="preserve">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.2废标情形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.2.1符合</w:t>
      </w:r>
      <w:r>
        <w:rPr>
          <w:rFonts w:hint="eastAsia" w:ascii="宋体" w:hAnsi="宋体"/>
          <w:color w:val="auto"/>
          <w:sz w:val="24"/>
          <w:highlight w:val="none"/>
        </w:rPr>
        <w:t xml:space="preserve">资格</w:t>
      </w:r>
      <w:r>
        <w:rPr>
          <w:rFonts w:hint="eastAsia" w:ascii="宋体" w:hAnsi="宋体"/>
          <w:color w:val="auto"/>
          <w:sz w:val="24"/>
          <w:highlight w:val="none"/>
          <w:lang w:val="zh-CN"/>
        </w:rPr>
        <w:t xml:space="preserve">条件的供应商或者对招标文件作</w:t>
      </w:r>
      <w:r>
        <w:rPr>
          <w:rFonts w:hint="eastAsia" w:ascii="宋体" w:hAnsi="宋体"/>
          <w:color w:val="auto"/>
          <w:sz w:val="24"/>
          <w:highlight w:val="none"/>
        </w:rPr>
        <w:t xml:space="preserve">出</w:t>
      </w:r>
      <w:r>
        <w:rPr>
          <w:rFonts w:hint="eastAsia" w:ascii="宋体" w:hAnsi="宋体"/>
          <w:color w:val="auto"/>
          <w:sz w:val="24"/>
          <w:highlight w:val="none"/>
          <w:lang w:val="zh-CN"/>
        </w:rPr>
        <w:t xml:space="preserve">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.2.2出现影响采购公正的违法、违规行为。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.2.3因重大变故采购任务取消。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.2.4评委会认定招标文件存在歧义、重大缺陷导致评审工作无法进行。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.2.5因苏采云系统故障造成开标不成功。</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172" w:name="_Toc120614219"/>
      <w:r>
        <w:rPr>
          <w:rFonts w:hint="eastAsia" w:ascii="方正黑体_GBK" w:hAnsi="方正黑体_GBK" w:eastAsia="方正黑体_GBK" w:cs="方正黑体_GBK"/>
          <w:b w:val="0"/>
          <w:bCs w:val="0"/>
          <w:color w:val="auto"/>
          <w:sz w:val="30"/>
          <w:szCs w:val="30"/>
          <w:highlight w:val="none"/>
        </w:rPr>
        <w:t xml:space="preserve">六、</w:t>
      </w:r>
      <w:bookmarkEnd w:id="169"/>
      <w:r/>
      <w:bookmarkEnd w:id="170"/>
      <w:r/>
      <w:bookmarkEnd w:id="171"/>
      <w:r>
        <w:rPr>
          <w:rFonts w:hint="eastAsia" w:ascii="方正黑体_GBK" w:hAnsi="方正黑体_GBK" w:eastAsia="方正黑体_GBK" w:cs="方正黑体_GBK"/>
          <w:b w:val="0"/>
          <w:bCs w:val="0"/>
          <w:color w:val="auto"/>
          <w:sz w:val="30"/>
          <w:szCs w:val="30"/>
          <w:highlight w:val="none"/>
        </w:rPr>
        <w:t xml:space="preserve">定标</w:t>
      </w:r>
      <w:bookmarkEnd w:id="172"/>
      <w:r/>
      <w:r/>
    </w:p>
    <w:p>
      <w:pPr>
        <w:pStyle w:val="660"/>
        <w:ind w:firstLine="422"/>
        <w:spacing w:before="0" w:after="0" w:line="240" w:lineRule="auto"/>
        <w:rPr>
          <w:rFonts w:ascii="方正楷体_GBK" w:hAnsi="方正楷体_GBK" w:eastAsia="方正楷体_GBK" w:cs="方正楷体_GBK"/>
          <w:color w:val="auto"/>
          <w:highlight w:val="none"/>
        </w:rPr>
      </w:pPr>
      <w:r/>
      <w:bookmarkStart w:id="173" w:name="_Toc513029238"/>
      <w:r/>
      <w:bookmarkStart w:id="174" w:name="_Toc16938554"/>
      <w:r/>
      <w:bookmarkStart w:id="175" w:name="_Toc20823310"/>
      <w:r>
        <w:rPr>
          <w:rFonts w:hint="eastAsia" w:ascii="方正楷体_GBK" w:hAnsi="方正楷体_GBK" w:eastAsia="方正楷体_GBK" w:cs="方正楷体_GBK"/>
          <w:color w:val="auto"/>
          <w:highlight w:val="none"/>
        </w:rPr>
        <w:t xml:space="preserve">2</w:t>
      </w:r>
      <w:bookmarkEnd w:id="173"/>
      <w:r>
        <w:rPr>
          <w:rFonts w:hint="eastAsia" w:ascii="方正楷体_GBK" w:hAnsi="方正楷体_GBK" w:eastAsia="方正楷体_GBK" w:cs="方正楷体_GBK"/>
          <w:color w:val="auto"/>
          <w:highlight w:val="none"/>
        </w:rPr>
        <w:t xml:space="preserve">6.确定</w:t>
      </w:r>
      <w:bookmarkEnd w:id="174"/>
      <w:r/>
      <w:bookmarkEnd w:id="175"/>
      <w:r>
        <w:rPr>
          <w:rFonts w:hint="eastAsia" w:ascii="方正楷体_GBK" w:hAnsi="方正楷体_GBK" w:eastAsia="方正楷体_GBK" w:cs="方正楷体_GBK"/>
          <w:color w:val="auto"/>
          <w:highlight w:val="none"/>
        </w:rPr>
        <w:t xml:space="preserve">中标单位</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26.4.1 提供虚假材料谋取中标。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26.4.2 向评审专家、采购人或交易中心工作人员行贿或者提供其他不正当利益。</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26.4.3 与其他供应商、评审专家、采购人或交易中心工作人员恶意串通。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26.4.4 属于本文件规定的无效投标情形，但在评标过程中未被评委会发现。</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26.4.5 采取不正当手段诋毁、排挤其他供应商。</w:t>
      </w:r>
      <w:r/>
    </w:p>
    <w:p>
      <w:pPr>
        <w:ind w:firstLine="420"/>
        <w:rPr>
          <w:rFonts w:hint="eastAsia" w:ascii="宋体" w:hAnsi="宋体"/>
          <w:b/>
          <w:bCs/>
          <w:color w:val="auto"/>
          <w:sz w:val="24"/>
          <w:highlight w:val="none"/>
          <w:lang w:val="zh-CN"/>
        </w:rPr>
      </w:pPr>
      <w:r/>
      <w:bookmarkStart w:id="176"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.5.4不同投标人的投标文件异常一致或者投标报价呈规律性差异。</w:t>
      </w:r>
      <w:bookmarkEnd w:id="176"/>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177" w:name="_Toc120614220"/>
      <w:r/>
      <w:bookmarkStart w:id="178" w:name="_Toc513029236"/>
      <w:r/>
      <w:bookmarkStart w:id="179" w:name="_Toc16938552"/>
      <w:r/>
      <w:bookmarkStart w:id="180" w:name="_Toc20823308"/>
      <w:r>
        <w:rPr>
          <w:rFonts w:hint="eastAsia" w:ascii="方正黑体_GBK" w:hAnsi="方正黑体_GBK" w:eastAsia="方正黑体_GBK" w:cs="方正黑体_GBK"/>
          <w:b w:val="0"/>
          <w:bCs w:val="0"/>
          <w:color w:val="auto"/>
          <w:sz w:val="30"/>
          <w:szCs w:val="30"/>
          <w:highlight w:val="none"/>
        </w:rPr>
        <w:t xml:space="preserve">七、授予合同</w:t>
      </w:r>
      <w:bookmarkEnd w:id="177"/>
      <w:r/>
      <w:bookmarkEnd w:id="178"/>
      <w:r/>
      <w:bookmarkEnd w:id="179"/>
      <w:r/>
      <w:bookmarkEnd w:id="180"/>
      <w:r/>
      <w:r/>
    </w:p>
    <w:p>
      <w:pPr>
        <w:pStyle w:val="660"/>
        <w:ind w:firstLine="422"/>
        <w:spacing w:before="0" w:after="0" w:line="240" w:lineRule="auto"/>
        <w:rPr>
          <w:rFonts w:ascii="方正楷体_GBK" w:hAnsi="方正楷体_GBK" w:eastAsia="方正楷体_GBK" w:cs="方正楷体_GBK"/>
          <w:color w:val="auto"/>
          <w:highlight w:val="none"/>
        </w:rPr>
      </w:pPr>
      <w:r/>
      <w:bookmarkStart w:id="181" w:name="_Toc16938553"/>
      <w:r/>
      <w:bookmarkStart w:id="182" w:name="_Toc513029237"/>
      <w:r/>
      <w:bookmarkStart w:id="183" w:name="_Toc20823309"/>
      <w:r>
        <w:rPr>
          <w:rFonts w:hint="eastAsia" w:ascii="方正楷体_GBK" w:hAnsi="方正楷体_GBK" w:eastAsia="方正楷体_GBK" w:cs="方正楷体_GBK"/>
          <w:color w:val="auto"/>
          <w:highlight w:val="none"/>
        </w:rPr>
        <w:t xml:space="preserve">28.签订合同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bookmarkEnd w:id="181"/>
      <w:r/>
      <w:bookmarkEnd w:id="182"/>
      <w:r/>
      <w:bookmarkEnd w:id="183"/>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南京市公共资源交易平台网站“小企业融资平台”，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color w:val="auto"/>
          <w:highlight w:val="none"/>
          <w:lang w:val="zh-CN"/>
        </w:rPr>
      </w:pPr>
      <w:r>
        <w:rPr>
          <w:rFonts w:hint="eastAsia" w:ascii="宋体" w:hAnsi="宋体"/>
          <w:color w:val="auto"/>
          <w:sz w:val="24"/>
          <w:highlight w:val="none"/>
        </w:rPr>
        <w:t xml:space="preserve">30.2依据《关于在全省政府采购领域推行电子履约保函（保险）的通知》（苏财购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rPr>
          <w:rFonts w:hint="eastAsia" w:ascii="宋体" w:hAnsi="宋体"/>
          <w:color w:val="auto"/>
          <w:sz w:val="24"/>
          <w:highlight w:val="none"/>
        </w:rPr>
      </w:pPr>
      <w:r>
        <w:rPr>
          <w:rFonts w:hint="eastAsia" w:ascii="宋体" w:hAnsi="宋体"/>
          <w:color w:val="auto"/>
          <w:sz w:val="24"/>
          <w:highlight w:val="none"/>
        </w:rPr>
        <w:t xml:space="preserve">35.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20"/>
        <w:rPr>
          <w:rFonts w:hint="eastAsia" w:ascii="宋体" w:hAnsi="宋体"/>
          <w:color w:val="auto"/>
          <w:sz w:val="24"/>
          <w:highlight w:val="none"/>
        </w:rPr>
      </w:pPr>
      <w:r>
        <w:rPr>
          <w:rFonts w:hint="eastAsia" w:ascii="宋体" w:hAnsi="宋体"/>
          <w:color w:val="auto"/>
          <w:sz w:val="24"/>
          <w:highlight w:val="none"/>
        </w:rPr>
        <w:t xml:space="preserve">交易中心和采购人只接收以纸质原件形式送达的质疑,建议供应商尽量通过邮寄方式提交质疑（交易中心和采购人不接受未填写快递运单的快件）。</w:t>
      </w:r>
      <w:r/>
    </w:p>
    <w:p>
      <w:pPr>
        <w:ind w:firstLine="420"/>
        <w:rPr>
          <w:rFonts w:hint="eastAsia" w:ascii="宋体" w:hAnsi="宋体"/>
          <w:b/>
          <w:bCs/>
          <w:color w:val="auto"/>
          <w:sz w:val="24"/>
          <w:highlight w:val="none"/>
        </w:rPr>
      </w:pPr>
      <w:r>
        <w:rPr>
          <w:rFonts w:hint="eastAsia" w:ascii="宋体" w:hAnsi="宋体"/>
          <w:b/>
          <w:bCs/>
          <w:color w:val="auto"/>
          <w:sz w:val="24"/>
          <w:highlight w:val="none"/>
        </w:rPr>
        <w:t xml:space="preserve">采购人质疑接收人及联系方式为南京市浦口区教育局，联系地址：浦口区行知路5号，联系人：沈老师，联系电话：025-58882126 。</w:t>
      </w:r>
      <w:r/>
    </w:p>
    <w:p>
      <w:pPr>
        <w:ind w:firstLine="420"/>
        <w:rPr>
          <w:rFonts w:hint="eastAsia" w:ascii="宋体" w:hAnsi="宋体"/>
          <w:color w:val="auto"/>
          <w:sz w:val="24"/>
          <w:highlight w:val="none"/>
        </w:rPr>
      </w:pPr>
      <w:r>
        <w:rPr>
          <w:rFonts w:hint="eastAsia" w:ascii="宋体" w:hAnsi="宋体"/>
          <w:color w:val="auto"/>
          <w:sz w:val="24"/>
          <w:highlight w:val="none"/>
        </w:rPr>
        <w:t xml:space="preserve">交易中心质疑接收部门为业务受理窗口（快递运单上的收件人填写“业务受理窗口”即可），联系地址：南京市浦口区江浦街道象山路4号浦口市民中心B幢五楼受理大厅，联系</w:t>
      </w:r>
      <w:r>
        <w:rPr>
          <w:rFonts w:hint="eastAsia" w:ascii="宋体" w:hAnsi="宋体"/>
          <w:color w:val="auto"/>
          <w:sz w:val="24"/>
          <w:highlight w:val="none"/>
          <w:lang w:val="zh-CN"/>
        </w:rPr>
        <w:t xml:space="preserve">电话：025-69659</w:t>
      </w:r>
      <w:r>
        <w:rPr>
          <w:rFonts w:hint="eastAsia" w:ascii="宋体" w:hAnsi="宋体"/>
          <w:color w:val="auto"/>
          <w:sz w:val="24"/>
          <w:highlight w:val="none"/>
        </w:rPr>
        <w:t xml:space="preserve">050</w:t>
      </w:r>
      <w:r/>
    </w:p>
    <w:p>
      <w:pPr>
        <w:ind w:firstLine="422"/>
        <w:rPr>
          <w:rFonts w:hint="eastAsia" w:ascii="宋体" w:hAnsi="宋体"/>
          <w:b/>
          <w:bCs/>
          <w:color w:val="auto"/>
          <w:sz w:val="24"/>
          <w:highlight w:val="none"/>
          <w:lang w:val="zh-CN"/>
        </w:rPr>
      </w:pPr>
      <w:r>
        <w:rPr>
          <w:rFonts w:hint="eastAsia" w:ascii="宋体" w:hAnsi="宋体"/>
          <w:b/>
          <w:bCs/>
          <w:color w:val="auto"/>
          <w:sz w:val="24"/>
          <w:highlight w:val="none"/>
          <w:lang w:val="zh-CN"/>
        </w:rPr>
        <w:t xml:space="preserve">由采购人负责答复的质疑，采购人将《质疑答复函》抄送交易中心。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内容不符合《政府采购质疑和投诉办法》第十二条规定的质疑。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超出政府采购法定期限的质疑。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以传真、电子邮件等方式递交的非原件形式的质疑。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6.4 未参加采购活动或在采购活动中自身权益未受到损害的供应商所提出的质疑。</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36.5供应商组成联合体参加采购活动，联合体中任何一方或多方未按要求签字或签章、加盖公章的质疑。</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36.6 法律法规规定的其他不予受理情形。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38.1 </w:t>
      </w:r>
      <w:r>
        <w:rPr>
          <w:rFonts w:hint="eastAsia" w:ascii="宋体" w:hAnsi="宋体"/>
          <w:color w:val="auto"/>
          <w:sz w:val="24"/>
          <w:highlight w:val="none"/>
          <w:lang w:val="zh-CN"/>
        </w:rPr>
        <w:t xml:space="preserve">本项目中的货物全部由中小企业制造的，投标供应商享受中小企业扶持政策。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节能环保产品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40</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《商品包装政府采购需求标准（试行）》《快递包装政府采购需求标准（试行）》（财办库〔2020〕123号）、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41</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color w:val="auto"/>
          <w:sz w:val="24"/>
          <w:highlight w:val="none"/>
          <w:lang w:val="zh-CN"/>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42.</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42.2</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32"/>
        <w:ind w:left="0"/>
        <w:jc w:val="center"/>
        <w:tabs>
          <w:tab w:val="left" w:pos="463" w:leader="none"/>
        </w:tabs>
        <w:rPr>
          <w:rFonts w:ascii="方正小标宋简体" w:hAnsi="方正小标宋简体" w:eastAsia="方正小标宋简体" w:cs="方正小标宋简体"/>
          <w:color w:val="auto"/>
          <w:sz w:val="36"/>
          <w:szCs w:val="36"/>
          <w:highlight w:val="none"/>
          <w:lang w:val="en-US"/>
        </w:rPr>
        <w:outlineLvl w:val="0"/>
      </w:pPr>
      <w:r>
        <w:rPr>
          <w:rFonts w:hint="eastAsia" w:ascii="宋体" w:hAnsi="宋体"/>
          <w:color w:val="auto"/>
          <w:sz w:val="24"/>
          <w:highlight w:val="none"/>
        </w:rPr>
        <w:br w:type="page" w:clear="all"/>
      </w:r>
      <w:bookmarkEnd w:id="52"/>
      <w:r/>
      <w:bookmarkEnd w:id="53"/>
      <w:r/>
      <w:bookmarkEnd w:id="54"/>
      <w:r/>
      <w:bookmarkEnd w:id="55"/>
      <w:r/>
      <w:bookmarkEnd w:id="56"/>
      <w:r/>
      <w:bookmarkStart w:id="184" w:name="_Hlt16619350"/>
      <w:r/>
      <w:bookmarkStart w:id="185" w:name="_Toc20823346"/>
      <w:r/>
      <w:bookmarkStart w:id="186" w:name="_Toc120614244"/>
      <w:r/>
      <w:bookmarkStart w:id="187" w:name="_Toc16938590"/>
      <w:r/>
      <w:bookmarkStart w:id="188" w:name="_Toc462564139"/>
      <w:r/>
      <w:bookmarkStart w:id="189" w:name="_Toc479757211"/>
      <w:r>
        <w:rPr>
          <w:rFonts w:hint="eastAsia" w:ascii="方正小标宋简体" w:hAnsi="方正小标宋简体" w:eastAsia="方正小标宋简体" w:cs="方正小标宋简体"/>
          <w:color w:val="auto"/>
          <w:sz w:val="36"/>
          <w:szCs w:val="36"/>
          <w:highlight w:val="none"/>
          <w:lang w:val="en-US"/>
        </w:rPr>
        <w:t xml:space="preserve">第三章  合同文本</w:t>
      </w:r>
      <w:r/>
    </w:p>
    <w:p>
      <w:pPr>
        <w:jc w:val="center"/>
        <w:spacing w:before="120" w:after="120" w:line="264" w:lineRule="auto"/>
        <w:rPr>
          <w:rFonts w:hint="eastAsia" w:ascii="宋体" w:hAnsi="宋体"/>
          <w:bCs/>
          <w:color w:val="auto"/>
          <w:sz w:val="24"/>
          <w:szCs w:val="21"/>
          <w:highlight w:val="none"/>
        </w:rPr>
      </w:pPr>
      <w:r/>
      <w:bookmarkStart w:id="190" w:name="_Toc20823315"/>
      <w:r/>
      <w:bookmarkStart w:id="191" w:name="_Toc513029243"/>
      <w:r/>
      <w:bookmarkStart w:id="192" w:name="_Toc16938559"/>
      <w:r>
        <w:rPr>
          <w:rFonts w:hint="eastAsia" w:ascii="宋体" w:hAnsi="宋体"/>
          <w:bCs/>
          <w:color w:val="auto"/>
          <w:sz w:val="24"/>
          <w:szCs w:val="21"/>
          <w:highlight w:val="none"/>
        </w:rPr>
        <w:t xml:space="preserve">以下为本项目的合同条款，合同双方不得对招标、投标文件内容作实质性修改。</w:t>
      </w:r>
      <w:r/>
    </w:p>
    <w:p>
      <w:pPr>
        <w:pStyle w:val="932"/>
        <w:ind w:left="0"/>
        <w:spacing w:line="264" w:lineRule="auto"/>
        <w:rPr>
          <w:color w:val="auto"/>
          <w:highlight w:val="none"/>
        </w:rPr>
      </w:pPr>
      <w:r>
        <w:rPr>
          <w:color w:val="auto"/>
          <w:highlight w:val="none"/>
        </w:rPr>
      </w:r>
      <w:r/>
    </w:p>
    <w:p>
      <w:pPr>
        <w:jc w:val="center"/>
        <w:spacing w:before="120" w:after="120" w:line="264" w:lineRule="auto"/>
        <w:rPr>
          <w:rFonts w:ascii="方正小标宋简体" w:hAnsi="方正小标宋简体" w:eastAsia="方正小标宋简体" w:cs="方正小标宋简体"/>
          <w:bCs/>
          <w:color w:val="auto"/>
          <w:sz w:val="32"/>
          <w:szCs w:val="32"/>
          <w:highlight w:val="none"/>
        </w:rPr>
        <w:outlineLvl w:val="1"/>
      </w:pPr>
      <w:r>
        <w:rPr>
          <w:rFonts w:hint="eastAsia" w:ascii="方正小标宋简体" w:hAnsi="方正小标宋简体" w:eastAsia="方正小标宋简体" w:cs="方正小标宋简体"/>
          <w:bCs/>
          <w:color w:val="auto"/>
          <w:sz w:val="32"/>
          <w:szCs w:val="32"/>
          <w:highlight w:val="none"/>
        </w:rPr>
        <w:t xml:space="preserve">南京市政府采购合同（服务）</w:t>
      </w:r>
      <w:r/>
    </w:p>
    <w:p>
      <w:pPr>
        <w:jc w:val="left"/>
        <w:spacing w:before="120" w:after="120"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20" w:after="120"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20" w:after="120"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20" w:after="120"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spacing w:line="264" w:lineRule="auto"/>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项目公开招标结果，签署本合同。</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一、合同内容</w:t>
      </w:r>
      <w:r/>
    </w:p>
    <w:p>
      <w:pPr>
        <w:rPr>
          <w:rFonts w:hint="eastAsia" w:ascii="宋体" w:hAnsi="宋体" w:cs="宋体"/>
          <w:color w:val="auto"/>
          <w:sz w:val="24"/>
          <w:szCs w:val="24"/>
          <w:highlight w:val="none"/>
        </w:rPr>
      </w:pPr>
      <w:r>
        <w:rPr>
          <w:rFonts w:ascii="宋体" w:hAnsi="宋体" w:cs="宋体"/>
          <w:color w:val="auto"/>
          <w:sz w:val="24"/>
          <w:szCs w:val="24"/>
          <w:highlight w:val="none"/>
        </w:rPr>
        <w:t xml:space="preserve">1.1 </w:t>
      </w:r>
      <w:r>
        <w:rPr>
          <w:rFonts w:hint="eastAsia" w:ascii="宋体" w:hAnsi="宋体" w:cs="宋体"/>
          <w:color w:val="auto"/>
          <w:sz w:val="24"/>
          <w:szCs w:val="24"/>
          <w:highlight w:val="none"/>
        </w:rPr>
        <w:t xml:space="preserve">标的</w:t>
      </w:r>
      <w:r>
        <w:rPr>
          <w:rFonts w:ascii="宋体" w:hAnsi="宋体" w:cs="宋体"/>
          <w:color w:val="auto"/>
          <w:sz w:val="24"/>
          <w:szCs w:val="24"/>
          <w:highlight w:val="none"/>
        </w:rPr>
        <w:t xml:space="preserve">名称：</w:t>
      </w:r>
      <w:r/>
    </w:p>
    <w:p>
      <w:pPr>
        <w:rPr>
          <w:rFonts w:hint="eastAsia" w:ascii="宋体" w:hAnsi="宋体" w:cs="宋体"/>
          <w:color w:val="auto"/>
          <w:sz w:val="24"/>
          <w:szCs w:val="24"/>
          <w:highlight w:val="none"/>
        </w:rPr>
      </w:pP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 标的质量：按招标文件及投标文件执行。</w:t>
      </w:r>
      <w:r/>
    </w:p>
    <w:p>
      <w:pPr>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.3 标的数量（规模）：按招标文件及投标文件执行。</w:t>
      </w:r>
      <w:r/>
    </w:p>
    <w:p>
      <w:pPr>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.4 履行时间（期限）：按招标文件及投标文件执行。</w:t>
      </w:r>
      <w:r/>
    </w:p>
    <w:p>
      <w:pPr>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.5 履行地点：甲方指定地点。</w:t>
      </w:r>
      <w:r/>
    </w:p>
    <w:p>
      <w:pPr>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.6 履行方式：按招标文件及投标文件执行。</w:t>
      </w:r>
      <w:r/>
    </w:p>
    <w:p>
      <w:pPr>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7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二、合同金额</w:t>
      </w:r>
      <w:r/>
    </w:p>
    <w:p>
      <w:pPr>
        <w:pStyle w:val="983"/>
        <w:spacing w:line="264" w:lineRule="auto"/>
        <w:rPr>
          <w:rFonts w:hint="eastAsia"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本合同金额为：人民币____________________元，（大写：_____________________）。</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乙方应按招标文件规定的时间向甲方提供服务（包含与服务相关的货物）的有关技术资料。</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签订合同时，乙方按照合同金额</w:t>
      </w:r>
      <w:r>
        <w:rPr>
          <w:rFonts w:hint="eastAsia" w:ascii="宋体" w:hAnsi="宋体" w:cs="Courier New"/>
          <w:color w:val="auto"/>
          <w:sz w:val="24"/>
          <w:szCs w:val="24"/>
          <w:highlight w:val="none"/>
          <w:u w:val="single"/>
        </w:rPr>
        <w:t xml:space="preserve">3%</w:t>
      </w:r>
      <w:r>
        <w:rPr>
          <w:rFonts w:hint="eastAsia" w:ascii="宋体" w:hAnsi="宋体" w:cs="Courier New"/>
          <w:color w:val="auto"/>
          <w:sz w:val="24"/>
          <w:szCs w:val="24"/>
          <w:highlight w:val="none"/>
        </w:rPr>
        <w:t xml:space="preserve">缴纳履约保证金。合同履行结束后，甲方按以下约定退还：</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6.1.1 退还时间及条件：验收合格且合同履行期结束后5个工作日内。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6.1.2 退还方式：扣除违约费用后一次性无息退还。</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6.1.3 不予退还的情形：合同约定的交付期内未履约完成、验收不合格、整改不到位等情形。</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方正黑体_GBK" w:hAnsi="方正黑体_GBK" w:eastAsia="方正黑体_GBK" w:cs="方正黑体_GBK"/>
          <w:bCs/>
          <w:color w:val="auto"/>
          <w:sz w:val="24"/>
          <w:szCs w:val="24"/>
          <w:highlight w:val="none"/>
        </w:rPr>
      </w:pPr>
      <w:r>
        <w:rPr>
          <w:rFonts w:hint="eastAsia" w:ascii="宋体" w:hAnsi="宋体" w:cs="Courier New"/>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八、合同款项支付</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8.1 合同款项的支付方式及时间</w:t>
      </w:r>
      <w:r/>
    </w:p>
    <w:p>
      <w:pPr>
        <w:spacing w:line="264" w:lineRule="auto"/>
        <w:rPr>
          <w:rFonts w:hint="eastAsia" w:hAnsi="宋体" w:cs="Courier New"/>
          <w:color w:val="auto"/>
          <w:sz w:val="24"/>
          <w:szCs w:val="24"/>
          <w:highlight w:val="none"/>
          <w:shd w:val="clear" w:color="auto" w:fill="92d050"/>
        </w:rPr>
      </w:pPr>
      <w:r>
        <w:rPr>
          <w:rFonts w:hint="eastAsia" w:hAnsi="宋体" w:cs="Courier New"/>
          <w:color w:val="auto"/>
          <w:sz w:val="24"/>
          <w:szCs w:val="24"/>
          <w:highlight w:val="none"/>
          <w:shd w:val="clear" w:color="auto" w:fill="92d050"/>
        </w:rPr>
        <w:t xml:space="preserve">8.1.1 合同签订并提供进场施工证明材料后，支付合同总额的</w:t>
      </w:r>
      <w:r>
        <w:rPr>
          <w:rFonts w:hAnsi="宋体" w:cs="Courier New"/>
          <w:color w:val="auto"/>
          <w:sz w:val="24"/>
          <w:szCs w:val="24"/>
          <w:highlight w:val="none"/>
          <w:shd w:val="clear" w:color="auto" w:fill="92d050"/>
        </w:rPr>
        <w:t xml:space="preserve">30%</w:t>
      </w:r>
      <w:r>
        <w:rPr>
          <w:rFonts w:hint="eastAsia" w:hAnsi="宋体" w:cs="Courier New"/>
          <w:color w:val="auto"/>
          <w:sz w:val="24"/>
          <w:szCs w:val="24"/>
          <w:highlight w:val="none"/>
          <w:shd w:val="clear" w:color="auto" w:fill="92d050"/>
        </w:rPr>
        <w:t xml:space="preserve">作为预付款；项目竣工后，经使用学校对标功能评估合格、在专家验收考评合格后，支付至合同结算款的</w:t>
      </w:r>
      <w:r>
        <w:rPr>
          <w:rFonts w:hAnsi="宋体" w:cs="Courier New"/>
          <w:color w:val="auto"/>
          <w:sz w:val="24"/>
          <w:szCs w:val="24"/>
          <w:highlight w:val="none"/>
          <w:shd w:val="clear" w:color="auto" w:fill="92d050"/>
        </w:rPr>
        <w:t xml:space="preserve">9</w:t>
      </w:r>
      <w:r>
        <w:rPr>
          <w:rFonts w:hint="eastAsia" w:hAnsi="宋体" w:cs="Courier New"/>
          <w:color w:val="auto"/>
          <w:sz w:val="24"/>
          <w:szCs w:val="24"/>
          <w:highlight w:val="none"/>
          <w:shd w:val="clear" w:color="auto" w:fill="92d050"/>
        </w:rPr>
        <w:t xml:space="preserve">0</w:t>
      </w:r>
      <w:r>
        <w:rPr>
          <w:rFonts w:hAnsi="宋体" w:cs="Courier New"/>
          <w:color w:val="auto"/>
          <w:sz w:val="24"/>
          <w:szCs w:val="24"/>
          <w:highlight w:val="none"/>
          <w:shd w:val="clear" w:color="auto" w:fill="92d050"/>
        </w:rPr>
        <w:t xml:space="preserve">%</w:t>
      </w:r>
      <w:r>
        <w:rPr>
          <w:rFonts w:hint="eastAsia" w:hAnsi="宋体" w:cs="Courier New"/>
          <w:color w:val="auto"/>
          <w:sz w:val="24"/>
          <w:szCs w:val="24"/>
          <w:highlight w:val="none"/>
          <w:shd w:val="clear" w:color="auto" w:fill="92d050"/>
        </w:rPr>
        <w:t xml:space="preserve">，余款在一年后（从验收日起）无质量异议一次无息付清。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8.1.2 满足合同约定支付条件的，甲方收到乙方发票后30个工作日内，将资金支付到合同约定的乙方账户。 </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8.2 根据《保障中小企业款项支付条例》规定，甲方未按合同约定支付款项的，乙方可以向有关部门投诉。</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乙方提供的货物在质保期内因货物本身的质量问题发生故障，乙方应负责更换。对达不到技术要求者，根据实际情况，经双方协商可按以下方式处理：</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如在使用过程中发生质量问题，乙方应在接到甲方通知后小时内到达甲方现场。</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color w:val="auto"/>
          <w:highlight w:val="none"/>
        </w:rPr>
      </w:pPr>
      <w:r>
        <w:rPr>
          <w:rFonts w:hint="eastAsia" w:ascii="宋体" w:hAnsi="宋体" w:cs="Courier New"/>
          <w:color w:val="auto"/>
          <w:sz w:val="24"/>
          <w:szCs w:val="24"/>
          <w:highlight w:val="none"/>
        </w:rPr>
        <w:t xml:space="preserve">10.5 质保期</w:t>
      </w:r>
      <w:r>
        <w:rPr>
          <w:rFonts w:hint="eastAsia" w:ascii="宋体" w:hAnsi="宋体" w:cs="Courier New"/>
          <w:color w:val="auto"/>
          <w:sz w:val="24"/>
          <w:szCs w:val="24"/>
          <w:highlight w:val="none"/>
          <w:lang w:val="en-US" w:eastAsia="zh-CN"/>
        </w:rPr>
        <w:t xml:space="preserve">内</w:t>
      </w:r>
      <w:r>
        <w:rPr>
          <w:rFonts w:hint="eastAsia" w:ascii="宋体" w:hAnsi="宋体" w:cs="Courier New"/>
          <w:color w:val="auto"/>
          <w:sz w:val="24"/>
          <w:szCs w:val="24"/>
          <w:highlight w:val="none"/>
        </w:rPr>
        <w:t xml:space="preserve">，因人为因素出现的故障不在质保范围内。超过质保期的乙方负责终身维修，维修时只收取部件成本费。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一</w:t>
      </w:r>
      <w:r>
        <w:rPr>
          <w:rFonts w:hint="eastAsia" w:ascii="方正黑体_GBK" w:hAnsi="方正黑体_GBK" w:eastAsia="方正黑体_GBK" w:cs="方正黑体_GBK"/>
          <w:bCs/>
          <w:color w:val="auto"/>
          <w:sz w:val="24"/>
          <w:szCs w:val="24"/>
          <w:highlight w:val="none"/>
        </w:rPr>
        <w:t xml:space="preserve">、项目验收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outlineLvl w:val="1"/>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三</w:t>
      </w:r>
      <w:r>
        <w:rPr>
          <w:rFonts w:hint="eastAsia" w:ascii="方正黑体_GBK" w:hAnsi="方正黑体_GBK" w:eastAsia="方正黑体_GBK" w:cs="方正黑体_GBK"/>
          <w:bCs/>
          <w:color w:val="auto"/>
          <w:sz w:val="24"/>
          <w:szCs w:val="24"/>
          <w:highlight w:val="none"/>
        </w:rPr>
        <w:t xml:space="preserve">、违约责任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.1 甲方无正当理由拒绝接受乙方提供服务的，应向乙方偿付拒绝接受服务合同总额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.2 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default" w:ascii="Arial" w:hAnsi="Arial" w:cs="Arial"/>
          <w:color w:val="auto"/>
          <w:sz w:val="24"/>
          <w:szCs w:val="24"/>
          <w:highlight w:val="none"/>
          <w:u w:val="single"/>
          <w:lang w:val="en-US" w:eastAsia="zh-CN"/>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ascii="宋体" w:hAnsi="宋体" w:cs="宋体"/>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default" w:ascii="Arial" w:hAnsi="Arial" w:cs="Arial"/>
          <w:color w:val="auto"/>
          <w:sz w:val="24"/>
          <w:szCs w:val="24"/>
          <w:highlight w:val="none"/>
          <w:u w:val="single"/>
          <w:lang w:val="en-US" w:eastAsia="zh-CN"/>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.4 乙方所提供服务的标准不符合合同规定及招标文件规定标准的，甲方有权拒绝接受服务，并可单方面解除合同。</w:t>
      </w:r>
      <w:r/>
    </w:p>
    <w:p>
      <w:pPr>
        <w:spacing w:line="264" w:lineRule="auto"/>
        <w:rPr>
          <w:color w:val="auto"/>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四</w:t>
      </w:r>
      <w:r>
        <w:rPr>
          <w:rFonts w:hint="eastAsia" w:ascii="方正黑体_GBK" w:hAnsi="方正黑体_GBK" w:eastAsia="方正黑体_GBK" w:cs="方正黑体_GBK"/>
          <w:bCs/>
          <w:color w:val="auto"/>
          <w:sz w:val="24"/>
          <w:szCs w:val="24"/>
          <w:highlight w:val="none"/>
        </w:rPr>
        <w:t xml:space="preserve">、不可抗力事件处理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.3 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五</w:t>
      </w:r>
      <w:r>
        <w:rPr>
          <w:rFonts w:hint="eastAsia" w:ascii="方正黑体_GBK" w:hAnsi="方正黑体_GBK" w:eastAsia="方正黑体_GBK" w:cs="方正黑体_GBK"/>
          <w:bCs/>
          <w:color w:val="auto"/>
          <w:sz w:val="24"/>
          <w:szCs w:val="24"/>
          <w:highlight w:val="none"/>
        </w:rPr>
        <w:t xml:space="preserve">、解决争议的方法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.1 双方在签订、履行合同中所发生的一切争议，应通过友好协商解决。如协商不成的由甲方住所地人民法院管辖。</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六</w:t>
      </w:r>
      <w:r>
        <w:rPr>
          <w:rFonts w:hint="eastAsia" w:ascii="方正黑体_GBK" w:hAnsi="方正黑体_GBK" w:eastAsia="方正黑体_GBK" w:cs="方正黑体_GBK"/>
          <w:bCs/>
          <w:color w:val="auto"/>
          <w:sz w:val="24"/>
          <w:szCs w:val="24"/>
          <w:highlight w:val="none"/>
        </w:rPr>
        <w:t xml:space="preserve">、合同生效及其它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6</w:t>
      </w:r>
      <w:r>
        <w:rPr>
          <w:rFonts w:hint="eastAsia" w:ascii="宋体" w:hAnsi="宋体" w:cs="Courier New"/>
          <w:color w:val="auto"/>
          <w:sz w:val="24"/>
          <w:szCs w:val="24"/>
          <w:highlight w:val="none"/>
        </w:rPr>
        <w:t xml:space="preserve">.1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6</w:t>
      </w:r>
      <w:r>
        <w:rPr>
          <w:rFonts w:hint="eastAsia" w:ascii="宋体" w:hAnsi="宋体" w:cs="Courier New"/>
          <w:color w:val="auto"/>
          <w:sz w:val="24"/>
          <w:szCs w:val="24"/>
          <w:highlight w:val="none"/>
        </w:rPr>
        <w:t xml:space="preserve">.2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6</w:t>
      </w:r>
      <w:r>
        <w:rPr>
          <w:rFonts w:hint="eastAsia" w:ascii="宋体" w:hAnsi="宋体" w:cs="Courier New"/>
          <w:color w:val="auto"/>
          <w:sz w:val="24"/>
          <w:szCs w:val="24"/>
          <w:highlight w:val="none"/>
        </w:rPr>
        <w:t xml:space="preserve">.3 本合同正本一式两份，具有同等法律效力，甲方、乙方各执一份。</w:t>
      </w:r>
      <w:r/>
    </w:p>
    <w:p>
      <w:pPr>
        <w:pStyle w:val="983"/>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  </w:t>
      </w:r>
      <w:bookmarkEnd w:id="190"/>
      <w:r/>
      <w:bookmarkEnd w:id="191"/>
      <w:r/>
      <w:bookmarkEnd w:id="192"/>
      <w:r/>
      <w:r/>
    </w:p>
    <w:p>
      <w:pPr>
        <w:pStyle w:val="983"/>
        <w:ind w:firstLine="24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甲方：（公章）                       乙方：（公章） </w:t>
      </w:r>
      <w:r/>
    </w:p>
    <w:p>
      <w:pPr>
        <w:pStyle w:val="983"/>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  地址：                               地址： </w:t>
      </w:r>
      <w:r/>
    </w:p>
    <w:p>
      <w:pPr>
        <w:pStyle w:val="983"/>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r/>
    </w:p>
    <w:p>
      <w:pPr>
        <w:pStyle w:val="983"/>
        <w:ind w:firstLine="24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983"/>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                                          签订日期：</w:t>
      </w:r>
      <w:r/>
    </w:p>
    <w:p>
      <w:pPr>
        <w:pStyle w:val="983"/>
        <w:ind w:firstLine="5280"/>
        <w:spacing w:before="120" w:after="120" w:line="264" w:lineRule="auto"/>
        <w:rPr>
          <w:rFonts w:hint="eastAsia" w:hAnsi="宋体"/>
          <w:color w:val="auto"/>
          <w:sz w:val="24"/>
          <w:szCs w:val="24"/>
          <w:highlight w:val="none"/>
        </w:rPr>
      </w:pPr>
      <w:r>
        <w:rPr>
          <w:rFonts w:hint="eastAsia" w:hAnsi="宋体"/>
          <w:color w:val="auto"/>
          <w:sz w:val="24"/>
          <w:szCs w:val="24"/>
          <w:highlight w:val="none"/>
        </w:rPr>
      </w:r>
      <w:r/>
    </w:p>
    <w:p>
      <w:pPr>
        <w:pStyle w:val="983"/>
        <w:ind w:firstLine="5280"/>
        <w:spacing w:before="120" w:after="120" w:line="264" w:lineRule="auto"/>
        <w:rPr>
          <w:rFonts w:hint="eastAsia" w:hAnsi="宋体"/>
          <w:color w:val="auto"/>
          <w:sz w:val="24"/>
          <w:szCs w:val="24"/>
          <w:highlight w:val="none"/>
        </w:rPr>
      </w:pPr>
      <w:r>
        <w:rPr>
          <w:rFonts w:hint="eastAsia" w:hAnsi="宋体"/>
          <w:color w:val="auto"/>
          <w:sz w:val="24"/>
          <w:szCs w:val="24"/>
          <w:highlight w:val="none"/>
        </w:rPr>
      </w:r>
      <w:r/>
    </w:p>
    <w:p>
      <w:pPr>
        <w:pStyle w:val="983"/>
        <w:ind w:firstLine="5280"/>
        <w:spacing w:before="120" w:after="120" w:line="264" w:lineRule="auto"/>
        <w:rPr>
          <w:rFonts w:hint="eastAsia" w:hAnsi="宋体"/>
          <w:color w:val="auto"/>
          <w:sz w:val="24"/>
          <w:szCs w:val="24"/>
          <w:highlight w:val="none"/>
        </w:rPr>
      </w:pPr>
      <w:r>
        <w:rPr>
          <w:rFonts w:hint="eastAsia" w:hAnsi="宋体"/>
          <w:color w:val="auto"/>
          <w:sz w:val="24"/>
          <w:szCs w:val="24"/>
          <w:highlight w:val="none"/>
        </w:rPr>
      </w:r>
      <w:r/>
    </w:p>
    <w:p>
      <w:pPr>
        <w:pStyle w:val="983"/>
        <w:ind w:firstLine="5280"/>
        <w:spacing w:before="120" w:after="120" w:line="264" w:lineRule="auto"/>
        <w:rPr>
          <w:rFonts w:hint="eastAsia" w:hAnsi="宋体"/>
          <w:color w:val="auto"/>
          <w:sz w:val="24"/>
          <w:szCs w:val="24"/>
          <w:highlight w:val="none"/>
        </w:rPr>
      </w:pPr>
      <w:r>
        <w:rPr>
          <w:rFonts w:hint="eastAsia" w:hAnsi="宋体"/>
          <w:color w:val="auto"/>
          <w:sz w:val="24"/>
          <w:szCs w:val="24"/>
          <w:highlight w:val="none"/>
        </w:rPr>
      </w:r>
      <w:r/>
    </w:p>
    <w:p>
      <w:pPr>
        <w:pStyle w:val="983"/>
        <w:ind w:firstLine="5280"/>
        <w:spacing w:before="120" w:after="120" w:line="264" w:lineRule="auto"/>
        <w:rPr>
          <w:rFonts w:hint="eastAsia" w:hAnsi="宋体"/>
          <w:color w:val="auto"/>
          <w:sz w:val="24"/>
          <w:szCs w:val="24"/>
          <w:highlight w:val="none"/>
        </w:rPr>
      </w:pPr>
      <w:r>
        <w:rPr>
          <w:rFonts w:hint="eastAsia" w:hAnsi="宋体"/>
          <w:color w:val="auto"/>
          <w:sz w:val="24"/>
          <w:szCs w:val="24"/>
          <w:highlight w:val="none"/>
        </w:rPr>
      </w:r>
      <w:r/>
    </w:p>
    <w:p>
      <w:pPr>
        <w:jc w:val="center"/>
        <w:spacing w:before="120" w:after="120" w:line="264" w:lineRule="auto"/>
        <w:rPr>
          <w:rFonts w:hint="eastAsia" w:ascii="宋体" w:hAnsi="宋体"/>
          <w:b/>
          <w:color w:val="auto"/>
          <w:sz w:val="30"/>
          <w:szCs w:val="21"/>
          <w:highlight w:val="none"/>
        </w:rPr>
        <w:outlineLvl w:val="1"/>
      </w:pPr>
      <w:r>
        <w:rPr>
          <w:rFonts w:hint="eastAsia" w:ascii="宋体" w:hAnsi="宋体"/>
          <w:b/>
          <w:color w:val="auto"/>
          <w:sz w:val="30"/>
          <w:szCs w:val="21"/>
          <w:highlight w:val="none"/>
        </w:rPr>
        <w:t xml:space="preserve">《*******合同》补充协议（合同附件）</w:t>
      </w:r>
      <w:r/>
    </w:p>
    <w:p>
      <w:pPr>
        <w:pStyle w:val="983"/>
        <w:jc w:val="left"/>
        <w:spacing w:line="264" w:lineRule="auto"/>
        <w:rPr>
          <w:rFonts w:hint="eastAsia" w:hAnsi="宋体"/>
          <w:color w:val="auto"/>
          <w:sz w:val="24"/>
          <w:szCs w:val="24"/>
          <w:highlight w:val="none"/>
        </w:rPr>
      </w:pPr>
      <w:r>
        <w:rPr>
          <w:rFonts w:hint="eastAsia" w:hAnsi="宋体"/>
          <w:color w:val="auto"/>
          <w:sz w:val="24"/>
          <w:szCs w:val="24"/>
          <w:highlight w:val="none"/>
        </w:rPr>
        <w:t xml:space="preserve">    如遇招标文件及合同未约定事项，双方可友好协商签订补充协议。</w:t>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bookmarkEnd w:id="184"/>
      <w:bookmarkEnd w:id="185"/>
      <w:bookmarkEnd w:id="186"/>
      <w:bookmarkEnd w:id="187"/>
      <w:r/>
    </w:p>
    <w:p>
      <w:pPr>
        <w:pStyle w:val="974"/>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bookmarkStart w:id="193" w:name="_Toc49090575"/>
      <w:r/>
      <w:bookmarkStart w:id="194" w:name="_Toc26554093"/>
      <w:r>
        <w:rPr>
          <w:rFonts w:hint="eastAsia" w:ascii="方正小标宋简体" w:hAnsi="方正小标宋简体" w:eastAsia="方正小标宋简体" w:cs="方正小标宋简体"/>
          <w:color w:val="auto"/>
          <w:sz w:val="36"/>
          <w:szCs w:val="36"/>
          <w:highlight w:val="none"/>
        </w:rPr>
        <w:t xml:space="preserve">第四章  采购需求</w:t>
      </w:r>
      <w:r/>
    </w:p>
    <w:p>
      <w:pPr>
        <w:ind w:firstLine="480"/>
        <w:rPr>
          <w:rFonts w:hint="eastAsia" w:ascii="宋体" w:hAnsi="宋体"/>
          <w:color w:val="auto"/>
          <w:sz w:val="24"/>
          <w:szCs w:val="24"/>
          <w:highlight w:val="none"/>
        </w:rPr>
        <w:outlineLvl w:val="1"/>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（一）项目背景</w:t>
      </w:r>
      <w:r/>
    </w:p>
    <w:p>
      <w:pPr>
        <w:ind w:firstLine="480"/>
        <w:rPr>
          <w:rFonts w:hint="eastAsia" w:ascii="宋体" w:hAnsi="宋体" w:cs="宋体"/>
          <w:bCs/>
          <w:color w:val="auto"/>
          <w:sz w:val="24"/>
          <w:szCs w:val="24"/>
          <w:highlight w:val="none"/>
        </w:rPr>
        <w:outlineLvl w:val="2"/>
      </w:pPr>
      <w:r>
        <w:rPr>
          <w:rFonts w:ascii="宋体" w:hAnsi="宋体" w:cs="宋体"/>
          <w:bCs/>
          <w:color w:val="auto"/>
          <w:sz w:val="24"/>
          <w:szCs w:val="24"/>
          <w:highlight w:val="none"/>
        </w:rPr>
        <w:t xml:space="preserve">本项目主要为满足</w:t>
      </w:r>
      <w:r>
        <w:rPr>
          <w:rFonts w:hint="eastAsia" w:ascii="宋体" w:hAnsi="宋体"/>
          <w:color w:val="auto"/>
          <w:sz w:val="24"/>
          <w:szCs w:val="24"/>
          <w:highlight w:val="none"/>
        </w:rPr>
        <w:t xml:space="preserve">南京一中浦口分校等学校信息化</w:t>
      </w:r>
      <w:r>
        <w:rPr>
          <w:rFonts w:ascii="宋体" w:hAnsi="宋体" w:cs="宋体"/>
          <w:bCs/>
          <w:color w:val="auto"/>
          <w:sz w:val="24"/>
          <w:szCs w:val="24"/>
          <w:highlight w:val="none"/>
        </w:rPr>
        <w:t xml:space="preserve">需求，采购</w:t>
      </w:r>
      <w:r>
        <w:rPr>
          <w:rFonts w:hint="eastAsia" w:ascii="宋体" w:hAnsi="宋体" w:cs="宋体"/>
          <w:bCs/>
          <w:color w:val="auto"/>
          <w:sz w:val="24"/>
          <w:szCs w:val="24"/>
          <w:highlight w:val="none"/>
        </w:rPr>
        <w:t xml:space="preserve">教育教学信息化等设备</w:t>
      </w:r>
      <w:r>
        <w:rPr>
          <w:rFonts w:ascii="宋体" w:hAnsi="宋体" w:cs="宋体"/>
          <w:bCs/>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市政府办公厅关于印发&lt;南京市市级行政事业单位资产配置标准》、《南京市市级行政事业单位资产使用年限标准》（2016年修订版）的通知》及《关于印发南京市中小学通用资产配置标准的通知》（2023年）、《浦教发〔2023〕34号关于转发南京市中小学通用资产配置标准的通知( 联合发文) 》、《浦政办发2018-110号关于印发浦口区区级行政事业单位资产配置标准》等。</w:t>
      </w:r>
      <w:r/>
    </w:p>
    <w:p>
      <w:pPr>
        <w:ind w:firstLine="480"/>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667"/>
        <w:tblW w:w="10080" w:type="dxa"/>
        <w:jc w:val="center"/>
        <w:tblLayout w:type="autofit"/>
        <w:tblCellMar>
          <w:left w:w="0" w:type="dxa"/>
          <w:top w:w="0" w:type="dxa"/>
          <w:right w:w="0" w:type="dxa"/>
          <w:bottom w:w="0" w:type="dxa"/>
        </w:tblCellMar>
        <w:tblLook w:val="04A0" w:firstRow="1" w:lastRow="0" w:firstColumn="1" w:lastColumn="0" w:noHBand="0" w:noVBand="1"/>
      </w:tblPr>
      <w:tblGrid>
        <w:gridCol w:w="844"/>
        <w:gridCol w:w="2506"/>
        <w:gridCol w:w="849"/>
        <w:gridCol w:w="841"/>
        <w:gridCol w:w="997"/>
        <w:gridCol w:w="1117"/>
        <w:gridCol w:w="1393"/>
        <w:gridCol w:w="1533"/>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Style w:val="984"/>
                <w:b/>
                <w:color w:val="auto"/>
                <w:szCs w:val="21"/>
                <w:highlight w:val="none"/>
              </w:rPr>
            </w:pPr>
            <w:r>
              <w:rPr>
                <w:rStyle w:val="984"/>
                <w:b/>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spacing w:line="360" w:lineRule="auto"/>
              <w:rPr>
                <w:rStyle w:val="984"/>
                <w:b/>
                <w:color w:val="auto"/>
                <w:szCs w:val="21"/>
                <w:highlight w:val="none"/>
              </w:rPr>
            </w:pPr>
            <w:r>
              <w:rPr>
                <w:rStyle w:val="984"/>
                <w:b/>
                <w:color w:val="auto"/>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spacing w:line="360" w:lineRule="auto"/>
              <w:rPr>
                <w:rStyle w:val="984"/>
                <w:b/>
                <w:color w:val="auto"/>
                <w:szCs w:val="21"/>
                <w:highlight w:val="none"/>
              </w:rPr>
            </w:pPr>
            <w:r>
              <w:rPr>
                <w:rStyle w:val="984"/>
                <w:b/>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spacing w:line="360" w:lineRule="auto"/>
              <w:rPr>
                <w:rStyle w:val="984"/>
                <w:b/>
                <w:color w:val="auto"/>
                <w:szCs w:val="21"/>
                <w:highlight w:val="none"/>
              </w:rPr>
            </w:pPr>
            <w:r>
              <w:rPr>
                <w:rStyle w:val="984"/>
                <w:b/>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b/>
                <w:color w:val="auto"/>
                <w:szCs w:val="21"/>
                <w:highlight w:val="none"/>
              </w:rPr>
            </w:pPr>
            <w:r>
              <w:rPr>
                <w:rStyle w:val="984"/>
                <w:rFonts w:hint="eastAsia"/>
                <w:b/>
                <w:color w:val="auto"/>
                <w:szCs w:val="21"/>
                <w:highlight w:val="none"/>
              </w:rPr>
              <w:t xml:space="preserve">最高限价</w:t>
            </w:r>
            <w:r/>
          </w:p>
        </w:tc>
        <w:tc>
          <w:tcPr>
            <w:tcBorders>
              <w:top w:val="single" w:color="000000" w:sz="4" w:space="0"/>
              <w:left w:val="none" w:color="000000" w:sz="4" w:space="0"/>
              <w:bottom w:val="single" w:color="000000" w:sz="4" w:space="0"/>
              <w:right w:val="single" w:color="auto" w:sz="4" w:space="0"/>
            </w:tcBorders>
            <w:tcW w:w="1117" w:type="dxa"/>
            <w:vAlign w:val="center"/>
            <w:textDirection w:val="lrTb"/>
            <w:noWrap w:val="false"/>
          </w:tcPr>
          <w:p>
            <w:pPr>
              <w:jc w:val="center"/>
              <w:spacing w:line="360" w:lineRule="auto"/>
              <w:rPr>
                <w:rStyle w:val="984"/>
                <w:b/>
                <w:color w:val="auto"/>
                <w:szCs w:val="21"/>
                <w:highlight w:val="none"/>
              </w:rPr>
            </w:pPr>
            <w:r>
              <w:rPr>
                <w:rStyle w:val="984"/>
                <w:b/>
                <w:color w:val="auto"/>
                <w:szCs w:val="21"/>
                <w:highlight w:val="none"/>
              </w:rPr>
              <w:t xml:space="preserve">核心产品</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rStyle w:val="985"/>
                <w:rFonts w:cs="宋体"/>
                <w:b/>
                <w:bCs/>
                <w:color w:val="auto"/>
                <w:szCs w:val="21"/>
                <w:highlight w:val="none"/>
              </w:rPr>
            </w:pPr>
            <w:r>
              <w:rPr>
                <w:rStyle w:val="985"/>
                <w:b/>
                <w:bCs/>
                <w:color w:val="auto"/>
                <w:szCs w:val="21"/>
                <w:highlight w:val="none"/>
              </w:rPr>
              <w:t xml:space="preserve">所属类型</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Style w:val="985"/>
                <w:rFonts w:cs="宋体"/>
                <w:b/>
                <w:bCs/>
                <w:color w:val="auto"/>
                <w:szCs w:val="21"/>
                <w:highlight w:val="none"/>
              </w:rPr>
            </w:pPr>
            <w:r>
              <w:rPr>
                <w:rStyle w:val="985"/>
                <w:rFonts w:hint="eastAsia"/>
                <w:b/>
                <w:bCs/>
                <w:color w:val="auto"/>
                <w:szCs w:val="21"/>
                <w:highlight w:val="none"/>
              </w:rPr>
              <w:t xml:space="preserve">产品属性</w:t>
            </w:r>
            <w:r/>
          </w:p>
        </w:tc>
      </w:tr>
      <w:tr>
        <w:trPr>
          <w:jc w:val="center"/>
          <w:trHeight w:val="382"/>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智能音频主机套装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佩戴式无线麦克风</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single" w:color="auto"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20"/>
                <w:szCs w:val="20"/>
                <w:highlight w:val="none"/>
              </w:rPr>
              <w:t xml:space="preserve">阵列麦克风</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20"/>
                <w:szCs w:val="20"/>
                <w:highlight w:val="none"/>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专业扩声音响</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录播主机系统</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教师高清摄像机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学生高清摄像机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全向阵列麦克</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移动讲台</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定制教师边桌</w:t>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张</w:t>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教师椅2</w:t>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张</w:t>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双人桌</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48</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座椅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96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叠加椅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84</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合班教室集成</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rStyle w:val="984"/>
                <w:color w:val="auto"/>
                <w:szCs w:val="21"/>
                <w:highlight w:val="none"/>
              </w:rPr>
            </w:pPr>
            <w:r>
              <w:rPr>
                <w:rFonts w:hint="eastAsia" w:ascii="宋体" w:hAnsi="宋体" w:cs="宋体"/>
                <w:color w:val="auto"/>
                <w:szCs w:val="21"/>
                <w:highlight w:val="none"/>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24口千兆交换机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机房安全网关</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机房学生电脑</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150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机房教师电脑</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3</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olor w:val="auto"/>
                <w:szCs w:val="21"/>
                <w:highlight w:val="none"/>
              </w:rPr>
            </w:pPr>
            <w:r>
              <w:rPr>
                <w:rFonts w:hint="eastAsia" w:ascii="宋体" w:hAnsi="宋体" w:cs="宋体"/>
                <w:color w:val="auto"/>
                <w:szCs w:val="21"/>
                <w:highlight w:val="none"/>
              </w:rPr>
              <w:t xml:space="preserve">教师电脑桌</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olor w:val="auto"/>
                <w:szCs w:val="21"/>
                <w:highlight w:val="none"/>
              </w:rPr>
            </w:pPr>
            <w:r>
              <w:rPr>
                <w:rFonts w:hint="eastAsia" w:ascii="宋体" w:hAnsi="宋体" w:cs="宋体"/>
                <w:color w:val="auto"/>
                <w:szCs w:val="21"/>
                <w:highlight w:val="none"/>
              </w:rPr>
              <w:t xml:space="preserve">教师椅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四人电脑桌</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25</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学生凳</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100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收纳边柜</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组</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20"/>
                <w:szCs w:val="20"/>
                <w:highlight w:val="none"/>
              </w:rPr>
              <w:t xml:space="preserve">网络双绞线</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20"/>
                <w:szCs w:val="20"/>
                <w:highlight w:val="none"/>
              </w:rPr>
              <w:t xml:space="preserve">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20"/>
                <w:szCs w:val="20"/>
                <w:highlight w:val="none"/>
              </w:rPr>
              <w:t xml:space="preserve">箱</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电源线2.5</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电源线4.0</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30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m</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机房专用PDU</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29</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接收主机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佩戴式话筒</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有源音箱</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桌面插座</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27</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防静电地板改造</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40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m2</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rStyle w:val="984"/>
                <w:color w:val="auto"/>
                <w:szCs w:val="21"/>
                <w:highlight w:val="none"/>
              </w:rPr>
            </w:pPr>
            <w:r>
              <w:rPr>
                <w:rFonts w:hint="eastAsia" w:ascii="宋体" w:hAnsi="宋体" w:cs="宋体"/>
                <w:color w:val="auto"/>
                <w:szCs w:val="21"/>
                <w:highlight w:val="none"/>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机房线材及辅材</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机房施工集成</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rStyle w:val="984"/>
                <w:color w:val="auto"/>
                <w:szCs w:val="21"/>
                <w:highlight w:val="none"/>
              </w:rPr>
            </w:pPr>
            <w:r>
              <w:rPr>
                <w:rFonts w:hint="eastAsia" w:ascii="宋体" w:hAnsi="宋体" w:cs="宋体"/>
                <w:color w:val="auto"/>
                <w:szCs w:val="21"/>
                <w:highlight w:val="none"/>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室外全彩色LED显示屏</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8.6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平方米</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核心产品</w:t>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LED显示屏-视频处理器</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LED显示屏-PLC</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10KW室外配电柜</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一体箱与基础预埋</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LED通讯线缆</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LED强电电缆</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信息发布管理电脑</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双联操作台</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程控电话主机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电话机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86寸触控一体机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5</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一体机移动支架</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522"/>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移动书写板</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984"/>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视频会议一体机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984"/>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上网行为管理</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多功能一体机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3</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激光打印机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5</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彩色数码复合机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数码速印机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移动刻录光驱</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办公笔记本电脑</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14</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421"/>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办公台式电脑</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92</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none" w:color="000000" w:sz="4" w:space="0"/>
              <w:left w:val="single" w:color="000000" w:sz="4" w:space="0"/>
              <w:bottom w:val="single" w:color="auto" w:sz="4" w:space="0"/>
              <w:right w:val="single" w:color="000000"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auto" w:sz="4" w:space="0"/>
              <w:right w:val="single" w:color="000000"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智慧黑板</w:t>
            </w:r>
            <w:r/>
          </w:p>
        </w:tc>
        <w:tc>
          <w:tcPr>
            <w:tcBorders>
              <w:top w:val="none" w:color="000000" w:sz="4" w:space="0"/>
              <w:left w:val="single" w:color="000000" w:sz="4" w:space="0"/>
              <w:bottom w:val="single" w:color="auto" w:sz="4" w:space="0"/>
              <w:right w:val="single" w:color="000000"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10</w:t>
            </w:r>
            <w:r/>
          </w:p>
        </w:tc>
        <w:tc>
          <w:tcPr>
            <w:tcBorders>
              <w:top w:val="none" w:color="000000" w:sz="4" w:space="0"/>
              <w:left w:val="single" w:color="000000" w:sz="4" w:space="0"/>
              <w:bottom w:val="single" w:color="auto" w:sz="4" w:space="0"/>
              <w:right w:val="single" w:color="000000"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none" w:color="000000" w:sz="4" w:space="0"/>
              <w:left w:val="none" w:color="000000" w:sz="4" w:space="0"/>
              <w:bottom w:val="single" w:color="auto" w:sz="4" w:space="0"/>
              <w:right w:val="single" w:color="000000"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auto" w:sz="4" w:space="0"/>
              <w:right w:val="single" w:color="000000"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none" w:color="000000" w:sz="4" w:space="0"/>
              <w:left w:val="none" w:color="000000" w:sz="4" w:space="0"/>
              <w:bottom w:val="single" w:color="auto" w:sz="4" w:space="0"/>
              <w:right w:val="single" w:color="000000"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none" w:color="000000" w:sz="4" w:space="0"/>
              <w:left w:val="none" w:color="000000" w:sz="4" w:space="0"/>
              <w:bottom w:val="single" w:color="auto" w:sz="4" w:space="0"/>
              <w:right w:val="single" w:color="000000"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视频展台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无线键鼠套装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多媒体讲台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推拉黑板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11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边台桌椅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音箱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功率放大器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双通道手持无线麦克风套装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设备机柜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线材及管材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音视频系统集成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auto"/>
                <w:szCs w:val="21"/>
                <w:highlight w:val="none"/>
              </w:rPr>
            </w:pPr>
            <w:r>
              <w:rPr>
                <w:rFonts w:hint="eastAsia" w:ascii="宋体" w:hAnsi="宋体" w:cs="宋体"/>
                <w:color w:val="auto"/>
                <w:szCs w:val="21"/>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音视频系统安装调试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auto"/>
                <w:szCs w:val="21"/>
                <w:highlight w:val="none"/>
              </w:rPr>
            </w:pPr>
            <w:r>
              <w:rPr>
                <w:rFonts w:hint="eastAsia" w:ascii="宋体" w:hAnsi="宋体" w:cs="宋体"/>
                <w:color w:val="auto"/>
                <w:szCs w:val="21"/>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多媒体系统安装调试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auto"/>
                <w:szCs w:val="21"/>
                <w:highlight w:val="none"/>
              </w:rPr>
            </w:pPr>
            <w:r>
              <w:rPr>
                <w:rFonts w:hint="eastAsia" w:ascii="宋体" w:hAnsi="宋体" w:cs="宋体"/>
                <w:color w:val="auto"/>
                <w:szCs w:val="21"/>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无线接收主机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无线麦克风</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单位话筒充电座（含支架）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远距离无线手持话筒</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无线信号放大器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全方位天线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强波器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馈线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90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2"/>
                <w:highlight w:val="none"/>
              </w:rPr>
              <w:t xml:space="preserve">话筒立架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六类非屏蔽双绞线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140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电源线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45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2"/>
                <w:highlight w:val="none"/>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音频线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70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auto"/>
                <w:szCs w:val="21"/>
                <w:highlight w:val="none"/>
              </w:rPr>
            </w:pPr>
            <w:r>
              <w:rPr>
                <w:rFonts w:hint="eastAsia" w:ascii="宋体" w:hAnsi="宋体" w:cs="宋体"/>
                <w:color w:val="auto"/>
                <w:szCs w:val="21"/>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千兆接入交换机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全网行为管理设备</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信息面板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34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信息模块</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34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配线架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理线架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网络跳线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70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六类非屏蔽双绞线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8</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箱</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管材及安装辅材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安装及调试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34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auto"/>
                <w:szCs w:val="21"/>
                <w:highlight w:val="none"/>
              </w:rPr>
            </w:pPr>
            <w:r>
              <w:rPr>
                <w:rFonts w:hint="eastAsia" w:ascii="宋体" w:hAnsi="宋体" w:cs="宋体"/>
                <w:color w:val="auto"/>
                <w:szCs w:val="21"/>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86寸智能触控一体机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组合推拉搪瓷白板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视频展台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高清视频分配器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教学扩音主设备</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扩音辅助音箱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安全网关</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实木钢制教师桌</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教师椅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实木钢制学生桌（四人）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实木钢制学生桌（双人）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实木钢制方凳</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50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收纳边柜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收纳边柜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强电面板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27</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电源接线板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27</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安装辅材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线路检测</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间</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安装及系统集成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auto"/>
                <w:szCs w:val="21"/>
                <w:highlight w:val="none"/>
              </w:rPr>
            </w:pPr>
            <w:r>
              <w:rPr>
                <w:rFonts w:hint="eastAsia" w:ascii="宋体" w:hAnsi="宋体" w:cs="宋体"/>
                <w:color w:val="auto"/>
                <w:szCs w:val="21"/>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无线便携录播主机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无线摄像机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采集端软件（若是内置，合并硬件中）</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无线图传盒</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VGA数据编码软件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航空箱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三脚架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auto"/>
                <w:szCs w:val="21"/>
                <w:highlight w:val="none"/>
              </w:rPr>
            </w:pPr>
            <w:r>
              <w:rPr>
                <w:rFonts w:hint="eastAsia" w:ascii="宋体" w:hAnsi="宋体" w:cs="宋体"/>
                <w:color w:val="auto"/>
                <w:szCs w:val="21"/>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一拖四无线话筒（四手持）</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一拖四无线话筒（四头戴）</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12路调音台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专业功放</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全自动反馈抑制器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双15专业音箱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8路电源时序器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多功能航空防震机柜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话筒立架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移动电源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音箱线绕线盘</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户外音箱线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160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专用广播线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280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六类非屏蔽双绞线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箱</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线路敷设含恢复</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46</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984"/>
                <w:rFonts w:hint="eastAsia" w:ascii="宋体" w:hAnsi="宋体" w:cs="宋体"/>
                <w:color w:val="auto"/>
                <w:szCs w:val="21"/>
                <w:highlight w:val="none"/>
              </w:rPr>
            </w:pPr>
            <w:r>
              <w:rPr>
                <w:rFonts w:hint="eastAsia" w:ascii="宋体" w:hAnsi="宋体" w:cs="宋体"/>
                <w:color w:val="auto"/>
                <w:sz w:val="20"/>
                <w:szCs w:val="20"/>
                <w:highlight w:val="none"/>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color w:val="auto"/>
                <w:szCs w:val="21"/>
                <w:highlight w:val="none"/>
              </w:rPr>
            </w:pPr>
            <w:r>
              <w:rPr>
                <w:rFonts w:hint="eastAsia" w:ascii="宋体" w:hAnsi="宋体" w:cs="宋体"/>
                <w:color w:val="auto"/>
                <w:sz w:val="20"/>
                <w:szCs w:val="20"/>
                <w:highlight w:val="none"/>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auto"/>
                <w:szCs w:val="21"/>
                <w:highlight w:val="none"/>
              </w:rPr>
            </w:pPr>
            <w:r>
              <w:rPr>
                <w:rFonts w:hint="eastAsia" w:ascii="宋体" w:hAnsi="宋体" w:cs="宋体"/>
                <w:color w:val="auto"/>
                <w:szCs w:val="21"/>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IP网络广播主机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数字化IP网络广播客户端管理软件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采集器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机架式IP终端</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前置放大器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1500W定压功放</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货物*</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984"/>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color w:val="auto"/>
                <w:szCs w:val="21"/>
                <w:highlight w:val="none"/>
              </w:rPr>
            </w:pPr>
            <w:r>
              <w:rPr>
                <w:rFonts w:hint="eastAsia" w:ascii="宋体" w:hAnsi="宋体" w:cs="宋体"/>
                <w:color w:val="auto"/>
                <w:szCs w:val="21"/>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color w:val="auto"/>
                <w:szCs w:val="21"/>
                <w:highlight w:val="none"/>
              </w:rPr>
            </w:pPr>
            <w:r>
              <w:rPr>
                <w:rStyle w:val="984"/>
                <w:rFonts w:hint="eastAsia"/>
                <w:color w:val="auto"/>
                <w:szCs w:val="21"/>
                <w:highlight w:val="none"/>
              </w:rPr>
              <w:t xml:space="preserve">服务*</w:t>
            </w:r>
            <w:r/>
          </w:p>
        </w:tc>
      </w:tr>
    </w:tbl>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四、拟采购产品需要满足的技术、商务要求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tbl>
      <w:tblPr>
        <w:tblStyle w:val="667"/>
        <w:tblW w:w="9471" w:type="dxa"/>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4"/>
        <w:gridCol w:w="1244"/>
        <w:gridCol w:w="5366"/>
        <w:gridCol w:w="2207"/>
      </w:tblGrid>
      <w:tr>
        <w:trPr/>
        <w:tc>
          <w:tcPr>
            <w:tcW w:w="654" w:type="dxa"/>
            <w:vAlign w:val="center"/>
            <w:textDirection w:val="lrTb"/>
            <w:noWrap w:val="false"/>
          </w:tcPr>
          <w:p>
            <w:pPr>
              <w:jc w:val="center"/>
              <w:spacing w:line="264" w:lineRule="auto"/>
              <w:rPr>
                <w:rFonts w:hint="eastAsia" w:ascii="宋体" w:hAnsi="宋体" w:cs="宋体"/>
                <w:b/>
                <w:color w:val="auto"/>
                <w:sz w:val="22"/>
                <w:highlight w:val="none"/>
              </w:rPr>
            </w:pPr>
            <w:r>
              <w:rPr>
                <w:rFonts w:hint="eastAsia" w:ascii="宋体" w:hAnsi="宋体" w:cs="宋体"/>
                <w:b/>
                <w:color w:val="auto"/>
                <w:sz w:val="22"/>
                <w:highlight w:val="none"/>
              </w:rPr>
              <w:t xml:space="preserve">序号</w:t>
            </w:r>
            <w:r/>
          </w:p>
        </w:tc>
        <w:tc>
          <w:tcPr>
            <w:tcW w:w="1244" w:type="dxa"/>
            <w:vAlign w:val="center"/>
            <w:textDirection w:val="lrTb"/>
            <w:noWrap w:val="false"/>
          </w:tcPr>
          <w:p>
            <w:pPr>
              <w:jc w:val="center"/>
              <w:spacing w:line="264" w:lineRule="auto"/>
              <w:rPr>
                <w:rFonts w:hint="eastAsia" w:ascii="宋体" w:hAnsi="宋体" w:cs="宋体"/>
                <w:b/>
                <w:color w:val="auto"/>
                <w:sz w:val="22"/>
                <w:highlight w:val="none"/>
              </w:rPr>
            </w:pPr>
            <w:r>
              <w:rPr>
                <w:rFonts w:hint="eastAsia" w:ascii="宋体" w:hAnsi="宋体" w:cs="宋体"/>
                <w:b/>
                <w:color w:val="auto"/>
                <w:sz w:val="22"/>
                <w:highlight w:val="none"/>
              </w:rPr>
              <w:t xml:space="preserve">产品名称</w:t>
            </w:r>
            <w:r/>
          </w:p>
        </w:tc>
        <w:tc>
          <w:tcPr>
            <w:tcW w:w="5366" w:type="dxa"/>
            <w:vAlign w:val="center"/>
            <w:textDirection w:val="lrTb"/>
            <w:noWrap w:val="false"/>
          </w:tcPr>
          <w:p>
            <w:pPr>
              <w:jc w:val="center"/>
              <w:spacing w:line="264" w:lineRule="auto"/>
              <w:rPr>
                <w:rFonts w:hint="eastAsia" w:ascii="宋体" w:hAnsi="宋体" w:cs="宋体"/>
                <w:b/>
                <w:color w:val="auto"/>
                <w:sz w:val="22"/>
                <w:highlight w:val="none"/>
              </w:rPr>
            </w:pPr>
            <w:r>
              <w:rPr>
                <w:rFonts w:hint="eastAsia" w:ascii="宋体" w:hAnsi="宋体" w:cs="宋体"/>
                <w:b/>
                <w:color w:val="auto"/>
                <w:sz w:val="22"/>
                <w:highlight w:val="none"/>
              </w:rPr>
              <w:t xml:space="preserve">功能、性能、配置要求</w:t>
            </w:r>
            <w:r/>
          </w:p>
        </w:tc>
        <w:tc>
          <w:tcPr>
            <w:tcW w:w="2207" w:type="dxa"/>
            <w:vAlign w:val="center"/>
            <w:textDirection w:val="lrTb"/>
            <w:noWrap w:val="false"/>
          </w:tcPr>
          <w:p>
            <w:pPr>
              <w:jc w:val="center"/>
              <w:spacing w:line="264" w:lineRule="auto"/>
              <w:rPr>
                <w:rFonts w:hint="eastAsia" w:ascii="宋体" w:hAnsi="宋体" w:cs="宋体"/>
                <w:b/>
                <w:color w:val="auto"/>
                <w:sz w:val="22"/>
                <w:highlight w:val="none"/>
              </w:rPr>
            </w:pPr>
            <w:r>
              <w:rPr>
                <w:rFonts w:hint="eastAsia" w:ascii="宋体" w:hAnsi="宋体" w:cs="宋体"/>
                <w:b/>
                <w:color w:val="auto"/>
                <w:sz w:val="22"/>
                <w:highlight w:val="none"/>
              </w:rPr>
              <w:t xml:space="preserve">参考图片</w:t>
            </w:r>
            <w:r/>
          </w:p>
        </w:tc>
      </w:tr>
      <w:tr>
        <w:trPr>
          <w:trHeight w:val="9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智能音频主机套装</w:t>
            </w:r>
            <w:r/>
          </w:p>
        </w:tc>
        <w:tc>
          <w:tcPr>
            <w:tcW w:w="5366" w:type="dxa"/>
            <w:vAlign w:val="center"/>
            <w:textDirection w:val="lrTb"/>
            <w:noWrap w:val="false"/>
          </w:tcPr>
          <w:p>
            <w:pPr>
              <w:jc w:val="left"/>
              <w:spacing w:line="360" w:lineRule="auto"/>
              <w:rPr>
                <w:rStyle w:val="984"/>
                <w:rFonts w:ascii="宋体"/>
                <w:color w:val="auto"/>
                <w:szCs w:val="21"/>
                <w:highlight w:val="none"/>
              </w:rPr>
            </w:pPr>
            <w:r>
              <w:rPr>
                <w:rStyle w:val="984"/>
                <w:rFonts w:hint="eastAsia" w:ascii="宋体"/>
                <w:color w:val="auto"/>
                <w:szCs w:val="21"/>
                <w:highlight w:val="none"/>
              </w:rPr>
              <w:t xml:space="preserve">不低于以下配置</w:t>
            </w:r>
            <w:r/>
          </w:p>
          <w:p>
            <w:pPr>
              <w:jc w:val="left"/>
              <w:spacing w:line="360" w:lineRule="auto"/>
              <w:rPr>
                <w:rStyle w:val="984"/>
                <w:rFonts w:ascii="宋体"/>
                <w:color w:val="auto"/>
                <w:szCs w:val="21"/>
                <w:highlight w:val="none"/>
              </w:rPr>
            </w:pPr>
            <w:r>
              <w:rPr>
                <w:rStyle w:val="984"/>
                <w:rFonts w:hint="eastAsia" w:ascii="宋体"/>
                <w:color w:val="auto"/>
                <w:szCs w:val="21"/>
                <w:highlight w:val="none"/>
              </w:rPr>
              <w:t xml:space="preserve">1.音频处理器和数字功率放大器一体式设计，高度≤1U，采用纯嵌入式模块化设计。</w:t>
            </w:r>
            <w:r/>
          </w:p>
          <w:p>
            <w:pPr>
              <w:jc w:val="left"/>
              <w:spacing w:line="360" w:lineRule="auto"/>
              <w:rPr>
                <w:rStyle w:val="984"/>
                <w:rFonts w:ascii="宋体"/>
                <w:color w:val="auto"/>
                <w:szCs w:val="21"/>
                <w:highlight w:val="none"/>
              </w:rPr>
            </w:pPr>
            <w:r>
              <w:rPr>
                <w:rStyle w:val="984"/>
                <w:rFonts w:hint="eastAsia" w:ascii="宋体"/>
                <w:color w:val="auto"/>
                <w:szCs w:val="21"/>
                <w:highlight w:val="none"/>
              </w:rPr>
              <w:t xml:space="preserve">2.支持≥6路麦克风输入、≥3路音频线路输入、≥4路音频线路输出。</w:t>
            </w:r>
            <w:r/>
          </w:p>
          <w:p>
            <w:pPr>
              <w:jc w:val="left"/>
              <w:spacing w:line="360" w:lineRule="auto"/>
              <w:rPr>
                <w:rStyle w:val="984"/>
                <w:rFonts w:ascii="宋体"/>
                <w:color w:val="auto"/>
                <w:szCs w:val="21"/>
                <w:highlight w:val="none"/>
              </w:rPr>
            </w:pPr>
            <w:r>
              <w:rPr>
                <w:rStyle w:val="984"/>
                <w:rFonts w:hint="eastAsia" w:ascii="宋体"/>
                <w:color w:val="auto"/>
                <w:szCs w:val="21"/>
                <w:highlight w:val="none"/>
              </w:rPr>
              <w:t xml:space="preserve">3.麦克风无线接收主机、AI音频处理器、充电仓一体式设计，可查看麦克风充电状态。</w:t>
            </w:r>
            <w:r/>
          </w:p>
          <w:p>
            <w:pPr>
              <w:jc w:val="left"/>
              <w:spacing w:line="360" w:lineRule="auto"/>
              <w:rPr>
                <w:rStyle w:val="984"/>
                <w:rFonts w:ascii="宋体"/>
                <w:color w:val="auto"/>
                <w:szCs w:val="21"/>
                <w:highlight w:val="none"/>
              </w:rPr>
            </w:pPr>
            <w:r>
              <w:rPr>
                <w:rStyle w:val="984"/>
                <w:rFonts w:hint="eastAsia" w:ascii="宋体"/>
                <w:color w:val="auto"/>
                <w:szCs w:val="21"/>
                <w:highlight w:val="none"/>
              </w:rPr>
              <w:t xml:space="preserve">4.接收主机内置AI降噪与AI反馈抑制算法。</w:t>
            </w:r>
            <w:r/>
          </w:p>
          <w:p>
            <w:pPr>
              <w:jc w:val="left"/>
              <w:spacing w:line="360" w:lineRule="auto"/>
              <w:rPr>
                <w:rStyle w:val="984"/>
                <w:rFonts w:ascii="宋体"/>
                <w:color w:val="auto"/>
                <w:szCs w:val="21"/>
                <w:highlight w:val="none"/>
              </w:rPr>
            </w:pPr>
            <w:r>
              <w:rPr>
                <w:rStyle w:val="984"/>
                <w:rFonts w:hint="eastAsia" w:ascii="宋体"/>
                <w:color w:val="auto"/>
                <w:szCs w:val="21"/>
                <w:highlight w:val="none"/>
              </w:rPr>
              <w:t xml:space="preserve">5.接收主机内置喇叭。</w:t>
            </w:r>
            <w:r/>
          </w:p>
          <w:p>
            <w:pPr>
              <w:jc w:val="left"/>
              <w:widowControl/>
              <w:rPr>
                <w:rFonts w:hint="eastAsia" w:ascii="宋体" w:hAnsi="宋体" w:cs="宋体"/>
                <w:color w:val="auto"/>
                <w:sz w:val="22"/>
                <w:highlight w:val="none"/>
              </w:rPr>
            </w:pPr>
            <w:r>
              <w:rPr>
                <w:rStyle w:val="984"/>
                <w:rFonts w:hint="eastAsia" w:ascii="宋体"/>
                <w:color w:val="auto"/>
                <w:szCs w:val="21"/>
                <w:highlight w:val="none"/>
              </w:rPr>
              <w:t xml:space="preserve">6.无线制式：2.4GHz 自适应跳频</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佩戴式无线麦克风</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1.麦克风主体与磁吸领夹一体式设计，磁吸夹无丢失风险。</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2.麦克风采用2.4GHz自适应跳频技术，支持48KHz/24bit无损音质传输；内置NFC模块，无线麦克风开机后，触碰接收主机对频区域即可完成对频，对频完成后自动锁频。</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3.单台接收主机可实现</w:t>
            </w:r>
            <w:r>
              <w:rPr>
                <w:rStyle w:val="984"/>
                <w:rFonts w:hint="eastAsia" w:ascii="宋体"/>
                <w:color w:val="auto"/>
                <w:szCs w:val="21"/>
                <w:highlight w:val="none"/>
              </w:rPr>
              <w:t xml:space="preserve">≥</w:t>
            </w:r>
            <w:r>
              <w:rPr>
                <w:rStyle w:val="984"/>
                <w:rFonts w:hint="eastAsia" w:ascii="宋体" w:hAnsi="宋体"/>
                <w:color w:val="auto"/>
                <w:szCs w:val="21"/>
                <w:highlight w:val="none"/>
              </w:rPr>
              <w:t xml:space="preserve">两支无线麦克风同时使用，实现师生互动。支持3套系统在相邻教室同时使用互不干扰。</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4.麦克风≥2个按键，支持电源开关、静音功能；支持语音指令，可通过语音指令对触控一体机等设备中打开常用软件、幻灯片放映等功能。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5.单次充满电可连续使用≥6小时。放入充电仓可进行充电，并可在软件内查看麦克风实时电量、在位状态、音量等信息。</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6.麦克风可通过内置LED灯清晰指示对频、使用、静音、充电、低电量、断频等状态。</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7.麦克风具有归还提醒功能，麦克风被带离使用区域后，麦克风发出蜂鸣声即刻提醒。</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8.音频延时：≤16ms</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9.拾音范围：≥50cm</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c>
          <w:tcPr>
            <w:tcW w:w="654" w:type="dxa"/>
            <w:vAlign w:val="center"/>
            <w:textDirection w:val="lrTb"/>
            <w:noWrap w:val="false"/>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3</w:t>
            </w:r>
            <w:r/>
          </w:p>
        </w:tc>
        <w:tc>
          <w:tcPr>
            <w:tcW w:w="1244" w:type="dxa"/>
            <w:vAlign w:val="center"/>
            <w:textDirection w:val="lrTb"/>
            <w:noWrap w:val="false"/>
          </w:tcPr>
          <w:p>
            <w:pPr>
              <w:pStyle w:val="659"/>
              <w:spacing w:line="360" w:lineRule="auto"/>
              <w:rPr>
                <w:b w:val="0"/>
                <w:bCs w:val="0"/>
                <w:color w:val="auto"/>
                <w:sz w:val="21"/>
                <w:szCs w:val="21"/>
                <w:highlight w:val="none"/>
              </w:rPr>
            </w:pPr>
            <w:r>
              <w:rPr>
                <w:rFonts w:hint="eastAsia"/>
                <w:b w:val="0"/>
                <w:bCs w:val="0"/>
                <w:color w:val="auto"/>
                <w:sz w:val="21"/>
                <w:szCs w:val="21"/>
                <w:highlight w:val="none"/>
              </w:rPr>
              <w:t xml:space="preserve">阵列麦克风</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1.阵列麦克风，采用≥6咪线性阵列，高声源定位和波束成形，语音更清晰。</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2.可≥10米远距离宽范围拾音。</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3.内置防风棉，可良好过滤杂音和环境噪声，提升人声清晰度。</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4.抗手机、电磁、高频干扰。</w:t>
            </w:r>
            <w:r/>
          </w:p>
        </w:tc>
        <w:tc>
          <w:tcPr>
            <w:tcW w:w="2207"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r>
      <w:tr>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专业扩声音响</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1、采用环保水性漆表面处理；箱体采用≥12mm中纤板。</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2、音箱采用两分频设计，低音采用≥1*6.5吋低音，高音采用≥1*1吋高音。</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3、频率响应范围：50Hz-18kHz。</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4、额定功率：≥60W。</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录播主机系统</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硬件</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1.主机架构：整体采用嵌入式设计、非PC与服务器工作站等架构，以保障系统运行稳定、安全。</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2.主机形态：配备≥15英寸触控式屏幕，显示分辨率1920×1080，一体式设计。</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3.具备录制、直播、导播、自动跟踪、音频编码、视频编码、音频处理、视频处理、存储、点播、互动、视频会议、远程运维参数设置等能力。</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4.主机CPU核心数≥8，内置GPU与NPU协处理器；音频辅助CPU核心数≥4核。</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5.输入输出接口：RI45≥5个，其中POE接口≥3，HDMI 输入≥1，HDMI 输出≥2路，双向UVC输入输出≥1路，且输入输出分辨率均支持4K@30fps、1080P@30fps。主机支持≥1数字音频DMIC输入，≥1路3.5mm MIC IN输入，≥1路3.5mm LINE IN输入，≥2路3.5mm LINE OUT输出，支持回声抑制、增益、噪声抑制与音频均衡功能。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网络接口：LAN≥1，支持100/1000M网络自适应以及IPv4、IPv6双协议栈。数据接口：支持≥4个USB接口，其中USB-A接口≥3个，Type-C接口≥1个。控制接口：通信接口端子数量≥5，其中RS232接口数量≥3，RS485接口≥1，RS232/RS485 双模式接口≥1。</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7.算力能力：主机内置独立算力卡，算力≥18TOPs（INT8）。</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清晰度设置：支持录制清晰度自定义设置，可设置分辨率为4K、1080P、720P、VGA、QVGA；可设置帧率为30、25FPS，可设置画质≥5种档位，可设置码率为静态码率、动态码率。设置后可显示对应码流大小及估算视频录制的大小。</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9.一键检测：支持一键检测录播系统运行状态，针对异常项进行告警提示。检测内容包含：设备连接状态、网络状态、摄像机绑定状态、设备版本状态、导播跟踪配置、画面效果、声音效果。</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10.设备连接检测：支持录播主机接口插入检测，识别未接线或接线松动问题。检测接口包含：DMIC接口、LINE IN、MIC IN、LINE OUT1、LINE OUT2、POE、HDMI IN、LAN、HDMI OUT1、无线麦克风、导播键盘、录制控制面板。</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软件</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1.录播主机在不接入互联网的情况下也可以进行视频录制，且支持4K、1080P等多种高清分辨率录制，用MP4视频格式封装自动归档至录播内置的硬盘当中存储。</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录播主机支持B/S软件架构无需下载相关软件APP，以满足低配电脑也可通过浏览器访问录播主机导播界面，在导播界面实现对所有录制画面的实时预览，并支持在手动导播模式下点击预览画面窗口进行录制画面切换。</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3.支持互动清晰度自适应，在互动时根据网络情况选择最优清晰度。要求录播主机在双向互动过程中，可实现1080P@30FPS画质，并支持基于网络自适应技术实现在不同网络状况下的画面质量自适应；</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支持设置主机互动模式，可选择开启或关闭互动双流设置，开启后可选择第二路流的画面，支持≥6个画面选择。画面设置支持开启或关闭直播推流CDN设置，开启后可选择推流画面，支持≥7个画面选择。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5.支持≥4个成员同时开麦和上台。</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6.支持≥2种邀请模式。支持通过手机号进行邀请，可同时邀请多人，如听课端不在线则提示邀请失败。支持通过自动生成的房间号进行邀请，房间号≤8位数。支持通过手机扫描二维码，进入互动课堂。</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7.支持互动过程中，进行性能监控，可监控网络丢包率、上行带宽、下行带宽、最大虚拟内存、当前虚拟内存、当前物理内存、当前句柄数量、当前进程数量、当前CPU使用率。</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8.支持互动过程中，进行推流质量查看。可查看视频分辨率、视频质量、延时、丢包率、视频帧率、视频码率、音频帧率、音频码率。</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9.支持学生端预置位设置，可通过按钮实现镜头的上下左右转动、拉近拉远，并设定2个摄像机预置位（全景、特写0号位）。</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教师高清摄像机</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 采用全景特写双镜头，全景镜头水平视场角≥40°，特写镜头水平视场角≥20°。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 摄像机采用一体化集成设计，支持4K超高清，可提供3840×2160图像分辨率，同时兼容1920×1080和1280×720分辨率。</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 摄像机接口支持RJ45接口≥1路，Type-C接口≥1路，Line in接口≥1路。</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 传感器尺寸 CMOS ≥ 1/2.8英寸。全景图像传感器有效像素≥400万，特写图像传感器有效像素≥800万。</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 摄像机采用逐行扫描方式 。摄像机最低照度：0.5 Lux@（F2.0, AGC ON） 。摄像机电子快门：1/30s ~ 1/10000s。支持自动白平衡。支持2D&amp;3D数字降噪，信噪比≥55dB。支持H.264、H.265、MJPEG视频编码格式。</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 主码流分辨率：3840x2160, 1920x1080, 1280x720, 1024x576, 720x480, 640x360, 480x272, 320x240, 320x180。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 辅码流分辨率：2880x1620, 1920x1080, 1280x720, 1024x576, 960x540, 640x480, 640x360, 320x240, 320x180。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 摄像机视频码率设置范围：32Kbps ~ 16384Kbps。摄像机帧率设置范围：1~30fps。摄像机支持线性音频输入，采用AAC/G711A音频编码格式。摄像机音频输入编码码率：96Kbps、128Kbps。</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9. 支持标准USB音视频信号输出，可以同时支持UVC和UAC协议，通过主机TypeC接口可以实现图像和声音同步输出，最大支持4K@30fps输出，兼容主流视频会议软件。</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w:t>
            </w:r>
            <w:r/>
          </w:p>
        </w:tc>
        <w:tc>
          <w:tcPr>
            <w:tcW w:w="1244" w:type="dxa"/>
            <w:vAlign w:val="center"/>
            <w:textDirection w:val="lrTb"/>
            <w:noWrap w:val="false"/>
          </w:tcPr>
          <w:p>
            <w:pPr>
              <w:pStyle w:val="659"/>
              <w:spacing w:line="360" w:lineRule="auto"/>
              <w:rPr>
                <w:b w:val="0"/>
                <w:bCs w:val="0"/>
                <w:color w:val="auto"/>
                <w:sz w:val="21"/>
                <w:szCs w:val="21"/>
                <w:highlight w:val="none"/>
              </w:rPr>
            </w:pPr>
            <w:r>
              <w:rPr>
                <w:rFonts w:hint="eastAsia"/>
                <w:b w:val="0"/>
                <w:bCs w:val="0"/>
                <w:color w:val="auto"/>
                <w:sz w:val="21"/>
                <w:szCs w:val="21"/>
                <w:highlight w:val="none"/>
              </w:rPr>
              <w:t xml:space="preserve">学生高清摄像机</w:t>
            </w:r>
            <w:r/>
          </w:p>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1.内部集成高清定焦镜头数量≥4个，每个镜头具有独立CMOS传感器，传感器尺寸1/2.75英寸≥2个，1/3.06英寸≥2个。</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2.摄像头数量≥4个，其中至少两个摄像头像素值均≥5000万，另外至少两个摄像头像素值均≥1300万。</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3.内部集成非独立式四个智能拼接摄像头，且视场角≥110度。</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4.摄像机采用一体化集成设计，支持4K超高清，可提供3840×2160图像分辨率，同时兼容1920×1080和1280×720分辨率。</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5.具备4K60fps视频流处理能力，支持在3840×2160分辨率下输出画面帧率≥60fps。</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6.支持8*9米范围任一位置，同一时间拍摄人脸像素大于80*80。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7.支持10*15米距离任意位置，同一时间拍摄人脸像素大于50*50。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8.为保证拍摄画面效果，采用低畸变设计，全景畸变≤±2.5%，减少畸变校正造成的图像质量损失；摄像机接口支持RJ45接口≥1路，10/100/1000M自适应，Type-A接口≥1路，Linein接口≥1路。</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9.支持POE有线网络供电，只需要1路网线，即可实现供电、视频、音频、控制信号传输，支持同时输出特写和全景等多路画面，摄像机最大可支持8192*4608分辨率。</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10.内置</w:t>
            </w:r>
            <w:r>
              <w:rPr>
                <w:rStyle w:val="984"/>
                <w:rFonts w:hint="eastAsia" w:ascii="宋体"/>
                <w:color w:val="auto"/>
                <w:szCs w:val="21"/>
                <w:highlight w:val="none"/>
              </w:rPr>
              <w:t xml:space="preserve">≥</w:t>
            </w:r>
            <w:r>
              <w:rPr>
                <w:rStyle w:val="984"/>
                <w:rFonts w:hint="eastAsia" w:ascii="宋体" w:hAnsi="宋体"/>
                <w:color w:val="auto"/>
                <w:szCs w:val="21"/>
                <w:highlight w:val="none"/>
              </w:rPr>
              <w:t xml:space="preserve">4TopsAI算力。</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全向阵列麦克</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1.麦克风内置4个传感器单元。</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2.麦克风支持2个数字音频接口，支持数字音频传输。</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3.支持状态指示灯，指示灯显示蓝色表示阵列麦克风处于正常工作状态，指示灯显示红色表示阵列麦克风处于无法正常拾音的状态。</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4.支持最大8个麦克风用一根网线级联。</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5.麦克风频率响应范围不低于20Hz~16KHz。</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6.麦克风拾音半径8m。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7.麦克风信噪比≥65dB。</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8.麦克风声压级132dBSPL，10%THD@1KHz。</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9.麦克风通过网线实现麦克风供电、音频信号传输、参数调整。</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10.麦克风采用标准1/4吋螺口，适配各种类型标准吊杆。</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移动讲台</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1.参考尺寸：715×495×（700-1050）mm（长×宽×高）。</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2.产品结构：铝木升降结构。</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3.台面参数：采用≥18mm厚E0级实木多层板加工制作，≥1.5mm厚塑制封边条机械封边。</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4.表面工艺:PU静电喷涂。</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5.升降形式：气压升降。</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6.搭配静音刹车万向轮，放置平稳无晃动。</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定制教师边桌</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1.参考尺寸：主桌1400*700*760mm，副柜1400*400*620。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2.结构：钢木结构。</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3.台面：采用18mm厚AA级橡胶木指接板，清水漆，预留穿线盒。</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4.台身：采用金属支撑架60*30扁管，壁厚≥1.2mm，酸洗磷化抛光等处理后，环氧树脂塑粉喷涂处理。键盘抽采用PP成型材质。</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5.柜体：采用18mm厚实木多层免漆板制作，所有截面PVC机械热熔封边。</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6.铰链：采用阻尼铰链。                                 </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7.拉手：铝合金一字型长拉手。</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教师椅2</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1.参考尺寸：570*585*950mm；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2.背靠：PP玻纤背筐；</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3.扶手：PP玻纤连体固定扶手；</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4.坐垫：≥40kg/m³密度中软高弹切割海绵；</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5.椅架：25圆管，≥2.0mm厚黑色喷涂架。</w:t>
            </w:r>
            <w:r>
              <w:rPr>
                <w:rFonts w:hint="eastAsia" w:ascii="宋体" w:hAnsi="宋体" w:cs="宋体"/>
                <w:color w:val="auto"/>
                <w:sz w:val="22"/>
                <w:highlight w:val="none"/>
                <w:lang w:bidi="ar"/>
              </w:rPr>
              <w:t xml:space="preserve">7.额定电压/频率：220V/50Hz。</w:t>
            </w:r>
            <w:r>
              <w:rPr>
                <w:rFonts w:hint="eastAsia" w:ascii="宋体" w:hAnsi="宋体" w:cs="宋体"/>
                <w:color w:val="auto"/>
                <w:sz w:val="22"/>
                <w:highlight w:val="none"/>
                <w:lang w:bidi="ar"/>
              </w:rPr>
              <w:br w:type="textWrapping" w:clear="all"/>
            </w:r>
            <w:r>
              <w:rPr>
                <w:rFonts w:hint="eastAsia" w:ascii="宋体" w:hAnsi="宋体" w:cs="宋体"/>
                <w:color w:val="auto"/>
                <w:sz w:val="22"/>
                <w:highlight w:val="none"/>
                <w:lang w:bidi="ar"/>
              </w:rPr>
              <w:t xml:space="preserve">8.包含安装及辅材。</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trHeight w:val="4356"/>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双人桌</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1.参考尺寸：1200*500*760mm。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2.面板：面板采用25mm实木多层免漆板制作；面板四角倒圆，采用PVC同色封边条。</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3.钢网兜：采用实心圆钢交叉焊接而成，结实耐用。</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4.课桌钢架： 立管尺寸为≥30*15mm，壁厚1.8mm椭圆管。材质：采用椭圆管满焊焊接，钢架表面经磷化处理，静电粉末喷涂；挂钩采用φ5mm实心圆钢冲压成型，焊接在课桌钢架上。</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5.脚垫：材质：采用 PP+GF 耐冲击塑料注塑成型。</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trHeight w:val="4057"/>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座椅</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1.椅面：尺寸：430*455*440mm， 材质：采用PP+GF一级新料整体注塑成型。</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功能：座板采用下凹式曲线弧度设计，舒适耐用。</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2.椅架：尺寸：椅架尺寸为≥30*15mm，壁厚1.8mm椭圆管，材质：采用直缝电焊钢管和钢板满焊焊接，钢架表面经磷化处理，静电粉末喷涂。</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3.脚垫：材质：采用 PP+GF 耐冲击塑料注塑成型。功能：脚垫一体包覆钢架，防滑防刮伤地板。</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3669"/>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叠加椅</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1.参考尺寸：510*460*780mm。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2.椅背：座背双拼插扣结构无钉安装结构；全新工程PP+玻纤。</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3.椅脚：采用Φ19mm*1.5mm壁厚钢管，机械手臂自动焊接，表面除锈处理，喷粉高温烤漆工艺处理，搭配PP磨地脚。</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4.功能：上下可叠加。</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trHeight w:val="1514"/>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合班教室辅材及集成</w:t>
            </w:r>
            <w:r/>
          </w:p>
        </w:tc>
        <w:tc>
          <w:tcPr>
            <w:tcW w:w="5366" w:type="dxa"/>
            <w:vAlign w:val="center"/>
            <w:textDirection w:val="lrTb"/>
            <w:noWrap w:val="false"/>
          </w:tcPr>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机房弱电布线、机柜安装及测试，电脑集成、机柜接地等，设备搬运、安装、调试等等，网络设备安装及调试。</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24口千兆交换机</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1.24个10/100/1000M自适应电口，4个2.5G/1G SFP光口。</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2.交换容量≥432Gbps，包转发率≥108Mpps。</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3.基础功能：支持 VLAN、端口聚合、ACL、QoS、风暴抑制、端口安全。</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4.管理运维：支持 WEB 可视化管理、CLI 命令行、远程运维、环路防护。</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17</w:t>
            </w:r>
            <w:r/>
          </w:p>
        </w:tc>
        <w:tc>
          <w:tcPr>
            <w:tcW w:w="1244" w:type="dxa"/>
            <w:vAlign w:val="center"/>
            <w:textDirection w:val="lrTb"/>
            <w:noWrap w:val="false"/>
          </w:tcPr>
          <w:p>
            <w:pP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 </w:t>
            </w:r>
            <w:r>
              <w:rPr>
                <w:rFonts w:hint="eastAsia"/>
                <w:color w:val="auto"/>
                <w:szCs w:val="21"/>
                <w:highlight w:val="none"/>
              </w:rPr>
              <w:t xml:space="preserve">机房安全网关</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1.带机量200。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2.适用带宽1000Mbps。</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3.IPSec 加密性能100Mbps。</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4.IPSec VPN 隧道数100。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5.NAT 会话数8万。</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6.NAT映射表项100。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7.内存256MB。</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8.WAN 以太口2*GE（1个WAN口支持切换为LAN）。</w:t>
            </w:r>
            <w:r/>
          </w:p>
          <w:p>
            <w:pPr>
              <w:jc w:val="left"/>
              <w:widowControl/>
              <w:rPr>
                <w:rFonts w:hint="eastAsia" w:ascii="宋体" w:hAnsi="宋体" w:cs="宋体"/>
                <w:color w:val="auto"/>
                <w:sz w:val="22"/>
                <w:highlight w:val="none"/>
                <w:lang w:bidi="ar"/>
              </w:rPr>
            </w:pPr>
            <w:r>
              <w:rPr>
                <w:rStyle w:val="984"/>
                <w:rFonts w:hint="eastAsia" w:ascii="宋体" w:hAnsi="宋体"/>
                <w:color w:val="auto"/>
                <w:szCs w:val="21"/>
                <w:highlight w:val="none"/>
              </w:rPr>
              <w:t xml:space="preserve">9.LAN 以太口3*GE(2个LAN口支持切换为WAN)。</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15703"/>
        </w:trPr>
        <w:tc>
          <w:tcPr>
            <w:tcW w:w="654" w:type="dxa"/>
            <w:vAlign w:val="center"/>
            <w:vMerge w:val="restart"/>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18</w:t>
            </w:r>
            <w:r/>
          </w:p>
        </w:tc>
        <w:tc>
          <w:tcPr>
            <w:tcW w:w="1244" w:type="dxa"/>
            <w:vAlign w:val="center"/>
            <w:vMerge w:val="restart"/>
            <w:textDirection w:val="lrTb"/>
            <w:noWrap w:val="false"/>
          </w:tcPr>
          <w:p>
            <w:pPr>
              <w:pStyle w:val="659"/>
              <w:spacing w:line="360" w:lineRule="auto"/>
              <w:rPr>
                <w:b w:val="0"/>
                <w:bCs w:val="0"/>
                <w:color w:val="auto"/>
                <w:sz w:val="20"/>
                <w:szCs w:val="20"/>
                <w:highlight w:val="none"/>
              </w:rPr>
            </w:pPr>
            <w:r>
              <w:rPr>
                <w:rFonts w:hint="eastAsia"/>
                <w:b w:val="0"/>
                <w:bCs w:val="0"/>
                <w:color w:val="auto"/>
                <w:sz w:val="20"/>
                <w:szCs w:val="20"/>
                <w:highlight w:val="none"/>
              </w:rPr>
              <w:t xml:space="preserve">机房学生电脑</w:t>
            </w:r>
            <w:r/>
          </w:p>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W w:w="5366" w:type="dxa"/>
            <w:vAlign w:val="center"/>
            <w:vMerge w:val="restart"/>
            <w:textDirection w:val="lrTb"/>
            <w:noWrap w:val="false"/>
          </w:tcPr>
          <w:p>
            <w:pPr>
              <w:rPr>
                <w:color w:val="auto"/>
                <w:highlight w:val="none"/>
              </w:rPr>
            </w:pPr>
            <w:r>
              <w:rPr>
                <w:color w:val="auto"/>
                <w:highlight w:val="none"/>
              </w:rPr>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1.CPU：通过安全可靠测评认证处理器，8核，8线程，工作频率≥3.0GHz，L3缓存≥32MB。</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2.内存：≥16GB DDR4 3200MT/s 内存或以上。</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3.硬盘：≥512GB M.2 NVMe SSD硬盘。</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4.前置面板接口：USB3.2接口≥5个；≥2个麦克风接口，其中至少包括1个3.5mm四段式耳麦接口，1个3.5mm三段式麦克风接口。</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5.后置面板：USB3.2≥4个；HDMI≥1个；DP≥1个；VGA≥1个；音频输入≥2个；音频输出≥1个；RJ45≥1个。</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6.内部接口：PCIEX16≥1个；PCIEX8≥1个；PCIEX1≥1个；M.2≥2个；SATA≥2个。</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7.机箱体积：≥10L。</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8.采用直插电源，电源与主板不通过软质线材连接。</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9.具备机箱防尘滤网，防止灰尘吸入机箱。防尘滤网可以在不拆开机箱的情况下便捷拆卸清洗。</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10.安全管控：BIOS支持单独管控关闭USB接口和支持智能USB管控，开启后非存储类设备正常使用，关闭后所有设备正常使用；支持关闭以太网接口。</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11.显示屏幕≥23.8，分辨率≥1920*1080，屏幕亮度≥250nit，支持VGA≥1，HDMI≥1。</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网络同传功能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1.便携部署：支持无操作系统裸机部署模式，通过U盘、PXE方式将终端部署成云桌面终端；支持带操作系统的物理机部署模式，将统信UOS、银河麒麟等操作系统的物理机批量部署成云桌面终端。</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镜像同传：支持任意终端作为发送端将自身镜像同传给其他设备，同传时可在同传界面直观显示传输信息；支持镜像同传给局域网内其他终端设备，支持辨别其他终端的设备型号、IP地址、剩余磁盘容量、网卡速率等信息，支持同传过程中查看进度、传输速度等信息；支持手拉手和P2P同传方式；支持增量同传和断点续传。【提供具有CMA标识的第三方检测报告】</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3.同传速度：千兆环境下的同传峰值速度不低于250MB/S，平均速度不低于150MB/S；百兆环境下的同传峰值速度不低于40MB/S，平均速度不低于20MB/S。</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多镜像：支持单个终端部署多个系统镜像，多个系统镜像共享整个磁盘空间，系统运行互不影响；在云桌面系统、统信UOS、银河麒麟等操作系统下都可实现直接切换到目标系统镜像；支持镜像灵活快速复制，修改复制后的新镜像满足镜像差异化需求。</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多磁盘、多盘符：支持多磁盘管理，单个镜像可以设置多个磁盘占用和多个盘符，支持固态磁盘和机械磁盘的混合使用，每个磁盘可设置多个盘符，盘符可删除和重新分配；镜像同传保持磁盘与盘符的对应关系；支持物理磁盘和云桌面磁盘类型的动态转换。</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局域网网盘：集成局域网内网盘功能，可直接访问局域网网盘管理端；并根据不同的年级、班级或者需求，创建多个共享空间，每个共享空间可独立设置单文件大小限制、空间总大小限制、文件保护类型和设置用户操作权。</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屏幕水印：支持设置屏幕水印的显示和隐藏，显示内容模式有设备信息模式和自定义内容模式；设备信息模式无需手动配置，默认显示元素有设备名称、座位编号、IP地址、MAC地址、启动方式、磁盘还原模式、当前镜像等信息，支持设置单个元素的显示和隐藏；自定义内容模式支持富文本编辑，可实现自定义设置字号、加粗、斜体、颜色以及属性占位符；支持水印显示区域的宽高设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8.计划任务：支持计划任务设置，可以设置每日、每周、每月、指定日期和指定时间点进行定时执行各种任务类型，包括开机、关机、还原、切换镜像等。</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9.还原设置：支持批量下发还原策略，不同盘符可单独设置还原策略，支持不还原/每次还原/每周还原/每月还原，支持镜像还原白名单设置。</w:t>
            </w:r>
            <w:r/>
          </w:p>
          <w:p>
            <w:pPr>
              <w:pStyle w:val="711"/>
              <w:ind w:firstLine="0"/>
              <w:rPr>
                <w:rFonts w:hint="eastAsia" w:cs="宋体"/>
                <w:color w:val="auto"/>
                <w:sz w:val="22"/>
                <w:highlight w:val="none"/>
                <w:lang w:eastAsia="zh-CN"/>
              </w:rPr>
            </w:pPr>
            <w:r>
              <w:rPr>
                <w:rStyle w:val="984"/>
                <w:rFonts w:hint="eastAsia" w:ascii="宋体" w:hAnsi="宋体"/>
                <w:color w:val="auto"/>
                <w:sz w:val="21"/>
                <w:szCs w:val="21"/>
                <w:highlight w:val="none"/>
                <w:lang w:eastAsia="zh-CN"/>
              </w:rPr>
              <w:t xml:space="preserve">10.远程控制：支持对终端进行远程桌面操作，支持云桌面系统或统信UOS、银河麒麟等操作系统的远程操作；支持远程终端镜像管理、镜像更新、镜像同传、应用软件安装等操作。</w:t>
            </w:r>
            <w:r/>
          </w:p>
          <w:p>
            <w:pPr>
              <w:rPr>
                <w:rFonts w:hint="eastAsia" w:ascii="宋体" w:hAnsi="宋体" w:cs="宋体"/>
                <w:color w:val="auto"/>
                <w:sz w:val="22"/>
                <w:highlight w:val="none"/>
              </w:rPr>
            </w:pPr>
            <w:r>
              <w:rPr>
                <w:rFonts w:hint="eastAsia" w:ascii="宋体" w:hAnsi="宋体" w:cs="宋体"/>
                <w:color w:val="auto"/>
                <w:sz w:val="22"/>
                <w:highlight w:val="none"/>
              </w:rPr>
            </w:r>
            <w:r/>
          </w:p>
          <w:p>
            <w:pPr>
              <w:pStyle w:val="711"/>
              <w:rPr>
                <w:rFonts w:hint="eastAsia"/>
                <w:color w:val="auto"/>
                <w:highlight w:val="none"/>
                <w:lang w:eastAsia="zh-CN"/>
              </w:rPr>
            </w:pPr>
            <w:r>
              <w:rPr>
                <w:rFonts w:hint="eastAsia"/>
                <w:color w:val="auto"/>
                <w:highlight w:val="none"/>
                <w:lang w:eastAsia="zh-CN"/>
              </w:rPr>
            </w:r>
            <w:r/>
          </w:p>
          <w:p>
            <w:pPr>
              <w:pStyle w:val="711"/>
              <w:rPr>
                <w:rFonts w:hint="eastAsia" w:cs="宋体"/>
                <w:color w:val="auto"/>
                <w:sz w:val="22"/>
                <w:highlight w:val="none"/>
                <w:lang w:eastAsia="zh-CN"/>
              </w:rPr>
            </w:pPr>
            <w:r>
              <w:rPr>
                <w:rFonts w:hint="eastAsia" w:cs="宋体"/>
                <w:color w:val="auto"/>
                <w:sz w:val="22"/>
                <w:highlight w:val="none"/>
                <w:lang w:eastAsia="zh-CN"/>
              </w:rPr>
            </w:r>
            <w:r/>
          </w:p>
          <w:p>
            <w:pPr>
              <w:rPr>
                <w:rFonts w:hint="eastAsia" w:ascii="宋体" w:hAnsi="宋体" w:cs="宋体"/>
                <w:color w:val="auto"/>
                <w:sz w:val="22"/>
                <w:highlight w:val="none"/>
              </w:rPr>
            </w:pPr>
            <w:r>
              <w:rPr>
                <w:rFonts w:hint="eastAsia" w:ascii="宋体" w:hAnsi="宋体" w:cs="宋体"/>
                <w:color w:val="auto"/>
                <w:sz w:val="22"/>
                <w:highlight w:val="none"/>
              </w:rPr>
            </w:r>
            <w:r/>
          </w:p>
          <w:p>
            <w:pPr>
              <w:pStyle w:val="711"/>
              <w:rPr>
                <w:rFonts w:hint="eastAsia"/>
                <w:color w:val="auto"/>
                <w:highlight w:val="none"/>
                <w:lang w:eastAsia="zh-CN"/>
              </w:rPr>
            </w:pPr>
            <w:r>
              <w:rPr>
                <w:rFonts w:hint="eastAsia"/>
                <w:color w:val="auto"/>
                <w:highlight w:val="none"/>
                <w:lang w:eastAsia="zh-CN"/>
              </w:rPr>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5229"/>
        </w:trPr>
        <w:tc>
          <w:tcPr>
            <w:tcW w:w="654" w:type="dxa"/>
            <w:vAlign w:val="center"/>
            <w:vMerge w:val="continue"/>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W w:w="1244" w:type="dxa"/>
            <w:vAlign w:val="center"/>
            <w:vMerge w:val="continue"/>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W w:w="5366" w:type="dxa"/>
            <w:vAlign w:val="center"/>
            <w:vMerge w:val="continue"/>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vMerge w:val="restart"/>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19</w:t>
            </w:r>
            <w:r/>
          </w:p>
        </w:tc>
        <w:tc>
          <w:tcPr>
            <w:tcW w:w="1244" w:type="dxa"/>
            <w:vAlign w:val="center"/>
            <w:vMerge w:val="restart"/>
            <w:textDirection w:val="lrTb"/>
            <w:noWrap w:val="false"/>
          </w:tcPr>
          <w:p>
            <w:pPr>
              <w:jc w:val="center"/>
              <w:widowControl/>
              <w:rPr>
                <w:rFonts w:hint="eastAsia" w:ascii="宋体" w:hAnsi="宋体" w:cs="宋体"/>
                <w:color w:val="auto"/>
                <w:sz w:val="22"/>
                <w:highlight w:val="none"/>
                <w:lang w:bidi="ar"/>
              </w:rPr>
            </w:pPr>
            <w:r>
              <w:rPr>
                <w:rFonts w:hint="eastAsia"/>
                <w:color w:val="auto"/>
                <w:szCs w:val="21"/>
                <w:highlight w:val="none"/>
              </w:rPr>
              <w:t xml:space="preserve">机房教师电脑</w:t>
            </w:r>
            <w:r/>
          </w:p>
        </w:tc>
        <w:tc>
          <w:tcPr>
            <w:tcW w:w="5366" w:type="dxa"/>
            <w:vAlign w:val="center"/>
            <w:vMerge w:val="restart"/>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1.CPU：通过安全可靠测评认证处理器，8核，8线程，工作频率≥3.0GHz，L3缓存≥32MB。</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2.内存：≥32GB DDR4 3200MT/s 内存或以上。</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3.硬盘：≥512GB M.2 NVMe SSD硬盘，1T机械硬盘。</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4.前置面板接口：USB3.2接口≥5个；≥2个麦克风接口，其中至少包括1个3.5mm四段式耳麦接口，1个3.5mm三段式麦克风接口。</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5.后置面板：USB3.2≥4个；HDMI≥1个；DP≥1个；VGA≥1个；音频输入≥2个；音频输出≥1个；RJ45≥1个。</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6.内部接口：PCIEX16≥1个；PCIEX8≥1个；PCIEX1≥1个；M.2≥2个；SATA≥2个。</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7.机箱体积：≥10L。</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8.采用直插电源，电源与主板不通过软质线材连接。</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9.具备机箱防尘滤网，防止灰尘吸入机箱。防尘滤网可以在不拆开机箱的情况下便捷拆卸清洗。</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10.安全管控：BIOS支持单独管控关闭USB接口和支持智能USB管控，开启后非存储类设备正常使用，关闭后所有设备正常使用；支持关闭以太网接口。</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11.显示屏幕≥23.8，分辨率≥1920*1080，屏幕亮度≥250nit，支持VGA≥1，HDMI≥1。</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机房教学软件</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1.屏幕广播：将教师机屏幕（画面以及声音）广播给单一、部分或全体学生；</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2.广播批注：教师在屏幕广播状态下，提供授课小工具，包括画笔、橡皮擦等工具，便于添加批注等。</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3.学生演示：教师可选定一台学生机作为示范，由此学生代替教师进行示范教学。</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4.文件分发：允许教师将教师机不同盘符中的文件一起发送至学生机。学生机设备重启被还原时，系统自动重新下发资料。</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5.文件提交：学生把做好的作业直接提交到教师机，方便教师批改作业。</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6.黑屏管控：教师可以选定学生执行黑屏操作。</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7.答题统计：支持自动截取屏幕内容供学生答题，并在学生回答后在教师端展示答题数据。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8.远程控制：支持教师端远程控制学生端的画面操作。</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9.人员管理：学校超级管理员可以添加教师和管理员的角色，添加之后管理员能够绑定设备和进行正常的授课工作，教师只能在终端应用软件进行授课操作。</w:t>
            </w:r>
            <w:r/>
          </w:p>
          <w:p>
            <w:pPr>
              <w:jc w:val="left"/>
              <w:widowControl/>
              <w:rPr>
                <w:rFonts w:hint="eastAsia" w:ascii="宋体" w:hAnsi="宋体" w:cs="宋体"/>
                <w:color w:val="auto"/>
                <w:sz w:val="22"/>
                <w:highlight w:val="none"/>
                <w:lang w:bidi="ar"/>
              </w:rPr>
            </w:pPr>
            <w:r>
              <w:rPr>
                <w:rStyle w:val="984"/>
                <w:rFonts w:hint="eastAsia" w:ascii="宋体" w:hAnsi="宋体"/>
                <w:color w:val="auto"/>
                <w:szCs w:val="21"/>
                <w:highlight w:val="none"/>
              </w:rPr>
              <w:t xml:space="preserve">10.网页限制：支持设定学生访问网站的白名单信息，对学生可以访问的网址进行管理。</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vMerge w:val="continue"/>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1244" w:type="dxa"/>
            <w:vAlign w:val="center"/>
            <w:vMerge w:val="continue"/>
            <w:textDirection w:val="lrTb"/>
            <w:noWrap w:val="false"/>
          </w:tcPr>
          <w:p>
            <w:pPr>
              <w:jc w:val="center"/>
              <w:widowControl/>
              <w:rPr>
                <w:color w:val="auto"/>
                <w:szCs w:val="21"/>
                <w:highlight w:val="none"/>
              </w:rPr>
            </w:pPr>
            <w:r>
              <w:rPr>
                <w:color w:val="auto"/>
                <w:szCs w:val="21"/>
                <w:highlight w:val="none"/>
              </w:rPr>
            </w:r>
            <w:r/>
          </w:p>
        </w:tc>
        <w:tc>
          <w:tcPr>
            <w:tcW w:w="5366" w:type="dxa"/>
            <w:vAlign w:val="center"/>
            <w:vMerge w:val="continue"/>
            <w:textDirection w:val="lrTb"/>
            <w:noWrap w:val="false"/>
          </w:tcPr>
          <w:p>
            <w:pPr>
              <w:jc w:val="left"/>
              <w:widowControl/>
              <w:rPr>
                <w:rStyle w:val="984"/>
                <w:rFonts w:hint="eastAsia" w:ascii="宋体" w:hAnsi="宋体"/>
                <w:color w:val="auto"/>
                <w:szCs w:val="21"/>
                <w:highlight w:val="none"/>
              </w:rPr>
            </w:pPr>
            <w:r>
              <w:rPr>
                <w:rFonts w:hint="eastAsia" w:ascii="宋体" w:hAnsi="宋体"/>
                <w:color w:val="auto"/>
                <w:szCs w:val="21"/>
                <w:highlight w:val="none"/>
              </w:rPr>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教师电脑桌</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1.参考尺寸：1800*700*760mm。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2.产品结构：钢木结构。</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3.台面参数：25mmAA级橡胶木实木指接板，表面涂环保清漆。</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4.台身参数：钢架60*30*1.2mm方管，横梁：采用≥40*20*1.2mm方管，前方配备前挡板，左右两侧配备主机柜，箱体底部和后方开长条散热孔，底板后部留空便于整体布线和安装。</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教师椅</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1.参考尺寸：570*585*950mm。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2.背靠：PP玻纤背筐。</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3.扶手：PP玻纤连体固定扶手。</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4.坐垫：≥40kg/m³密度中软高弹切割海绵。</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5.椅架：25圆管，≥2.0mm厚黑色喷涂架。</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w:t>
            </w:r>
            <w:r/>
          </w:p>
        </w:tc>
        <w:tc>
          <w:tcPr>
            <w:tcW w:w="1244" w:type="dxa"/>
            <w:vAlign w:val="center"/>
            <w:textDirection w:val="lrTb"/>
            <w:noWrap w:val="false"/>
          </w:tcPr>
          <w:p>
            <w:pPr>
              <w:jc w:val="left"/>
              <w:spacing w:line="360" w:lineRule="auto"/>
              <w:widowControl/>
              <w:rPr>
                <w:rFonts w:hint="eastAsia" w:ascii="宋体" w:hAnsi="宋体" w:cs="宋体"/>
                <w:color w:val="auto"/>
                <w:sz w:val="22"/>
                <w:highlight w:val="none"/>
              </w:rPr>
            </w:pPr>
            <w:r>
              <w:rPr>
                <w:rFonts w:hint="eastAsia"/>
                <w:color w:val="auto"/>
                <w:szCs w:val="21"/>
                <w:highlight w:val="none"/>
              </w:rPr>
              <w:t xml:space="preserve">四人电脑桌</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1.参考尺寸：1400*1200*730-780mm（根据学校实际情况可微调）。</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2.产品结构：钢木结构。</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3.台面参数：25mmAA级橡胶木实木指接板，表面涂环保清漆。</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4.台身参数：桌腿：采用≥60*30*1.2mm门字形钢架。横梁：采用≥40*20*1.2mm方管，桌腿内侧配备主机架，均采用0.8mm冷轧钢板加工完成。</w:t>
            </w:r>
            <w:r/>
          </w:p>
          <w:p>
            <w:pPr>
              <w:jc w:val="left"/>
              <w:spacing w:line="360" w:lineRule="auto"/>
              <w:widowControl/>
              <w:rPr>
                <w:rFonts w:hint="eastAsia" w:ascii="宋体" w:hAnsi="宋体" w:cs="宋体"/>
                <w:color w:val="auto"/>
                <w:sz w:val="22"/>
                <w:highlight w:val="none"/>
                <w:lang w:bidi="ar"/>
              </w:rPr>
            </w:pPr>
            <w:r>
              <w:rPr>
                <w:rStyle w:val="984"/>
                <w:rFonts w:hint="eastAsia" w:ascii="宋体" w:hAnsi="宋体"/>
                <w:color w:val="auto"/>
                <w:szCs w:val="21"/>
                <w:highlight w:val="none"/>
              </w:rPr>
              <w:t xml:space="preserve">5.底脚：底部配备可调节底脚。</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学生凳</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1.参考尺寸：345×245×420mm。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2.产品结构：钢塑结构。</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3.凳面参数：凳面尺寸≥345×245mm  凳面采用共聚丙烯工程塑料模具注塑成型，凳面内镶嵌四颗≥Φ6螺杆，要求螺栓与凳面在注塑过程中一体成型，凳面造型符合人体工程学。</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4.凳身参数：凳体采用全钢框架，钢管壁厚不低于1.2mm,经酸洗磷化处理，表面喷塑，底脚采用专业ABS模具成型。</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收纳边柜</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1.参考尺寸：版式：1500*450*900mm±10mm。                             </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2.材质：实木多层板。</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3.工艺：采用国家标准E1级板，厚度18mm,基材采用实木多层板，面贴三聚氰胺纸，断面采用厚度≧1.0mmPVC直封边制作。</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4.功能：可收纳开源硬件、耳机等各种教学用具。</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网络双绞线</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1.导体：23AWG，带宽达到250MHz。</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2.芯线：8根芯线采用单股软铜线，每根芯线带有彩色绝缘层。</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3.特性：符合ANSI/TIA-568-C.2、ISO/IEC 11801、EN50173-1：2001六类规范。</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4.护套：紧护套结构，线对间十字隔离技术，全面提升线缆性能，LSOH材质。</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电源线2.5</w:t>
            </w:r>
            <w:r/>
          </w:p>
        </w:tc>
        <w:tc>
          <w:tcPr>
            <w:tcW w:w="5366" w:type="dxa"/>
            <w:vAlign w:val="center"/>
            <w:textDirection w:val="lrTb"/>
            <w:noWrap w:val="false"/>
          </w:tcPr>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1.3*2.5平方电源线缆</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27</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电源线4.0</w:t>
            </w:r>
            <w:r/>
          </w:p>
        </w:tc>
        <w:tc>
          <w:tcPr>
            <w:tcW w:w="5366" w:type="dxa"/>
            <w:vAlign w:val="center"/>
            <w:textDirection w:val="lrTb"/>
            <w:noWrap w:val="false"/>
          </w:tcPr>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1.3*4.0平方电源线缆</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机房专用PDU</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1.8位PDU</w:t>
            </w:r>
            <w:r>
              <w:rPr>
                <w:rFonts w:hint="eastAsia" w:ascii="宋体" w:hAnsi="宋体" w:cs="宋体"/>
                <w:color w:val="auto"/>
                <w:sz w:val="22"/>
                <w:highlight w:val="none"/>
                <w:lang w:bidi="ar"/>
              </w:rPr>
              <w:t xml:space="preserve">            </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接收主机</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1.麦克风无线接收主机、AI音频处理器、双麦充电仓一体式设计。</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2.接收主机内置AI降噪与AI反馈抑制算法。</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3.接收主机内置喇叭，支持对开机、对频指引、音量调节、麦克风归还提醒等进行中文语音播报。</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4.接收主机具有≥1路3.5mm立体声课件输入、≥1路3.5mm混合输出、≥1路3.5mm独立语音输出、≥1路USB语音控制接口，可同时满足本地扩声、远程录播及语音控制需求。</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5.可实时查看麦克风电量、在位状态，调节音量、音效模式（清亮/标准/浑厚），并设置智能提示模式开关。</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6.无线制式：2.4GHz 自适应跳频。</w:t>
            </w:r>
            <w:r>
              <w:rPr>
                <w:rFonts w:hint="eastAsia" w:ascii="宋体" w:hAnsi="宋体" w:cs="宋体"/>
                <w:color w:val="auto"/>
                <w:sz w:val="22"/>
                <w:highlight w:val="none"/>
                <w:lang w:bidi="ar"/>
              </w:rPr>
              <w:t xml:space="preserve">               </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佩戴式话筒</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1.麦克风主体与磁吸领夹一体式设计，磁吸夹无丢失风险。</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2.麦克风采用2.4GHz自适应跳频技术，支持48KHz/24bit无损音质传输；无线麦克风开机后，触碰接收主机对频区域即可完成对频，对频完成后自动锁频。</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3.单台接收主机可实现两支无线麦克风同时使用，实现师生互动。支持在相邻教室同时使用互不干扰。</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4.麦克风≥2个按键，支持电源开关、静音功能；支持语音指令，可通过语音指令对触控一体机等设备中打开常用软件、幻灯片放映等功能。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5.单次充满电可连续使用≥6小时。放入充电仓可进行充电，并可在软件内查看麦克风实时电量、在位状态、音量等信息。</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6.麦克风可通过内置LED灯清晰指示对频、使用、静音、充电、低电量、断频等状态。</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7.麦克风具有归还提醒功能，麦克风被带离使用区域后，麦克风发出蜂鸣声即刻提醒。</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有源音箱</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1.具有≥2路线路输入接口。</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2.每只音箱具有≥1个6.5寸低音喇叭，≥1个3寸高音喇叭。</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3.标配壁挂安装配件。</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4.额定音频输出功率≥30W</w:t>
            </w:r>
            <w:r>
              <w:rPr>
                <w:rFonts w:hint="eastAsia" w:ascii="宋体" w:hAnsi="宋体" w:cs="宋体"/>
                <w:color w:val="auto"/>
                <w:sz w:val="22"/>
                <w:highlight w:val="none"/>
                <w:lang w:bidi="ar"/>
              </w:rPr>
              <w:t xml:space="preserve">。</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桌面插座</w:t>
            </w:r>
            <w:r/>
          </w:p>
        </w:tc>
        <w:tc>
          <w:tcPr>
            <w:tcW w:w="5366" w:type="dxa"/>
            <w:vAlign w:val="center"/>
            <w:textDirection w:val="lrTb"/>
            <w:noWrap w:val="false"/>
          </w:tcPr>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桌面4位电源及USB延长线，方便外接设备使用。</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防静电地板改造</w:t>
            </w:r>
            <w:r/>
          </w:p>
        </w:tc>
        <w:tc>
          <w:tcPr>
            <w:tcW w:w="5366" w:type="dxa"/>
            <w:vAlign w:val="center"/>
            <w:textDirection w:val="lrTb"/>
            <w:noWrap w:val="false"/>
          </w:tcPr>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原开孔地板换新。</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机房线材及辅材</w:t>
            </w:r>
            <w:r/>
          </w:p>
        </w:tc>
        <w:tc>
          <w:tcPr>
            <w:tcW w:w="5366" w:type="dxa"/>
            <w:vAlign w:val="center"/>
            <w:textDirection w:val="lrTb"/>
            <w:noWrap w:val="false"/>
          </w:tcPr>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1.分配器、控制线、VGA线、HDMI线、电源线、音频线等，KBG管、PVC管、线槽、伸缩管、固定锁卡、明盒、空调插座、绝缘胶布、线扎等</w:t>
            </w:r>
            <w:r>
              <w:rPr>
                <w:rFonts w:hint="eastAsia" w:ascii="宋体" w:hAnsi="宋体" w:cs="宋体"/>
                <w:color w:val="auto"/>
                <w:sz w:val="22"/>
                <w:highlight w:val="none"/>
                <w:lang w:bidi="ar"/>
              </w:rPr>
              <w:t xml:space="preserve">。</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机房施工集成</w:t>
            </w:r>
            <w:r/>
          </w:p>
        </w:tc>
        <w:tc>
          <w:tcPr>
            <w:tcW w:w="5366" w:type="dxa"/>
            <w:vAlign w:val="center"/>
            <w:textDirection w:val="lrTb"/>
            <w:noWrap w:val="false"/>
          </w:tcPr>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机房弱电布线、机柜安装及测试，电脑集成、机柜接地等，设备搬运、安装、调试等等，网络设备安装及调试</w:t>
            </w:r>
            <w:r>
              <w:rPr>
                <w:rFonts w:hint="eastAsia" w:ascii="宋体" w:hAnsi="宋体" w:cs="宋体"/>
                <w:color w:val="auto"/>
                <w:sz w:val="22"/>
                <w:highlight w:val="none"/>
                <w:lang w:bidi="ar"/>
              </w:rPr>
              <w:t xml:space="preserve">。</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室外全彩色LED显示屏</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1.物理点间距：4mm，像素密度≥62500点/㎡，屏体显示净面积：长3.84米*高2.24米=8.6平方米。</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2.封装方式：SMD；白平衡亮度：≥4500cd/㎡，刷新频率：≥3840Hz，显示屏专用3C开关电源。</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3.防水一体箱，防护等级≥IP65。</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4.铁板壁厚1.2mm 表面喷塑，满足安全。</w:t>
            </w:r>
            <w:r/>
          </w:p>
        </w:tc>
        <w:tc>
          <w:tcPr>
            <w:tcW w:w="2207" w:type="dxa"/>
            <w:vAlign w:val="center"/>
            <w:textDirection w:val="lrTb"/>
            <w:noWrap w:val="false"/>
          </w:tcPr>
          <w:p>
            <w:pPr>
              <w:jc w:val="left"/>
              <w:widowControl/>
              <w:rPr>
                <w:rStyle w:val="981"/>
                <w:rFonts w:hint="default"/>
                <w:color w:val="auto"/>
                <w:sz w:val="22"/>
                <w:szCs w:val="22"/>
                <w:highlight w:val="none"/>
                <w:lang w:bidi="ar"/>
              </w:rPr>
            </w:pPr>
            <w:r>
              <w:rPr>
                <w:rFonts w:hint="default"/>
                <w:color w:val="auto"/>
                <w:sz w:val="22"/>
                <w:szCs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37</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LED显示屏-视频处理器</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1.≥1920X1080@60Hz输入分辨率。</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2.≥带载130万像素，2路千兆网口输出。</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3.最宽3840像素点或最高2000像素点。</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4.支持5路信号输入:2xHDMI1.4，1xDVI，1xVGA，1xCVBS，1路U盘输入。</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5.支持网口备份。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6.支持1路独立音频输入，1路独立音频输出。</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7.支持HDMI、U-DISK音频解析输出。</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8.支持对视频信号任意切换，裁剪，缩放，支持画面偏移。</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9.支持画面调整：对比度、饱和度、色度、亮度补偿，锐度调整。</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10.支持有限转完全功能，支持发送/回读校正系数，高级修缝。</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11.支持精确颜色管理，可调节显示屏色域，需对应型号接收卡支持。</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12.支持低亮高灰，可有效保持低亮度下灰阶的完整显示。</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13.支持≥16个场景保存和调用。</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LED显示屏-PLC</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after="200"/>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1.具备远程开关电、定时上电和分步上电功能；2.具备“温度”“烟雾”报警等功能；3.可连接到PC或中控进行控制。</w:t>
            </w:r>
            <w:r/>
          </w:p>
        </w:tc>
        <w:tc>
          <w:tcPr>
            <w:tcW w:w="2207" w:type="dxa"/>
            <w:vAlign w:val="center"/>
            <w:textDirection w:val="lrTb"/>
            <w:noWrap w:val="false"/>
          </w:tcPr>
          <w:p>
            <w:pPr>
              <w:jc w:val="left"/>
              <w:spacing w:after="200"/>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10KW室外配电柜</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1、LED屏配电柜，总功率≥10KW。</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2、手自动切换，短路保护，过流、过压、过载保护，支持“分步加电”的上电方式，满足任意时间对显示屏开启和关闭的功能要求。</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t xml:space="preserve">40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一体箱与基础预埋</w:t>
            </w:r>
            <w:r/>
          </w:p>
        </w:tc>
        <w:tc>
          <w:tcPr>
            <w:tcW w:w="5366" w:type="dxa"/>
            <w:vAlign w:val="center"/>
            <w:textDirection w:val="lrTb"/>
            <w:noWrap w:val="false"/>
          </w:tcPr>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箱体为铁板壁厚1.2mm 表面喷塑，立柱为直径不小于220mm的镀锌钢管圆柱，单个基础开挖尺寸不得小于1.0米*1.0米*1.0米，做地笼并浇筑混凝土。</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LED通讯线缆</w:t>
            </w:r>
            <w:r/>
          </w:p>
        </w:tc>
        <w:tc>
          <w:tcPr>
            <w:tcW w:w="5366" w:type="dxa"/>
            <w:vAlign w:val="center"/>
            <w:textDirection w:val="lrTb"/>
            <w:noWrap w:val="false"/>
          </w:tcPr>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六类网线，从控制室分路布设到显示屏内，满足现场实际需求（传输距离超100米，需布设光纤）</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LED强电电缆</w:t>
            </w:r>
            <w:r/>
          </w:p>
        </w:tc>
        <w:tc>
          <w:tcPr>
            <w:tcW w:w="5366" w:type="dxa"/>
            <w:vAlign w:val="center"/>
            <w:textDirection w:val="lrTb"/>
            <w:noWrap w:val="false"/>
          </w:tcPr>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线材，从学校配电箱布设到PLC智能配电箱，再从PLC智能配电箱布设到显示屏内，线径和长度满足现场实际使用需求，需配管</w:t>
            </w:r>
            <w:r>
              <w:rPr>
                <w:rFonts w:hint="eastAsia" w:ascii="宋体" w:hAnsi="宋体" w:cs="宋体"/>
                <w:color w:val="auto"/>
                <w:sz w:val="22"/>
                <w:highlight w:val="none"/>
                <w:lang w:bidi="ar"/>
              </w:rPr>
              <w:t xml:space="preserve">。</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信息发布管理电脑</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1.CPU：8核，8线程，工作频率≥3.0GHz。</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2.内存：16GB DDR4 3200MT/s 内存或以上。</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3.硬盘：≥512GB M.2 NVMe SSD硬盘。</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4.前置面板接口：USB3.2接口≥5个；≥2个麦克风接口，其中至少包括1个3.5mm四段式耳麦接口，1个3.5mm三段式麦克风接口。</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5.后置面板：USB3.2≥4个，支持键盘开机；HDMI≥1个；DP≥1个；VGA≥1个；音频输入≥2个；音频输出≥1个；RJ45≥1个。</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6.内部接口：PCIEX16≥1个；PCIEX8≥1个；PCIEX1≥1个；M.2≥2个；SATA≥2个。</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7.机箱体积：≤10L。</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8.≥23.8显示屏幕，分辨率≥1920*1080，屏幕亮度≥250nit。</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9.带独立显卡，显存≥2GB。</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双联操作台</w:t>
            </w:r>
            <w:r/>
          </w:p>
        </w:tc>
        <w:tc>
          <w:tcPr>
            <w:tcW w:w="5366" w:type="dxa"/>
            <w:vAlign w:val="center"/>
            <w:textDirection w:val="lrTb"/>
            <w:noWrap w:val="false"/>
          </w:tcPr>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双联操作台，冷轧钢板框架</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程控电话主机</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1.基本配置：16外线+50内线，最大可配置20外线136分机。</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2.外线绳路：20条，未使用的外线绳路可转为内线绳路使用。</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3.电脑话务员：双路480秒，共6段，每段80秒。</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电话机</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1.话机铃声：8首风格多样的铃声选择。</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2.号码存储：内部全动态存储，可根据号码位数自动调整存储组数，8位时最大可存储63组最新来电号码信息，随意查询、删除、回拨纠错。</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3.主要功能：可设置5位本地码来电自动过滤，1位出局自动拔外线。</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4.具免提拔号及通知功能。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5.具有重拔，回拨功能。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6.预拨号及改错功能。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7.转接键配合交换机实现转接或三方通话。</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8.LED显示对比亮度5级可调。</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9.免提及铃声音量电子调节。</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vMerge w:val="restart"/>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47</w:t>
            </w:r>
            <w:r/>
          </w:p>
        </w:tc>
        <w:tc>
          <w:tcPr>
            <w:tcW w:w="1244" w:type="dxa"/>
            <w:vAlign w:val="center"/>
            <w:vMerge w:val="restart"/>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86寸触控一体机</w:t>
            </w:r>
            <w:r/>
          </w:p>
        </w:tc>
        <w:tc>
          <w:tcPr>
            <w:tcW w:w="5366" w:type="dxa"/>
            <w:vAlign w:val="center"/>
            <w:vMerge w:val="restart"/>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一、整体设计</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1.屏幕≥86英寸，LED液晶A规屏，显示⽐例16:9。显示分辨率≥3840*2160，可视⻆度≥178°。</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2.输入接口具备≥2路HDMI、1路RS232（RJ45形态）、1路USB接口，1路音频输出、1路触控USB输出；前置输入接口≥3路USB接口（包含1路Type-C、2路USB）。</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3.整机采用红外触控技术，支持≥50点触控及书写划线；嵌入式系统版本≥Android 15，主频≥1.6GHz。</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4.▲整机设备内置2.2声道扬声器，前朝向发声，10W高音扬声器2个，上朝向30W中低音扬声器2个，最大功率≥80W，全部扬声器无需打开背板即可单独拆卸。【提供具有CMA标识的第三方检测报告】</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5.整机具备摄像头，支持拍摄≥1600 万像素数的照片和视频，支持输出 4k 分辨率的视频；内置≥4阵列麦克风。</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6.整机听力模式下具备AI人声语言增强功能，支持三档强弱调节。扩声系统语言传输指数（STIPA）≥0.75。</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7.整机内置双WiFi6无线网卡，在Android和Windows系统下，可实现Wi-Fi无线上网连接、AP无线热点发射。Wi-Fi制式支持IEEE 802.11 a/b/g/n/ac/ax；支持版本Wi-Fi6。</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8.整机Windows通道支持文件传输应用，支持通过扫码、超声、wifi直连三种方式与手机进行握手连接，实现文件传输功能。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9.▲整机内置AR授课工具，支持对视频展台所采集的画面中叠加动态的3D 模型。3D模型包括：动物、微生物、人体骨骼、乐器、星球、地形。【提供具有CMA标识的第三方检测报告】</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10.▲整机内置AI智能体，根据教学和学习需求可快速创建，支持个性化设定角色信息包括角色性格、技能与头像信息，支持语音和文字两种方式与智能体进行对话交互，创建的智能体可上传到本校资源进行共享使用。【提供具有CMA标识的第三方检测报告】</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11.插拔式OPS采用按压式卡扣，无需工具即可快速拆卸；主频≥2.0GHz，8核心十二线程；配置要求：不低于 DDR4 8GB内存，256GB SSD硬盘；接口要求：≥1路HDMI，≥3路USB。</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vMerge w:val="continue"/>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1244" w:type="dxa"/>
            <w:vAlign w:val="center"/>
            <w:vMerge w:val="continue"/>
            <w:textDirection w:val="lrTb"/>
            <w:noWrap w:val="false"/>
          </w:tcPr>
          <w:p>
            <w:pPr>
              <w:jc w:val="center"/>
              <w:widowControl/>
              <w:rPr>
                <w:color w:val="auto"/>
                <w:szCs w:val="21"/>
                <w:highlight w:val="none"/>
              </w:rPr>
            </w:pPr>
            <w:r>
              <w:rPr>
                <w:color w:val="auto"/>
                <w:szCs w:val="21"/>
                <w:highlight w:val="none"/>
              </w:rPr>
            </w:r>
            <w:r/>
          </w:p>
        </w:tc>
        <w:tc>
          <w:tcPr>
            <w:tcW w:w="5366" w:type="dxa"/>
            <w:vAlign w:val="center"/>
            <w:vMerge w:val="continue"/>
            <w:textDirection w:val="lrTb"/>
            <w:noWrap w:val="false"/>
          </w:tcPr>
          <w:p>
            <w:pPr>
              <w:jc w:val="left"/>
              <w:widowControl/>
              <w:rPr>
                <w:rStyle w:val="984"/>
                <w:rFonts w:hint="eastAsia" w:ascii="宋体" w:hAnsi="宋体"/>
                <w:color w:val="auto"/>
                <w:szCs w:val="21"/>
                <w:highlight w:val="none"/>
              </w:rPr>
            </w:pPr>
            <w:r>
              <w:rPr>
                <w:rFonts w:hint="eastAsia" w:ascii="宋体" w:hAnsi="宋体"/>
                <w:color w:val="auto"/>
                <w:szCs w:val="21"/>
                <w:highlight w:val="none"/>
              </w:rPr>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一体机移动支架</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1.移动支架通过防倾斜试验，具有正负10度倾斜角度下不能翻倒。</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2.承挂≥100kg，壁挂高度可调；整体高度≥1597mm。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3.托盘承重≥25KG,模具设置U型置物槽，方便触摸笔、遥控器等物品放置。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4.支撑立杆采用壁厚≥1.8mm方通冷轧钢材质，表面黑色喷涂。</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5.脚轮为万向轮，聚氨酯（PU）材质，均带脚刹，直径不小于∮75mm。</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移动书写板</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150*90H型支架可翻转白板+绿板</w:t>
            </w:r>
            <w:r>
              <w:rPr>
                <w:rFonts w:hint="eastAsia" w:ascii="宋体" w:hAnsi="宋体" w:cs="宋体"/>
                <w:color w:val="auto"/>
                <w:sz w:val="22"/>
                <w:highlight w:val="none"/>
                <w:lang w:bidi="ar"/>
              </w:rPr>
              <w:t xml:space="preserve">。</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视频会议一体机</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1.会议终端采用一体化结构设计，内置高清摄像机、麦克风、扬声器，部署便捷。</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2.操作系统:≥Android 9.0，CPU要求:≥6核，主频≥1.8GHz。 </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3.内置≥8W功率扬声器，内置≥6 阵列麦克风，支持≥8m 拾音距离。</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4.内置高清摄像头，≥1200W像素，支持≥5倍电子变焦，水平视角≥120°。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5.随机佩戴可吸附式的摄像头防窥盖。</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6.终端开机主界面是独立界面。</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7.摄像头支持自动取景和发言追踪。</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8.设备内置接收模块，不需要连接任何附加设备，投屏设备和终端在一个局域网内，可实现外部电脑音视频信号实时传输到设备上。</w:t>
            </w:r>
            <w:r/>
          </w:p>
          <w:p>
            <w:pPr>
              <w:jc w:val="left"/>
              <w:widowControl/>
              <w:rPr>
                <w:rFonts w:hint="eastAsia" w:ascii="宋体" w:hAnsi="宋体" w:cs="宋体"/>
                <w:color w:val="auto"/>
                <w:sz w:val="22"/>
                <w:highlight w:val="none"/>
              </w:rPr>
            </w:pPr>
            <w:r>
              <w:rPr>
                <w:rFonts w:hint="eastAsia"/>
                <w:color w:val="auto"/>
                <w:sz w:val="22"/>
                <w:highlight w:val="none"/>
              </w:rPr>
              <w:t xml:space="preserve">9.无线传屏软硬件支持win10系统扩展屏显示。</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上网行为管理</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1.主要功能：应用控制、行为审计、网络优化、终端行为审计、虚拟资产识别、防火墙、IPS、外设管控、进程管控。</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2.应用控制网关设备(10个千兆电接口+4Combo接口)。</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3.内存4G，硬盘1T。</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4.含IPS/AV特征库升级服务授权函-3年。</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5.平均无故障时间≥100000小时。</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多功能一体机</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1.产品类型：A4彩色激光多功能一体机（打印/复印/扫描）；</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2.打印速度：A4黑白/彩色25ppm；自动双面；</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3.打印分辨率：最高1200x1200dpi；</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4.首页输出时间：黑白约10.4秒、彩色约10.5秒；</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5.复印性能：分辨率1200x1200dpi，支持自动双面复印；</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6.扫描性能：彩色CIS，分辨率600x600dpi，24位色深，A4扫描约1.8秒；</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7.纸张处理：标配250页纸盒+1页手动进纸，支持A4/Legal/Letter；</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8.网络连接：千兆以太网、Wi-Fi 4(802.11n)、USB 2.0；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9.操控与内存：5英寸彩色触控屏，内置1GB内存；</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10.负荷与尺寸：月推荐负荷250-2500页；机身紧凑，含自动双面器。</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激光打印机</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1.产品类型：A4黑白激光多功能一体机（打印/复印/扫描）；</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2.打印速度：黑白单面29ppm、自动双面；</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 首页输出：黑白首页约7秒HP®支；</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 打印分辨率：最高600x1200dpi，鼓粉一体耗材；</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5.复印性能：分辨率600x600dpi，速度29cpm；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6.扫描性能：平板式CIS，分辨率600x600dpi，支持JPEG/PDF等格式；</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7.纸张处理：标配150页进纸盒，支持A4/A5/B5/自定义尺寸；</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8.网络连接：双频Wi-Fi(2.4/5GHz)、千兆网口、USB2.0；</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9.内存与负荷：64MB内存；月最大负荷20000页，推荐负荷约2000页。</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彩色数码复合机</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1.产品类型：A3彩色激光数码复合机（打印/复印/扫描，可选传真）；</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2.处理速度：A4黑白/彩色26ppm；A3黑白/彩色13ppm；双面扫描；</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3.首页输出：黑白约7秒、彩色约8.7秒；预热≤10秒；</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4.分辨率：打印/复印600x600dpi；扫描600x600dpi(CCD）；</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5.纸张处理：双纸盒各550页+手送100页；支持A3-A6R；</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6.输稿器：标配100页DADF（双面自动输稿器）；</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7.内存与存储：2GB内存，标配64GBeMMC（可选 256GB SSD）；</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8.网络连接：千兆网口、Wi-Fi 802.11b/g/n、USB2.0；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9.操控与功耗：7英寸彩色触控屏；最大功耗≤1500W，睡眠约0.8W；</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10.负荷与耗材：月最大负荷115000页；鼓粉分离。</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数码速印机</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1.产品类型：B4 高速数码制版 / 全自动孔版印刷一体化速印机；</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2.制版时间：B4 纵向约23 秒，全自动数码制版；</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3.印刷速度：55/70/85/105/130 页 / 分钟（5 档可调）；</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4.分辨率：扫描600×600dpi；印刷标准300×600dpi、快速300×400dpi；</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5.印刷幅面：最大B4（257×364mm），最小 90×140mm；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6.纸张处理：纸重45–128g/㎡；标配1000 页进纸 + 1000 页接纸，支持双纸盒；</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7.缩放功能：50%–200% 无极缩放，含固定倍率与自动缩放；</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8.操控与接口：中文 LED 液晶面板；标配 USB 打印、自动进稿、密码模式；</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9.功耗与尺寸：220V/50Hz；最大300W、待机≤20W；</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10.耗材与负荷：SV 黑油墨 ZL（1000ml）、B4 版纸 33ZL（200 张 / 卷）；月负荷50万页。</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移动刻录光驱</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1.产品类型：超薄外置DVD 刻录机(USB+Type-C 双接口）；</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2.读写速度：DVD 8X读写、CD 24X读写，支持双层刻录；</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3.接口与系统：USB2.0+Type-C 双接口，即插即用；</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4.功能特性：一键刻录、智能调速、数据加密、抗振设计。</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57</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办公笔记本电脑</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1.处理器：八核，主频 3.5GHz，国产；</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2.内存 / 存储：≥16GB DDR5 4800MHz；≥960GB M.2 SSD NVMe硬盘；</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3.显示屏幕：≥14英寸，屏幕分辨率≥2800*1800，IPS 屏，亮度≥300cd/m2，色域覆盖率≥100% sRGB；显示屏幕支持180°开合</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4.显卡：集成显卡；</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5.网络通信：Wi-Fi 802.11a/b/g/n/a/ac/ax（支持Wi-Fi 6）、蓝牙不低于5.3；</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6.接口配置：USB-A≥3个（非转接，至少USB3.2 Gen1≥2个，其中一个接口支持关机对外供电）；Type-C≥2个，均支持PD充电；RJ45接口≥1个；3.5mm音频接口≥1；HDMI 2.0b接口≥1；</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7.电池续航：≥74Wh，支持100W功率快速充电；</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8.系统与质保：预装国产 OS（银河麒麟 / 统信 UOS）；三年原厂上门保修。</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办公台式电脑</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1.处理器：八核，主频 3.5GHz，国产；</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2.内存 / 存储：≥16GB DDR5 ；≥960GB M.2 SSD NVMe硬盘；</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3.显示器：≥23.8 英寸，250nit，IPS屏；</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4.接口配置：HDMI ≥1个、USB≥4个；音频接口≥1；</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5.系统与质保：预装国产 OS（银河麒麟 / 统信 UOS）；三年原厂上门保修。</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智慧黑板</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1、整体外观尺寸：宽≥4200mm，高≥1200mm，全金属外壳，三拼接平面一体化设计，86英寸液晶显示器，两侧副屏可支持媒介进行板书书写，副屏支持磁吸附功能；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2、侧置输入接口≥2路HDMI、≥1路RS232（RJ45形态）、≥1路USB，侧置输出接口≥1路音频输出、≥1路触控USB输出，前置输入接口≥1路Type-C、≥2路USB；</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3、采用红外触控技术，Windows系统和Android系统均支持≥50点触控及书写划线，整机嵌入式系统版本≥Android 15，主频≥1.6GHz，内存≥2GB，存储空间≥32GB；</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4、整机设备内置2.2声道扬声器，前朝向发声，12W高音扬声器2个，上朝向30W中低音扬声器2个，最大功率≥84W，全部扬声器无需打开背板即可单独拆卸；（提供CMA认证的检测机构出具的检测报告)</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5、整机听力模式下具备AI人声语言增强功能，支持三档强弱调节，扩声系统语言传输指数（STIPA）≥0.75；整机内置摄像头，可拍摄≥5000万像素数的照片；</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6、整机Windows通道支持文件传输应用，支持通过扫码、超声、wifi直连三种方式与手机进行连接，实现文件传输功能；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▲7、整机听力模式下具备AI人声语言增强功能，支持强弱调节，扩声系统语言传输指数（STIPA）≥0.75；（提供CMA认证的检测机构出具的检测报告并加盖公章）</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7、教学白板：可直接进入编辑页面编辑课件/教案，发布新稿件后，实时同步教研动态；</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8、插拔式OPS，采用万兆级接口，传输速率≥10Gbps；CPU主频≥2.0GHz，≥8核心十二线程；≥DDR4 8GB内存；≥256GB SSD硬盘；≥1路HDMI，≥3路USB。</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视频展台</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1、壁挂式安装，托板采用单板结构，托板平整无接缝，展开后托板尺寸≥A4面积，托板可承重≥3kg ，托板可收起，采用磁吸吸附式机构；</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2、采用一体式设计，打开托板即可启动展台，实现画面拍摄和数据传输，支持3档LED补光，≥1300万像素，支持自动对焦，支持视频矫正；</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3、支持实时降噪功能，可开关控制；支持通过双击屏幕画面任意位置，即时改变对焦位置,可对立体物体的局部进行对焦；</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4、按键采用触摸，可实现灯光调节、拍照截图、画面缩小、画面放大功能；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5、摄像头进行外壳防护等级试验，防护等级达到IP4X级别；</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6、支持故障自动检测。</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无线键鼠套装</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1、2.4GHz无线连接技术，可有效避免干扰和掉帧；</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2、无线连接距离≥10米；</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3、鼠标灵敏度≥1000DPI；</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4、配套鼠标垫、电池、USB延长线及接收器固定材料。</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多媒体讲台</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1、讲台尺寸：长1000*宽700*高800-1000mm；（±5mm）（高度可根据现场定制）</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2、讲台箱体采用0.8mm厚冷轧钢板，台面采用12mm厚耐划防火板；</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3、两侧扶手及后背装饰板为木质喷漆板，前面配置两个储物抽屉；</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4、桌体下层内部标准机柜设计，带层板，支持设备可整齐固定。</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推拉黑板</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1、左右推拉形式，一体机居中放置，内外双层，内层两块固定板外层两块活动板，活动板闭合后接触面为无边框折边设计无障碍书写；</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2、规格：≥4200mm*1200mm，可根据一体机尺寸和用户需求进行调整；</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3、采用绿色烤漆板，涂层采用丙烯酸树脂漆，板面厚度≥0.3mm，涂层硬度≥6H；光泽度＜6%，无明显眩光；表面附有保护膜，用普通粉笔书写；</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4、内芯材料:采用防潮、阻燃、24kg/m³高密度泡沫板，厚度10㎜，整张无接缝；</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5、背板:采用镀锌彩涂板，厚度≥0.21mm；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6、边框材料:采用银白色工业铝型材，为保证黑板整体的强度外框型材壁厚不小于1.1mm，接缝平整、光滑；</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7、包角:ABS工程塑料，模具注塑一次成型；</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8、轨道：上轨道为一字型配合T型滑块，下轨道为T型滑道配合半封口凹字型滑块，永不脱轨；上下左右边框正面宽度不大于2.5cm；</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9、滑块：每块活动板安装4个滑块，在轨道内滑动无噪音，书写不易左右移动。</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边台桌椅</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1、主台：1600*600*760mm(士10mm)，副台：1600*450*640mm（士10mm）；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2、钢木结构，台面分主台和副台两组，主台台面采用25mm三聚氰胺饰面实木多层板，环保等级E0级，同色封边皮，板材颜色可选；</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3、主台台面采用25mm三聚氰胺饰面实木多层板，环保等级E0级，同色封边皮，板材颜色可选，台身采用回字形方管结构（50×20×1.5mm），横拉20*40*1.2方管焊接而成；</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4、副台台面采用25mm其余18mm厚三聚氰胺饰面实木多层板，环保等级E0级，同色封边皮，板材颜色可选，副台包含三组抽屉和两扇门及主机位；</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5、含1套教师办公椅。</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音箱</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1、额定/峰值功率： ≥100W /400 W ； </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2、额定阻抗：  8Ω；</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3、特性灵敏度： 92dB/W/m；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4、输出声压级： 112 dB/W/m(Continues);118 dB/W/m(Peak)；</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5、额定频率范围： 60Hz～20000Hz</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6、覆盖角度H×V： 90 º×90 º；</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7、扬声器单元： LF:1*10 英寸  HF:2* 3寸；</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8、输入接口：NL4MP×1。</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         </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功率放大器</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1、U盘播放和蓝牙播放，LCD液晶显示屏，两路音源切换按键；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2、≥2路有线话筒输入、≥1路无线话筒输入、≥1路USB可用于2.4G无线话筒供电，≥3组立体声线路输入，≥2组立体声线路输出，≥1路RS232控制接口，≥1路一键静音控制接口；</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3、话筒和线路音量、高/低音独立可调，带功放L输出通道信号大小调节功能；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4、额定功率(RMS)：≥2×200W  8Ω,≥2×300W  4Ω，总谐波失真：≤1%；</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5、线路频率响应：20Hz～20KHz  ±3dB，话筒频率响应：80Hz～16KHz  ±3dB；</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6、输入灵敏度：300±30mV线路，60±6mV有线话筒，100±10mV无线话筒，信噪比：≥82dB；                            </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7、线路高音提衰量（10KHz）：14dB±2dB，线路低音提衰量（100Hz）：14dB±2dB，话筒高音提衰量（10KHz）：14dB±2dB，话筒低音提衰量（100Hz）14dB±2dB。</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6384"/>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67</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双通道手持无线麦克风套装</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1、双通道UHF超高频真分集无线接收机，支持机架安装，金属面板；</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2、双真分集天线支持根据信号强度自动切换；</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3、急速红外对频方式,对频距离远,锁定速度快；</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4、射频频率范围: 512-562MHz，可调信道数: 100；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5、自动跟踪调谐技术，LED高清屏幕显示，发射机电池电量指示功能；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6、数字导频频率: 30.72kHz，接收灵敏度: -98dBm，接收机频率响应: 67-15kHz+3dB，谐波失真: &lt;1.5%(250-6300Hz)，信噪比:≥102dB(XLR端口)，颜输出:平衡输出XLR ,非平衡混合输出6.35mm大二芯；</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7、手持无线话筒(动圈)，射频频率范围: 512-690MHz，音频频响: 60-15kHz+3dB，灵敏度: -47dBV/Pa(1kHz), 4.4mV/Pa ( 1kHz )，指向性:超心型.，输出阻抗: 600欧( 1kHz )，谐波失真: &lt;0.5%(1kHz,25mVrms)，开机速度: &lt;1秒，发射功率: 2mW/10mW/30mW三档可选。</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设备机柜</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1、12U机柜，SPCC冷轧板材；</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2、厚度不低于1.2,黑色；</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3、含搬运安装。</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线材及管材</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1、音箱采用金银线，一体机安装所需连接线；</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2、根据现场选择不同规格管道（PVC管/PVC线槽），含管道配件；</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3、安装接插件、螺丝、玻璃胶、防水胶布等等。</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音视频系统集成</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1、音视频系统管线铺设，设备安装； </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2、2套机柜安装，一间音乐教室内原有扩声设备安装至机柜内；</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3、所有设备搬运至教室内，整体调试及培训服务。</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音视频系统安装调试</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1、原扩声主机等设备安装至机柜内，对应贴标，线路整理；</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2、一体机安装，原有设备拆除搬运至校方指定位置；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3、教室内原有扩声设备安装至机柜内；</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4、多媒体系统所有设备搬运至教室内，整体调试及培训服务。</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多媒体系统安装调试</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1、智慧黑板供电所需RVV电源线、电源接插件、强电管道、管道配件；</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2、设备网络采用教室内原有网络点，接入智慧黑板，配套所需线材、配件、管材；（改智慧黑板）</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3、线路铺设及设备安装所需各类接插件；</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4、视频展台线路及安装，线路集成，线路整理；</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5、设备搬运、上楼、架设，整体调试及培训。</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无线接收主机</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Fonts w:hint="eastAsia" w:ascii="宋体" w:hAnsi="宋体" w:cs="宋体"/>
                <w:color w:val="auto"/>
                <w:sz w:val="22"/>
                <w:highlight w:val="none"/>
                <w:lang w:bidi="ar"/>
              </w:rPr>
              <w:br w:type="textWrapping" w:clear="all"/>
            </w: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1、支持两支话筒同时使用，通过与底座配合无须手动对频，实现拿起话筒自动连接，具备连接成功提示音；</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2、RJ45≥1路，可以连接智能底座实现红外信号接收；</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3、1路USB接口，可以连接电脑现场或者远程实现DSP程序的写入，支持调节EQ、增益、移频深度选择等调节；</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4、支持音乐音量、鹅颈话筒音量、两路无线话筒音量独立调节；</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5、≥1组话筒输入；≥1组话筒输出；≥1组线路输入；≥1组线路输出；≥1路IR；</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6、频响范围：20Hz-20KHz；信噪比：≥85db；灵敏度：≥85dB。</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无线麦克风</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1、支持磁吸式颈挂，手持，领夹等方式，领夹模式下可对佩戴角度进行0-360°旋转调节，并设有三个限位装置；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2、话筒采用红外及UHF无线射频双频技术，独立外部扩展红外无线接收模块，配套485网口接线的红外无线接收器，高灵敏度红外线接收头≥10颗，分别不同角度朝向；</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3、采用2.4GHz独立USB接收器方式与无线麦克风连接进行PPT上下翻页等功能；</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4、无线话筒采用电容式驻极体音头，拾音距离≥20cm清晰拾音；</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5、开机自动配对，成功及断开均有提示音；</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6、无线话筒采用通用可充电锂离子电池，独立的可拆卸电池盖；</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7、支持type-c充电或底座充电方式。</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单位话筒充电座（含支架）</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1、底座集成红外对频模块，无需外置红外模块或者接触式设备；</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2、RJ45≥1路，可连接至配套的话筒主机实现红外信号传输，同时可给底座供电；</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3、底座采用磁吸自动矫正短触充电设计，可适配手持或颈挂或领夹麦克风等各种形式，满足不同老师的需求；</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4、Type-c≥1路，用于给底座供电；</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5、话筒充电座定制，金属材质。</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远距离无线手持话筒</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1、配置双手持话筒+接收机；</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2、频率范围：640-690MHz；</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3、调制方式：宽带FM；</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4、可调范围：60MHz；</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5、信道数目：300；</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6、信道间隔：200KHz；</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7、工作距离≥500米。</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77</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无线信号放大器</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1、提供使用1-4台UHF无线系列或其他系列各种自动选讯接收机的多频道系统；</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2、四组电源输出：12V/600-1000mA；</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3、频率范围：500-900MHz；输入截断点：+22dBm；噪声比：4、0dB Type(Center Band)；增益：+6-9dB(Center Band)；输出阻抗：15dB min；阻抗：50Ω；频宽：300MHz；插座：TNC female。</w:t>
            </w:r>
            <w:r/>
          </w:p>
        </w:tc>
        <w:tc>
          <w:tcPr>
            <w:tcW w:w="2207" w:type="dxa"/>
            <w:vAlign w:val="center"/>
            <w:textDirection w:val="lrTb"/>
            <w:noWrap w:val="false"/>
          </w:tcPr>
          <w:p>
            <w:pP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全方位天线</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1、频段UHF470－1000MHz，天线增益4－6dB；</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2、发射和接收两用的对数天线，470MHz－1000MHz频段，具有4－6dBi的高指向特性；</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3、内置强波器,外接延长天线,天线阻抗 50Ω；</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4、电源RX连接座须提供偏压电源8－15V/DC；</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5、连接插座 TNC母座×2。</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强波器</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1、频段范围：450MHz～1000 MHz；</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2、增益：18dB；</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3、电压驻波比：输入/出≦3：1；</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4、连接端子：输入/输出接口为TNC；</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5、供电：DC9V，600mA。</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馈线</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无氧铜材质，50Ω馈线。</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话筒立架</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1、金属材质，承重不小于6KG，壁厚不低于2mm,自锁式底座；</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2、可升降支撑杆和可旋转横杆，横杆180°上下调节，360°水平调节；</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3、立杆可调节高度110-175mm，横杆可调节长度55-95mm,标准通用螺旋口，配备蝴蝶夹、U型夹，适配多种麦克风；</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4、支架底部有高强度防滑脚套，防滑耐磨。</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六类非屏蔽双绞线</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1、规格：六类非屏蔽网线；</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2、传输带宽：250MHz，导体：23AWG；</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3、紧护套结构，线对间十字骨架隔离技术，全面提升线缆性能。</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电源线</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3*1.5mm²纯铜质电源线。</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音频线</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128编无氧铜双芯音频线。</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辅材</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安装所需的配件及辅材，线管、线槽、固定件、坚固件、连接线、信号线、多功能插件、水晶头、胶布、扎带、打标纸等。</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安装调试</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1、将此项目中的设备规范安装，并统一调试合格；</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2、培训用户至独立熟练操作；</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3、按服务条款做好售后服务，确保用户正常使用。</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87</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千兆接入交换机</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1、固化千兆电接口≥24个，独立千兆SFP光接口≥4个，静音无风扇，交换容量≥672Gbps，包转发率≥171Mpps；</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2、具有IPv4.IPv6静态路由.RIP.RIPng.OSPFv2.OSPFv3等三层路由和组播功能；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3、支持智能管理平台，可配合上端管理设备实现整网拓扑可视，实现在网络设备上对整网交换机的统一管理，无需再额外配置网管平台；</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4、支持G.8032以太网环保护协议ERPS，切换时间≤50ms；</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5、支持Telemetry技术，可通过GRPC协议将交换机的实时资源信息与告警信息上送至运维平台，运维平台针对实时数据进行分析，可实现网络质量回溯，故障排查，风险预警，架构优化等功能；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6、支持快速检测链路的通断，并支持端口下的环路检测功能，防止端口下因私接Hub等设备形成的环路而导致网络故障的现象；</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7、支持终端准入功能配合后台系统可以将终端防病毒，补丁修复等终端安全措施与网络接入控制，访问权限控制等网络安全措施整合为一个联动的安全体系。</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全网行为管理设备</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1、网络层吞吐量（大包）≥3.6Gb，应用层吞吐量≥450Mb，带宽性能≥300Mb，IPSEC VPN加密性能（最高性能）≥100Mb，支持用户数≥800；</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2、包转发率≥45Kpps，每秒新建连接数≥4000，最大并发连接数≥150000，规格≥1U，接口≥6千兆电口，单电源；</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3、支持高可用支持主备、主主和多主模式部署，同时支持两台及两台以上设备同时做主机的部署模式；</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4、支持用户名密码认证、IP/MAC认证、短信认证等本地认证方式，支持802.1x认证，可对接本地和AD域用户源进行用户名密码认证，可对接外部CA认证服务器进行证书认证，支持在线证书状态查询（OCSP）；</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5、支持协同办公认证；</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6、能够实时看到各级流控通道的状态：包括所属线路、瞬时速率、通道占用比例、用户数、保证带宽、最大带宽，启用状态等；</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7、支持根据IP、端口、协议等自定义应用规则，支持根据端口设定用户不允许访问的目标IP组提供的服务，支持根据不同的应用类型或具体的某种应用设置允许或拒绝；</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▲8、设备内置应用识别规则库，≥9000种应用规则数、≥6000种应用，支持标签管理与控制；（提供产品功能截图和具有CMA标识的检测报告）</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9、支持根据访问的URL和网页关键字进行网页过滤，支持设置拒绝以IP访问网页行为，支持根据文件类型限制HTTP、FTP方式上传、下载行为；</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10、支持记录全部或者指定类别URL、网页标题、网页内容等信息，支持网页内容审计后的网页快照功能；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▲11、提供不低于3年软件升级免费服务。</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信息面板</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1、单/双口；</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2、规格：86x86型信息面板；</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3、材料：高强度ABS塑料；</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4、结构：面板表面采用不可见螺钉孔设计；扣位式面板设计可防止施工时污染面板；带有防尘盖，方便跳线插拔；</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5、标识：自带可更换式标签，方便管理，另带数据、语音识别标签。</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信息模块</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1、规格：六类非屏蔽信息模块；</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2、符合ANSI/TIA-568.2-D六类规范；</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3、传输带宽：250MHz；</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4、IDC簧片：磷青铜镀镍（100u"），可容纳 22-26 AWG 单股和多股线缆，最少250次端接；</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5、JACK金针：磷青铜镀镍再镀金（50u"），最少750次插拔。</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配线架</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1、规格：模块式配线架，含模块；</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2、材料：采用SPCC冷轧钢板制成，厚度1.5mm，前后面采用喷塑处理；</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3、按压式透明标签框，仅需轻轻按压即可更换标签贴；</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4、背部自带理线杆，无需螺丝安装，卡扣式设计；</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5、每根线缆有单独的固定槽，无需扎带捆绑。</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理线架</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1、规格：全金属理线架；</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2、采用耐用钢材原料；</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3、管槽式机架设计方便线缆管理；</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4、高度：1U；</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5、安装方式：机架式。</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网络跳线</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1、规格：六类4对非屏蔽RJ45-RJ45跳线；</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2、符合ANSI/TIA-568.2-D六类规范，单体100%通过fluke；</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3、成品2米；</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4、外护套：PVC，传输带宽：250MHz，导体线规：30AWG；</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5、插头采用独特的工艺加工成型，且有弹片保护套，有效防倒钩。</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六类非屏蔽双绞线</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1、规格：六类非屏蔽网线；</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2、传输带宽：250MHz，导体：23AWG；</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3、紧护套结构，线对间十字骨架隔离技术，全面提升线缆性能。</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管材及安装辅材</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1、根据现场选择不同规格管道（PVC管/PVC线槽），含管道配件；</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2、安装接插件、各类螺丝、玻璃胶、防水胶布等等。</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安装及调试</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1、有线网络管线铺设，线路对应标识，线路集成；</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2、机柜内线路集成，各设备安装，线路对应贴标，线路整理；</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3、网络整体系统调试。</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97</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86寸智能触控一体机</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一、整体设计</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1、整机采用边框与背板一体化冲压成型结构，上左右三边边框与背板非拼接组装结构，整机左、右、下三边框皆具备磁吸功能；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2、屏幕采用≥86英寸液晶显示器，采⽤LED液晶A规屏，显示⽐例16:9，显示分辨率3840*2160，可视⻆度≥178°；</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3、侧置输入接口具备≥2路HDMI、≥1路RS232、≥1路USB接口、≥1路音频输出、≥1路触控USB输出；前置输入接口≥3路USB接口；</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4、整机采用红外触控技术，Windows系统和Android系统均支持≥50点触控及书写划线，整机嵌入式系统版本≥Android 15，主频≥1.6GHz；</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5、整机设备内置2.2声道扬声器，前朝向发声，12W高音扬声器2个，上朝向30W中低音扬声器2个，最大功率≥84W；</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6、整机上边框内置非独立摄像头，采用一体化集成设计，⽀持输出4:3、16:9⽐例的图⽚和视频，支持拍摄≥1600 万像素数的照片和视频，支持输出 4k 分辨率的视频；</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7、整机听力模式下具备AI人声语言增强功能，支持三档强弱调节。扩声系统语言传输指数（STIPA）≥0.75；（提供CMA认证的检测机构出具的检测报告）</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8、整机内置双WiFi6无线网卡，在Android和Windows系统下，可实现Wi-Fi无线上网连接、AP无线热点发射；</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9、支持发出频率为18kHz-22kHz超声波信号；</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10、整机Windows通道支持文件传输应用，支持通过扫码、超声、wifi直连三种方式与手机进行握手连接，实现文件传输功能；</w:t>
            </w:r>
            <w:r>
              <w:rPr>
                <w:rFonts w:hint="eastAsia" w:ascii="宋体" w:hAnsi="宋体" w:cs="宋体"/>
                <w:color w:val="auto"/>
                <w:sz w:val="20"/>
                <w:szCs w:val="20"/>
                <w:highlight w:val="none"/>
              </w:rPr>
              <w:br/>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组合推拉搪瓷白板</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1、整体规格:≥4200*1300*100-200mm，具体尺寸可根据现场定制；结构:内外双层，左右推拉结构组合设计，两块固定两块滑动，与触控一体机尺寸配套，外框和轨道一体化设计；</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2、书写板面：采用厚度≥0.4㎜E3或JFG搪瓷板面；</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3、夹层材料：采用厚度≥10mm，7层瓦楞纸板；</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4、背板：防锈热镀锌钢板，厚度≥0.3mm；</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5、边框：整体采用豪华高强度工业电泳铝合金；颜色为香槟色，横、立框采用双层加强结构；主外框滑道尺寸45*180mm；</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6、包角材料：采用ABS工程塑料，四周包角R40mm的圆角；</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7、黑板滑轮：侧U型镶嵌式滑轮，带减震胶套；</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8、限位档：黑板边框内部两侧安装限位挡。</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视频展台</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1、壁挂式安装，托板采用单板结构，托板平整无接缝，展开后托板尺寸≥A4面积，托板可承重≥3kg ，托板可收起，采用磁吸吸附式机构；</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2、采用一体式设计，打开托板即可启动展台，实现画面拍摄和数据传输，支持3档LED补光，≥1300万像素，支持自动对焦，支持视频矫正；</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3、支持实时降噪功能，可开关控制；支持通过双击屏幕画面任意位置，即时改变对焦位置,可对立体物体的局部进行对焦；</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4、按键采用触摸，可实现灯光调节、拍照截图、画面缩小、画面放大功能；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5、摄像头进行外壳防护等级试验，防护等级达到IP4X级别；</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6、支持故障自动检测。</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高清视频分配器</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一进两出HDMI分配器，含成品连接线。</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教学扩音主设备</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1、平板样式，额定功率：2*30W/8Ω,画面可定制，全密封式设计，防尘等级IP5X；</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2、输入接口：AUX IN ≥2,内置无线MIC≥1,有线MIC（非标USB接口）≥1，输出接口：AUX OUT≥1,SPK OUT≥1；</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3、总谐波失真：≤0.01%，信噪比：≥85dB；</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4、无线MIC接收：内置单路无线麦克风接收模块；</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5、无线MIC工作频段：2.4G （2400-2483MHz）；</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6、声场均衡度：在不受外界强干扰的情况下，稳态声场不均匀度：≤4dB，同（空间）室内环境中，靠近面声源、四角及中心区音量大小无明显差异，声场管控：声音传递到相邻教室音量≤10db。</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扩音辅助音箱</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1、全密封式设计，画面可定制，防尘等级IP5X；</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2、阻抗≥16Ω，额定功率≥30W，灵敏度≥85dB；</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3、原声呈现：声音还原度≥91%，传输频率特性 125Hz-4000Hz，平均声压级为0dB±4dB；</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4、声场均衡度：稳态声场不均匀度：≤3dB；</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5、声场管控：声音传递到相邻教室音量≤10db。</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安全网关</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1、支持固化千兆电口≥5个，支持内存≥512MB，USB接口≥1个；</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2、吞吐量≥1000MB，用户规模≥200终端；</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3、设备支持一键化的场景化配置功能；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4、支持可视化VPN功能，VPN建立完成后能够自动生成拓扑图；</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5、可查看VPN流量使用情况并对其进行限速。</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实木钢制教师桌</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1、尺寸：1800mm*700mm*760mm(士10mm)，尺寸可现场定制；</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2、台面板材为橡胶木板油漆饰面，厚度≥18mm，圆角圆边处理；</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3、钢架使用20mm*60mm*1.5mm及20*50*1.2方管K字形造型支架，桌架两侧钢制封板；</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4、钢制表面静电喷涂处理，背板≥0.8mm钢板圆形冲孔网板，高度≥600mm。</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教师椅</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br/>
            </w: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≥φ25*2.0mm管烤漆弓形架，透气网布饰面，尼龙背架，PP扶手。</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实木钢制学生桌（四人）</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1、尺寸：1400mm*1200mm*760mm(士10mm)，尺寸可现场定制；</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2、台面板材为橡胶木板油漆饰面，厚度≥18mm，圆角圆边处理。</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3、钢架使用20mm*60mm(士5mm)*1.5mm及20*50*1.2方管K字形造型支架，桌架两侧钢制封板；</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4、钢制表面静电喷涂处理，背板≥0.8mm钢板圆形冲孔网板，高度≥600mm。</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107</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实木钢制学生桌（双人）</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1、尺寸：1400mm*600mm*760mm(士10mm)，尺寸可现场定制；</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2、台面板材为AA级橡胶木板油漆饰面，厚度≥18mm，圆角圆边处理。</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3、钢架使用20mm*60mm(士5mm)*1.5mm及20*50(士5mm)*1.2方管K字形造型支架，桌架两侧钢制封板；</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4、钢制表面静电喷涂处理，背板≥0.8mm钢板圆形冲孔网板，高度≥600mm。</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实木钢制方凳</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1、钢架主管25mm*25mm(士5mm)*1.2mm方管，凳面主管为20*20(士5mm)*1.2mm；</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2、表面静电喷涂处理，内塞尼龙脚套；</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3、凳面≥18mm厚AA橡胶木板。</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收纳边柜</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1、规格:长4300mm*宽450mm*高900mm士10mm；</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2、材质:实木多层板；</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3、工艺:采用国家标准E0级板，厚度18mm，基材采用实木多层板，面贴三聚氰胺纸，断面采用厚度≥1.5mmPVC直封边制作；</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4、功能:开门或移门设计。</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收纳边柜</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1、规格:长4000mm*宽450mm*高900mm士10mm；</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2、材质:实木多层板；</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3、工艺:采用国家标准E0级板，厚度18mm，基材采用实木多层板，面贴三聚氰胺纸，断面采用厚度≥1.5mmPVC直封边制作；</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4、功能:开门或移门设计。</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强电面板</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1、3孔10A，额定电流10A，额定电压:250V，采用防火材料制成；</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2、配套安装底盒。</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电源接线板</w:t>
            </w:r>
            <w:r/>
          </w:p>
        </w:tc>
        <w:tc>
          <w:tcPr>
            <w:tcW w:w="536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不低于以下配置：</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1、≥四插位；</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2、电源线铜芯线径≥1mm²，带开关；</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3、10A，2500W；</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4、线长不小于1.5M；</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5、一体化铜条内芯；</w:t>
            </w:r>
            <w:r/>
          </w:p>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6、安全保护门，750度阻燃材料。</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安装辅材</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1、一体机供电所需RVV电源线、电源接插件、强电管道、管道配件；</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2、音箱线、控制线、USB线等；</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3、配套六类水晶头、机打标识、桌面标识贴、捆扎带、提示标识牌、地板孔护套等</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4、各类音视频跳线、接插件等等。</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线路检测</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1、原有强电线路测试，前端强电面板安装，对应贴标；</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2、原有网络线路测试，水晶头制作、标识；</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3、防静电地板开孔，强弱电线路安装至桌内。</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安装及系统集成</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1、电脑设备搬运，拆箱组装，产生垃圾清运；</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2、电脑软硬件安装、同传、系统调试；</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3、一体机及白板安装、音箱安装；</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4、线路整理、使用培训等等。</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3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无线便携录播主机</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硬件要求：</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1、系统采用纯嵌入式硬件架构和嵌入式软件系统，内置存储≥1T，主机内置大容量锂电池，满电可续航不小于6个小时； </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2、触摸屏≥13.3英寸，分辨率≥1920*1080，支持≥1路RJ45网络接口，内置wifi6模块，支持≥1路HDMI in采集，支持分辨率3840*2160、1920*1080、1280*720等分辨率接入采集；</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3、支持≥4路SDI输入接口，支持≥2路HDMI输出接口，支持≥4路音频混音编码，≥3个USB接口；</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4、内置无线音频模块、标配配套的无线手持麦、无线领夹麦，无线音频发射器等；设备启动后即可自动对频使用；</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5、主机支持≥1路line in; ≥1路mic in; ≥1路line out；支持本地音频、摄像机网络音频、无线音频等多种音频信号同步接入，支持音频监听、音量调节与音量状态显示，支持音频降噪设置，支持降噪等级高、中、低选择；</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6、无线视频传输模块支持802.11a/n等标准协议；采用5.8GHz无线技术,发射功率17dBm，传输速度不低于300Mbps/s； </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▲7、采用信道检测与加密的跳频技术，可自动检测当前网络环境，自动选择最佳通讯信道，防止干扰，也可手动选择信道进行设置。（提供CMA认证的检测机构出具的检测报告）</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软件要求：</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1、系统自带网络测试功能，可以根据网络检测结果选择使用合适的直播清晰度； </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2、支持CPU、内存占用率查看，录制时长和直播时长实时显示，支持磁盘使用情况显示，方便了解设备状态及录制直播情况；</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3、系统支持DHCP协议，自动获取网络地址，支持MAC地址显示，解决局域网对MAC地址认证的需求，支持网络测试，方便了解主机到目标服务器的网络状态；</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4、支持电影模式和资源模式同步录制；</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5、系统支持画面一键切换预监至直播输出功能，支持电影模式和资源模式同步录制；支持4K录制，支持不少于2路网络4K视频输入、1路HDMI 4K视频输入及同步录制，支持电影模式和资源模式同步录制，电影模式和资源模式均支持4K分辨率录制；</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6、系统支持普通字幕、滚动字幕、台标。内置≥10种字幕模板，其中≥4种滚动字幕，≥2种台标模板；支持不少于4种倒计时模板选择设置； </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7、系统支持不少于6种一键切换特效功能，能通过主机导播台实现镜头切换特效的快速切换输出；</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8、系统支持RTSP、RTMP等网络视频流接入连接，方便扩展各种信号源进行直播录制；支持接入EPTZ双目摄像机实现自动跟踪导播录制；</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9、支持导入推流直播地址，支持直播码功能，简化直播地址输入，避免直播地址过于复杂导致输入错误而无法正常直播的问题； 支持快速微信分享直播；</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10、支持对接教育云资源管理平台，将录制的文件上传到平台进行统一管理、存储，发布；</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11、支持对接督导巡课平台实现督导巡课应用，巡课时支持不少于3路图像的直播观看。</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117</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无线摄像机</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1、采用≥1/1.8 英寸、≥842万像素的CMOS 传感器；</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2、采用4K 超长焦镜头，≥20 倍光学变焦；</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3、2x2 MIMO和发射端波束成型技术，最大传输速率300Mbps，传输距离≥200米，具有自动搜索和智能配置功能；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4、支持无线、RS485串口、网络以及USB方式对摄像机进行控制；</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5、内置≥9450mAh超大容量锂电池；</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6、同时支持12V电源适配器、Type-c和内置电池供电；</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7、支持≥USB*1、≥HDMI*1、≥RJ45*1、≥line in*1，≥RS485*1，内置麦克风。</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采集端软件</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1、视频编码：H.265/H.264/MJEPG；分辨率支持：3840x2160,1920x1080,1280x720,1024x576,960x540,640x480,640x360；码率：32Kbps~20480Kbps；</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2、音频编码：AAC、码率：96kbps、128kbps、256kbps；</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3、支持TCP/IP, HTTP, RTSP, RTMP, Onvif, DHCP, 组播等协议；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4、支持UAC和UVC输出协议；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5、内置AI算力，支持单镜头的人物跟踪模式和区域跟踪模式。</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无线图传盒</w:t>
            </w:r>
            <w:r/>
          </w:p>
        </w:tc>
        <w:tc>
          <w:tcPr>
            <w:tcW w:w="5366" w:type="dxa"/>
            <w:vAlign w:val="center"/>
            <w:textDirection w:val="lrTb"/>
            <w:noWrap w:val="false"/>
          </w:tcPr>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不低于以下配置:</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1、内置无线传输模块，支持音视频数据无线传送功能； </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2、具备≥1路SDI输入、≥1路HDMI输入，≥1路HDMI环出，HDMI in支持音频同步输入；其中HDMI支持最大3840*2160信号输入；</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3、无线传输信号在无阻挡、无干扰情况下室外传输距离≥300米，室内≥150米；</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4、支持手动拨码功能，通过拨码可选择视频输入类型，音频输入类型； </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5、具备液晶显示面板，能够显示设备IP、电量、版本信息等； </w:t>
            </w:r>
            <w:r/>
          </w:p>
          <w:p>
            <w:pPr>
              <w:jc w:val="left"/>
              <w:spacing w:line="360" w:lineRule="auto"/>
              <w:rPr>
                <w:rStyle w:val="984"/>
                <w:rFonts w:hint="eastAsia" w:ascii="宋体" w:hAnsi="宋体"/>
                <w:color w:val="auto"/>
                <w:szCs w:val="21"/>
                <w:highlight w:val="none"/>
              </w:rPr>
            </w:pPr>
            <w:r>
              <w:rPr>
                <w:rStyle w:val="984"/>
                <w:rFonts w:hint="eastAsia" w:ascii="宋体" w:hAnsi="宋体"/>
                <w:color w:val="auto"/>
                <w:szCs w:val="21"/>
                <w:highlight w:val="none"/>
              </w:rPr>
              <w:t xml:space="preserve">6、支持多种音频输入接口，AUX IN≥1路；</w:t>
            </w:r>
            <w:r/>
          </w:p>
          <w:p>
            <w:pPr>
              <w:jc w:val="left"/>
              <w:widowControl/>
              <w:rPr>
                <w:rFonts w:hint="eastAsia" w:ascii="宋体" w:hAnsi="宋体" w:cs="宋体"/>
                <w:color w:val="auto"/>
                <w:sz w:val="22"/>
                <w:highlight w:val="none"/>
              </w:rPr>
            </w:pPr>
            <w:r>
              <w:rPr>
                <w:rStyle w:val="984"/>
                <w:rFonts w:hint="eastAsia" w:ascii="宋体" w:hAnsi="宋体"/>
                <w:color w:val="auto"/>
                <w:szCs w:val="21"/>
                <w:highlight w:val="none"/>
              </w:rPr>
              <w:t xml:space="preserve">7、视频编码格式支持H.264，音频编码采用标准的AAC格式，采样率不低于48KHz。</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VGA数据编码软件</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1、支持系统序列号、设备型号、版本号、内核版本等信息显示；</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2、支持编码方式、分辨率、帧率、码率状态显示；</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3、支持VGA图像采集的微调功能，微调比例支持按照高、中、低三种模式自由选择。</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航空箱</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1、定制版航空箱，支持主要设备放置，配备万向轮；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2、尺寸≤68cm*42cm*32cm；</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3、定制版航空箱内部泡棉要求根据设备规格定制。</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三脚架</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1、脚管材质：铝合金；</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2、工作高度：63cm≤三脚架高度≤206.5cm；</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3、锁紧方式：旋钮式锁紧；</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4、安全承重：≥11KG。</w:t>
            </w:r>
            <w:r>
              <w:rPr>
                <w:rFonts w:hint="eastAsia" w:ascii="宋体" w:hAnsi="宋体" w:cs="宋体"/>
                <w:color w:val="auto"/>
                <w:sz w:val="22"/>
                <w:highlight w:val="none"/>
                <w:lang w:bidi="ar"/>
              </w:rPr>
              <w:t xml:space="preserve">                                                                                                                                   </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安装调试</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1、移动录播设备组装及调试；</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2、对常用操作进行培训。</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一拖四无线话筒（四手持）</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1、U端双调谐真分集电路设计，配置独立天线，理想环境操作半径≥300米。</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2、频率范围：UHF640-690MHz；</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3、音频频响：40-18000Hz；谐波失真：≤0.5%；信噪比：≥100dB；</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4、话筒发射功率：10-30mW；调制方式：调频（FM）。</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一拖四无线话筒（四头戴）</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1、U端双调谐真分集电路设计，配置独立天线，理想环境操作半径≥300米。</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2、频率范围：UHF640-690MHz；</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3、音频频响：40-18000Hz；谐波失真：≤0.5%；信噪比：≥100dB；</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4、话筒发射功率：10-30mW；调制方式：调频（FM）。</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12路调音台</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1、8路线路输入+2组立体声输入,内置16种数码效果器；     </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2、内置多格式MP3播放器,MP3音源可转入本机立体声声道进行调音或混合；     </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3、分路3段美式EQ,带衰减带,带显示哑音选择开关.另设有监听功能；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4、6路母线(BUS):主输出+两编组+监听室输出+录音输出与返回 ；    </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5、1路AUX外接与返回,双7段图视均衡；</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6、内置48V幻象供电,内置80V-240V宽电压工作电源。</w:t>
            </w:r>
            <w:r/>
          </w:p>
        </w:tc>
        <w:tc>
          <w:tcPr>
            <w:tcW w:w="2207"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127</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专业功放</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1、具有输出短路、过热、自动限幅、长期输出功率及直洗交流保护装置；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2、功率输出：（8Ω）2*1300W；</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3、功率输出：（4Ω）2*2400W；</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4、信噪比：（20HZ- 20KHZ 8欧姆）103dB；</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5、输入阻抗：20K欧姆；</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6、频率响应：35HZ-20KHZ；</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7、灵敏度：0.775V/1.0V/1.4V。</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全自动反馈抑制器</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1、超宽频响电路技术，无变音，无金属尾音，强力抑制回声；</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2、数字移频技术，超强防啸叫，声音圆润稳定，无发飘和发干等现象；</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3、超级稳定：内置晶体振荡，软件算法，稳定性能好，受温度和外界干扰很小；</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4、输入通道数量: 4通道(4通道平衡输入或者选择4通道6.35非平衡输入)；</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5、4通道48V幻像供电，取样频率：48KHz。失真度：&gt;0.1%@ 1KHz，信噪比：&gt;90dB。</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双15专业音箱</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1、系统类型：双15寸三分频全频户外聚脲防水箱体专业音箱；</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2、频率响应：55Hz-18kHz(±3dB)；</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3、灵敏度：105dB SPL 1w/1m；</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4、输入阻抗：4 Ω；</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5、额定功率/峰值功率：1200W/2400W；</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6、最大声压级：136dB SPL；</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7、声场辐射范围：110°x 70°； </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8、输入接口：2xNeutrik® NL4MP。</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8路电源时序器</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1、额定输出电压：交流220V,50Hz；</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2、额定输出电流：30A；</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3、可控制电源：8路，带USB接口5V供电；</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4、每路动作延时时间：1秒；</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5、供电电源：VAC 50 / 60Hz 25A；</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6、每路输出带指示灯，锁匙开关控制电源，单路额定输出电源：20A。</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多功能航空防震机柜</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1、20U双层三开门液压杆多功能流动演出防震航空机柜；</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2、带双工作台；</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3、铝合金不锈钢包边，铝合金卡扣，紧密防脱落；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4、重型磨砂、防滑提手。</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话筒立架</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1、金属材质，承重不小于6KG，壁厚不低于2mm,自锁式底座；</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2、可升降支撑杆和可旋转横杆，横杆180°上下调节，360°水平调节；</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3、立杆可调节高度110-175mm，横杆可调节长度55-95mm,标准通用螺旋口，配备蝴蝶夹、U型夹，适配多种麦克风；</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4、支架底部有高强度防滑脚套，防滑耐磨。</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移动电源</w:t>
            </w:r>
            <w:r/>
          </w:p>
        </w:tc>
        <w:tc>
          <w:tcPr>
            <w:tcW w:w="536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不低于以下配置</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1、线长≥80米，3*1.5电源线；</w:t>
            </w:r>
            <w:r/>
          </w:p>
          <w:p>
            <w:pPr>
              <w:jc w:val="left"/>
              <w:widowControl/>
              <w:rPr>
                <w:rFonts w:hint="eastAsia" w:ascii="宋体" w:hAnsi="宋体" w:cs="宋体"/>
                <w:color w:val="auto"/>
                <w:sz w:val="22"/>
                <w:highlight w:val="none"/>
                <w:lang w:bidi="ar"/>
              </w:rPr>
            </w:pPr>
            <w:r>
              <w:rPr>
                <w:rFonts w:hint="eastAsia" w:ascii="宋体" w:hAnsi="宋体" w:cs="宋体"/>
                <w:color w:val="auto"/>
                <w:sz w:val="20"/>
                <w:szCs w:val="20"/>
                <w:highlight w:val="none"/>
              </w:rPr>
              <w:t xml:space="preserve">2、不少于四个万用插口，带漏电保护；</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音箱线绕线盘</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金属材质，可收纳80米户外音箱线，使用方便。</w:t>
            </w:r>
            <w:r>
              <w:rPr>
                <w:rFonts w:hint="eastAsia" w:ascii="宋体" w:hAnsi="宋体" w:cs="宋体"/>
                <w:color w:val="auto"/>
                <w:sz w:val="22"/>
                <w:highlight w:val="none"/>
                <w:lang w:bidi="ar"/>
              </w:rPr>
              <w:br w:type="textWrapping" w:clear="all"/>
            </w:r>
            <w:r>
              <w:rPr>
                <w:rFonts w:hint="eastAsia" w:ascii="宋体" w:hAnsi="宋体" w:cs="宋体"/>
                <w:color w:val="auto"/>
                <w:sz w:val="22"/>
                <w:highlight w:val="none"/>
                <w:lang w:bidi="ar"/>
              </w:rPr>
              <w:t xml:space="preserve">       </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135</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户外音箱线</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无氧铜材质，室外2*2.5mm²带护套室外音箱线，抗氧化、耐磨损。</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136</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专用广播线</w:t>
            </w:r>
            <w:r/>
          </w:p>
        </w:tc>
        <w:tc>
          <w:tcPr>
            <w:tcW w:w="536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不低于以下配置</w:t>
            </w:r>
            <w:r/>
          </w:p>
          <w:p>
            <w:pPr>
              <w:jc w:val="left"/>
              <w:spacing w:after="200"/>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2*1.5mm²纯铜质广播线。</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137</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六类非屏蔽双绞线</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1、规格：六类非屏蔽网线；</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2、传输带宽：250MHz，导体：23AWG；</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3、紧护套结构，线对间十字骨架隔离技术，全面提升线缆性能。</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138</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线路敷设含恢复</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1、线路敷设过程中遇草坪、绿化带以及塑胶跑道，切开深度不低于400mm，宽度不低于300mm，预埋预埋Φ32PE穿线管；</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2、线路敷设完成后按原样恢复草坪和绿化带，并保证绿植完全成活；塑胶跑道的恢复须由专业人员进行，恢复情况须得到校方认可。</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139</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辅材</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br w:type="textWrapping" w:clear="all"/>
            </w: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安装所需的配件及辅材，线管、线槽、固定件、坚固件、连接线、信号线、多功能插件、水晶头、胶布、扎带、打标纸等。</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140</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安装调试</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br w:type="textWrapping" w:clear="all"/>
            </w: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1、将此项目中的设备规范安装，并统一调试合格；</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2、培训用户至独立熟练操作；</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3、按服务条款做好售后服务，确保用户正常使用。</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141</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IP网络广播主机</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br w:type="textWrapping" w:clear="all"/>
            </w: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1、采用工控机机箱设计，具有LED液晶显示屏，支持触摸控制屏；服务器运载Windows Server 2008 R2 Standard(x64),Windows Server 2012 R2 Standard(x64)及以上操作系统；</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2、支持≥1路短路触发开机接口，用于实现定时驱动开机运行；</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3、具有≥8×USB接口、≥6×串口接口、≥2×千兆网口； </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4、采用的处理器配置≥4核、≥4线程、≥3.2GHz主频，内存：≥8G。硬盘：≥128G mSATA；</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5、设备支持≥1路VGA、≥1路HDMI输出接口；</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6、支持操作系统配置通电自动开机、定时自动开机，定时自动关机功能；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7、内置抽拉键盘、内置触控鼠标面板+左右按键设计，支持通过USB接口外接鼠标键盘；</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8、支持录音存储功能，可在后台自定义设置录音文件保存路径。</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142</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数字化IP网络广播客户端管理软件</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br w:type="textWrapping" w:clear="all"/>
            </w: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1、统一管理系统内所有音频终端，实时显示音频终端的IP地址、在线状态、任务状态、音量运行状态；</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2、管理节目库资源，为所有音频终端器提供定时播放和实时点播媒体服务，响应各终端的节目播放请求，为各音频工作站提供数据接口服务；</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4、支持终端短路输入联动触发，可任意设置联动触发方案和触发终端数量，触发方案包括短路输出、音乐播放、巡更警报；</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5、编程定时任务，支持编程多套定时方案，支持选择任意终端和设置任意时间；支持定时任务执行测试、设置重复周期。支持定时任务多种音源选择（音乐播放、声卡采集、终端采集）；</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6、支持多套定时打铃方案同时启用，每套定时打铃方案支持多套任务同时进行，支持一键启用/停用所有方案。支持定时打铃功能，支持打铃方案克隆，任务执行与停止控制、定时任务禁用与启用功能；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7、后台功能管理模块自定义；首页快捷入口配置，入口数量提供2*3、3*3、2*4、3*4的排列布局显示；</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8、支持4x100级自定义配置任务优先级(服务器优先级、任务优先级、用户优先级,终端优先级），满足各种优先级任务自动调度。</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143</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color w:val="auto"/>
                <w:szCs w:val="21"/>
                <w:highlight w:val="none"/>
              </w:rPr>
              <w:t xml:space="preserve">采集器</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br w:type="textWrapping" w:clear="all"/>
            </w: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1、支持将模拟音频采集编码成数字音频，通过网络传输到指定区域终端播放；</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2、设备采用嵌入式计算机技术和DSP音频处理技术设计；</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3、内置1路网络硬件音频编码模块，支持TCP/IP、UDP协议，实现网络化传输16位CD音质的音频信号；</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4、内置2组RCA输入端子，带输入音量调节，灵活适配多种不同灵敏度音频设备，支持输入音频压限功能；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5、支持5分区独立触发打开或关闭采集功能，面板带有5个分区触发按键及指示灯；</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6、支持定时采播任务、临时采播任务，采播任务优先级别可通过服务器设置。</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144</w:t>
            </w:r>
            <w:r/>
          </w:p>
        </w:tc>
        <w:tc>
          <w:tcPr>
            <w:tcW w:w="124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0"/>
                <w:szCs w:val="20"/>
                <w:highlight w:val="none"/>
              </w:rPr>
              <w:t xml:space="preserve">机架式IP终端</w:t>
            </w:r>
            <w:r/>
          </w:p>
        </w:tc>
        <w:tc>
          <w:tcPr>
            <w:tcW w:w="536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不低于以下配置</w:t>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1、设备采用≥19英寸机架设计，带有LCD显示屏；</w:t>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2、具有≥1路线路输入接口和≥1路话筒输入接口，可独立调节音量；支持高低音调节电位器控制；</w:t>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3、具有≥1路EMC输入接口，具有最高优先级；具有≥1路音频输出接口；</w:t>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4、具有≥2路三线制强切输出接口，无需强切电源；</w:t>
            </w:r>
            <w:r/>
          </w:p>
          <w:p>
            <w:pPr>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5、支持≥2路电源输出插座，内置智能电源管理，无音乐或呼叫时，自动切断输出座电源，有信号时自动打开输出座电源。</w:t>
            </w:r>
            <w:r/>
          </w:p>
        </w:tc>
        <w:tc>
          <w:tcPr>
            <w:tcW w:w="2207"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145</w:t>
            </w:r>
            <w:r/>
          </w:p>
        </w:tc>
        <w:tc>
          <w:tcPr>
            <w:tcW w:w="1244" w:type="dxa"/>
            <w:vAlign w:val="center"/>
            <w:textDirection w:val="lrTb"/>
            <w:noWrap w:val="false"/>
          </w:tcPr>
          <w:p>
            <w:pPr>
              <w:jc w:val="left"/>
              <w:widowControl/>
              <w:rPr>
                <w:rFonts w:hint="eastAsia" w:ascii="宋体" w:hAnsi="宋体" w:cs="宋体"/>
                <w:color w:val="auto"/>
                <w:sz w:val="22"/>
                <w:highlight w:val="none"/>
                <w:lang w:bidi="ar"/>
              </w:rPr>
            </w:pPr>
            <w:r>
              <w:rPr>
                <w:rFonts w:hint="eastAsia"/>
                <w:color w:val="auto"/>
                <w:szCs w:val="21"/>
                <w:highlight w:val="none"/>
              </w:rPr>
              <w:t xml:space="preserve">前置放大器</w:t>
            </w:r>
            <w:r/>
          </w:p>
        </w:tc>
        <w:tc>
          <w:tcPr>
            <w:tcW w:w="5366" w:type="dxa"/>
            <w:vAlign w:val="center"/>
            <w:textDirection w:val="lrTb"/>
            <w:noWrap w:val="false"/>
          </w:tcPr>
          <w:p>
            <w:pPr>
              <w:jc w:val="left"/>
              <w:widowControl/>
              <w:rPr>
                <w:rFonts w:hint="eastAsia" w:ascii="宋体" w:hAnsi="宋体" w:cs="宋体"/>
                <w:color w:val="auto"/>
                <w:sz w:val="22"/>
                <w:highlight w:val="none"/>
                <w:lang w:bidi="ar"/>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1、10路输入（5路6.3话筒，3路RCA莲花线路,2路RCA莲花紧急）；</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2、各输入通道音量独立调节；</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3、6路RCA莲花混合输出；</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4、具有三级优先功能，分别为：MIC1为最高；</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5、优先级，紧急音频信号（EMC1、2）为第二级；</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6、MIC2、3、4、5和线路（AUX1、2、3）为第三级。</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146</w:t>
            </w:r>
            <w:r/>
          </w:p>
        </w:tc>
        <w:tc>
          <w:tcPr>
            <w:tcW w:w="1244" w:type="dxa"/>
            <w:vAlign w:val="center"/>
            <w:textDirection w:val="lrTb"/>
            <w:noWrap w:val="false"/>
          </w:tcPr>
          <w:p>
            <w:pPr>
              <w:jc w:val="left"/>
              <w:widowControl/>
              <w:rPr>
                <w:color w:val="auto"/>
                <w:szCs w:val="21"/>
                <w:highlight w:val="none"/>
              </w:rPr>
            </w:pPr>
            <w:r>
              <w:rPr>
                <w:rFonts w:hint="eastAsia"/>
                <w:color w:val="auto"/>
                <w:szCs w:val="21"/>
                <w:highlight w:val="none"/>
              </w:rPr>
              <w:t xml:space="preserve">1500W定压功放</w:t>
            </w:r>
            <w:r/>
          </w:p>
        </w:tc>
        <w:tc>
          <w:tcPr>
            <w:tcW w:w="536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1、100V、70V定压输出4Ω-8Ω定阻输出。</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2、输出具备短路、过流、过载保护及LED警示。</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3、内置自激、过热、开关机防冲击保护及LED警示。</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4、饱和失真及LED警示；信号电平指示LED；内置智能温度检测驱动风冷，采用低噪声风扇；输出功率≥1500W；信噪比&gt;90dB；总谐波失真&lt;0.1% at 1KHz；频率响应≥60Hz-18KHz（±2dB）。</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147</w:t>
            </w:r>
            <w:r/>
          </w:p>
        </w:tc>
        <w:tc>
          <w:tcPr>
            <w:tcW w:w="1244" w:type="dxa"/>
            <w:vAlign w:val="center"/>
            <w:textDirection w:val="lrTb"/>
            <w:noWrap w:val="false"/>
          </w:tcPr>
          <w:p>
            <w:pPr>
              <w:jc w:val="left"/>
              <w:widowControl/>
              <w:rPr>
                <w:color w:val="auto"/>
                <w:szCs w:val="21"/>
                <w:highlight w:val="none"/>
              </w:rPr>
            </w:pPr>
            <w:r>
              <w:rPr>
                <w:rFonts w:hint="eastAsia"/>
                <w:color w:val="auto"/>
                <w:szCs w:val="21"/>
                <w:highlight w:val="none"/>
              </w:rPr>
              <w:t xml:space="preserve">辅材</w:t>
            </w:r>
            <w:r/>
          </w:p>
        </w:tc>
        <w:tc>
          <w:tcPr>
            <w:tcW w:w="536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安装所需的配件及辅材，线管、线槽、固定件、坚固件、连接线、信号线、多功能插件、水晶头、胶布、扎带、打标纸等。</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148</w:t>
            </w:r>
            <w:r/>
          </w:p>
        </w:tc>
        <w:tc>
          <w:tcPr>
            <w:tcW w:w="1244" w:type="dxa"/>
            <w:vAlign w:val="center"/>
            <w:textDirection w:val="lrTb"/>
            <w:noWrap w:val="false"/>
          </w:tcPr>
          <w:p>
            <w:pPr>
              <w:jc w:val="left"/>
              <w:widowControl/>
              <w:rPr>
                <w:color w:val="auto"/>
                <w:szCs w:val="21"/>
                <w:highlight w:val="none"/>
              </w:rPr>
            </w:pPr>
            <w:r>
              <w:rPr>
                <w:rFonts w:hint="eastAsia"/>
                <w:color w:val="auto"/>
                <w:szCs w:val="21"/>
                <w:highlight w:val="none"/>
              </w:rPr>
              <w:t xml:space="preserve">安装调试</w:t>
            </w:r>
            <w:r/>
          </w:p>
        </w:tc>
        <w:tc>
          <w:tcPr>
            <w:tcW w:w="536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不低于以下配置</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1、将此项目中的设备规范安装，并统一调试合格；</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2、培训用户至独立熟练操作；</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3、按服务条款做好售后服务，确保用户正常使用。</w:t>
            </w:r>
            <w:r/>
          </w:p>
        </w:tc>
        <w:tc>
          <w:tcPr>
            <w:tcW w:w="2207"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r>
    </w:tbl>
    <w:p>
      <w:pPr>
        <w:pStyle w:val="669"/>
        <w:ind w:left="0"/>
        <w:rPr>
          <w:color w:val="auto"/>
          <w:highlight w:val="none"/>
        </w:rPr>
      </w:pPr>
      <w:r>
        <w:rPr>
          <w:color w:val="auto"/>
          <w:highlight w:val="none"/>
        </w:rPr>
      </w:r>
      <w:r/>
    </w:p>
    <w:p>
      <w:pPr>
        <w:rPr>
          <w:rFonts w:hint="eastAsia" w:ascii="宋体" w:hAnsi="宋体" w:cs="宋体"/>
          <w:bCs/>
          <w:color w:val="auto"/>
          <w:sz w:val="24"/>
          <w:szCs w:val="24"/>
          <w:highlight w:val="none"/>
        </w:rPr>
      </w:pPr>
      <w:r/>
      <w:bookmarkStart w:id="195" w:name="_Toc120614281"/>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color w:val="auto"/>
          <w:sz w:val="24"/>
          <w:szCs w:val="24"/>
          <w:highlight w:val="none"/>
        </w:rPr>
        <w:t xml:space="preserve">资产配置标准</w:t>
      </w:r>
      <w:r>
        <w:rPr>
          <w:rFonts w:hint="eastAsia" w:ascii="宋体" w:hAnsi="宋体" w:cs="宋体"/>
          <w:color w:val="auto"/>
          <w:sz w:val="24"/>
          <w:szCs w:val="24"/>
          <w:highlight w:val="none"/>
        </w:rPr>
        <w:t xml:space="preserve">最高限价，否则为无效标。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原材料及辅材应符合国家规定的强制性环保指标。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的货物（含配件）应是全新的、未使用过的原装合格正品，外观和内在质量都不得有任何问题。在各个方面符合合同规定的质量、规格和性能要求。合同设备经过按时、正确安装、合理操作和维护保养，在设备寿命期内运转良好。在规定的质保期内，中标供应商应对由于设计、工艺或材料的缺陷或故障负责。在未验收前，货物保管、安全均由中标供应商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④所提供的技术资料（含软件）完整正确，采购人拥有技术资料（含软件）所有权、使用权等，数据和资料准确无误，能够保证设备按时正确地安装、调试和验收，并能满足正常运行和维修保养的需要。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⑤如未能达到合同要求，采购人有权退货并要求供应商赔偿损失。</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供应商应采取安全措施，确保实施安全。因本项目实施产生的实施人员和学校师生人身安全问题由供应商承担全部责任。</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（3）验收要求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①施工过程管理与记录：</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施工前、中、后须分别拍摄水印照片并放入竣工文档；施工资料及竣工文档将作为最终验收与决算依据。</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②因产品质量或安装不当导致验收不合格，应及时处理直至验收合格，其间产生的一切费用由供应商承担；若二次验收不合格，采购人有权退货。采购人在此期间保留对供应商的索赔权利。</w:t>
      </w:r>
      <w:r/>
    </w:p>
    <w:p>
      <w:pPr>
        <w:ind w:firstLine="480"/>
        <w:jc w:val="left"/>
        <w:widowControl/>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（4）质保（维保）及</w:t>
      </w:r>
      <w:r>
        <w:rPr>
          <w:rFonts w:hint="eastAsia" w:ascii="宋体" w:hAnsi="宋体" w:cs="宋体"/>
          <w:color w:val="auto"/>
          <w:sz w:val="24"/>
          <w:szCs w:val="24"/>
          <w:highlight w:val="none"/>
        </w:rPr>
        <w:t xml:space="preserve">售后要求</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①供应商提供免费上门质保三年（含）以上质保服务承诺函。项目中投标人对产品有延长质保承诺，应按照承诺履约。自验收报告签字确认之日起，开始进入质保期。 质保期内，每年暑假免费维护保养1次。</w:t>
      </w:r>
      <w:r/>
    </w:p>
    <w:p>
      <w:pPr>
        <w:ind w:firstLine="480"/>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 xml:space="preserve">②</w:t>
      </w:r>
      <w:r>
        <w:rPr>
          <w:rFonts w:hint="eastAsia" w:asciiTheme="minorEastAsia" w:hAnsiTheme="minorEastAsia" w:eastAsiaTheme="minorEastAsia" w:cstheme="minorEastAsia"/>
          <w:color w:val="auto"/>
          <w:sz w:val="24"/>
          <w:szCs w:val="24"/>
          <w:highlight w:val="none"/>
        </w:rPr>
        <w:t xml:space="preserve">质保期内，一旦产品发生质量问题，供应商接到报修请求，24小时内无法及时修复的须提供备机，修复或更换零部件须满足国家及行业环保和质量标准。质保期内中标商须每学期结束前为学校进行整体免费维护一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质保期外，供应商提供终身服务，在货物的设计使用寿命周期内，供应商能保证采购人更换到原厂正宗的备件材料，确保产品的正常使用。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并提供进场施工证明材料后，支付合同总额的30%作为预付款；项目竣工后，经使用学校对标功能评估合格、在专家验收考评合格后，支付至合同结算款的90%，余款在一年后（从验收日起）无质量异议一次无息付清。注：满足合同约定支付条件的，采购人收到中标（成交）供应商发票后30日内，将资金支付到合同约定的中标（成交）供应商账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（1）</w:t>
      </w:r>
      <w:bookmarkStart w:id="196" w:name="OLE_LINK9"/>
      <w:r>
        <w:rPr>
          <w:rFonts w:ascii="宋体" w:hAnsi="宋体" w:cs="宋体"/>
          <w:color w:val="auto"/>
          <w:sz w:val="24"/>
          <w:szCs w:val="24"/>
          <w:highlight w:val="none"/>
        </w:rPr>
        <w:t xml:space="preserve">交付时间：合同签订后</w:t>
      </w:r>
      <w:r>
        <w:rPr>
          <w:rFonts w:hint="eastAsia" w:ascii="宋体" w:hAnsi="宋体" w:cs="宋体"/>
          <w:color w:val="auto"/>
          <w:sz w:val="24"/>
          <w:szCs w:val="24"/>
          <w:highlight w:val="none"/>
        </w:rPr>
        <w:t xml:space="preserve">45</w:t>
      </w:r>
      <w:r>
        <w:rPr>
          <w:rFonts w:ascii="宋体" w:hAnsi="宋体" w:cs="宋体"/>
          <w:color w:val="auto"/>
          <w:sz w:val="24"/>
          <w:szCs w:val="24"/>
          <w:highlight w:val="none"/>
        </w:rPr>
        <w:t xml:space="preserve">天内交付并完成安装调试及验收等相关工作</w:t>
      </w:r>
      <w:r>
        <w:rPr>
          <w:rFonts w:hint="eastAsia" w:ascii="宋体" w:hAnsi="宋体" w:cs="宋体"/>
          <w:color w:val="auto"/>
          <w:sz w:val="24"/>
          <w:szCs w:val="24"/>
          <w:highlight w:val="none"/>
        </w:rPr>
        <w:t xml:space="preserve">。</w:t>
      </w:r>
      <w:bookmarkEnd w:id="196"/>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由供应商负责办理运输和装卸等，费用由供应商负责，由采购人组织验收，检验不合格或不符合质量要求，供应商除无条件退货、返工外，还应承担采购人的一切损失。</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6.其他要求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中若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招标文件评标方法与评标标准中涉及的相关证明材料，应在投标文件中提供，并由评审委员会在评审现场予以确认，否则无法得到相应分值。</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备注：供应商承诺中标后提供的检测报告为实验室真实出具，必须支持采购人通过扫描报告二维码查询、检测机构官网查询、去函查询或上门查询等方式查询检测报告的真实性。</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（三）产品演示要求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1.演示视频文件的格式为*.mp4或*.avi，投标人须将视频文件分段压缩为*.zip文件上传（单个文件不得大于50M，所有文件合计不得大于300M）。上传的演示视频将作为投标文件的组成部分。视频时长总计不超过5分钟。</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2.投标人提供国产电脑管理客户端（产品清单114）（制作标准和要求与本次采购对应产品的参数一致）演示视频文件，具体演示内容详见“第五章 评标方法与评标标准。</w:t>
      </w:r>
      <w:r/>
    </w:p>
    <w:p>
      <w:pPr>
        <w:pStyle w:val="711"/>
        <w:rPr>
          <w:rFonts w:hint="eastAsia" w:cs="宋体"/>
          <w:bCs/>
          <w:color w:val="auto"/>
          <w:sz w:val="24"/>
          <w:szCs w:val="24"/>
          <w:highlight w:val="none"/>
          <w:lang w:eastAsia="zh-CN"/>
        </w:rPr>
      </w:pPr>
      <w:r>
        <w:rPr>
          <w:rFonts w:hint="eastAsia" w:cs="宋体"/>
          <w:bCs/>
          <w:color w:val="auto"/>
          <w:sz w:val="24"/>
          <w:szCs w:val="24"/>
          <w:highlight w:val="none"/>
          <w:lang w:eastAsia="zh-CN"/>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11"/>
        <w:rPr>
          <w:rFonts w:hint="eastAsia" w:cs="宋体"/>
          <w:bCs/>
          <w:color w:val="auto"/>
          <w:sz w:val="24"/>
          <w:szCs w:val="24"/>
          <w:highlight w:val="none"/>
          <w:lang w:eastAsia="zh-CN"/>
        </w:rPr>
      </w:pPr>
      <w:r>
        <w:rPr>
          <w:rFonts w:hint="eastAsia" w:cs="宋体"/>
          <w:bCs/>
          <w:color w:val="auto"/>
          <w:sz w:val="24"/>
          <w:szCs w:val="24"/>
          <w:highlight w:val="none"/>
          <w:lang w:eastAsia="zh-CN"/>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11"/>
        <w:rPr>
          <w:rFonts w:hint="eastAsia" w:cs="宋体"/>
          <w:bCs/>
          <w:color w:val="auto"/>
          <w:sz w:val="24"/>
          <w:szCs w:val="24"/>
          <w:highlight w:val="none"/>
          <w:lang w:eastAsia="zh-CN"/>
        </w:rPr>
      </w:pPr>
      <w:r>
        <w:rPr>
          <w:rFonts w:hint="eastAsia" w:cs="宋体"/>
          <w:bCs/>
          <w:color w:val="auto"/>
          <w:sz w:val="24"/>
          <w:szCs w:val="24"/>
          <w:highlight w:val="none"/>
          <w:lang w:eastAsia="zh-CN"/>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11"/>
        <w:rPr>
          <w:rFonts w:hint="eastAsia" w:cs="宋体"/>
          <w:bCs/>
          <w:color w:val="auto"/>
          <w:sz w:val="24"/>
          <w:szCs w:val="24"/>
          <w:highlight w:val="none"/>
          <w:lang w:eastAsia="zh-CN"/>
        </w:rPr>
      </w:pPr>
      <w:r>
        <w:rPr>
          <w:rFonts w:hint="eastAsia" w:cs="宋体"/>
          <w:bCs/>
          <w:color w:val="auto"/>
          <w:sz w:val="24"/>
          <w:szCs w:val="24"/>
          <w:highlight w:val="none"/>
          <w:lang w:eastAsia="zh-CN"/>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11"/>
        <w:rPr>
          <w:rFonts w:hint="eastAsia" w:cs="宋体"/>
          <w:bCs/>
          <w:color w:val="auto"/>
          <w:sz w:val="24"/>
          <w:szCs w:val="24"/>
          <w:highlight w:val="none"/>
          <w:lang w:eastAsia="zh-CN"/>
        </w:rPr>
      </w:pPr>
      <w:r>
        <w:rPr>
          <w:rFonts w:hint="eastAsia" w:cs="宋体"/>
          <w:bCs/>
          <w:color w:val="auto"/>
          <w:sz w:val="24"/>
          <w:szCs w:val="24"/>
          <w:highlight w:val="none"/>
          <w:lang w:eastAsia="zh-CN"/>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11"/>
        <w:rPr>
          <w:rFonts w:hint="eastAsia" w:cs="宋体"/>
          <w:bCs/>
          <w:color w:val="auto"/>
          <w:sz w:val="24"/>
          <w:szCs w:val="24"/>
          <w:highlight w:val="none"/>
          <w:lang w:eastAsia="zh-CN"/>
        </w:rPr>
      </w:pPr>
      <w:r>
        <w:rPr>
          <w:rFonts w:hint="eastAsia" w:cs="宋体"/>
          <w:bCs/>
          <w:color w:val="auto"/>
          <w:sz w:val="24"/>
          <w:szCs w:val="24"/>
          <w:highlight w:val="none"/>
          <w:lang w:eastAsia="zh-CN"/>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11"/>
        <w:rPr>
          <w:rFonts w:hint="eastAsia" w:cs="宋体"/>
          <w:bCs/>
          <w:color w:val="auto"/>
          <w:sz w:val="24"/>
          <w:szCs w:val="24"/>
          <w:highlight w:val="none"/>
          <w:lang w:eastAsia="zh-CN"/>
        </w:rPr>
      </w:pPr>
      <w:r>
        <w:rPr>
          <w:rFonts w:hint="eastAsia" w:cs="宋体"/>
          <w:bCs/>
          <w:color w:val="auto"/>
          <w:sz w:val="24"/>
          <w:szCs w:val="24"/>
          <w:highlight w:val="none"/>
          <w:lang w:eastAsia="zh-CN"/>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11"/>
        <w:rPr>
          <w:rFonts w:hint="eastAsia" w:cs="宋体"/>
          <w:bCs/>
          <w:color w:val="auto"/>
          <w:sz w:val="24"/>
          <w:szCs w:val="24"/>
          <w:highlight w:val="none"/>
          <w:lang w:eastAsia="zh-CN"/>
        </w:rPr>
      </w:pPr>
      <w:r>
        <w:rPr>
          <w:rFonts w:hint="eastAsia" w:cs="宋体"/>
          <w:bCs/>
          <w:color w:val="auto"/>
          <w:sz w:val="24"/>
          <w:szCs w:val="24"/>
          <w:highlight w:val="none"/>
          <w:lang w:eastAsia="zh-CN"/>
        </w:rPr>
      </w:r>
      <w:r/>
    </w:p>
    <w:p>
      <w:pPr>
        <w:jc w:val="left"/>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pStyle w:val="668"/>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pStyle w:val="668"/>
        <w:rPr>
          <w:color w:val="auto"/>
          <w:highlight w:val="none"/>
        </w:rPr>
      </w:pPr>
      <w:r>
        <w:rPr>
          <w:color w:val="auto"/>
          <w:highlight w:val="none"/>
        </w:rPr>
      </w:r>
      <w:r/>
    </w:p>
    <w:p>
      <w:pPr>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1.采用综合评分法，评标结果按评审后得分由高到低顺序排列。得分相同的，按投标报价由低到高顺序排列。得分且投标报价相同的，按“二、评标标准中</w:t>
      </w:r>
      <w:r>
        <w:rPr>
          <w:rFonts w:hint="eastAsia" w:ascii="宋体" w:hAnsi="宋体"/>
          <w:color w:val="auto"/>
          <w:sz w:val="24"/>
          <w:szCs w:val="24"/>
          <w:highlight w:val="none"/>
        </w:rPr>
        <w:t xml:space="preserve">2.1-2.6项</w:t>
      </w:r>
      <w:r>
        <w:rPr>
          <w:rFonts w:hint="eastAsia" w:ascii="宋体" w:hAnsi="宋体" w:cs="宋体"/>
          <w:color w:val="auto"/>
          <w:sz w:val="24"/>
          <w:szCs w:val="24"/>
          <w:highlight w:val="none"/>
        </w:rPr>
        <w:t xml:space="preserve">”得分由高到低顺序排列。在投标文件满足招标文件全部实质性要求的供应商中，按照评审得分由高到低推荐</w:t>
      </w:r>
      <w:r>
        <w:rPr>
          <w:rFonts w:hint="eastAsia" w:ascii="宋体" w:hAnsi="宋体"/>
          <w:color w:val="auto"/>
          <w:sz w:val="24"/>
          <w:szCs w:val="24"/>
          <w:highlight w:val="none"/>
        </w:rPr>
        <w:t xml:space="preserve">1名</w:t>
      </w:r>
      <w:r>
        <w:rPr>
          <w:rFonts w:hint="eastAsia" w:ascii="宋体" w:hAnsi="宋体" w:cs="宋体"/>
          <w:color w:val="auto"/>
          <w:sz w:val="24"/>
          <w:szCs w:val="24"/>
          <w:highlight w:val="none"/>
        </w:rPr>
        <w:t xml:space="preserve">中标候选人。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二、小微企业价格扣除</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1.本项目全部货物制造商为小微企业的，对报价给予15%的扣除，用扣除后的价格参与评审。</w:t>
      </w:r>
      <w:r/>
    </w:p>
    <w:p>
      <w:pPr>
        <w:ind w:firstLine="480"/>
        <w:rPr>
          <w:color w:val="auto"/>
          <w:highlight w:val="none"/>
        </w:rPr>
      </w:pPr>
      <w:r>
        <w:rPr>
          <w:rFonts w:hint="eastAsia" w:ascii="宋体" w:hAnsi="宋体" w:cs="宋体"/>
          <w:color w:val="auto"/>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三、评标标准</w:t>
      </w:r>
      <w:r/>
    </w:p>
    <w:tbl>
      <w:tblPr>
        <w:tblStyle w:val="667"/>
        <w:tblW w:w="9457" w:type="dxa"/>
        <w:tblInd w:w="0" w:type="dxa"/>
        <w:tblLayout w:type="fixed"/>
        <w:tblCellMar>
          <w:left w:w="108" w:type="dxa"/>
          <w:top w:w="0" w:type="dxa"/>
          <w:right w:w="108" w:type="dxa"/>
          <w:bottom w:w="0" w:type="dxa"/>
        </w:tblCellMar>
        <w:tblLook w:val="04A0" w:firstRow="1" w:lastRow="0" w:firstColumn="1" w:lastColumn="0" w:noHBand="0" w:noVBand="1"/>
      </w:tblPr>
      <w:tblGrid>
        <w:gridCol w:w="570"/>
        <w:gridCol w:w="1188"/>
        <w:gridCol w:w="6225"/>
        <w:gridCol w:w="827"/>
        <w:gridCol w:w="647"/>
      </w:tblGrid>
      <w:tr>
        <w:trPr>
          <w:trHeight w:val="1146"/>
          <w:tblHeader/>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类型</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1.价格</w:t>
            </w:r>
            <w:r/>
          </w:p>
        </w:tc>
      </w:tr>
      <w:tr>
        <w:trPr>
          <w:trHeight w:val="104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bookmarkStart w:id="197" w:name="_Hlk231485980"/>
            <w:r>
              <w:rPr>
                <w:rFonts w:hint="eastAsia" w:ascii="宋体" w:hAnsi="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价格分</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采用低价优先法计算，即满足招标文件要求且投标价格最低的投标报价为评标基准价 ，其价格分为满分。 其他投标人的价格分统一按照下列公式计算：投标报价得分=(评标基准价/投标报价)*30。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30</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价格分</w:t>
            </w:r>
            <w:bookmarkEnd w:id="197"/>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2.技术</w:t>
            </w:r>
            <w:r/>
          </w:p>
        </w:tc>
      </w:tr>
      <w:tr>
        <w:trPr>
          <w:trHeight w:val="104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产品功能、性能、配置要求</w:t>
            </w:r>
            <w:r/>
          </w:p>
        </w:tc>
        <w:tc>
          <w:tcPr>
            <w:tcBorders>
              <w:top w:val="single" w:color="000000" w:sz="4" w:space="0"/>
              <w:left w:val="single" w:color="000000" w:sz="4" w:space="0"/>
              <w:bottom w:val="single" w:color="000000" w:sz="4" w:space="0"/>
              <w:right w:val="single" w:color="000000" w:sz="4" w:space="0"/>
            </w:tcBorders>
            <w:tcW w:w="6225" w:type="dxa"/>
            <w:textDirection w:val="lrTb"/>
            <w:noWrap/>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产品技术参数全部满足招标要求的得满分，打★指标为必须满足项，如有负偏离将作为无效投标；打▲指标为重要指标，有1项负偏离扣1.5分，其余指标有1项负偏离扣1分，扣完为止。严重负偏离影响设备性能的经半数以上评委认定，本项得零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客观分</w:t>
            </w:r>
            <w:r/>
          </w:p>
        </w:tc>
      </w:tr>
      <w:tr>
        <w:trPr>
          <w:trHeight w:val="2329"/>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深化方案</w:t>
            </w:r>
            <w:r/>
          </w:p>
        </w:tc>
        <w:tc>
          <w:tcPr>
            <w:tcBorders>
              <w:top w:val="single" w:color="000000" w:sz="4" w:space="0"/>
              <w:left w:val="single" w:color="000000" w:sz="4" w:space="0"/>
              <w:bottom w:val="single" w:color="000000" w:sz="4" w:space="0"/>
              <w:right w:val="single" w:color="000000" w:sz="4" w:space="0"/>
            </w:tcBorders>
            <w:tcW w:w="6225" w:type="dxa"/>
            <w:textDirection w:val="lrTb"/>
            <w:noWrap w:val="false"/>
          </w:tcPr>
          <w:p>
            <w:pPr>
              <w:jc w:val="left"/>
              <w:widowControl/>
              <w:rPr>
                <w:rFonts w:hint="eastAsia" w:ascii="宋体" w:hAnsi="宋体" w:cs="宋体"/>
                <w:color w:val="auto"/>
                <w:sz w:val="20"/>
                <w:szCs w:val="20"/>
                <w:highlight w:val="none"/>
              </w:rPr>
            </w:pPr>
            <w:r/>
            <w:bookmarkStart w:id="198" w:name="OLE_LINK49"/>
            <w:r>
              <w:rPr>
                <w:rFonts w:hint="eastAsia" w:ascii="宋体" w:hAnsi="宋体" w:cs="宋体"/>
                <w:color w:val="auto"/>
                <w:sz w:val="20"/>
                <w:szCs w:val="20"/>
                <w:highlight w:val="none"/>
              </w:rPr>
              <w:t xml:space="preserve">投标人根据采购文件要求并结合学校实际使用需求进行深化设计，提供各系统的详细设计方案，包括相应的合班教室设计图、网络机房设计及效果图、木器产品样图、网络布线图、广播布线图、系统图（每项图纸逐条响应）等等。评委根据图纸及方案的规范性、完整性、准确性进行综合评分：方案完整、布局合理、图纸准确、制作规范得6分，方案、布局、图纸、规范一般的得3分，方案提供不全的得１分，未提供的不得分。</w:t>
            </w:r>
            <w:bookmarkEnd w:id="198"/>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主观分</w:t>
            </w:r>
            <w:r/>
          </w:p>
        </w:tc>
      </w:tr>
      <w:tr>
        <w:trPr>
          <w:trHeight w:val="284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实施方案</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color w:val="auto"/>
                <w:sz w:val="20"/>
                <w:szCs w:val="20"/>
                <w:highlight w:val="none"/>
              </w:rPr>
            </w:pPr>
            <w:r/>
            <w:bookmarkStart w:id="199" w:name="OLE_LINK50"/>
            <w:r>
              <w:rPr>
                <w:rFonts w:hint="eastAsia" w:ascii="宋体" w:hAnsi="宋体" w:cs="宋体"/>
                <w:color w:val="auto"/>
                <w:sz w:val="20"/>
                <w:szCs w:val="20"/>
                <w:highlight w:val="none"/>
              </w:rPr>
              <w:t xml:space="preserve">评委根据投标人提供的项目实施方案综合评分（每项内容逐条阐述）：</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包括但不限于：1.供货进度保证措施；2.质量保证措施；3.协调配合措施；4.文明施工；5.应急措施。</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(1)上述项目实施方案内容完整规范、无明显错漏，系统结构合理的，每项得1分；</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 上述项目实施方案存在部分缺失或瑕疵，系统结构基本合理的，每项得0.5分；</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 上述项目实施方案存在严重错漏、系统结构明显不合理的，每项不得分。</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本项最多得5分，未提供不得分。</w:t>
            </w:r>
            <w:bookmarkEnd w:id="199"/>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主观分</w:t>
            </w:r>
            <w:r/>
          </w:p>
        </w:tc>
      </w:tr>
      <w:tr>
        <w:trPr>
          <w:trHeight w:val="8073"/>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产品功能演示</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color w:val="auto"/>
                <w:sz w:val="20"/>
                <w:szCs w:val="20"/>
                <w:highlight w:val="none"/>
              </w:rPr>
            </w:pPr>
            <w:r/>
            <w:bookmarkStart w:id="200" w:name="OLE_LINK51"/>
            <w:r>
              <w:rPr>
                <w:rFonts w:hint="eastAsia" w:ascii="宋体" w:hAnsi="宋体" w:cs="宋体"/>
                <w:color w:val="auto"/>
                <w:sz w:val="20"/>
                <w:szCs w:val="20"/>
                <w:highlight w:val="none"/>
              </w:rPr>
              <w:t xml:space="preserve">评委根据投标人提供的“机房教师电脑”中教学软件部分（产品清单19）功能演示视频（不超过3分钟）评分，每个功能满足得1分，最多得3分，功能要求如下：</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1、教师广播批注：教师在屏幕广播状态下，提供授课小工具，包括提供可自由调整笔迹颜色及笔触粗细的画笔、黑板、橡皮擦、以及支持撤销和加页码；</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2、课件答题互动：支持同步课堂活动的课件并支持下发，下发后学生拖动答案进行作答，系统将自动判断正误；</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3、自动获取学生端应用环境：开启授课后自动获取授课学生设备安装的应用环境，教师可以直接禁用管理学生设备的实际真实应用。</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评委根据投标人提供的“86寸智能触控一体机”（产品清单47）功能演示视频（不超过3分钟）评分，每个功能满足得1分，最多得3分，功能要求如下：</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1.演示内置智能语音转文字工具，将现场讲话的语音进行文字转译，以悬浮字幕形式将转译文字显示在屏幕上。</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2.演示文件传输功能，通过扫码或wifi直连方式与手机进行连接，实现手机文件进行传输。</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3.演示内置小工具，通过整机麦克风监测教室中学生音量大小，当学生音量大于阈值时，屏幕自动弹窗提醒进行自习纪律干预。</w:t>
            </w:r>
            <w:bookmarkEnd w:id="200"/>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客观分</w:t>
            </w:r>
            <w:r/>
          </w:p>
        </w:tc>
      </w:tr>
      <w:tr>
        <w:trPr>
          <w:trHeight w:val="919"/>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产品检测报告</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pStyle w:val="711"/>
              <w:ind w:firstLine="0"/>
              <w:spacing w:line="240" w:lineRule="auto"/>
              <w:rPr>
                <w:rFonts w:hint="eastAsia"/>
                <w:color w:val="auto"/>
                <w:highlight w:val="none"/>
                <w:lang w:eastAsia="zh-CN"/>
              </w:rPr>
            </w:pPr>
            <w:r>
              <w:rPr>
                <w:rFonts w:hint="eastAsia"/>
                <w:color w:val="auto"/>
                <w:highlight w:val="none"/>
                <w:lang w:eastAsia="zh-CN"/>
              </w:rPr>
              <w:t xml:space="preserve">以下产品提供具有CMA标识的第三方检测机构出具的检测报告，每提供1个得1分，不提供或提供内容不全的不得分：</w:t>
            </w:r>
            <w:r/>
          </w:p>
          <w:p>
            <w:pPr>
              <w:pStyle w:val="711"/>
              <w:ind w:firstLine="0"/>
              <w:spacing w:line="240" w:lineRule="auto"/>
              <w:rPr>
                <w:rFonts w:hint="eastAsia"/>
                <w:color w:val="auto"/>
                <w:highlight w:val="none"/>
                <w:lang w:eastAsia="zh-CN"/>
              </w:rPr>
            </w:pPr>
            <w:r>
              <w:rPr>
                <w:rFonts w:hint="eastAsia"/>
                <w:color w:val="auto"/>
                <w:highlight w:val="none"/>
                <w:lang w:eastAsia="zh-CN"/>
              </w:rPr>
              <w:t xml:space="preserve">1、智能音频主机套装（产品清单1）：接收主机内置喇叭，支持对开机、对频指引、音量调节、麦克风归还提醒等进行中文语音播报；检测依据：GB/T 9388-1988 《无线传声器系统测量方法》</w:t>
            </w:r>
            <w:r/>
          </w:p>
          <w:p>
            <w:pPr>
              <w:pStyle w:val="711"/>
              <w:ind w:firstLine="0"/>
              <w:spacing w:line="240" w:lineRule="auto"/>
              <w:rPr>
                <w:rFonts w:hint="eastAsia"/>
                <w:color w:val="auto"/>
                <w:highlight w:val="none"/>
                <w:lang w:eastAsia="zh-CN"/>
              </w:rPr>
            </w:pPr>
            <w:r>
              <w:rPr>
                <w:rFonts w:hint="eastAsia"/>
                <w:color w:val="auto"/>
                <w:highlight w:val="none"/>
                <w:lang w:eastAsia="zh-CN"/>
              </w:rPr>
              <w:t xml:space="preserve">2、所投机房学生电脑（产品清单18）：千兆环境下的同传峰值速度不低于250MB/S，平均速度不低于150MB/S；百兆环境下的同传峰值速度不低于40MB/S，平均速度不低于20MB/S。检测依据GB/T25000.51-2016《系统与软件工程系统与软件质量要求和评价(SQuaRE)第51部分:就绪可用软件产品(RUSP)的质量要求和测试细则》</w:t>
            </w:r>
            <w:r/>
          </w:p>
          <w:p>
            <w:pPr>
              <w:pStyle w:val="711"/>
              <w:ind w:firstLine="0"/>
              <w:spacing w:line="240" w:lineRule="auto"/>
              <w:rPr>
                <w:rFonts w:hint="eastAsia"/>
                <w:color w:val="auto"/>
                <w:highlight w:val="none"/>
                <w:lang w:eastAsia="zh-CN"/>
              </w:rPr>
            </w:pPr>
            <w:r>
              <w:rPr>
                <w:rFonts w:hint="eastAsia"/>
                <w:color w:val="auto"/>
                <w:highlight w:val="none"/>
                <w:lang w:eastAsia="zh-CN"/>
              </w:rPr>
              <w:t xml:space="preserve">3、所投室外全彩色LED显示屏（产品清单36）：取不少于4个点进行静电放电，正负极不少于100次，接触放电±4KV，空气放电±8KV合格，检测依据GB/T17626.2-2018《电磁兼容 试验和测量技术 静电放电抗扰度试验》；</w:t>
            </w:r>
            <w:r/>
          </w:p>
          <w:p>
            <w:pPr>
              <w:pStyle w:val="711"/>
              <w:ind w:firstLine="0"/>
              <w:spacing w:line="240" w:lineRule="auto"/>
              <w:rPr>
                <w:rFonts w:hint="eastAsia"/>
                <w:color w:val="auto"/>
                <w:highlight w:val="none"/>
                <w:lang w:eastAsia="zh-CN"/>
              </w:rPr>
            </w:pPr>
            <w:r>
              <w:rPr>
                <w:rFonts w:hint="eastAsia"/>
                <w:color w:val="auto"/>
                <w:highlight w:val="none"/>
                <w:lang w:eastAsia="zh-CN"/>
              </w:rPr>
              <w:t xml:space="preserve">4、所投86寸触控一体机（产品清单47）：通过人眼视觉舒适度（VICO）测试，测试结果达到A+级及以上，检测依据GB/T 44441-2024 6《LED照明产品视觉健康舒适度测试》。</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3.服务</w:t>
            </w:r>
            <w:r/>
          </w:p>
        </w:tc>
      </w:tr>
      <w:tr>
        <w:trPr>
          <w:trHeight w:val="2587"/>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color w:val="auto"/>
                <w:sz w:val="20"/>
                <w:szCs w:val="20"/>
                <w:highlight w:val="none"/>
              </w:rPr>
            </w:pPr>
            <w:r/>
            <w:bookmarkStart w:id="201" w:name="OLE_LINK52"/>
            <w:r>
              <w:rPr>
                <w:rFonts w:hint="eastAsia" w:ascii="宋体" w:hAnsi="宋体" w:cs="宋体"/>
                <w:color w:val="auto"/>
                <w:sz w:val="20"/>
                <w:szCs w:val="20"/>
                <w:highlight w:val="none"/>
              </w:rPr>
              <w:t xml:space="preserve">评委根据投标人提供的项目售后服务方案综合评分，包括：1.服务内容；2.故障解决方案；3.培训方案；4.日常维护保障；5.技术人员保障及服务电话等内容。（以上每项内容逐条阐述）</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(1)上述每项内容完整、科学性、合理性、操作性强的，得1分；</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(2)上述每项内容基本完整、基本科学合理，有可操作性的，得0.5分；</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(3)上述每项内容不完整、不科学合理、不具可操作性或未提供的不得分。</w:t>
            </w:r>
            <w:bookmarkEnd w:id="201"/>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主观分</w:t>
            </w:r>
            <w:r/>
          </w:p>
        </w:tc>
      </w:tr>
      <w:tr>
        <w:trPr>
          <w:trHeight w:val="138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响应时间</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color w:val="auto"/>
                <w:sz w:val="20"/>
                <w:szCs w:val="20"/>
                <w:highlight w:val="none"/>
              </w:rPr>
            </w:pPr>
            <w:r/>
            <w:bookmarkStart w:id="202" w:name="OLE_LINK53"/>
            <w:r>
              <w:rPr>
                <w:rFonts w:hint="eastAsia" w:ascii="宋体" w:hAnsi="宋体" w:cs="宋体"/>
                <w:color w:val="auto"/>
                <w:sz w:val="20"/>
                <w:szCs w:val="20"/>
                <w:highlight w:val="none"/>
              </w:rPr>
              <w:t xml:space="preserve">投标人承诺提供2小时内快速响应服务（提供加盖公章的服务响应承诺书）的得2分；不提供承诺或承诺响应时间不符合要求的，不得分。</w:t>
            </w:r>
            <w:bookmarkEnd w:id="202"/>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客观分</w:t>
            </w:r>
            <w:r/>
          </w:p>
        </w:tc>
      </w:tr>
      <w:tr>
        <w:trPr>
          <w:trHeight w:val="138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质保期承诺</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本项目所有产品免费质保期不得低于三年（含硬件、软件及特征库授权等），在采购人要求免费质保期（三年）基础上，投标人提供免费上门质保服务承诺函，整体项目每增加一年免费质保期加1分，累计不超过2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4.产品质量保证</w:t>
            </w:r>
            <w:r/>
          </w:p>
        </w:tc>
      </w:tr>
      <w:tr>
        <w:trPr>
          <w:trHeight w:val="136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质量安全保证证书</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1、投标人所投的移动录播厂家具有权威机构出具的三级“信息安全服务资质认证证书”得2分,未提供或提供不全的不得分；</w:t>
            </w:r>
            <w:r/>
          </w:p>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2、投标人所投的智慧黑板显示终端制造商具备CCRC信息安全资质，通过信息系统安全运维服务、信息安全应急处理服务、信息系统安全集成服务认证，每提供一项得0.5分，最多得1.5分；</w:t>
            </w:r>
            <w:r/>
          </w:p>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3、投标人所投的全网行为管理设备具有中国信息安全测评中心颁发的《国家信息安全测评/ 信息技术产品安全测评证书（级别：EAL3+）的得1.5分, 未提供或提供不全的不得分；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客观分</w:t>
            </w:r>
            <w:r/>
          </w:p>
        </w:tc>
      </w:tr>
      <w:tr>
        <w:trPr>
          <w:trHeight w:val="510"/>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5.业绩</w:t>
            </w:r>
            <w:r/>
          </w:p>
        </w:tc>
      </w:tr>
      <w:tr>
        <w:trPr>
          <w:trHeight w:val="136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业绩案例</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color w:val="auto"/>
                <w:sz w:val="20"/>
                <w:szCs w:val="20"/>
                <w:highlight w:val="none"/>
              </w:rPr>
            </w:pPr>
            <w:r/>
            <w:bookmarkStart w:id="203" w:name="OLE_LINK54"/>
            <w:r>
              <w:rPr>
                <w:rFonts w:hint="eastAsia" w:ascii="宋体" w:hAnsi="宋体" w:cs="宋体"/>
                <w:color w:val="auto"/>
                <w:sz w:val="20"/>
                <w:szCs w:val="20"/>
                <w:highlight w:val="none"/>
              </w:rPr>
              <w:t xml:space="preserve">投标人提供2023年1月1日以来类似的案例，每提供一个案例得1分，最高得3分，其他不得分。（提供中标通知书、合同及验收报告，应反映出数量、总金额、单位和日期等相关内容，日期以合同为准，否则不得分）。</w:t>
            </w:r>
            <w:bookmarkEnd w:id="203"/>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6. 履约能力</w:t>
            </w:r>
            <w:r/>
          </w:p>
        </w:tc>
      </w:tr>
      <w:tr>
        <w:trPr>
          <w:trHeight w:val="93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服务能力</w:t>
            </w:r>
            <w:r/>
          </w:p>
        </w:tc>
        <w:tc>
          <w:tcPr>
            <w:tcBorders>
              <w:top w:val="single" w:color="000000" w:sz="4" w:space="0"/>
              <w:left w:val="single" w:color="000000" w:sz="4" w:space="0"/>
              <w:bottom w:val="single" w:color="000000" w:sz="4" w:space="0"/>
              <w:right w:val="single" w:color="000000" w:sz="4" w:space="0"/>
            </w:tcBorders>
            <w:tcW w:w="6225" w:type="dxa"/>
            <w:textDirection w:val="lrTb"/>
            <w:noWrap w:val="false"/>
          </w:tcPr>
          <w:p>
            <w:pPr>
              <w:widowControl/>
              <w:rPr>
                <w:rFonts w:hint="eastAsia" w:ascii="宋体" w:hAnsi="宋体" w:cs="宋体"/>
                <w:color w:val="auto"/>
                <w:sz w:val="20"/>
                <w:szCs w:val="20"/>
                <w:highlight w:val="none"/>
              </w:rPr>
            </w:pPr>
            <w:r/>
            <w:bookmarkStart w:id="204" w:name="OLE_LINK55"/>
            <w:r>
              <w:rPr>
                <w:rFonts w:hint="eastAsia" w:ascii="宋体" w:hAnsi="宋体" w:cs="宋体"/>
                <w:color w:val="auto"/>
                <w:sz w:val="20"/>
                <w:szCs w:val="20"/>
                <w:highlight w:val="none"/>
              </w:rPr>
              <w:t xml:space="preserve">投标人或机房学生电脑制造商通过CCRC信息安全服务资质认证，信息系统安全运维、信息安全应急处理、信息系统安全集成，每提供一项得1分，本项最多3分。</w:t>
            </w:r>
            <w:bookmarkEnd w:id="204"/>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客观分</w:t>
            </w:r>
            <w:r/>
          </w:p>
        </w:tc>
      </w:tr>
      <w:tr>
        <w:trPr>
          <w:trHeight w:val="155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项目团队能力</w:t>
            </w:r>
            <w:r/>
          </w:p>
        </w:tc>
        <w:tc>
          <w:tcPr>
            <w:tcBorders>
              <w:top w:val="single" w:color="000000" w:sz="4" w:space="0"/>
              <w:left w:val="single" w:color="000000" w:sz="4" w:space="0"/>
              <w:bottom w:val="single" w:color="000000" w:sz="4" w:space="0"/>
              <w:right w:val="single" w:color="000000" w:sz="4" w:space="0"/>
            </w:tcBorders>
            <w:tcW w:w="6225" w:type="dxa"/>
            <w:textDirection w:val="lrTb"/>
            <w:noWrap w:val="false"/>
          </w:tcPr>
          <w:p>
            <w:pPr>
              <w:widowControl/>
              <w:rPr>
                <w:rFonts w:hint="eastAsia" w:ascii="宋体" w:hAnsi="宋体" w:cs="宋体"/>
                <w:color w:val="auto"/>
                <w:sz w:val="20"/>
                <w:szCs w:val="20"/>
                <w:highlight w:val="none"/>
              </w:rPr>
            </w:pPr>
            <w:r/>
            <w:bookmarkStart w:id="205" w:name="OLE_LINK56"/>
            <w:r>
              <w:rPr>
                <w:rFonts w:hint="eastAsia" w:ascii="宋体" w:hAnsi="宋体" w:cs="宋体"/>
                <w:color w:val="auto"/>
                <w:sz w:val="20"/>
                <w:szCs w:val="20"/>
                <w:highlight w:val="none"/>
              </w:rPr>
              <w:t xml:space="preserve">1、项目经理具有高级工程师（电子信息工程）证书，得1分；</w:t>
            </w:r>
            <w:r/>
          </w:p>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2、项目团队成员具有中级工程师（电子信息工程）证书，得1分；</w:t>
            </w:r>
            <w:r/>
          </w:p>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（提供人员证书及投标人为其缴纳的2026年1月以来任意一个月的社保证明，缺一不可）</w:t>
            </w:r>
            <w:bookmarkEnd w:id="205"/>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7.节能环保</w:t>
            </w:r>
            <w:r/>
          </w:p>
        </w:tc>
      </w:tr>
      <w:tr>
        <w:trPr>
          <w:trHeight w:val="2339"/>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环境标志产品认证</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投标产品属于财政部、国家发改委公布的“节能产品品目清单”范围内的，投标人提供国家确定的认证机构出具的、处于有效期之内的该节能产品认证证书的，有1个得0.5分，最多得1分。投标产品属于政府强制采购节能产品或已在实质性要求中要求提供节能产品认证证书的，本项不得分。</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2、投标产品属于财政部、生态环境部公布的“环境标志产品品目清单”范围内的，投标人提供国家确定的认证机构出具的、处于有效期内的该环保产品认证证书的，有1个得0.5分，最多得1分。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客观分</w:t>
            </w:r>
            <w:r/>
          </w:p>
        </w:tc>
      </w:tr>
    </w:tbl>
    <w:p>
      <w:pPr>
        <w:jc w:val="left"/>
        <w:spacing w:line="288"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w:t>
      </w:r>
      <w:r/>
    </w:p>
    <w:p>
      <w:pPr>
        <w:numPr>
          <w:ilvl w:val="0"/>
          <w:numId w:val="6"/>
        </w:num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现场图纸及参考图片见附件（图片款式仅作参考，供应商应按照产品技术要求中的规格、材质和工艺生产，定制家具需按照采购人实际场地尺寸或确定的方案进行加工，供应商在投标时要考虑这一因素）</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11"/>
        <w:rPr>
          <w:rFonts w:hint="eastAsia" w:cs="宋体"/>
          <w:color w:val="auto"/>
          <w:sz w:val="24"/>
          <w:szCs w:val="24"/>
          <w:highlight w:val="none"/>
          <w:lang w:eastAsia="zh-CN"/>
        </w:rPr>
      </w:pPr>
      <w:r>
        <w:rPr>
          <w:rFonts w:hint="eastAsia" w:cs="宋体"/>
          <w:color w:val="auto"/>
          <w:sz w:val="24"/>
          <w:szCs w:val="24"/>
          <w:highlight w:val="none"/>
          <w:lang w:eastAsia="zh-CN"/>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11"/>
        <w:rPr>
          <w:rFonts w:hint="eastAsia" w:cs="宋体"/>
          <w:color w:val="auto"/>
          <w:sz w:val="24"/>
          <w:szCs w:val="24"/>
          <w:highlight w:val="none"/>
          <w:lang w:eastAsia="zh-CN"/>
        </w:rPr>
      </w:pPr>
      <w:r>
        <w:rPr>
          <w:rFonts w:hint="eastAsia" w:cs="宋体"/>
          <w:color w:val="auto"/>
          <w:sz w:val="24"/>
          <w:szCs w:val="24"/>
          <w:highlight w:val="none"/>
          <w:lang w:eastAsia="zh-CN"/>
        </w:rPr>
      </w:r>
      <w:r/>
    </w:p>
    <w:p>
      <w:pPr>
        <w:rPr>
          <w:color w:val="auto"/>
          <w:highlight w:val="none"/>
        </w:rPr>
      </w:pPr>
      <w:r>
        <w:rPr>
          <w:color w:val="auto"/>
          <w:highlight w:val="none"/>
        </w:rPr>
      </w:r>
      <w:r/>
    </w:p>
    <w:p>
      <w:pPr>
        <w:pStyle w:val="669"/>
        <w:rPr>
          <w:rFonts w:hint="eastAsia" w:ascii="宋体" w:hAnsi="宋体" w:cs="宋体"/>
          <w:color w:val="auto"/>
          <w:sz w:val="24"/>
          <w:highlight w:val="none"/>
        </w:rPr>
      </w:pPr>
      <w:r>
        <w:rPr>
          <w:rFonts w:hint="eastAsia" w:ascii="宋体" w:hAnsi="宋体" w:cs="宋体"/>
          <w:color w:val="auto"/>
          <w:sz w:val="24"/>
          <w:highlight w:val="none"/>
        </w:rPr>
      </w:r>
      <w:r/>
    </w:p>
    <w:p>
      <w:pPr>
        <w:pStyle w:val="669"/>
        <w:rPr>
          <w:rFonts w:hint="eastAsia" w:ascii="宋体" w:hAnsi="宋体" w:cs="宋体"/>
          <w:color w:val="auto"/>
          <w:sz w:val="24"/>
          <w:highlight w:val="none"/>
        </w:rPr>
      </w:pPr>
      <w:r>
        <w:rPr>
          <w:rFonts w:hint="eastAsia" w:ascii="宋体" w:hAnsi="宋体" w:cs="宋体"/>
          <w:color w:val="auto"/>
          <w:sz w:val="24"/>
          <w:highlight w:val="none"/>
        </w:rPr>
      </w:r>
      <w:r/>
    </w:p>
    <w:p>
      <w:pPr>
        <w:pStyle w:val="669"/>
        <w:rPr>
          <w:rFonts w:hint="eastAsia" w:ascii="宋体" w:hAnsi="宋体" w:cs="宋体"/>
          <w:color w:val="auto"/>
          <w:sz w:val="24"/>
          <w:highlight w:val="none"/>
        </w:rPr>
      </w:pPr>
      <w:r>
        <w:rPr>
          <w:rFonts w:hint="eastAsia" w:ascii="宋体" w:hAnsi="宋体" w:cs="宋体"/>
          <w:color w:val="auto"/>
          <w:sz w:val="24"/>
          <w:highlight w:val="none"/>
        </w:rPr>
      </w:r>
      <w:r/>
    </w:p>
    <w:p>
      <w:pPr>
        <w:pStyle w:val="669"/>
        <w:rPr>
          <w:rFonts w:hint="eastAsia" w:ascii="宋体" w:hAnsi="宋体" w:cs="宋体"/>
          <w:color w:val="auto"/>
          <w:sz w:val="24"/>
          <w:highlight w:val="none"/>
        </w:rPr>
      </w:pPr>
      <w:r>
        <w:rPr>
          <w:rFonts w:hint="eastAsia" w:ascii="宋体" w:hAnsi="宋体" w:cs="宋体"/>
          <w:color w:val="auto"/>
          <w:sz w:val="24"/>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第六章  投标</w:t>
      </w:r>
      <w:bookmarkEnd w:id="193"/>
      <w:r/>
      <w:bookmarkEnd w:id="194"/>
      <w:r/>
      <w:bookmarkEnd w:id="195"/>
      <w:r>
        <w:rPr>
          <w:rFonts w:hint="eastAsia" w:ascii="方正小标宋简体" w:hAnsi="方正小标宋简体" w:eastAsia="方正小标宋简体" w:cs="方正小标宋简体"/>
          <w:color w:val="auto"/>
          <w:sz w:val="36"/>
          <w:szCs w:val="36"/>
          <w:highlight w:val="none"/>
        </w:rPr>
        <w:t xml:space="preserve">文件格式 </w:t>
      </w:r>
      <w:r/>
    </w:p>
    <w:p>
      <w:pPr>
        <w:jc w:val="center"/>
        <w:rPr>
          <w:rFonts w:hint="eastAsia" w:ascii="宋体" w:hAnsi="宋体"/>
          <w:b/>
          <w:color w:val="auto"/>
          <w:sz w:val="72"/>
          <w:szCs w:val="21"/>
          <w:highlight w:val="none"/>
        </w:rPr>
      </w:pPr>
      <w:r/>
      <w:bookmarkStart w:id="206" w:name="_Hlt26955039"/>
      <w:r/>
      <w:bookmarkEnd w:id="206"/>
      <w:r/>
      <w:bookmarkStart w:id="207" w:name="_Hlt26671244"/>
      <w:r/>
      <w:bookmarkEnd w:id="207"/>
      <w:r/>
      <w:bookmarkStart w:id="208" w:name="_Toc120614282"/>
      <w:r/>
      <w:bookmarkStart w:id="209" w:name="_Toc49090576"/>
      <w:r/>
      <w:bookmarkStart w:id="210"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jc w:val="center"/>
        <w:rPr>
          <w:rFonts w:ascii="方正黑体_GBK" w:hAnsi="方正黑体_GBK" w:eastAsia="方正黑体_GBK" w:cs="方正黑体_GBK"/>
          <w:color w:val="auto"/>
          <w:sz w:val="32"/>
          <w:szCs w:val="32"/>
          <w:highlight w:val="none"/>
        </w:rPr>
      </w:pPr>
      <w:r>
        <w:rPr>
          <w:rFonts w:ascii="宋体" w:hAnsi="宋体"/>
          <w:b/>
          <w:color w:val="auto"/>
          <w:sz w:val="36"/>
          <w:szCs w:val="21"/>
          <w:highlight w:val="none"/>
          <w:u w:val="single"/>
        </w:rPr>
        <w:br w:type="page" w:clear="all"/>
      </w:r>
      <w:r>
        <w:rPr>
          <w:rFonts w:hint="eastAsia" w:ascii="方正黑体_GBK" w:hAnsi="方正黑体_GBK" w:eastAsia="方正黑体_GBK" w:cs="方正黑体_GBK"/>
          <w:color w:val="auto"/>
          <w:sz w:val="32"/>
          <w:szCs w:val="32"/>
          <w:highlight w:val="none"/>
        </w:rPr>
        <w:t xml:space="preserve">投标文件目录</w:t>
      </w:r>
      <w:bookmarkEnd w:id="208"/>
      <w:r/>
      <w:bookmarkEnd w:id="209"/>
      <w:r/>
      <w:bookmarkEnd w:id="210"/>
      <w:r/>
      <w:r/>
    </w:p>
    <w:p>
      <w:pPr>
        <w:ind w:firstLine="560"/>
        <w:spacing w:line="600" w:lineRule="exact"/>
        <w:rPr>
          <w:rFonts w:hint="eastAsia" w:ascii="宋体" w:hAnsi="宋体" w:cs="宋体"/>
          <w:color w:val="auto"/>
          <w:sz w:val="28"/>
          <w:szCs w:val="28"/>
          <w:highlight w:val="none"/>
        </w:rPr>
      </w:pPr>
      <w:r/>
      <w:bookmarkStart w:id="211" w:name="_Toc120614284"/>
      <w:r>
        <w:rPr>
          <w:rFonts w:hint="eastAsia" w:ascii="宋体" w:hAnsi="宋体" w:cs="宋体"/>
          <w:color w:val="auto"/>
          <w:sz w:val="28"/>
          <w:szCs w:val="28"/>
          <w:highlight w:val="none"/>
        </w:rPr>
        <w:t xml:space="preserve">一、供应商信用承诺函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六、核心产品品牌一览表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七、投标分项报价表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十二、联合体协议（如有）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pStyle w:val="669"/>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969"/>
        <w:rPr>
          <w:rFonts w:hint="eastAsia"/>
          <w:color w:val="auto"/>
          <w:sz w:val="24"/>
          <w:highlight w:val="none"/>
        </w:rPr>
      </w:pPr>
      <w:r>
        <w:rPr>
          <w:rFonts w:hint="eastAsia"/>
          <w:color w:val="auto"/>
          <w:sz w:val="24"/>
          <w:highlight w:val="none"/>
        </w:rPr>
      </w:r>
      <w:r/>
    </w:p>
    <w:p>
      <w:pPr>
        <w:pStyle w:val="969"/>
        <w:rPr>
          <w:rFonts w:hint="eastAsia"/>
          <w:color w:val="auto"/>
          <w:sz w:val="24"/>
          <w:highlight w:val="none"/>
        </w:rPr>
      </w:pPr>
      <w:r>
        <w:rPr>
          <w:rFonts w:hint="eastAsia"/>
          <w:color w:val="auto"/>
          <w:sz w:val="24"/>
          <w:highlight w:val="none"/>
        </w:rPr>
      </w:r>
      <w:r/>
    </w:p>
    <w:p>
      <w:pPr>
        <w:pStyle w:val="969"/>
        <w:rPr>
          <w:rFonts w:hint="eastAsia"/>
          <w:color w:val="auto"/>
          <w:sz w:val="24"/>
          <w:highlight w:val="none"/>
        </w:rPr>
      </w:pPr>
      <w:r>
        <w:rPr>
          <w:rFonts w:hint="eastAsia"/>
          <w:color w:val="auto"/>
          <w:sz w:val="24"/>
          <w:highlight w:val="none"/>
        </w:rPr>
      </w:r>
      <w:r/>
    </w:p>
    <w:p>
      <w:pPr>
        <w:pStyle w:val="969"/>
        <w:rPr>
          <w:rFonts w:hint="eastAsia"/>
          <w:color w:val="auto"/>
          <w:sz w:val="24"/>
          <w:highlight w:val="none"/>
        </w:rPr>
      </w:pPr>
      <w:r>
        <w:rPr>
          <w:rFonts w:hint="eastAsia"/>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南京市公共资源交易中心浦口分中心：</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我公司（供应商名称）郑重承诺：</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70"/>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932"/>
        <w:rPr>
          <w:color w:val="auto"/>
          <w:highlight w:val="none"/>
        </w:rPr>
      </w:pPr>
      <w:r>
        <w:rPr>
          <w:color w:val="auto"/>
          <w:highlight w:val="none"/>
        </w:rPr>
      </w:r>
      <w:r/>
    </w:p>
    <w:p>
      <w:pPr>
        <w:rPr>
          <w:color w:val="auto"/>
          <w:highlight w:val="none"/>
        </w:rPr>
      </w:pPr>
      <w:r>
        <w:rPr>
          <w:color w:val="auto"/>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941"/>
        <w:ind w:firstLine="480"/>
        <w:rPr>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672"/>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ascii="方正小标宋简体" w:hAnsi="方正小标宋简体" w:eastAsia="方正小标宋简体" w:cs="方正小标宋简体"/>
          <w:color w:val="auto"/>
          <w:sz w:val="32"/>
          <w:szCs w:val="32"/>
          <w:highlight w:val="none"/>
        </w:rPr>
        <w:outlineLvl w:val="0"/>
      </w:pPr>
      <w:r/>
      <w:bookmarkStart w:id="212" w:name="OLE_LINK46"/>
      <w:r>
        <w:rPr>
          <w:rFonts w:hint="eastAsia" w:ascii="方正小标宋简体" w:hAnsi="方正小标宋简体" w:eastAsia="方正小标宋简体" w:cs="方正小标宋简体"/>
          <w:color w:val="auto"/>
          <w:sz w:val="32"/>
          <w:szCs w:val="32"/>
          <w:highlight w:val="none"/>
        </w:rPr>
        <w:t xml:space="preserve">法人授权书</w:t>
      </w:r>
      <w:bookmarkEnd w:id="212"/>
      <w:r/>
      <w:r/>
    </w:p>
    <w:p>
      <w:pPr>
        <w:pStyle w:val="941"/>
        <w:ind w:firstLine="480"/>
        <w:spacing w:line="420" w:lineRule="exact"/>
        <w:rPr>
          <w:color w:val="auto"/>
          <w:sz w:val="24"/>
          <w:szCs w:val="24"/>
          <w:highlight w:val="none"/>
        </w:rPr>
      </w:pPr>
      <w:r>
        <w:rPr>
          <w:color w:val="auto"/>
          <w:sz w:val="24"/>
          <w:szCs w:val="24"/>
          <w:highlight w:val="none"/>
        </w:rPr>
      </w:r>
      <w:r/>
    </w:p>
    <w:p>
      <w:pPr>
        <w:pStyle w:val="941"/>
        <w:ind w:firstLine="480"/>
        <w:spacing w:line="480" w:lineRule="exact"/>
        <w:rPr>
          <w:color w:val="auto"/>
          <w:sz w:val="24"/>
          <w:szCs w:val="24"/>
          <w:highlight w:val="none"/>
        </w:rPr>
      </w:pPr>
      <w:r>
        <w:rPr>
          <w:rFonts w:hint="eastAsia"/>
          <w:color w:val="auto"/>
          <w:sz w:val="24"/>
          <w:szCs w:val="24"/>
          <w:highlight w:val="none"/>
        </w:rPr>
        <w:t xml:space="preserve">本授权书声明：（投标人名称）授权（被授权人姓名）作为我方参加编号为项目采购活动的合法代理人，以本单位名义全权处理一切与该项目采购有关的事务。</w:t>
      </w:r>
      <w:r/>
    </w:p>
    <w:p>
      <w:pPr>
        <w:pStyle w:val="941"/>
        <w:ind w:firstLine="480"/>
        <w:spacing w:line="480" w:lineRule="exac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941"/>
        <w:ind w:firstLine="480"/>
        <w:spacing w:line="480" w:lineRule="exact"/>
        <w:rPr>
          <w:color w:val="auto"/>
          <w:sz w:val="24"/>
          <w:szCs w:val="24"/>
          <w:highlight w:val="none"/>
        </w:rPr>
      </w:pPr>
      <w:r>
        <w:rPr>
          <w:rFonts w:hint="eastAsia"/>
          <w:color w:val="auto"/>
          <w:sz w:val="24"/>
          <w:szCs w:val="24"/>
          <w:highlight w:val="none"/>
        </w:rPr>
        <w:t xml:space="preserve">被授权人身份证号码：</w:t>
      </w:r>
      <w:r/>
    </w:p>
    <w:p>
      <w:pPr>
        <w:pStyle w:val="941"/>
        <w:ind w:firstLine="480"/>
        <w:spacing w:line="480" w:lineRule="exact"/>
        <w:rPr>
          <w:color w:val="auto"/>
          <w:sz w:val="24"/>
          <w:szCs w:val="24"/>
          <w:highlight w:val="none"/>
          <w:u w:val="single"/>
        </w:rPr>
      </w:pPr>
      <w:r>
        <w:rPr>
          <w:rFonts w:hint="eastAsia"/>
          <w:color w:val="auto"/>
          <w:sz w:val="24"/>
          <w:szCs w:val="24"/>
          <w:highlight w:val="none"/>
        </w:rPr>
        <w:t xml:space="preserve">被授权人联系电话：（手机）</w:t>
      </w:r>
      <w:r/>
    </w:p>
    <w:p>
      <w:pPr>
        <w:pStyle w:val="941"/>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41"/>
        <w:ind w:firstLine="480"/>
        <w:spacing w:line="480" w:lineRule="exact"/>
        <w:rPr>
          <w:color w:val="auto"/>
          <w:sz w:val="24"/>
          <w:szCs w:val="24"/>
          <w:highlight w:val="none"/>
          <w:u w:val="single"/>
        </w:rPr>
      </w:pPr>
      <w:r>
        <w:rPr>
          <w:rFonts w:hint="eastAsia"/>
          <w:color w:val="auto"/>
          <w:sz w:val="24"/>
          <w:szCs w:val="24"/>
          <w:highlight w:val="none"/>
        </w:rPr>
        <w:t xml:space="preserve">单位地址：</w:t>
      </w:r>
      <w:r/>
    </w:p>
    <w:p>
      <w:pPr>
        <w:pStyle w:val="941"/>
        <w:ind w:firstLine="480"/>
        <w:spacing w:line="480" w:lineRule="exact"/>
        <w:rPr>
          <w:color w:val="auto"/>
          <w:sz w:val="24"/>
          <w:szCs w:val="24"/>
          <w:highlight w:val="none"/>
        </w:rPr>
      </w:pPr>
      <w:r>
        <w:rPr>
          <w:rFonts w:hint="eastAsia"/>
          <w:color w:val="auto"/>
          <w:sz w:val="24"/>
          <w:szCs w:val="24"/>
          <w:highlight w:val="none"/>
        </w:rPr>
        <w:t xml:space="preserve">日    期：</w:t>
      </w:r>
      <w:bookmarkStart w:id="213" w:name="_格式3__银行出具的资信证明"/>
      <w:r/>
      <w:bookmarkEnd w:id="213"/>
      <w:r/>
      <w:bookmarkStart w:id="214" w:name="_Hlt26955070"/>
      <w:r/>
      <w:bookmarkEnd w:id="214"/>
      <w:r/>
      <w:bookmarkStart w:id="215" w:name="_Hlt26671380"/>
      <w:r/>
      <w:bookmarkEnd w:id="215"/>
      <w:r/>
      <w:r/>
    </w:p>
    <w:p>
      <w:pPr>
        <w:pStyle w:val="675"/>
        <w:rPr>
          <w:i/>
          <w:color w:val="auto"/>
          <w:sz w:val="24"/>
          <w:szCs w:val="24"/>
          <w:highlight w:val="none"/>
          <w:u w:val="single"/>
        </w:rPr>
      </w:pPr>
      <w:r>
        <w:rPr>
          <w:i/>
          <w:color w:val="auto"/>
          <w:sz w:val="24"/>
          <w:szCs w:val="24"/>
          <w:highlight w:val="none"/>
          <w:u w:val="single"/>
        </w:rPr>
      </w:r>
      <w:r/>
    </w:p>
    <w:p>
      <w:pPr>
        <w:pStyle w:val="675"/>
        <w:ind w:firstLine="0"/>
        <w:rPr>
          <w:color w:val="auto"/>
          <w:highlight w:val="none"/>
        </w:rPr>
      </w:pPr>
      <w:r>
        <w:rPr>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pStyle w:val="669"/>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四、投标函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投标函</w:t>
      </w:r>
      <w:r/>
    </w:p>
    <w:p>
      <w:pPr>
        <w:pStyle w:val="9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致：南京市公共资源交易中心浦口分中心</w:t>
      </w:r>
      <w:r/>
    </w:p>
    <w:p>
      <w:pPr>
        <w:pStyle w:val="9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1.按招标文件规定的各项要求，向买方提供所需货物（包含与货物相关的服务）。</w:t>
      </w:r>
      <w:r/>
    </w:p>
    <w:p>
      <w:pPr>
        <w:pStyle w:val="9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43"/>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43"/>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9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9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4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94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94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94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9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pStyle w:val="711"/>
        <w:rPr>
          <w:rFonts w:hint="eastAsia"/>
          <w:bCs/>
          <w:color w:val="auto"/>
          <w:sz w:val="24"/>
          <w:highlight w:val="none"/>
          <w:lang w:eastAsia="zh-CN"/>
        </w:rPr>
      </w:pPr>
      <w:r>
        <w:rPr>
          <w:rFonts w:hint="eastAsia"/>
          <w:bCs/>
          <w:color w:val="auto"/>
          <w:sz w:val="24"/>
          <w:highlight w:val="none"/>
          <w:lang w:eastAsia="zh-CN"/>
        </w:rPr>
      </w:r>
      <w:r/>
    </w:p>
    <w:p>
      <w:pPr>
        <w:rPr>
          <w:color w:val="auto"/>
          <w:highlight w:val="none"/>
        </w:rPr>
      </w:pPr>
      <w:r>
        <w:rPr>
          <w:color w:val="auto"/>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五、开标一览表</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项目编号：                                   分包号：</w:t>
      </w:r>
      <w:r/>
    </w:p>
    <w:tbl>
      <w:tblPr>
        <w:tblStyle w:val="667"/>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43"/>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jc w:val="center"/>
        <w:spacing w:line="360" w:lineRule="auto"/>
        <w:rPr>
          <w:rFonts w:ascii="黑体" w:eastAsia="黑体"/>
          <w:color w:val="auto"/>
          <w:sz w:val="32"/>
          <w:szCs w:val="32"/>
          <w:highlight w:val="none"/>
        </w:rPr>
        <w:outlineLvl w:val="0"/>
      </w:pPr>
      <w:r>
        <w:rPr>
          <w:rFonts w:ascii="黑体" w:eastAsia="黑体"/>
          <w:color w:val="auto"/>
          <w:sz w:val="32"/>
          <w:szCs w:val="32"/>
          <w:highlight w:val="none"/>
        </w:rPr>
      </w:r>
      <w:r/>
    </w:p>
    <w:p>
      <w:pPr>
        <w:jc w:val="center"/>
        <w:spacing w:line="360" w:lineRule="auto"/>
        <w:rPr>
          <w:rFonts w:ascii="黑体" w:eastAsia="黑体"/>
          <w:color w:val="auto"/>
          <w:sz w:val="32"/>
          <w:szCs w:val="32"/>
          <w:highlight w:val="none"/>
        </w:rPr>
        <w:outlineLvl w:val="0"/>
      </w:pPr>
      <w:r>
        <w:rPr>
          <w:rFonts w:asci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六、核心产品品牌一览表</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核心产品品牌一览表</w:t>
      </w:r>
      <w:r/>
    </w:p>
    <w:tbl>
      <w:tblPr>
        <w:tblStyle w:val="667"/>
        <w:tblpPr w:horzAnchor="margin" w:tblpXSpec="center" w:vertAnchor="text" w:tblpY="133" w:leftFromText="180" w:topFromText="0" w:rightFromText="180" w:bottomFromText="0"/>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4156"/>
      </w:tblGrid>
      <w:tr>
        <w:trPr>
          <w:jc w:val="center"/>
          <w:trHeight w:val="723"/>
        </w:trPr>
        <w:tc>
          <w:tcPr>
            <w:tcW w:w="104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753"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产品</w:t>
            </w:r>
            <w:r>
              <w:rPr>
                <w:rFonts w:hint="eastAsia" w:ascii="宋体" w:hAnsi="宋体" w:cs="宋体"/>
                <w:color w:val="auto"/>
                <w:szCs w:val="21"/>
                <w:highlight w:val="none"/>
                <w:lang w:val="zh-CN"/>
              </w:rPr>
              <w:t xml:space="preserve">名称</w:t>
            </w:r>
            <w:r/>
          </w:p>
        </w:tc>
        <w:tc>
          <w:tcPr>
            <w:tcW w:w="215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产品</w:t>
            </w:r>
            <w:r>
              <w:rPr>
                <w:rFonts w:hint="eastAsia" w:ascii="宋体" w:hAnsi="宋体" w:cs="宋体"/>
                <w:color w:val="auto"/>
                <w:szCs w:val="21"/>
                <w:highlight w:val="none"/>
                <w:lang w:val="zh-CN"/>
              </w:rPr>
              <w:t xml:space="preserve">品牌</w:t>
            </w:r>
            <w:r/>
          </w:p>
        </w:tc>
        <w:tc>
          <w:tcPr>
            <w:tcW w:w="41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W w:w="3753"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158" w:type="dxa"/>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4156" w:type="dxa"/>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360" w:lineRule="auto"/>
        <w:widowControl/>
        <w:rPr>
          <w:rFonts w:ascii="宋体" w:cs="宋体"/>
          <w:color w:val="auto"/>
          <w:szCs w:val="21"/>
          <w:highlight w:val="none"/>
          <w:lang w:val="zh-CN"/>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zh-CN"/>
        </w:rPr>
        <w:t xml:space="preserve">名称</w:t>
      </w:r>
      <w:r>
        <w:rPr>
          <w:rFonts w:hint="eastAsia" w:ascii="宋体" w:hAnsi="宋体" w:cs="宋体"/>
          <w:color w:val="auto"/>
          <w:szCs w:val="21"/>
          <w:highlight w:val="none"/>
          <w:lang w:val="zh-CN"/>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9"/>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rPr>
        <w:outlineLvl w:val="0"/>
      </w:pPr>
      <w:r>
        <w:rPr>
          <w:rFonts w:hint="eastAsia" w:ascii="黑体" w:hAnsi="黑体" w:eastAsia="黑体"/>
          <w:color w:val="auto"/>
          <w:sz w:val="32"/>
          <w:szCs w:val="32"/>
          <w:highlight w:val="none"/>
        </w:rPr>
        <w:t xml:space="preserve">七、</w:t>
      </w:r>
      <w:bookmarkStart w:id="216" w:name="OLE_LINK12"/>
      <w:r>
        <w:rPr>
          <w:rFonts w:hint="eastAsia" w:ascii="黑体" w:hAnsi="黑体" w:eastAsia="黑体"/>
          <w:color w:val="auto"/>
          <w:sz w:val="32"/>
          <w:szCs w:val="32"/>
          <w:highlight w:val="none"/>
        </w:rPr>
        <w:t xml:space="preserve">投标分项报价表</w:t>
      </w:r>
      <w:bookmarkEnd w:id="216"/>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投标分项报价表</w:t>
      </w:r>
      <w:r/>
    </w:p>
    <w:tbl>
      <w:tblPr>
        <w:tblStyle w:val="667"/>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8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4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4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707"/>
        <w:ind w:firstLine="480"/>
        <w:jc w:val="both"/>
        <w:spacing w:before="0" w:beforeAutospacing="0" w:after="0" w:afterAutospacing="0" w:line="360" w:lineRule="auto"/>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备注： </w:t>
      </w:r>
      <w:r/>
    </w:p>
    <w:p>
      <w:pPr>
        <w:pStyle w:val="707"/>
        <w:ind w:firstLine="480"/>
        <w:jc w:val="both"/>
        <w:spacing w:before="0" w:beforeAutospacing="0" w:after="0" w:afterAutospacing="0" w:line="360" w:lineRule="auto"/>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1.“投标报价”应包括为完成整个项目所产生的所有费用，招标文件另有规定的除外。</w:t>
      </w:r>
      <w:r/>
    </w:p>
    <w:p>
      <w:pPr>
        <w:pStyle w:val="707"/>
        <w:ind w:firstLine="480"/>
        <w:jc w:val="both"/>
        <w:spacing w:before="0" w:beforeAutospacing="0" w:after="0" w:afterAutospacing="0" w:line="360" w:lineRule="auto"/>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2.《投标分项报价表》中“投标总价”应当与《开标一览表》中“投标总报价”一致。</w:t>
      </w:r>
      <w:r/>
    </w:p>
    <w:p>
      <w:pPr>
        <w:pStyle w:val="707"/>
        <w:ind w:firstLine="480"/>
        <w:jc w:val="both"/>
        <w:spacing w:before="0" w:beforeAutospacing="0" w:after="0" w:afterAutospacing="0" w:line="360" w:lineRule="auto"/>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3.供应商所投产品须与“第四章-项目清单”中的产品一一对应，如有缺项、漏项或者超出单价上限，视为无效投标。“项目清单”中分项仅为一项的，此表无需提供。</w:t>
      </w:r>
      <w:r/>
    </w:p>
    <w:p>
      <w:pPr>
        <w:pStyle w:val="707"/>
        <w:ind w:firstLine="480"/>
        <w:jc w:val="both"/>
        <w:spacing w:before="0" w:beforeAutospacing="0" w:after="0" w:afterAutospacing="0" w:line="360" w:lineRule="auto"/>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4.行数不够，可自行添加。</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9"/>
        <w:ind w:left="0"/>
        <w:rPr>
          <w:color w:val="auto"/>
          <w:highlight w:val="none"/>
        </w:rPr>
      </w:pPr>
      <w:r>
        <w:rPr>
          <w:color w:val="auto"/>
          <w:highlight w:val="none"/>
        </w:rPr>
      </w:r>
      <w:r/>
    </w:p>
    <w:p>
      <w:pPr>
        <w:pStyle w:val="674"/>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八、技术要求响应及偏离表</w:t>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color w:val="auto"/>
                <w:highlight w:val="none"/>
              </w:rPr>
            </w:pPr>
            <w:r>
              <w:rPr>
                <w:color w:val="auto"/>
                <w:highlight w:val="none"/>
              </w:rPr>
            </w:r>
            <w:r/>
          </w:p>
          <w:p>
            <w:pPr>
              <w:pStyle w:val="932"/>
              <w:rPr>
                <w:color w:val="auto"/>
                <w:highlight w:val="none"/>
              </w:rPr>
            </w:pPr>
            <w:r>
              <w:rPr>
                <w:color w:val="auto"/>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707"/>
        <w:ind w:firstLine="480"/>
        <w:jc w:val="both"/>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r>
      <w:r/>
    </w:p>
    <w:p>
      <w:pPr>
        <w:pStyle w:val="707"/>
        <w:ind w:firstLine="480"/>
        <w:jc w:val="both"/>
        <w:spacing w:before="0" w:beforeAutospacing="0" w:after="0" w:afterAutospacing="0" w:line="360" w:lineRule="auto"/>
        <w:rPr>
          <w:rFonts w:hint="eastAsia"/>
          <w:color w:val="auto"/>
          <w:highlight w:val="none"/>
        </w:rPr>
      </w:pPr>
      <w:r>
        <w:rPr>
          <w:color w:val="auto"/>
          <w:highlight w:val="none"/>
        </w:rPr>
        <w:t xml:space="preserve">备注： </w:t>
      </w:r>
      <w:r/>
    </w:p>
    <w:p>
      <w:pPr>
        <w:pStyle w:val="70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70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的实质性要求及其他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0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9"/>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九、商务要求响应及偏离表</w:t>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1"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color w:val="auto"/>
                <w:highlight w:val="none"/>
              </w:rPr>
            </w:pPr>
            <w:r>
              <w:rPr>
                <w:color w:val="auto"/>
                <w:highlight w:val="none"/>
              </w:rPr>
            </w:r>
            <w:r/>
          </w:p>
          <w:p>
            <w:pPr>
              <w:pStyle w:val="932"/>
              <w:rPr>
                <w:color w:val="auto"/>
                <w:highlight w:val="none"/>
              </w:rPr>
            </w:pPr>
            <w:r>
              <w:rPr>
                <w:color w:val="auto"/>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70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70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1.供应商须对采购文件商务要求中的实质性要求（斜体下划线内容或打“★”内容）做出明确响应，否则视为无效投标。</w:t>
      </w:r>
      <w:r/>
    </w:p>
    <w:p>
      <w:pPr>
        <w:pStyle w:val="70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9"/>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十、中小企业声明函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中小企业声明函（货物）</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300号)的规定，相关企业（含联合体中的小微企业、签订分包意向协议的小微企业）的具体情况如下：</w:t>
      </w:r>
      <w:r/>
    </w:p>
    <w:p>
      <w:pPr>
        <w:ind w:firstLine="36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1.（标的名称）属于行业（采购文件中明确的所属行业）；制造商为（企业名称），从业人员人，营业收入为万元，资产总额为万元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2.（标的名称）属于行业（采购文件中明确的所属行业）；制造商为（企业名称），从业人员人，营业收入为万元，资产总额为万元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932"/>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36"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十一、残疾人福利性单位声明函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32"/>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969"/>
        <w:rPr>
          <w:rFonts w:hint="eastAsia"/>
          <w:color w:val="auto"/>
          <w:highlight w:val="none"/>
        </w:rPr>
      </w:pPr>
      <w:r>
        <w:rPr>
          <w:rFonts w:hint="eastAsia"/>
          <w:color w:val="auto"/>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669"/>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十二、联合体协议</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p>
    <w:p>
      <w:pPr>
        <w:ind w:firstLine="528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pStyle w:val="932"/>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color w:val="auto"/>
          <w:highlight w:val="none"/>
        </w:rPr>
      </w:pPr>
      <w:r>
        <w:rPr>
          <w:color w:val="auto"/>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669"/>
        <w:rPr>
          <w:color w:val="auto"/>
          <w:highlight w:val="none"/>
        </w:rPr>
      </w:pPr>
      <w:r>
        <w:rPr>
          <w:color w:val="auto"/>
          <w:highlight w:val="none"/>
        </w:rPr>
      </w:r>
      <w:bookmarkEnd w:id="188"/>
      <w:bookmarkEnd w:id="189"/>
      <w:bookmarkEnd w:id="211"/>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授权代表：联系电话：</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项目名称：</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项目编号：分包号：</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日  期：    </w:t>
      </w:r>
      <w:r/>
    </w:p>
    <w:p>
      <w:pPr>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669"/>
        <w:rPr>
          <w:color w:val="auto"/>
          <w:highlight w:val="none"/>
        </w:rPr>
      </w:pPr>
      <w:r>
        <w:rPr>
          <w:color w:val="auto"/>
          <w:highlight w:val="none"/>
        </w:rPr>
      </w:r>
      <w:r/>
    </w:p>
    <w:p>
      <w:pPr>
        <w:pStyle w:val="674"/>
        <w:rPr>
          <w:color w:val="auto"/>
          <w:highlight w:val="none"/>
        </w:rPr>
      </w:pPr>
      <w:r>
        <w:rPr>
          <w:color w:val="auto"/>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3.质疑供应商针对项目的某一分包进行质疑的，《质疑函》中应明确分包号。</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highlight w:val="none"/>
          <w:lang w:val="zh-CN"/>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5"/>
        <w:rFonts w:hint="eastAsia" w:ascii="宋体" w:hAnsi="宋体"/>
      </w:rPr>
      <w:framePr w:wrap="around" w:vAnchor="text" w:hAnchor="margin" w:xAlign="center" w:y="1"/>
    </w:pPr>
    <w:r>
      <w:rPr>
        <w:rFonts w:ascii="宋体" w:hAnsi="宋体"/>
      </w:rPr>
      <w:fldChar w:fldCharType="begin"/>
    </w:r>
    <w:r>
      <w:rPr>
        <w:rStyle w:val="715"/>
        <w:rFonts w:ascii="宋体" w:hAnsi="宋体"/>
      </w:rPr>
      <w:instrText xml:space="preserve">PAGE  </w:instrText>
    </w:r>
    <w:r>
      <w:rPr>
        <w:rFonts w:ascii="宋体" w:hAnsi="宋体"/>
      </w:rPr>
      <w:fldChar w:fldCharType="separate"/>
    </w:r>
    <w:r>
      <w:rPr>
        <w:rStyle w:val="715"/>
        <w:rFonts w:ascii="宋体" w:hAnsi="宋体"/>
      </w:rPr>
      <w:t xml:space="preserve">24</w:t>
    </w:r>
    <w:r>
      <w:rPr>
        <w:rFonts w:ascii="宋体" w:hAnsi="宋体"/>
      </w:rPr>
      <w:fldChar w:fldCharType="end"/>
    </w:r>
    <w:r/>
  </w:p>
  <w:p>
    <w:pPr>
      <w:pStyle w:val="69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5"/>
      </w:rPr>
      <w:framePr w:wrap="around" w:vAnchor="text" w:hAnchor="margin" w:xAlign="center" w:y="1"/>
    </w:pPr>
    <w:r>
      <w:fldChar w:fldCharType="begin"/>
    </w:r>
    <w:r>
      <w:rPr>
        <w:rStyle w:val="715"/>
      </w:rPr>
      <w:instrText xml:space="preserve">PAGE  </w:instrText>
    </w:r>
    <w:r>
      <w:fldChar w:fldCharType="separate"/>
    </w:r>
    <w:r>
      <w:rPr>
        <w:rStyle w:val="715"/>
      </w:rPr>
      <w:t xml:space="preserve">1</w:t>
    </w:r>
    <w: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2"/>
      <w:isLgl w:val="false"/>
      <w:suff w:val="nothing"/>
      <w:lvlText w:val=""/>
      <w:lvlJc w:val="left"/>
      <w:pPr>
        <w:ind w:left="0" w:firstLine="0"/>
      </w:pPr>
      <w:rPr>
        <w:rFonts w:hint="eastAsia"/>
      </w:rPr>
    </w:lvl>
    <w:lvl w:ilvl="6">
      <w:start w:val="1"/>
      <w:numFmt w:val="decimal"/>
      <w:pStyle w:val="663"/>
      <w:isLgl w:val="false"/>
      <w:suff w:val="nothing"/>
      <w:lvlText w:val=""/>
      <w:lvlJc w:val="left"/>
      <w:pPr>
        <w:ind w:left="0" w:firstLine="0"/>
      </w:pPr>
      <w:rPr>
        <w:rFonts w:hint="eastAsia"/>
      </w:rPr>
    </w:lvl>
    <w:lvl w:ilvl="7">
      <w:start w:val="1"/>
      <w:numFmt w:val="decimal"/>
      <w:pStyle w:val="664"/>
      <w:isLgl w:val="false"/>
      <w:suff w:val="nothing"/>
      <w:lvlText w:val=""/>
      <w:lvlJc w:val="left"/>
      <w:pPr>
        <w:ind w:left="0" w:firstLine="0"/>
      </w:pPr>
      <w:rPr>
        <w:rFonts w:hint="eastAsia"/>
      </w:rPr>
    </w:lvl>
    <w:lvl w:ilvl="8">
      <w:start w:val="1"/>
      <w:numFmt w:val="decimal"/>
      <w:pStyle w:val="66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uiPriority w:val="0"/>
    <w:qFormat/>
    <w:pPr>
      <w:jc w:val="both"/>
      <w:widowControl w:val="off"/>
    </w:pPr>
    <w:rPr>
      <w:rFonts w:hint="default" w:ascii="Times New Roman" w:hAnsi="Times New Roman" w:eastAsia="宋体" w:cs="Times New Roman"/>
      <w:sz w:val="21"/>
      <w:szCs w:val="22"/>
    </w:rPr>
  </w:style>
  <w:style w:type="paragraph" w:styleId="657">
    <w:name w:val="Heading 1"/>
    <w:basedOn w:val="656"/>
    <w:next w:val="656"/>
    <w:link w:val="895"/>
    <w:uiPriority w:val="0"/>
    <w:qFormat/>
    <w:pPr>
      <w:jc w:val="center"/>
      <w:keepNext/>
      <w:outlineLvl w:val="0"/>
    </w:pPr>
    <w:rPr>
      <w:rFonts w:ascii="楷体_GB2312" w:eastAsia="楷体_GB2312"/>
      <w:sz w:val="28"/>
      <w:szCs w:val="28"/>
    </w:rPr>
  </w:style>
  <w:style w:type="paragraph" w:styleId="658">
    <w:name w:val="Heading 2"/>
    <w:basedOn w:val="656"/>
    <w:next w:val="675"/>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9">
    <w:name w:val="Heading 3"/>
    <w:basedOn w:val="656"/>
    <w:next w:val="656"/>
    <w:link w:val="898"/>
    <w:uiPriority w:val="0"/>
    <w:qFormat/>
    <w:pPr>
      <w:keepLines/>
      <w:keepNext/>
      <w:spacing w:before="260" w:after="260" w:line="416" w:lineRule="auto"/>
      <w:outlineLvl w:val="2"/>
    </w:pPr>
    <w:rPr>
      <w:b/>
      <w:bCs/>
      <w:sz w:val="32"/>
      <w:szCs w:val="32"/>
    </w:rPr>
  </w:style>
  <w:style w:type="paragraph" w:styleId="660">
    <w:name w:val="Heading 4"/>
    <w:basedOn w:val="656"/>
    <w:next w:val="675"/>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661">
    <w:name w:val="Heading 5"/>
    <w:basedOn w:val="656"/>
    <w:next w:val="675"/>
    <w:link w:val="900"/>
    <w:uiPriority w:val="0"/>
    <w:qFormat/>
    <w:pPr>
      <w:keepNext/>
      <w:outlineLvl w:val="4"/>
    </w:pPr>
    <w:rPr>
      <w:rFonts w:ascii="宋体"/>
      <w:color w:val="000000"/>
      <w:sz w:val="28"/>
      <w:szCs w:val="28"/>
    </w:rPr>
  </w:style>
  <w:style w:type="paragraph" w:styleId="662">
    <w:name w:val="Heading 6"/>
    <w:basedOn w:val="656"/>
    <w:next w:val="656"/>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Heading 7"/>
    <w:basedOn w:val="656"/>
    <w:next w:val="656"/>
    <w:link w:val="902"/>
    <w:uiPriority w:val="0"/>
    <w:qFormat/>
    <w:pPr>
      <w:numPr>
        <w:ilvl w:val="6"/>
        <w:numId w:val="1"/>
      </w:numPr>
      <w:keepLines/>
      <w:keepNext/>
      <w:spacing w:before="240" w:after="64" w:line="320" w:lineRule="auto"/>
      <w:outlineLvl w:val="6"/>
    </w:pPr>
    <w:rPr>
      <w:b/>
      <w:bCs/>
      <w:sz w:val="24"/>
      <w:szCs w:val="24"/>
    </w:rPr>
  </w:style>
  <w:style w:type="paragraph" w:styleId="664">
    <w:name w:val="Heading 8"/>
    <w:basedOn w:val="656"/>
    <w:next w:val="656"/>
    <w:link w:val="9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Heading 9"/>
    <w:basedOn w:val="656"/>
    <w:next w:val="656"/>
    <w:link w:val="904"/>
    <w:uiPriority w:val="0"/>
    <w:qFormat/>
    <w:pPr>
      <w:numPr>
        <w:ilvl w:val="8"/>
        <w:numId w:val="1"/>
      </w:numPr>
      <w:keepLines/>
      <w:keepNext/>
      <w:spacing w:before="240" w:after="64" w:line="320" w:lineRule="auto"/>
      <w:outlineLvl w:val="8"/>
    </w:pPr>
    <w:rPr>
      <w:rFonts w:ascii="Arial" w:hAnsi="Arial" w:eastAsia="黑体"/>
      <w:szCs w:val="21"/>
    </w:rPr>
  </w:style>
  <w:style w:type="character" w:styleId="666" w:default="1">
    <w:name w:val="Default Paragraph Font"/>
    <w:uiPriority w:val="1"/>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customStyle="1">
    <w:name w:val="正文首行缩进 21"/>
    <w:basedOn w:val="669"/>
    <w:next w:val="656"/>
    <w:link w:val="911"/>
    <w:uiPriority w:val="0"/>
    <w:qFormat/>
    <w:pPr>
      <w:ind w:left="0" w:firstLine="420"/>
      <w:spacing w:after="0" w:line="360" w:lineRule="auto"/>
    </w:pPr>
    <w:rPr>
      <w:rFonts w:ascii="宋体" w:hAnsi="宋体"/>
      <w:szCs w:val="20"/>
    </w:rPr>
  </w:style>
  <w:style w:type="paragraph" w:styleId="669" w:customStyle="1">
    <w:name w:val="正文文本缩进11"/>
    <w:basedOn w:val="670"/>
    <w:next w:val="674"/>
    <w:uiPriority w:val="0"/>
    <w:unhideWhenUsed/>
    <w:qFormat/>
    <w:pPr>
      <w:ind w:left="420"/>
      <w:spacing w:after="120"/>
    </w:pPr>
  </w:style>
  <w:style w:type="paragraph" w:styleId="670" w:customStyle="1">
    <w:name w:val="正文112"/>
    <w:next w:val="671"/>
    <w:uiPriority w:val="0"/>
    <w:qFormat/>
    <w:pPr>
      <w:jc w:val="both"/>
      <w:widowControl w:val="off"/>
    </w:pPr>
    <w:rPr>
      <w:rFonts w:hint="default" w:ascii="Times New Roman" w:hAnsi="Times New Roman" w:eastAsia="宋体" w:cs="Times New Roman"/>
      <w:sz w:val="21"/>
      <w:szCs w:val="24"/>
    </w:rPr>
  </w:style>
  <w:style w:type="paragraph" w:styleId="671" w:customStyle="1">
    <w:name w:val="正文首行缩进1"/>
    <w:basedOn w:val="672"/>
    <w:uiPriority w:val="0"/>
    <w:qFormat/>
    <w:pPr>
      <w:ind w:firstLine="200"/>
      <w:spacing w:line="360" w:lineRule="auto"/>
    </w:pPr>
    <w:rPr>
      <w:rFonts w:ascii="仿宋_GB2312" w:hAnsi="Times New Roman" w:eastAsia="仿宋_GB2312"/>
      <w:sz w:val="30"/>
      <w:szCs w:val="30"/>
    </w:rPr>
  </w:style>
  <w:style w:type="paragraph" w:styleId="672" w:customStyle="1">
    <w:name w:val="正文文本1"/>
    <w:basedOn w:val="673"/>
    <w:next w:val="656"/>
    <w:uiPriority w:val="0"/>
    <w:semiHidden/>
    <w:qFormat/>
    <w:rPr>
      <w:rFonts w:ascii="Arial" w:hAnsi="Arial" w:eastAsia="Arial" w:cs="Arial"/>
      <w:szCs w:val="21"/>
      <w:lang w:eastAsia="en-US"/>
    </w:rPr>
  </w:style>
  <w:style w:type="paragraph" w:styleId="673" w:customStyle="1">
    <w:name w:val="正文1"/>
    <w:basedOn w:val="656"/>
    <w:next w:val="672"/>
    <w:uiPriority w:val="0"/>
    <w:qFormat/>
    <w:pPr>
      <w:jc w:val="left"/>
      <w:spacing w:line="360" w:lineRule="atLeast"/>
    </w:pPr>
    <w:rPr>
      <w:rFonts w:ascii="宋体" w:hAnsiTheme="minorHAnsi" w:eastAsiaTheme="minorEastAsia" w:cstheme="minorBidi"/>
      <w:sz w:val="24"/>
      <w:szCs w:val="20"/>
    </w:rPr>
  </w:style>
  <w:style w:type="paragraph" w:styleId="674" w:customStyle="1">
    <w:name w:val="寄信人地址1"/>
    <w:basedOn w:val="656"/>
    <w:uiPriority w:val="0"/>
    <w:qFormat/>
    <w:rPr>
      <w:rFonts w:ascii="Arial" w:hAnsi="Arial" w:cs="宋体"/>
      <w:szCs w:val="24"/>
    </w:rPr>
  </w:style>
  <w:style w:type="paragraph" w:styleId="675">
    <w:name w:val="Normal Indent"/>
    <w:basedOn w:val="656"/>
    <w:link w:val="897"/>
    <w:uiPriority w:val="0"/>
    <w:qFormat/>
    <w:pPr>
      <w:ind w:firstLine="420"/>
    </w:pPr>
    <w:rPr>
      <w:szCs w:val="21"/>
    </w:rPr>
  </w:style>
  <w:style w:type="paragraph" w:styleId="676">
    <w:name w:val="List 3"/>
    <w:basedOn w:val="656"/>
    <w:uiPriority w:val="0"/>
    <w:qFormat/>
    <w:pPr>
      <w:ind w:left="100" w:hanging="200"/>
    </w:pPr>
    <w:rPr>
      <w:szCs w:val="21"/>
    </w:rPr>
  </w:style>
  <w:style w:type="paragraph" w:styleId="677">
    <w:name w:val="toc 7"/>
    <w:basedOn w:val="656"/>
    <w:next w:val="656"/>
    <w:uiPriority w:val="39"/>
    <w:unhideWhenUsed/>
    <w:qFormat/>
    <w:pPr>
      <w:ind w:left="1701"/>
      <w:spacing w:after="57"/>
    </w:pPr>
  </w:style>
  <w:style w:type="paragraph" w:styleId="678">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9">
    <w:name w:val="Document Map"/>
    <w:basedOn w:val="656"/>
    <w:link w:val="906"/>
    <w:uiPriority w:val="0"/>
    <w:semiHidden/>
    <w:qFormat/>
    <w:pPr>
      <w:shd w:val="clear" w:color="auto" w:fill="000080"/>
    </w:pPr>
    <w:rPr>
      <w:szCs w:val="21"/>
    </w:rPr>
  </w:style>
  <w:style w:type="paragraph" w:styleId="680">
    <w:name w:val="annotation text"/>
    <w:basedOn w:val="656"/>
    <w:link w:val="907"/>
    <w:uiPriority w:val="0"/>
    <w:unhideWhenUsed/>
    <w:qFormat/>
    <w:pPr>
      <w:jc w:val="left"/>
    </w:pPr>
  </w:style>
  <w:style w:type="paragraph" w:styleId="681">
    <w:name w:val="Body Text 3"/>
    <w:basedOn w:val="656"/>
    <w:link w:val="908"/>
    <w:uiPriority w:val="0"/>
    <w:qFormat/>
    <w:rPr>
      <w:rFonts w:ascii="仿宋_GB2312" w:hAnsi="Arial" w:eastAsia="仿宋_GB2312"/>
      <w:sz w:val="32"/>
      <w:szCs w:val="32"/>
    </w:rPr>
  </w:style>
  <w:style w:type="paragraph" w:styleId="682">
    <w:name w:val="Body Text"/>
    <w:basedOn w:val="656"/>
    <w:link w:val="909"/>
    <w:uiPriority w:val="0"/>
    <w:qFormat/>
    <w:rPr>
      <w:rFonts w:ascii="楷体_GB2312" w:hAnsi="Arial" w:eastAsia="楷体_GB2312"/>
      <w:sz w:val="28"/>
      <w:szCs w:val="28"/>
    </w:rPr>
  </w:style>
  <w:style w:type="paragraph" w:styleId="683">
    <w:name w:val="Body Text Indent"/>
    <w:basedOn w:val="656"/>
    <w:next w:val="684"/>
    <w:link w:val="910"/>
    <w:uiPriority w:val="0"/>
    <w:unhideWhenUsed/>
    <w:qFormat/>
    <w:pPr>
      <w:ind w:left="420"/>
      <w:spacing w:after="120"/>
    </w:pPr>
  </w:style>
  <w:style w:type="paragraph" w:styleId="684">
    <w:name w:val="envelope return"/>
    <w:basedOn w:val="656"/>
    <w:uiPriority w:val="0"/>
    <w:qFormat/>
    <w:rPr>
      <w:rFonts w:ascii="Arial" w:hAnsi="Arial" w:cs="宋体"/>
    </w:rPr>
  </w:style>
  <w:style w:type="paragraph" w:styleId="685">
    <w:name w:val="List 2"/>
    <w:basedOn w:val="656"/>
    <w:uiPriority w:val="0"/>
    <w:qFormat/>
    <w:pPr>
      <w:ind w:left="100" w:hanging="200"/>
    </w:pPr>
    <w:rPr>
      <w:szCs w:val="21"/>
    </w:rPr>
  </w:style>
  <w:style w:type="paragraph" w:styleId="686">
    <w:name w:val="toc 5"/>
    <w:basedOn w:val="656"/>
    <w:next w:val="656"/>
    <w:uiPriority w:val="39"/>
    <w:unhideWhenUsed/>
    <w:qFormat/>
    <w:pPr>
      <w:ind w:left="1134"/>
      <w:spacing w:after="57"/>
    </w:pPr>
  </w:style>
  <w:style w:type="paragraph" w:styleId="687">
    <w:name w:val="toc 3"/>
    <w:basedOn w:val="656"/>
    <w:next w:val="656"/>
    <w:uiPriority w:val="39"/>
    <w:unhideWhenUsed/>
    <w:qFormat/>
    <w:pPr>
      <w:ind w:left="567"/>
      <w:spacing w:after="57"/>
    </w:pPr>
  </w:style>
  <w:style w:type="paragraph" w:styleId="688">
    <w:name w:val="Plain Text"/>
    <w:basedOn w:val="656"/>
    <w:link w:val="914"/>
    <w:uiPriority w:val="0"/>
    <w:qFormat/>
    <w:rPr>
      <w:rFonts w:ascii="宋体" w:hAnsi="Courier New" w:cs="Courier New"/>
      <w:szCs w:val="21"/>
    </w:rPr>
  </w:style>
  <w:style w:type="paragraph" w:styleId="689">
    <w:name w:val="toc 8"/>
    <w:basedOn w:val="656"/>
    <w:next w:val="656"/>
    <w:uiPriority w:val="39"/>
    <w:unhideWhenUsed/>
    <w:qFormat/>
    <w:pPr>
      <w:ind w:left="1984"/>
      <w:spacing w:after="57"/>
    </w:pPr>
  </w:style>
  <w:style w:type="paragraph" w:styleId="690">
    <w:name w:val="Date"/>
    <w:basedOn w:val="656"/>
    <w:next w:val="656"/>
    <w:link w:val="916"/>
    <w:uiPriority w:val="0"/>
    <w:qFormat/>
    <w:rPr>
      <w:sz w:val="24"/>
      <w:szCs w:val="24"/>
    </w:rPr>
  </w:style>
  <w:style w:type="paragraph" w:styleId="691">
    <w:name w:val="Body Text Indent 2"/>
    <w:basedOn w:val="656"/>
    <w:link w:val="917"/>
    <w:uiPriority w:val="0"/>
    <w:qFormat/>
    <w:pPr>
      <w:ind w:left="630" w:firstLine="645"/>
    </w:pPr>
    <w:rPr>
      <w:rFonts w:ascii="Arial" w:hAnsi="Arial" w:eastAsia="仿宋_GB2312" w:cs="Arial"/>
      <w:sz w:val="32"/>
      <w:szCs w:val="32"/>
    </w:rPr>
  </w:style>
  <w:style w:type="paragraph" w:styleId="692">
    <w:name w:val="endnote text"/>
    <w:basedOn w:val="656"/>
    <w:link w:val="893"/>
    <w:uiPriority w:val="99"/>
    <w:semiHidden/>
    <w:unhideWhenUsed/>
    <w:qFormat/>
    <w:rPr>
      <w:sz w:val="20"/>
    </w:rPr>
  </w:style>
  <w:style w:type="paragraph" w:styleId="693">
    <w:name w:val="Balloon Text"/>
    <w:basedOn w:val="656"/>
    <w:link w:val="918"/>
    <w:uiPriority w:val="0"/>
    <w:semiHidden/>
    <w:qFormat/>
    <w:rPr>
      <w:sz w:val="18"/>
      <w:szCs w:val="18"/>
    </w:rPr>
  </w:style>
  <w:style w:type="paragraph" w:styleId="694">
    <w:name w:val="Footer"/>
    <w:basedOn w:val="656"/>
    <w:link w:val="919"/>
    <w:uiPriority w:val="0"/>
    <w:qFormat/>
    <w:pPr>
      <w:jc w:val="left"/>
      <w:tabs>
        <w:tab w:val="center" w:pos="4153" w:leader="none"/>
        <w:tab w:val="right" w:pos="8306" w:leader="none"/>
      </w:tabs>
    </w:pPr>
    <w:rPr>
      <w:sz w:val="18"/>
      <w:szCs w:val="18"/>
    </w:rPr>
  </w:style>
  <w:style w:type="paragraph" w:styleId="695">
    <w:name w:val="Header"/>
    <w:basedOn w:val="656"/>
    <w:link w:val="920"/>
    <w:uiPriority w:val="0"/>
    <w:qFormat/>
    <w:pPr>
      <w:jc w:val="center"/>
      <w:tabs>
        <w:tab w:val="center" w:pos="4153" w:leader="none"/>
        <w:tab w:val="right" w:pos="8306" w:leader="none"/>
      </w:tabs>
      <w:pBdr>
        <w:bottom w:val="single" w:color="000000" w:sz="6" w:space="1"/>
      </w:pBdr>
    </w:pPr>
    <w:rPr>
      <w:sz w:val="18"/>
      <w:szCs w:val="18"/>
    </w:rPr>
  </w:style>
  <w:style w:type="paragraph" w:styleId="696">
    <w:name w:val="toc 1"/>
    <w:basedOn w:val="656"/>
    <w:next w:val="656"/>
    <w:uiPriority w:val="39"/>
    <w:unhideWhenUsed/>
    <w:qFormat/>
    <w:pPr>
      <w:spacing w:after="57"/>
    </w:pPr>
  </w:style>
  <w:style w:type="paragraph" w:styleId="697">
    <w:name w:val="toc 4"/>
    <w:basedOn w:val="656"/>
    <w:next w:val="656"/>
    <w:uiPriority w:val="39"/>
    <w:unhideWhenUsed/>
    <w:qFormat/>
    <w:pPr>
      <w:ind w:left="850"/>
      <w:spacing w:after="57"/>
    </w:pPr>
  </w:style>
  <w:style w:type="paragraph" w:styleId="698">
    <w:name w:val="Subtitle"/>
    <w:basedOn w:val="656"/>
    <w:next w:val="656"/>
    <w:link w:val="759"/>
    <w:uiPriority w:val="11"/>
    <w:qFormat/>
    <w:pPr>
      <w:spacing w:before="200" w:after="200"/>
    </w:pPr>
    <w:rPr>
      <w:sz w:val="24"/>
      <w:szCs w:val="24"/>
    </w:rPr>
  </w:style>
  <w:style w:type="paragraph" w:styleId="699">
    <w:name w:val="List"/>
    <w:basedOn w:val="656"/>
    <w:uiPriority w:val="0"/>
    <w:qFormat/>
    <w:pPr>
      <w:ind w:left="200" w:hanging="200"/>
    </w:pPr>
    <w:rPr>
      <w:szCs w:val="21"/>
    </w:rPr>
  </w:style>
  <w:style w:type="paragraph" w:styleId="700">
    <w:name w:val="footnote text"/>
    <w:basedOn w:val="656"/>
    <w:link w:val="892"/>
    <w:uiPriority w:val="99"/>
    <w:semiHidden/>
    <w:unhideWhenUsed/>
    <w:qFormat/>
    <w:pPr>
      <w:spacing w:after="40"/>
    </w:pPr>
    <w:rPr>
      <w:sz w:val="18"/>
    </w:rPr>
  </w:style>
  <w:style w:type="paragraph" w:styleId="701">
    <w:name w:val="toc 6"/>
    <w:basedOn w:val="656"/>
    <w:next w:val="656"/>
    <w:uiPriority w:val="39"/>
    <w:unhideWhenUsed/>
    <w:qFormat/>
    <w:pPr>
      <w:ind w:left="1417"/>
      <w:spacing w:after="57"/>
    </w:pPr>
  </w:style>
  <w:style w:type="paragraph" w:styleId="702">
    <w:name w:val="Body Text Indent 3"/>
    <w:basedOn w:val="656"/>
    <w:link w:val="924"/>
    <w:uiPriority w:val="0"/>
    <w:qFormat/>
    <w:pPr>
      <w:ind w:left="645" w:firstLine="645"/>
    </w:pPr>
    <w:rPr>
      <w:rFonts w:ascii="Arial" w:hAnsi="Arial" w:eastAsia="仿宋_GB2312" w:cs="Arial"/>
      <w:color w:val="ffff00"/>
      <w:sz w:val="32"/>
      <w:szCs w:val="32"/>
    </w:rPr>
  </w:style>
  <w:style w:type="paragraph" w:styleId="703">
    <w:name w:val="table of figures"/>
    <w:basedOn w:val="656"/>
    <w:next w:val="656"/>
    <w:uiPriority w:val="0"/>
    <w:semiHidden/>
    <w:qFormat/>
    <w:pPr>
      <w:ind w:left="840" w:hanging="420"/>
    </w:pPr>
    <w:rPr>
      <w:szCs w:val="21"/>
    </w:rPr>
  </w:style>
  <w:style w:type="paragraph" w:styleId="704">
    <w:name w:val="toc 2"/>
    <w:basedOn w:val="656"/>
    <w:next w:val="656"/>
    <w:uiPriority w:val="39"/>
    <w:unhideWhenUsed/>
    <w:qFormat/>
    <w:pPr>
      <w:ind w:left="283"/>
      <w:spacing w:after="57"/>
    </w:pPr>
  </w:style>
  <w:style w:type="paragraph" w:styleId="705">
    <w:name w:val="toc 9"/>
    <w:basedOn w:val="656"/>
    <w:next w:val="656"/>
    <w:uiPriority w:val="39"/>
    <w:unhideWhenUsed/>
    <w:qFormat/>
    <w:pPr>
      <w:ind w:left="2268"/>
      <w:spacing w:after="57"/>
    </w:pPr>
  </w:style>
  <w:style w:type="paragraph" w:styleId="706">
    <w:name w:val="Body Text 2"/>
    <w:basedOn w:val="656"/>
    <w:link w:val="927"/>
    <w:uiPriority w:val="0"/>
    <w:qFormat/>
    <w:pPr>
      <w:jc w:val="center"/>
      <w:widowControl/>
    </w:pPr>
    <w:rPr>
      <w:rFonts w:ascii="楷体_GB2312" w:eastAsia="楷体_GB2312"/>
      <w:sz w:val="28"/>
      <w:szCs w:val="28"/>
    </w:rPr>
  </w:style>
  <w:style w:type="paragraph" w:styleId="707">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708">
    <w:name w:val="index 1"/>
    <w:basedOn w:val="656"/>
    <w:next w:val="656"/>
    <w:uiPriority w:val="0"/>
    <w:semiHidden/>
    <w:qFormat/>
    <w:pPr>
      <w:spacing w:line="240" w:lineRule="atLeast"/>
    </w:pPr>
    <w:rPr>
      <w:b/>
      <w:bCs/>
      <w:szCs w:val="21"/>
    </w:rPr>
  </w:style>
  <w:style w:type="paragraph" w:styleId="709">
    <w:name w:val="Title"/>
    <w:basedOn w:val="656"/>
    <w:next w:val="656"/>
    <w:link w:val="758"/>
    <w:uiPriority w:val="10"/>
    <w:qFormat/>
    <w:pPr>
      <w:contextualSpacing/>
      <w:spacing w:before="300" w:after="200"/>
    </w:pPr>
    <w:rPr>
      <w:sz w:val="48"/>
      <w:szCs w:val="48"/>
    </w:rPr>
  </w:style>
  <w:style w:type="paragraph" w:styleId="710">
    <w:name w:val="annotation subject"/>
    <w:basedOn w:val="680"/>
    <w:next w:val="680"/>
    <w:link w:val="928"/>
    <w:uiPriority w:val="0"/>
    <w:semiHidden/>
    <w:qFormat/>
    <w:rPr>
      <w:b/>
      <w:bCs/>
      <w:szCs w:val="21"/>
    </w:rPr>
  </w:style>
  <w:style w:type="paragraph" w:styleId="711">
    <w:name w:val="Body Text First Indent 2"/>
    <w:basedOn w:val="683"/>
    <w:next w:val="656"/>
    <w:uiPriority w:val="0"/>
    <w:qFormat/>
    <w:pPr>
      <w:ind w:left="0" w:firstLine="420"/>
      <w:spacing w:after="0" w:line="360" w:lineRule="auto"/>
    </w:pPr>
    <w:rPr>
      <w:rFonts w:ascii="宋体" w:hAnsi="宋体"/>
      <w:sz w:val="20"/>
      <w:szCs w:val="20"/>
      <w:lang w:eastAsia="en-US"/>
    </w:rPr>
  </w:style>
  <w:style w:type="table" w:styleId="712">
    <w:name w:val="Table Grid"/>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3">
    <w:name w:val="Strong"/>
    <w:uiPriority w:val="0"/>
    <w:qFormat/>
    <w:rPr>
      <w:b/>
      <w:bCs/>
    </w:rPr>
  </w:style>
  <w:style w:type="character" w:styleId="714">
    <w:name w:val="endnote reference"/>
    <w:uiPriority w:val="99"/>
    <w:semiHidden/>
    <w:unhideWhenUsed/>
    <w:qFormat/>
    <w:rPr>
      <w:vertAlign w:val="superscript"/>
    </w:rPr>
  </w:style>
  <w:style w:type="character" w:styleId="715">
    <w:name w:val="page number"/>
    <w:uiPriority w:val="0"/>
    <w:qFormat/>
  </w:style>
  <w:style w:type="character" w:styleId="716">
    <w:name w:val="Hyperlink"/>
    <w:uiPriority w:val="0"/>
    <w:qFormat/>
    <w:rPr>
      <w:color w:val="0000ff"/>
      <w:u w:val="single"/>
    </w:rPr>
  </w:style>
  <w:style w:type="character" w:styleId="717">
    <w:name w:val="annotation reference"/>
    <w:uiPriority w:val="0"/>
    <w:semiHidden/>
    <w:qFormat/>
    <w:rPr>
      <w:sz w:val="21"/>
      <w:szCs w:val="21"/>
    </w:rPr>
  </w:style>
  <w:style w:type="character" w:styleId="718">
    <w:name w:val="footnote reference"/>
    <w:uiPriority w:val="99"/>
    <w:unhideWhenUsed/>
    <w:qFormat/>
    <w:rPr>
      <w:vertAlign w:val="superscript"/>
    </w:rPr>
  </w:style>
  <w:style w:type="table" w:styleId="719"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0"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1"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3"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4"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6"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7" w:customStyle="1">
    <w:name w:val="List Table 7 Colorful"/>
    <w:basedOn w:val="6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8" w:customStyle="1">
    <w:name w:val="TOC Heading"/>
    <w:uiPriority w:val="39"/>
    <w:unhideWhenUsed/>
    <w:qFormat/>
    <w:rPr>
      <w:rFonts w:hint="default" w:ascii="Times New Roman" w:hAnsi="Times New Roman" w:eastAsia="宋体" w:cs="Times New Roman"/>
    </w:rPr>
  </w:style>
  <w:style w:type="paragraph" w:styleId="739" w:customStyle="1">
    <w:name w:val="正文文本缩进1"/>
    <w:basedOn w:val="656"/>
    <w:next w:val="668"/>
    <w:uiPriority w:val="0"/>
    <w:unhideWhenUsed/>
    <w:qFormat/>
    <w:pPr>
      <w:ind w:left="420"/>
      <w:spacing w:after="120"/>
    </w:pPr>
  </w:style>
  <w:style w:type="character" w:styleId="740" w:customStyle="1">
    <w:name w:val="Title Char"/>
    <w:basedOn w:val="666"/>
    <w:uiPriority w:val="10"/>
    <w:qFormat/>
    <w:rPr>
      <w:sz w:val="48"/>
      <w:szCs w:val="48"/>
    </w:rPr>
  </w:style>
  <w:style w:type="character" w:styleId="741" w:customStyle="1">
    <w:name w:val="Subtitle Char"/>
    <w:basedOn w:val="666"/>
    <w:uiPriority w:val="11"/>
    <w:qFormat/>
    <w:rPr>
      <w:sz w:val="24"/>
      <w:szCs w:val="24"/>
    </w:rPr>
  </w:style>
  <w:style w:type="character" w:styleId="742" w:customStyle="1">
    <w:name w:val="Quote Char"/>
    <w:uiPriority w:val="29"/>
    <w:qFormat/>
    <w:rPr>
      <w:i/>
    </w:rPr>
  </w:style>
  <w:style w:type="character" w:styleId="743" w:customStyle="1">
    <w:name w:val="Intense Quote Char"/>
    <w:uiPriority w:val="30"/>
    <w:qFormat/>
    <w:rPr>
      <w:i/>
    </w:rPr>
  </w:style>
  <w:style w:type="character" w:styleId="744" w:customStyle="1">
    <w:name w:val="Footnote Text Char"/>
    <w:uiPriority w:val="99"/>
    <w:qFormat/>
    <w:rPr>
      <w:sz w:val="18"/>
    </w:rPr>
  </w:style>
  <w:style w:type="character" w:styleId="745" w:customStyle="1">
    <w:name w:val="Endnote Text Char"/>
    <w:uiPriority w:val="99"/>
    <w:qFormat/>
    <w:rPr>
      <w:sz w:val="20"/>
    </w:rPr>
  </w:style>
  <w:style w:type="paragraph" w:styleId="746" w:customStyle="1">
    <w:name w:val="TOC 标题1"/>
    <w:uiPriority w:val="39"/>
    <w:unhideWhenUsed/>
    <w:qFormat/>
    <w:rPr>
      <w:rFonts w:hint="default" w:ascii="Times New Roman" w:hAnsi="Times New Roman" w:eastAsia="宋体" w:cs="Times New Roman"/>
    </w:rPr>
  </w:style>
  <w:style w:type="character" w:styleId="747" w:customStyle="1">
    <w:name w:val="Heading 1 Char"/>
    <w:uiPriority w:val="9"/>
    <w:qFormat/>
    <w:rPr>
      <w:rFonts w:ascii="Arial" w:hAnsi="Arial" w:eastAsia="Arial" w:cs="Arial"/>
      <w:sz w:val="40"/>
      <w:szCs w:val="40"/>
    </w:rPr>
  </w:style>
  <w:style w:type="character" w:styleId="748" w:customStyle="1">
    <w:name w:val="Heading 2 Char"/>
    <w:uiPriority w:val="9"/>
    <w:qFormat/>
    <w:rPr>
      <w:rFonts w:ascii="Arial" w:hAnsi="Arial" w:eastAsia="Arial" w:cs="Arial"/>
      <w:sz w:val="34"/>
    </w:rPr>
  </w:style>
  <w:style w:type="character" w:styleId="749" w:customStyle="1">
    <w:name w:val="Heading 3 Char"/>
    <w:uiPriority w:val="9"/>
    <w:qFormat/>
    <w:rPr>
      <w:rFonts w:ascii="Arial" w:hAnsi="Arial" w:eastAsia="Arial" w:cs="Arial"/>
      <w:sz w:val="30"/>
      <w:szCs w:val="30"/>
    </w:rPr>
  </w:style>
  <w:style w:type="character" w:styleId="750" w:customStyle="1">
    <w:name w:val="Heading 4 Char"/>
    <w:uiPriority w:val="9"/>
    <w:qFormat/>
    <w:rPr>
      <w:rFonts w:ascii="Arial" w:hAnsi="Arial" w:eastAsia="Arial" w:cs="Arial"/>
      <w:b/>
      <w:bCs/>
      <w:sz w:val="26"/>
      <w:szCs w:val="26"/>
    </w:rPr>
  </w:style>
  <w:style w:type="character" w:styleId="751" w:customStyle="1">
    <w:name w:val="Heading 5 Char"/>
    <w:uiPriority w:val="9"/>
    <w:qFormat/>
    <w:rPr>
      <w:rFonts w:ascii="Arial" w:hAnsi="Arial" w:eastAsia="Arial" w:cs="Arial"/>
      <w:b/>
      <w:bCs/>
      <w:sz w:val="24"/>
      <w:szCs w:val="24"/>
    </w:rPr>
  </w:style>
  <w:style w:type="character" w:styleId="752" w:customStyle="1">
    <w:name w:val="Heading 6 Char"/>
    <w:uiPriority w:val="9"/>
    <w:qFormat/>
    <w:rPr>
      <w:rFonts w:ascii="Arial" w:hAnsi="Arial" w:eastAsia="Arial" w:cs="Arial"/>
      <w:b/>
      <w:bCs/>
      <w:sz w:val="22"/>
      <w:szCs w:val="22"/>
    </w:rPr>
  </w:style>
  <w:style w:type="character" w:styleId="753" w:customStyle="1">
    <w:name w:val="Heading 7 Char"/>
    <w:uiPriority w:val="9"/>
    <w:qFormat/>
    <w:rPr>
      <w:rFonts w:ascii="Arial" w:hAnsi="Arial" w:eastAsia="Arial" w:cs="Arial"/>
      <w:b/>
      <w:bCs/>
      <w:i/>
      <w:iCs/>
      <w:sz w:val="22"/>
      <w:szCs w:val="22"/>
    </w:rPr>
  </w:style>
  <w:style w:type="character" w:styleId="754" w:customStyle="1">
    <w:name w:val="Heading 8 Char"/>
    <w:uiPriority w:val="9"/>
    <w:qFormat/>
    <w:rPr>
      <w:rFonts w:ascii="Arial" w:hAnsi="Arial" w:eastAsia="Arial" w:cs="Arial"/>
      <w:i/>
      <w:iCs/>
      <w:sz w:val="22"/>
      <w:szCs w:val="22"/>
    </w:rPr>
  </w:style>
  <w:style w:type="character" w:styleId="755" w:customStyle="1">
    <w:name w:val="Heading 9 Char"/>
    <w:uiPriority w:val="9"/>
    <w:qFormat/>
    <w:rPr>
      <w:rFonts w:ascii="Arial" w:hAnsi="Arial" w:eastAsia="Arial" w:cs="Arial"/>
      <w:i/>
      <w:iCs/>
      <w:sz w:val="21"/>
      <w:szCs w:val="21"/>
    </w:rPr>
  </w:style>
  <w:style w:type="paragraph" w:styleId="756">
    <w:name w:val="List Paragraph"/>
    <w:basedOn w:val="656"/>
    <w:uiPriority w:val="34"/>
    <w:qFormat/>
    <w:pPr>
      <w:contextualSpacing/>
      <w:ind w:left="720"/>
    </w:pPr>
  </w:style>
  <w:style w:type="paragraph" w:styleId="757">
    <w:name w:val="No Spacing"/>
    <w:uiPriority w:val="99"/>
    <w:qFormat/>
    <w:pPr>
      <w:jc w:val="both"/>
      <w:widowControl w:val="off"/>
    </w:pPr>
    <w:rPr>
      <w:rFonts w:hint="default" w:ascii="Times New Roman" w:hAnsi="Times New Roman" w:eastAsia="宋体" w:cs="Times New Roman"/>
      <w:sz w:val="21"/>
      <w:szCs w:val="21"/>
    </w:rPr>
  </w:style>
  <w:style w:type="character" w:styleId="758" w:customStyle="1">
    <w:name w:val="标题 字符"/>
    <w:link w:val="709"/>
    <w:uiPriority w:val="10"/>
    <w:qFormat/>
    <w:rPr>
      <w:sz w:val="48"/>
      <w:szCs w:val="48"/>
    </w:rPr>
  </w:style>
  <w:style w:type="character" w:styleId="759" w:customStyle="1">
    <w:name w:val="副标题 字符"/>
    <w:link w:val="698"/>
    <w:uiPriority w:val="11"/>
    <w:qFormat/>
    <w:rPr>
      <w:sz w:val="24"/>
      <w:szCs w:val="24"/>
    </w:rPr>
  </w:style>
  <w:style w:type="paragraph" w:styleId="760">
    <w:name w:val="Quote"/>
    <w:basedOn w:val="656"/>
    <w:next w:val="656"/>
    <w:link w:val="761"/>
    <w:uiPriority w:val="29"/>
    <w:qFormat/>
    <w:pPr>
      <w:ind w:left="720" w:right="720"/>
    </w:pPr>
    <w:rPr>
      <w:i/>
    </w:rPr>
  </w:style>
  <w:style w:type="character" w:styleId="761" w:customStyle="1">
    <w:name w:val="引用 字符"/>
    <w:link w:val="760"/>
    <w:uiPriority w:val="29"/>
    <w:qFormat/>
    <w:rPr>
      <w:i/>
    </w:rPr>
  </w:style>
  <w:style w:type="paragraph" w:styleId="762">
    <w:name w:val="Intense Quote"/>
    <w:basedOn w:val="656"/>
    <w:next w:val="656"/>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字符"/>
    <w:link w:val="762"/>
    <w:uiPriority w:val="30"/>
    <w:qFormat/>
    <w:rPr>
      <w:i/>
    </w:rPr>
  </w:style>
  <w:style w:type="character" w:styleId="764" w:customStyle="1">
    <w:name w:val="Header Char"/>
    <w:uiPriority w:val="99"/>
    <w:qFormat/>
  </w:style>
  <w:style w:type="character" w:styleId="765" w:customStyle="1">
    <w:name w:val="Footer Char"/>
    <w:uiPriority w:val="99"/>
    <w:qFormat/>
  </w:style>
  <w:style w:type="character" w:styleId="766" w:customStyle="1">
    <w:name w:val="Caption Char"/>
    <w:uiPriority w:val="99"/>
    <w:qFormat/>
  </w:style>
  <w:style w:type="table" w:styleId="7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字符"/>
    <w:link w:val="700"/>
    <w:uiPriority w:val="99"/>
    <w:qFormat/>
    <w:rPr>
      <w:sz w:val="18"/>
    </w:rPr>
  </w:style>
  <w:style w:type="character" w:styleId="893" w:customStyle="1">
    <w:name w:val="尾注文本 字符"/>
    <w:link w:val="692"/>
    <w:uiPriority w:val="99"/>
    <w:qFormat/>
    <w:rPr>
      <w:sz w:val="20"/>
    </w:rPr>
  </w:style>
  <w:style w:type="paragraph" w:styleId="894" w:customStyle="1">
    <w:name w:val="TOC 标题11"/>
    <w:uiPriority w:val="39"/>
    <w:unhideWhenUsed/>
    <w:qFormat/>
    <w:rPr>
      <w:rFonts w:hint="default" w:ascii="Times New Roman" w:hAnsi="Times New Roman" w:eastAsia="宋体" w:cs="Times New Roman"/>
    </w:rPr>
  </w:style>
  <w:style w:type="character" w:styleId="895" w:customStyle="1">
    <w:name w:val="标题 1 字符"/>
    <w:link w:val="657"/>
    <w:uiPriority w:val="0"/>
    <w:qFormat/>
    <w:rPr>
      <w:rFonts w:ascii="楷体_GB2312" w:hAnsi="Times New Roman" w:eastAsia="楷体_GB2312" w:cs="Times New Roman"/>
      <w:sz w:val="28"/>
      <w:szCs w:val="28"/>
    </w:rPr>
  </w:style>
  <w:style w:type="character" w:styleId="896" w:customStyle="1">
    <w:name w:val="标题 2 字符"/>
    <w:link w:val="658"/>
    <w:uiPriority w:val="0"/>
    <w:qFormat/>
    <w:rPr>
      <w:rFonts w:ascii="Arial" w:hAnsi="Arial" w:eastAsia="幼圆" w:cs="Arial"/>
      <w:b/>
      <w:bCs/>
      <w:sz w:val="44"/>
      <w:szCs w:val="44"/>
    </w:rPr>
  </w:style>
  <w:style w:type="character" w:styleId="897" w:customStyle="1">
    <w:name w:val="正文缩进 字符"/>
    <w:link w:val="675"/>
    <w:uiPriority w:val="0"/>
    <w:qFormat/>
    <w:rPr>
      <w:szCs w:val="21"/>
    </w:rPr>
  </w:style>
  <w:style w:type="character" w:styleId="898" w:customStyle="1">
    <w:name w:val="标题 3 字符"/>
    <w:link w:val="659"/>
    <w:uiPriority w:val="0"/>
    <w:qFormat/>
    <w:rPr>
      <w:rFonts w:ascii="Times New Roman" w:hAnsi="Times New Roman" w:eastAsia="宋体" w:cs="Times New Roman"/>
      <w:b/>
      <w:bCs/>
      <w:sz w:val="32"/>
      <w:szCs w:val="32"/>
    </w:rPr>
  </w:style>
  <w:style w:type="character" w:styleId="899" w:customStyle="1">
    <w:name w:val="标题 4 字符"/>
    <w:link w:val="660"/>
    <w:uiPriority w:val="0"/>
    <w:qFormat/>
    <w:rPr>
      <w:rFonts w:ascii="Arial" w:hAnsi="Arial" w:eastAsia="黑体" w:cs="Arial"/>
      <w:b/>
      <w:bCs/>
      <w:sz w:val="28"/>
      <w:szCs w:val="28"/>
    </w:rPr>
  </w:style>
  <w:style w:type="character" w:styleId="900" w:customStyle="1">
    <w:name w:val="标题 5 字符"/>
    <w:link w:val="661"/>
    <w:uiPriority w:val="0"/>
    <w:qFormat/>
    <w:rPr>
      <w:rFonts w:ascii="宋体" w:hAnsi="Times New Roman" w:eastAsia="宋体" w:cs="Times New Roman"/>
      <w:color w:val="000000"/>
      <w:sz w:val="28"/>
      <w:szCs w:val="28"/>
    </w:rPr>
  </w:style>
  <w:style w:type="character" w:styleId="901" w:customStyle="1">
    <w:name w:val="标题 6 字符"/>
    <w:link w:val="662"/>
    <w:uiPriority w:val="0"/>
    <w:qFormat/>
    <w:rPr>
      <w:rFonts w:ascii="Arial" w:hAnsi="Arial" w:eastAsia="黑体" w:cs="Times New Roman"/>
      <w:b/>
      <w:bCs/>
      <w:sz w:val="24"/>
      <w:szCs w:val="24"/>
    </w:rPr>
  </w:style>
  <w:style w:type="character" w:styleId="902" w:customStyle="1">
    <w:name w:val="标题 7 字符"/>
    <w:link w:val="663"/>
    <w:uiPriority w:val="0"/>
    <w:qFormat/>
    <w:rPr>
      <w:rFonts w:ascii="Times New Roman" w:hAnsi="Times New Roman" w:eastAsia="宋体" w:cs="Times New Roman"/>
      <w:b/>
      <w:bCs/>
      <w:sz w:val="24"/>
      <w:szCs w:val="24"/>
    </w:rPr>
  </w:style>
  <w:style w:type="character" w:styleId="903" w:customStyle="1">
    <w:name w:val="标题 8 字符"/>
    <w:link w:val="664"/>
    <w:uiPriority w:val="0"/>
    <w:qFormat/>
    <w:rPr>
      <w:rFonts w:ascii="Arial" w:hAnsi="Arial" w:eastAsia="黑体" w:cs="Times New Roman"/>
      <w:sz w:val="24"/>
      <w:szCs w:val="24"/>
    </w:rPr>
  </w:style>
  <w:style w:type="character" w:styleId="904" w:customStyle="1">
    <w:name w:val="标题 9 字符"/>
    <w:link w:val="665"/>
    <w:uiPriority w:val="0"/>
    <w:qFormat/>
    <w:rPr>
      <w:rFonts w:ascii="Arial" w:hAnsi="Arial" w:eastAsia="黑体" w:cs="Times New Roman"/>
      <w:szCs w:val="21"/>
    </w:rPr>
  </w:style>
  <w:style w:type="paragraph" w:styleId="905" w:customStyle="1">
    <w:name w:val="目录 71"/>
    <w:basedOn w:val="656"/>
    <w:next w:val="656"/>
    <w:uiPriority w:val="0"/>
    <w:semiHidden/>
    <w:qFormat/>
    <w:pPr>
      <w:ind w:left="1260"/>
      <w:jc w:val="left"/>
    </w:pPr>
    <w:rPr>
      <w:szCs w:val="21"/>
    </w:rPr>
  </w:style>
  <w:style w:type="character" w:styleId="906" w:customStyle="1">
    <w:name w:val="文档结构图 字符"/>
    <w:link w:val="679"/>
    <w:uiPriority w:val="0"/>
    <w:semiHidden/>
    <w:qFormat/>
    <w:rPr>
      <w:rFonts w:ascii="Times New Roman" w:hAnsi="Times New Roman" w:eastAsia="宋体" w:cs="Times New Roman"/>
      <w:szCs w:val="21"/>
      <w:shd w:val="clear" w:color="auto" w:fill="000080"/>
    </w:rPr>
  </w:style>
  <w:style w:type="character" w:styleId="907" w:customStyle="1">
    <w:name w:val="批注文字 字符"/>
    <w:basedOn w:val="666"/>
    <w:link w:val="680"/>
    <w:uiPriority w:val="99"/>
    <w:semiHidden/>
    <w:qFormat/>
  </w:style>
  <w:style w:type="character" w:styleId="908" w:customStyle="1">
    <w:name w:val="正文文本 3 字符"/>
    <w:link w:val="681"/>
    <w:uiPriority w:val="0"/>
    <w:qFormat/>
    <w:rPr>
      <w:rFonts w:ascii="仿宋_GB2312" w:hAnsi="Arial" w:eastAsia="仿宋_GB2312" w:cs="Times New Roman"/>
      <w:sz w:val="32"/>
      <w:szCs w:val="32"/>
    </w:rPr>
  </w:style>
  <w:style w:type="character" w:styleId="909" w:customStyle="1">
    <w:name w:val="正文文本 字符"/>
    <w:link w:val="682"/>
    <w:uiPriority w:val="0"/>
    <w:qFormat/>
    <w:rPr>
      <w:rFonts w:ascii="楷体_GB2312" w:hAnsi="Arial" w:eastAsia="楷体_GB2312" w:cs="Times New Roman"/>
      <w:sz w:val="28"/>
      <w:szCs w:val="28"/>
    </w:rPr>
  </w:style>
  <w:style w:type="character" w:styleId="910" w:customStyle="1">
    <w:name w:val="正文文本缩进 字符"/>
    <w:basedOn w:val="666"/>
    <w:link w:val="683"/>
    <w:uiPriority w:val="99"/>
    <w:semiHidden/>
    <w:qFormat/>
  </w:style>
  <w:style w:type="character" w:styleId="911" w:customStyle="1">
    <w:name w:val="正文首行缩进 2 Char"/>
    <w:link w:val="668"/>
    <w:uiPriority w:val="0"/>
    <w:qFormat/>
    <w:rPr>
      <w:rFonts w:ascii="宋体" w:hAnsi="宋体" w:eastAsia="宋体" w:cs="Times New Roman"/>
      <w:szCs w:val="20"/>
    </w:rPr>
  </w:style>
  <w:style w:type="paragraph" w:styleId="912" w:customStyle="1">
    <w:name w:val="目录 51"/>
    <w:basedOn w:val="656"/>
    <w:next w:val="656"/>
    <w:uiPriority w:val="0"/>
    <w:semiHidden/>
    <w:qFormat/>
    <w:pPr>
      <w:ind w:left="840"/>
      <w:jc w:val="left"/>
    </w:pPr>
    <w:rPr>
      <w:szCs w:val="21"/>
    </w:rPr>
  </w:style>
  <w:style w:type="paragraph" w:styleId="913" w:customStyle="1">
    <w:name w:val="目录 31"/>
    <w:basedOn w:val="656"/>
    <w:next w:val="656"/>
    <w:uiPriority w:val="0"/>
    <w:semiHidden/>
    <w:qFormat/>
    <w:pPr>
      <w:ind w:left="420"/>
      <w:jc w:val="left"/>
    </w:pPr>
    <w:rPr>
      <w:i/>
      <w:iCs/>
      <w:szCs w:val="24"/>
    </w:rPr>
  </w:style>
  <w:style w:type="character" w:styleId="914" w:customStyle="1">
    <w:name w:val="纯文本 字符"/>
    <w:link w:val="688"/>
    <w:uiPriority w:val="0"/>
    <w:qFormat/>
    <w:rPr>
      <w:rFonts w:ascii="宋体" w:hAnsi="Courier New" w:eastAsia="宋体" w:cs="Courier New"/>
      <w:szCs w:val="21"/>
    </w:rPr>
  </w:style>
  <w:style w:type="paragraph" w:styleId="915" w:customStyle="1">
    <w:name w:val="目录 81"/>
    <w:basedOn w:val="656"/>
    <w:next w:val="656"/>
    <w:uiPriority w:val="0"/>
    <w:semiHidden/>
    <w:qFormat/>
    <w:pPr>
      <w:ind w:left="1470"/>
      <w:jc w:val="left"/>
    </w:pPr>
    <w:rPr>
      <w:szCs w:val="21"/>
    </w:rPr>
  </w:style>
  <w:style w:type="character" w:styleId="916" w:customStyle="1">
    <w:name w:val="日期 字符"/>
    <w:link w:val="690"/>
    <w:uiPriority w:val="0"/>
    <w:qFormat/>
    <w:rPr>
      <w:rFonts w:ascii="Times New Roman" w:hAnsi="Times New Roman" w:eastAsia="宋体" w:cs="Times New Roman"/>
      <w:sz w:val="24"/>
      <w:szCs w:val="24"/>
    </w:rPr>
  </w:style>
  <w:style w:type="character" w:styleId="917" w:customStyle="1">
    <w:name w:val="正文文本缩进 2 字符"/>
    <w:link w:val="691"/>
    <w:uiPriority w:val="0"/>
    <w:qFormat/>
    <w:rPr>
      <w:rFonts w:ascii="Arial" w:hAnsi="Arial" w:eastAsia="仿宋_GB2312" w:cs="Arial"/>
      <w:sz w:val="32"/>
      <w:szCs w:val="32"/>
    </w:rPr>
  </w:style>
  <w:style w:type="character" w:styleId="918" w:customStyle="1">
    <w:name w:val="批注框文本 字符"/>
    <w:link w:val="693"/>
    <w:uiPriority w:val="0"/>
    <w:semiHidden/>
    <w:qFormat/>
    <w:rPr>
      <w:rFonts w:ascii="Times New Roman" w:hAnsi="Times New Roman" w:eastAsia="宋体" w:cs="Times New Roman"/>
      <w:sz w:val="18"/>
      <w:szCs w:val="18"/>
    </w:rPr>
  </w:style>
  <w:style w:type="character" w:styleId="919" w:customStyle="1">
    <w:name w:val="页脚 字符"/>
    <w:link w:val="694"/>
    <w:uiPriority w:val="0"/>
    <w:qFormat/>
    <w:rPr>
      <w:rFonts w:ascii="Times New Roman" w:hAnsi="Times New Roman" w:eastAsia="宋体" w:cs="Times New Roman"/>
      <w:sz w:val="18"/>
      <w:szCs w:val="18"/>
    </w:rPr>
  </w:style>
  <w:style w:type="character" w:styleId="920" w:customStyle="1">
    <w:name w:val="页眉 字符"/>
    <w:link w:val="695"/>
    <w:uiPriority w:val="0"/>
    <w:qFormat/>
    <w:rPr>
      <w:rFonts w:ascii="Times New Roman" w:hAnsi="Times New Roman" w:eastAsia="宋体" w:cs="Times New Roman"/>
      <w:sz w:val="18"/>
      <w:szCs w:val="18"/>
    </w:rPr>
  </w:style>
  <w:style w:type="paragraph" w:styleId="921" w:customStyle="1">
    <w:name w:val="目录 1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922" w:customStyle="1">
    <w:name w:val="目录 41"/>
    <w:basedOn w:val="656"/>
    <w:next w:val="656"/>
    <w:uiPriority w:val="0"/>
    <w:semiHidden/>
    <w:qFormat/>
    <w:pPr>
      <w:ind w:left="630"/>
      <w:jc w:val="left"/>
    </w:pPr>
    <w:rPr>
      <w:szCs w:val="21"/>
    </w:rPr>
  </w:style>
  <w:style w:type="paragraph" w:styleId="923" w:customStyle="1">
    <w:name w:val="目录 61"/>
    <w:basedOn w:val="656"/>
    <w:next w:val="656"/>
    <w:uiPriority w:val="0"/>
    <w:semiHidden/>
    <w:qFormat/>
    <w:pPr>
      <w:ind w:left="1050"/>
      <w:jc w:val="left"/>
    </w:pPr>
    <w:rPr>
      <w:szCs w:val="21"/>
    </w:rPr>
  </w:style>
  <w:style w:type="character" w:styleId="924" w:customStyle="1">
    <w:name w:val="正文文本缩进 3 字符"/>
    <w:link w:val="702"/>
    <w:uiPriority w:val="0"/>
    <w:qFormat/>
    <w:rPr>
      <w:rFonts w:ascii="Arial" w:hAnsi="Arial" w:eastAsia="仿宋_GB2312" w:cs="Arial"/>
      <w:color w:val="ffff00"/>
      <w:sz w:val="32"/>
      <w:szCs w:val="32"/>
    </w:rPr>
  </w:style>
  <w:style w:type="paragraph" w:styleId="925" w:customStyle="1">
    <w:name w:val="目录 21"/>
    <w:basedOn w:val="656"/>
    <w:next w:val="656"/>
    <w:uiPriority w:val="0"/>
    <w:semiHidden/>
    <w:qFormat/>
    <w:pPr>
      <w:ind w:left="210"/>
      <w:jc w:val="left"/>
    </w:pPr>
    <w:rPr>
      <w:smallCaps/>
      <w:szCs w:val="24"/>
    </w:rPr>
  </w:style>
  <w:style w:type="paragraph" w:styleId="926" w:customStyle="1">
    <w:name w:val="目录 91"/>
    <w:basedOn w:val="656"/>
    <w:next w:val="656"/>
    <w:uiPriority w:val="0"/>
    <w:semiHidden/>
    <w:qFormat/>
    <w:pPr>
      <w:ind w:left="1680"/>
      <w:jc w:val="left"/>
    </w:pPr>
    <w:rPr>
      <w:szCs w:val="21"/>
    </w:rPr>
  </w:style>
  <w:style w:type="character" w:styleId="927" w:customStyle="1">
    <w:name w:val="正文文本 2 字符"/>
    <w:link w:val="706"/>
    <w:uiPriority w:val="0"/>
    <w:qFormat/>
    <w:rPr>
      <w:rFonts w:ascii="楷体_GB2312" w:hAnsi="Times New Roman" w:eastAsia="楷体_GB2312" w:cs="Times New Roman"/>
      <w:sz w:val="28"/>
      <w:szCs w:val="28"/>
    </w:rPr>
  </w:style>
  <w:style w:type="character" w:styleId="928" w:customStyle="1">
    <w:name w:val="批注主题 字符"/>
    <w:link w:val="710"/>
    <w:uiPriority w:val="0"/>
    <w:semiHidden/>
    <w:qFormat/>
    <w:rPr>
      <w:rFonts w:ascii="Times New Roman" w:hAnsi="Times New Roman" w:eastAsia="宋体" w:cs="Times New Roman"/>
      <w:b/>
      <w:bCs/>
      <w:szCs w:val="21"/>
    </w:rPr>
  </w:style>
  <w:style w:type="paragraph" w:styleId="929" w:customStyle="1">
    <w:name w:val="正文首行缩进2"/>
    <w:basedOn w:val="656"/>
    <w:link w:val="930"/>
    <w:uiPriority w:val="0"/>
    <w:qFormat/>
    <w:pPr>
      <w:ind w:firstLine="200"/>
      <w:spacing w:line="360" w:lineRule="auto"/>
    </w:pPr>
    <w:rPr>
      <w:rFonts w:ascii="仿宋_GB2312" w:eastAsia="仿宋_GB2312"/>
      <w:sz w:val="30"/>
      <w:szCs w:val="30"/>
    </w:rPr>
  </w:style>
  <w:style w:type="character" w:styleId="930" w:customStyle="1">
    <w:name w:val="正文首行缩进 Char"/>
    <w:link w:val="929"/>
    <w:uiPriority w:val="0"/>
    <w:qFormat/>
    <w:rPr>
      <w:rFonts w:ascii="仿宋_GB2312" w:hAnsi="Times New Roman" w:eastAsia="仿宋_GB2312" w:cs="Times New Roman"/>
      <w:sz w:val="30"/>
      <w:szCs w:val="30"/>
    </w:rPr>
  </w:style>
  <w:style w:type="character" w:styleId="931" w:customStyle="1">
    <w:name w:val="已访问的超链接1"/>
    <w:uiPriority w:val="0"/>
    <w:qFormat/>
    <w:rPr>
      <w:color w:val="800080"/>
      <w:u w:val="single"/>
    </w:rPr>
  </w:style>
  <w:style w:type="paragraph" w:styleId="932" w:customStyle="1">
    <w:name w:val="索引 41"/>
    <w:basedOn w:val="656"/>
    <w:next w:val="656"/>
    <w:uiPriority w:val="0"/>
    <w:semiHidden/>
    <w:qFormat/>
    <w:pPr>
      <w:ind w:left="1260"/>
    </w:pPr>
    <w:rPr>
      <w:rFonts w:ascii="Calibri" w:hAnsi="Calibri" w:eastAsia="Calibri" w:cs="宋体"/>
      <w:sz w:val="20"/>
      <w:lang w:val="zh-CN"/>
    </w:rPr>
  </w:style>
  <w:style w:type="paragraph" w:styleId="933" w:customStyle="1">
    <w:name w:val="列出段落1"/>
    <w:basedOn w:val="656"/>
    <w:link w:val="934"/>
    <w:uiPriority w:val="0"/>
    <w:qFormat/>
    <w:pPr>
      <w:contextualSpacing/>
      <w:ind w:left="720"/>
      <w:jc w:val="left"/>
      <w:widowControl/>
    </w:pPr>
    <w:rPr>
      <w:rFonts w:ascii="Calibri" w:hAnsi="Calibri"/>
      <w:sz w:val="24"/>
      <w:szCs w:val="24"/>
      <w:lang w:eastAsia="en-US" w:bidi="en-US"/>
    </w:rPr>
  </w:style>
  <w:style w:type="character" w:styleId="934" w:customStyle="1">
    <w:name w:val="列出段落 Char"/>
    <w:link w:val="933"/>
    <w:uiPriority w:val="0"/>
    <w:qFormat/>
    <w:rPr>
      <w:rFonts w:ascii="Calibri" w:hAnsi="Calibri"/>
      <w:sz w:val="24"/>
      <w:szCs w:val="24"/>
      <w:lang w:eastAsia="en-US" w:bidi="en-US"/>
    </w:rPr>
  </w:style>
  <w:style w:type="character" w:styleId="935" w:customStyle="1">
    <w:name w:val="font5 Char"/>
    <w:uiPriority w:val="0"/>
    <w:qFormat/>
    <w:rPr>
      <w:rFonts w:ascii="宋体" w:hAnsi="宋体" w:eastAsia="宋体"/>
      <w:sz w:val="28"/>
      <w:szCs w:val="28"/>
      <w:lang w:val="en-US" w:eastAsia="zh-CN" w:bidi="ar-SA"/>
    </w:rPr>
  </w:style>
  <w:style w:type="character" w:styleId="936" w:customStyle="1">
    <w:name w:val="二级目录 Char"/>
    <w:link w:val="937"/>
    <w:uiPriority w:val="0"/>
    <w:qFormat/>
    <w:rPr>
      <w:b/>
      <w:sz w:val="30"/>
      <w:szCs w:val="28"/>
    </w:rPr>
  </w:style>
  <w:style w:type="paragraph" w:styleId="937" w:customStyle="1">
    <w:name w:val="二级目录"/>
    <w:next w:val="656"/>
    <w:link w:val="936"/>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paragraph" w:styleId="938" w:customStyle="1">
    <w:name w:val="Body Text(ch)"/>
    <w:basedOn w:val="656"/>
    <w:next w:val="682"/>
    <w:uiPriority w:val="0"/>
    <w:qFormat/>
    <w:pPr>
      <w:spacing w:after="120"/>
    </w:pPr>
    <w:rPr>
      <w:rFonts w:ascii="宋体" w:hAnsi="Arial"/>
      <w:bCs/>
      <w:iCs/>
      <w:szCs w:val="24"/>
    </w:rPr>
  </w:style>
  <w:style w:type="paragraph" w:styleId="939"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0"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1" w:customStyle="1">
    <w:name w:val="Char"/>
    <w:basedOn w:val="656"/>
    <w:uiPriority w:val="0"/>
    <w:qFormat/>
    <w:pPr>
      <w:ind w:firstLine="200"/>
      <w:tabs>
        <w:tab w:val="left" w:pos="360" w:leader="none"/>
      </w:tabs>
    </w:pPr>
    <w:rPr>
      <w:sz w:val="28"/>
      <w:szCs w:val="30"/>
    </w:rPr>
  </w:style>
  <w:style w:type="paragraph" w:styleId="942" w:customStyle="1">
    <w:name w:val="Char1"/>
    <w:basedOn w:val="679"/>
    <w:uiPriority w:val="0"/>
    <w:qFormat/>
    <w:rPr>
      <w:rFonts w:ascii="Tahoma" w:hAnsi="Tahoma"/>
      <w:sz w:val="24"/>
      <w:szCs w:val="24"/>
    </w:rPr>
  </w:style>
  <w:style w:type="paragraph" w:styleId="943"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44" w:customStyle="1">
    <w:name w:val="table_lines"/>
    <w:basedOn w:val="656"/>
    <w:uiPriority w:val="0"/>
    <w:qFormat/>
    <w:pPr>
      <w:jc w:val="left"/>
      <w:widowControl/>
    </w:pPr>
    <w:rPr>
      <w:sz w:val="20"/>
      <w:szCs w:val="20"/>
      <w:lang w:val="de-DE" w:eastAsia="de-DE"/>
    </w:rPr>
  </w:style>
  <w:style w:type="paragraph" w:styleId="94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46"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47" w:customStyle="1">
    <w:name w:val="Char Char Char Char"/>
    <w:basedOn w:val="679"/>
    <w:uiPriority w:val="0"/>
    <w:qFormat/>
    <w:pPr>
      <w:spacing w:line="360" w:lineRule="auto"/>
    </w:pPr>
    <w:rPr>
      <w:rFonts w:ascii="Tahoma" w:hAnsi="Tahoma"/>
      <w:sz w:val="24"/>
      <w:szCs w:val="24"/>
    </w:rPr>
  </w:style>
  <w:style w:type="paragraph" w:styleId="948" w:customStyle="1">
    <w:name w:val="列出段落2"/>
    <w:basedOn w:val="656"/>
    <w:uiPriority w:val="0"/>
    <w:qFormat/>
    <w:pPr>
      <w:contextualSpacing/>
      <w:ind w:left="720"/>
      <w:jc w:val="left"/>
      <w:widowControl/>
    </w:pPr>
    <w:rPr>
      <w:rFonts w:ascii="Calibri" w:hAnsi="Calibri"/>
      <w:sz w:val="24"/>
      <w:szCs w:val="24"/>
      <w:lang w:eastAsia="en-US" w:bidi="en-US"/>
    </w:rPr>
  </w:style>
  <w:style w:type="paragraph" w:styleId="949" w:customStyle="1">
    <w:name w:val="4"/>
    <w:basedOn w:val="656"/>
    <w:next w:val="702"/>
    <w:uiPriority w:val="0"/>
    <w:qFormat/>
    <w:pPr>
      <w:ind w:firstLine="420"/>
      <w:spacing w:line="360" w:lineRule="auto"/>
    </w:pPr>
    <w:rPr>
      <w:color w:val="ff0000"/>
      <w:sz w:val="24"/>
      <w:szCs w:val="24"/>
    </w:rPr>
  </w:style>
  <w:style w:type="paragraph" w:styleId="950"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51" w:customStyle="1">
    <w:name w:val="Char Char Char Char Char Char Char Char Char Char"/>
    <w:basedOn w:val="656"/>
    <w:uiPriority w:val="0"/>
    <w:qFormat/>
    <w:pPr>
      <w:spacing w:line="360" w:lineRule="auto"/>
    </w:pPr>
    <w:rPr>
      <w:sz w:val="24"/>
      <w:szCs w:val="20"/>
    </w:rPr>
  </w:style>
  <w:style w:type="paragraph" w:styleId="952" w:customStyle="1">
    <w:name w:val="样式1"/>
    <w:basedOn w:val="656"/>
    <w:uiPriority w:val="0"/>
    <w:qFormat/>
    <w:pPr>
      <w:numPr>
        <w:ilvl w:val="0"/>
        <w:numId w:val="3"/>
      </w:numPr>
    </w:pPr>
    <w:rPr>
      <w:rFonts w:ascii="宋体" w:hAnsi="宋体"/>
      <w:szCs w:val="21"/>
    </w:rPr>
  </w:style>
  <w:style w:type="paragraph" w:styleId="953"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54"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57"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9"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60"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1"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62"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63" w:customStyle="1">
    <w:name w:val="Char Char Char Char1"/>
    <w:basedOn w:val="679"/>
    <w:uiPriority w:val="0"/>
    <w:qFormat/>
    <w:pPr>
      <w:spacing w:line="360" w:lineRule="auto"/>
    </w:pPr>
    <w:rPr>
      <w:rFonts w:ascii="Tahoma" w:hAnsi="Tahoma"/>
      <w:sz w:val="24"/>
      <w:szCs w:val="24"/>
    </w:rPr>
  </w:style>
  <w:style w:type="paragraph" w:styleId="964" w:customStyle="1">
    <w:name w:val="table_1stline"/>
    <w:basedOn w:val="656"/>
    <w:uiPriority w:val="0"/>
    <w:qFormat/>
    <w:pPr>
      <w:jc w:val="left"/>
      <w:spacing w:before="120"/>
      <w:widowControl/>
    </w:pPr>
    <w:rPr>
      <w:bCs/>
      <w:sz w:val="20"/>
      <w:szCs w:val="20"/>
      <w:lang w:val="de-DE" w:eastAsia="de-DE"/>
    </w:rPr>
  </w:style>
  <w:style w:type="paragraph" w:styleId="965"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66"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customStyle="1">
    <w:name w:val="修订1"/>
    <w:uiPriority w:val="99"/>
    <w:semiHidden/>
    <w:qFormat/>
    <w:rPr>
      <w:rFonts w:hint="default" w:ascii="Times New Roman" w:hAnsi="Times New Roman" w:eastAsia="宋体" w:cs="Times New Roman"/>
      <w:sz w:val="21"/>
      <w:szCs w:val="21"/>
    </w:rPr>
  </w:style>
  <w:style w:type="table" w:styleId="968" w:customStyle="1">
    <w:name w:val="Table Normal"/>
    <w:uiPriority w:val="0"/>
    <w:qFormat/>
    <w:tblPr>
      <w:tblCellMar>
        <w:left w:w="0" w:type="dxa"/>
        <w:top w:w="0" w:type="dxa"/>
        <w:right w:w="0" w:type="dxa"/>
        <w:bottom w:w="0" w:type="dxa"/>
      </w:tblCellMar>
    </w:tblPr>
  </w:style>
  <w:style w:type="paragraph" w:styleId="969" w:customStyle="1">
    <w:name w:val="正文文本12"/>
    <w:basedOn w:val="656"/>
    <w:uiPriority w:val="1"/>
    <w:qFormat/>
    <w:pPr>
      <w:ind w:left="120"/>
    </w:pPr>
    <w:rPr>
      <w:rFonts w:ascii="宋体" w:hAnsi="宋体" w:cs="宋体"/>
      <w:szCs w:val="21"/>
      <w:lang w:val="zh-CN" w:bidi="zh-CN"/>
    </w:rPr>
  </w:style>
  <w:style w:type="paragraph" w:styleId="970" w:customStyle="1">
    <w:name w:val="正文文本 211"/>
    <w:basedOn w:val="656"/>
    <w:uiPriority w:val="99"/>
    <w:qFormat/>
    <w:pPr>
      <w:jc w:val="center"/>
    </w:pPr>
    <w:rPr>
      <w:b/>
      <w:bCs/>
      <w:sz w:val="20"/>
      <w:szCs w:val="20"/>
    </w:rPr>
  </w:style>
  <w:style w:type="paragraph" w:styleId="971" w:customStyle="1">
    <w:name w:val="Table Paragraph"/>
    <w:basedOn w:val="656"/>
    <w:uiPriority w:val="1"/>
    <w:qFormat/>
    <w:pPr>
      <w:jc w:val="left"/>
    </w:pPr>
    <w:rPr>
      <w:rFonts w:ascii="宋体" w:hAnsi="宋体" w:cs="宋体"/>
      <w:sz w:val="22"/>
      <w:lang w:val="zh-CN" w:bidi="zh-CN"/>
    </w:rPr>
  </w:style>
  <w:style w:type="table" w:styleId="972" w:customStyle="1">
    <w:name w:val="网格型1"/>
    <w:basedOn w:val="973"/>
    <w:uiPriority w:val="0"/>
    <w:qFormat/>
    <w:pPr>
      <w:jc w:val="both"/>
      <w:widowControl w:val="off"/>
    </w:pPr>
    <w:tblPr/>
  </w:style>
  <w:style w:type="table" w:styleId="973" w:customStyle="1">
    <w:name w:val="普通表格1"/>
    <w:uiPriority w:val="99"/>
    <w:unhideWhenUsed/>
    <w:qFormat/>
    <w:tblPr>
      <w:tblCellMar>
        <w:left w:w="0" w:type="dxa"/>
        <w:top w:w="0" w:type="dxa"/>
        <w:right w:w="0" w:type="dxa"/>
        <w:bottom w:w="0" w:type="dxa"/>
      </w:tblCellMar>
    </w:tblPr>
  </w:style>
  <w:style w:type="paragraph" w:styleId="974" w:customStyle="1">
    <w:name w:val="纯文本1"/>
    <w:basedOn w:val="656"/>
    <w:uiPriority w:val="0"/>
    <w:qFormat/>
    <w:rPr>
      <w:rFonts w:ascii="宋体" w:hAnsi="Courier New" w:cs="Courier New"/>
      <w:szCs w:val="21"/>
    </w:rPr>
  </w:style>
  <w:style w:type="paragraph" w:styleId="975" w:customStyle="1">
    <w:name w:val="标题 41"/>
    <w:basedOn w:val="656"/>
    <w:next w:val="656"/>
    <w:uiPriority w:val="99"/>
    <w:qFormat/>
    <w:pPr>
      <w:keepLines/>
      <w:keepNext/>
      <w:spacing w:line="360" w:lineRule="exact"/>
      <w:outlineLvl w:val="3"/>
    </w:pPr>
    <w:rPr>
      <w:rFonts w:ascii="宋体" w:hAnsi="宋体"/>
      <w:b/>
      <w:szCs w:val="21"/>
    </w:rPr>
  </w:style>
  <w:style w:type="character" w:styleId="976" w:customStyle="1">
    <w:name w:val="font01"/>
    <w:basedOn w:val="977"/>
    <w:uiPriority w:val="0"/>
    <w:qFormat/>
    <w:rPr>
      <w:rFonts w:ascii="Times New Roman" w:hAnsi="Times New Roman" w:eastAsia="宋体" w:cs="Times New Roman"/>
      <w:sz w:val="21"/>
      <w:szCs w:val="22"/>
      <w:lang w:val="en-US" w:eastAsia="zh-CN" w:bidi="ar-SA"/>
    </w:rPr>
  </w:style>
  <w:style w:type="character" w:styleId="977" w:customStyle="1">
    <w:name w:val="默认段落字体1"/>
    <w:uiPriority w:val="1"/>
    <w:unhideWhenUsed/>
    <w:qFormat/>
  </w:style>
  <w:style w:type="paragraph" w:styleId="978" w:customStyle="1">
    <w:name w:val="Default"/>
    <w:uiPriority w:val="0"/>
    <w:qFormat/>
    <w:pPr>
      <w:jc w:val="both"/>
      <w:widowControl w:val="off"/>
    </w:pPr>
    <w:rPr>
      <w:rFonts w:hint="eastAsia" w:ascii="Arial Unicode MS" w:hAnsi="Arial Unicode MS" w:eastAsia="Arial Unicode MS" w:cs="Arial Unicode MS"/>
      <w:color w:val="000000"/>
      <w:sz w:val="24"/>
      <w:szCs w:val="24"/>
    </w:rPr>
  </w:style>
  <w:style w:type="character" w:styleId="979" w:customStyle="1">
    <w:name w:val="font41"/>
    <w:basedOn w:val="977"/>
    <w:uiPriority w:val="0"/>
    <w:qFormat/>
    <w:rPr>
      <w:rFonts w:hint="default" w:ascii="Times New Roman" w:hAnsi="Times New Roman" w:eastAsia="宋体" w:cs="Times New Roman"/>
      <w:sz w:val="21"/>
      <w:szCs w:val="22"/>
    </w:rPr>
  </w:style>
  <w:style w:type="character" w:styleId="980" w:customStyle="1">
    <w:name w:val="font141"/>
    <w:basedOn w:val="977"/>
    <w:uiPriority w:val="0"/>
    <w:qFormat/>
    <w:rPr>
      <w:rFonts w:hint="eastAsia" w:ascii="宋体" w:hAnsi="宋体" w:eastAsia="宋体" w:cs="宋体"/>
      <w:b/>
      <w:bCs/>
      <w:color w:val="000000"/>
      <w:sz w:val="20"/>
      <w:szCs w:val="20"/>
      <w:u w:val="none"/>
    </w:rPr>
  </w:style>
  <w:style w:type="character" w:styleId="981" w:customStyle="1">
    <w:name w:val="font51"/>
    <w:basedOn w:val="977"/>
    <w:uiPriority w:val="0"/>
    <w:qFormat/>
    <w:rPr>
      <w:rFonts w:hint="eastAsia" w:ascii="宋体" w:hAnsi="宋体" w:eastAsia="宋体" w:cs="宋体"/>
      <w:color w:val="000000"/>
      <w:sz w:val="20"/>
      <w:szCs w:val="20"/>
      <w:u w:val="none"/>
    </w:rPr>
  </w:style>
  <w:style w:type="paragraph" w:styleId="982" w:customStyle="1">
    <w:name w:val="HTML 预设格式1"/>
    <w:basedOn w:val="656"/>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paragraph" w:styleId="983" w:customStyle="1">
    <w:name w:val="纯文本11"/>
    <w:basedOn w:val="656"/>
    <w:uiPriority w:val="0"/>
    <w:qFormat/>
    <w:rPr>
      <w:rFonts w:ascii="宋体" w:hAnsi="Courier New" w:cs="Courier New"/>
    </w:rPr>
  </w:style>
  <w:style w:type="character" w:styleId="984" w:customStyle="1">
    <w:name w:val="NormalCharacter"/>
    <w:uiPriority w:val="0"/>
    <w:qFormat/>
    <w:rPr>
      <w:rFonts w:ascii="Times New Roman" w:hAnsi="Times New Roman" w:eastAsia="宋体" w:cs="Times New Roman"/>
    </w:rPr>
  </w:style>
  <w:style w:type="character" w:styleId="985" w:customStyle="1">
    <w:name w:val="15"/>
    <w:basedOn w:val="666"/>
    <w:uiPriority w:val="0"/>
    <w:qFormat/>
    <w:rPr>
      <w:rFonts w:ascii="Times New Roman" w:hAnsi="Times New Roman" w:eastAsia="宋体" w:cs="Times New Roman"/>
    </w:rPr>
  </w:style>
  <w:style w:type="numbering" w:styleId="287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李磊</cp:lastModifiedBy>
  <cp:revision>18</cp:revision>
  <dcterms:created xsi:type="dcterms:W3CDTF">2025-06-04T08:32:00Z</dcterms:created>
  <dcterms:modified xsi:type="dcterms:W3CDTF">2026-06-10T08:04:26Z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2052-12.1.0.25865</vt:lpwstr>
  </property>
  <property fmtid="{D5CDD505-2E9C-101B-9397-08002B2CF9AE}" pid="4" name="ICV">
    <vt:lpwstr>1558FF1577A44304BF3C2BCE845421B7_13</vt:lpwstr>
  </property>
</Properties>
</file>