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项目名称：南京市江宁医院数据中心设备维保及运维技术支撑服务项目 </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项目编号：JSZC-320115-NJZZ-G2026-0029 </w:t>
      </w:r>
      <w:r>
        <w:rPr>
          <w:rFonts w:ascii="SimSun" w:hAnsi="SimSun" w:eastAsia="SimSun" w:cs="SimSun"/>
          <w:b/>
          <w:color w:val="ff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（服务类项目，非专门面向中小企业）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采购人：南京市江宁医院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6</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市江宁医院（采购单位）委托，南京众智工程咨询有限公司（以下简称“招标代理机构”）就南京市江宁医院数据中心设备维保及运维技术支撑服务项目（项目名称）项目进行公开招标采购，欢迎符合条件的供应商投标。</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1.项目编号：JSZC-320115-NJZZ-G2026-0029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2.项目名称：南京市江宁医院数据中心设备维保及运维技术支撑服务项目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3.预算金额：138万元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4.最高限价：本项目最高限价138万元。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5.采购需求（简介）：为满足医院信息系统稳定运行和信息安全保护要求，现拟开展数据中心设备维保及运维技术支持服务采购。（详细内容见本招标文件第四章）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6.合同履行期限：自合同生效之日起一年。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本项目按照采用以下第</w:t>
      </w:r>
      <w:r>
        <w:rPr>
          <w:rFonts w:ascii="SimSun" w:hAnsi="SimSun" w:eastAsia="SimSun" w:cs="SimSun"/>
          <w:color w:val="000000"/>
          <w:sz w:val="24"/>
          <w:u w:val="single"/>
        </w:rPr>
        <w:t xml:space="preserve">（4）</w:t>
      </w:r>
      <w:r>
        <w:rPr>
          <w:rFonts w:ascii="SimSun" w:hAnsi="SimSun" w:eastAsia="SimSun" w:cs="SimSun"/>
          <w:color w:val="000000"/>
          <w:sz w:val="24"/>
        </w:rPr>
        <w:t xml:space="preserve">种方式落实政府采购促进中小企业发展的要求：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）种方式预留部分采购份额采购中小企业服务：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（4）本项目为非预留份额的采购项目或采购包，执行价格扣除优惠政策，具体详见第三章评审办法与标准。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1.提交投标文件截止时间、开标时间：2026年07月21日14时30分（北京时间）。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六、其他补充事宜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1.本项目采购标的对应的中小企业划分标准所属行业为：</w:t>
      </w:r>
      <w:r>
        <w:rPr>
          <w:rFonts w:ascii="SimSun" w:hAnsi="SimSun" w:eastAsia="SimSun" w:cs="SimSun"/>
          <w:color w:val="000000"/>
          <w:sz w:val="24"/>
        </w:rPr>
        <w:t xml:space="preserve">软件和信息技术服务业。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5.本项目不组织集中勘察及答疑，供应商如对采购需求有疑问，请咨询采购单位联系人。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796"/>
            <w:rFonts w:ascii="SimSun" w:hAnsi="SimSun" w:eastAsia="SimSun" w:cs="SimSun"/>
            <w:color w:val="000000"/>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7.报价响应人应充分考虑网络环境、网络带宽等因素可能对投标产生的影响，如因投标人自身原因造成的电子投标文件上传不成功的，作无效响应文件处理。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8.招标代理公司可以按照规定，通过修改招标文件酌情延长投标截止时间，在此情况下，供应商的所有权利和义务均以延长后新的截止时间为准。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9.有关本次招标的事项若存在变动或修改，敬请及时关注“江苏政府采购网”（www.ccgp-jiangsu.gov.cn）发布的信息更正公告。</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10.中标人在领取中标通知书时应提供与苏采云系统中一致的投标文件 2份，交采购代理机构归档使用。</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名称：南京市江宁医院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地址：南京市江宁区湖山路169号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联系人：王老师</w:t>
      </w:r>
      <w:r>
        <w:rPr>
          <w:rFonts w:ascii="SimSun" w:hAnsi="SimSun" w:eastAsia="SimSun" w:cs="SimSun"/>
          <w:color w:val="0000ff"/>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联系电话：025-52087739</w:t>
      </w:r>
      <w:r>
        <w:rPr>
          <w:rFonts w:ascii="SimSun" w:hAnsi="SimSun" w:eastAsia="SimSun" w:cs="SimSun"/>
          <w:color w:val="0000ff"/>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联系方式：谭玲月、李甜  025-52896520-17</w:t>
      </w:r>
      <w:r>
        <w:rPr>
          <w:rFonts w:ascii="SimSun" w:hAnsi="SimSun" w:eastAsia="SimSun" w:cs="SimSun"/>
          <w:color w:val="0000ff"/>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w:t>
      </w:r>
      <w:r>
        <w:rPr>
          <w:rFonts w:ascii="KaiTi" w:hAnsi="KaiTi" w:eastAsia="KaiTi" w:cs="KaiTi"/>
          <w:b/>
          <w:color w:val="000000"/>
          <w:sz w:val="28"/>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w:t>
      </w:r>
      <w:r>
        <w:rPr>
          <w:rFonts w:ascii="KaiTi" w:hAnsi="KaiTi" w:eastAsia="KaiTi" w:cs="KaiTi"/>
          <w:b/>
          <w:color w:val="000000"/>
          <w:sz w:val="28"/>
        </w:rPr>
        <w:t xml:space="preserve">.投标费用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w:t>
      </w:r>
      <w:r>
        <w:rPr>
          <w:rFonts w:ascii="KaiTi" w:hAnsi="KaiTi" w:eastAsia="KaiTi" w:cs="KaiTi"/>
          <w:b/>
          <w:color w:val="000000"/>
          <w:sz w:val="28"/>
        </w:rPr>
        <w:t xml:space="preserve">.招标文件构成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w:t>
      </w:r>
      <w:r>
        <w:rPr>
          <w:rFonts w:ascii="KaiTi" w:hAnsi="KaiTi" w:eastAsia="KaiTi" w:cs="KaiTi"/>
          <w:b/>
          <w:color w:val="000000"/>
          <w:sz w:val="28"/>
        </w:rPr>
        <w:t xml:space="preserve">.招标文件的澄清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w:t>
      </w:r>
      <w:r>
        <w:rPr>
          <w:rFonts w:ascii="KaiTi" w:hAnsi="KaiTi" w:eastAsia="KaiTi" w:cs="KaiTi"/>
          <w:b/>
          <w:color w:val="000000"/>
          <w:sz w:val="28"/>
        </w:rPr>
        <w:t xml:space="preserve">.招标文件的修改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w:t>
      </w:r>
      <w:r>
        <w:rPr>
          <w:rFonts w:ascii="SimSun" w:hAnsi="SimSun" w:eastAsia="SimSun" w:cs="SimSun"/>
          <w:color w:val="000000"/>
          <w:sz w:val="24"/>
        </w:rPr>
        <w:t xml:space="preserve">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w:t>
      </w:r>
      <w:r>
        <w:rPr>
          <w:rFonts w:ascii="KaiTi" w:hAnsi="KaiTi" w:eastAsia="KaiTi" w:cs="KaiTi"/>
          <w:b/>
          <w:color w:val="000000"/>
          <w:sz w:val="28"/>
        </w:rPr>
        <w:t xml:space="preserve">.投标文件的语言及度量衡单位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w:t>
      </w:r>
      <w:r>
        <w:rPr>
          <w:rFonts w:ascii="KaiTi" w:hAnsi="KaiTi" w:eastAsia="KaiTi" w:cs="KaiTi"/>
          <w:b/>
          <w:color w:val="000000"/>
          <w:sz w:val="28"/>
        </w:rPr>
        <w:t xml:space="preserve">.投标文件构成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w:t>
      </w:r>
      <w:r>
        <w:rPr>
          <w:rFonts w:ascii="KaiTi" w:hAnsi="KaiTi" w:eastAsia="KaiTi" w:cs="KaiTi"/>
          <w:b/>
          <w:color w:val="000000"/>
          <w:sz w:val="28"/>
        </w:rPr>
        <w:t xml:space="preserve">.证明投标人及投标标的符合招标文件规定的文件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w:t>
      </w:r>
      <w:r>
        <w:rPr>
          <w:rFonts w:ascii="KaiTi" w:hAnsi="KaiTi" w:eastAsia="KaiTi" w:cs="KaiTi"/>
          <w:b/>
          <w:color w:val="000000"/>
          <w:sz w:val="28"/>
        </w:rPr>
        <w:t xml:space="preserve">.投标函和开标一览表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w:t>
      </w:r>
      <w:r>
        <w:rPr>
          <w:rFonts w:ascii="KaiTi" w:hAnsi="KaiTi" w:eastAsia="KaiTi" w:cs="KaiTi"/>
          <w:b/>
          <w:color w:val="000000"/>
          <w:sz w:val="28"/>
        </w:rPr>
        <w:t xml:space="preserve">.投标文件的递交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8.投标文件的拒收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4.投标文件的审查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（1）采购人应当在采购文件中明确，政府采购评审中出现下列情形之一的，评审委员会应当启动异常低价投标（响应）审查程序：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29.服务（包含与货物相关的货物）的追加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合同履行中，采购人需追加与合同标的相同的服务（包含与货物相关的货物），在不改变合同其他条款的前提下，可以与中标人协商签订补充合同，但所有补充合同的金额不超过原合同金额的10%。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w:t>
      </w:r>
      <w:r>
        <w:rPr>
          <w:rFonts w:ascii="SimSun" w:hAnsi="SimSun" w:eastAsia="SimSun" w:cs="SimSun"/>
          <w:color w:val="0000ff"/>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采购产品属于政府优先采购节能产品和环境标志产品的，对供应商提供的国家确定的认证机构出具的、处于有效期之内的节能产品或环境标志产品认证证书，评审时给予加分（详见第五章评标办法与评标标准）。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65"/>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十、其他</w:t>
      </w:r>
      <w:r/>
    </w:p>
    <w:p>
      <w:pPr>
        <w:ind w:left="0" w:right="0" w:firstLine="562"/>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43.代理服务费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 本次采购的代理服务费由成交供应商承担；参照《江苏省政府采购代理服务收费指导意见》苏政采协〔2024〕20号文招标收费基准费率计算。开具增值税普通发票。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 中标供应商向采购代理机构支付所有费用后到采购代理机构领取中标通知书。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840" w:firstLine="0"/>
        <w:jc w:val="center"/>
        <w:spacing w:before="0" w:after="0" w:line="78" w:lineRule="atLeast"/>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第三章合同文本</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以下</w:t>
      </w:r>
      <w:r>
        <w:rPr>
          <w:rFonts w:ascii="SimSun" w:hAnsi="SimSun" w:eastAsia="SimSun" w:cs="SimSun"/>
          <w:color w:val="000000"/>
          <w:sz w:val="21"/>
        </w:rPr>
        <w:t xml:space="preserve">为本项目的合同条款，合同双方不得对招标、投标文件内容作实质性修改。</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南京市政府采购合同（服务）</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甲、乙双方根据南京众智工程咨询有限公司组织的____________________项目公开招标结果，签署本合同。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标的质量：按招标文件及投标文件执行。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标的数量（规模）：按招标文件及投标文件执行。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履行时间（期限）：按招标文件及投标文件执行。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履行地点：采购人指定地点。</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履行方式：按招标文件及投标文件执行。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二、合同金额</w:t>
      </w:r>
      <w:r/>
    </w:p>
    <w:p>
      <w:pPr>
        <w:ind w:left="0" w:right="0" w:firstLine="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本合同金额为（大写）：____________________圆（_________________元）人民币。</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三、技术资料</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乙方应按招标文件规定的时间向甲方提供服务（包含与服务相关的货物）的有关技术资料。</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四、知识产权</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五、产权担保</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乙方保证所交付的服务（包含与服务相关的货物）的所有权完全属于乙方且无任何抵押、查封等产权瑕疵。</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六、履约保证金</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rPr>
          <w:rFonts w:ascii="SimSun" w:hAnsi="SimSun" w:eastAsia="SimSun" w:cs="SimSun"/>
          <w:color w:val="0000ff"/>
          <w:sz w:val="21"/>
        </w:rPr>
        <w:t xml:space="preserve"> </w:t>
      </w:r>
      <w:r>
        <w:rPr>
          <w:rFonts w:ascii="SimSun" w:hAnsi="SimSun" w:eastAsia="SimSun" w:cs="SimSun"/>
          <w:color w:val="000000"/>
          <w:sz w:val="21"/>
        </w:rPr>
        <w:t xml:space="preserve">本项目乙方无需缴纳履约保证金。</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七、合同转包或分包</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除招标文件接受分包并经甲方同意，乙方可按分包意向协议分包情况外，乙方不得将合同标的分包给他人履行。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乙方如有转包或未经甲方同意的分包行为，甲方有权终止合同。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八、合同款项支付</w:t>
      </w:r>
      <w:r/>
    </w:p>
    <w:p>
      <w:pPr>
        <w:ind w:left="0" w:right="0" w:firstLine="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合同款项的支付方式及时间</w:t>
      </w:r>
      <w:r/>
    </w:p>
    <w:p>
      <w:pPr>
        <w:ind w:left="0" w:right="0" w:firstLine="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合同价款分两期支付：合同签订生效后，甲方每半年向乙方支付合同总价款的50%；剩余50%合同款项，在乙方完成服务期限内所有服务内容并经甲方验收合格后，由甲方一次性付清。每次结算前乙方需提前准备好经双方认可的结算资料、合规发票交甲方办理付款手续。</w:t>
      </w:r>
      <w:r/>
    </w:p>
    <w:p>
      <w:pPr>
        <w:ind w:left="0" w:right="0" w:firstLine="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 满足合同约定支付条件的，甲方收到乙方发票后10个工作日内，将资金支付到合同约定的乙方账户。 </w:t>
      </w:r>
      <w:r/>
    </w:p>
    <w:p>
      <w:pPr>
        <w:ind w:left="0" w:right="0" w:firstLine="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根据《保障中小企业款项支付条例》规定，甲方未按合同约定支付款项的，乙方可以向有关部门投诉。</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九、税费</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本合同执行中的相关税费均由乙方负担。</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十、项目验收</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甲方依法组织履约验收工作。</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对于实际使用人和甲方分离的项目，甲方邀请实际使用人参与验收。</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如有必要，甲方可邀请参加本项目投标的其他供应商或第三方专业机构及专家参与验收，相关意见将作为验收结论的参考。</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十一、违约责任</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甲方无正当理由拒绝接受乙方提供服务的，应向乙方偿付拒绝接受服务合同总额百分之五的违约金。</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甲方无故逾期验收和办理支付手续的，应按逾期付款总额每日万分之五向乙方支付违约金。</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逾期提供服务的，应按逾期提供服务合同总额每日万分之五向甲方支付违约金，由甲方从待付合同款中扣除。逾期超过约定日期10个工作日不能提供服务的，甲方可解除本合同。乙方因逾期提供服务或因其他违约行为导致甲方解除合同的，应向甲方支付合同总额百分之二十的违约金。</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乙方所提供服务的标准不符合合同规定及招标文件规定标准的，甲方有权拒绝接受服务，并可单方面解除合同。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乙方所提供的服务违反甲方的考核要求的，甲方按照考核要求对乙方进行扣款或罚款，同一事项乙方违反考核要求全年累计三次以上的，甲方除按照考核要求对乙方进行扣款或罚款外，另外乙方应按照服务合同总额百分之五向甲方支付违约金，甲方有权视情节严重解约。</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乙方应保证及时向其员工或者雇员支付工资或劳务报酬，乙方如存在未及时支付员工工资或劳务报酬情形，每出现一次，乙方应按照服务合同总额百分之五向甲方支付违约金。超过三次的，甲方有权解除本合同。甲方解除本合同的，乙方应按照服务合同总额百分之二十向甲方支付违约金。</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11.7服务期内，乙方擅自单方解除本合同的，应按照服务合同总额百分之二十向甲方支付违约金。</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十二、不可抗力事件处理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在合同有效期内，任何一方因不可抗力事件导致不能履行合同，则合同履行期可延长，其延长期与不可抗力影响期相同。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不可抗力事件发生后，应立即通知对方并寄送有关权威机构出具的证明。</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不可抗力事件延续120天以上，双方应通过友好协商，确定是否继续履行合同。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十三、解决争议的方法</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双方在签订、履行合同中所发生的一切争议，应通过友好协商解决。如协商不成的由甲方住所地人民法院管辖。</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十四、合同生效及其它</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本合同经双方加盖单位公章后生效。</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本合同未尽事宜，遵照《中华人民共和国民法典》《中华人民共和国政府采购法》等有关条文执行。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本合同正本一式两份，具有同等法律效力，甲方、乙方各执一份。</w:t>
      </w:r>
      <w:r/>
    </w:p>
    <w:p>
      <w:pPr>
        <w:ind w:left="0" w:right="0" w:firstLine="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乙方：（公章） </w:t>
      </w:r>
      <w:r/>
    </w:p>
    <w:p>
      <w:pPr>
        <w:ind w:left="0" w:right="0" w:firstLine="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       地址： </w:t>
      </w:r>
      <w:r/>
    </w:p>
    <w:p>
      <w:pPr>
        <w:ind w:left="0" w:right="0" w:firstLine="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       法定代表人或授权代表：</w:t>
      </w:r>
      <w:r/>
    </w:p>
    <w:p>
      <w:pPr>
        <w:ind w:left="0" w:right="0" w:firstLine="24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联系电话：</w:t>
      </w:r>
      <w:r/>
    </w:p>
    <w:p>
      <w:pPr>
        <w:ind w:left="0" w:right="0" w:firstLine="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28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《*******合同》补充协议（合同附件）</w:t>
      </w:r>
      <w:r/>
    </w:p>
    <w:p>
      <w:pPr>
        <w:ind w:left="0" w:right="0" w:firstLine="0"/>
        <w:jc w:val="center"/>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如遇招标文件及合同未约定事项，双方可友好协商签订补充协议。</w:t>
      </w:r>
      <w:r/>
    </w:p>
    <w:p>
      <w:pPr>
        <w:ind w:left="0" w:right="840" w:firstLine="0"/>
        <w:jc w:val="center"/>
        <w:spacing w:before="0" w:after="0" w:line="78" w:lineRule="atLeast"/>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项目属性：</w:t>
      </w:r>
      <w:r>
        <w:rPr>
          <w:rFonts w:ascii="SimSun" w:hAnsi="SimSun" w:eastAsia="SimSun" w:cs="SimSun"/>
          <w:color w:val="000000"/>
          <w:sz w:val="21"/>
        </w:rPr>
        <w:t xml:space="preserve">服务类项目。</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二、项目概况</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（一）项目背景</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医院核心数据中心的存储、服务器及安全设备的维保服务将于本年度5月份到期。设备自2017年投入使用以来，为全院医疗业务开展提供了坚实支撑，但经过长期不间断运行，硬件部件存在自然损耗、性能衰减等问题，亟须专业维保团队进行维护与优化。若维保到期后未能及时续期，设备将失去厂商及专业机构的技术支持、故障排查、部件更换等保障服务，可能导致设备突发故障、运行效率下降，进而引发核心业务中断、医疗数据处理延迟等问题，严重时将影响诊疗工作的正常开展，给患者就医和医院运营带来不利影响。</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医院部分安全设备已超出维保期限，处于“无维保保障”运行状态。医疗数据包含患者隐私信息、诊疗记录等敏感内容，安全设备作为抵御网络攻击、防范数据泄露、保障数据传输安全的重要屏障，其正常运行是守护医疗数据安全、践行网络安全法律法规、保障患者信息权益的核心要求。安全设备过保后，不仅无法获得厂商提供的漏洞修复、病毒库升级、技术支援等关键服务，还可能因设备老化、安全防护能力不足，面临网络入侵、数据泄露、恶意攻击等安全风险，对医院信息安全体系构成严重威胁，同时也不符合医疗行业信息安全合规管理的相关规定。为切实保</w:t>
      </w:r>
      <w:r>
        <w:rPr>
          <w:rFonts w:ascii="SimSun" w:hAnsi="SimSun" w:eastAsia="SimSun" w:cs="SimSun"/>
          <w:color w:val="000000"/>
          <w:sz w:val="21"/>
        </w:rPr>
        <w:t xml:space="preserve">障全院核心医疗业务不间断开展，防范设备故障及信息安全风险，确保医疗数据资产安全，满足行业合规管理要求，及时启动数据中心设备维保项目，对到期设备续期维保、对过保安全设备补充维保服务，已成为当前医院信息化建设与安全管理工作的迫切需求。</w:t>
      </w:r>
      <w:r/>
    </w:p>
    <w:p>
      <w:pPr>
        <w:numPr>
          <w:ilvl w:val="0"/>
          <w:numId w:val="1"/>
        </w:numPr>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项目建设遵循标准</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遵循国家、行业及地方现行的规范和标准。</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三、设备范围</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本次项目将对如下软、硬件产品进行维保服务：</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228"/>
        <w:gridCol w:w="3696"/>
        <w:gridCol w:w="2609"/>
        <w:gridCol w:w="106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系统名称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小型机、存储、数据库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新门诊、住院数据库服务器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IBM E850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集成平台数据库服务器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IBM S922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手麻、重症等数据库服务器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IBM E850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ADG数据库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IBM S824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ods等数据库服务器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IBM P740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数据库存储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EMC Unity500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联想DM5100F</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影像存储系统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EMC Isilon</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r>
        <w:trPr>
          <w:trHeight w:val="4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华为 Oceanstor9000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存储虚拟化设备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EMC VPLEX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博科DS 6510B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连续数据保护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EMC RP</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核心数据库软件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oracle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PG数据库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PG数据库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6套</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计算资源池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超融合虚拟化软件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nutanix vmware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应用服务器超融合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DELL XC730XD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应用服务器超融合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联想 SR650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其他pc服务器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联想、曙光等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8套</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启明星辰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防毒墙系统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亚信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IPS入侵防御系统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启明星辰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APT攻击预警平台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安恒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TAR威胁分析一体机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启明星辰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态势感知探针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启明星辰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WAF系统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领信数科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上网行为管理系统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深信服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超融合平台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云轴、Zstack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TAP 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盛科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日志审计系统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天融信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网络审计系统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天融信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数据库审计系统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安恒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数据库脱敏系统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安华金和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漏洞扫描系统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网闸设备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启明星辰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vpn设备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深信服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堡垒机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帕拉迪、网御星云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数据交换系统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bl>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注：1.本次维保包含设备的所有配件更换。</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2.提供有效期1年的通配型HTTPS加密证书，提供证书原件扫描件加盖投标人公章。</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四、维保技术要求</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（一）总体要求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1.投标人应提供详细的维保方案，确保维护期内信息系统安全稳定运行。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2.机房管理：协助做好机房出入人员登记及机房日常管理工作。</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日常巡检：提供不少于每月两次的设备现场巡检维护，及时发现设备系统隐患，做到防患于未然；每次维护保养及故障修复后均须出具详细全面的相关书面文档，及时提供采购人有关系统运行的状态报告和运行建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4.系统及设备登记、变更：梳理和维护机房内业务系统、设备、数据库、存储等资源信息，形成完整的日常维护服务台账，并及时做好资料整理工作。</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硬件设备故障处置：做好日常服务器、存储等设备常规巡检、保养、故障处理、备件更换，服务器操作系统故障处理等。对维护范围内的设备的所有损坏部件（包含硬件和软件）免费更换；当机器发生故障或机件损坏时，保证能及时提供现场更换服务，所提供备件必须原装。当用户整机崩溃时，投标人保证24小时内提供备机替代以保证业务不致停止。</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6.数据库常规巡检保养，Oracle数据库安装、配置、升级、性能优化，数据库的备份与恢复，数据迁移，数据库故障处理等。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7.服务器网络配置更改，网络需求调试，故障处理等。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8.配合医院进行信息等保三级测评及整改。</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9.设备安装调试：承担用户方日常的设备调整等硬件资源安装调试工作，承担操作系统、数据库等基础软件的安装工作；负责制作机柜设备信息标牌并负责及时更新。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1.服务响应时间要求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投标人提供7×24小时服务响应。投标人提供7×24小时技术支持。</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服务期内负责对硬件设备及数据库出现的故障进行故障定位，故障排除，保修和技术支持。投标人提供7×24小时现场服务，故障响应时间不超过半小时，故障响应后1小时内工程师到达现场，备品备件到达现场最长时间不超过24小时，最长故障解决时间不超过48小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内若出现故障且投标人的技术能力或备件能力不能满足其工作需要，采购人有权请原厂商或第三方公司提供服务或备件，或要求投标人提供性能不低于故障设备的全新备用设备，由此而产生的所有费用由投标人承担。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2.服务人员要求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的机房运维服务人员须满足采购人运行维护要求，确保人员固定，如有人员变动应书面提交变更原因，且变更后人员资质不低于原运维服务人员。采购人有权根据资质、考核评价条件等标准提出更换人员，直至人员能真正满足运行维护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技术团队要求：投标人根据现有机房硬件设备、数据库实际情况，提供专业设备、工具等，选取有资质的专业人员组建运维团队，定期对计算机设备、操作系统、数据库等进行检查，及时发现并处置相关故障。</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硬件维保人员要求：应具有3年以上与本次服务有关的服务器、存储设备、安全设备的维护服务经验，每个类别可派遣维护人员不少于2名，且常规巡检及故障处理时至少有1人到达现场。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3.备品备件要求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于本次项目设备是用户核心业务系统，因此，投标人所提供的所有设备及备品配件，必须全部是原厂、全新设备。一旦发现所提供的备品备件不符合上述要求，采购人有权立即取消维保合同，同时有权要求退还已支付的维保费用，并视情况对投标人进行处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备件支持对象：在合同执行期间，当采购人设备发生硬件故障时，投标人承诺在约定响应时间之内为采购人提供备件支持，备件费用以及相应产生的备件送达运费由投标人承担；根据采购人维保设备具体情况，投标人为采购人提供的必要的备件（备件型号不低于采购人生产环境中使用的设备型号）。对于维保期内出现维保设备已经停产，造成投标人不能提供相应备件，投标人应明确告知采购人，双方商定一个合理的解决方案予以解决。</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（2）备件库要求：投标人承诺在南京市内设置备件库，中标后合同签署前，采购人将对备件库进行实地考察。如发现不能满足要求，采购人有权提出终止项目。（提供承诺函原件加盖投标人公章）</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（3）现场备件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投标人应有充足的现场备件（包括但不限于：CPU、内存、电源、硬盘、模块、引擎等），所提供备件必须为全新原装的，并且是免费的。当机器发生故障或机件损坏时，投标人保证能及时提供现场更换服务。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维保期内，投标人须放置在采购人现场备件有：1）IBM Power E850电源一套，硬盘1块；2）EMC 存储硬盘1块；3）超融合服务器硬盘1块。以上备件须在合同签订后一周内到场。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（4）备件响应时间：投标人对维护范围内的设备的所有损坏部件（包含硬件和软件），必须在24小时内免费更换原厂全新备件。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（5）备件维修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本次项目要求故障件只换不修。对于更换下来的坏件，投标人不得回收。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（6）备机服务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在维护过程中，若超过24小时仍不能排除故障，投标人必须为采购人提供同档次备机服务，确保用户方业务系统运行正常运行。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（7）介质保留服务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在维护过程中，所有更换下来的存储介质，如磁盘等部件，所有权归采购人，投标人不得收回。</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4.文档要求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投标人应建立完整的文档记录，按时向采购人提供装订成册的纸质版与电子版文档，具体要求为：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（1）签订维保合同10天内，投标人提交《系统日常巡检作业指导书》。《系统日常巡检作业指导书》经采购人审核、批准后，由常驻现场技术人员执行日常巡检；</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（2）签订维保合同10天内，投标人提交《维保设备信息登记表》，记录保修设备的详细配置信息；在维保期间及时维护和更新《维保设备信息登记表》，包括位置、参数、配置的变更；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（3）每个月10日前向采购人提供上月的巡检报告，详细记录巡检日期、巡检人、巡检内容、问题、采取措施及建议、备品备件的使用及储备情况等内容，双方签字确认；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（4）故障抢修后的1个工作日内向采购人提交《故障检修报告》，每个自然月的10日前向采购人提供上月的抢修统计记录，其中至少记录接报修时间、报修人、到达现场时间、修复时间、故障现象、抢修过程等；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（5）维保服务合同到期后的3天内，提供维保服务总结报告。</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（三）具体服务需求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1.驻场服务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至少派驻2名专业的工程师驻场服务，服务人员应提供机房环境和软硬件设备的定时巡检，并做好巡检登记，发现故障第一时间报告并处理；维护机房的系统、设备、数据库等资源信息，形成完整的日常运维台账，并及时做好资产清单记录工作；进行病毒预警及处理，及时安装操作系统安全补丁和杀毒软件。如在后续的工作中发现驻场工程师不能胜任此项工作，采购人有权要求投标人更换。投标人因自身原因需要更换驻场工程师的，须提前一个月书面通知采购人，征得同意后方可更换。</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硬件驻场服务人员应具备网络及安全、数据库（oracle）、操作系统（包括但不限于：Windows、Linux、AIX等）、存储等基础运行环境的专业技术能力。</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2.信息资产统计服务</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信息处机房信息资产统计并及时更新，内容包括：</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（1）硬件设备型号、数量、版本等信息统计记录。</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（2）软件产品型号、版本和补丁等信息统计记录。</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（3）网络结构、网络路由、网络IP地址统计记录。</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（4）其他附属设备的统计记录。</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3.定期优化和测试维护服务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每月安排的日常巡检外，投标人应针对采购人的存储设备使用情况、服务器、网络系统运行状态进行深度优化维护服务，每季度一次。及时发现设备系统隐患，做到防患于未然，并对设备使用性能进行分析，提出性能优化建议。每次维护保养及故障修复后均须出具详细全面的相关书面文档。</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每季度一次的定期维护主要进行如下工作：</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（1）数据库性能优化；</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每半年一次的定期维护主要进行如下工作：</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（1）备份系统恢复测试；</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（2）存储容灾演练测试；</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（3）数据库容灾演练测试；</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每次维护前一周，投标人提交详细的维护计划，并通过采购人认可后，在维护期内实施。</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4.故障排除服务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投标人应确保维保范围内的设备、网络正常运行，系统运行稳定，并不断优化和提高系统运行性能。</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当系统出现故障后，投标人须在要求的时间范围内进行维护和修复。要求做到全天候7*24小时的技术服务，对于故障抢修涉及的响应时间和故障处置时间的要求如下：</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（1）普通故障响应时间：普通故障在接到采购人抢修通知后，具有处理故障能力的维修人员到达故障服务现场的时间应不大于2小时。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（2）紧急故障响应时间：宕机故障或采购人要求的其他紧急事件，应在半小时内人员响应，1小时内到达故障服务现场。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（3）故障恢复时间：按故障严重程度从高到低分为I～Ⅳ级。</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I级故障：核心业务系统（his、pacs系统等）不可用或将导致业务数据缺失的，恢复时间不超过1小时；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Ⅱ级故障：核心业务系统失去冗余但仍能工作的、非核心业务系统（除his、pacs系统外的其他相关业务系统）不可用的，恢复时间不超过4小时；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Ⅲ级故障：备份系统发生故障或可能发生故障风险的，恢复时间不超过24小时；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Ⅳ级故障：其他隐患类故障，恢复时间由投标人与采购人协商决定，原则上不超过3个工作日。</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I、Ⅱ级故障或Ⅲ、Ⅳ级故障连续发生两次以上的，除提交故障处置报告以外还应提交问题分析报告，深度分析故障产生的原因，并提出预防性改善建议。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因特殊原因无法在指定处置时间内修复故障的，应将故障原因、过渡方案和恢复计划等在故障发生后的8小时内向采购人书面上报，并在此期间积极配合相关应用开发商实施过渡方案，全力保证应用的不间断，临时过渡方案产生的备品、备机及人力成本由中标人自行承担。</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法定节假日（元旦、春节、五一、十一等）期间、重大活动（由采购人指定并提前告知）前及其举行期间，应根据采购人的具体要求对计算机系统设备进行额外的维护巡检，确保设备及系统在此时期的正常工作，必要时应派专业技术人员在现场实施驻点保障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所有因维护而更换的备件、人力等费用，均由投标人承担。</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5.预防性维护服务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为使机器正常运行，投标人将定期为采购人提供一年不少于四次预防性维护服务，具体维护服务时间由投标人和采购人商定。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（1）指派专责服务人员对系统依照服务方案进行维护；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（2）定期对机器进行例行检查、做预防性维护保养，并提交服务报告；</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（3）为保证服务质量，成立服务小组或指定专责工程师支持；</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（4）投标人应进行不低于每年1次的机箱内外灰尘清洁，并对机房环境提供建设性意见；</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（5）对采购人系统存在的问题提出合理改进建议，并协助采购人进行系统整改措施的测试和实施。</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6.特情值班</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在重大政治活动或者关键业务上线、变更等特殊时期，投标人应根据采购人的要求，提供资深工程师现场特情值班服务。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每年的特情值班服务不少于10人·天。特情值班人员须为专人专职，不得使用其他项目人员顶替。</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7.备份恢复测试</w:t>
      </w:r>
      <w:r/>
    </w:p>
    <w:p>
      <w:pPr>
        <w:ind w:left="42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按照医院要求，每个维护年度内投标人应提供对数据库数据、虚拟化系统数据的备份进行恢复测试。具体要求如下：</w:t>
      </w:r>
      <w:r/>
    </w:p>
    <w:p>
      <w:pPr>
        <w:ind w:left="0" w:right="0" w:firstLine="42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（1）恢复测试演练内容：包括但不限于：1）his数据库系统的备份恢复测试；2）双机集群测试；</w:t>
      </w:r>
      <w:r/>
    </w:p>
    <w:p>
      <w:pPr>
        <w:ind w:left="0" w:right="0" w:firstLine="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3）存储单点故障测试等。</w:t>
      </w:r>
      <w:r/>
    </w:p>
    <w:p>
      <w:pPr>
        <w:ind w:left="0" w:right="0" w:firstLine="42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（2）恢复测试时间安排</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投标人提供备份恢复测试时间计划表，时间不超过8小时；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自每个维护年度维护期开始半年内，投标人应完成所有要求的备份恢复和测试演练任务，并提交完整的恢复测试手册、各个系统恢复过程、各个系统恢复时间等。</w:t>
      </w:r>
      <w:r/>
    </w:p>
    <w:p>
      <w:pPr>
        <w:ind w:left="0" w:right="0" w:firstLine="42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（3）恢复测试演练要求</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1）投标人根据整个备份恢复测试计划，合理安排恢复测试内容。恢复测试不得造成业务中断、数据丢失、不得超过预定时间；</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2）提交完整的备份恢复测试计划、恢复测试流程、恢复测试组织、恢复测试文档，恢复测试总结报告；</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3）恢复测试过程中，应配备本公司专业资深技术人员、原厂技术支持人员（包括但不限于：主机工程师、Oracle数据库工程师、存储工程师等），确保恢复测试安全无故障。</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8.建立采购人系统应急方案</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为采购人建立整套系统应急方案，并对方案进行实际测试。应急方案将作为系统终验项目，由采购人验收认可。</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构建应急响应体系，配合采购人发现生产系统中存在的系统性能瓶颈或安全隐患，配合采购人绘制系统性能和负载基线，提供系统负载趋势分析，对可能出现的性能和安全问题进行预警，通过非单一检查点的巡检数据及时发现问题和隐患，为系统优化提供数据和决策依据，改进采购人生产系统服务质量。</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9.系统软件维护服务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（1）软件安装服务</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采购人安装软件维护版本时遇到困难，投标人应提供电话咨询服务，如电话咨询未能解决问题，投标人应提供现场支持服务。</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免费提供原设备厂商技术改进的微码版本给采购人，以提高设备的稳定性。维护版本由计算机可读媒体装载的程序及文件组成，并附以详细说明。投标人应同时更新采购人相应的软件工具。所有维护版本的许可权将在该软件现行的许可限定适用范围内适用。</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（2）软件版本补丁/升级服务</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投标人对软件已知错误及故障不定时发布标准维护版本并将其免费提供给采购人。</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补丁服务主要包括预防性和修复性补丁服务。投标人应定期向采购人公布最新的补丁版本，并提供以下信息：包括但不限于：补丁说明书（包括补丁功能描述和目的）；补丁的测试结果；补丁加载的计划、步骤，采购人应做的准备工作，可能对系统造成的影响等。</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投标人负责向采购人提供软件补丁或升级版本，并完成软件补丁安装或版本升级操作，采购人提供人员配合。软件补丁或升级完成后，投标人技术人员配合采购人观察系统运行一至两天，并提供升级报告。</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投标人应提供软件补丁或升级版本的安装、维护操作指导，并对采购人维护人员进行培训。</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软件版本补丁服务包括对采购人现有的备品备件的版本升级服务。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（3）对服务器平台上系统软件的维护</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1）投标人应协助采购人进行受支持软件产品的基本日常维护和管理。</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2）协助采购人对所报告的问题进行定义及指导采购人相关技术人员完成解决问题所需要的相关信息的收集工作。</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3）投标人应帮助采购人对所报告的问题进行问题根源的分析和诊断。</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4）对于软件本身的问题，投标人应根据需要向采购人免费提供相关的修正性软件。</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5）对采购人所报告的有关受支持软件产品的问题，投标人应根据需要使用标准系统进行记录和跟踪，并根据实际情形对问题的严重程度和优先级别进行设定和更新。</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6）投标人在应用软件安装完毕后应进行基本系统测试。</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10.培训服务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投标人应提供如下培训服务：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（1）不少于1人×2天的oracle数据库日常管理培训；</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（2）不少于1人×2天的虚拟化日常管理培训。</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（四）维保服务项目例会制度</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例会时间：每月与采购人举行服务项目例会。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例会地点：采购人所在地。</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例会参与人员：投标人项目经理、项目组成员，其中项目经理必须现场参加例会。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例会内容：上次例会问题解决情况；上月汇总情况汇报；对分歧或问题的讨论，得出解决对策，并明确相应责任人；明确本周采购人应做配合等。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例会纪要：每次例会结束后，由项目经理以电子邮件形式发给参与项目例会各方的主要负责人，对例会纪要的内容予以确认。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（五）服务违约责任</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须承诺维保服务的违约责任：投标人若未能履行服务承诺，造成采购人整个系统崩溃并形成实际经济损失，或者由于投标人技术人员责任造成采购人设备损坏或其他责任事故，给采购人造成实际损失时，投标人须承担相应赔偿。</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2.事故造成损失的具体金额评估，由经双方认可的第三方权威机构执行认定；为评估所产生的其他费用由事故责任方承担。</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3.服务响应时间：未在规定时间内响应的或未在规定时间内修复故障的或未能按照要求提供备品备件备机的，按严重程度处以2000～5000元/次罚金，并处以通报。</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4.未按合同要求按时完成每月巡检养护工作的，或提供的服务能力和水平不能满足采购人日常运行要求的，处以5000元/次的罚金，并处以通报。</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5.未在规定时间内提交巡检记录、抢修记录、运维总结的，处以5000元/次的罚金，并处以通报。</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（六）服务质量保证</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1.对于维护范围内的故障，投标人应在故障发生后立即响应，并在约定的时间范围内加以解决；对于非维护范围内的故障，投标人应在故障发生后积极配合采购人加以解决。</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2.投标人应具有6人及以上的专业工程师服务团队，具有从事服务器、存储系统、网络系统和数据库维护服务连续3年以上的工作经验的投标人优先考虑。</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（七）验收标准和方法</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1.投标人完成维保服务工作应提供《年度维保服务总结报告》，其内容包括但不限于：巡检及养护服务工作结果、故障抢修情况及设备维修更换清单、系统运行情况及建议等。</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2.维保服务工作成果的验收标准：全年系统运行正常、投标人技术人员现场服务质量以及各种报告的质量符合采购人要求。</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五、其他要求</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招标全部内容为“交钥匙”工程，整个项目所必须的各项检测费用、恢复演练费及伴随服务费用等均包含在报价内，请各投标人认真考虑其各种风险。除合同另有规定之外，采购人不再另行支付。因招标或其他原因产生的过渡期期间的费用，由中标人支付给过渡期间为采购人服务的投标人，采购人不再另行支付其他费用。</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2.投标人应了解采购人信息系统现状，确保采购人系统安全稳定运行。</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3.投标人应提前了解采购人系统部署情况和真实的业务需求，成交后应在必须满足采购人业务要求和技术要求的情况下予以提供服务；投标人应充分考虑可能影响报价的各种因素。</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应具有完善的服务支撑保障体系，能提供及时高效的运行、安全服务保障和技术要求。免费对采购人技术人员进行运行、安全等方面的培训；在规定的响应时间内提供运行、安全等技术服务，并且提供免费的技术咨询服务；</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5.投标人在备份恢复和测试演练时，应自行提供测试设备，采购人不再提供测试设备，费用由投标人自行承担。</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在投标文件里应提供完善的维保方案，并提供安全承诺书。承诺在服务期内确保系统稳定、安全运行，不得造成任何数据泄露、病毒感染等恶性事件。如因系统配置不当或维护原因造成安全事故的，采购人有权追究其责任并要求赔偿。</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六、服务期限</w:t>
      </w:r>
      <w:r/>
    </w:p>
    <w:p>
      <w:pPr>
        <w:ind w:left="0" w:right="0" w:firstLine="411"/>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投标人应在签订合同后1个日历日内开始本项目，本项目服务期为1年。</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七、付款方式</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合同价款分两期支付：合同签订生效后，采购人每半年向中标人支付合同总价款的50%；剩余50%合同款项，在中标人完成服务期限内所有服务内容并经采购人验收合格后，由采购人一次性付清。</w:t>
      </w:r>
      <w:r/>
    </w:p>
    <w:p>
      <w:pPr>
        <w:ind w:left="0" w:right="0" w:firstLine="48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一、评标办法</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的，评标结果按评审后得分由高到低顺序排列。得分相同的，按投标报价由低到高顺序排列。得分且投标报价相同的，按评审因素的量化指标评审得分由高到低顺序排列。在投标文件满足招标文件全部实质性要求的供应商中，按照评审得分由高到低推荐3名中标候选人。</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二、评定标准</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1.实质性要求不得负偏离；否则，按照无效响应处理；</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2.小企业（含小型、微型企业）应当符合以下条件：服务由小微企业承接，即提供服务的人员为小微企业依照《中华人民共和国劳动合同法》订立劳动合同的从业人员。</w:t>
      </w:r>
      <w:r/>
    </w:p>
    <w:p>
      <w:pPr>
        <w:ind w:left="0" w:right="0" w:firstLine="48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3.价格扣除比例或者价格分加分比例对小型企业和微型企业同等对待，不作区分。</w:t>
      </w:r>
      <w:r/>
    </w:p>
    <w:p>
      <w:pPr>
        <w:ind w:left="0" w:right="0" w:firstLine="48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四、监狱和戒毒企业的价格扣除</w:t>
      </w:r>
      <w:r/>
    </w:p>
    <w:p>
      <w:pPr>
        <w:ind w:left="0" w:right="0" w:firstLine="48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1.本项目对监狱和戒毒企业（简称监狱企业），给予等同于小微企业的价格扣除，用扣除后的价格参与评审。</w:t>
      </w:r>
      <w:r/>
    </w:p>
    <w:p>
      <w:pPr>
        <w:ind w:left="0" w:right="0" w:firstLine="48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2.监狱企业需提供由省级以上监狱管理局、戒毒管理局（含新疆生产建设兵团）出具的属于监狱企业的证明文件。</w:t>
      </w:r>
      <w:r/>
    </w:p>
    <w:p>
      <w:pPr>
        <w:ind w:left="0" w:right="0" w:firstLine="48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五、残疾人福利性单位的价格扣除</w:t>
      </w:r>
      <w:r/>
    </w:p>
    <w:p>
      <w:pPr>
        <w:ind w:left="0" w:right="0" w:firstLine="48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1.本项目对残疾人福利性单位，给予等同于小微企业的价格扣除，用扣除后的价格参与评审。</w:t>
      </w:r>
      <w:r/>
    </w:p>
    <w:p>
      <w:pPr>
        <w:ind w:left="0" w:right="0" w:firstLine="48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2"/>
        <w:jc w:val="both"/>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六、监狱企业、残疾人福利单位属于小型、微型企业的，不重复享受政策。</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七、上述价格扣除政策仅适用于“非专门面向中小企业采购项目”。</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八、评标标准</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44"/>
        <w:gridCol w:w="6142"/>
        <w:gridCol w:w="629"/>
        <w:gridCol w:w="874"/>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采用低价优先法计算，即满足招标文件要求且评审价格最低的报价为评标基准价，其价格分为满分。其他投标人的价格分统一按照下列公式计算：投标报价得分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投标报价）×10（小数点保留两位）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2服务</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需求理解与难点分析</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评委根据投标人提供的需求理解（包括但不限于：对采购需求应有充分、准确、全面的理解，对本项目实施过程中难点有明确的认识和合理的应对方案等）综合评分：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（1）需求理解完整深刻、难点分析准确、应对方案合理、有针对性的，得12分；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（2）需求理解较完整深刻、难点分析较准确、应对方案较合理、较有针对性的，得9分；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（3）需求理解基本完整、难点分析基本准确、应对方案基本合理、针对性一般的，得6分；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（4）需求理解不完整、难点分析不准确、应对方案不合理、针对性差的，得3分；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主观分</w:t>
            </w:r>
            <w:r/>
          </w:p>
        </w:tc>
      </w:tr>
      <w:tr>
        <w:trPr>
          <w:trHeight w:val="2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软件系统维护服务方案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评委根据投标人提供的软件系统维护服务方案（投标人需了解软件系统维护范围内各系统的现状，制定整体的维护服务方案，调查分析内容包括但不限于：系统巡检、重要事件保障等）综合评分：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（1）系统现状了解准确，方案内容详细合理的，得12分；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（2）系统现状了解较准确，方案内容较详细，较合理的，得9分；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（3）系统现状了解基本准确，方案内容基本合理的，得6分；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（4）系统现状了解不准确，内容简单，合理性欠缺的，得3分；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重大故障处理服务方案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评委根据投标人提供的重大故障处理服务方案（包括但不限于：重大故障处理流程、应急预案、风险管理等）综合评分：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（1）方案科学合理，结合本项目实际情况的，得12分；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（2）方案较科学合理，结合本项目实际情况掌握的风险点较全面风险规避举措较得当的，得9分；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（3）方案一般，结合本项目实际情况掌握的风险较少，风险规避举措一般的，得6分；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（4）方案较差，结合本项目实际情况掌握的风险点一般风险规避举措较弱的，得3分；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主观分</w:t>
            </w:r>
            <w:r/>
          </w:p>
        </w:tc>
      </w:tr>
      <w:tr>
        <w:trPr>
          <w:trHeight w:val="3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机房硬件运维服务方案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机房硬件运维服务方案（投标人需了解机房硬件运维范围内各设备的现状，对存在的问题及对策分析，制定整体的维护服务方案，调查分析内容包括但不限于：设备巡检、维护难点与解决方案等）综合评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（1）设备现状了解准确，方案内容详细合理的，得12分；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（2）设备现状了解较准确，方案内容较详细，较合理的，得9分；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（3）设备现状了解基本准确，方案内容基本合理的，得6分；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（4）设备现状了解不准确，内容简单，合理性欠缺的，得3分；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评委根据投标人提供的培训服务实施方案综合评分：</w:t>
            </w:r>
            <w:r/>
          </w:p>
          <w:p>
            <w:pPr>
              <w:ind w:left="0" w:right="0" w:firstLine="0"/>
              <w:jc w:val="both"/>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（1）方案完整，合理可行的得12分；</w:t>
            </w:r>
            <w:r/>
          </w:p>
          <w:p>
            <w:pPr>
              <w:ind w:left="0" w:right="0" w:firstLine="0"/>
              <w:jc w:val="both"/>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（2）方案较完整，较合理可行的得9分；</w:t>
            </w:r>
            <w:r/>
          </w:p>
          <w:p>
            <w:pPr>
              <w:ind w:left="0" w:right="0" w:firstLine="0"/>
              <w:jc w:val="both"/>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（3）方案基本完整，基本可行的得6分；</w:t>
            </w:r>
            <w:r/>
          </w:p>
          <w:p>
            <w:pPr>
              <w:ind w:left="0" w:right="0" w:firstLine="0"/>
              <w:jc w:val="both"/>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（4）方案不完整，不可行的得3分；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视频演示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0"/>
              <w:jc w:val="both"/>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评委根据投标人提供的核心业务系统的数据库容灾切换演练演示视频进行评分：</w:t>
            </w:r>
            <w:r/>
          </w:p>
          <w:p>
            <w:pPr>
              <w:ind w:left="0" w:right="0" w:firstLine="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1.演练环境要求：生产环境、灾备环境与医院现有设备类型、数据库版本一致（IBM小型机+Oracle）的得3分，任意一项不一致不得分；</w:t>
            </w:r>
            <w:r/>
          </w:p>
          <w:p>
            <w:pPr>
              <w:ind w:left="0" w:right="0" w:firstLine="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2.演练耗时要求：完整业务容灾切换耗时≤2分钟的得3分；完整业务容灾切换＞2分钟，≤5分钟的得2分；完整业务容灾切换＞5分钟≤10分钟的得1分；切换耗时＞10分钟或切换失败的不得分；</w:t>
            </w:r>
            <w:r/>
          </w:p>
          <w:p>
            <w:pPr>
              <w:ind w:left="0" w:right="0" w:firstLine="0"/>
              <w:jc w:val="both"/>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3.演练过程要求：全程无代码操作完成容灾切换，切换后自动生成完整演练报告的得3分；全程无代码操作完成容灾切换，无自动生成演练报告的得2分；需手动输入代码切换，且无任何演练报告的不得分。</w:t>
            </w:r>
            <w:r/>
          </w:p>
          <w:p>
            <w:pPr>
              <w:ind w:left="0" w:right="0" w:firstLine="0"/>
              <w:jc w:val="both"/>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注：（1）演示视频文件时间不超过10分钟；（2）未提供视频文件或因供应商自身原因视频文件无法打开或视频画面不清晰无法辨认的不得分。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40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3商务部分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投标人承诺中标后提供本次所需维护的核心数据库软件原厂服务承诺函的得4分。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注：提供承诺函原件加盖投标人公章，格式自拟，未提供不得分。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投标人拟派项目经理具有软件设计师、信息系统管理工程师、信息安全保障人员认证（CISAW）、ITSS服务工程师、数字经济（电子信息）工程高级及以上工程师证书的，有一个得1分，最高得5分。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注：提供人员证书原件扫描件及投标人为项目经理缴纳的近六个月内任意一个月的社保证明加盖投标人公章。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团队组成员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投标人拟投入本项目的技术负责人具有注册信息安全专业人员（CISP）证书、高级系统规划与管理师证书、高级系统架构设计师证书的，每提供以上1类证书得1分，最多得3分。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投标人拟派项目组成员具有注册信息安全专业人员（CISP）、信息安全保障人员认证（CISAW）、系统集成项目管理工程师证书的，每提供以上1类证书得1分，最多得3分。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注：提供人员证书原件扫描件及投标人为项目组成员缴纳的近六个月内任意一个月的社保证明加盖投标人公章，一人多证不得分。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12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投标人自2023年1月1日（含）以来承接过类似维保服务成功案例的，每提供1个得2分，满分6分。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注：提供合同扫描件加盖投标人公章，合同须体现时间、具体内容页、双方签字盖章页，若提供的材料反映不出相关内容视为未提供，时间以合同签订时间为准。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2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6" w:type="dxa"/>
            <w:vAlign w:val="center"/>
            <w:textDirection w:val="lrTb"/>
            <w:noWrap w:val="false"/>
          </w:tcPr>
          <w:p>
            <w:pPr>
              <w:ind w:left="172"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3"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六、分项报价表（如有）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440" w:right="144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ff"/>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六、分项报价表</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6"/>
        <w:gridCol w:w="2648"/>
        <w:gridCol w:w="1341"/>
        <w:gridCol w:w="880"/>
        <w:gridCol w:w="799"/>
        <w:gridCol w:w="1236"/>
        <w:gridCol w:w="1594"/>
      </w:tblGrid>
      <w:tr>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1" w:type="dxa"/>
            <w:vAlign w:val="top"/>
            <w:textDirection w:val="lrTb"/>
            <w:noWrap w:val="false"/>
          </w:tcPr>
          <w:p>
            <w:pPr>
              <w:ind w:left="0" w:right="0" w:firstLine="45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1.《分项报价表》中“投标总价”数额应当与《开标一览表》中“投标总报价”数额一致。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pStyle w:val="638"/>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2689"/>
        <w:gridCol w:w="2684"/>
        <w:gridCol w:w="1996"/>
        <w:gridCol w:w="11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6"/>
        <w:gridCol w:w="2688"/>
        <w:gridCol w:w="2053"/>
        <w:gridCol w:w="11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1.供应商必须对实质性要求（斜体下划线内容或打“★”内容）做出明确响应。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2.供应商未对实质性要求作出明确响应的，或未按采购文件要求提供证明材料的，作无效响应处理。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中小企业声明函（服务）</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（软件和信息技术服务业）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KaiTi">
    <w:panose1 w:val="02010609060101010101"/>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李甜</cp:lastModifiedBy>
  <cp:revision>2</cp:revision>
  <dcterms:created xsi:type="dcterms:W3CDTF">2026-06-29T07:30:35Z</dcterms:created>
  <dcterms:modified xsi:type="dcterms:W3CDTF">2026-06-29T08:27:36Z</dcterms:modified>
</cp:coreProperties>
</file>