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rPr>
          <w:rFonts w:hint="default" w:ascii="宋体" w:hAnsi="宋体" w:eastAsia="宋体" w:cs="宋体"/>
          <w:b/>
          <w:color w:val="000000" w:themeColor="text1"/>
          <w:sz w:val="44"/>
          <w:highlight w:val="none"/>
          <w:shd w:val="clear" w:color="auto" w:fill="ffffff"/>
          <w:lang w:val="en-US" w:eastAsia="zh-CN"/>
          <w14:textFill>
            <w14:solidFill>
              <w14:schemeClr w14:val="tx1"/>
            </w14:solidFill>
          </w14:textFill>
        </w:rPr>
      </w:pPr>
      <w:r>
        <w:rPr>
          <w:rFonts w:hint="default" w:ascii="宋体" w:hAnsi="宋体" w:eastAsia="宋体" w:cs="宋体"/>
          <w:b/>
          <w:color w:val="000000" w:themeColor="text1"/>
          <w:sz w:val="44"/>
          <w:highlight w:val="none"/>
          <w:shd w:val="clear" w:color="auto" w:fill="ffffff"/>
          <w:lang w:val="en-US" w:eastAsia="zh-CN"/>
          <w14:textFill>
            <w14:solidFill>
              <w14:schemeClr w14:val="tx1"/>
            </w14:solidFill>
          </w14:textFill>
        </w:rPr>
      </w:r>
      <w:r/>
    </w:p>
    <w:p>
      <w:pPr>
        <w:jc w:val="center"/>
        <w:shd w:val="clear" w:color="auto"/>
        <w:rPr>
          <w:rFonts w:hint="eastAsia" w:ascii="宋体" w:hAnsi="宋体" w:eastAsia="宋体" w:cs="宋体"/>
          <w:b/>
          <w:color w:val="000000" w:themeColor="text1"/>
          <w:sz w:val="44"/>
          <w:highlight w:val="none"/>
          <w:shd w:val="clear" w:color="auto" w:fill="ffffff"/>
          <w:lang w:eastAsia="zh-CN"/>
          <w14:textFill>
            <w14:solidFill>
              <w14:schemeClr w14:val="tx1"/>
            </w14:solidFill>
          </w14:textFill>
        </w:rPr>
      </w:pPr>
      <w:r>
        <w:rPr>
          <w:rFonts w:hint="eastAsia" w:ascii="宋体" w:hAnsi="宋体" w:eastAsia="宋体" w:cs="宋体"/>
          <w:b/>
          <w:color w:val="000000" w:themeColor="text1"/>
          <w:sz w:val="44"/>
          <w:highlight w:val="none"/>
          <w:shd w:val="clear" w:color="auto" w:fill="ffffff"/>
          <w:lang w:eastAsia="zh-CN"/>
          <w14:textFill>
            <w14:solidFill>
              <w14:schemeClr w14:val="tx1"/>
            </w14:solidFill>
          </w14:textFill>
        </w:rPr>
        <w:t xml:space="preserve">栖霞区市政所2026年至2029年（3年）燕霞路市政、绿化设施养护</w:t>
      </w:r>
      <w:r/>
    </w:p>
    <w:p>
      <w:pPr>
        <w:pStyle w:val="962"/>
        <w:jc w:val="center"/>
        <w:shd w:val="clear" w:color="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62"/>
        <w:jc w:val="center"/>
        <w:shd w:val="clear" w:color="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62"/>
        <w:jc w:val="center"/>
        <w:shd w:val="clear" w:color="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shd w:val="clear" w:color="auto"/>
        <w:rPr>
          <w:rFonts w:ascii="宋体" w:hAnsi="宋体" w:eastAsia="宋体" w:cs="宋体"/>
          <w:b/>
          <w:color w:val="000000" w:themeColor="text1"/>
          <w:sz w:val="32"/>
          <w:highlight w:val="none"/>
          <w:shd w:val="clear" w:color="auto" w:fill="ffffff"/>
          <w14:textFill>
            <w14:solidFill>
              <w14:schemeClr w14:val="tx1"/>
            </w14:solidFill>
          </w14:textFill>
        </w:rPr>
      </w:pPr>
      <w:r>
        <w:rPr>
          <w:rFonts w:ascii="宋体" w:hAnsi="宋体" w:eastAsia="宋体" w:cs="宋体"/>
          <w:b/>
          <w:color w:val="000000" w:themeColor="text1"/>
          <w:sz w:val="32"/>
          <w:highlight w:val="none"/>
          <w:shd w:val="clear" w:color="auto" w:fill="ffffff"/>
          <w14:textFill>
            <w14:solidFill>
              <w14:schemeClr w14:val="tx1"/>
            </w14:solidFill>
          </w14:textFill>
        </w:rPr>
      </w:r>
      <w:r/>
    </w:p>
    <w:p>
      <w:pPr>
        <w:jc w:val="center"/>
        <w:spacing w:line="360" w:lineRule="auto"/>
        <w:shd w:val="clear" w:color="auto"/>
        <w:rPr>
          <w:rFonts w:ascii="宋体" w:hAnsi="宋体" w:eastAsia="宋体" w:cs="宋体"/>
          <w:b/>
          <w:color w:val="000000" w:themeColor="text1"/>
          <w:sz w:val="32"/>
          <w:highlight w:val="none"/>
          <w:shd w:val="clear" w:color="auto" w:fill="ffffff"/>
          <w14:textFill>
            <w14:solidFill>
              <w14:schemeClr w14:val="tx1"/>
            </w14:solidFill>
          </w14:textFill>
        </w:rPr>
      </w:pPr>
      <w:r>
        <w:rPr>
          <w:rFonts w:ascii="宋体" w:hAnsi="宋体" w:eastAsia="宋体" w:cs="宋体"/>
          <w:b/>
          <w:color w:val="000000" w:themeColor="text1"/>
          <w:sz w:val="32"/>
          <w:highlight w:val="none"/>
          <w:shd w:val="clear" w:color="auto" w:fill="ffffff"/>
          <w14:textFill>
            <w14:solidFill>
              <w14:schemeClr w14:val="tx1"/>
            </w14:solidFill>
          </w14:textFill>
        </w:rPr>
      </w:r>
      <w:r/>
    </w:p>
    <w:p>
      <w:pPr>
        <w:jc w:val="center"/>
        <w:spacing w:line="360" w:lineRule="auto"/>
        <w:shd w:val="clear" w:color="auto"/>
        <w:rPr>
          <w:rFonts w:ascii="宋体" w:hAnsi="宋体" w:eastAsia="宋体" w:cs="宋体"/>
          <w:b/>
          <w:color w:val="000000" w:themeColor="text1"/>
          <w:sz w:val="32"/>
          <w:highlight w:val="none"/>
          <w:shd w:val="clear" w:color="auto" w:fill="ffffff"/>
          <w14:textFill>
            <w14:solidFill>
              <w14:schemeClr w14:val="tx1"/>
            </w14:solidFill>
          </w14:textFill>
        </w:rPr>
      </w:pPr>
      <w:r>
        <w:rPr>
          <w:rFonts w:ascii="宋体" w:hAnsi="宋体" w:eastAsia="宋体" w:cs="宋体"/>
          <w:b/>
          <w:color w:val="000000" w:themeColor="text1"/>
          <w:sz w:val="32"/>
          <w:highlight w:val="none"/>
          <w:shd w:val="clear" w:color="auto" w:fill="ffffff"/>
          <w14:textFill>
            <w14:solidFill>
              <w14:schemeClr w14:val="tx1"/>
            </w14:solidFill>
          </w14:textFill>
        </w:rPr>
      </w:r>
      <w:r/>
    </w:p>
    <w:p>
      <w:pPr>
        <w:jc w:val="center"/>
        <w:spacing w:line="360" w:lineRule="auto"/>
        <w:shd w:val="clear" w:color="auto"/>
        <w:rPr>
          <w:rFonts w:ascii="宋体" w:hAnsi="宋体" w:eastAsia="宋体" w:cs="宋体"/>
          <w:b/>
          <w:color w:val="000000" w:themeColor="text1"/>
          <w:sz w:val="32"/>
          <w:highlight w:val="none"/>
          <w:shd w:val="clear" w:color="auto" w:fill="ffffff"/>
          <w14:textFill>
            <w14:solidFill>
              <w14:schemeClr w14:val="tx1"/>
            </w14:solidFill>
          </w14:textFill>
        </w:rPr>
      </w:pPr>
      <w:r>
        <w:rPr>
          <w:rFonts w:ascii="宋体" w:hAnsi="宋体" w:eastAsia="宋体" w:cs="宋体"/>
          <w:b/>
          <w:color w:val="000000" w:themeColor="text1"/>
          <w:sz w:val="32"/>
          <w:highlight w:val="none"/>
          <w:shd w:val="clear" w:color="auto" w:fill="ffffff"/>
          <w14:textFill>
            <w14:solidFill>
              <w14:schemeClr w14:val="tx1"/>
            </w14:solidFill>
          </w14:textFill>
        </w:rPr>
      </w:r>
      <w:r/>
    </w:p>
    <w:p>
      <w:pPr>
        <w:jc w:val="center"/>
        <w:spacing w:line="360" w:lineRule="auto"/>
        <w:shd w:val="clear" w:color="auto"/>
        <w:rPr>
          <w:rFonts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 xml:space="preserve">招标文件</w:t>
      </w:r>
      <w:r/>
    </w:p>
    <w:p>
      <w:pPr>
        <w:jc w:val="center"/>
        <w:spacing w:line="360" w:lineRule="auto"/>
        <w:shd w:val="clear" w:color="auto"/>
        <w:rPr>
          <w:rFonts w:hint="default" w:ascii="宋体" w:hAnsi="宋体" w:eastAsia="宋体" w:cs="宋体"/>
          <w:b/>
          <w:color w:val="000000" w:themeColor="text1"/>
          <w:sz w:val="28"/>
          <w:highlight w:val="none"/>
          <w:lang w:val="en-US" w:eastAsia="zh-CN"/>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项目编号：</w:t>
      </w:r>
      <w:r>
        <w:rPr>
          <w:rFonts w:hint="eastAsia" w:ascii="宋体" w:hAnsi="宋体" w:eastAsia="宋体" w:cs="宋体"/>
          <w:b/>
          <w:color w:val="000000" w:themeColor="text1"/>
          <w:sz w:val="28"/>
          <w:highlight w:val="none"/>
          <w:lang w:val="en-US" w:eastAsia="zh-CN"/>
          <w14:textFill>
            <w14:solidFill>
              <w14:schemeClr w14:val="tx1"/>
            </w14:solidFill>
          </w14:textFill>
        </w:rPr>
        <w:t xml:space="preserve">JSZC-320113-NJKJ-G2026-0007 </w:t>
      </w:r>
      <w:r/>
    </w:p>
    <w:p>
      <w:pPr>
        <w:jc w:val="center"/>
        <w:spacing w:line="360" w:lineRule="auto"/>
        <w:shd w:val="clear" w:color="auto"/>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jc w:val="center"/>
        <w:spacing w:line="360" w:lineRule="auto"/>
        <w:shd w:val="clear" w:color="auto"/>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jc w:val="center"/>
        <w:spacing w:line="360" w:lineRule="auto"/>
        <w:shd w:val="clear" w:color="auto"/>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jc w:val="center"/>
        <w:spacing w:line="360" w:lineRule="auto"/>
        <w:shd w:val="clear" w:color="auto"/>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jc w:val="center"/>
        <w:spacing w:line="360" w:lineRule="auto"/>
        <w:shd w:val="clear" w:color="auto"/>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pStyle w:val="962"/>
        <w:jc w:val="center"/>
        <w:shd w:val="clear" w:color="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23"/>
        <w:spacing w:line="360" w:lineRule="auto"/>
        <w:shd w:val="clear" w:color="auto"/>
        <w:rPr>
          <w:rFonts w:hint="eastAsia" w:ascii="宋体" w:hAnsi="宋体" w:eastAsia="宋体" w:cs="宋体"/>
          <w:b/>
          <w:color w:val="000000" w:themeColor="text1"/>
          <w:sz w:val="36"/>
          <w:highlight w:val="none"/>
          <w:lang w:eastAsia="zh-CN"/>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采购人：</w:t>
      </w:r>
      <w:r>
        <w:rPr>
          <w:rFonts w:hint="eastAsia" w:ascii="宋体" w:hAnsi="宋体" w:eastAsia="宋体" w:cs="宋体"/>
          <w:b/>
          <w:color w:val="000000" w:themeColor="text1"/>
          <w:sz w:val="36"/>
          <w:szCs w:val="36"/>
          <w:highlight w:val="none"/>
          <w:lang w:eastAsia="zh-CN"/>
          <w14:textFill>
            <w14:solidFill>
              <w14:schemeClr w14:val="tx1"/>
            </w14:solidFill>
          </w14:textFill>
        </w:rPr>
        <w:t xml:space="preserve">南京市栖霞区市政设施综合养护管理所</w:t>
      </w:r>
      <w:r/>
    </w:p>
    <w:p>
      <w:pPr>
        <w:ind w:firstLine="723"/>
        <w:spacing w:line="360" w:lineRule="auto"/>
        <w:shd w:val="clear" w:color="auto"/>
        <w:rPr>
          <w:rFonts w:hint="eastAsia" w:ascii="宋体" w:hAnsi="宋体" w:eastAsia="宋体" w:cs="宋体"/>
          <w:b/>
          <w:color w:val="000000" w:themeColor="text1"/>
          <w:sz w:val="36"/>
          <w:highlight w:val="none"/>
          <w:lang w:eastAsia="zh-CN"/>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采购代理机构：</w:t>
      </w:r>
      <w:r>
        <w:rPr>
          <w:rFonts w:hint="eastAsia" w:ascii="宋体" w:hAnsi="宋体" w:eastAsia="宋体" w:cs="宋体"/>
          <w:b/>
          <w:color w:val="000000" w:themeColor="text1"/>
          <w:sz w:val="36"/>
          <w:highlight w:val="none"/>
          <w:lang w:eastAsia="zh-CN"/>
          <w14:textFill>
            <w14:solidFill>
              <w14:schemeClr w14:val="tx1"/>
            </w14:solidFill>
          </w14:textFill>
        </w:rPr>
        <w:t xml:space="preserve">南京科谨工程管理咨询有限责任公司</w:t>
      </w:r>
      <w:r/>
    </w:p>
    <w:p>
      <w:pPr>
        <w:ind w:firstLine="723"/>
        <w:jc w:val="left"/>
        <w:shd w:val="clear" w:color="auto"/>
        <w:rPr>
          <w:rFonts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日期：二〇二</w:t>
      </w:r>
      <w:r>
        <w:rPr>
          <w:rFonts w:hint="eastAsia" w:ascii="宋体" w:hAnsi="宋体" w:eastAsia="宋体" w:cs="宋体"/>
          <w:b/>
          <w:color w:val="000000" w:themeColor="text1"/>
          <w:sz w:val="36"/>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36"/>
          <w:highlight w:val="none"/>
          <w14:textFill>
            <w14:solidFill>
              <w14:schemeClr w14:val="tx1"/>
            </w14:solidFill>
          </w14:textFill>
        </w:rPr>
        <w:t xml:space="preserve">年</w:t>
      </w:r>
      <w:r>
        <w:rPr>
          <w:rFonts w:hint="eastAsia" w:ascii="宋体" w:hAnsi="宋体" w:eastAsia="宋体" w:cs="宋体"/>
          <w:b/>
          <w:color w:val="000000" w:themeColor="text1"/>
          <w:sz w:val="36"/>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36"/>
          <w:highlight w:val="none"/>
          <w14:textFill>
            <w14:solidFill>
              <w14:schemeClr w14:val="tx1"/>
            </w14:solidFill>
          </w14:textFill>
        </w:rPr>
        <w:t xml:space="preserve">月</w:t>
      </w:r>
      <w:r/>
    </w:p>
    <w:p>
      <w:pPr>
        <w:ind w:firstLine="723"/>
        <w:shd w:val="clear" w:color="auto"/>
        <w:rPr>
          <w:rFonts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br w:type="page" w:clear="all"/>
      </w:r>
      <w:r/>
    </w:p>
    <w:p>
      <w:pPr>
        <w:pStyle w:val="962"/>
        <w:jc w:val="center"/>
        <w:shd w:val="clear" w:color="auto"/>
        <w:rPr>
          <w:rFonts w:ascii="宋体" w:hAnsi="宋体" w:cs="宋体"/>
          <w:b/>
          <w:color w:val="000000" w:themeColor="text1"/>
          <w:sz w:val="36"/>
          <w:highlight w:val="none"/>
          <w:lang w:val="zh-CN"/>
          <w14:textFill>
            <w14:solidFill>
              <w14:schemeClr w14:val="tx1"/>
            </w14:solidFill>
          </w14:textFill>
        </w:rPr>
        <w:outlineLvl w:val="0"/>
      </w:pPr>
      <w:r>
        <w:rPr>
          <w:rFonts w:hint="eastAsia" w:ascii="宋体" w:hAnsi="宋体" w:cs="宋体"/>
          <w:b/>
          <w:color w:val="000000" w:themeColor="text1"/>
          <w:sz w:val="36"/>
          <w:highlight w:val="none"/>
          <w:lang w:val="zh-CN"/>
          <w14:textFill>
            <w14:solidFill>
              <w14:schemeClr w14:val="tx1"/>
            </w14:solidFill>
          </w14:textFill>
        </w:rPr>
        <w:t xml:space="preserve">第一章</w:t>
      </w:r>
      <w:r>
        <w:rPr>
          <w:rFonts w:hint="eastAsia" w:ascii="宋体" w:hAnsi="宋体" w:cs="宋体"/>
          <w:b/>
          <w:color w:val="000000" w:themeColor="text1"/>
          <w:sz w:val="36"/>
          <w:highlight w:val="none"/>
          <w14:textFill>
            <w14:solidFill>
              <w14:schemeClr w14:val="tx1"/>
            </w14:solidFill>
          </w14:textFill>
        </w:rPr>
        <w:t xml:space="preserve">  </w:t>
      </w:r>
      <w:r>
        <w:rPr>
          <w:rFonts w:hint="eastAsia" w:ascii="宋体" w:hAnsi="宋体" w:cs="宋体"/>
          <w:b/>
          <w:color w:val="000000" w:themeColor="text1"/>
          <w:sz w:val="36"/>
          <w:highlight w:val="none"/>
          <w:lang w:val="zh-CN"/>
          <w14:textFill>
            <w14:solidFill>
              <w14:schemeClr w14:val="tx1"/>
            </w14:solidFill>
          </w14:textFill>
        </w:rPr>
        <w:t xml:space="preserve">投标邀请</w:t>
      </w:r>
      <w:r/>
    </w:p>
    <w:tbl>
      <w:tblPr>
        <w:tblStyle w:val="9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4"/>
      </w:tblGrid>
      <w:tr>
        <w:trPr/>
        <w:tc>
          <w:tcPr>
            <w:tcW w:w="9514" w:type="dxa"/>
            <w:textDirection w:val="lrTb"/>
            <w:noWrap w:val="false"/>
          </w:tcPr>
          <w:p>
            <w:pPr>
              <w:ind w:firstLine="480"/>
              <w:jc w:val="left"/>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0" w:name="_Toc35393790"/>
            <w:r/>
            <w:bookmarkStart w:id="1" w:name="_Toc28359079"/>
            <w:r/>
            <w:bookmarkStart w:id="2" w:name="_Toc35393621"/>
            <w:r/>
            <w:bookmarkStart w:id="3" w:name="_Toc28359002"/>
            <w:r/>
            <w:bookmarkStart w:id="4" w:name="_Hlk24379207"/>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栖霞区市政所2026年至2029年（3年）燕霞路市政、绿化设施养护JSZC-320113-NJKJ-G2026-0007 </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招标项目的潜在投标人应在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14:textFill>
                  <w14:solidFill>
                    <w14:schemeClr w14:val="tx1"/>
                  </w14:solidFill>
                </w14:textFill>
              </w:rPr>
              <w:t xml:space="preserve">获取招标文件，并于</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tc>
      </w:tr>
    </w:tbl>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一、项目基本情况</w:t>
      </w:r>
      <w:bookmarkEnd w:id="0"/>
      <w:r/>
      <w:bookmarkEnd w:id="1"/>
      <w:r/>
      <w:bookmarkEnd w:id="2"/>
      <w:r/>
      <w:bookmarkEnd w:id="3"/>
      <w:r/>
      <w:r/>
    </w:p>
    <w:p>
      <w:pPr>
        <w:ind w:firstLine="480"/>
        <w:jc w:val="left"/>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JSZC-320113-NJKJ-G2026-0007 </w:t>
      </w:r>
      <w:r/>
    </w:p>
    <w:p>
      <w:pPr>
        <w:ind w:firstLine="480"/>
        <w:jc w:val="left"/>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bookmarkEnd w:id="4"/>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栖霞区市政所2026年至2029年（3年）燕霞路市政、绿化设施养护</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220</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203.952 万元,投标报价超过最高限价或单项限价的为无效投标。</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栖霞区市政所2026年至2029年（3年）燕霞路市政、绿化设施养护</w:t>
      </w:r>
      <w:r>
        <w:rPr>
          <w:rFonts w:hint="eastAsia" w:ascii="宋体" w:hAnsi="宋体" w:eastAsia="宋体" w:cs="宋体"/>
          <w:color w:val="000000" w:themeColor="text1"/>
          <w:sz w:val="24"/>
          <w:szCs w:val="24"/>
          <w:highlight w:val="none"/>
          <w14:textFill>
            <w14:solidFill>
              <w14:schemeClr w14:val="tx1"/>
            </w14:solidFill>
          </w14:textFill>
        </w:rPr>
        <w:t xml:space="preserve">，具体内容详见招标文件。</w:t>
      </w:r>
      <w:r/>
    </w:p>
    <w:p>
      <w:pPr>
        <w:ind w:firstLine="480"/>
        <w:jc w:val="left"/>
        <w:spacing w:line="360" w:lineRule="auto"/>
        <w:shd w:val="clear" w:color="auto"/>
        <w:rPr>
          <w:rFonts w:hint="eastAsia" w:ascii="宋体" w:hAnsi="宋体" w:cs="宋体" w:eastAsiaTheme="minorEastAsia"/>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bookmarkStart w:id="5" w:name="_Toc28359003"/>
      <w:r/>
      <w:bookmarkStart w:id="6" w:name="_Toc28359080"/>
      <w:r/>
      <w:bookmarkStart w:id="7" w:name="_Toc35393791"/>
      <w:r/>
      <w:bookmarkStart w:id="8" w:name="_Toc35393622"/>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三年</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本项目（是/否）接受联合体：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二、申请人的资格要求：</w:t>
      </w:r>
      <w:bookmarkEnd w:id="5"/>
      <w:r/>
      <w:bookmarkEnd w:id="6"/>
      <w:r/>
      <w:bookmarkEnd w:id="7"/>
      <w:r/>
      <w:bookmarkEnd w:id="8"/>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bookmarkStart w:id="9" w:name="_Toc28359082"/>
      <w:r/>
      <w:bookmarkStart w:id="10" w:name="_Toc28359005"/>
      <w:r/>
      <w:bookmarkStart w:id="11" w:name="_Toc35393624"/>
      <w:r/>
      <w:bookmarkStart w:id="12" w:name="_Toc35393793"/>
      <w:r>
        <w:rPr>
          <w:rFonts w:hint="eastAsia" w:ascii="宋体" w:hAnsi="宋体" w:eastAsia="宋体" w:cs="宋体"/>
          <w:color w:val="000000" w:themeColor="text1"/>
          <w:sz w:val="24"/>
          <w:szCs w:val="24"/>
          <w:highlight w:val="none"/>
          <w14:textFill>
            <w14:solidFill>
              <w14:schemeClr w14:val="tx1"/>
            </w14:solidFill>
          </w14:textFill>
        </w:rPr>
        <w:t xml:space="preserve">（一）满足《中华人民共和国政府采购法》第二十二条规定：</w:t>
      </w:r>
      <w:r/>
    </w:p>
    <w:p>
      <w:pPr>
        <w:ind w:firstLine="480"/>
        <w:jc w:val="left"/>
        <w:spacing w:line="360" w:lineRule="auto"/>
        <w:shd w:val="clear" w:color="auto"/>
        <w:rPr>
          <w:rFonts w:hint="default" w:ascii="宋体" w:hAnsi="宋体" w:eastAsia="宋体" w:cs="宋体"/>
          <w:color w:val="000000" w:themeColor="text1"/>
          <w:sz w:val="24"/>
          <w:szCs w:val="24"/>
          <w:highlight w:val="none"/>
          <w:lang w:val="en-US" w:eastAsia="zh-CN"/>
          <w14:textFill>
            <w14:solidFill>
              <w14:schemeClr w14:val="tx1"/>
            </w14:solidFill>
          </w14:textFill>
        </w:rPr>
      </w:pPr>
      <w:r/>
      <w:bookmarkStart w:id="13" w:name="_Toc28359081"/>
      <w:r/>
      <w:bookmarkStart w:id="14" w:name="_Hlk139306384"/>
      <w:r/>
      <w:bookmarkStart w:id="15" w:name="_Toc28359004"/>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1.具有独立承担民事责任的能力（提供法人或者其他组织的营业执照，自然人的身份证）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2.具有良好的商业信誉和健全的财务会计制度（提供评审前六个月银行出具的资信证明，或评审前六个月任意一个月的财务状况报告（至少包括资产负债表和利润表），或上一年度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(或2024年）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经审计的财务报告）（法人或者其他组织成立未满一年的可以不提供）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jc w:val="left"/>
        <w:spacing w:line="360" w:lineRule="auto"/>
        <w:shd w:val="clear" w:color="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3.具有履行合同所必需的设备和专业技术能力（根据项目需求提供履行合同所必需的设备和专业技术能力的声明及证明材料）；</w:t>
      </w:r>
      <w:r/>
    </w:p>
    <w:p>
      <w:pPr>
        <w:ind w:firstLine="480"/>
        <w:jc w:val="left"/>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4.有依法缴纳税收和社会保障资金的良好记录（供应商需要提供评审前六个月任意一个月的依法缴纳税收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依法免缴的应提供相应文件说明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和社会保障资金的记录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依法不需要缴纳社会保障资金的应提供相应文件说明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加政府采购活动前三年内，在经营活动中没有重大违法记录（提供参加本次政府采购活动前三年内在经营活动中没有重大违法记录的书面声明）（格式见后附件）</w:t>
      </w:r>
      <w:r/>
    </w:p>
    <w:p>
      <w:pPr>
        <w:ind w:firstLine="480"/>
        <w:jc w:val="left"/>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6.法律、行政法规规定的其他条件</w:t>
      </w:r>
      <w:r/>
    </w:p>
    <w:p>
      <w:pPr>
        <w:ind w:firstLine="480"/>
        <w:jc w:val="left"/>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7.注：①第5条所称重大违法记录，是指供应商因违法经营受到刑事处罚或者责令停产停业、吊销许可证或者执照、较大数额罚款等行政处罚。 ②供应商在参加政府采购活动前3年内因违法经营被禁止在一定期限内参加政府采购活动，期限届满的，可以参加政府采购活动</w:t>
      </w:r>
      <w:r/>
    </w:p>
    <w:p>
      <w:pPr>
        <w:numPr>
          <w:ilvl w:val="0"/>
          <w:numId w:val="0"/>
        </w:num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w:t>
      </w:r>
      <w:bookmarkEnd w:id="13"/>
      <w:r/>
      <w:bookmarkEnd w:id="14"/>
      <w:r/>
      <w:bookmarkEnd w:id="15"/>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（如属于专门面向中小企业采购的项目，供应商应为中小微企业、监狱企业、残疾人福利性单位）本项目按照采用以下第（1）种方式落实政府采购促进中小企业发展的要求：</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（1）本项目整体专门面向中小企业采购服务。</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（2）本项目整体专门面向小微企业采购服务。</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（3）本项目通过以下第（）种方式预留部分采购份额采购中小企业服务：</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①本项目要求供应商以联合体形式参加，中小企业合同金额应当达到的比例为/%。</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②本项目要求供应商进行合同分包，中小企业合同金额应当达到的比例为/%。</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（4）本项目为非预留份额的采购项目或采购包，执行价格扣除优惠政策，具体详见第三章。</w:t>
      </w:r>
      <w:r/>
    </w:p>
    <w:p>
      <w:p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（三）本项目的特定资格要求：供应商具有施工总承包市政公用工程三级(含)以上且具有有效的安全生产许可证，提供相关证书复印件加盖供应商公章。</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三、获取招标文件</w:t>
      </w:r>
      <w:r/>
    </w:p>
    <w:p>
      <w:p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时间：自招标文件公告发布之日起5个工作日</w:t>
      </w:r>
      <w:r/>
    </w:p>
    <w:p>
      <w:p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地点：江苏政府采购网</w:t>
      </w:r>
      <w:r/>
    </w:p>
    <w:p>
      <w:p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方式：网上下载 </w:t>
      </w:r>
      <w:r/>
    </w:p>
    <w:p>
      <w:p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0.00元</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四、提交投标文件</w:t>
      </w:r>
      <w:bookmarkEnd w:id="9"/>
      <w:r/>
      <w:bookmarkEnd w:id="10"/>
      <w:r>
        <w:rPr>
          <w:rFonts w:hint="eastAsia" w:ascii="宋体" w:hAnsi="宋体" w:eastAsia="宋体" w:cs="宋体"/>
          <w:color w:val="000000" w:themeColor="text1"/>
          <w:sz w:val="24"/>
          <w:szCs w:val="24"/>
          <w:highlight w:val="none"/>
          <w14:textFill>
            <w14:solidFill>
              <w14:schemeClr w14:val="tx1"/>
            </w14:solidFill>
          </w14:textFill>
        </w:rPr>
        <w:t xml:space="preserve">截止时间、开标时间和地点</w:t>
      </w:r>
      <w:bookmarkEnd w:id="11"/>
      <w:r/>
      <w:bookmarkEnd w:id="12"/>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bookmarkStart w:id="16" w:name="_Toc35393794"/>
      <w:r/>
      <w:bookmarkStart w:id="17" w:name="_Toc35393625"/>
      <w:r/>
      <w:bookmarkStart w:id="18" w:name="_Toc28359084"/>
      <w:r/>
      <w:bookmarkStart w:id="19" w:name="_Toc28359007"/>
      <w:r>
        <w:rPr>
          <w:rFonts w:hint="eastAsia" w:ascii="宋体" w:hAnsi="宋体" w:eastAsia="宋体" w:cs="宋体"/>
          <w:color w:val="000000" w:themeColor="text1"/>
          <w:sz w:val="24"/>
          <w:szCs w:val="24"/>
          <w:highlight w:val="none"/>
          <w14:textFill>
            <w14:solidFill>
              <w14:schemeClr w14:val="tx1"/>
            </w14:solidFill>
          </w14:textFill>
        </w:rPr>
        <w:t xml:space="preserve">时间：</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shd w:val="clear" w:color="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地点：江苏省政府采购交易系统（以下简称“苏采云系统”）网上开标大厅。</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五、公告期限</w:t>
      </w:r>
      <w:bookmarkEnd w:id="16"/>
      <w:r/>
      <w:bookmarkEnd w:id="17"/>
      <w:r/>
      <w:bookmarkEnd w:id="18"/>
      <w:r/>
      <w:bookmarkEnd w:id="19"/>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bookmarkStart w:id="20" w:name="_Toc35393795"/>
      <w:r/>
      <w:bookmarkStart w:id="21" w:name="_Toc35393626"/>
      <w:r>
        <w:rPr>
          <w:rFonts w:hint="eastAsia" w:ascii="宋体" w:hAnsi="宋体" w:eastAsia="宋体" w:cs="宋体"/>
          <w:color w:val="000000" w:themeColor="text1"/>
          <w:sz w:val="24"/>
          <w:szCs w:val="24"/>
          <w:highlight w:val="none"/>
          <w14:textFill>
            <w14:solidFill>
              <w14:schemeClr w14:val="tx1"/>
            </w14:solidFill>
          </w14:textFill>
        </w:rPr>
        <w:t xml:space="preserve">六、其他补充事宜</w:t>
      </w:r>
      <w:bookmarkEnd w:id="20"/>
      <w:r/>
      <w:bookmarkEnd w:id="21"/>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bookmarkStart w:id="22" w:name="_Toc28359008"/>
      <w:r/>
      <w:bookmarkStart w:id="23" w:name="_Toc35393627"/>
      <w:r/>
      <w:bookmarkStart w:id="24" w:name="_Toc28359085"/>
      <w:r/>
      <w:bookmarkStart w:id="25" w:name="_Toc35393796"/>
      <w:r>
        <w:rPr>
          <w:rFonts w:hint="eastAsia" w:ascii="宋体" w:hAnsi="宋体" w:eastAsia="宋体" w:cs="宋体"/>
          <w:color w:val="000000" w:themeColor="text1"/>
          <w:sz w:val="24"/>
          <w:szCs w:val="24"/>
          <w:highlight w:val="none"/>
          <w14:textFill>
            <w14:solidFill>
              <w14:schemeClr w14:val="tx1"/>
            </w14:solidFill>
          </w14:textFill>
        </w:rPr>
        <w:t xml:space="preserve">（一）本项目采购标的所属行业为：其他未列明行业。</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（二）本项目不接受转包。</w:t>
      </w:r>
      <w:r/>
    </w:p>
    <w:p>
      <w:pPr>
        <w:ind w:firstLine="480"/>
        <w:jc w:val="left"/>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80"/>
        <w:jc w:val="left"/>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(四）拒绝下述供应商参加本次采购活动：</w:t>
      </w:r>
      <w:r/>
    </w:p>
    <w:p>
      <w:pPr>
        <w:ind w:firstLine="480"/>
        <w:jc w:val="left"/>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（1）供应商单位负责人为同一人或者存在直接控股、管理关系的不同供应商，不得参加同一合同项下的采购活动。</w:t>
      </w:r>
      <w:r/>
    </w:p>
    <w:p>
      <w:pPr>
        <w:ind w:firstLine="480"/>
        <w:jc w:val="left"/>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（2）凡为采购项目提供整体设计、规范编制或者项目管理、监理、检测等服务的供应商，不得再参加本项目的采购活动。</w:t>
      </w:r>
      <w:r/>
    </w:p>
    <w:p>
      <w:pPr>
        <w:ind w:firstLine="480"/>
        <w:jc w:val="left"/>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（3）拒绝列入失信被执行人、重大税收违法失信主体、政府采购严重违法失信行为记录名单中的供应商参加本项目的采购活动。</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）公告媒体</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1.本公告在江苏政府采购网（http://www.ccgp-jiangsu.gov.cn/）、</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中国政府采购网（https://www.ccgp.gov.cn/）、</w:t>
      </w:r>
      <w:r>
        <w:rPr>
          <w:rFonts w:hint="eastAsia" w:ascii="宋体" w:hAnsi="宋体" w:eastAsia="宋体" w:cs="宋体"/>
          <w:color w:val="000000" w:themeColor="text1"/>
          <w:sz w:val="24"/>
          <w:szCs w:val="24"/>
          <w:highlight w:val="none"/>
          <w14:textFill>
            <w14:solidFill>
              <w14:schemeClr w14:val="tx1"/>
            </w14:solidFill>
          </w14:textFill>
        </w:rPr>
        <w:t xml:space="preserve">南京公共采购信息网（https://njgc.jfh.com/）公示发布，敬请各投标人关注；</w:t>
      </w:r>
      <w:r/>
    </w:p>
    <w:p>
      <w:p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2.若有关本次采购存在变动或修改，敬请各投标人及时关注江苏政府采购网（http://www.ccgp-jiangsu.gov.cn/）、</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中国政府采购网（https://www.ccgp.gov.cn/）、</w:t>
      </w:r>
      <w:r>
        <w:rPr>
          <w:rFonts w:hint="eastAsia" w:ascii="宋体" w:hAnsi="宋体" w:eastAsia="宋体" w:cs="宋体"/>
          <w:color w:val="000000" w:themeColor="text1"/>
          <w:sz w:val="24"/>
          <w:szCs w:val="24"/>
          <w:highlight w:val="none"/>
          <w14:textFill>
            <w14:solidFill>
              <w14:schemeClr w14:val="tx1"/>
            </w14:solidFill>
          </w14:textFill>
        </w:rPr>
        <w:t xml:space="preserve">南京公共采购信息网（https://njgc.jfh.com/）发布的关于本项目的信息更正公告。</w:t>
      </w:r>
      <w:r/>
    </w:p>
    <w:p>
      <w:pPr>
        <w:ind w:firstLine="48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）需要落实的政府采购政策：</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（1）政府采购促进中小企业发展</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（2）政府采购支持监狱企业发展</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（3）政府采购促进残疾人就业</w:t>
      </w:r>
      <w:r/>
    </w:p>
    <w:p>
      <w:pPr>
        <w:ind w:firstLine="480"/>
        <w:jc w:val="left"/>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（4）政府采购鼓励采购节能环保产品</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color w:val="000000" w:themeColor="text1"/>
          <w:sz w:val="24"/>
          <w:szCs w:val="24"/>
          <w:highlight w:val="none"/>
          <w14:textFill>
            <w14:solidFill>
              <w14:schemeClr w14:val="tx1"/>
            </w14:solidFill>
          </w14:textFill>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1.符合国家相关规定的财务状况报告；</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2.依法缴纳税收的证明材料；</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3.依法缴纳社会保障资金的证明材料；</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4.具备履行政府采购合同所必需的设备和专业技术能力的证明材料；</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5.参加政府采购活动前三年内在经营活动中没有重大违法记录的证明材料；</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6.未被列入失信被执行人、重大税收违法失信主体、政府采购严重违法失信行为记录名单的证明材料。</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供应商涉及以下情形的，不适用信用承诺：</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1.供应商被列入严重失信主体名单；</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2.被相关监管部门作出行政处罚且尚在处罚有效期内；</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3.其他法律、行政法规规定的不适用信用承诺的情形。</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七、对本次招标提出询问，请按以下方式联系。</w:t>
      </w:r>
      <w:bookmarkEnd w:id="22"/>
      <w:r/>
      <w:bookmarkEnd w:id="23"/>
      <w:r/>
      <w:bookmarkEnd w:id="24"/>
      <w:r/>
      <w:bookmarkEnd w:id="25"/>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firstLine="480"/>
        <w:jc w:val="left"/>
        <w:spacing w:line="360" w:lineRule="auto"/>
        <w:shd w:val="clear" w:color="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bookmarkStart w:id="26" w:name="_Toc28359009"/>
      <w:r/>
      <w:bookmarkStart w:id="27" w:name="_Toc28359086"/>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南京市栖霞区市政设施综合养护管理所</w:t>
      </w:r>
      <w:r/>
    </w:p>
    <w:p>
      <w:pPr>
        <w:ind w:firstLine="480"/>
        <w:jc w:val="left"/>
        <w:spacing w:line="360" w:lineRule="auto"/>
        <w:shd w:val="clear" w:color="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南京市栖霞区仙林大学城文成路1号</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戴</w:t>
      </w:r>
      <w:r>
        <w:rPr>
          <w:rFonts w:hint="eastAsia" w:ascii="宋体" w:hAnsi="宋体" w:eastAsia="宋体" w:cs="宋体"/>
          <w:color w:val="000000" w:themeColor="text1"/>
          <w:sz w:val="24"/>
          <w:szCs w:val="24"/>
          <w:highlight w:val="none"/>
          <w:u w:val="single"/>
          <w14:textFill>
            <w14:solidFill>
              <w14:schemeClr w14:val="tx1"/>
            </w14:solidFill>
          </w14:textFill>
        </w:rPr>
        <w:t xml:space="preserve">工</w:t>
      </w:r>
      <w:r/>
    </w:p>
    <w:p>
      <w:pPr>
        <w:ind w:firstLine="480"/>
        <w:jc w:val="left"/>
        <w:spacing w:line="360" w:lineRule="auto"/>
        <w:shd w:val="clear" w:color="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025-85580265</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bookmarkEnd w:id="26"/>
      <w:r/>
      <w:bookmarkEnd w:id="27"/>
      <w:r/>
      <w:r/>
    </w:p>
    <w:p>
      <w:pPr>
        <w:ind w:firstLine="480"/>
        <w:jc w:val="left"/>
        <w:spacing w:line="360" w:lineRule="auto"/>
        <w:shd w:val="clear" w:color="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南京科谨工程管理咨询有限责任公司</w:t>
      </w:r>
      <w:r/>
    </w:p>
    <w:p>
      <w:pPr>
        <w:ind w:firstLine="480"/>
        <w:jc w:val="left"/>
        <w:spacing w:line="360" w:lineRule="auto"/>
        <w:shd w:val="clear" w:color="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南京市建邺区广聚路33号2505室 </w:t>
      </w:r>
      <w:r/>
    </w:p>
    <w:p>
      <w:pPr>
        <w:ind w:firstLine="480"/>
        <w:jc w:val="left"/>
        <w:spacing w:line="360" w:lineRule="auto"/>
        <w:shd w:val="clear" w:color="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bookmarkStart w:id="28" w:name="_Toc28359010"/>
      <w:r/>
      <w:bookmarkStart w:id="29" w:name="_Toc28359087"/>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潘工</w:t>
      </w:r>
      <w:r/>
    </w:p>
    <w:p>
      <w:pPr>
        <w:ind w:firstLine="480"/>
        <w:jc w:val="left"/>
        <w:spacing w:line="360" w:lineRule="auto"/>
        <w:shd w:val="clear" w:color="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15651712525</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bookmarkEnd w:id="28"/>
      <w:r/>
      <w:bookmarkEnd w:id="29"/>
      <w:r/>
      <w:r/>
    </w:p>
    <w:p>
      <w:pPr>
        <w:ind w:firstLine="480"/>
        <w:jc w:val="left"/>
        <w:spacing w:line="360" w:lineRule="auto"/>
        <w:shd w:val="clear" w:color="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潘工</w:t>
      </w:r>
      <w:r/>
    </w:p>
    <w:p>
      <w:pPr>
        <w:ind w:firstLine="480"/>
        <w:jc w:val="left"/>
        <w:spacing w:line="360" w:lineRule="auto"/>
        <w:shd w:val="clear" w:color="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15651712525</w:t>
      </w:r>
      <w:r/>
    </w:p>
    <w:p>
      <w:pPr>
        <w:ind w:firstLine="480"/>
        <w:jc w:val="left"/>
        <w:spacing w:line="36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请贵单位领取本次招标文件后，认真阅读各项内容，进行必要的投标准备，按文件的要求详细填写和编制投标文件，并按以上确定的时间、地点准时参加投标。</w:t>
      </w:r>
      <w:r/>
    </w:p>
    <w:p>
      <w:pPr>
        <w:ind w:firstLine="720"/>
        <w:shd w:val="clear" w:color="auto"/>
        <w:rPr>
          <w:rFonts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br w:type="page" w:clear="all"/>
      </w:r>
      <w:r/>
    </w:p>
    <w:p>
      <w:pPr>
        <w:pStyle w:val="962"/>
        <w:jc w:val="center"/>
        <w:shd w:val="clear" w:color="auto"/>
        <w:rPr>
          <w:rFonts w:ascii="宋体" w:hAnsi="宋体" w:cs="宋体"/>
          <w:b/>
          <w:color w:val="000000" w:themeColor="text1"/>
          <w:sz w:val="36"/>
          <w:highlight w:val="none"/>
          <w:lang w:val="zh-CN"/>
          <w14:textFill>
            <w14:solidFill>
              <w14:schemeClr w14:val="tx1"/>
            </w14:solidFill>
          </w14:textFill>
        </w:rPr>
        <w:outlineLvl w:val="0"/>
      </w:pPr>
      <w:r>
        <w:rPr>
          <w:rFonts w:hint="eastAsia" w:ascii="宋体" w:hAnsi="宋体" w:cs="宋体"/>
          <w:b/>
          <w:color w:val="000000" w:themeColor="text1"/>
          <w:sz w:val="36"/>
          <w:highlight w:val="none"/>
          <w:lang w:val="zh-CN"/>
          <w14:textFill>
            <w14:solidFill>
              <w14:schemeClr w14:val="tx1"/>
            </w14:solidFill>
          </w14:textFill>
        </w:rPr>
        <w:t xml:space="preserve">第二章  投标人须知</w:t>
      </w:r>
      <w:r/>
    </w:p>
    <w:p>
      <w:pPr>
        <w:ind w:firstLine="420"/>
        <w:shd w:val="clear" w:color="auto"/>
        <w:rPr>
          <w:rFonts w:ascii="宋体"/>
          <w:b/>
          <w:bCs/>
          <w:color w:val="000000" w:themeColor="text1"/>
          <w:sz w:val="24"/>
          <w:szCs w:val="24"/>
          <w:highlight w:val="none"/>
          <w:lang w:val="zh-CN"/>
          <w14:textFill>
            <w14:solidFill>
              <w14:schemeClr w14:val="tx1"/>
            </w14:solidFill>
          </w14:textFill>
        </w:rPr>
      </w:pPr>
      <w:r>
        <w:rPr>
          <w:rFonts w:hint="eastAsia" w:ascii="宋体"/>
          <w:b/>
          <w:bCs/>
          <w:color w:val="000000" w:themeColor="text1"/>
          <w:sz w:val="24"/>
          <w:szCs w:val="24"/>
          <w:highlight w:val="none"/>
          <w:lang w:val="zh-CN"/>
          <w14:textFill>
            <w14:solidFill>
              <w14:schemeClr w14:val="tx1"/>
            </w14:solidFill>
          </w14:textFill>
        </w:rPr>
        <w:t xml:space="preserve">一、总则</w:t>
      </w:r>
      <w:r/>
    </w:p>
    <w:p>
      <w:pPr>
        <w:ind w:firstLine="420"/>
        <w:shd w:val="clear" w:color="auto"/>
        <w:rPr>
          <w:rFonts w:ascii="宋体"/>
          <w:b/>
          <w:color w:val="000000" w:themeColor="text1"/>
          <w:sz w:val="24"/>
          <w:szCs w:val="24"/>
          <w:highlight w:val="none"/>
          <w:lang w:val="zh-CN"/>
          <w14:textFill>
            <w14:solidFill>
              <w14:schemeClr w14:val="tx1"/>
            </w14:solidFill>
          </w14:textFill>
        </w:rPr>
        <w:outlineLvl w:val="0"/>
      </w:pPr>
      <w:r>
        <w:rPr>
          <w:rFonts w:ascii="宋体"/>
          <w:b/>
          <w:color w:val="000000" w:themeColor="text1"/>
          <w:sz w:val="24"/>
          <w:szCs w:val="24"/>
          <w:highlight w:val="none"/>
          <w:lang w:val="zh-CN"/>
          <w14:textFill>
            <w14:solidFill>
              <w14:schemeClr w14:val="tx1"/>
            </w14:solidFill>
          </w14:textFill>
        </w:rPr>
        <w:t xml:space="preserve">1</w:t>
      </w:r>
      <w:r>
        <w:rPr>
          <w:rFonts w:hint="eastAsia" w:ascii="宋体"/>
          <w:b/>
          <w:color w:val="000000" w:themeColor="text1"/>
          <w:sz w:val="24"/>
          <w:szCs w:val="24"/>
          <w:highlight w:val="none"/>
          <w:lang w:val="zh-CN"/>
          <w14:textFill>
            <w14:solidFill>
              <w14:schemeClr w14:val="tx1"/>
            </w14:solidFill>
          </w14:textFill>
        </w:rPr>
        <w:t xml:space="preserve">、适用法律</w:t>
      </w:r>
      <w:r/>
    </w:p>
    <w:p>
      <w:pPr>
        <w:ind w:firstLine="420"/>
        <w:shd w:val="clear" w:color="auto"/>
        <w:rPr>
          <w:rFonts w:ascii="宋体"/>
          <w:color w:val="000000" w:themeColor="text1"/>
          <w:sz w:val="24"/>
          <w:szCs w:val="24"/>
          <w:highlight w:val="none"/>
          <w:lang w:val="zh-CN"/>
          <w14:textFill>
            <w14:solidFill>
              <w14:schemeClr w14:val="tx1"/>
            </w14:solidFill>
          </w14:textFill>
        </w:rPr>
      </w:pPr>
      <w:r>
        <w:rPr>
          <w:rFonts w:ascii="宋体"/>
          <w:color w:val="000000" w:themeColor="text1"/>
          <w:sz w:val="24"/>
          <w:szCs w:val="24"/>
          <w:highlight w:val="none"/>
          <w:lang w:val="zh-CN"/>
          <w14:textFill>
            <w14:solidFill>
              <w14:schemeClr w14:val="tx1"/>
            </w14:solidFill>
          </w14:textFill>
        </w:rPr>
        <w:t xml:space="preserve">1.1</w:t>
      </w:r>
      <w:r>
        <w:rPr>
          <w:rFonts w:hint="eastAsia" w:ascii="宋体"/>
          <w:color w:val="000000" w:themeColor="text1"/>
          <w:sz w:val="24"/>
          <w:szCs w:val="24"/>
          <w:highlight w:val="none"/>
          <w:lang w:val="zh-CN"/>
          <w14:textFill>
            <w14:solidFill>
              <w14:schemeClr w14:val="tx1"/>
            </w14:solidFill>
          </w14:textFill>
        </w:rPr>
        <w:t xml:space="preserve"> 《中华人民共和国政府采购法》、《中华人民共和国政府采购法实施条例》、《政府采购货物和服务招标投标管理办法》等有关法律、规章和规定等。</w:t>
      </w:r>
      <w:r/>
    </w:p>
    <w:p>
      <w:pPr>
        <w:ind w:firstLine="420"/>
        <w:shd w:val="clear" w:color="auto"/>
        <w:rPr>
          <w:rFonts w:ascii="宋体"/>
          <w:b/>
          <w:color w:val="000000" w:themeColor="text1"/>
          <w:sz w:val="24"/>
          <w:szCs w:val="24"/>
          <w:highlight w:val="none"/>
          <w:lang w:val="zh-CN"/>
          <w14:textFill>
            <w14:solidFill>
              <w14:schemeClr w14:val="tx1"/>
            </w14:solidFill>
          </w14:textFill>
        </w:rPr>
        <w:outlineLvl w:val="0"/>
      </w:pPr>
      <w:r>
        <w:rPr>
          <w:rFonts w:ascii="宋体"/>
          <w:b/>
          <w:color w:val="000000" w:themeColor="text1"/>
          <w:sz w:val="24"/>
          <w:szCs w:val="24"/>
          <w:highlight w:val="none"/>
          <w:lang w:val="zh-CN"/>
          <w14:textFill>
            <w14:solidFill>
              <w14:schemeClr w14:val="tx1"/>
            </w14:solidFill>
          </w14:textFill>
        </w:rPr>
        <w:t xml:space="preserve">2</w:t>
      </w:r>
      <w:r>
        <w:rPr>
          <w:rFonts w:hint="eastAsia" w:ascii="宋体"/>
          <w:b/>
          <w:color w:val="000000" w:themeColor="text1"/>
          <w:sz w:val="24"/>
          <w:szCs w:val="24"/>
          <w:highlight w:val="none"/>
          <w:lang w:val="zh-CN"/>
          <w14:textFill>
            <w14:solidFill>
              <w14:schemeClr w14:val="tx1"/>
            </w14:solidFill>
          </w14:textFill>
        </w:rPr>
        <w:t xml:space="preserve">、定义</w:t>
      </w:r>
      <w:r/>
    </w:p>
    <w:p>
      <w:pPr>
        <w:ind w:firstLine="420"/>
        <w:shd w:val="clear" w:color="auto"/>
        <w:rPr>
          <w:rFonts w:ascii="宋体"/>
          <w:color w:val="000000" w:themeColor="text1"/>
          <w:sz w:val="24"/>
          <w:szCs w:val="24"/>
          <w:highlight w:val="none"/>
          <w:lang w:val="zh-CN"/>
          <w14:textFill>
            <w14:solidFill>
              <w14:schemeClr w14:val="tx1"/>
            </w14:solidFill>
          </w14:textFill>
        </w:rPr>
      </w:pPr>
      <w:r>
        <w:rPr>
          <w:rFonts w:ascii="宋体"/>
          <w:color w:val="000000" w:themeColor="text1"/>
          <w:sz w:val="24"/>
          <w:szCs w:val="24"/>
          <w:highlight w:val="none"/>
          <w:lang w:val="zh-CN"/>
          <w14:textFill>
            <w14:solidFill>
              <w14:schemeClr w14:val="tx1"/>
            </w14:solidFill>
          </w14:textFill>
        </w:rPr>
        <w:t xml:space="preserve">2.</w:t>
      </w:r>
      <w:r>
        <w:rPr>
          <w:rFonts w:hint="eastAsia" w:ascii="宋体"/>
          <w:color w:val="000000" w:themeColor="text1"/>
          <w:sz w:val="24"/>
          <w:szCs w:val="24"/>
          <w:highlight w:val="none"/>
          <w:lang w:val="zh-CN"/>
          <w14:textFill>
            <w14:solidFill>
              <w14:schemeClr w14:val="tx1"/>
            </w14:solidFill>
          </w14:textFill>
        </w:rPr>
        <w:t xml:space="preserve">1 “供应商”、“投标人”是指参加投标竞争，并符合招标文件规定资格条件的法人、其他组织或者自然人。</w:t>
      </w:r>
      <w:r/>
    </w:p>
    <w:p>
      <w:pPr>
        <w:ind w:firstLine="420"/>
        <w:shd w:val="clear" w:color="auto"/>
        <w:rPr>
          <w:rFonts w:ascii="宋体"/>
          <w:color w:val="000000" w:themeColor="text1"/>
          <w:sz w:val="24"/>
          <w:szCs w:val="24"/>
          <w:highlight w:val="none"/>
          <w:lang w:val="zh-CN"/>
          <w14:textFill>
            <w14:solidFill>
              <w14:schemeClr w14:val="tx1"/>
            </w14:solidFill>
          </w14:textFill>
        </w:rPr>
      </w:pPr>
      <w:r>
        <w:rPr>
          <w:rFonts w:ascii="宋体"/>
          <w:color w:val="000000" w:themeColor="text1"/>
          <w:sz w:val="24"/>
          <w:szCs w:val="24"/>
          <w:highlight w:val="none"/>
          <w:lang w:val="zh-CN"/>
          <w14:textFill>
            <w14:solidFill>
              <w14:schemeClr w14:val="tx1"/>
            </w14:solidFill>
          </w14:textFill>
        </w:rPr>
        <w:t xml:space="preserve">2.</w:t>
      </w:r>
      <w:r>
        <w:rPr>
          <w:rFonts w:hint="eastAsia" w:ascii="宋体"/>
          <w:color w:val="000000" w:themeColor="text1"/>
          <w:sz w:val="24"/>
          <w:szCs w:val="24"/>
          <w:highlight w:val="none"/>
          <w:lang w:val="zh-CN"/>
          <w14:textFill>
            <w14:solidFill>
              <w14:schemeClr w14:val="tx1"/>
            </w14:solidFill>
          </w14:textFill>
        </w:rPr>
        <w:t xml:space="preserve">2 “产品”指本招标文件中所述产品及相关服务。</w:t>
      </w:r>
      <w:r/>
    </w:p>
    <w:p>
      <w:pPr>
        <w:ind w:firstLine="420"/>
        <w:shd w:val="clear" w:color="auto"/>
        <w:rPr>
          <w:rFonts w:ascii="宋体"/>
          <w:color w:val="000000" w:themeColor="text1"/>
          <w:sz w:val="24"/>
          <w:szCs w:val="24"/>
          <w:highlight w:val="none"/>
          <w:lang w:val="zh-CN"/>
          <w14:textFill>
            <w14:solidFill>
              <w14:schemeClr w14:val="tx1"/>
            </w14:solidFill>
          </w14:textFill>
        </w:rPr>
      </w:pPr>
      <w:r>
        <w:rPr>
          <w:rFonts w:ascii="宋体"/>
          <w:color w:val="000000" w:themeColor="text1"/>
          <w:sz w:val="24"/>
          <w:szCs w:val="24"/>
          <w:highlight w:val="none"/>
          <w:lang w:val="zh-CN"/>
          <w14:textFill>
            <w14:solidFill>
              <w14:schemeClr w14:val="tx1"/>
            </w14:solidFill>
          </w14:textFill>
        </w:rPr>
        <w:t xml:space="preserve">2.</w:t>
      </w:r>
      <w:r>
        <w:rPr>
          <w:rFonts w:hint="eastAsia" w:ascii="宋体"/>
          <w:color w:val="000000" w:themeColor="text1"/>
          <w:sz w:val="24"/>
          <w:szCs w:val="24"/>
          <w:highlight w:val="none"/>
          <w:lang w:val="zh-CN"/>
          <w14:textFill>
            <w14:solidFill>
              <w14:schemeClr w14:val="tx1"/>
            </w14:solidFill>
          </w14:textFill>
        </w:rPr>
        <w:t xml:space="preserve">3 “用户或使用单位”是指使用货物、服务的单位。</w:t>
      </w:r>
      <w:r/>
    </w:p>
    <w:p>
      <w:pPr>
        <w:ind w:firstLine="420"/>
        <w:shd w:val="clear" w:color="auto"/>
        <w:rPr>
          <w:rFonts w:ascii="宋体" w:hAnsi="宋体"/>
          <w:b/>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lang w:val="zh-CN"/>
          <w14:textFill>
            <w14:solidFill>
              <w14:schemeClr w14:val="tx1"/>
            </w14:solidFill>
          </w14:textFill>
        </w:rPr>
        <w:t xml:space="preserve">3、政策功能</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3.1 政府采购促进中小企业发展，在政府采购活动中，供应商提供的货物、工程或者服务</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符合下列情形的，享受中小企业扶持政策：</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（1）在货物采购项目中，货物由中小企业制造，即货物由中小企业生产且使用该中小企业商号或者注册商标；</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（2）在工程采购项目中，工程由中小企业承建，即工程施工单位为中小企业；</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在货物采购项目中，供应商提供的货物既有中小企业制造货物，也有大型企业制造货物的，不享受中小企业扶持政策。</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提供的产品属于信息安全产品的，供应商应当选择经国家认证的信息安全产品投标，并提供由中国信息安全认证中心按国家标准认证颁发的有效认证证书复印件。</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3.6 提供的产品属于政府强制采购节能产品的，供应商应当选择依据国家标准中二级能效（水效）指标认证的节能产品投标，并提供有效的节能产品认证证书复印件。</w:t>
      </w:r>
      <w:r/>
    </w:p>
    <w:p>
      <w:pPr>
        <w:ind w:firstLine="47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3.7 提供的产品属于环境标志产品的，供应商应当选择依据相关标准的最新版本认证的环境标志产品投标，并提供有效的环境标志产品认证证书复印件。</w:t>
      </w:r>
      <w:r/>
    </w:p>
    <w:p>
      <w:pPr>
        <w:ind w:left="479"/>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3.8未按要求提供相关材料的，不享受相关政策。</w:t>
      </w:r>
      <w:r>
        <w:rPr>
          <w:rFonts w:hint="eastAsia" w:ascii="宋体" w:hAnsi="宋体" w:cs="宋体"/>
          <w:color w:val="000000" w:themeColor="text1"/>
          <w:sz w:val="24"/>
          <w:szCs w:val="24"/>
          <w:highlight w:val="none"/>
          <w:lang w:val="zh-CN"/>
          <w14:textFill>
            <w14:solidFill>
              <w14:schemeClr w14:val="tx1"/>
            </w14:solidFill>
          </w14:textFill>
        </w:rPr>
        <w:br/>
      </w:r>
      <w:r>
        <w:rPr>
          <w:rFonts w:hint="eastAsia" w:ascii="宋体" w:hAnsi="宋体"/>
          <w:b/>
          <w:color w:val="000000" w:themeColor="text1"/>
          <w:sz w:val="24"/>
          <w:szCs w:val="24"/>
          <w:highlight w:val="none"/>
          <w14:textFill>
            <w14:solidFill>
              <w14:schemeClr w14:val="tx1"/>
            </w14:solidFill>
          </w14:textFill>
        </w:rPr>
        <w:t xml:space="preserve">二、招标文件</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4.招标文件组成</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4.3 招标文件如果要求供应商提交备选投标方案的，供应商可以提交备选方案，否则，不接受备选方案。</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5.招标文件的澄清修改</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 任何要求对招标文件进行澄清的投标人，应在投标截止期十日前按招标公告中的通讯地址，以书面形式通知代理机构；</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5.3 代理机构在招标文件要求提交投标文件截止时间前，有权决定延长投标截止时间和开标时间，并在原采购信息发布媒体上发布变更公告。</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三、投标</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6.投标文件的语言、计量单位、货币、技术标准和编制</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6.2 供应商所使用的计量单位应为国家法定计量单位。</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6.3 供应商应用人民币报价。</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6.4 如标书制作工具中格式和内容与“江苏政府采购网”发布的招标文件不一致，以“江苏政府采购网”发布的招标文件为准。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6.5 供应商应在投标文件中写清相应的项目编号、项目名称、供应商全称、地址、电话、传真等。</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6.6 供应商所使用的技术标准应遵循国家最新标准及规范。</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7.联合体及分包：本项目</w:t>
      </w:r>
      <w:r>
        <w:rPr>
          <w:rFonts w:hint="eastAsia" w:ascii="宋体" w:hAnsi="宋体"/>
          <w:b/>
          <w:color w:val="000000" w:themeColor="text1"/>
          <w:sz w:val="24"/>
          <w:szCs w:val="24"/>
          <w:highlight w:val="none"/>
          <w:lang w:val="en-US" w:eastAsia="zh-CN"/>
          <w14:textFill>
            <w14:solidFill>
              <w14:schemeClr w14:val="tx1"/>
            </w14:solidFill>
          </w14:textFill>
        </w:rPr>
        <w:t xml:space="preserve">不</w:t>
      </w:r>
      <w:r>
        <w:rPr>
          <w:rFonts w:hint="eastAsia" w:ascii="宋体" w:hAnsi="宋体"/>
          <w:b/>
          <w:color w:val="000000" w:themeColor="text1"/>
          <w:sz w:val="24"/>
          <w:szCs w:val="24"/>
          <w:highlight w:val="none"/>
          <w14:textFill>
            <w14:solidFill>
              <w14:schemeClr w14:val="tx1"/>
            </w14:solidFill>
          </w14:textFill>
        </w:rPr>
        <w:t xml:space="preserve">接受联合体投标。</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7.1 采购项目如接受联合体投标的，两个以上的自然人、法人或者其他组织可以组成一个联合体，以一个供应商的身份共同参加投标。</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7.4 享受中小企业扶持政策获得政府采购合同的，小微企业不得将合同分包给大中型企业，中型企业不得将合同分包给大型企业。</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8.投标费用</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 供应商应承担所有与准备和参加投标有关的费用，无论采购结果如何，代理机构和采购人在任何情况下均无义务和责任承担这些费用。</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8.2 本次招标，中标人按《招标代理服务费管理暂行办法》（国家发展计划委员会计价格【2002】1980号）代理服务招标收费标准</w:t>
      </w:r>
      <w:r>
        <w:rPr>
          <w:rFonts w:hint="eastAsia" w:ascii="宋体" w:hAnsi="宋体"/>
          <w:bCs/>
          <w:color w:val="000000" w:themeColor="text1"/>
          <w:sz w:val="24"/>
          <w:szCs w:val="24"/>
          <w:highlight w:val="none"/>
          <w:lang w:eastAsia="zh-CN"/>
          <w14:textFill>
            <w14:solidFill>
              <w14:schemeClr w14:val="tx1"/>
            </w14:solidFill>
          </w14:textFill>
        </w:rPr>
        <w:t xml:space="preserve">的</w:t>
      </w:r>
      <w:r>
        <w:rPr>
          <w:rFonts w:hint="eastAsia" w:ascii="宋体" w:hAnsi="宋体"/>
          <w:bCs/>
          <w:color w:val="000000" w:themeColor="text1"/>
          <w:sz w:val="24"/>
          <w:szCs w:val="24"/>
          <w:highlight w:val="none"/>
          <w:lang w:val="en-US" w:eastAsia="zh-CN"/>
          <w14:textFill>
            <w14:solidFill>
              <w14:schemeClr w14:val="tx1"/>
            </w14:solidFill>
          </w14:textFill>
        </w:rPr>
        <w:t xml:space="preserve">80%</w:t>
      </w:r>
      <w:r>
        <w:rPr>
          <w:rFonts w:hint="eastAsia" w:ascii="宋体" w:hAnsi="宋体"/>
          <w:bCs/>
          <w:color w:val="000000" w:themeColor="text1"/>
          <w:sz w:val="24"/>
          <w:szCs w:val="24"/>
          <w:highlight w:val="none"/>
          <w14:textFill>
            <w14:solidFill>
              <w14:schemeClr w14:val="tx1"/>
            </w14:solidFill>
          </w14:textFill>
        </w:rPr>
        <w:t xml:space="preserve">计算，向招标代理机构支付招标服务费。该项费用请供应商综合考虑在投标报价中，后期采购人不单独列支，必须在领取中标通知书前向招标代理机构支付招标服务费。</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9.投标文件组成</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9.1 投标人编写的投标文件应包括资格证明文件、符合性证明文件、投标分项报价表、响应及偏离表、其他证明文件、投标函、开标一览表等部分。</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9.2 供应商应当根据招标文件要求编制投标文件，投标文件应对招标文件提出的要求和条件作出实质性响应，并在《商务条款偏离表》和《技术条款偏离表》《资格性响应对照表》等处逐条标明满足与否。</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10.投标文件的商务部分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10.1 商务部分是证明供应商有资格参加投标和中标后有能力履行合同的文件，这些文件应能满足招标的要求，包括但不限于下列文件，其中加“★”项目不得有缺失或无效：</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（1）★投标函（投标申请及声明）；</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（2）★法定代表人授权委托书及授权委托人的身份证复印件（有授权委托的），或法定代表人身份证复印件（无授权委托的）；</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（3）★第一章投标邀请中二、申请人的资格要求：</w:t>
      </w:r>
      <w:r>
        <w:rPr>
          <w:rFonts w:hint="eastAsia" w:ascii="宋体" w:hAnsi="宋体"/>
          <w:bCs/>
          <w:color w:val="000000" w:themeColor="text1"/>
          <w:sz w:val="24"/>
          <w:szCs w:val="24"/>
          <w:highlight w:val="none"/>
          <w:lang w:eastAsia="zh-CN"/>
          <w14:textFill>
            <w14:solidFill>
              <w14:schemeClr w14:val="tx1"/>
            </w14:solidFill>
          </w14:textFill>
        </w:rPr>
        <w:t xml:space="preserve">（一）</w:t>
      </w:r>
      <w:r>
        <w:rPr>
          <w:rFonts w:hint="eastAsia" w:ascii="宋体" w:hAnsi="宋体"/>
          <w:bCs/>
          <w:color w:val="000000" w:themeColor="text1"/>
          <w:sz w:val="24"/>
          <w:szCs w:val="24"/>
          <w:highlight w:val="none"/>
          <w14:textFill>
            <w14:solidFill>
              <w14:schemeClr w14:val="tx1"/>
            </w14:solidFill>
          </w14:textFill>
        </w:rPr>
        <w:t xml:space="preserve">《中华人民共和国政府采购法》规定的资格条件证明文件；</w:t>
      </w:r>
      <w:r/>
    </w:p>
    <w:p>
      <w:pPr>
        <w:ind w:firstLine="480"/>
        <w:shd w:val="clear" w:color="auto"/>
        <w:rPr>
          <w:rFonts w:hint="eastAsia" w:ascii="宋体" w:hAnsi="宋体" w:eastAsiaTheme="minorEastAsia"/>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（4）★第一章投标邀请中二、申请人的资格要求：</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bCs/>
          <w:color w:val="000000" w:themeColor="text1"/>
          <w:sz w:val="24"/>
          <w:szCs w:val="24"/>
          <w:highlight w:val="none"/>
          <w14:textFill>
            <w14:solidFill>
              <w14:schemeClr w14:val="tx1"/>
            </w14:solidFill>
          </w14:textFill>
        </w:rPr>
        <w:t xml:space="preserve">证明文件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如本项目专门面向中/小/微型企业</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★第一章投标邀请中二、申请人的资格要求：</w:t>
      </w:r>
      <w:r>
        <w:rPr>
          <w:rFonts w:hint="eastAsia" w:ascii="宋体" w:hAnsi="宋体"/>
          <w:bCs/>
          <w:color w:val="000000" w:themeColor="text1"/>
          <w:sz w:val="24"/>
          <w:szCs w:val="24"/>
          <w:highlight w:val="none"/>
          <w:lang w:eastAsia="zh-CN"/>
          <w14:textFill>
            <w14:solidFill>
              <w14:schemeClr w14:val="tx1"/>
            </w14:solidFill>
          </w14:textFill>
        </w:rPr>
        <w:t xml:space="preserve">（三）</w:t>
      </w:r>
      <w:r>
        <w:rPr>
          <w:rFonts w:hint="eastAsia" w:ascii="宋体" w:hAnsi="宋体"/>
          <w:bCs/>
          <w:color w:val="000000" w:themeColor="text1"/>
          <w:sz w:val="24"/>
          <w:szCs w:val="24"/>
          <w:highlight w:val="none"/>
          <w14:textFill>
            <w14:solidFill>
              <w14:schemeClr w14:val="tx1"/>
            </w14:solidFill>
          </w14:textFill>
        </w:rPr>
        <w:t xml:space="preserve">本项目的特定资格要求证明文件；</w:t>
      </w:r>
      <w:r/>
    </w:p>
    <w:p>
      <w:pPr>
        <w:ind w:firstLine="480"/>
        <w:jc w:val="left"/>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zh-CN"/>
          <w14:textFill>
            <w14:solidFill>
              <w14:schemeClr w14:val="tx1"/>
            </w14:solidFill>
          </w14:textFill>
        </w:rPr>
        <w:t xml:space="preserve">）★《南京市政府采购供应商信用记录表暨信用承诺书》；</w:t>
      </w:r>
      <w:r/>
    </w:p>
    <w:p>
      <w:pPr>
        <w:ind w:firstLine="480"/>
        <w:shd w:val="clear" w:color="auto"/>
        <w:rPr>
          <w:rFonts w:hint="eastAsia" w:ascii="宋体" w:hAnsi="宋体" w:eastAsiaTheme="minorEastAsia"/>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分项报价表</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《商务条款偏离表》；</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）合同条款；</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bCs/>
          <w:color w:val="000000" w:themeColor="text1"/>
          <w:sz w:val="24"/>
          <w:szCs w:val="24"/>
          <w:highlight w:val="none"/>
          <w14:textFill>
            <w14:solidFill>
              <w14:schemeClr w14:val="tx1"/>
            </w14:solidFill>
          </w14:textFill>
        </w:rPr>
        <w:t xml:space="preserve">）供应商认为需要提供的其他资格证明文件和商务资料。</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11.投标文件的技术部分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11.1 技术部分是证明供应商提供的服务是合格的、并符合招标文件要求的证明文件，以及对投标报价表中的服务的详细说明，这些文件可以是文字资料、图纸和数据等。</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11.2 若提供的服务与招标文件要求有不符之处，应说明其差别之所在。</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11.3 投标文件应按照招标文件要求提供服务说明，技术资料、文件和有关证明，包括但不限于以下材料，其中加“★”项目不得有缺失或无效：</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（1）★服务内容的详细说明；</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技术条款偏离表</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（3）项目实施、集成、实施方案；</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）供应商认为需要提供的其他技术资料。</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12.投标文件的价格部分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12.1 价格部分是对投标服务价格构成的说明，每一项服务仅接受一个价格。投标人应按照招标文件规定格式填报投标分项报价表。</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12.2 报价应包含完成本服务项目发生的所有含税费用、支付给员工的工资和国家强制缴纳的各种社会保障资金，以及供应商认为需要的其他费用等。</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12.3 供应商的任何错漏、优惠、竞争性报价不得作为减轻责任、减少服务、增加收费、降低质量的理由。</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12.5 《开标一览表》须加盖电子公章。</w:t>
      </w:r>
      <w:r/>
    </w:p>
    <w:p>
      <w:pPr>
        <w:ind w:firstLine="480"/>
        <w:shd w:val="clear" w:color="auto"/>
        <w:rPr>
          <w:rFonts w:hint="eastAsia" w:ascii="宋体" w:hAnsi="宋体" w:eastAsiaTheme="minorEastAsia"/>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12.6</w:t>
      </w:r>
      <w:r>
        <w:rPr>
          <w:rFonts w:hint="eastAsia" w:ascii="宋体" w:hAnsi="宋体"/>
          <w:bCs/>
          <w:color w:val="000000" w:themeColor="text1"/>
          <w:sz w:val="24"/>
          <w:szCs w:val="24"/>
          <w:highlight w:val="none"/>
          <w:lang w:val="zh-CN"/>
          <w14:textFill>
            <w14:solidFill>
              <w14:schemeClr w14:val="tx1"/>
            </w14:solidFill>
          </w14:textFill>
        </w:rPr>
        <w:t xml:space="preserve">评审过程中出现下列情形之一的，评审委员会应当启动异常低价投标（响应）审查程序：</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（3）投标（响应）报价低于采购项目最高限价45%的，即投标（响应）报价&lt;采购项目最高限价×45%；</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12.7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13.投标文件的其他部分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供应商编制投标文件需要提供的其他相关文件。</w:t>
      </w:r>
      <w:r/>
    </w:p>
    <w:p>
      <w:pPr>
        <w:ind w:firstLine="482"/>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14.投标保证金：无。</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15.投标有效期</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15.1 自开标之日起六十日内投标有效。</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16.投标文件的签署</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16.3 除供应商对错处做必要修改外，投标文件不得行间插字、涂改或增删。如有修改错漏处，必须由投标文件签署人签字或加盖电子公章。</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17.投标文件的递交</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17.1 投标人应当按照《操作手册》规定，在招标公告规定的投标截止时间前制作并上传电子投标文件。</w:t>
      </w:r>
      <w:r/>
    </w:p>
    <w:p>
      <w:pPr>
        <w:ind w:firstLine="48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17.3 代理机构有权通过修改招标文件酌情延长投标截止时间，在此情况下，投标人的所有权利和义务均以延长后新的截止时间为准。</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18.有下列情形之一的投标文件将被拒收</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18.1 在招标文件要求提交投标文件的截止时间之后上传的。</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19.投标文件的修改和撤回</w:t>
      </w:r>
      <w:r/>
    </w:p>
    <w:p>
      <w:pPr>
        <w:ind w:firstLine="480"/>
        <w:shd w:val="clear" w:color="auto"/>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19</w:t>
      </w:r>
      <w:r>
        <w:rPr>
          <w:rFonts w:hint="eastAsia" w:ascii="宋体" w:hAnsi="宋体"/>
          <w:bCs/>
          <w:color w:val="000000" w:themeColor="text1"/>
          <w:sz w:val="24"/>
          <w:szCs w:val="24"/>
          <w:highlight w:val="none"/>
          <w:lang w:val="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zh-CN"/>
          <w14:textFill>
            <w14:solidFill>
              <w14:schemeClr w14:val="tx1"/>
            </w14:solidFill>
          </w14:textFill>
        </w:rPr>
        <w:t xml:space="preserve"> 投标文件的修改</w:t>
      </w:r>
      <w:r/>
    </w:p>
    <w:p>
      <w:pPr>
        <w:ind w:firstLine="480"/>
        <w:shd w:val="clear" w:color="auto"/>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19</w:t>
      </w:r>
      <w:r>
        <w:rPr>
          <w:rFonts w:hint="eastAsia" w:ascii="宋体" w:hAnsi="宋体"/>
          <w:bCs/>
          <w:color w:val="000000" w:themeColor="text1"/>
          <w:sz w:val="24"/>
          <w:szCs w:val="24"/>
          <w:highlight w:val="none"/>
          <w:lang w:val="zh-CN"/>
          <w14:textFill>
            <w14:solidFill>
              <w14:schemeClr w14:val="tx1"/>
            </w14:solidFill>
          </w14:textFill>
        </w:rPr>
        <w:t xml:space="preserve">.2.1</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val="zh-CN"/>
          <w14:textFill>
            <w14:solidFill>
              <w14:schemeClr w14:val="tx1"/>
            </w14:solidFill>
          </w14:textFill>
        </w:rPr>
        <w:t xml:space="preserve">投标人可在投标截止时间前对其电子投标文件进行修改，具体操作方法见《操作手册》。</w:t>
      </w:r>
      <w:r/>
    </w:p>
    <w:p>
      <w:pPr>
        <w:ind w:firstLine="480"/>
        <w:shd w:val="clear" w:color="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19</w:t>
      </w:r>
      <w:r>
        <w:rPr>
          <w:rFonts w:hint="eastAsia" w:ascii="宋体" w:hAnsi="宋体"/>
          <w:bCs/>
          <w:color w:val="000000" w:themeColor="text1"/>
          <w:sz w:val="24"/>
          <w:szCs w:val="24"/>
          <w:highlight w:val="none"/>
          <w:lang w:val="zh-CN"/>
          <w14:textFill>
            <w14:solidFill>
              <w14:schemeClr w14:val="tx1"/>
            </w14:solidFill>
          </w14:textFill>
        </w:rPr>
        <w:t xml:space="preserve">.2.2</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val="zh-CN"/>
          <w14:textFill>
            <w14:solidFill>
              <w14:schemeClr w14:val="tx1"/>
            </w14:solidFill>
          </w14:textFill>
        </w:rPr>
        <w:t xml:space="preserve">投标截止时间之后，投标人不得对其电子投标文件作任何修改。</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19.2 投标文件的撤回</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19.2.1  投标人可在投标截止时间前撤回其电子投标文件，具体操作方法见《操作手册》。</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19.2.2 投标人撤回电子投标文件，则认为其不再参与本项目投标活动。</w:t>
      </w:r>
      <w:r/>
    </w:p>
    <w:p>
      <w:pPr>
        <w:ind w:firstLine="480"/>
        <w:shd w:val="clear" w:color="auto"/>
        <w:rPr>
          <w:rFonts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19</w:t>
      </w:r>
      <w:r>
        <w:rPr>
          <w:rFonts w:hint="eastAsia" w:ascii="宋体" w:hAnsi="宋体"/>
          <w:bCs/>
          <w:color w:val="000000" w:themeColor="text1"/>
          <w:sz w:val="24"/>
          <w:szCs w:val="24"/>
          <w:highlight w:val="none"/>
          <w:lang w:val="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val="zh-CN"/>
          <w14:textFill>
            <w14:solidFill>
              <w14:schemeClr w14:val="tx1"/>
            </w14:solidFill>
          </w14:textFill>
        </w:rPr>
        <w:t xml:space="preserve">3 在投标截止时间至招标文件中规定的投标有效期满之间的这段时间内，投标人不得撤回其投标。</w:t>
      </w:r>
      <w:bookmarkStart w:id="30" w:name="_Toc513029229"/>
      <w:r/>
      <w:bookmarkEnd w:id="30"/>
      <w:r/>
      <w:bookmarkStart w:id="31" w:name="_Toc20823301"/>
      <w:r/>
      <w:bookmarkEnd w:id="31"/>
      <w:r/>
      <w:bookmarkStart w:id="32" w:name="_Toc16938545"/>
      <w:r/>
      <w:bookmarkEnd w:id="32"/>
      <w:r/>
      <w:bookmarkStart w:id="33" w:name="_Toc120614218"/>
      <w:r/>
      <w:bookmarkEnd w:id="33"/>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四、开标、评标与确定中标供应商</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20.开标</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20.2 投标人在开标过程中涉及到的投标文件解密、开标结果确认等工作，应按照《操作手册》规定执行。</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20.3 投标人如果对开标过程和开标结果有疑义，应当根据《操作手册》规定提出，苏采云系统中《开标记录表》公布后5分钟内未提出的，视同认可开标结果。</w:t>
      </w:r>
      <w:r/>
    </w:p>
    <w:p>
      <w:pPr>
        <w:ind w:firstLine="420"/>
        <w:shd w:val="clear" w:color="auto"/>
        <w:rPr>
          <w:rFonts w:ascii="宋体" w:hAnsi="宋体" w:cs="宋体"/>
          <w:b/>
          <w:bCs/>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lang w:val="zh-CN"/>
          <w14:textFill>
            <w14:solidFill>
              <w14:schemeClr w14:val="tx1"/>
            </w14:solidFill>
          </w14:textFill>
        </w:rPr>
        <w:t xml:space="preserve">21.评标</w:t>
      </w:r>
      <w:r/>
    </w:p>
    <w:p>
      <w:pPr>
        <w:ind w:firstLine="482"/>
        <w:shd w:val="clear" w:color="auto"/>
        <w:rPr>
          <w:rFonts w:ascii="宋体" w:hAnsi="宋体" w:cs="宋体"/>
          <w:b/>
          <w:bCs/>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 xml:space="preserve">21.1</w:t>
      </w:r>
      <w:r>
        <w:rPr>
          <w:rFonts w:hint="eastAsia" w:ascii="宋体" w:hAnsi="宋体" w:cs="宋体"/>
          <w:b/>
          <w:bCs/>
          <w:color w:val="000000" w:themeColor="text1"/>
          <w:sz w:val="24"/>
          <w:szCs w:val="24"/>
          <w:highlight w:val="none"/>
          <w:lang w:val="zh-CN"/>
          <w14:textFill>
            <w14:solidFill>
              <w14:schemeClr w14:val="tx1"/>
            </w14:solidFill>
          </w14:textFill>
        </w:rPr>
        <w:t xml:space="preserve"> 评标组织</w:t>
      </w:r>
      <w:r/>
    </w:p>
    <w:p>
      <w:pPr>
        <w:ind w:firstLine="480"/>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21.1.1评标工作由代理机构组织评标委员会（以下简称“评委会”）进行，具体评标事务由依法组建的评标委员会负责，并独立履行</w:t>
      </w:r>
      <w:r>
        <w:rPr>
          <w:rFonts w:hint="eastAsia" w:ascii="宋体" w:hAnsi="宋体" w:cs="宋体"/>
          <w:color w:val="000000" w:themeColor="text1"/>
          <w:sz w:val="24"/>
          <w:szCs w:val="24"/>
          <w:highlight w:val="none"/>
          <w14:textFill>
            <w14:solidFill>
              <w14:schemeClr w14:val="tx1"/>
            </w14:solidFill>
          </w14:textFill>
        </w:rPr>
        <w:t xml:space="preserve">下列职责：</w:t>
      </w:r>
      <w:r/>
    </w:p>
    <w:p>
      <w:pPr>
        <w:ind w:firstLine="480"/>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80"/>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（2）要求供应商对投标文件有关事项作出澄清或者说明；</w:t>
      </w:r>
      <w:r/>
    </w:p>
    <w:p>
      <w:pPr>
        <w:ind w:firstLine="480"/>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（3）对投标文件进行比较和评价；</w:t>
      </w:r>
      <w:r/>
    </w:p>
    <w:p>
      <w:pPr>
        <w:ind w:firstLine="480"/>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（4）推荐中标候选人或根据采购人委托直接确定中标供应商；</w:t>
      </w:r>
      <w:r/>
    </w:p>
    <w:p>
      <w:pPr>
        <w:ind w:firstLine="480"/>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（5）向采购人、财政部门报告评标中发现的违法行为。</w:t>
      </w:r>
      <w:r/>
    </w:p>
    <w:p>
      <w:pPr>
        <w:ind w:firstLine="42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21.1.2 </w:t>
      </w:r>
      <w:r>
        <w:rPr>
          <w:rFonts w:hint="eastAsia" w:ascii="宋体" w:hAnsi="宋体" w:cs="宋体"/>
          <w:color w:val="000000" w:themeColor="text1"/>
          <w:sz w:val="24"/>
          <w:szCs w:val="24"/>
          <w:highlight w:val="none"/>
          <w:lang w:val="zh-CN"/>
          <w14:textFill>
            <w14:solidFill>
              <w14:schemeClr w14:val="tx1"/>
            </w14:solidFill>
          </w14:textFill>
        </w:rPr>
        <w:t xml:space="preserve">评标委员会由采购人代表和有关技术、经济等方面的专家组成，独立开展评审工作。</w:t>
      </w:r>
      <w:r/>
    </w:p>
    <w:p>
      <w:pPr>
        <w:ind w:firstLine="420"/>
        <w:shd w:val="clear" w:color="auto"/>
        <w:rPr>
          <w:rFonts w:ascii="宋体" w:hAnsi="宋体" w:cs="宋体"/>
          <w:b/>
          <w:bCs/>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lang w:val="zh-CN"/>
          <w14:textFill>
            <w14:solidFill>
              <w14:schemeClr w14:val="tx1"/>
            </w14:solidFill>
          </w14:textFill>
        </w:rPr>
        <w:t xml:space="preserve">21.2 评标程序</w:t>
      </w:r>
      <w:r/>
    </w:p>
    <w:p>
      <w:pPr>
        <w:ind w:firstLine="420"/>
        <w:shd w:val="clear" w:color="auto"/>
        <w:rPr>
          <w:rFonts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 xml:space="preserve">21.2.1 投标文件的资格审查</w:t>
      </w:r>
      <w:r/>
    </w:p>
    <w:p>
      <w:pPr>
        <w:pStyle w:val="958"/>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21.2.1.1采购人代表依法对供应商的资格进行审查。</w:t>
      </w:r>
      <w:r/>
    </w:p>
    <w:p>
      <w:pPr>
        <w:pStyle w:val="958"/>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21.2.1.2采购人代表依据法律法规和招标文件的规定，对投标文件中的资格证明文件、</w:t>
      </w:r>
      <w:r>
        <w:rPr>
          <w:rFonts w:hint="eastAsia" w:ascii="宋体" w:hAnsi="宋体" w:cs="宋体"/>
          <w:bCs/>
          <w:color w:val="000000" w:themeColor="text1"/>
          <w:sz w:val="24"/>
          <w:szCs w:val="24"/>
          <w:highlight w:val="none"/>
          <w:lang w:val="zh-CN"/>
          <w14:textFill>
            <w14:solidFill>
              <w14:schemeClr w14:val="tx1"/>
            </w14:solidFill>
          </w14:textFill>
        </w:rPr>
        <w:t xml:space="preserve">南京市政府采购供应商信用记录表暨信用承诺书</w:t>
      </w:r>
      <w:r>
        <w:rPr>
          <w:rFonts w:hint="eastAsia" w:ascii="宋体" w:hAnsi="宋体" w:cs="宋体"/>
          <w:color w:val="000000" w:themeColor="text1"/>
          <w:sz w:val="24"/>
          <w:szCs w:val="24"/>
          <w:highlight w:val="none"/>
          <w:lang w:val="zh-CN"/>
          <w14:textFill>
            <w14:solidFill>
              <w14:schemeClr w14:val="tx1"/>
            </w14:solidFill>
          </w14:textFill>
        </w:rPr>
        <w:t xml:space="preserve">等进行审查，以确定投标供应商是否具备投标资格。</w:t>
      </w:r>
      <w:r/>
    </w:p>
    <w:p>
      <w:pPr>
        <w:ind w:firstLine="48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 xml:space="preserve">21.2.1.4</w:t>
      </w:r>
      <w:r>
        <w:rPr>
          <w:rFonts w:hint="eastAsia"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b/>
          <w:color w:val="000000" w:themeColor="text1"/>
          <w:sz w:val="24"/>
          <w:szCs w:val="24"/>
          <w:highlight w:val="none"/>
          <w:lang w:val="zh-CN"/>
          <w14:textFill>
            <w14:solidFill>
              <w14:schemeClr w14:val="tx1"/>
            </w14:solidFill>
          </w14:textFill>
        </w:rPr>
        <w:t xml:space="preserve">投标文件有下列情况之一的，在资格性审查时按照无效投标处理</w:t>
      </w:r>
      <w:r/>
    </w:p>
    <w:p>
      <w:pPr>
        <w:ind w:firstLine="420"/>
        <w:jc w:val="left"/>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（1）不具备招标文件规定资格条件的； </w:t>
      </w:r>
      <w:r/>
    </w:p>
    <w:p>
      <w:pPr>
        <w:ind w:firstLine="420"/>
        <w:jc w:val="left"/>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2"/>
        <w:shd w:val="clear" w:color="auto"/>
        <w:rPr>
          <w:rFonts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 xml:space="preserve">21.2.2 投标文件的符合性审查</w:t>
      </w:r>
      <w:r/>
    </w:p>
    <w:p>
      <w:pPr>
        <w:ind w:firstLine="48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21.2.2.1评标委员会将依据法律法规和招标文件的规定，对投标文件的有效性、完整性和对招标文件的响应程度进行审查，以确定是否对招标文件的实质性要求作出响应。</w:t>
      </w:r>
      <w:r/>
    </w:p>
    <w:p>
      <w:pPr>
        <w:ind w:firstLine="48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21.2.2.2 实质性要求是指本招标文件中带“★”的商务和技术要求。</w:t>
      </w:r>
      <w:r/>
    </w:p>
    <w:p>
      <w:pPr>
        <w:ind w:firstLine="480"/>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21.2.2.3 如果投标文件实质上没有响应招标文件的要求，评标委员会将予以拒绝，</w:t>
      </w:r>
      <w:r>
        <w:rPr>
          <w:rFonts w:hint="eastAsia" w:ascii="宋体" w:hAnsi="宋体" w:cs="宋体"/>
          <w:bCs/>
          <w:color w:val="000000" w:themeColor="text1"/>
          <w:sz w:val="24"/>
          <w:szCs w:val="24"/>
          <w:highlight w:val="none"/>
          <w14:textFill>
            <w14:solidFill>
              <w14:schemeClr w14:val="tx1"/>
            </w14:solidFill>
          </w14:textFill>
        </w:rPr>
        <w:t xml:space="preserve">供应商不得通过修改或撤销不合要求的偏离而使其投标成为实质性响应的投标。</w:t>
      </w:r>
      <w:r/>
    </w:p>
    <w:p>
      <w:pPr>
        <w:ind w:firstLine="482"/>
        <w:shd w:val="clear" w:color="auto"/>
        <w:rPr>
          <w:rFonts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21.2.2.4 </w:t>
      </w:r>
      <w:r>
        <w:rPr>
          <w:rFonts w:hint="eastAsia" w:ascii="宋体" w:hAnsi="宋体" w:cs="宋体"/>
          <w:b/>
          <w:color w:val="000000" w:themeColor="text1"/>
          <w:sz w:val="24"/>
          <w:szCs w:val="24"/>
          <w:highlight w:val="none"/>
          <w:lang w:val="zh-CN"/>
          <w14:textFill>
            <w14:solidFill>
              <w14:schemeClr w14:val="tx1"/>
            </w14:solidFill>
          </w14:textFill>
        </w:rPr>
        <w:t xml:space="preserve">投标文件有下列情况之一的，在符合性审查时按照无效投标处理</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（1）未按招标文件规定签署、盖章的；</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（2）没有《开标一览表》或《开标一览表》未按招标文件要求盖章的；</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（3）投标总价超出采购预算金额或者最高限价的；</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（4）不同供应商的投标文件由同一单位或者个人编制；</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（5）不同供应商委托同一单位或者个人办理投标事宜；</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（6）不同供应商的投标文件载明的项目管理成员或者联系人员为同一人；</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（7）不同供应商的投标文件异常一致或者投标报价呈规律性差异；</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（8）不同供应商的投标文件相互混装；</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lang w:val="zh-CN"/>
          <w14:textFill>
            <w14:solidFill>
              <w14:schemeClr w14:val="tx1"/>
            </w14:solidFill>
          </w14:textFill>
        </w:rPr>
        <w:t xml:space="preserve">）不同供应商的负责人为同一人或者存在控股、管理关系的；</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color w:val="000000" w:themeColor="text1"/>
          <w:sz w:val="24"/>
          <w:szCs w:val="24"/>
          <w:highlight w:val="none"/>
          <w:lang w:val="zh-CN"/>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）属于投标邀请中拒绝参加本次采购活动供应商的；</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zh-CN"/>
          <w14:textFill>
            <w14:solidFill>
              <w14:schemeClr w14:val="tx1"/>
            </w14:solidFill>
          </w14:textFill>
        </w:rPr>
        <w:t xml:space="preserve">）投标文件含有采购人不能接受的附加条件的；</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w:t>
      </w:r>
      <w:bookmarkStart w:id="34" w:name="OLE_LINK1"/>
      <w:r>
        <w:rPr>
          <w:rFonts w:hint="eastAsia" w:ascii="宋体" w:hAnsi="宋体" w:cs="宋体"/>
          <w:color w:val="000000" w:themeColor="text1"/>
          <w:sz w:val="24"/>
          <w:szCs w:val="24"/>
          <w:highlight w:val="none"/>
          <w:lang w:val="zh-CN"/>
          <w14:textFill>
            <w14:solidFill>
              <w14:schemeClr w14:val="tx1"/>
            </w14:solidFill>
          </w14:textFill>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34"/>
      <w:r/>
      <w:r/>
    </w:p>
    <w:p>
      <w:pPr>
        <w:ind w:firstLine="420"/>
        <w:shd w:val="clear" w:color="auto"/>
        <w:widowControl/>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zh-CN"/>
          <w14:textFill>
            <w14:solidFill>
              <w14:schemeClr w14:val="tx1"/>
            </w14:solidFill>
          </w14:textFill>
        </w:rPr>
        <w:t xml:space="preserve">投标人在苏采云系统规定的时间内未成功解密电子投标文件。</w:t>
      </w:r>
      <w:r/>
    </w:p>
    <w:p>
      <w:pPr>
        <w:ind w:firstLine="420"/>
        <w:shd w:val="clear" w:color="auto"/>
        <w:widowControl/>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lang w:val="zh-CN"/>
          <w14:textFill>
            <w14:solidFill>
              <w14:schemeClr w14:val="tx1"/>
            </w14:solidFill>
          </w14:textFill>
        </w:rPr>
        <w:t xml:space="preserve">）投标人未按照招标文件要求上传电子投标文件。</w:t>
      </w:r>
      <w:r/>
    </w:p>
    <w:p>
      <w:pPr>
        <w:ind w:firstLine="420"/>
        <w:shd w:val="clear" w:color="auto"/>
        <w:widowControl/>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val="zh-CN"/>
          <w14:textFill>
            <w14:solidFill>
              <w14:schemeClr w14:val="tx1"/>
            </w14:solidFill>
          </w14:textFill>
        </w:rPr>
        <w:t xml:space="preserve">）同一投标人提交两个（含两个）以上不同的投标报价。</w:t>
      </w:r>
      <w:r/>
    </w:p>
    <w:p>
      <w:pPr>
        <w:ind w:firstLine="420"/>
        <w:shd w:val="clear" w:color="auto"/>
        <w:widowControl/>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cs="宋体"/>
          <w:bCs/>
          <w:color w:val="000000" w:themeColor="text1"/>
          <w:sz w:val="24"/>
          <w:szCs w:val="24"/>
          <w:highlight w:val="none"/>
          <w:lang w:val="zh-CN"/>
          <w14:textFill>
            <w14:solidFill>
              <w14:schemeClr w14:val="tx1"/>
            </w14:solidFill>
          </w14:textFill>
        </w:rPr>
        <w:t xml:space="preserve">）采购产品被财政部、国家发改委、生态环境部等列入“节能产品品目清单”强制采购范围，而投标人提供的产品不在强制采购范围内。</w:t>
      </w:r>
      <w:r/>
    </w:p>
    <w:p>
      <w:pPr>
        <w:ind w:firstLine="480"/>
        <w:shd w:val="clear" w:color="auto"/>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cs="宋体"/>
          <w:bCs/>
          <w:color w:val="000000" w:themeColor="text1"/>
          <w:sz w:val="24"/>
          <w:szCs w:val="24"/>
          <w:highlight w:val="none"/>
          <w:lang w:val="zh-CN"/>
          <w14:textFill>
            <w14:solidFill>
              <w14:schemeClr w14:val="tx1"/>
            </w14:solidFill>
          </w14:textFill>
        </w:rPr>
        <w:t xml:space="preserve">）未提供《南京市政府采购供应商信用记录表暨信用承诺书》。</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未通过资格审查或符合性审查的投标人，</w:t>
      </w:r>
      <w:r>
        <w:rPr>
          <w:rFonts w:hint="eastAsia" w:ascii="宋体" w:hAnsi="宋体" w:cs="宋体"/>
          <w:color w:val="000000" w:themeColor="text1"/>
          <w:sz w:val="24"/>
          <w:szCs w:val="24"/>
          <w:highlight w:val="none"/>
          <w14:textFill>
            <w14:solidFill>
              <w14:schemeClr w14:val="tx1"/>
            </w14:solidFill>
          </w14:textFill>
        </w:rPr>
        <w:t xml:space="preserve">代理机构</w:t>
      </w:r>
      <w:r>
        <w:rPr>
          <w:rFonts w:hint="eastAsia" w:ascii="宋体" w:hAnsi="宋体" w:cs="宋体"/>
          <w:color w:val="000000" w:themeColor="text1"/>
          <w:sz w:val="24"/>
          <w:szCs w:val="24"/>
          <w:highlight w:val="none"/>
          <w:lang w:val="zh-CN"/>
          <w14:textFill>
            <w14:solidFill>
              <w14:schemeClr w14:val="tx1"/>
            </w14:solidFill>
          </w14:textFill>
        </w:rPr>
        <w:t xml:space="preserve">将通过苏采云系统告知其具体原因，评标结束后不再接受有关询问。</w:t>
      </w:r>
      <w:r/>
    </w:p>
    <w:p>
      <w:pPr>
        <w:ind w:firstLine="482"/>
        <w:shd w:val="clear" w:color="auto"/>
        <w:rPr>
          <w:rFonts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 xml:space="preserve">21.2.</w:t>
      </w:r>
      <w:r>
        <w:rPr>
          <w:rFonts w:hint="eastAsia" w:ascii="宋体" w:hAnsi="宋体" w:cs="宋体"/>
          <w:b/>
          <w:color w:val="000000" w:themeColor="text1"/>
          <w:sz w:val="24"/>
          <w:szCs w:val="24"/>
          <w:highlight w:val="none"/>
          <w14:textFill>
            <w14:solidFill>
              <w14:schemeClr w14:val="tx1"/>
            </w14:solidFill>
          </w14:textFill>
        </w:rPr>
        <w:t xml:space="preserve">2.5 </w:t>
      </w:r>
      <w:r>
        <w:rPr>
          <w:rFonts w:hint="eastAsia" w:ascii="宋体" w:hAnsi="宋体" w:cs="宋体"/>
          <w:b/>
          <w:color w:val="000000" w:themeColor="text1"/>
          <w:sz w:val="24"/>
          <w:szCs w:val="24"/>
          <w:highlight w:val="none"/>
          <w:lang w:val="zh-CN"/>
          <w14:textFill>
            <w14:solidFill>
              <w14:schemeClr w14:val="tx1"/>
            </w14:solidFill>
          </w14:textFill>
        </w:rPr>
        <w:t xml:space="preserve">废标</w:t>
      </w:r>
      <w:r/>
    </w:p>
    <w:p>
      <w:pPr>
        <w:ind w:firstLine="480"/>
        <w:shd w:val="clear" w:color="auto"/>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21.2.2.5.</w:t>
      </w:r>
      <w:r>
        <w:rPr>
          <w:rFonts w:hint="eastAsia" w:ascii="宋体" w:hAnsi="宋体" w:cs="宋体"/>
          <w:bCs/>
          <w:color w:val="000000" w:themeColor="text1"/>
          <w:sz w:val="24"/>
          <w:szCs w:val="24"/>
          <w:highlight w:val="none"/>
          <w:lang w:val="zh-CN"/>
          <w14:textFill>
            <w14:solidFill>
              <w14:schemeClr w14:val="tx1"/>
            </w14:solidFill>
          </w14:textFill>
        </w:rPr>
        <w:t xml:space="preserve">1 符合资格条件的供应商或者对招标文件作实质响应的供应商不足三家。</w:t>
      </w:r>
      <w:r/>
    </w:p>
    <w:p>
      <w:pPr>
        <w:ind w:firstLine="480"/>
        <w:shd w:val="clear" w:color="auto"/>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21.2.2.5.</w:t>
      </w:r>
      <w:r>
        <w:rPr>
          <w:rFonts w:hint="eastAsia" w:ascii="宋体" w:hAnsi="宋体" w:cs="宋体"/>
          <w:bCs/>
          <w:color w:val="000000" w:themeColor="text1"/>
          <w:sz w:val="24"/>
          <w:szCs w:val="24"/>
          <w:highlight w:val="none"/>
          <w:lang w:val="zh-CN"/>
          <w14:textFill>
            <w14:solidFill>
              <w14:schemeClr w14:val="tx1"/>
            </w14:solidFill>
          </w14:textFill>
        </w:rPr>
        <w:t xml:space="preserve">2 出现影响采购公正的违法、违规行为。</w:t>
      </w:r>
      <w:r/>
    </w:p>
    <w:p>
      <w:pPr>
        <w:ind w:firstLine="480"/>
        <w:shd w:val="clear" w:color="auto"/>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21.2.2.5.</w:t>
      </w:r>
      <w:r>
        <w:rPr>
          <w:rFonts w:hint="eastAsia" w:ascii="宋体" w:hAnsi="宋体" w:cs="宋体"/>
          <w:bCs/>
          <w:color w:val="000000" w:themeColor="text1"/>
          <w:sz w:val="24"/>
          <w:szCs w:val="24"/>
          <w:highlight w:val="none"/>
          <w:lang w:val="zh-CN"/>
          <w14:textFill>
            <w14:solidFill>
              <w14:schemeClr w14:val="tx1"/>
            </w14:solidFill>
          </w14:textFill>
        </w:rPr>
        <w:t xml:space="preserve">3 因重大变故采购任务取消。</w:t>
      </w:r>
      <w:r/>
    </w:p>
    <w:p>
      <w:pPr>
        <w:ind w:firstLine="480"/>
        <w:shd w:val="clear" w:color="auto"/>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21.2.2.5.</w:t>
      </w:r>
      <w:r>
        <w:rPr>
          <w:rFonts w:hint="eastAsia" w:ascii="宋体" w:hAnsi="宋体" w:cs="宋体"/>
          <w:bCs/>
          <w:color w:val="000000" w:themeColor="text1"/>
          <w:sz w:val="24"/>
          <w:szCs w:val="24"/>
          <w:highlight w:val="none"/>
          <w:lang w:val="zh-CN"/>
          <w14:textFill>
            <w14:solidFill>
              <w14:schemeClr w14:val="tx1"/>
            </w14:solidFill>
          </w14:textFill>
        </w:rPr>
        <w:t xml:space="preserve">4 评委会认定招标文件存在歧义、重大缺陷导致评审工作无法进行。</w:t>
      </w:r>
      <w:r/>
    </w:p>
    <w:p>
      <w:pPr>
        <w:ind w:firstLine="480"/>
        <w:shd w:val="clear" w:color="auto"/>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21.2.2.5.</w:t>
      </w:r>
      <w:r>
        <w:rPr>
          <w:rFonts w:hint="eastAsia" w:ascii="宋体" w:hAnsi="宋体" w:cs="宋体"/>
          <w:bCs/>
          <w:color w:val="000000" w:themeColor="text1"/>
          <w:sz w:val="24"/>
          <w:szCs w:val="24"/>
          <w:highlight w:val="none"/>
          <w:lang w:val="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lang w:val="zh-CN"/>
          <w14:textFill>
            <w14:solidFill>
              <w14:schemeClr w14:val="tx1"/>
            </w14:solidFill>
          </w14:textFill>
        </w:rPr>
        <w:t xml:space="preserve">预留份额的采购项目或采购包，通过发布公告方式邀请供应商后，符合资格条件的中小企业数量不足3家的。</w:t>
      </w:r>
      <w:r/>
    </w:p>
    <w:p>
      <w:pPr>
        <w:ind w:firstLine="480"/>
        <w:shd w:val="clear" w:color="auto"/>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21.2.2.5.6 </w:t>
      </w:r>
      <w:r>
        <w:rPr>
          <w:rFonts w:hint="eastAsia" w:ascii="宋体" w:hAnsi="宋体" w:cs="宋体"/>
          <w:bCs/>
          <w:color w:val="000000" w:themeColor="text1"/>
          <w:sz w:val="24"/>
          <w:szCs w:val="24"/>
          <w:highlight w:val="none"/>
          <w:lang w:val="zh-CN"/>
          <w14:textFill>
            <w14:solidFill>
              <w14:schemeClr w14:val="tx1"/>
            </w14:solidFill>
          </w14:textFill>
        </w:rPr>
        <w:t xml:space="preserve">因苏采云系统故障造成开标不成功。</w:t>
      </w:r>
      <w:r/>
    </w:p>
    <w:p>
      <w:pPr>
        <w:ind w:firstLine="482"/>
        <w:shd w:val="clear" w:color="auto"/>
        <w:rPr>
          <w:rFonts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 xml:space="preserve">21.2.3</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val="zh-CN"/>
          <w14:textFill>
            <w14:solidFill>
              <w14:schemeClr w14:val="tx1"/>
            </w14:solidFill>
          </w14:textFill>
        </w:rPr>
        <w:t xml:space="preserve">投标文件的进一步评审</w:t>
      </w:r>
      <w:r/>
    </w:p>
    <w:p>
      <w:pPr>
        <w:ind w:firstLine="480"/>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21.2.3.1</w:t>
      </w:r>
      <w:r>
        <w:rPr>
          <w:rFonts w:hint="eastAsia" w:ascii="宋体" w:hAnsi="宋体" w:cs="宋体"/>
          <w:bCs/>
          <w:color w:val="000000" w:themeColor="text1"/>
          <w:sz w:val="24"/>
          <w:szCs w:val="24"/>
          <w:highlight w:val="none"/>
          <w14:textFill>
            <w14:solidFill>
              <w14:schemeClr w14:val="tx1"/>
            </w14:solidFill>
          </w14:textFill>
        </w:rPr>
        <w:t xml:space="preserve">评标委员会将对确定为实质性响应的投标文件进行进一步评审，看其是否有计算上或累加上的算术错误，修正错误的原则如下：</w:t>
      </w:r>
      <w:r/>
    </w:p>
    <w:p>
      <w:pPr>
        <w:ind w:firstLine="480"/>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如果用数字表示的金额和用文字表示的金额不一致时，应以文字表示的金额为准进行修正；</w:t>
      </w:r>
      <w:r/>
    </w:p>
    <w:p>
      <w:pPr>
        <w:ind w:firstLine="480"/>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当单价与数量的乘积和总价不一致时，以单价为准进行修正。只有在评标委员会认为单价有明显的小数点错误时，才能以标出的总价为准，并修改单价。</w:t>
      </w:r>
      <w:r/>
    </w:p>
    <w:p>
      <w:pPr>
        <w:ind w:firstLine="480"/>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21.2.3.2</w:t>
      </w:r>
      <w:r>
        <w:rPr>
          <w:rFonts w:hint="eastAsia" w:ascii="宋体" w:hAnsi="宋体" w:cs="宋体"/>
          <w:bCs/>
          <w:color w:val="000000" w:themeColor="text1"/>
          <w:sz w:val="24"/>
          <w:szCs w:val="24"/>
          <w:highlight w:val="none"/>
          <w14:textFill>
            <w14:solidFill>
              <w14:schemeClr w14:val="tx1"/>
            </w14:solidFill>
          </w14:textFill>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hd w:val="clear" w:color="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21.2.3.3 </w:t>
      </w:r>
      <w:r>
        <w:rPr>
          <w:rFonts w:hint="eastAsia" w:ascii="宋体" w:hAnsi="宋体" w:cs="宋体"/>
          <w:bCs/>
          <w:color w:val="000000" w:themeColor="text1"/>
          <w:sz w:val="24"/>
          <w:szCs w:val="24"/>
          <w:highlight w:val="none"/>
          <w14:textFill>
            <w14:solidFill>
              <w14:schemeClr w14:val="tx1"/>
            </w14:solidFill>
          </w14:textFill>
        </w:rPr>
        <w:t xml:space="preserve">评标委员会将允许修正投标文件中不构成重大偏离的、微小的、非正规的、不一致的或不规则的地方，但这些修改不能影响任何供应商相应的名次排列。</w:t>
      </w:r>
      <w:r/>
    </w:p>
    <w:p>
      <w:pPr>
        <w:ind w:firstLine="420"/>
        <w:shd w:val="clear" w:color="auto"/>
        <w:widowControl/>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21.2.3.5 比较与评价。按照招标文件中规定的评标方法和标准，对资格性检查和符合性检查合格的投标文件进行商务和技术评估，综合比较与评价。</w:t>
      </w:r>
      <w:r/>
    </w:p>
    <w:p>
      <w:pPr>
        <w:ind w:firstLine="480"/>
        <w:shd w:val="clear" w:color="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21.2.3.6 </w:t>
      </w:r>
      <w:r>
        <w:rPr>
          <w:rFonts w:hint="eastAsia" w:ascii="宋体" w:hAnsi="宋体" w:cs="宋体"/>
          <w:color w:val="000000" w:themeColor="text1"/>
          <w:sz w:val="24"/>
          <w:szCs w:val="24"/>
          <w:highlight w:val="none"/>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s="宋体"/>
          <w:color w:val="000000" w:themeColor="text1"/>
          <w:sz w:val="24"/>
          <w:szCs w:val="24"/>
          <w:highlight w:val="none"/>
          <w14:textFill>
            <w14:solidFill>
              <w14:schemeClr w14:val="tx1"/>
            </w14:solidFill>
          </w14:textFill>
        </w:rPr>
        <w:t xml:space="preserve">代理机构</w:t>
      </w:r>
      <w:r>
        <w:rPr>
          <w:rFonts w:hint="eastAsia" w:ascii="宋体" w:hAnsi="宋体" w:cs="宋体"/>
          <w:color w:val="000000" w:themeColor="text1"/>
          <w:sz w:val="24"/>
          <w:szCs w:val="24"/>
          <w:highlight w:val="none"/>
          <w:lang w:val="zh-CN"/>
          <w14:textFill>
            <w14:solidFill>
              <w14:schemeClr w14:val="tx1"/>
            </w14:solidFill>
          </w14:textFill>
        </w:rPr>
        <w:t xml:space="preserve">及评委会联系。</w:t>
      </w:r>
      <w:r/>
    </w:p>
    <w:p>
      <w:pPr>
        <w:ind w:firstLine="480"/>
        <w:shd w:val="clear" w:color="auto"/>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.7</w:t>
      </w:r>
      <w:r>
        <w:rPr>
          <w:rFonts w:hint="eastAsia" w:ascii="宋体" w:hAnsi="宋体" w:cs="宋体"/>
          <w:bCs/>
          <w:color w:val="000000" w:themeColor="text1"/>
          <w:sz w:val="24"/>
          <w:szCs w:val="24"/>
          <w:highlight w:val="none"/>
          <w:lang w:val="zh-CN"/>
          <w14:textFill>
            <w14:solidFill>
              <w14:schemeClr w14:val="tx1"/>
            </w14:solidFill>
          </w14:textFill>
        </w:rPr>
        <w:t xml:space="preserve"> 如出现投标截止时间后参加投标的供应商或者对招标文件作出实质性响应的供应商不足三家的情况，按政府采购相关规定执行。</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21.3 评标方法和标准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21.3.1 采用综合评分法。即在投标文件满足招标文件全部实质性要求前提下，按照评审因素的量化指标评分。</w:t>
      </w:r>
      <w:r>
        <w:rPr>
          <w:rFonts w:hint="eastAsia" w:ascii="宋体" w:hAnsi="宋体" w:cs="宋体"/>
          <w:color w:val="000000" w:themeColor="text1"/>
          <w:sz w:val="24"/>
          <w:szCs w:val="24"/>
          <w:highlight w:val="none"/>
          <w:lang w:val="zh-CN"/>
          <w14:textFill>
            <w14:solidFill>
              <w14:schemeClr w14:val="tx1"/>
            </w14:solidFill>
          </w14:textFill>
        </w:rPr>
        <w:t xml:space="preserve">未中标的投标人可于中标结果公告期限届满之日起通过苏采云系统查看本单位的评审得分及排名情况。</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21.3.2 综合评分的主要因素详见文件第三章。</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21.3.3评分标准详见文件第三章。</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22.确定中标供应商</w:t>
      </w:r>
      <w:r/>
    </w:p>
    <w:p>
      <w:pPr>
        <w:ind w:firstLine="480"/>
        <w:shd w:val="clear" w:color="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22.确定中标供应商</w:t>
      </w:r>
      <w:r/>
    </w:p>
    <w:p>
      <w:pPr>
        <w:ind w:firstLine="480"/>
        <w:shd w:val="clear" w:color="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w:t>
      </w:r>
      <w:r>
        <w:rPr>
          <w:rFonts w:hint="eastAsia" w:ascii="宋体" w:hAnsi="宋体" w:cs="宋体"/>
          <w:color w:val="000000" w:themeColor="text1"/>
          <w:sz w:val="24"/>
          <w:szCs w:val="24"/>
          <w:highlight w:val="none"/>
          <w:lang w:val="zh-CN" w:eastAsia="zh-CN"/>
          <w14:textFill>
            <w14:solidFill>
              <w14:schemeClr w14:val="tx1"/>
            </w14:solidFill>
          </w14:textFill>
        </w:rPr>
        <w:t xml:space="preserve">技术</w:t>
      </w:r>
      <w:r>
        <w:rPr>
          <w:rFonts w:hint="eastAsia" w:ascii="宋体" w:hAnsi="宋体" w:cs="宋体"/>
          <w:color w:val="000000" w:themeColor="text1"/>
          <w:sz w:val="24"/>
          <w:szCs w:val="24"/>
          <w:highlight w:val="none"/>
          <w:lang w:val="zh-CN"/>
          <w14:textFill>
            <w14:solidFill>
              <w14:schemeClr w14:val="tx1"/>
            </w14:solidFill>
          </w14:textFill>
        </w:rPr>
        <w:t xml:space="preserve">方案）优劣顺序排列。</w:t>
      </w:r>
      <w:r/>
    </w:p>
    <w:p>
      <w:pPr>
        <w:ind w:firstLine="480"/>
        <w:shd w:val="clear" w:color="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22.2 按以下第</w:t>
      </w:r>
      <w:r>
        <w:rPr>
          <w:rFonts w:hint="eastAsia" w:ascii="宋体" w:hAnsi="宋体" w:cs="宋体"/>
          <w:color w:val="000000" w:themeColor="text1"/>
          <w:sz w:val="24"/>
          <w:szCs w:val="24"/>
          <w:highlight w:val="none"/>
          <w:u w:val="single"/>
          <w:lang w:val="zh-CN"/>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u w:val="single"/>
          <w:lang w:val="zh-CN"/>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种方式确定中标供应商</w:t>
      </w:r>
      <w:r/>
    </w:p>
    <w:p>
      <w:pPr>
        <w:ind w:firstLine="480"/>
        <w:shd w:val="clear" w:color="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（1）评标委员会直接确定排名第一的中标候选人为中标供应商；</w:t>
      </w:r>
      <w:r/>
    </w:p>
    <w:p>
      <w:pPr>
        <w:ind w:firstLine="480"/>
        <w:shd w:val="clear" w:color="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（2）采购人在评标委员会推荐的中标候选人中按顺序确定中标供应商。</w:t>
      </w:r>
      <w:r/>
    </w:p>
    <w:p>
      <w:pPr>
        <w:ind w:firstLine="480"/>
        <w:shd w:val="clear" w:color="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shd w:val="clear" w:color="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22.3 中标供应商确定之日起两个工作日内，将在财政部门指定的政府采购信息发布媒体上公告。</w:t>
      </w:r>
      <w:r/>
    </w:p>
    <w:p>
      <w:pPr>
        <w:ind w:firstLine="480"/>
        <w:shd w:val="clear" w:color="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22.4 《中标通知书》对采购人和中标供应商具有同等法律效力。</w:t>
      </w:r>
      <w:r/>
    </w:p>
    <w:p>
      <w:pPr>
        <w:ind w:firstLine="480"/>
        <w:shd w:val="clear" w:color="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22.5 《中标通知书》发出后，中标供应商无正当理由不与采购人签订合同的，应当依法承担法律责任。</w:t>
      </w:r>
      <w:r/>
    </w:p>
    <w:p>
      <w:pPr>
        <w:ind w:firstLine="480"/>
        <w:shd w:val="clear" w:color="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22.6代理机构和评标委员会对未中标的供应商不作未中标原因的解释。</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23.编写评审报告</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评标委员会根据全体评标成员签字的原始评标记录和评标结果编写评审报告。</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24.评标过程的保密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24.1 代理机构将采取必要措施，保证评标在严格保密的情况下进行。</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24.2 任何单位和个人不得非法干预、影响评标办法的确定，以及评标过程和结果。</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24.3 凡是与审查、澄清、评价和比较投标的有关资料等，均不得向供应商及与评标无关的人员透露。</w:t>
      </w:r>
      <w:r/>
    </w:p>
    <w:p>
      <w:pPr>
        <w:ind w:firstLine="482"/>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五、签订合同</w:t>
      </w:r>
      <w:r/>
    </w:p>
    <w:p>
      <w:pPr>
        <w:ind w:firstLine="482"/>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25.签订合同</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25.2 采购人不得向中标供应商提出任何不合理的要求作为签订合同的条件，不得与中标供应商私下订立背离合同实质性内容的协议。</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六、询问、质疑、投诉和诚实信用</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26.询问</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供应商对招标活动事项有疑问的，可以向代理机构或采购人提出询问，代理机构或采购人将在两个工作日内作出答复，但答复的内容不涉及商业秘密。</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27.质疑</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27.2质疑供应商的质疑行为应符合财政部94号令相关规定，未参加采购活动的供应商或在采购活动中自身权益未受到损害的供应商所提出的质疑不予受理。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 上述应知其权益受到损害之日是指：</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（1）对招标文件提出质疑的，为招标文件公告期限届满之日起计算；</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（2）对招标过程提出质疑的，自招标程序环节结束之日起计算；</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（3）对中标结果提出质疑的，自中标结果公告期限届满之日起计算。  </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27.4 质疑供应商在法定质疑期内应当一次性提出针对同一招标环节的质疑事项。</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27.5 代理机构在收到供应商的质疑后将及时组织调查核实，在七个工作日内作出答复，答复的内容不涉及商业秘密。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27.6 代理机构遵循“谁过错谁负担”的原则，有过错的一方承担调查论证费用。</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28.投诉</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质疑供应商对代理机构的答复不满意，或代理机构未在规定的时间内作出答复的，可以在答复期满后十五个工作日内向采购项目同级财政部门投诉。</w:t>
      </w:r>
      <w:r/>
    </w:p>
    <w:p>
      <w:pPr>
        <w:ind w:firstLine="482"/>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29.诚实信用</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29.1 供应商之间不得相互串通投标报价，不得妨碍其他供应商的公平竞争，不得损害采购人和其他供应商的合法权益。</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29.4 供应商不得虚假承诺，否则，按照提供虚假材料谋取中标处理。29.5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themeColor="text1"/>
          <w:sz w:val="24"/>
          <w:szCs w:val="24"/>
          <w:highlight w:val="none"/>
          <w:lang w:val="zh-CN"/>
          <w14:textFill>
            <w14:solidFill>
              <w14:schemeClr w14:val="tx1"/>
            </w14:solidFill>
          </w14:textFill>
        </w:rPr>
        <w:t xml:space="preserve">。</w:t>
      </w:r>
      <w:r/>
    </w:p>
    <w:p>
      <w:pPr>
        <w:pStyle w:val="962"/>
        <w:jc w:val="center"/>
        <w:shd w:val="clear" w:color="auto"/>
        <w:rPr>
          <w:rFonts w:hint="eastAsia" w:ascii="宋体" w:hAnsi="宋体" w:cs="宋体"/>
          <w:b/>
          <w:color w:val="000000" w:themeColor="text1"/>
          <w:sz w:val="36"/>
          <w:highlight w:val="none"/>
          <w14:textFill>
            <w14:solidFill>
              <w14:schemeClr w14:val="tx1"/>
            </w14:solidFill>
          </w14:textFill>
        </w:rPr>
        <w:sectPr>
          <w:headerReference w:type="default" r:id="rId9"/>
          <w:footerReference w:type="default" r:id="rId13"/>
          <w:footnotePr/>
          <w:endnotePr/>
          <w:type w:val="nextPage"/>
          <w:pgSz w:w="11906" w:h="16838" w:orient="portrait"/>
          <w:pgMar w:top="1134" w:right="722" w:bottom="1134" w:left="1304" w:header="567" w:footer="907" w:gutter="0"/>
          <w:cols w:num="1" w:sep="0" w:space="425" w:equalWidth="1"/>
          <w:docGrid w:linePitch="360"/>
        </w:sectPr>
        <w:outlineLvl w:val="0"/>
      </w:pPr>
      <w:r>
        <w:rPr>
          <w:rFonts w:hint="eastAsia" w:ascii="宋体" w:hAnsi="宋体" w:cs="宋体"/>
          <w:b/>
          <w:color w:val="000000" w:themeColor="text1"/>
          <w:sz w:val="36"/>
          <w:highlight w:val="none"/>
          <w14:textFill>
            <w14:solidFill>
              <w14:schemeClr w14:val="tx1"/>
            </w14:solidFill>
          </w14:textFill>
        </w:rPr>
      </w:r>
      <w:r/>
    </w:p>
    <w:p>
      <w:pPr>
        <w:pStyle w:val="962"/>
        <w:jc w:val="center"/>
        <w:shd w:val="clear" w:color="auto"/>
        <w:rPr>
          <w:rFonts w:ascii="宋体" w:hAnsi="宋体" w:cs="宋体"/>
          <w:b/>
          <w:color w:val="000000" w:themeColor="text1"/>
          <w:sz w:val="36"/>
          <w:highlight w:val="none"/>
          <w:lang w:val="zh-CN"/>
          <w14:textFill>
            <w14:solidFill>
              <w14:schemeClr w14:val="tx1"/>
            </w14:solidFill>
          </w14:textFill>
        </w:rPr>
        <w:outlineLvl w:val="0"/>
      </w:pPr>
      <w:r>
        <w:rPr>
          <w:rFonts w:hint="eastAsia" w:ascii="宋体" w:hAnsi="宋体" w:cs="宋体"/>
          <w:b/>
          <w:color w:val="000000" w:themeColor="text1"/>
          <w:sz w:val="36"/>
          <w:highlight w:val="none"/>
          <w14:textFill>
            <w14:solidFill>
              <w14:schemeClr w14:val="tx1"/>
            </w14:solidFill>
          </w14:textFill>
        </w:rPr>
        <w:t xml:space="preserve">第</w:t>
      </w:r>
      <w:r>
        <w:rPr>
          <w:rFonts w:hint="eastAsia" w:ascii="宋体" w:hAnsi="宋体" w:cs="宋体"/>
          <w:b/>
          <w:color w:val="000000" w:themeColor="text1"/>
          <w:sz w:val="36"/>
          <w:highlight w:val="none"/>
          <w:lang w:eastAsia="zh-CN"/>
          <w14:textFill>
            <w14:solidFill>
              <w14:schemeClr w14:val="tx1"/>
            </w14:solidFill>
          </w14:textFill>
        </w:rPr>
        <w:t xml:space="preserve">三</w:t>
      </w:r>
      <w:r>
        <w:rPr>
          <w:rFonts w:hint="eastAsia" w:ascii="宋体" w:hAnsi="宋体" w:cs="宋体"/>
          <w:b/>
          <w:color w:val="000000" w:themeColor="text1"/>
          <w:sz w:val="36"/>
          <w:highlight w:val="none"/>
          <w14:textFill>
            <w14:solidFill>
              <w14:schemeClr w14:val="tx1"/>
            </w14:solidFill>
          </w14:textFill>
        </w:rPr>
        <w:t xml:space="preserve">章</w:t>
      </w:r>
      <w:r>
        <w:rPr>
          <w:rFonts w:hint="eastAsia" w:ascii="宋体" w:hAnsi="宋体" w:cs="宋体"/>
          <w:b/>
          <w:color w:val="000000" w:themeColor="text1"/>
          <w:sz w:val="36"/>
          <w:highlight w:val="none"/>
          <w:lang w:val="zh-CN"/>
          <w14:textFill>
            <w14:solidFill>
              <w14:schemeClr w14:val="tx1"/>
            </w14:solidFill>
          </w14:textFill>
        </w:rPr>
        <w:t xml:space="preserve"> </w:t>
      </w:r>
      <w:r>
        <w:rPr>
          <w:rFonts w:hint="eastAsia" w:ascii="宋体" w:hAnsi="宋体" w:cs="宋体"/>
          <w:b/>
          <w:color w:val="000000" w:themeColor="text1"/>
          <w:sz w:val="36"/>
          <w:highlight w:val="none"/>
          <w14:textFill>
            <w14:solidFill>
              <w14:schemeClr w14:val="tx1"/>
            </w14:solidFill>
          </w14:textFill>
        </w:rPr>
        <w:t xml:space="preserve"> 评标方法与评标标准</w:t>
      </w:r>
      <w:r/>
    </w:p>
    <w:p>
      <w:pPr>
        <w:ind w:firstLine="420"/>
        <w:spacing w:line="360" w:lineRule="auto"/>
        <w:shd w:val="clear" w:color="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次评审采用综合评标法，是指投标文件满足招标文件全部实质性要求，且按照评审因素的量化指标评审得分最高的供应商为中标候选人的评标方法，评审因素详见评分标准。评分统计方法采用百分制（满分100分），将全部评委评分直接进行算术平均，小数点后保留2位。评标委员会遵循公平、公正、择优原则，独立按照评分标准分别评定供应商的分值；各供应商的最终得分为各评委所评定分值的平均值，按照得分高低顺序对供应商进行排列。得分相同的，按报价由低到高顺序排列。得分且报价相同的，按技术指标（</w:t>
      </w:r>
      <w:r>
        <w:rPr>
          <w:rFonts w:hint="eastAsia" w:ascii="宋体" w:hAnsi="宋体" w:cs="宋体"/>
          <w:color w:val="000000" w:themeColor="text1"/>
          <w:szCs w:val="21"/>
          <w:highlight w:val="none"/>
          <w:lang w:eastAsia="zh-CN"/>
          <w14:textFill>
            <w14:solidFill>
              <w14:schemeClr w14:val="tx1"/>
            </w14:solidFill>
          </w14:textFill>
        </w:rPr>
        <w:t xml:space="preserve">技术</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s="宋体"/>
          <w:color w:val="000000" w:themeColor="text1"/>
          <w:szCs w:val="21"/>
          <w:highlight w:val="none"/>
          <w:lang w:val="zh-CN"/>
          <w14:textFill>
            <w14:solidFill>
              <w14:schemeClr w14:val="tx1"/>
            </w14:solidFill>
          </w14:textFill>
        </w:rPr>
        <w:t xml:space="preserve">）优劣顺序排列。</w:t>
      </w:r>
      <w:r/>
    </w:p>
    <w:tbl>
      <w:tblPr>
        <w:tblStyle w:val="956"/>
        <w:tblW w:w="9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180"/>
        <w:gridCol w:w="7180"/>
        <w:gridCol w:w="709"/>
      </w:tblGrid>
      <w:tr>
        <w:trPr>
          <w:jc w:val="center"/>
          <w:trHeight w:val="562"/>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序号</w:t>
            </w:r>
            <w:r/>
          </w:p>
        </w:tc>
        <w:tc>
          <w:tcPr>
            <w:tcW w:w="1180"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评分因素</w:t>
            </w:r>
            <w:r/>
          </w:p>
        </w:tc>
        <w:tc>
          <w:tcPr>
            <w:tcW w:w="7180"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评审标准</w:t>
            </w:r>
            <w:r/>
          </w:p>
        </w:tc>
        <w:tc>
          <w:tcPr>
            <w:tcW w:w="709"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分值</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1</w:t>
            </w:r>
            <w:r/>
          </w:p>
        </w:tc>
        <w:tc>
          <w:tcPr>
            <w:tcW w:w="1180"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价格</w:t>
            </w:r>
            <w:r/>
          </w:p>
        </w:tc>
        <w:tc>
          <w:tcPr>
            <w:tcW w:w="7180" w:type="dxa"/>
            <w:vAlign w:val="center"/>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采用低价优先法计算，即满足招标文件基本要求且投标价格最低的投标报价为评标基准价为满分，即</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分。其他投标人的价格分按照下列公式计算（小数点保留二位）；投标报价得分=（评标基准价/投标报价）×</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10</w:t>
            </w:r>
            <w:r/>
          </w:p>
        </w:tc>
        <w:tc>
          <w:tcPr>
            <w:tcW w:w="709"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t xml:space="preserve">10</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2</w:t>
            </w:r>
            <w:r/>
          </w:p>
        </w:tc>
        <w:tc>
          <w:tcPr>
            <w:tcW w:w="1180" w:type="dxa"/>
            <w:vAlign w:val="center"/>
            <w:textDirection w:val="lrTb"/>
            <w:noWrap/>
          </w:tcPr>
          <w:p>
            <w:pPr>
              <w:jc w:val="left"/>
              <w:keepLines w:val="0"/>
              <w:keepNext w:val="0"/>
              <w:pageBreakBefore w:val="0"/>
              <w:spacing w:line="240" w:lineRule="auto"/>
              <w:shd w:val="clear" w:color="auto"/>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企业业绩</w:t>
            </w:r>
            <w:r/>
          </w:p>
        </w:tc>
        <w:tc>
          <w:tcPr>
            <w:tcW w:w="7180" w:type="dxa"/>
            <w:vAlign w:val="center"/>
            <w:textDirection w:val="lrTb"/>
            <w:noWrap/>
          </w:tcPr>
          <w:p>
            <w:pPr>
              <w:jc w:val="left"/>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投标供应商202</w:t>
            </w:r>
            <w:r>
              <w:rPr>
                <w:rFonts w:hint="eastAsia" w:asciiTheme="minorEastAsia" w:hAnsiTheme="minorEastAsia" w:cstheme="minorEastAsia"/>
                <w:color w:val="000000" w:themeColor="text1"/>
                <w:sz w:val="21"/>
                <w:szCs w:val="2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年</w:t>
            </w:r>
            <w:r>
              <w:rPr>
                <w:rFonts w:hint="eastAsia" w:asciiTheme="minorEastAsia" w:hAnsiTheme="minorEastAsia" w:cstheme="minorEastAsia"/>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月1日（含）以来承担过类似</w:t>
            </w:r>
            <w:r>
              <w:rPr>
                <w:rFonts w:hint="eastAsia" w:asciiTheme="minorEastAsia" w:hAnsiTheme="minorEastAsia" w:cstheme="minorEastAsia"/>
                <w:color w:val="000000" w:themeColor="text1"/>
                <w:sz w:val="21"/>
                <w:szCs w:val="21"/>
                <w:highlight w:val="none"/>
                <w:lang w:val="en-US" w:eastAsia="zh-CN"/>
                <w14:textFill>
                  <w14:solidFill>
                    <w14:schemeClr w14:val="tx1"/>
                  </w14:solidFill>
                </w14:textFill>
              </w:rPr>
              <w:t xml:space="preserve">项目（至少包含市政养护或绿化养护）</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的，每提供一份业绩得</w:t>
            </w:r>
            <w:r>
              <w:rPr>
                <w:rFonts w:hint="eastAsia" w:asciiTheme="minorEastAsia" w:hAnsiTheme="minorEastAsia" w:cstheme="minorEastAsia"/>
                <w:color w:val="000000" w:themeColor="text1"/>
                <w:sz w:val="21"/>
                <w:szCs w:val="2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分，满分</w:t>
            </w:r>
            <w:r>
              <w:rPr>
                <w:rFonts w:hint="eastAsia" w:asciiTheme="minorEastAsia" w:hAnsiTheme="minorEastAsia" w:cstheme="minorEastAsia"/>
                <w:color w:val="000000" w:themeColor="text1"/>
                <w:sz w:val="21"/>
                <w:szCs w:val="2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分。（须提供合同</w:t>
            </w:r>
            <w:r>
              <w:rPr>
                <w:rFonts w:hint="eastAsia" w:asciiTheme="minorEastAsia" w:hAnsiTheme="minorEastAsia" w:cstheme="minorEastAsia"/>
                <w:color w:val="000000" w:themeColor="text1"/>
                <w:sz w:val="21"/>
                <w:szCs w:val="21"/>
                <w:highlight w:val="none"/>
                <w:lang w:eastAsia="zh-CN"/>
                <w14:textFill>
                  <w14:solidFill>
                    <w14:schemeClr w14:val="tx1"/>
                  </w14:solidFill>
                </w14:textFill>
              </w:rPr>
              <w:t xml:space="preserve">扫描</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件加盖公章，时间以合同签订时间为准，合同</w:t>
            </w:r>
            <w:r>
              <w:rPr>
                <w:rFonts w:hint="eastAsia" w:asciiTheme="minorEastAsia" w:hAnsiTheme="minorEastAsia" w:cstheme="minorEastAsia"/>
                <w:color w:val="000000" w:themeColor="text1"/>
                <w:sz w:val="21"/>
                <w:szCs w:val="21"/>
                <w:highlight w:val="none"/>
                <w:lang w:eastAsia="zh-CN"/>
                <w14:textFill>
                  <w14:solidFill>
                    <w14:schemeClr w14:val="tx1"/>
                  </w14:solidFill>
                </w14:textFill>
              </w:rPr>
              <w:t xml:space="preserve">扫描</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件须能反映相关信息，否则不得分）</w:t>
            </w:r>
            <w:r/>
          </w:p>
        </w:tc>
        <w:tc>
          <w:tcPr>
            <w:tcW w:w="709"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9</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3</w:t>
            </w:r>
            <w:r/>
          </w:p>
        </w:tc>
        <w:tc>
          <w:tcPr>
            <w:tcW w:w="1180" w:type="dxa"/>
            <w:vAlign w:val="center"/>
            <w:textDirection w:val="lrTb"/>
            <w:noWrap/>
          </w:tcPr>
          <w:p>
            <w:pPr>
              <w:keepLines w:val="0"/>
              <w:keepNext w:val="0"/>
              <w:pageBreakBefore w:val="0"/>
              <w:spacing w:line="240" w:lineRule="auto"/>
              <w:shd w:val="clear" w:color="auto"/>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车辆及设备</w:t>
            </w:r>
            <w:r/>
          </w:p>
        </w:tc>
        <w:tc>
          <w:tcPr>
            <w:tcW w:w="7180" w:type="dxa"/>
            <w:vAlign w:val="center"/>
            <w:textDirection w:val="lrTb"/>
            <w:noWrap/>
          </w:tcPr>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具有</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铣刨机1台及以上得1分</w:t>
            </w:r>
            <w:r>
              <w:rPr>
                <w:rFonts w:hint="eastAsia" w:asciiTheme="minorEastAsia" w:hAnsiTheme="minorEastAsia" w:cstheme="minorEastAsia"/>
                <w:color w:val="000000" w:themeColor="text1"/>
                <w:szCs w:val="21"/>
                <w:highlight w:val="none"/>
                <w:lang w:eastAsia="zh-CN"/>
                <w14:textFill>
                  <w14:solidFill>
                    <w14:schemeClr w14:val="tx1"/>
                  </w14:solidFill>
                </w14:textFill>
              </w:rPr>
              <w:t xml:space="preserve">，满分</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具有</w:t>
            </w:r>
            <w:r>
              <w:rPr>
                <w:rFonts w:hint="eastAsia"/>
                <w:color w:val="000000" w:themeColor="text1"/>
                <w:highlight w:val="none"/>
                <w:lang w:val="en-US" w:eastAsia="zh-CN"/>
                <w14:textFill>
                  <w14:solidFill>
                    <w14:schemeClr w14:val="tx1"/>
                  </w14:solidFill>
                </w14:textFill>
              </w:rPr>
              <w:t xml:space="preserve">平板夯</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1台及以上得1分</w:t>
            </w:r>
            <w:r>
              <w:rPr>
                <w:rFonts w:hint="eastAsia" w:asciiTheme="minorEastAsia" w:hAnsiTheme="minorEastAsia" w:cstheme="minorEastAsia"/>
                <w:color w:val="000000" w:themeColor="text1"/>
                <w:szCs w:val="21"/>
                <w:highlight w:val="none"/>
                <w:lang w:eastAsia="zh-CN"/>
                <w14:textFill>
                  <w14:solidFill>
                    <w14:schemeClr w14:val="tx1"/>
                  </w14:solidFill>
                </w14:textFill>
              </w:rPr>
              <w:t xml:space="preserve">，满分</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具有</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装载机1台及以上得1分</w:t>
            </w:r>
            <w:r>
              <w:rPr>
                <w:rFonts w:hint="eastAsia" w:asciiTheme="minorEastAsia" w:hAnsiTheme="minorEastAsia" w:cstheme="minorEastAsia"/>
                <w:color w:val="000000" w:themeColor="text1"/>
                <w:szCs w:val="21"/>
                <w:highlight w:val="none"/>
                <w:lang w:eastAsia="zh-CN"/>
                <w14:textFill>
                  <w14:solidFill>
                    <w14:schemeClr w14:val="tx1"/>
                  </w14:solidFill>
                </w14:textFill>
              </w:rPr>
              <w:t xml:space="preserve">，满分</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具有</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压路机1台及以上得1分</w:t>
            </w:r>
            <w:r>
              <w:rPr>
                <w:rFonts w:hint="eastAsia" w:asciiTheme="minorEastAsia" w:hAnsiTheme="minorEastAsia" w:cstheme="minorEastAsia"/>
                <w:color w:val="000000" w:themeColor="text1"/>
                <w:szCs w:val="21"/>
                <w:highlight w:val="none"/>
                <w:lang w:eastAsia="zh-CN"/>
                <w14:textFill>
                  <w14:solidFill>
                    <w14:schemeClr w14:val="tx1"/>
                  </w14:solidFill>
                </w14:textFill>
              </w:rPr>
              <w:t xml:space="preserve">，满分</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具有</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污泥车或吸污车1台及以上得1分</w:t>
            </w:r>
            <w:r>
              <w:rPr>
                <w:rFonts w:hint="eastAsia" w:asciiTheme="minorEastAsia" w:hAnsiTheme="minorEastAsia" w:cstheme="minorEastAsia"/>
                <w:color w:val="000000" w:themeColor="text1"/>
                <w:szCs w:val="21"/>
                <w:highlight w:val="none"/>
                <w:lang w:eastAsia="zh-CN"/>
                <w14:textFill>
                  <w14:solidFill>
                    <w14:schemeClr w14:val="tx1"/>
                  </w14:solidFill>
                </w14:textFill>
              </w:rPr>
              <w:t xml:space="preserve">，满分</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具有</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管道疏通车或高压清洗车1台及以上得1分</w:t>
            </w:r>
            <w:r>
              <w:rPr>
                <w:rFonts w:hint="eastAsia" w:asciiTheme="minorEastAsia" w:hAnsiTheme="minorEastAsia" w:cstheme="minorEastAsia"/>
                <w:color w:val="000000" w:themeColor="text1"/>
                <w:szCs w:val="21"/>
                <w:highlight w:val="none"/>
                <w:lang w:eastAsia="zh-CN"/>
                <w14:textFill>
                  <w14:solidFill>
                    <w14:schemeClr w14:val="tx1"/>
                  </w14:solidFill>
                </w14:textFill>
              </w:rPr>
              <w:t xml:space="preserve">，满分</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7）</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具有</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洒水车1台及以上得1分</w:t>
            </w:r>
            <w:r>
              <w:rPr>
                <w:rFonts w:hint="eastAsia" w:asciiTheme="minorEastAsia" w:hAnsiTheme="minorEastAsia" w:cstheme="minorEastAsia"/>
                <w:color w:val="000000" w:themeColor="text1"/>
                <w:szCs w:val="21"/>
                <w:highlight w:val="none"/>
                <w:lang w:eastAsia="zh-CN"/>
                <w14:textFill>
                  <w14:solidFill>
                    <w14:schemeClr w14:val="tx1"/>
                  </w14:solidFill>
                </w14:textFill>
              </w:rPr>
              <w:t xml:space="preserve">，满分</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8）</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具有</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高空作业车1台及以上得1分</w:t>
            </w:r>
            <w:r>
              <w:rPr>
                <w:rFonts w:hint="eastAsia" w:asciiTheme="minorEastAsia" w:hAnsiTheme="minorEastAsia" w:cstheme="minorEastAsia"/>
                <w:color w:val="000000" w:themeColor="text1"/>
                <w:szCs w:val="21"/>
                <w:highlight w:val="none"/>
                <w:lang w:eastAsia="zh-CN"/>
                <w14:textFill>
                  <w14:solidFill>
                    <w14:schemeClr w14:val="tx1"/>
                  </w14:solidFill>
                </w14:textFill>
              </w:rPr>
              <w:t xml:space="preserve">，满分</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p>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以上车辆及设备自有的需提供自有购置发票</w:t>
            </w:r>
            <w:r>
              <w:rPr>
                <w:rFonts w:hint="eastAsia" w:asciiTheme="minorEastAsia" w:hAnsiTheme="minorEastAsia" w:cstheme="minorEastAsia"/>
                <w:b/>
                <w:bCs/>
                <w:color w:val="000000" w:themeColor="text1"/>
                <w:szCs w:val="21"/>
                <w:highlight w:val="none"/>
                <w:lang w:eastAsia="zh-CN"/>
                <w14:textFill>
                  <w14:solidFill>
                    <w14:schemeClr w14:val="tx1"/>
                  </w14:solidFill>
                </w14:textFill>
              </w:rPr>
              <w:t xml:space="preserve">扫描</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件加盖公章，租赁的需提供租赁合同</w:t>
            </w:r>
            <w:r>
              <w:rPr>
                <w:rFonts w:hint="eastAsia" w:asciiTheme="minorEastAsia" w:hAnsiTheme="minorEastAsia" w:cstheme="minorEastAsia"/>
                <w:b/>
                <w:bCs/>
                <w:color w:val="000000" w:themeColor="text1"/>
                <w:szCs w:val="21"/>
                <w:highlight w:val="none"/>
                <w:lang w:eastAsia="zh-CN"/>
                <w14:textFill>
                  <w14:solidFill>
                    <w14:schemeClr w14:val="tx1"/>
                  </w14:solidFill>
                </w14:textFill>
              </w:rPr>
              <w:t xml:space="preserve">扫描</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件加盖公章。</w:t>
            </w: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扫描件</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须清晰可辨，能够反映相关信息，否则不得分。</w:t>
            </w:r>
            <w:r/>
          </w:p>
        </w:tc>
        <w:tc>
          <w:tcPr>
            <w:tcW w:w="709"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lang w:val="en-US" w:eastAsia="zh-CN"/>
                <w14:textFill>
                  <w14:solidFill>
                    <w14:schemeClr w14:val="tx1"/>
                  </w14:solidFill>
                </w14:textFill>
              </w:rPr>
              <w:t xml:space="preserve">8</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4</w:t>
            </w:r>
            <w:r/>
          </w:p>
        </w:tc>
        <w:tc>
          <w:tcPr>
            <w:tcW w:w="1180"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服务承诺</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1</w:t>
            </w:r>
            <w:r/>
          </w:p>
        </w:tc>
        <w:tc>
          <w:tcPr>
            <w:tcW w:w="7180" w:type="dxa"/>
            <w:vAlign w:val="center"/>
            <w:textDirection w:val="lrTb"/>
            <w:noWrap/>
          </w:tcPr>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投标人承诺劳动用工符合国家劳动法规，人员月基础工资不得低于当地最低工资标准（含个人依法缴纳的社会保险费），政策性调整最低工资标准时，应当相应调整。承诺书内容完整得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分，不完整或未提供承诺书不得分。</w:t>
            </w:r>
            <w:r/>
          </w:p>
        </w:tc>
        <w:tc>
          <w:tcPr>
            <w:tcW w:w="709"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2</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5</w:t>
            </w:r>
            <w:r/>
          </w:p>
        </w:tc>
        <w:tc>
          <w:tcPr>
            <w:tcW w:w="1180"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服务承诺</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2</w:t>
            </w:r>
            <w:r/>
          </w:p>
        </w:tc>
        <w:tc>
          <w:tcPr>
            <w:tcW w:w="7180" w:type="dxa"/>
            <w:vAlign w:val="center"/>
            <w:textDirection w:val="lrTb"/>
            <w:noWrap/>
          </w:tcPr>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投标供应商承诺为本项目员工办理意外伤害保险，承诺书内容完整得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分，不完整或未提供承诺书不得分。</w:t>
            </w:r>
            <w:r/>
          </w:p>
        </w:tc>
        <w:tc>
          <w:tcPr>
            <w:tcW w:w="709"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2</w:t>
            </w:r>
            <w:r/>
          </w:p>
        </w:tc>
      </w:tr>
      <w:tr>
        <w:trPr>
          <w:jc w:val="center"/>
          <w:trHeight w:val="90"/>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6</w:t>
            </w:r>
            <w:r/>
          </w:p>
        </w:tc>
        <w:tc>
          <w:tcPr>
            <w:tcW w:w="1180"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服务承诺</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3</w:t>
            </w:r>
            <w:r/>
          </w:p>
        </w:tc>
        <w:tc>
          <w:tcPr>
            <w:tcW w:w="7180" w:type="dxa"/>
            <w:vAlign w:val="center"/>
            <w:textDirection w:val="lrTb"/>
            <w:noWrap/>
          </w:tcPr>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投标供应商承诺如果中标，供应商针对本项目提供的车辆专为本项目使用，在服务期限内不挪作他用，承诺书内容完整得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分，不完整或未提供承诺书不得分。</w:t>
            </w:r>
            <w:r/>
          </w:p>
        </w:tc>
        <w:tc>
          <w:tcPr>
            <w:tcW w:w="709"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2</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7</w:t>
            </w:r>
            <w:r/>
          </w:p>
        </w:tc>
        <w:tc>
          <w:tcPr>
            <w:tcW w:w="1180"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项目经理</w:t>
            </w:r>
            <w:r/>
          </w:p>
        </w:tc>
        <w:tc>
          <w:tcPr>
            <w:tcW w:w="7180" w:type="dxa"/>
            <w:vAlign w:val="center"/>
            <w:textDirection w:val="lrTb"/>
            <w:noWrap/>
          </w:tcPr>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项目经理具备工程建设类中级(含)以上职称，得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分；专业以职称证书为准，如职称证书反映不出专业的，则以毕业证书上专业为准。提供职称证书复印件、毕业证书复印件（若需）及投标人为其缴纳的近六个月（</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2025年</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月-202</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年</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）任意一个月的社保证明材料复印件加盖公章，未提供的不得分 。</w:t>
            </w:r>
            <w:r/>
          </w:p>
        </w:tc>
        <w:tc>
          <w:tcPr>
            <w:tcW w:w="709"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3</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8</w:t>
            </w:r>
            <w:r/>
          </w:p>
        </w:tc>
        <w:tc>
          <w:tcPr>
            <w:tcW w:w="1180"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eastAsia="zh-CN"/>
                <w14:textFill>
                  <w14:solidFill>
                    <w14:schemeClr w14:val="tx1"/>
                  </w14:solidFill>
                </w14:textFill>
              </w:rPr>
              <w:t xml:space="preserve">技术负责人</w:t>
            </w:r>
            <w:r/>
          </w:p>
        </w:tc>
        <w:tc>
          <w:tcPr>
            <w:tcW w:w="7180" w:type="dxa"/>
            <w:vAlign w:val="center"/>
            <w:textDirection w:val="lrTb"/>
            <w:noWrap/>
          </w:tcPr>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技术负责人具有园林专业中级(含)以上职称，得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分（园林专业指与园林绿化工程规划、设计、施工及园林专业中级(含)以上职称，包括园林(含园林规划设计、园林植物、风景园林、园林绿化等)、园艺、城市规划、景观、植物(含植保、森保等)、风景旅游、环境艺术等专业）。提供职称证书复印件、毕业证书复印件（若需）及投标人为其缴纳的近六个月（</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2025年</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月-202</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年</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）任意一个月的社保证明材料复印件加盖公章，未提供的不得分 。</w:t>
            </w:r>
            <w:r/>
          </w:p>
        </w:tc>
        <w:tc>
          <w:tcPr>
            <w:tcW w:w="709"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3</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default"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9</w:t>
            </w:r>
            <w:r/>
          </w:p>
        </w:tc>
        <w:tc>
          <w:tcPr>
            <w:tcW w:w="1180"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cstheme="minorEastAsia"/>
                <w:b/>
                <w:bCs/>
                <w:color w:val="000000" w:themeColor="text1"/>
                <w:szCs w:val="21"/>
                <w:highlight w:val="none"/>
                <w:lang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eastAsia="zh-CN"/>
                <w14:textFill>
                  <w14:solidFill>
                    <w14:schemeClr w14:val="tx1"/>
                  </w14:solidFill>
                </w14:textFill>
              </w:rPr>
              <w:t xml:space="preserve">项目组成员</w:t>
            </w:r>
            <w:r/>
          </w:p>
        </w:tc>
        <w:tc>
          <w:tcPr>
            <w:tcW w:w="7180" w:type="dxa"/>
            <w:vAlign w:val="center"/>
            <w:textDirection w:val="lrTb"/>
            <w:noWrap/>
          </w:tcPr>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项目组成员中具有</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机动车驾驶员且持有法定准驾证照，得1分/人，满分5分</w:t>
            </w:r>
            <w:r>
              <w:rPr>
                <w:rFonts w:hint="eastAsia" w:asciiTheme="minorEastAsia" w:hAnsiTheme="minorEastAsia" w:cstheme="minorEastAsia"/>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提供</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准驾证照</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复印</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件加盖公章</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复印件及投标人为其缴纳的近六个月（</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2025年</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月-202</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年</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）任意一个月的社保证明材料复印件加盖公章，未提供的不得分 。</w:t>
            </w:r>
            <w:r/>
          </w:p>
          <w:p>
            <w:pPr>
              <w:keepLines w:val="0"/>
              <w:keepNext w:val="0"/>
              <w:pageBreakBefore w:val="0"/>
              <w:spacing w:line="240" w:lineRule="auto"/>
              <w:shd w:val="clear" w:color="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项目组成员中具有</w:t>
            </w:r>
            <w:bookmarkStart w:id="35" w:name="_Toc508286060"/>
            <w:r/>
            <w:bookmarkStart w:id="36" w:name="_Toc1720135"/>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注册建造师证市政公用工程二级(含)以上的</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，得3分/人，满分6</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分。</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提供证书复印件及投标人为其缴纳的近六个月（</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2025年</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月-202</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年</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）任意一个月的社保证明材料复印件加盖公章，未提供的不得分 。</w:t>
            </w:r>
            <w:bookmarkEnd w:id="35"/>
            <w:r/>
            <w:bookmarkEnd w:id="36"/>
            <w:r/>
            <w:r/>
          </w:p>
        </w:tc>
        <w:tc>
          <w:tcPr>
            <w:tcW w:w="709" w:type="dxa"/>
            <w:vAlign w:val="center"/>
            <w:textDirection w:val="lrTb"/>
            <w:noWrap/>
          </w:tcPr>
          <w:p>
            <w:pPr>
              <w:jc w:val="center"/>
              <w:keepLines w:val="0"/>
              <w:keepNext w:val="0"/>
              <w:pageBreakBefore w:val="0"/>
              <w:spacing w:line="240" w:lineRule="auto"/>
              <w:shd w:val="clear" w:color="auto"/>
              <w:widowControl/>
              <w:rPr>
                <w:rFonts w:hint="default" w:asciiTheme="minorEastAsia" w:hAnsiTheme="minorEastAsia" w:eastAsiaTheme="minorEastAsia" w:cstheme="minorEastAsia"/>
                <w:b/>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11</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.1</w:t>
            </w:r>
            <w:r/>
          </w:p>
        </w:tc>
        <w:tc>
          <w:tcPr>
            <w:tcW w:w="1180" w:type="dxa"/>
            <w:vAlign w:val="center"/>
            <w:vMerge w:val="restart"/>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技术方案</w:t>
            </w:r>
            <w:r/>
          </w:p>
        </w:tc>
        <w:tc>
          <w:tcPr>
            <w:tcW w:w="7180" w:type="dxa"/>
            <w:vAlign w:val="center"/>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养护方案：</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养护方案（</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包括但不限于</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车行道、路名牌、雨水管、绿地等），评委对比各投标人投标文件提供的养护方案方案酌情评分：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方案描述清晰，内容全面具体，方案措施优于采购需求，实际可行的，得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较清晰</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较丰富</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能</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满足采购需求的，得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清晰性一般</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一般</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，方案措施基本满足采购需求的，得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模糊</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缺漏</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与</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采购需求</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有偏差</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未提供不得分。</w:t>
            </w:r>
            <w:r/>
          </w:p>
        </w:tc>
        <w:tc>
          <w:tcPr>
            <w:tcW w:w="709" w:type="dxa"/>
            <w:vAlign w:val="center"/>
            <w:textDirection w:val="lrTb"/>
            <w:noWrap/>
          </w:tcPr>
          <w:p>
            <w:pPr>
              <w:jc w:val="center"/>
              <w:keepLines w:val="0"/>
              <w:keepNext w:val="0"/>
              <w:pageBreakBefore w:val="0"/>
              <w:spacing w:line="240" w:lineRule="auto"/>
              <w:shd w:val="clear" w:color="auto"/>
              <w:widowControl/>
              <w:rPr>
                <w:rFonts w:hint="default"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10</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w:t>
            </w: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2</w:t>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应急处置工作方案</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应急处置工作方案（</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包括但不限于</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道路积水应急情况处置，扫雪防冻应急处置，防汛防灾应急处置，路面突发情况、迎查、重大活动</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等</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），评委对比各投标人投标文件提供的应急处置工作方案酌情评分：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方案描述清晰，内容全面具体，方案措施优于采购需求，实际可行的，得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较清晰</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较丰富</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能</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满足采购需求的，得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清晰性一般</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一般</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，方案措施基本满足采购需求的，得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模糊</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缺漏</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与</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采购需求</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有偏差</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未提供不得分。</w:t>
            </w:r>
            <w:r/>
          </w:p>
        </w:tc>
        <w:tc>
          <w:tcPr>
            <w:tcW w:w="709" w:type="dxa"/>
            <w:vAlign w:val="center"/>
            <w:textDirection w:val="lrTb"/>
            <w:noWrap/>
          </w:tcPr>
          <w:p>
            <w:pPr>
              <w:jc w:val="center"/>
              <w:keepLines w:val="0"/>
              <w:keepNext w:val="0"/>
              <w:pageBreakBefore w:val="0"/>
              <w:spacing w:line="240" w:lineRule="auto"/>
              <w:shd w:val="clear" w:color="auto"/>
              <w:widowControl/>
              <w:rPr>
                <w:rFonts w:hint="default"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10</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w:t>
            </w: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3</w:t>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巡查管理工作方案</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巡查管理工作方案（</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包括但不限于</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道路病害、违章</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挖占</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情况，</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水务设施</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巡查、污染物巡查监管</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等</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），评委对比各投标人投标文件提供的应急处置工作方案酌情评分：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方案描述清晰，内容全面具体，方案措施优于采购需求，实际可行的，得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较清晰</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较丰富</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能</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满足采购需求的，得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清晰性一般</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一般</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，方案措施基本满足采购需求的，得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模糊</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缺漏</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与</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采购需求</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有偏差</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未提供不得分。</w:t>
            </w:r>
            <w:r/>
          </w:p>
        </w:tc>
        <w:tc>
          <w:tcPr>
            <w:tcW w:w="709" w:type="dxa"/>
            <w:vAlign w:val="center"/>
            <w:textDirection w:val="lrTb"/>
            <w:noWrap/>
          </w:tcPr>
          <w:p>
            <w:pPr>
              <w:jc w:val="center"/>
              <w:keepLines w:val="0"/>
              <w:keepNext w:val="0"/>
              <w:pageBreakBefore w:val="0"/>
              <w:spacing w:line="240" w:lineRule="auto"/>
              <w:shd w:val="clear" w:color="auto"/>
              <w:widowControl/>
              <w:rPr>
                <w:rFonts w:hint="default"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10</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w:t>
            </w: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4</w:t>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管理制度</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投标供应商需提供完善的员工管理制度、安全管理制度、安全培训制度、质量（含机械化作业）管理制度、考核办法，评标委员会根据各投标人所提供的制度方案酌情评分：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方案描述清晰，内容全面具体，方案措施优于采购需求，实际可行的，得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较清晰</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较丰富</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能</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满足采购需求的，得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清晰性一般</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一般</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，方案措施基本满足采购需求的，得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模糊</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缺漏</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与</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采购需求</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有偏差</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未提供不得分。</w:t>
            </w:r>
            <w:r/>
          </w:p>
        </w:tc>
        <w:tc>
          <w:tcPr>
            <w:tcW w:w="709" w:type="dxa"/>
            <w:vAlign w:val="center"/>
            <w:textDirection w:val="lrTb"/>
            <w:noWrap/>
          </w:tcPr>
          <w:p>
            <w:pPr>
              <w:jc w:val="center"/>
              <w:keepLines w:val="0"/>
              <w:keepNext w:val="0"/>
              <w:pageBreakBefore w:val="0"/>
              <w:spacing w:line="240" w:lineRule="auto"/>
              <w:shd w:val="clear" w:color="auto"/>
              <w:widowControl/>
              <w:rPr>
                <w:rFonts w:hint="default"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10</w:t>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eastAsia="zh-CN"/>
                <w14:textFill>
                  <w14:solidFill>
                    <w14:schemeClr w14:val="tx1"/>
                  </w14:solidFill>
                </w14:textFill>
              </w:rPr>
            </w:pP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w:t>
            </w: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5</w:t>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企业内部管理运作</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评委根据各投标人投标文件提供的具有满足作业需要的组织机构图、运作流程图说明、内部考核方案、专门机构负责对本项目进行质量监管，制定具体的质量管理考核细则等酌情评分：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方案描述清晰，内容全面具体，方案措施优于采购需求，实际可行的，得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较清晰</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较丰富</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能</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满足采购需求的，得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清晰性一般</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一般</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，方案措施基本满足采购需求的，得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方案描述</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模糊</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，内容</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缺漏</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，方案措施</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与</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采购需求</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有偏差</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的，得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left"/>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未提供不得分。</w:t>
            </w:r>
            <w:r/>
          </w:p>
        </w:tc>
        <w:tc>
          <w:tcPr>
            <w:tcW w:w="709" w:type="dxa"/>
            <w:vAlign w:val="center"/>
            <w:textDirection w:val="lrTb"/>
            <w:noWrap/>
          </w:tcPr>
          <w:p>
            <w:pPr>
              <w:jc w:val="center"/>
              <w:keepLines w:val="0"/>
              <w:keepNext w:val="0"/>
              <w:pageBreakBefore w:val="0"/>
              <w:spacing w:line="240" w:lineRule="auto"/>
              <w:shd w:val="clear" w:color="auto"/>
              <w:widowControl/>
              <w:rPr>
                <w:rFonts w:hint="default"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cstheme="minorEastAsia"/>
                <w:b/>
                <w:color w:val="000000" w:themeColor="text1"/>
                <w:szCs w:val="21"/>
                <w:highlight w:val="none"/>
                <w:lang w:val="en-US" w:eastAsia="zh-CN"/>
                <w14:textFill>
                  <w14:solidFill>
                    <w14:schemeClr w14:val="tx1"/>
                  </w14:solidFill>
                </w14:textFill>
              </w:rPr>
              <w:t xml:space="preserve">10</w:t>
            </w:r>
            <w:r/>
          </w:p>
        </w:tc>
      </w:tr>
      <w:tr>
        <w:trPr>
          <w:jc w:val="center"/>
          <w:trHeight w:val="407"/>
        </w:trPr>
        <w:tc>
          <w:tcPr>
            <w:gridSpan w:val="3"/>
            <w:tcW w:w="9004"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xml:space="preserve">合计</w:t>
            </w:r>
            <w:r/>
          </w:p>
        </w:tc>
        <w:tc>
          <w:tcPr>
            <w:tcW w:w="709" w:type="dxa"/>
            <w:vAlign w:val="center"/>
            <w:textDirection w:val="lrTb"/>
            <w:noWrap/>
          </w:tcPr>
          <w:p>
            <w:pPr>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t xml:space="preserve">100</w:t>
            </w:r>
            <w:r/>
          </w:p>
        </w:tc>
      </w:tr>
    </w:tbl>
    <w:p>
      <w:pPr>
        <w:spacing w:line="360" w:lineRule="auto"/>
        <w:shd w:val="clear" w:color="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一、对国家认定的节能产品和环保产品分别给予投标价的5%价格扣除，用扣除后的价格参与评审。</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二、小微企业的价格扣除</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2"/>
          <w:szCs w:val="22"/>
          <w:highlight w:val="none"/>
          <w14:textFill>
            <w14:solidFill>
              <w14:schemeClr w14:val="tx1"/>
            </w14:solidFill>
          </w14:textFill>
        </w:rPr>
        <w:t xml:space="preserve">%的扣除，用扣除后的价格参加评审。联合体各方均为小微企业的，联合体视同为小微企业，享受10%的价格扣除。</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2.价格扣除比例或者价格分加分比例对小型企业和微型企业同等对待，不作区分。</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三、监狱和戒毒企业的价格扣除</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1.本项目对监狱和戒毒企业（简称监狱企业）视同小型、微型企业，享受相同的价格扣除优惠政策。</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2.监狱企业需提供由省级以上监狱管理局、戒毒管理局（含新疆生产建设兵团）出具的属于监狱企业的证明文件。</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3.监狱企业标准请参照《关于政府采购支持监狱企业发展有关问题的通知》（财库〔2014〕68号）。</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四、残疾人福利性单位的价格扣除</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1.本项目对残疾人福利性单位视同小型、微型企业，享受相同的价格扣除优惠政策。</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2.残疾人福利性单位需按照招标文件的要求提供《残疾人福利性单位声明函》。</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3.残疾人福利性单位标准请参照《关于促进残疾人就业政府采购政策的通知》（财库〔2017〕141号）。</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五、监狱企业、残疾人福利性单位属于小型、微型企业的，不重复享受政策。</w:t>
      </w:r>
      <w:r/>
    </w:p>
    <w:p>
      <w:pPr>
        <w:pStyle w:val="1233"/>
        <w:keepLines w:val="0"/>
        <w:keepNext w:val="0"/>
        <w:pageBreakBefore w:val="0"/>
        <w:spacing w:after="0" w:line="24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六、除评分标准中另有说明外，所有认证、证明和业绩均以有效的证明文件的复印件为依据。</w:t>
      </w:r>
      <w:r/>
    </w:p>
    <w:p>
      <w:pPr>
        <w:pStyle w:val="962"/>
        <w:jc w:val="center"/>
        <w:shd w:val="clear" w:color="auto"/>
        <w:rPr>
          <w:rFonts w:hint="eastAsia" w:ascii="宋体" w:hAnsi="宋体" w:cs="宋体"/>
          <w:b/>
          <w:color w:val="000000" w:themeColor="text1"/>
          <w:sz w:val="36"/>
          <w:highlight w:val="none"/>
          <w14:textFill>
            <w14:solidFill>
              <w14:schemeClr w14:val="tx1"/>
            </w14:solidFill>
          </w14:textFill>
        </w:rPr>
        <w:sectPr>
          <w:footnotePr/>
          <w:endnotePr/>
          <w:type w:val="nextPage"/>
          <w:pgSz w:w="11906" w:h="16838" w:orient="portrait"/>
          <w:pgMar w:top="1134" w:right="1134" w:bottom="1134" w:left="1304" w:header="567" w:footer="907" w:gutter="0"/>
          <w:cols w:num="1" w:sep="0" w:space="425" w:equalWidth="1"/>
          <w:docGrid w:linePitch="360"/>
        </w:sectPr>
        <w:outlineLvl w:val="0"/>
      </w:pPr>
      <w:r>
        <w:rPr>
          <w:rFonts w:hint="eastAsia" w:ascii="宋体" w:hAnsi="宋体" w:cs="宋体"/>
          <w:b/>
          <w:color w:val="000000" w:themeColor="text1"/>
          <w:sz w:val="36"/>
          <w:highlight w:val="none"/>
          <w14:textFill>
            <w14:solidFill>
              <w14:schemeClr w14:val="tx1"/>
            </w14:solidFill>
          </w14:textFill>
        </w:rPr>
      </w:r>
      <w:r/>
    </w:p>
    <w:p>
      <w:pPr>
        <w:pStyle w:val="962"/>
        <w:jc w:val="center"/>
        <w:shd w:val="clear" w:color="auto"/>
        <w:rPr>
          <w:rFonts w:hint="eastAsia" w:ascii="宋体" w:hAnsi="宋体" w:cs="宋体"/>
          <w:b/>
          <w:color w:val="000000" w:themeColor="text1"/>
          <w:sz w:val="36"/>
          <w:highlight w:val="none"/>
          <w14:textFill>
            <w14:solidFill>
              <w14:schemeClr w14:val="tx1"/>
            </w14:solidFill>
          </w14:textFill>
        </w:rPr>
        <w:outlineLvl w:val="0"/>
      </w:pPr>
      <w:r>
        <w:rPr>
          <w:rFonts w:hint="eastAsia" w:ascii="宋体" w:hAnsi="宋体" w:cs="宋体"/>
          <w:b/>
          <w:color w:val="000000" w:themeColor="text1"/>
          <w:sz w:val="36"/>
          <w:highlight w:val="none"/>
          <w:lang w:val="en-US" w:eastAsia="zh-CN"/>
          <w14:textFill>
            <w14:solidFill>
              <w14:schemeClr w14:val="tx1"/>
            </w14:solidFill>
          </w14:textFill>
        </w:rPr>
        <w:t xml:space="preserve">★</w:t>
      </w:r>
      <w:r>
        <w:rPr>
          <w:rFonts w:hint="eastAsia" w:ascii="宋体" w:hAnsi="宋体" w:cs="宋体"/>
          <w:b/>
          <w:color w:val="000000" w:themeColor="text1"/>
          <w:sz w:val="36"/>
          <w:highlight w:val="none"/>
          <w:lang w:val="zh-CN"/>
          <w14:textFill>
            <w14:solidFill>
              <w14:schemeClr w14:val="tx1"/>
            </w14:solidFill>
          </w14:textFill>
        </w:rPr>
        <w:t xml:space="preserve">第四章</w:t>
      </w:r>
      <w:r>
        <w:rPr>
          <w:rFonts w:hint="eastAsia" w:ascii="宋体" w:hAnsi="宋体" w:cs="宋体"/>
          <w:b/>
          <w:color w:val="000000" w:themeColor="text1"/>
          <w:sz w:val="36"/>
          <w:highlight w:val="none"/>
          <w14:textFill>
            <w14:solidFill>
              <w14:schemeClr w14:val="tx1"/>
            </w14:solidFill>
          </w14:textFill>
        </w:rPr>
        <w:t xml:space="preserve">  采购需求</w:t>
      </w:r>
      <w:r/>
    </w:p>
    <w:p>
      <w:pPr>
        <w:pStyle w:val="1218"/>
        <w:ind w:left="0" w:firstLine="0"/>
        <w:jc w:val="center"/>
        <w:spacing w:line="360" w:lineRule="auto"/>
        <w:shd w:val="clear" w:color="auto"/>
        <w:rPr>
          <w:rFonts w:hint="default" w:asciiTheme="minorEastAsia" w:hAnsiTheme="minorEastAsia" w:eastAsiaTheme="minorEastAsia" w:cstheme="minorEastAsia"/>
          <w:b/>
          <w:bCs/>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highlight w:val="none"/>
          <w:lang w:val="en-US" w:eastAsia="zh-CN"/>
          <w14:textFill>
            <w14:solidFill>
              <w14:schemeClr w14:val="tx1"/>
            </w14:solidFill>
          </w14:textFill>
        </w:rPr>
        <w:t xml:space="preserve">（第一部分：技术部分要求）</w:t>
      </w:r>
      <w:r/>
    </w:p>
    <w:p>
      <w:pPr>
        <w:pStyle w:val="1218"/>
        <w:ind w:firstLine="482"/>
        <w:spacing w:line="360" w:lineRule="auto"/>
        <w:shd w:val="clear" w:color="auto"/>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一、项目概述</w:t>
      </w:r>
      <w:r/>
    </w:p>
    <w:p>
      <w:pPr>
        <w:pStyle w:val="1218"/>
        <w:ind w:firstLine="480"/>
        <w:spacing w:line="360" w:lineRule="auto"/>
        <w:shd w:val="clear" w:color="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1、工作范围：</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标段范围内日常养护及相关附属设施的养护工作</w:t>
      </w: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综合养护要求中标企业按照相关标准和行业管理规定，精心组织，系统掌握实时动态，及时跟踪、发现、防止和处理病害缺陷、安全隐患，推行精细化管理，落实指令性任务，做好重大节假日保障和突发应急处置工作，确保市政、绿化设施完好安全，并符合行业规范要求。具体详见招标文件。</w:t>
      </w:r>
      <w:r/>
    </w:p>
    <w:p>
      <w:pPr>
        <w:pStyle w:val="1218"/>
        <w:ind w:firstLine="480"/>
        <w:spacing w:line="360" w:lineRule="auto"/>
        <w:shd w:val="clear" w:color="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设施</w:t>
      </w: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量明细表</w:t>
      </w:r>
      <w:r/>
    </w:p>
    <w:p>
      <w:pPr>
        <w:pStyle w:val="1218"/>
        <w:ind w:firstLine="480"/>
        <w:spacing w:line="360" w:lineRule="auto"/>
        <w:shd w:val="clear" w:color="auto"/>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（1）日常养护</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（表中为单年预估量）</w:t>
      </w:r>
      <w:r/>
    </w:p>
    <w:p>
      <w:pPr>
        <w:pStyle w:val="1218"/>
        <w:ind w:firstLine="480"/>
        <w:spacing w:line="360" w:lineRule="auto"/>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56"/>
        <w:tblW w:w="53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7"/>
        <w:gridCol w:w="418"/>
        <w:gridCol w:w="443"/>
        <w:gridCol w:w="576"/>
        <w:gridCol w:w="576"/>
        <w:gridCol w:w="576"/>
        <w:gridCol w:w="576"/>
        <w:gridCol w:w="576"/>
        <w:gridCol w:w="576"/>
        <w:gridCol w:w="576"/>
        <w:gridCol w:w="580"/>
        <w:gridCol w:w="576"/>
        <w:gridCol w:w="576"/>
        <w:gridCol w:w="576"/>
        <w:gridCol w:w="576"/>
        <w:gridCol w:w="578"/>
        <w:gridCol w:w="576"/>
        <w:gridCol w:w="578"/>
      </w:tblGrid>
      <w:tr>
        <w:trPr>
          <w:jc w:val="center"/>
          <w:trHeight w:val="289"/>
        </w:trPr>
        <w:tc>
          <w:tcPr>
            <w:shd w:val="clear" w:color="auto" w:fill="auto"/>
            <w:tcW w:w="281"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道路名称</w:t>
            </w:r>
            <w:r/>
          </w:p>
        </w:tc>
        <w:tc>
          <w:tcPr>
            <w:shd w:val="clear" w:color="auto" w:fill="auto"/>
            <w:tcW w:w="20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起点</w:t>
            </w:r>
            <w:r/>
          </w:p>
        </w:tc>
        <w:tc>
          <w:tcPr>
            <w:shd w:val="clear" w:color="auto" w:fill="auto"/>
            <w:tcW w:w="21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终点</w:t>
            </w:r>
            <w:r/>
          </w:p>
        </w:tc>
        <w:tc>
          <w:tcPr>
            <w:gridSpan w:val="8"/>
            <w:shd w:val="clear" w:color="auto" w:fill="auto"/>
            <w:tcW w:w="228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道路设施</w:t>
            </w:r>
            <w:r/>
          </w:p>
        </w:tc>
        <w:tc>
          <w:tcPr>
            <w:gridSpan w:val="5"/>
            <w:shd w:val="clear" w:color="auto" w:fill="auto"/>
            <w:tcW w:w="143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水务设施</w:t>
            </w:r>
            <w:r/>
          </w:p>
        </w:tc>
        <w:tc>
          <w:tcPr>
            <w:gridSpan w:val="2"/>
            <w:shd w:val="clear" w:color="auto" w:fill="auto"/>
            <w:tcW w:w="57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绿化设施</w:t>
            </w:r>
            <w:r/>
          </w:p>
        </w:tc>
      </w:tr>
      <w:tr>
        <w:trPr>
          <w:jc w:val="center"/>
          <w:trHeight w:val="4203"/>
        </w:trPr>
        <w:tc>
          <w:tcPr>
            <w:shd w:val="clear" w:color="auto" w:fill="auto"/>
            <w:tcW w:w="281" w:type="pct"/>
            <w:vAlign w:val="center"/>
            <w:vMerge w:val="continue"/>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W w:w="207" w:type="pct"/>
            <w:vAlign w:val="center"/>
            <w:vMerge w:val="continue"/>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W w:w="219" w:type="pct"/>
            <w:vAlign w:val="center"/>
            <w:vMerge w:val="continue"/>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车行道（㎡）</w:t>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人行道（㎡）</w:t>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人行天桥（㎡）</w:t>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钢筋混凝土桥（㎡）</w:t>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挡土墙</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护栏（m）</w:t>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人行道隔离</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桩（根）</w:t>
            </w:r>
            <w:r/>
          </w:p>
        </w:tc>
        <w:tc>
          <w:tcPr>
            <w:shd w:val="clear" w:color="auto" w:fill="auto"/>
            <w:tcW w:w="28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路名牌（块）</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雨水管D400管道（m）</w:t>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雨水管D600管道（m）</w:t>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雨水管D1000管道（m）</w:t>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雨水管D1200管道（m）</w:t>
            </w:r>
            <w:r/>
          </w:p>
        </w:tc>
        <w:tc>
          <w:tcPr>
            <w:shd w:val="clear" w:color="auto" w:fill="auto"/>
            <w:tcW w:w="286" w:type="pct"/>
            <w:vAlign w:val="center"/>
            <w:textDirection w:val="lrTb"/>
            <w:noWrap w:val="false"/>
          </w:tcPr>
          <w:p>
            <w:pPr>
              <w:pStyle w:val="961"/>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雨水泵站</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(单位：座，流速：1.167m3/s)</w:t>
            </w:r>
            <w:r/>
          </w:p>
        </w:tc>
        <w:tc>
          <w:tcPr>
            <w:shd w:val="clear" w:color="auto" w:fill="auto"/>
            <w:tcW w:w="28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行道树（株）</w:t>
            </w:r>
            <w:r/>
          </w:p>
        </w:tc>
        <w:tc>
          <w:tcPr>
            <w:shd w:val="clear" w:color="auto" w:fill="auto"/>
            <w:tcW w:w="2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jc w:val="center"/>
          <w:trHeight w:val="2404"/>
        </w:trPr>
        <w:tc>
          <w:tcPr>
            <w:shd w:val="clear" w:color="auto" w:fill="auto"/>
            <w:tcW w:w="28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燕霞路</w:t>
            </w:r>
            <w:r/>
          </w:p>
        </w:tc>
        <w:tc>
          <w:tcPr>
            <w:shd w:val="clear" w:color="auto" w:fill="auto"/>
            <w:tcW w:w="20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江风苑南苑小区南门</w:t>
            </w:r>
            <w:r/>
          </w:p>
        </w:tc>
        <w:tc>
          <w:tcPr>
            <w:shd w:val="clear" w:color="auto" w:fill="auto"/>
            <w:tcW w:w="21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燕丹路</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18767</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2525</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801</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3080</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3915</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1966</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W w:w="28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73.6</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708.2</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123.7</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23.6</w:t>
            </w:r>
            <w:r/>
          </w:p>
        </w:tc>
        <w:tc>
          <w:tcPr>
            <w:shd w:val="clear" w:color="auto" w:fill="auto"/>
            <w:tcW w:w="28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28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W w:w="286" w:type="pct"/>
            <w:vAlign w:val="center"/>
            <w:textDirection w:val="lrTb"/>
            <w:noWrap/>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2671.13</w:t>
            </w:r>
            <w:r/>
          </w:p>
        </w:tc>
      </w:tr>
    </w:tbl>
    <w:p>
      <w:pPr>
        <w:pStyle w:val="1218"/>
        <w:ind w:firstLine="480"/>
        <w:spacing w:line="360" w:lineRule="auto"/>
        <w:shd w:val="clear" w:color="auto"/>
        <w:rPr>
          <w:rFonts w:hint="default"/>
          <w:color w:val="000000" w:themeColor="text1"/>
          <w:highlight w:val="none"/>
          <w:lang w:val="en-US" w:eastAsia="zh-CN"/>
          <w14:textFill>
            <w14:solidFill>
              <w14:schemeClr w14:val="tx1"/>
            </w14:solidFill>
          </w14:textFill>
        </w:rPr>
        <w:sectPr>
          <w:footnotePr/>
          <w:endnotePr/>
          <w:type w:val="nextPage"/>
          <w:pgSz w:w="11905" w:h="16838" w:orient="portrait"/>
          <w:pgMar w:top="1429" w:right="1242" w:bottom="958" w:left="1480" w:header="0" w:footer="794" w:gutter="0"/>
          <w:cols w:num="1" w:sep="0" w:space="0" w:equalWidth="1"/>
          <w:docGrid w:linePitch="360"/>
        </w:sectPr>
      </w:pPr>
      <w:r>
        <w:rPr>
          <w:rFonts w:hint="default"/>
          <w:color w:val="000000" w:themeColor="text1"/>
          <w:highlight w:val="none"/>
          <w:lang w:val="en-US" w:eastAsia="zh-CN"/>
          <w14:textFill>
            <w14:solidFill>
              <w14:schemeClr w14:val="tx1"/>
            </w14:solidFill>
          </w14:textFill>
        </w:rPr>
      </w:r>
      <w:r/>
    </w:p>
    <w:p>
      <w:pPr>
        <w:pStyle w:val="1218"/>
        <w:ind w:firstLine="480"/>
        <w:spacing w:line="360" w:lineRule="auto"/>
        <w:shd w:val="clear" w:color="auto"/>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日常养护单项限价</w:t>
      </w:r>
      <w:r/>
    </w:p>
    <w:tbl>
      <w:tblPr>
        <w:tblStyle w:val="95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3"/>
        <w:gridCol w:w="2360"/>
        <w:gridCol w:w="1332"/>
        <w:gridCol w:w="2455"/>
        <w:gridCol w:w="2874"/>
      </w:tblGrid>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设施种类</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单项限价（元/年）</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备</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注</w:t>
            </w:r>
            <w:r/>
          </w:p>
        </w:tc>
      </w:tr>
      <w:tr>
        <w:trPr>
          <w:jc w:val="cente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道路设施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车行道</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人行天桥</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钢筋混凝土桥</w:t>
            </w:r>
            <w:r/>
          </w:p>
        </w:tc>
        <w:tc>
          <w:tcPr>
            <w:shd w:val="clear" w:color="auto" w:fill="auto"/>
            <w:tcBorders>
              <w:top w:val="single" w:color="auto" w:sz="4" w:space="0"/>
              <w:left w:val="single" w:color="000000" w:sz="4" w:space="0"/>
              <w:bottom w:val="single" w:color="auto"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54.78</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挡土墙</w:t>
            </w:r>
            <w:r/>
          </w:p>
        </w:tc>
        <w:tc>
          <w:tcPr>
            <w:shd w:val="clear" w:color="auto" w:fill="auto"/>
            <w:tcBorders>
              <w:top w:val="single" w:color="auto" w:sz="4" w:space="0"/>
              <w:left w:val="single" w:color="000000" w:sz="4" w:space="0"/>
              <w:bottom w:val="single" w:color="auto"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护栏</w:t>
            </w:r>
            <w:r/>
          </w:p>
        </w:tc>
        <w:tc>
          <w:tcPr>
            <w:shd w:val="clear" w:color="auto" w:fill="auto"/>
            <w:tcBorders>
              <w:top w:val="single" w:color="auto" w:sz="4" w:space="0"/>
              <w:left w:val="single" w:color="000000" w:sz="4" w:space="0"/>
              <w:bottom w:val="single" w:color="auto" w:sz="4" w:space="0"/>
              <w:right w:val="single" w:color="000000" w:sz="4" w:space="0"/>
            </w:tcBorders>
            <w:tcW w:w="1375"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人行道隔离</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桩</w:t>
            </w:r>
            <w:r/>
          </w:p>
        </w:tc>
        <w:tc>
          <w:tcPr>
            <w:shd w:val="clear" w:color="auto" w:fill="auto"/>
            <w:tcBorders>
              <w:top w:val="single" w:color="auto" w:sz="4" w:space="0"/>
              <w:left w:val="single" w:color="000000" w:sz="4" w:space="0"/>
              <w:bottom w:val="single" w:color="auto" w:sz="4" w:space="0"/>
              <w:right w:val="single" w:color="000000" w:sz="4" w:space="0"/>
            </w:tcBorders>
            <w:tcW w:w="1375"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28.26</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路名牌</w:t>
            </w:r>
            <w:r/>
          </w:p>
        </w:tc>
        <w:tc>
          <w:tcPr>
            <w:shd w:val="clear" w:color="auto" w:fill="auto"/>
            <w:tcBorders>
              <w:top w:val="single" w:color="auto" w:sz="4" w:space="0"/>
              <w:left w:val="single" w:color="000000" w:sz="4" w:space="0"/>
              <w:bottom w:val="single" w:color="auto" w:sz="4" w:space="0"/>
              <w:right w:val="single" w:color="000000" w:sz="4" w:space="0"/>
            </w:tcBorders>
            <w:tcW w:w="1375"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水务设施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雨水管</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D400管道</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46.31</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雨水管</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D600管道</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46.26</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雨水管</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D1000管道</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37.82</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雨水管</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D1200管道</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37.82</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雨水泵站</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709600</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流量：1.167m3/s，含日常养护的所有相关费用</w:t>
            </w:r>
            <w:r/>
          </w:p>
        </w:tc>
      </w:tr>
      <w:tr>
        <w:trPr>
          <w:jc w:val="cente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绿化设施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行道树</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绿地</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bl>
    <w:p>
      <w:pPr>
        <w:pStyle w:val="1218"/>
        <w:ind w:left="0" w:firstLine="0"/>
        <w:spacing w:line="360" w:lineRule="auto"/>
        <w:shd w:val="clear" w:color="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134" w:right="1134" w:bottom="1134" w:left="1304" w:header="567" w:footer="907" w:gutter="0"/>
          <w:cols w:num="1" w:sep="0" w:space="425" w:equalWidth="1"/>
          <w:docGrid w:linePitch="360"/>
        </w:sectPr>
      </w:pP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二、养护要求（现行规范要求，包含但不限于）</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（一）、符合《城镇道路养护技术规范》（CJJ36-2016）、《城市桥梁养护技术标准》 （CJJ99-2017）、《城市桥梁检测与评定技术规范》（CJJ/T233-2015） 等相关技术规范。</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（二）、其他养护工作内容</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1、应急处置</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中标方须制定各类应急抢险预案，报管理单位备案，并定期组织内部演练；建立应急抢险队伍，准备相应的应急抢险物资和机械设备，制定所承包维护设施的防汛、防台、扫雪预案，组织和落实防汛、防台、扫雪的抢险队伍、机具和常用物资，汛期和下雪期间保持24小时通讯畅通，服从招标人调</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度和管理。发生突发事件如道路大面积沉陷、塌陷，岸体护坡塌方，桥梁隧道变形、自来水爆管或燃气管泄漏造成道路需大面积开挖、雨水检查井损坏、雨水排水口积淹水、行道树树木倒伏以及变配电设备故障等，中标方组织人员、材料和机械立即赶赴现场，进行先期处置，设置围挡及警示标志、交通疏导，查看现场，判断、分析、评估所养护设施受损状况，提出相应恢复建议。产权管线单位修复完成后或维修方案确定后，中标方立即对破损、故障设施进行修复，尽快恢复正常运行，所有的应急抢险需无条件服从甲方的调度与安排，必须在规定的时间或甲方要求时限内完成。</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 违章、违法破坏市政设施行为的发现与制止</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中标方担负保护市政设施的责任，应及时发现各类违章违法破坏市政设施行为。发现违章占用、挖掘、等违章行为时，应及 时制止，了解违章单位或个人信息，拍照收集相关证据，立即报管理部门。对于偷盗等 违法行为的应向公安部门报案，同时报管理部门。由于未及时发现人为破坏而导致的市政设施破损由中标方承担修复。</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3、 投诉处理</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中标方应建立投诉处理值班制度，保障通讯网络畅通。接到市民投诉、媒体、网络等曝光等信息后应按照管理单位对外公布承诺制度要求及管理单位要求赶赴至现场并在规定期限内进行处置，做好反馈和回复工作。对于不属于养护责任范围内的做好解释和回复工作。</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4、 养护内业资料</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中标方应加强档案资料管理工作，按照规定规范、管理单位要求建立设施档案、养护运行记录、检测记录、完好状况评定等基础资料台帐和养护台账，同时依照要求建立安全生产台账，按时上报维修计划、维修完成情况等报表，填写各类网络系统电子台帐和报表。如因养护导致设施发生局部变化的，应对设施档案资料进行更新。</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5、 安全养护工作要求</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中标方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中标方应配备安全员，专职负责养护安全工作。养护前进行必要的环境不安全因素检测。在道路上养护作业时，需满足安全施工需求，进行围挡作业，设置明显警示标志，养护作业现场应有专职安全人员进行安全监督和交通疏导。</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6、 文明养护工作要求</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养护作业应按规定设置围档，养护设备、材料应堆放在围挡范围之内，实施防尘、降尘工作。养护作业完成后，清理现场，废渣、废弃材料等当日清运，做到工完场清。</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7、 养护质量要求</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养护工作应当及时有效，开展预防性养护工作。中标方应选用先进、实用、环保的养护工艺和材料，增加机械养护比例，禁止使用淘汰产品和淘汰工艺。养护材料应为与应与原材料一致的符合标准的合格产品，如无法购置匹配材料的，应选择性能优于原材料的养护材料。养护后设施性能指标应满足规范规定要求，规范无规定的应不低于新建设施性能指标90%。中标方不得擅自变更市政设施现状。</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8、 防汛工作</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汛期之前，中标方应对城市排水设施进行全面检查维修，确保汛期安全运行。中标方须制定防汛预案，并建立防汛抢险队伍，准备相应的防汛抢险物资和机械设备。当发生强降雨后，应服从防汛及行业管理部门的调度和指挥，启闭闸阀设施，开启机泵，控制水位，上路巡查。对积淹水地区开展助排工作。</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9、 指令性任务</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中标方在接到上级或管理单位的指令性任务时，应立即制定相关措施和方案，保质保量按要求完成。</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10、 中标方应有与区网格化管理责任体系相对应的内部管理体系，责任到人，并做好与我所和各街道的对接，做好相关工作的衔接与落实。并按相关标准及要求规范养护作业。</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三、检查考核</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 考核组织实施</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养护考核工作由南京市栖霞区市政设施综合养护管理所（以下简称区综管所）负责组织实施。具体负责组织集中、不定期检查和资料汇总、计分排名和通报，对其作业质量进行日常检查和考核，并对其存在的问题限期落实整改。本项目不得转包或分包，一经发现有转包或分包现象，立即终止合同,给招标人造成损失的，中标人应当予以赔偿，且承担相应的法律责任。</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 考核办法</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区综管所按照市级行业部门的相关考核办法、实施细则及《南京市栖霞区道路桥梁设施养护管理考核办法》、《南京市栖霞区市政设施综合养护管理所绿化养护管理考核办法》、 《栖霞区市政设施综合养护管理所水务设施管理维护考核办法》等对中标方的养护作业进行考核，文件后附。</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3、 否决指标</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（1）中标方一年内累计三次得到区综管所书面警告的，或二次书面严重警告，区综管所有权提前终止中标方的全部合同。维护经费结算到终止合同的前一个月止（区综管所拒付费用不参与结算）。</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（2）中标方在合同期限内两次收到市区级综合考评批评，并影响到全区养护考核分值较大的，区综管所将提前终止中标方的全部合同。</w:t>
      </w:r>
      <w:r/>
    </w:p>
    <w:p>
      <w:pPr>
        <w:pStyle w:val="1218"/>
        <w:ind w:left="0" w:firstLine="0"/>
        <w:jc w:val="center"/>
        <w:spacing w:line="360" w:lineRule="auto"/>
        <w:shd w:val="clear" w:color="auto"/>
        <w:rPr>
          <w:rFonts w:hint="default" w:asciiTheme="minorEastAsia" w:hAnsiTheme="minorEastAsia" w:eastAsiaTheme="minorEastAsia" w:cstheme="minorEastAsia"/>
          <w:b/>
          <w:bCs/>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highlight w:val="none"/>
          <w:lang w:val="en-US" w:eastAsia="zh-CN"/>
          <w14:textFill>
            <w14:solidFill>
              <w14:schemeClr w14:val="tx1"/>
            </w14:solidFill>
          </w14:textFill>
        </w:rPr>
        <w:t xml:space="preserve">（第二部分：商务部分要求）</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四 、商务条款</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（一）合同履行期限（服务期）：三年。</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（二）服务要求：经招标人考核不合格的，招标人有权提前终止合同。</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（三）质保期：自验收合格之日起一年。</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（四）付款方式</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1、日常养护经费按月拨付，与该类别月度检查考核成绩相挂钩，具体拨付方式详见考核办法。</w:t>
      </w:r>
      <w:r/>
    </w:p>
    <w:p>
      <w:pPr>
        <w:pStyle w:val="1218"/>
        <w:numPr>
          <w:ilvl w:val="0"/>
          <w:numId w:val="0"/>
        </w:numPr>
        <w:ind w:firstLine="480"/>
        <w:spacing w:line="360" w:lineRule="auto"/>
        <w:shd w:val="clear" w:color="auto"/>
        <w:rPr>
          <w:rFonts w:hint="default"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2、对在市政设施范围内进行出新、整治或占用、挖掘的，供应商有义务积极参与监管及验收，并负责按要求进行修复工作。对于设施被破坏或抢修等情况，供应商有义务按照采购人规定时间内完成修复，并按照当年主城区城市道路挖掘修复工程合同中约定的结算价计取方式进行结算。</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（五）报价说明</w:t>
      </w:r>
      <w:r/>
    </w:p>
    <w:p>
      <w:pPr>
        <w:pStyle w:val="1218"/>
        <w:numPr>
          <w:ilvl w:val="0"/>
          <w:numId w:val="0"/>
        </w:numPr>
        <w:ind w:firstLine="480"/>
        <w:spacing w:line="360" w:lineRule="auto"/>
        <w:shd w:val="clear" w:color="auto"/>
        <w:rPr>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1、本项目总价包干,其中需包含20%作为预留金，用于接受采购人指令性任务，投标供应商需综合考虑包含在投标报价中，该部分</w:t>
      </w: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经费计算方式：有投标报价的，单价以投标报价为准，其中如遇信息价调整，材料调价方式参照苏建价(2008)67号文相关规定执行；没有投标报价的，</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按实计取，材料、人工、机械设备等按方案当时当月《南京市工程材料信息价》执行，无信息价的，按市政综合所委托的审计单位出具的《工程结算审定单》为准。</w:t>
      </w: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工作量以市政综合所或市政综合所认可的第三方核实的为准，审计核减率超过10%，则全部审计费用由供应商承担，不超过10%则审计费由采购人承担。</w:t>
      </w:r>
      <w:r/>
    </w:p>
    <w:p>
      <w:pPr>
        <w:pStyle w:val="1218"/>
        <w:numPr>
          <w:ilvl w:val="0"/>
          <w:numId w:val="0"/>
        </w:numPr>
        <w:ind w:firstLine="480"/>
        <w:spacing w:line="360" w:lineRule="auto"/>
        <w:shd w:val="clear" w:color="auto"/>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投标人应综合考虑后进行报价，投保报价包括但不限于：人工费（包括服务人员工资、社保、公积金等）、福利、机械设备、材料、工具损耗、管理、劳务、服装、教育培训、身体检查、通讯、安全保卫、管理调度费及其风险费、保险费、税费、利润、各类规费、各种风险、产生的建筑垃圾清运、处置及回收相关全部费用及合同实施过程中的应预见或不可预见费用等，均已包含在本次报价之中，采购人再不另行支付。</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附件：</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1、《栖霞区道路桥梁设施养护管理考核办法》</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2、《南京市栖霞区市政设施综合养护管理所绿化养护管理考核办法》</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3、《栖霞区市政设施综合养护管理所水务设施管理维护考核办法》</w:t>
      </w:r>
      <w:r/>
    </w:p>
    <w:p>
      <w:pPr>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br w:type="page" w:clear="all"/>
      </w:r>
      <w:r/>
    </w:p>
    <w:p>
      <w:pPr>
        <w:spacing w:line="266" w:lineRule="auto"/>
        <w:shd w:val="clear" w:color="auto"/>
        <w:rPr>
          <w:rFonts w:ascii="Arial"/>
          <w:color w:val="000000" w:themeColor="text1"/>
          <w:sz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附件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p>
      <w:pPr>
        <w:jc w:val="center"/>
        <w:spacing w:line="360" w:lineRule="auto"/>
        <w:shd w:val="clear" w:color="auto"/>
        <w:rPr>
          <w:rFonts w:hint="eastAsia" w:ascii="仿宋" w:hAnsi="仿宋" w:eastAsia="仿宋" w:cs="宋体"/>
          <w:b/>
          <w:bCs/>
          <w:color w:val="000000" w:themeColor="text1"/>
          <w:sz w:val="28"/>
          <w:szCs w:val="28"/>
          <w:highlight w:val="none"/>
          <w:lang w:val="en-US" w:eastAsia="zh-CN"/>
          <w14:textFill>
            <w14:solidFill>
              <w14:schemeClr w14:val="tx1"/>
            </w14:solidFill>
          </w14:textFill>
        </w:rPr>
      </w:pPr>
      <w:r>
        <w:rPr>
          <w:rFonts w:hint="eastAsia" w:ascii="方正小标宋简体" w:hAnsi="方正小标宋简体" w:eastAsia="方正小标宋简体" w:cs="方正小标宋简体"/>
          <w:b/>
          <w:bCs/>
          <w:color w:val="000000" w:themeColor="text1"/>
          <w:sz w:val="28"/>
          <w:szCs w:val="28"/>
          <w:highlight w:val="none"/>
          <w:lang w:val="en-US" w:eastAsia="zh-CN"/>
          <w14:textFill>
            <w14:solidFill>
              <w14:schemeClr w14:val="tx1"/>
            </w14:solidFill>
          </w14:textFill>
        </w:rPr>
        <w:t xml:space="preserve">栖霞区道路桥梁设施养护管理考核办法</w:t>
      </w:r>
      <w:r/>
    </w:p>
    <w:p>
      <w:pPr>
        <w:ind w:firstLine="560"/>
        <w:jc w:val="center"/>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（2026） </w:t>
      </w:r>
      <w:r/>
    </w:p>
    <w:p>
      <w:pPr>
        <w:ind w:firstLine="560"/>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为切实加强我区道路桥梁设施养护管理考核工作，全面提高道路桥梁设施养护管理精细化、规范化、长效化水平，根据市交运局、市道路中心相关考核要求，结合我区道路设施养护管理的实际情况，制定本考核办法。</w:t>
      </w:r>
      <w:r/>
    </w:p>
    <w:p>
      <w:pPr>
        <w:ind w:firstLine="562"/>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b/>
          <w:bCs/>
          <w:color w:val="000000" w:themeColor="text1"/>
          <w:sz w:val="28"/>
          <w:szCs w:val="28"/>
          <w:highlight w:val="none"/>
          <w:lang w:val="en-US" w:eastAsia="zh-CN"/>
          <w14:textFill>
            <w14:solidFill>
              <w14:schemeClr w14:val="tx1"/>
            </w14:solidFill>
          </w14:textFill>
        </w:rPr>
        <w:t xml:space="preserve">一、考核对象</w:t>
      </w:r>
      <w:r/>
    </w:p>
    <w:p>
      <w:pPr>
        <w:ind w:firstLine="560"/>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区市政所管理的道路桥梁设施养护单位。</w:t>
      </w:r>
      <w:r/>
    </w:p>
    <w:p>
      <w:pPr>
        <w:ind w:firstLine="562"/>
        <w:spacing w:line="360" w:lineRule="auto"/>
        <w:shd w:val="clear" w:color="auto"/>
        <w:rPr>
          <w:rFonts w:hint="eastAsia" w:ascii="仿宋" w:hAnsi="仿宋" w:eastAsia="仿宋" w:cs="宋体"/>
          <w:b/>
          <w:bCs/>
          <w:color w:val="000000" w:themeColor="text1"/>
          <w:sz w:val="28"/>
          <w:szCs w:val="28"/>
          <w:highlight w:val="none"/>
          <w:lang w:val="en-US" w:eastAsia="zh-CN"/>
          <w14:textFill>
            <w14:solidFill>
              <w14:schemeClr w14:val="tx1"/>
            </w14:solidFill>
          </w14:textFill>
        </w:rPr>
      </w:pPr>
      <w:r>
        <w:rPr>
          <w:rFonts w:hint="eastAsia" w:ascii="仿宋" w:hAnsi="仿宋" w:eastAsia="仿宋" w:cs="宋体"/>
          <w:b/>
          <w:bCs/>
          <w:color w:val="000000" w:themeColor="text1"/>
          <w:sz w:val="28"/>
          <w:szCs w:val="28"/>
          <w:highlight w:val="none"/>
          <w:lang w:val="en-US" w:eastAsia="zh-CN"/>
          <w14:textFill>
            <w14:solidFill>
              <w14:schemeClr w14:val="tx1"/>
            </w14:solidFill>
          </w14:textFill>
        </w:rPr>
        <w:t xml:space="preserve">二、考核内容 </w:t>
      </w:r>
      <w:r/>
    </w:p>
    <w:p>
      <w:pPr>
        <w:ind w:firstLine="560"/>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各养护单位养护范围内道路、桥梁、附属设施的养护管理及道路挖占管理修复情况。</w:t>
      </w:r>
      <w:r/>
    </w:p>
    <w:p>
      <w:pPr>
        <w:ind w:firstLine="562"/>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b/>
          <w:bCs/>
          <w:color w:val="000000" w:themeColor="text1"/>
          <w:sz w:val="28"/>
          <w:szCs w:val="28"/>
          <w:highlight w:val="none"/>
          <w:lang w:val="en-US" w:eastAsia="zh-CN"/>
          <w14:textFill>
            <w14:solidFill>
              <w14:schemeClr w14:val="tx1"/>
            </w14:solidFill>
          </w14:textFill>
        </w:rPr>
        <w:t xml:space="preserve">三、考核依据</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 </w:t>
      </w:r>
      <w:r/>
    </w:p>
    <w:p>
      <w:pPr>
        <w:ind w:firstLine="560"/>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考核依据：《南京市城市道路维护管理检查考核办法》（宁交道路〔2023〕79号）、本办法、《栖霞区道路养护管理日常考核评分细则》（附后）及相关主管部门制定的各类道路桥梁养护考核标准及技术规范。安全生产相关工作按照《江苏省安全生产条例》，《江苏省消防条例》及其细则进行考核。国家、省、市及我区关于安全生产考核的其他规定相关调整的，按调整后的规范执行。</w:t>
      </w:r>
      <w:r/>
    </w:p>
    <w:p>
      <w:pPr>
        <w:ind w:firstLine="562"/>
        <w:spacing w:line="360" w:lineRule="auto"/>
        <w:shd w:val="clear" w:color="auto"/>
        <w:rPr>
          <w:rFonts w:hint="eastAsia" w:ascii="仿宋" w:hAnsi="仿宋" w:eastAsia="仿宋" w:cs="宋体"/>
          <w:b/>
          <w:bCs/>
          <w:color w:val="000000" w:themeColor="text1"/>
          <w:sz w:val="28"/>
          <w:szCs w:val="28"/>
          <w:highlight w:val="none"/>
          <w:lang w:val="en-US" w:eastAsia="zh-CN"/>
          <w14:textFill>
            <w14:solidFill>
              <w14:schemeClr w14:val="tx1"/>
            </w14:solidFill>
          </w14:textFill>
        </w:rPr>
      </w:pPr>
      <w:r>
        <w:rPr>
          <w:rFonts w:hint="eastAsia" w:ascii="仿宋" w:hAnsi="仿宋" w:eastAsia="仿宋" w:cs="宋体"/>
          <w:b/>
          <w:bCs/>
          <w:color w:val="000000" w:themeColor="text1"/>
          <w:sz w:val="28"/>
          <w:szCs w:val="28"/>
          <w:highlight w:val="none"/>
          <w:lang w:val="en-US" w:eastAsia="zh-CN"/>
          <w14:textFill>
            <w14:solidFill>
              <w14:schemeClr w14:val="tx1"/>
            </w14:solidFill>
          </w14:textFill>
        </w:rPr>
        <w:t xml:space="preserve">四、考核方式</w:t>
      </w:r>
      <w:r/>
    </w:p>
    <w:p>
      <w:pPr>
        <w:ind w:firstLine="560"/>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采取业务考核加管理考核结合的方式，按月进行考核打分。</w:t>
      </w:r>
      <w:r/>
    </w:p>
    <w:p>
      <w:pPr>
        <w:ind w:firstLine="560"/>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1、业务考核</w:t>
      </w:r>
      <w:r/>
    </w:p>
    <w:p>
      <w:pPr>
        <w:ind w:firstLine="560"/>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对照《栖霞区道路养护管理日常考核评分细则》，区市政所每月对辖区范围内道路日常维护以及挖占监管方面存在问题，按维护单位分别进行考核打分。</w:t>
      </w:r>
      <w:r/>
    </w:p>
    <w:p>
      <w:pPr>
        <w:ind w:firstLine="560"/>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2、管理考核</w:t>
      </w:r>
      <w:r/>
    </w:p>
    <w:p>
      <w:pPr>
        <w:ind w:firstLine="560"/>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对照《栖霞区道路养护管理日常考核评分细则》区市政所每月对养护单位管理工作、内业台账、提升指令执行情况等进行考核打分。</w:t>
      </w:r>
      <w:r/>
    </w:p>
    <w:p>
      <w:pPr>
        <w:ind w:firstLine="562"/>
        <w:spacing w:line="360" w:lineRule="auto"/>
        <w:shd w:val="clear" w:color="auto"/>
        <w:rPr>
          <w:rFonts w:hint="eastAsia" w:ascii="仿宋" w:hAnsi="仿宋" w:eastAsia="仿宋" w:cs="宋体"/>
          <w:b/>
          <w:bCs/>
          <w:color w:val="000000" w:themeColor="text1"/>
          <w:sz w:val="28"/>
          <w:szCs w:val="28"/>
          <w:highlight w:val="none"/>
          <w:lang w:val="en-US" w:eastAsia="zh-CN"/>
          <w14:textFill>
            <w14:solidFill>
              <w14:schemeClr w14:val="tx1"/>
            </w14:solidFill>
          </w14:textFill>
        </w:rPr>
      </w:pPr>
      <w:r>
        <w:rPr>
          <w:rFonts w:hint="eastAsia" w:ascii="仿宋" w:hAnsi="仿宋" w:eastAsia="仿宋" w:cs="宋体"/>
          <w:b/>
          <w:bCs/>
          <w:color w:val="000000" w:themeColor="text1"/>
          <w:sz w:val="28"/>
          <w:szCs w:val="28"/>
          <w:highlight w:val="none"/>
          <w:lang w:val="en-US" w:eastAsia="zh-CN"/>
          <w14:textFill>
            <w14:solidFill>
              <w14:schemeClr w14:val="tx1"/>
            </w14:solidFill>
          </w14:textFill>
        </w:rPr>
        <w:t xml:space="preserve">五、月度维护完成量核算</w:t>
      </w:r>
      <w:r/>
    </w:p>
    <w:p>
      <w:pPr>
        <w:ind w:firstLine="560"/>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每月养护单位按照区市政所要求定时上报次月维修计划，包含巡查量、维修点位、维修面积、维修预算等内容。同时报送本月维修完成量，包含巡查量、维修点位、维修面积、维修结算等内容。我所组织养护单位对完成量共同抽查复核，抽查比例不低于10%。抽查结果按照《栖霞区道路养护管理日常考核评分细则》纳入当月管理考核。</w:t>
      </w:r>
      <w:r/>
    </w:p>
    <w:p>
      <w:pPr>
        <w:ind w:firstLine="562"/>
        <w:spacing w:line="360" w:lineRule="auto"/>
        <w:shd w:val="clear" w:color="auto"/>
        <w:rPr>
          <w:rFonts w:hint="eastAsia" w:ascii="仿宋" w:hAnsi="仿宋" w:eastAsia="仿宋" w:cs="宋体"/>
          <w:b/>
          <w:bCs/>
          <w:color w:val="000000" w:themeColor="text1"/>
          <w:sz w:val="28"/>
          <w:szCs w:val="28"/>
          <w:highlight w:val="none"/>
          <w:lang w:val="en-US" w:eastAsia="zh-CN"/>
          <w14:textFill>
            <w14:solidFill>
              <w14:schemeClr w14:val="tx1"/>
            </w14:solidFill>
          </w14:textFill>
        </w:rPr>
      </w:pPr>
      <w:r>
        <w:rPr>
          <w:rFonts w:hint="eastAsia" w:ascii="仿宋" w:hAnsi="仿宋" w:eastAsia="仿宋" w:cs="宋体"/>
          <w:b/>
          <w:bCs/>
          <w:color w:val="000000" w:themeColor="text1"/>
          <w:sz w:val="28"/>
          <w:szCs w:val="28"/>
          <w:highlight w:val="none"/>
          <w:lang w:val="en-US" w:eastAsia="zh-CN"/>
          <w14:textFill>
            <w14:solidFill>
              <w14:schemeClr w14:val="tx1"/>
            </w14:solidFill>
          </w14:textFill>
        </w:rPr>
        <w:t xml:space="preserve">六、月度经费测算</w:t>
      </w:r>
      <w:r/>
    </w:p>
    <w:p>
      <w:pPr>
        <w:ind w:firstLine="560"/>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1、日常维护费用拨付依据：合同价扣除占用设施养护</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经费后，养护经费、提升养护经费的占比按乙方投标文件确定。如未采用招投标的企业，合同价扣除占用设施外作为日常维护费，其中被占用维护费中90%是提升养护经费，10%作为占用巡查经费。甲方按月对乙方养护工作进行考核打分，根据业务考核及管理考核形成月度考核得分，拨付当月经费。月度考核在95分及以上的为优秀，正常拨付当月日常维护费用；90-95分（含90分，不含95分）的为合格，比95分每低1分，扣减当月日常养护费用的1%；低于90分的为不合格，扣减当月日常养护费用的5%后，比90分每低1分，扣减当月养护费用的2%。</w:t>
      </w:r>
      <w:r/>
    </w:p>
    <w:p>
      <w:pPr>
        <w:spacing w:line="360" w:lineRule="auto"/>
        <w:shd w:val="clear" w:color="auto"/>
        <w:rPr>
          <w:rFonts w:hint="eastAsia"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r>
      <w:r/>
    </w:p>
    <w:p>
      <w:pPr>
        <w:ind w:firstLine="560"/>
        <w:spacing w:line="360" w:lineRule="auto"/>
        <w:shd w:val="clear" w:color="auto"/>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2、提升养护经费拨付依据：提升养护经费由甲方统筹安排，原则上用于乙方承包设施，在项目完工验收合格后，根据审核结果付清。若乙方无法按甲方要求实施项目，甲方可安排其他公司实施。</w:t>
      </w:r>
      <w:r/>
    </w:p>
    <w:p>
      <w:pPr>
        <w:spacing w:line="360" w:lineRule="auto"/>
        <w:shd w:val="clear" w:color="auto"/>
        <w:rPr>
          <w:rFonts w:hint="eastAsia" w:ascii="仿宋" w:hAnsi="仿宋" w:eastAsia="仿宋"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755005" cy="3646170"/>
                <wp:effectExtent l="0" t="0" r="17145" b="1143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0"/>
                        <a:stretch/>
                      </pic:blipFill>
                      <pic:spPr bwMode="auto">
                        <a:xfrm>
                          <a:off x="0" y="0"/>
                          <a:ext cx="5755005" cy="3646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1pt;height:287.1pt;mso-wrap-distance-left:0.0pt;mso-wrap-distance-top:0.0pt;mso-wrap-distance-right:0.0pt;mso-wrap-distance-bottom:0.0pt;" stroked="f">
                <v:path textboxrect="0,0,0,0"/>
                <v:imagedata r:id="rId20" o:title=""/>
              </v:shape>
            </w:pict>
          </mc:Fallback>
        </mc:AlternateContent>
      </w:r>
      <w:r/>
    </w:p>
    <w:p>
      <w:pPr>
        <w:ind w:firstLine="560"/>
        <w:spacing w:line="360" w:lineRule="auto"/>
        <w:shd w:val="clear" w:color="auto"/>
        <w:rPr>
          <w:rFonts w:hint="default" w:ascii="仿宋" w:hAnsi="仿宋" w:eastAsia="仿宋" w:cs="宋体"/>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设施破坏或抢修费用拨付依据：根据甲方与破坏或抢修单位确认后的所需维修量，乙方先行进行设施修复工作，拨付金额参考当年主城区城市道路挖掘沟槽修复工程施工合同中约定的结算价计取方式进行结算。设施破坏费用每年12月底结算一次，抢修费用每半年结算一次。</w:t>
      </w:r>
      <w:r/>
    </w:p>
    <w:p>
      <w:pPr>
        <w:ind w:firstLine="560"/>
        <w:shd w:val="clear" w:color="auto"/>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七、</w:t>
      </w:r>
      <w:r>
        <w:rPr>
          <w:rFonts w:hint="eastAsia" w:ascii="仿宋" w:hAnsi="仿宋" w:eastAsia="仿宋" w:cs="宋体"/>
          <w:color w:val="000000" w:themeColor="text1"/>
          <w:sz w:val="28"/>
          <w:szCs w:val="28"/>
          <w:highlight w:val="none"/>
          <w14:textFill>
            <w14:solidFill>
              <w14:schemeClr w14:val="tx1"/>
            </w14:solidFill>
          </w14:textFill>
        </w:rPr>
        <w:t xml:space="preserve">各养护公司扣减的养护经费，由区市政所统筹安排，用于道路设施</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提升</w:t>
      </w:r>
      <w:r>
        <w:rPr>
          <w:rFonts w:hint="eastAsia" w:ascii="仿宋" w:hAnsi="仿宋" w:eastAsia="仿宋" w:cs="宋体"/>
          <w:color w:val="000000" w:themeColor="text1"/>
          <w:sz w:val="28"/>
          <w:szCs w:val="28"/>
          <w:highlight w:val="none"/>
          <w14:textFill>
            <w14:solidFill>
              <w14:schemeClr w14:val="tx1"/>
            </w14:solidFill>
          </w14:textFill>
        </w:rPr>
        <w:t xml:space="preserve">维护。</w:t>
      </w:r>
      <w:r/>
    </w:p>
    <w:p>
      <w:pPr>
        <w:ind w:firstLine="560"/>
        <w:shd w:val="clear" w:color="auto"/>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本考核办法自202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年1月1日开始实施。</w:t>
      </w:r>
      <w:r/>
    </w:p>
    <w:p>
      <w:pPr>
        <w:ind w:left="529"/>
        <w:jc w:val="right"/>
        <w:shd w:val="clear" w:color="auto"/>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p>
    <w:p>
      <w:pPr>
        <w:ind w:left="529"/>
        <w:jc w:val="right"/>
        <w:shd w:val="clear" w:color="auto"/>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w:t>
      </w:r>
      <w:r/>
    </w:p>
    <w:p>
      <w:pPr>
        <w:ind w:firstLine="5040"/>
        <w:jc w:val="both"/>
        <w:shd w:val="clear" w:color="auto"/>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栖霞区市政设施综合养护管理所</w:t>
      </w:r>
      <w:r/>
    </w:p>
    <w:p>
      <w:pPr>
        <w:ind w:left="529"/>
        <w:jc w:val="center"/>
        <w:shd w:val="clear" w:color="auto"/>
        <w:rPr>
          <w:rFonts w:ascii="仿宋" w:hAnsi="仿宋" w:eastAsia="仿宋" w:cs="??_GB2312"/>
          <w:color w:val="000000" w:themeColor="text1"/>
          <w:sz w:val="28"/>
          <w:szCs w:val="28"/>
          <w:highlight w:val="none"/>
          <w14:textFill>
            <w14:solidFill>
              <w14:schemeClr w14:val="tx1"/>
            </w14:solidFill>
          </w14:textFill>
        </w:rPr>
        <w:sectPr>
          <w:headerReference w:type="default" r:id="rId10"/>
          <w:footerReference w:type="default" r:id="rId14"/>
          <w:footnotePr/>
          <w:endnotePr/>
          <w:type w:val="nextPage"/>
          <w:pgSz w:w="11906" w:h="16838" w:orient="portrait"/>
          <w:pgMar w:top="2154" w:right="1361" w:bottom="2041" w:left="1474" w:header="851" w:footer="794" w:gutter="0"/>
          <w:cols w:num="1" w:sep="0" w:space="720" w:equalWidth="1"/>
          <w:docGrid w:linePitch="360"/>
        </w:sect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2025年12月17日</w:t>
      </w:r>
      <w:r>
        <w:rPr>
          <w:rFonts w:ascii="仿宋" w:hAnsi="仿宋" w:eastAsia="仿宋" w:cs="??_GB2312"/>
          <w:color w:val="000000" w:themeColor="text1"/>
          <w:sz w:val="28"/>
          <w:szCs w:val="28"/>
          <w:highlight w:val="none"/>
          <w14:textFill>
            <w14:solidFill>
              <w14:schemeClr w14:val="tx1"/>
            </w14:solidFill>
          </w14:textFill>
        </w:rPr>
        <w:t xml:space="preserve">  </w:t>
      </w:r>
      <w:r/>
    </w:p>
    <w:tbl>
      <w:tblPr>
        <w:tblStyle w:val="956"/>
        <w:tblW w:w="14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5155"/>
        <w:gridCol w:w="6483"/>
        <w:gridCol w:w="1600"/>
      </w:tblGrid>
      <w:tr>
        <w:trPr>
          <w:trHeight w:val="690"/>
        </w:trPr>
        <w:tc>
          <w:tcPr>
            <w:gridSpan w:val="4"/>
            <w:tcW w:w="14179" w:type="dxa"/>
            <w:vAlign w:val="center"/>
            <w:textDirection w:val="lrTb"/>
            <w:noWrap/>
          </w:tcPr>
          <w:p>
            <w:pPr>
              <w:jc w:val="center"/>
              <w:shd w:val="clear" w:color="auto"/>
              <w:rPr>
                <w:rFonts w:hint="eastAsia" w:cs="Calibri"/>
                <w:b/>
                <w:bCs/>
                <w:color w:val="000000" w:themeColor="text1"/>
                <w:szCs w:val="21"/>
                <w:highlight w:val="none"/>
                <w14:textFill>
                  <w14:solidFill>
                    <w14:schemeClr w14:val="tx1"/>
                  </w14:solidFill>
                </w14:textFill>
              </w:rPr>
            </w:pPr>
            <w:r>
              <w:rPr>
                <w:rFonts w:hint="eastAsia" w:ascii="黑体" w:hAnsi="黑体" w:eastAsia="黑体" w:cs="Calibri"/>
                <w:bCs/>
                <w:color w:val="000000" w:themeColor="text1"/>
                <w:sz w:val="32"/>
                <w:szCs w:val="32"/>
                <w:highlight w:val="none"/>
                <w14:textFill>
                  <w14:solidFill>
                    <w14:schemeClr w14:val="tx1"/>
                  </w14:solidFill>
                </w14:textFill>
              </w:rPr>
              <w:t xml:space="preserve">栖霞区道路养护管理日常考核评分细则</w:t>
            </w:r>
            <w:r/>
          </w:p>
        </w:tc>
      </w:tr>
      <w:tr>
        <w:trPr>
          <w:trHeight w:val="690"/>
        </w:trPr>
        <w:tc>
          <w:tcPr>
            <w:tcW w:w="941" w:type="dxa"/>
            <w:vAlign w:val="center"/>
            <w:textDirection w:val="lrTb"/>
            <w:noWrap/>
          </w:tcPr>
          <w:p>
            <w:pPr>
              <w:jc w:val="center"/>
              <w:shd w:val="clear" w:color="auto"/>
              <w:rPr>
                <w:rFonts w:cs="Calibri"/>
                <w:b/>
                <w:bCs/>
                <w:color w:val="000000" w:themeColor="text1"/>
                <w:szCs w:val="21"/>
                <w:highlight w:val="none"/>
                <w14:textFill>
                  <w14:solidFill>
                    <w14:schemeClr w14:val="tx1"/>
                  </w14:solidFill>
                </w14:textFill>
              </w:rPr>
            </w:pPr>
            <w:r>
              <w:rPr>
                <w:rFonts w:hint="eastAsia" w:cs="Calibri"/>
                <w:b/>
                <w:bCs/>
                <w:color w:val="000000" w:themeColor="text1"/>
                <w:szCs w:val="21"/>
                <w:highlight w:val="none"/>
                <w14:textFill>
                  <w14:solidFill>
                    <w14:schemeClr w14:val="tx1"/>
                  </w14:solidFill>
                </w14:textFill>
              </w:rPr>
              <w:t xml:space="preserve">序号</w:t>
            </w:r>
            <w:r/>
          </w:p>
        </w:tc>
        <w:tc>
          <w:tcPr>
            <w:tcW w:w="5155" w:type="dxa"/>
            <w:vAlign w:val="center"/>
            <w:textDirection w:val="lrTb"/>
            <w:noWrap/>
          </w:tcPr>
          <w:p>
            <w:pPr>
              <w:jc w:val="center"/>
              <w:shd w:val="clear" w:color="auto"/>
              <w:rPr>
                <w:rFonts w:cs="Calibri"/>
                <w:b/>
                <w:bCs/>
                <w:color w:val="000000" w:themeColor="text1"/>
                <w:szCs w:val="21"/>
                <w:highlight w:val="none"/>
                <w14:textFill>
                  <w14:solidFill>
                    <w14:schemeClr w14:val="tx1"/>
                  </w14:solidFill>
                </w14:textFill>
              </w:rPr>
            </w:pPr>
            <w:r>
              <w:rPr>
                <w:rFonts w:hint="eastAsia" w:cs="Calibri"/>
                <w:b/>
                <w:bCs/>
                <w:color w:val="000000" w:themeColor="text1"/>
                <w:szCs w:val="21"/>
                <w:highlight w:val="none"/>
                <w14:textFill>
                  <w14:solidFill>
                    <w14:schemeClr w14:val="tx1"/>
                  </w14:solidFill>
                </w14:textFill>
              </w:rPr>
              <w:t xml:space="preserve">考核内容</w:t>
            </w:r>
            <w:r/>
          </w:p>
        </w:tc>
        <w:tc>
          <w:tcPr>
            <w:tcW w:w="6483" w:type="dxa"/>
            <w:vAlign w:val="center"/>
            <w:textDirection w:val="lrTb"/>
            <w:noWrap/>
          </w:tcPr>
          <w:p>
            <w:pPr>
              <w:jc w:val="center"/>
              <w:shd w:val="clear" w:color="auto"/>
              <w:rPr>
                <w:rFonts w:cs="Calibri"/>
                <w:b/>
                <w:bCs/>
                <w:color w:val="000000" w:themeColor="text1"/>
                <w:szCs w:val="21"/>
                <w:highlight w:val="none"/>
                <w14:textFill>
                  <w14:solidFill>
                    <w14:schemeClr w14:val="tx1"/>
                  </w14:solidFill>
                </w14:textFill>
              </w:rPr>
            </w:pPr>
            <w:r>
              <w:rPr>
                <w:rFonts w:hint="eastAsia" w:cs="Calibri"/>
                <w:b/>
                <w:bCs/>
                <w:color w:val="000000" w:themeColor="text1"/>
                <w:szCs w:val="21"/>
                <w:highlight w:val="none"/>
                <w14:textFill>
                  <w14:solidFill>
                    <w14:schemeClr w14:val="tx1"/>
                  </w14:solidFill>
                </w14:textFill>
              </w:rPr>
              <w:t xml:space="preserve">扣分细则</w:t>
            </w:r>
            <w:r/>
          </w:p>
        </w:tc>
        <w:tc>
          <w:tcPr>
            <w:tcW w:w="1600" w:type="dxa"/>
            <w:vAlign w:val="center"/>
            <w:textDirection w:val="lrTb"/>
            <w:noWrap/>
          </w:tcPr>
          <w:p>
            <w:pPr>
              <w:jc w:val="center"/>
              <w:shd w:val="clear" w:color="auto"/>
              <w:rPr>
                <w:rFonts w:cs="Calibri"/>
                <w:b/>
                <w:bCs/>
                <w:color w:val="000000" w:themeColor="text1"/>
                <w:szCs w:val="21"/>
                <w:highlight w:val="none"/>
                <w14:textFill>
                  <w14:solidFill>
                    <w14:schemeClr w14:val="tx1"/>
                  </w14:solidFill>
                </w14:textFill>
              </w:rPr>
            </w:pPr>
            <w:r>
              <w:rPr>
                <w:rFonts w:hint="eastAsia" w:cs="Calibri"/>
                <w:b/>
                <w:bCs/>
                <w:color w:val="000000" w:themeColor="text1"/>
                <w:szCs w:val="21"/>
                <w:highlight w:val="none"/>
                <w14:textFill>
                  <w14:solidFill>
                    <w14:schemeClr w14:val="tx1"/>
                  </w14:solidFill>
                </w14:textFill>
              </w:rPr>
              <w:t xml:space="preserve">扣分说明</w:t>
            </w:r>
            <w:r/>
          </w:p>
        </w:tc>
      </w:tr>
      <w:tr>
        <w:trPr>
          <w:trHeight w:val="690"/>
        </w:trPr>
        <w:tc>
          <w:tcPr>
            <w:gridSpan w:val="3"/>
            <w:tcW w:w="12579" w:type="dxa"/>
            <w:vAlign w:val="center"/>
            <w:textDirection w:val="lrTb"/>
            <w:noWrap/>
          </w:tcPr>
          <w:p>
            <w:pPr>
              <w:jc w:val="center"/>
              <w:shd w:val="clear" w:color="auto"/>
              <w:rPr>
                <w:rFonts w:cs="Calibri"/>
                <w:b/>
                <w:bCs/>
                <w:color w:val="000000" w:themeColor="text1"/>
                <w:szCs w:val="21"/>
                <w:highlight w:val="none"/>
                <w14:textFill>
                  <w14:solidFill>
                    <w14:schemeClr w14:val="tx1"/>
                  </w14:solidFill>
                </w14:textFill>
              </w:rPr>
            </w:pPr>
            <w:r>
              <w:rPr>
                <w:rFonts w:hint="eastAsia" w:cs="Calibri"/>
                <w:b/>
                <w:bCs/>
                <w:color w:val="000000" w:themeColor="text1"/>
                <w:szCs w:val="21"/>
                <w:highlight w:val="none"/>
                <w14:textFill>
                  <w14:solidFill>
                    <w14:schemeClr w14:val="tx1"/>
                  </w14:solidFill>
                </w14:textFill>
              </w:rPr>
              <w:t xml:space="preserve">业务考核</w:t>
            </w:r>
            <w:r/>
          </w:p>
        </w:tc>
        <w:tc>
          <w:tcPr>
            <w:tcW w:w="1600" w:type="dxa"/>
            <w:vAlign w:val="center"/>
            <w:textDirection w:val="lrTb"/>
            <w:noWrap/>
          </w:tcPr>
          <w:p>
            <w:pPr>
              <w:jc w:val="center"/>
              <w:shd w:val="clear" w:color="auto"/>
              <w:rPr>
                <w:rFonts w:cs="Calibri"/>
                <w:b/>
                <w:bCs/>
                <w:color w:val="000000" w:themeColor="text1"/>
                <w:szCs w:val="21"/>
                <w:highlight w:val="none"/>
                <w14:textFill>
                  <w14:solidFill>
                    <w14:schemeClr w14:val="tx1"/>
                  </w14:solidFill>
                </w14:textFill>
              </w:rPr>
            </w:pPr>
            <w:r>
              <w:rPr>
                <w:rFonts w:cs="Calibri"/>
                <w:b/>
                <w:bCs/>
                <w:color w:val="000000" w:themeColor="text1"/>
                <w:szCs w:val="21"/>
                <w:highlight w:val="none"/>
                <w14:textFill>
                  <w14:solidFill>
                    <w14:schemeClr w14:val="tx1"/>
                  </w14:solidFill>
                </w14:textFill>
              </w:rPr>
            </w:r>
            <w:r/>
          </w:p>
        </w:tc>
      </w:tr>
      <w:tr>
        <w:trPr>
          <w:trHeight w:val="690"/>
        </w:trPr>
        <w:tc>
          <w:tcPr>
            <w:gridSpan w:val="4"/>
            <w:tcW w:w="14179" w:type="dxa"/>
            <w:vAlign w:val="center"/>
            <w:textDirection w:val="lrTb"/>
            <w:noWrap/>
          </w:tcPr>
          <w:p>
            <w:pPr>
              <w:jc w:val="left"/>
              <w:shd w:val="clear" w:color="auto"/>
              <w:rPr>
                <w:rFonts w:hint="default" w:eastAsia="宋体"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一、日常维护方面</w:t>
            </w:r>
            <w:r/>
          </w:p>
        </w:tc>
      </w:tr>
      <w:tr>
        <w:trPr>
          <w:trHeight w:val="90"/>
        </w:trPr>
        <w:tc>
          <w:tcPr>
            <w:tcW w:w="941" w:type="dxa"/>
            <w:vAlign w:val="center"/>
            <w:textDirection w:val="lrTb"/>
            <w:noWrap/>
          </w:tcPr>
          <w:p>
            <w:pPr>
              <w:jc w:val="center"/>
              <w:shd w:val="clear" w:color="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w:t>
            </w:r>
            <w:r/>
          </w:p>
        </w:tc>
        <w:tc>
          <w:tcPr>
            <w:tcW w:w="5155" w:type="dxa"/>
            <w:vAlign w:val="center"/>
            <w:textDirection w:val="lrTb"/>
            <w:noWrap/>
          </w:tcPr>
          <w:p>
            <w:pPr>
              <w:jc w:val="left"/>
              <w:shd w:val="clear" w:color="auto"/>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w:t>
            </w:r>
            <w:r>
              <w:rPr>
                <w:rFonts w:hint="eastAsia" w:ascii="宋体" w:hAnsi="宋体" w:cs="宋体"/>
                <w:color w:val="000000" w:themeColor="text1"/>
                <w:szCs w:val="21"/>
                <w:highlight w:val="none"/>
                <w:lang w:val="en-US" w:eastAsia="zh-CN"/>
                <w14:textFill>
                  <w14:solidFill>
                    <w14:schemeClr w14:val="tx1"/>
                  </w14:solidFill>
                </w14:textFill>
              </w:rPr>
              <w:t xml:space="preserve">满足</w:t>
            </w:r>
            <w:r>
              <w:rPr>
                <w:rFonts w:hint="eastAsia" w:ascii="宋体" w:hAnsi="宋体" w:cs="宋体"/>
                <w:color w:val="000000" w:themeColor="text1"/>
                <w:szCs w:val="21"/>
                <w:highlight w:val="none"/>
                <w14:textFill>
                  <w14:solidFill>
                    <w14:schemeClr w14:val="tx1"/>
                  </w14:solidFill>
                </w14:textFill>
              </w:rPr>
              <w:t xml:space="preserve">安全文明、扬尘管控</w:t>
            </w:r>
            <w:r>
              <w:rPr>
                <w:rFonts w:hint="eastAsia" w:ascii="宋体" w:hAnsi="宋体" w:cs="宋体"/>
                <w:color w:val="000000" w:themeColor="text1"/>
                <w:szCs w:val="21"/>
                <w:highlight w:val="none"/>
                <w:lang w:val="en-US" w:eastAsia="zh-CN"/>
                <w14:textFill>
                  <w14:solidFill>
                    <w14:schemeClr w14:val="tx1"/>
                  </w14:solidFill>
                </w14:textFill>
              </w:rPr>
              <w:t xml:space="preserve">等考核要求</w:t>
            </w:r>
            <w:r/>
          </w:p>
        </w:tc>
        <w:tc>
          <w:tcPr>
            <w:tcW w:w="6483" w:type="dxa"/>
            <w:vAlign w:val="center"/>
            <w:textDirection w:val="lrTb"/>
            <w:noWrap/>
          </w:tcPr>
          <w:p>
            <w:pPr>
              <w:jc w:val="left"/>
              <w:shd w:val="clear" w:color="auto"/>
              <w:rPr>
                <w:rFonts w:cs="Calibri"/>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要有安全提示、警示标志、告示牌，围挡设施规范，现场配备安全防护用品，临时用电符合要求，现场有专职安全管理人员（有效证书、着装、臂章等）；现场采取洒水降尘措施，无现场拌和，废土覆盖及时清运，围挡整洁，运送砂石料车辆有覆盖，现场砂石料堆放有覆盖</w:t>
            </w:r>
            <w:r>
              <w:rPr>
                <w:rFonts w:hint="eastAsia" w:ascii="宋体" w:hAnsi="宋体" w:cs="宋体"/>
                <w:color w:val="000000" w:themeColor="text1"/>
                <w:szCs w:val="21"/>
                <w:highlight w:val="none"/>
                <w:lang w:val="en-US" w:eastAsia="zh-CN"/>
                <w14:textFill>
                  <w14:solidFill>
                    <w14:schemeClr w14:val="tx1"/>
                  </w14:solidFill>
                </w14:textFill>
              </w:rPr>
              <w:t xml:space="preserve">等，具体要求参照</w:t>
            </w:r>
            <w:r>
              <w:rPr>
                <w:rFonts w:hint="eastAsia" w:cs="Calibri"/>
                <w:color w:val="000000" w:themeColor="text1"/>
                <w:szCs w:val="21"/>
                <w:highlight w:val="none"/>
                <w14:textFill>
                  <w14:solidFill>
                    <w14:schemeClr w14:val="tx1"/>
                  </w14:solidFill>
                </w14:textFill>
              </w:rPr>
              <w:t xml:space="preserve">《南京市城市道路设施精细化养护技术指南（试行）》</w:t>
            </w:r>
            <w:r>
              <w:rPr>
                <w:rFonts w:hint="eastAsia" w:cs="Calibri"/>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cs="Calibri"/>
                <w:color w:val="000000" w:themeColor="text1"/>
                <w:szCs w:val="21"/>
                <w:highlight w:val="none"/>
                <w14:textFill>
                  <w14:solidFill>
                    <w14:schemeClr w14:val="tx1"/>
                  </w14:solidFill>
                </w14:textFill>
              </w:rPr>
              <w:t xml:space="preserve">满足，发现1处扣2分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4505"/>
        </w:trPr>
        <w:tc>
          <w:tcPr>
            <w:tcW w:w="941" w:type="dxa"/>
            <w:vAlign w:val="center"/>
            <w:textDirection w:val="lrTb"/>
            <w:noWrap/>
          </w:tcPr>
          <w:p>
            <w:pPr>
              <w:jc w:val="center"/>
              <w:shd w:val="clear" w:color="auto"/>
              <w:rPr>
                <w:rFonts w:cs="Calibri"/>
                <w:b/>
                <w:bCs/>
                <w:color w:val="000000" w:themeColor="text1"/>
                <w:szCs w:val="21"/>
                <w:highlight w:val="none"/>
                <w14:textFill>
                  <w14:solidFill>
                    <w14:schemeClr w14:val="tx1"/>
                  </w14:solidFill>
                </w14:textFill>
              </w:rPr>
            </w:pPr>
            <w:r>
              <w:rPr>
                <w:rFonts w:hint="eastAsia" w:cs="Calibri"/>
                <w:b/>
                <w:bCs/>
                <w:color w:val="000000" w:themeColor="text1"/>
                <w:szCs w:val="21"/>
                <w:highlight w:val="none"/>
                <w14:textFill>
                  <w14:solidFill>
                    <w14:schemeClr w14:val="tx1"/>
                  </w14:solidFill>
                </w14:textFill>
              </w:rPr>
              <w:t xml:space="preserve">2</w:t>
            </w:r>
            <w:r/>
          </w:p>
        </w:tc>
        <w:tc>
          <w:tcPr>
            <w:tcW w:w="5155" w:type="dxa"/>
            <w:vAlign w:val="center"/>
            <w:textDirection w:val="lrTb"/>
            <w:noWrap w:val="false"/>
          </w:tcPr>
          <w:p>
            <w:pPr>
              <w:jc w:val="left"/>
              <w:shd w:val="clear" w:color="auto"/>
              <w:rPr>
                <w:rFonts w:hint="eastAsia" w:ascii="Calibri" w:hAnsi="Calibri" w:eastAsia="宋体"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每月随机抽1条道路，对道路车行道、人行道及附属设施按规范考核。每月公司上报检查道路1条（非街巷），对道路车行道、人行道及附属设施按规范考核，考核问题双倍扣分，同一年度上报道路不重复。随机抽1座桥梁，对桥梁主体结构、桥梁设施、附属设施按规范要求进</w:t>
            </w:r>
            <w:r>
              <w:rPr>
                <w:rFonts w:hint="eastAsia" w:ascii="Calibri" w:hAnsi="Calibri" w:eastAsia="宋体" w:cs="Calibri"/>
                <w:color w:val="000000" w:themeColor="text1"/>
                <w:szCs w:val="21"/>
                <w:highlight w:val="none"/>
                <w14:textFill>
                  <w14:solidFill>
                    <w14:schemeClr w14:val="tx1"/>
                  </w14:solidFill>
                </w14:textFill>
              </w:rPr>
              <w:t xml:space="preserve">行考核。</w:t>
            </w:r>
            <w:r/>
          </w:p>
          <w:p>
            <w:pPr>
              <w:jc w:val="left"/>
              <w:shd w:val="clear" w:color="auto"/>
              <w:rPr>
                <w:rFonts w:hint="default" w:ascii="Calibri" w:hAnsi="Calibri" w:eastAsia="宋体" w:cs="Calibri"/>
                <w:color w:val="000000" w:themeColor="text1"/>
                <w:szCs w:val="21"/>
                <w:highlight w:val="none"/>
                <w:lang w:val="en-US" w:eastAsia="zh-CN"/>
                <w14:textFill>
                  <w14:solidFill>
                    <w14:schemeClr w14:val="tx1"/>
                  </w14:solidFill>
                </w14:textFill>
              </w:rPr>
            </w:pPr>
            <w:r>
              <w:rPr>
                <w:rFonts w:hint="eastAsia" w:ascii="Calibri" w:hAnsi="Calibri" w:eastAsia="宋体" w:cs="Calibri"/>
                <w:color w:val="000000" w:themeColor="text1"/>
                <w:szCs w:val="21"/>
                <w:highlight w:val="none"/>
                <w:lang w:val="en-US" w:eastAsia="zh-CN"/>
                <w14:textFill>
                  <w14:solidFill>
                    <w14:schemeClr w14:val="tx1"/>
                  </w14:solidFill>
                </w14:textFill>
              </w:rPr>
              <w:t xml:space="preserve">如养护单位设施量较多，按照以上考核方式全年无法做到全覆盖考核，则将该养护合同内设施量拆分为12个考核单元，每月由管理单位随机抽取1个考核单元，单元内道路仍按照1条上报道路、1条抽查道路、1座抽查桥梁进行考核，剩余道路当月集中考核，考核病害按照0.5分/处计入当月考核成绩。</w:t>
            </w:r>
            <w:r/>
          </w:p>
          <w:p>
            <w:pPr>
              <w:jc w:val="left"/>
              <w:shd w:val="clear" w:color="auto"/>
              <w:rPr>
                <w:rFonts w:hint="default" w:eastAsia="宋体"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属地巡查合同的考核参考上述方式，通过科室检查与养护公司巡查台账对比的方式开展月度考核，如科室发现的病害已在养护公司的巡查台账中，则免于扣分。</w:t>
            </w:r>
            <w:r/>
          </w:p>
        </w:tc>
        <w:tc>
          <w:tcPr>
            <w:tcW w:w="6483" w:type="dxa"/>
            <w:vAlign w:val="center"/>
            <w:textDirection w:val="lrTb"/>
            <w:noWrap w:val="false"/>
          </w:tcPr>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1、车行道路面出现龟裂、沉陷、坑槽、翻浆、拥包病害1处扣2分，其他病害1处扣1分</w:t>
            </w:r>
            <w:r/>
          </w:p>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2、人行道路面出现坑洞、缺失、错台（2cm以上）病害1处扣2分，其他病害1处扣1分</w:t>
            </w:r>
            <w:r/>
          </w:p>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3、边坡、挡墙出现断裂、沉陷、局部塌陷病害1处扣2分，路名牌、防撞护栏等附属设施缺失1处扣2分，其他病害1处扣1分</w:t>
            </w:r>
            <w:r/>
          </w:p>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4、桥梁结构病害1处扣5分，其他病害1处扣1分</w:t>
            </w:r>
            <w:r/>
          </w:p>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5、桥梁伸缩缝抵死1处扣2分，其他参考道路病害扣分</w:t>
            </w:r>
            <w:r/>
          </w:p>
          <w:p>
            <w:pPr>
              <w:jc w:val="left"/>
              <w:shd w:val="clear" w:color="auto"/>
              <w:rPr>
                <w:rFonts w:hint="eastAsia"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6、桥梁边坡、挡墙出现断裂、沉陷、局部塌陷病害1处扣2分，桥名牌、防撞护栏等附属设施缺失1处扣2分，其他病害1处扣1分</w:t>
            </w:r>
            <w:r/>
          </w:p>
          <w:p>
            <w:pPr>
              <w:jc w:val="left"/>
              <w:shd w:val="clear" w:color="auto"/>
              <w:rPr>
                <w:rFonts w:hint="default"/>
                <w:color w:val="000000" w:themeColor="text1"/>
                <w:highlight w:val="none"/>
                <w:lang w:val="en-US" w:eastAsia="zh-CN"/>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7、</w:t>
            </w:r>
            <w:r>
              <w:rPr>
                <w:rFonts w:hint="eastAsia" w:cs="Calibri"/>
                <w:color w:val="000000" w:themeColor="text1"/>
                <w:szCs w:val="21"/>
                <w:highlight w:val="none"/>
                <w14:textFill>
                  <w14:solidFill>
                    <w14:schemeClr w14:val="tx1"/>
                  </w14:solidFill>
                </w14:textFill>
              </w:rPr>
              <w:t xml:space="preserve">《南京市城市道路设施精细化养护技术指南（试行）》</w:t>
            </w:r>
            <w:r>
              <w:rPr>
                <w:rFonts w:hint="eastAsia" w:cs="Calibri"/>
                <w:color w:val="000000" w:themeColor="text1"/>
                <w:szCs w:val="21"/>
                <w:highlight w:val="none"/>
                <w:lang w:val="en-US" w:eastAsia="zh-CN"/>
                <w14:textFill>
                  <w14:solidFill>
                    <w14:schemeClr w14:val="tx1"/>
                  </w14:solidFill>
                </w14:textFill>
              </w:rPr>
              <w:t xml:space="preserve">规定的其他维护管理要求，未满足，1次扣1分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1313"/>
        </w:trPr>
        <w:tc>
          <w:tcPr>
            <w:tcW w:w="941" w:type="dxa"/>
            <w:vAlign w:val="center"/>
            <w:textDirection w:val="lrTb"/>
            <w:noWrap/>
          </w:tcPr>
          <w:p>
            <w:pPr>
              <w:jc w:val="center"/>
              <w:shd w:val="clear" w:color="auto"/>
              <w:rPr>
                <w:rFonts w:hint="eastAsia" w:eastAsia="宋体" w:cs="Calibri"/>
                <w:b/>
                <w:bCs/>
                <w:color w:val="000000" w:themeColor="text1"/>
                <w:szCs w:val="21"/>
                <w:highlight w:val="none"/>
                <w:lang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3</w:t>
            </w:r>
            <w:r/>
          </w:p>
        </w:tc>
        <w:tc>
          <w:tcPr>
            <w:tcW w:w="5155" w:type="dxa"/>
            <w:vAlign w:val="center"/>
            <w:textDirection w:val="lrTb"/>
            <w:noWrap/>
          </w:tcPr>
          <w:p>
            <w:pPr>
              <w:jc w:val="left"/>
              <w:shd w:val="clear" w:color="auto"/>
              <w:rPr>
                <w:rFonts w:hint="default"/>
                <w:color w:val="000000" w:themeColor="text1"/>
                <w:highlight w:val="none"/>
                <w:lang w:val="en-US" w:eastAsia="zh-CN"/>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xml:space="preserve">提升维护结算金额申报应准确</w:t>
            </w:r>
            <w:r>
              <w:rPr>
                <w:rFonts w:ascii="Calibri" w:hAnsi="Calibri" w:eastAsia="Calibri" w:cs="Calibri"/>
                <w:color w:val="000000" w:themeColor="text1"/>
                <w:sz w:val="22"/>
                <w:highlight w:val="none"/>
                <w14:textFill>
                  <w14:solidFill>
                    <w14:schemeClr w14:val="tx1"/>
                  </w14:solidFill>
                </w14:textFill>
              </w:rPr>
              <w:t xml:space="preserve">.</w:t>
            </w:r>
            <w:r/>
          </w:p>
        </w:tc>
        <w:tc>
          <w:tcPr>
            <w:tcW w:w="6483" w:type="dxa"/>
            <w:vAlign w:val="center"/>
            <w:textDirection w:val="lrTb"/>
            <w:noWrap/>
          </w:tcPr>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审计核减率超过10%，则全部审计费用由乙方承担，不超过10%则全部审计费由甲方承担。</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gridSpan w:val="4"/>
            <w:tcW w:w="14179" w:type="dxa"/>
            <w:vAlign w:val="center"/>
            <w:textDirection w:val="lrTb"/>
            <w:noWrap/>
          </w:tcPr>
          <w:p>
            <w:pPr>
              <w:jc w:val="left"/>
              <w:shd w:val="clear" w:color="auto"/>
              <w:rPr>
                <w:rFonts w:hint="default" w:eastAsia="宋体" w:cs="Calibri"/>
                <w:color w:val="000000" w:themeColor="text1"/>
                <w:szCs w:val="21"/>
                <w:highlight w:val="none"/>
                <w:lang w:val="en-US" w:eastAsia="zh-CN"/>
                <w14:textFill>
                  <w14:solidFill>
                    <w14:schemeClr w14:val="tx1"/>
                  </w14:solidFill>
                </w14:textFill>
              </w:rPr>
            </w:pPr>
            <w:r>
              <w:rPr>
                <w:rFonts w:hint="eastAsia" w:ascii="Calibri" w:hAnsi="Calibri" w:eastAsia="宋体" w:cs="Calibri"/>
                <w:b/>
                <w:bCs/>
                <w:color w:val="000000" w:themeColor="text1"/>
                <w:szCs w:val="21"/>
                <w:highlight w:val="none"/>
                <w:lang w:val="en-US" w:eastAsia="zh-CN"/>
                <w14:textFill>
                  <w14:solidFill>
                    <w14:schemeClr w14:val="tx1"/>
                  </w14:solidFill>
                </w14:textFill>
              </w:rPr>
              <w:t xml:space="preserve">二、挖占监管方面</w:t>
            </w:r>
            <w:r/>
          </w:p>
        </w:tc>
      </w:tr>
      <w:tr>
        <w:trPr>
          <w:trHeight w:val="690"/>
        </w:trPr>
        <w:tc>
          <w:tcPr>
            <w:tcW w:w="941" w:type="dxa"/>
            <w:vAlign w:val="center"/>
            <w:textDirection w:val="lrTb"/>
            <w:noWrap/>
          </w:tcPr>
          <w:p>
            <w:pPr>
              <w:jc w:val="center"/>
              <w:shd w:val="clear" w:color="auto"/>
              <w:rPr>
                <w:rFonts w:hint="eastAsia" w:eastAsia="宋体"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1</w:t>
            </w:r>
            <w:r/>
          </w:p>
        </w:tc>
        <w:tc>
          <w:tcPr>
            <w:tcW w:w="5155" w:type="dxa"/>
            <w:vAlign w:val="center"/>
            <w:textDirection w:val="lrTb"/>
            <w:noWrap/>
          </w:tcPr>
          <w:p>
            <w:pPr>
              <w:jc w:val="left"/>
              <w:shd w:val="clear" w:color="auto"/>
              <w:rPr>
                <w:rFonts w:hint="default" w:eastAsia="宋体"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现场初勘应安排管理人员参加，同时携带所需各类测量工具</w:t>
            </w:r>
            <w:r/>
          </w:p>
        </w:tc>
        <w:tc>
          <w:tcPr>
            <w:tcW w:w="6483" w:type="dxa"/>
            <w:vAlign w:val="center"/>
            <w:textDirection w:val="lrTb"/>
            <w:noWrap/>
          </w:tcPr>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未满足，1次扣</w:t>
            </w:r>
            <w:r>
              <w:rPr>
                <w:rFonts w:hint="eastAsia" w:cs="Calibri"/>
                <w:color w:val="000000" w:themeColor="text1"/>
                <w:szCs w:val="21"/>
                <w:highlight w:val="none"/>
                <w:lang w:val="en-US" w:eastAsia="zh-CN"/>
                <w14:textFill>
                  <w14:solidFill>
                    <w14:schemeClr w14:val="tx1"/>
                  </w14:solidFill>
                </w14:textFill>
              </w:rPr>
              <w:t xml:space="preserve">3</w:t>
            </w:r>
            <w:r>
              <w:rPr>
                <w:rFonts w:hint="eastAsia" w:cs="Calibri"/>
                <w:color w:val="000000" w:themeColor="text1"/>
                <w:szCs w:val="21"/>
                <w:highlight w:val="none"/>
                <w14:textFill>
                  <w14:solidFill>
                    <w14:schemeClr w14:val="tx1"/>
                  </w14:solidFill>
                </w14:textFill>
              </w:rPr>
              <w:t xml:space="preserve">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2</w:t>
            </w:r>
            <w:r/>
          </w:p>
        </w:tc>
        <w:tc>
          <w:tcPr>
            <w:tcW w:w="5155" w:type="dxa"/>
            <w:vAlign w:val="center"/>
            <w:textDirection w:val="lrTb"/>
            <w:noWrap/>
          </w:tcPr>
          <w:p>
            <w:pPr>
              <w:jc w:val="left"/>
              <w:shd w:val="clear" w:color="auto"/>
              <w:rPr>
                <w:rFonts w:hint="default"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养护单位内部应做好交接工作，初勘项目科室通知开工后，仍作为违章上报的</w:t>
            </w:r>
            <w:r/>
          </w:p>
        </w:tc>
        <w:tc>
          <w:tcPr>
            <w:tcW w:w="6483" w:type="dxa"/>
            <w:vAlign w:val="center"/>
            <w:textDirection w:val="lrTb"/>
            <w:noWrap/>
          </w:tcPr>
          <w:p>
            <w:pPr>
              <w:jc w:val="left"/>
              <w:shd w:val="clear" w:color="auto"/>
              <w:rPr>
                <w:rFonts w:hint="eastAsia"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1次扣</w:t>
            </w:r>
            <w:r>
              <w:rPr>
                <w:rFonts w:hint="eastAsia" w:cs="Calibri"/>
                <w:color w:val="000000" w:themeColor="text1"/>
                <w:szCs w:val="21"/>
                <w:highlight w:val="none"/>
                <w:lang w:val="en-US" w:eastAsia="zh-CN"/>
                <w14:textFill>
                  <w14:solidFill>
                    <w14:schemeClr w14:val="tx1"/>
                  </w14:solidFill>
                </w14:textFill>
              </w:rPr>
              <w:t xml:space="preserve">3</w:t>
            </w:r>
            <w:r>
              <w:rPr>
                <w:rFonts w:hint="eastAsia" w:cs="Calibri"/>
                <w:color w:val="000000" w:themeColor="text1"/>
                <w:szCs w:val="21"/>
                <w:highlight w:val="none"/>
                <w14:textFill>
                  <w14:solidFill>
                    <w14:schemeClr w14:val="tx1"/>
                  </w14:solidFill>
                </w14:textFill>
              </w:rPr>
              <w:t xml:space="preserve">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730"/>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3</w:t>
            </w:r>
            <w:r/>
          </w:p>
        </w:tc>
        <w:tc>
          <w:tcPr>
            <w:tcW w:w="5155" w:type="dxa"/>
            <w:vAlign w:val="center"/>
            <w:textDirection w:val="lrTb"/>
            <w:noWrap/>
          </w:tcPr>
          <w:p>
            <w:pPr>
              <w:jc w:val="left"/>
              <w:shd w:val="clear" w:color="auto"/>
              <w:rPr>
                <w:rFonts w:hint="default"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沟槽回填等关键环节养护单位应旁站监管，并将现场照片反馈至相关微信工作群</w:t>
            </w:r>
            <w:r/>
          </w:p>
        </w:tc>
        <w:tc>
          <w:tcPr>
            <w:tcW w:w="6483" w:type="dxa"/>
            <w:vAlign w:val="center"/>
            <w:textDirection w:val="lrTb"/>
            <w:noWrap/>
          </w:tcPr>
          <w:p>
            <w:pPr>
              <w:jc w:val="left"/>
              <w:shd w:val="clear" w:color="auto"/>
              <w:rPr>
                <w:rFonts w:hint="eastAsia"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未满足，1次扣</w:t>
            </w:r>
            <w:r>
              <w:rPr>
                <w:rFonts w:hint="eastAsia" w:cs="Calibri"/>
                <w:color w:val="000000" w:themeColor="text1"/>
                <w:szCs w:val="21"/>
                <w:highlight w:val="none"/>
                <w:lang w:val="en-US" w:eastAsia="zh-CN"/>
                <w14:textFill>
                  <w14:solidFill>
                    <w14:schemeClr w14:val="tx1"/>
                  </w14:solidFill>
                </w14:textFill>
              </w:rPr>
              <w:t xml:space="preserve">3</w:t>
            </w:r>
            <w:r>
              <w:rPr>
                <w:rFonts w:hint="eastAsia" w:cs="Calibri"/>
                <w:color w:val="000000" w:themeColor="text1"/>
                <w:szCs w:val="21"/>
                <w:highlight w:val="none"/>
                <w14:textFill>
                  <w14:solidFill>
                    <w14:schemeClr w14:val="tx1"/>
                  </w14:solidFill>
                </w14:textFill>
              </w:rPr>
              <w:t xml:space="preserve">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1163"/>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4</w:t>
            </w:r>
            <w:r/>
          </w:p>
        </w:tc>
        <w:tc>
          <w:tcPr>
            <w:tcW w:w="5155" w:type="dxa"/>
            <w:vAlign w:val="center"/>
            <w:textDirection w:val="lrTb"/>
            <w:noWrap/>
          </w:tcPr>
          <w:p>
            <w:pPr>
              <w:jc w:val="left"/>
              <w:shd w:val="clear" w:color="auto"/>
              <w:rPr>
                <w:rFonts w:hint="default"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沟槽修复应及时，过街沟槽须在24小时内回填修复，主次干道、特殊地段的沟槽应在施工单位提供相关跟测、检测材料后，三日内回填修复，其他路段的沟槽应在5日内回填修复</w:t>
            </w:r>
            <w:r/>
          </w:p>
        </w:tc>
        <w:tc>
          <w:tcPr>
            <w:tcW w:w="6483" w:type="dxa"/>
            <w:vAlign w:val="center"/>
            <w:textDirection w:val="lrTb"/>
            <w:noWrap/>
          </w:tcPr>
          <w:p>
            <w:pPr>
              <w:jc w:val="left"/>
              <w:shd w:val="clear" w:color="auto"/>
              <w:rPr>
                <w:rFonts w:hint="eastAsia"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未满足，1次扣</w:t>
            </w:r>
            <w:r>
              <w:rPr>
                <w:rFonts w:hint="eastAsia" w:cs="Calibri"/>
                <w:color w:val="000000" w:themeColor="text1"/>
                <w:szCs w:val="21"/>
                <w:highlight w:val="none"/>
                <w:lang w:val="en-US" w:eastAsia="zh-CN"/>
                <w14:textFill>
                  <w14:solidFill>
                    <w14:schemeClr w14:val="tx1"/>
                  </w14:solidFill>
                </w14:textFill>
              </w:rPr>
              <w:t xml:space="preserve">3</w:t>
            </w:r>
            <w:r>
              <w:rPr>
                <w:rFonts w:hint="eastAsia" w:cs="Calibri"/>
                <w:color w:val="000000" w:themeColor="text1"/>
                <w:szCs w:val="21"/>
                <w:highlight w:val="none"/>
                <w14:textFill>
                  <w14:solidFill>
                    <w14:schemeClr w14:val="tx1"/>
                  </w14:solidFill>
                </w14:textFill>
              </w:rPr>
              <w:t xml:space="preserve">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874"/>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5</w:t>
            </w:r>
            <w:r/>
          </w:p>
        </w:tc>
        <w:tc>
          <w:tcPr>
            <w:tcW w:w="5155" w:type="dxa"/>
            <w:vAlign w:val="center"/>
            <w:textDirection w:val="lrTb"/>
            <w:noWrap/>
          </w:tcPr>
          <w:p>
            <w:pPr>
              <w:jc w:val="left"/>
              <w:shd w:val="clear" w:color="auto"/>
              <w:rPr>
                <w:rFonts w:hint="default"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沟槽结构层回填修复应采用半刚材料（如水稳材料）进行分层夯实回填，上层水稳、沥青层施工应在下层水稳、上层水稳压实度检测后进行</w:t>
            </w:r>
            <w:r/>
          </w:p>
        </w:tc>
        <w:tc>
          <w:tcPr>
            <w:tcW w:w="6483" w:type="dxa"/>
            <w:vAlign w:val="center"/>
            <w:textDirection w:val="lrTb"/>
            <w:noWrap/>
          </w:tcPr>
          <w:p>
            <w:pPr>
              <w:jc w:val="left"/>
              <w:shd w:val="clear" w:color="auto"/>
              <w:rPr>
                <w:rFonts w:hint="default" w:eastAsia="宋体"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未满足，1次扣</w:t>
            </w:r>
            <w:r>
              <w:rPr>
                <w:rFonts w:hint="eastAsia" w:cs="Calibri"/>
                <w:color w:val="000000" w:themeColor="text1"/>
                <w:szCs w:val="21"/>
                <w:highlight w:val="none"/>
                <w:lang w:val="en-US" w:eastAsia="zh-CN"/>
                <w14:textFill>
                  <w14:solidFill>
                    <w14:schemeClr w14:val="tx1"/>
                  </w14:solidFill>
                </w14:textFill>
              </w:rPr>
              <w:t xml:space="preserve">3</w:t>
            </w:r>
            <w:r>
              <w:rPr>
                <w:rFonts w:hint="eastAsia" w:cs="Calibri"/>
                <w:color w:val="000000" w:themeColor="text1"/>
                <w:szCs w:val="21"/>
                <w:highlight w:val="none"/>
                <w14:textFill>
                  <w14:solidFill>
                    <w14:schemeClr w14:val="tx1"/>
                  </w14:solidFill>
                </w14:textFill>
              </w:rPr>
              <w:t xml:space="preserve">分</w:t>
            </w:r>
            <w:r>
              <w:rPr>
                <w:rFonts w:hint="eastAsia" w:cs="Calibri"/>
                <w:color w:val="000000" w:themeColor="text1"/>
                <w:szCs w:val="21"/>
                <w:highlight w:val="none"/>
                <w:lang w:eastAsia="zh-CN"/>
                <w14:textFill>
                  <w14:solidFill>
                    <w14:schemeClr w14:val="tx1"/>
                  </w14:solidFill>
                </w14:textFill>
              </w:rPr>
              <w:t xml:space="preserve">，</w:t>
            </w:r>
            <w:r>
              <w:rPr>
                <w:rFonts w:hint="eastAsia" w:cs="Calibri"/>
                <w:color w:val="000000" w:themeColor="text1"/>
                <w:szCs w:val="21"/>
                <w:highlight w:val="none"/>
                <w:lang w:val="en-US" w:eastAsia="zh-CN"/>
                <w14:textFill>
                  <w14:solidFill>
                    <w14:schemeClr w14:val="tx1"/>
                  </w14:solidFill>
                </w14:textFill>
              </w:rPr>
              <w:t xml:space="preserve">该回填段需重新翻挖回填到位</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6</w:t>
            </w:r>
            <w:r/>
          </w:p>
        </w:tc>
        <w:tc>
          <w:tcPr>
            <w:tcW w:w="5155" w:type="dxa"/>
            <w:vAlign w:val="center"/>
            <w:textDirection w:val="lrTb"/>
            <w:noWrap/>
          </w:tcPr>
          <w:p>
            <w:pPr>
              <w:jc w:val="left"/>
              <w:shd w:val="clear" w:color="auto"/>
              <w:rPr>
                <w:rFonts w:hint="default"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养护单位巡查应督促施工单位沟槽支护应严格按照支护方案实施，如遇变更及时报科室</w:t>
            </w:r>
            <w:r/>
          </w:p>
        </w:tc>
        <w:tc>
          <w:tcPr>
            <w:tcW w:w="6483" w:type="dxa"/>
            <w:vAlign w:val="center"/>
            <w:textDirection w:val="lrTb"/>
            <w:noWrap/>
          </w:tcPr>
          <w:p>
            <w:pPr>
              <w:jc w:val="left"/>
              <w:shd w:val="clear" w:color="auto"/>
              <w:rPr>
                <w:rFonts w:hint="eastAsia"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未满足，1次扣</w:t>
            </w:r>
            <w:r>
              <w:rPr>
                <w:rFonts w:hint="eastAsia" w:cs="Calibri"/>
                <w:color w:val="000000" w:themeColor="text1"/>
                <w:szCs w:val="21"/>
                <w:highlight w:val="none"/>
                <w:lang w:val="en-US" w:eastAsia="zh-CN"/>
                <w14:textFill>
                  <w14:solidFill>
                    <w14:schemeClr w14:val="tx1"/>
                  </w14:solidFill>
                </w14:textFill>
              </w:rPr>
              <w:t xml:space="preserve">3</w:t>
            </w:r>
            <w:r>
              <w:rPr>
                <w:rFonts w:hint="eastAsia" w:cs="Calibri"/>
                <w:color w:val="000000" w:themeColor="text1"/>
                <w:szCs w:val="21"/>
                <w:highlight w:val="none"/>
                <w14:textFill>
                  <w14:solidFill>
                    <w14:schemeClr w14:val="tx1"/>
                  </w14:solidFill>
                </w14:textFill>
              </w:rPr>
              <w:t xml:space="preserve">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7</w:t>
            </w:r>
            <w:r/>
          </w:p>
        </w:tc>
        <w:tc>
          <w:tcPr>
            <w:tcW w:w="5155" w:type="dxa"/>
            <w:vAlign w:val="center"/>
            <w:textDirection w:val="lrTb"/>
            <w:noWrap/>
          </w:tcPr>
          <w:p>
            <w:pPr>
              <w:jc w:val="left"/>
              <w:shd w:val="clear" w:color="auto"/>
              <w:rPr>
                <w:rFonts w:hint="default" w:eastAsia="宋体"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抢修性挖掘应在收到通知后2小时内到场签字确认，在抢修工作群中及时反馈，并于72小时内完成修复</w:t>
            </w:r>
            <w:r/>
          </w:p>
        </w:tc>
        <w:tc>
          <w:tcPr>
            <w:tcW w:w="6483" w:type="dxa"/>
            <w:vAlign w:val="center"/>
            <w:textDirection w:val="lrTb"/>
            <w:noWrap/>
          </w:tcPr>
          <w:p>
            <w:pPr>
              <w:jc w:val="left"/>
              <w:shd w:val="clear" w:color="auto"/>
              <w:rPr>
                <w:rFonts w:hint="eastAsia"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未满足，1次扣</w:t>
            </w:r>
            <w:r>
              <w:rPr>
                <w:rFonts w:hint="eastAsia" w:cs="Calibri"/>
                <w:color w:val="000000" w:themeColor="text1"/>
                <w:szCs w:val="21"/>
                <w:highlight w:val="none"/>
                <w:lang w:val="en-US" w:eastAsia="zh-CN"/>
                <w14:textFill>
                  <w14:solidFill>
                    <w14:schemeClr w14:val="tx1"/>
                  </w14:solidFill>
                </w14:textFill>
              </w:rPr>
              <w:t xml:space="preserve">3</w:t>
            </w:r>
            <w:r>
              <w:rPr>
                <w:rFonts w:hint="eastAsia" w:cs="Calibri"/>
                <w:color w:val="000000" w:themeColor="text1"/>
                <w:szCs w:val="21"/>
                <w:highlight w:val="none"/>
                <w14:textFill>
                  <w14:solidFill>
                    <w14:schemeClr w14:val="tx1"/>
                  </w14:solidFill>
                </w14:textFill>
              </w:rPr>
              <w:t xml:space="preserve">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gridSpan w:val="4"/>
            <w:tcW w:w="14179" w:type="dxa"/>
            <w:vAlign w:val="center"/>
            <w:textDirection w:val="lrTb"/>
            <w:noWrap/>
          </w:tcPr>
          <w:p>
            <w:pPr>
              <w:jc w:val="center"/>
              <w:shd w:val="clear" w:color="auto"/>
              <w:rPr>
                <w:rFonts w:cs="Calibri"/>
                <w:b/>
                <w:bCs/>
                <w:color w:val="000000" w:themeColor="text1"/>
                <w:szCs w:val="21"/>
                <w:highlight w:val="none"/>
                <w14:textFill>
                  <w14:solidFill>
                    <w14:schemeClr w14:val="tx1"/>
                  </w14:solidFill>
                </w14:textFill>
              </w:rPr>
            </w:pPr>
            <w:r>
              <w:rPr>
                <w:rFonts w:hint="eastAsia" w:cs="Calibri"/>
                <w:b/>
                <w:bCs/>
                <w:color w:val="000000" w:themeColor="text1"/>
                <w:szCs w:val="21"/>
                <w:highlight w:val="none"/>
                <w14:textFill>
                  <w14:solidFill>
                    <w14:schemeClr w14:val="tx1"/>
                  </w14:solidFill>
                </w14:textFill>
              </w:rPr>
              <w:t xml:space="preserve">管理考核</w:t>
            </w:r>
            <w:r/>
          </w:p>
        </w:tc>
      </w:tr>
      <w:tr>
        <w:trPr>
          <w:trHeight w:val="690"/>
        </w:trPr>
        <w:tc>
          <w:tcPr>
            <w:tcW w:w="941" w:type="dxa"/>
            <w:vAlign w:val="center"/>
            <w:textDirection w:val="lrTb"/>
            <w:noWrap/>
          </w:tcPr>
          <w:p>
            <w:pPr>
              <w:jc w:val="center"/>
              <w:shd w:val="clear" w:color="auto"/>
              <w:rPr>
                <w:rFonts w:cs="Calibri"/>
                <w:b/>
                <w:bCs/>
                <w:color w:val="000000" w:themeColor="text1"/>
                <w:szCs w:val="21"/>
                <w:highlight w:val="none"/>
                <w14:textFill>
                  <w14:solidFill>
                    <w14:schemeClr w14:val="tx1"/>
                  </w14:solidFill>
                </w14:textFill>
              </w:rPr>
            </w:pPr>
            <w:r>
              <w:rPr>
                <w:rFonts w:hint="eastAsia" w:cs="Calibri"/>
                <w:b/>
                <w:bCs/>
                <w:color w:val="000000" w:themeColor="text1"/>
                <w:szCs w:val="21"/>
                <w:highlight w:val="none"/>
                <w14:textFill>
                  <w14:solidFill>
                    <w14:schemeClr w14:val="tx1"/>
                  </w14:solidFill>
                </w14:textFill>
              </w:rPr>
              <w:t xml:space="preserve">1</w:t>
            </w:r>
            <w:r/>
          </w:p>
        </w:tc>
        <w:tc>
          <w:tcPr>
            <w:tcW w:w="5155" w:type="dxa"/>
            <w:vAlign w:val="center"/>
            <w:textDirection w:val="lrTb"/>
            <w:noWrap w:val="false"/>
          </w:tcPr>
          <w:p>
            <w:pPr>
              <w:jc w:val="left"/>
              <w:shd w:val="clear" w:color="auto"/>
              <w:rPr>
                <w:rFonts w:hint="default" w:eastAsia="宋体"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按规定时间上报每月</w:t>
            </w:r>
            <w:r>
              <w:rPr>
                <w:rFonts w:hint="eastAsia" w:cs="Calibri"/>
                <w:color w:val="000000" w:themeColor="text1"/>
                <w:szCs w:val="21"/>
                <w:highlight w:val="none"/>
                <w:lang w:val="en-US" w:eastAsia="zh-CN"/>
                <w14:textFill>
                  <w14:solidFill>
                    <w14:schemeClr w14:val="tx1"/>
                  </w14:solidFill>
                </w14:textFill>
              </w:rPr>
              <w:t xml:space="preserve">维护</w:t>
            </w:r>
            <w:r>
              <w:rPr>
                <w:rFonts w:hint="eastAsia" w:cs="Calibri"/>
                <w:color w:val="000000" w:themeColor="text1"/>
                <w:szCs w:val="21"/>
                <w:highlight w:val="none"/>
                <w14:textFill>
                  <w14:solidFill>
                    <w14:schemeClr w14:val="tx1"/>
                  </w14:solidFill>
                </w14:textFill>
              </w:rPr>
              <w:t xml:space="preserve">完成情况和下月维护计划</w:t>
            </w:r>
            <w:r>
              <w:rPr>
                <w:rFonts w:hint="eastAsia" w:cs="Calibri"/>
                <w:color w:val="000000" w:themeColor="text1"/>
                <w:szCs w:val="21"/>
                <w:highlight w:val="none"/>
                <w:lang w:val="en-US" w:eastAsia="zh-CN"/>
                <w14:textFill>
                  <w14:solidFill>
                    <w14:schemeClr w14:val="tx1"/>
                  </w14:solidFill>
                </w14:textFill>
              </w:rPr>
              <w:t xml:space="preserve">等各项台账资料</w:t>
            </w:r>
            <w:r/>
          </w:p>
        </w:tc>
        <w:tc>
          <w:tcPr>
            <w:tcW w:w="6483" w:type="dxa"/>
            <w:vAlign w:val="center"/>
            <w:textDirection w:val="lrTb"/>
            <w:noWrap/>
          </w:tcPr>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未满足，1次扣1分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cs="Calibri"/>
                <w:b/>
                <w:bCs/>
                <w:color w:val="000000" w:themeColor="text1"/>
                <w:szCs w:val="21"/>
                <w:highlight w:val="none"/>
                <w14:textFill>
                  <w14:solidFill>
                    <w14:schemeClr w14:val="tx1"/>
                  </w14:solidFill>
                </w14:textFill>
              </w:rPr>
            </w:pPr>
            <w:r>
              <w:rPr>
                <w:rFonts w:hint="eastAsia" w:cs="Calibri"/>
                <w:b/>
                <w:bCs/>
                <w:color w:val="000000" w:themeColor="text1"/>
                <w:szCs w:val="21"/>
                <w:highlight w:val="none"/>
                <w14:textFill>
                  <w14:solidFill>
                    <w14:schemeClr w14:val="tx1"/>
                  </w14:solidFill>
                </w14:textFill>
              </w:rPr>
              <w:t xml:space="preserve">2</w:t>
            </w:r>
            <w:r/>
          </w:p>
        </w:tc>
        <w:tc>
          <w:tcPr>
            <w:tcW w:w="5155" w:type="dxa"/>
            <w:vAlign w:val="center"/>
            <w:textDirection w:val="lrTb"/>
            <w:noWrap w:val="false"/>
          </w:tcPr>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南京市城市基础设施(道路桥隧)安全运行智慧监管系统中</w:t>
            </w:r>
            <w:r>
              <w:rPr>
                <w:rFonts w:hint="eastAsia" w:cs="Calibri"/>
                <w:color w:val="000000" w:themeColor="text1"/>
                <w:szCs w:val="21"/>
                <w:highlight w:val="none"/>
                <w14:textFill>
                  <w14:solidFill>
                    <w14:schemeClr w14:val="tx1"/>
                  </w14:solidFill>
                </w14:textFill>
              </w:rPr>
              <w:t xml:space="preserve">养护工单</w:t>
            </w:r>
            <w:r>
              <w:rPr>
                <w:rFonts w:hint="eastAsia" w:cs="Calibri"/>
                <w:color w:val="000000" w:themeColor="text1"/>
                <w:szCs w:val="21"/>
                <w:highlight w:val="none"/>
                <w:lang w:val="en-US" w:eastAsia="zh-CN"/>
                <w14:textFill>
                  <w14:solidFill>
                    <w14:schemeClr w14:val="tx1"/>
                  </w14:solidFill>
                </w14:textFill>
              </w:rPr>
              <w:t xml:space="preserve">完成量</w:t>
            </w:r>
            <w:r>
              <w:rPr>
                <w:rFonts w:hint="eastAsia" w:cs="Calibri"/>
                <w:color w:val="000000" w:themeColor="text1"/>
                <w:szCs w:val="21"/>
                <w:highlight w:val="none"/>
                <w14:textFill>
                  <w14:solidFill>
                    <w14:schemeClr w14:val="tx1"/>
                  </w14:solidFill>
                </w14:textFill>
              </w:rPr>
              <w:t xml:space="preserve">与月报表一致</w:t>
            </w:r>
            <w:r/>
          </w:p>
        </w:tc>
        <w:tc>
          <w:tcPr>
            <w:tcW w:w="6483" w:type="dxa"/>
            <w:vAlign w:val="center"/>
            <w:textDirection w:val="lrTb"/>
            <w:noWrap/>
          </w:tcPr>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未满足，1次扣1分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eastAsia" w:eastAsia="宋体"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3</w:t>
            </w:r>
            <w:r/>
          </w:p>
        </w:tc>
        <w:tc>
          <w:tcPr>
            <w:tcW w:w="5155" w:type="dxa"/>
            <w:vAlign w:val="center"/>
            <w:textDirection w:val="lrTb"/>
            <w:noWrap w:val="false"/>
          </w:tcPr>
          <w:p>
            <w:pPr>
              <w:jc w:val="left"/>
              <w:shd w:val="clear" w:color="auto"/>
              <w:rPr>
                <w:rFonts w:hint="default" w:eastAsia="宋体"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南京市城市基础设施(道路桥隧)安全运行智慧监管系统</w:t>
            </w:r>
            <w:r>
              <w:rPr>
                <w:rFonts w:hint="eastAsia" w:cs="Calibri"/>
                <w:color w:val="000000" w:themeColor="text1"/>
                <w:szCs w:val="21"/>
                <w:highlight w:val="none"/>
                <w:lang w:val="en-US" w:eastAsia="zh-CN"/>
                <w14:textFill>
                  <w14:solidFill>
                    <w14:schemeClr w14:val="tx1"/>
                  </w14:solidFill>
                </w14:textFill>
              </w:rPr>
              <w:t xml:space="preserve">中巡查、维修时效等指标达标</w:t>
            </w:r>
            <w:r/>
          </w:p>
        </w:tc>
        <w:tc>
          <w:tcPr>
            <w:tcW w:w="6483" w:type="dxa"/>
            <w:vAlign w:val="center"/>
            <w:textDirection w:val="lrTb"/>
            <w:noWrap/>
          </w:tcPr>
          <w:p>
            <w:pPr>
              <w:jc w:val="left"/>
              <w:shd w:val="clear" w:color="auto"/>
              <w:rPr>
                <w:rFonts w:hint="eastAsia"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未满足，1次扣1分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eastAsia" w:eastAsia="宋体" w:cs="Calibri"/>
                <w:b/>
                <w:bCs/>
                <w:color w:val="000000" w:themeColor="text1"/>
                <w:szCs w:val="21"/>
                <w:highlight w:val="none"/>
                <w:lang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4</w:t>
            </w:r>
            <w:r/>
          </w:p>
        </w:tc>
        <w:tc>
          <w:tcPr>
            <w:tcW w:w="5155" w:type="dxa"/>
            <w:vAlign w:val="center"/>
            <w:textDirection w:val="lrTb"/>
            <w:noWrap w:val="false"/>
          </w:tcPr>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各类</w:t>
            </w:r>
            <w:r>
              <w:rPr>
                <w:rFonts w:hint="eastAsia" w:cs="Calibri"/>
                <w:color w:val="000000" w:themeColor="text1"/>
                <w:szCs w:val="21"/>
                <w:highlight w:val="none"/>
                <w14:textFill>
                  <w14:solidFill>
                    <w14:schemeClr w14:val="tx1"/>
                  </w14:solidFill>
                </w14:textFill>
              </w:rPr>
              <w:t xml:space="preserve">菜单整改情况，按规定期限内反馈，</w:t>
            </w:r>
            <w:r>
              <w:rPr>
                <w:rFonts w:hint="eastAsia" w:cs="Calibri"/>
                <w:color w:val="000000" w:themeColor="text1"/>
                <w:szCs w:val="21"/>
                <w:highlight w:val="none"/>
                <w:lang w:val="en-US" w:eastAsia="zh-CN"/>
                <w14:textFill>
                  <w14:solidFill>
                    <w14:schemeClr w14:val="tx1"/>
                  </w14:solidFill>
                </w14:textFill>
              </w:rPr>
              <w:t xml:space="preserve">整改照片上</w:t>
            </w:r>
            <w:r>
              <w:rPr>
                <w:rFonts w:hint="eastAsia" w:cs="Calibri"/>
                <w:color w:val="000000" w:themeColor="text1"/>
                <w:szCs w:val="21"/>
                <w:highlight w:val="none"/>
                <w14:textFill>
                  <w14:solidFill>
                    <w14:schemeClr w14:val="tx1"/>
                  </w14:solidFill>
                </w14:textFill>
              </w:rPr>
              <w:t xml:space="preserve">周边不得有其他病害</w:t>
            </w:r>
            <w:r/>
          </w:p>
        </w:tc>
        <w:tc>
          <w:tcPr>
            <w:tcW w:w="6483" w:type="dxa"/>
            <w:vAlign w:val="center"/>
            <w:textDirection w:val="lrTb"/>
            <w:noWrap/>
          </w:tcPr>
          <w:p>
            <w:pPr>
              <w:jc w:val="left"/>
              <w:shd w:val="clear" w:color="auto"/>
              <w:rPr>
                <w:rFonts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未满足，1次扣1分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700"/>
        </w:trPr>
        <w:tc>
          <w:tcPr>
            <w:tcW w:w="941" w:type="dxa"/>
            <w:vAlign w:val="center"/>
            <w:textDirection w:val="lrTb"/>
            <w:noWrap/>
          </w:tcPr>
          <w:p>
            <w:pPr>
              <w:jc w:val="center"/>
              <w:shd w:val="clear" w:color="auto"/>
              <w:rPr>
                <w:rFonts w:hint="eastAsia" w:eastAsia="宋体" w:cs="Calibri"/>
                <w:b/>
                <w:bCs/>
                <w:color w:val="000000" w:themeColor="text1"/>
                <w:szCs w:val="21"/>
                <w:highlight w:val="none"/>
                <w:lang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5</w:t>
            </w:r>
            <w:r/>
          </w:p>
        </w:tc>
        <w:tc>
          <w:tcPr>
            <w:tcW w:w="5155" w:type="dxa"/>
            <w:vAlign w:val="center"/>
            <w:textDirection w:val="lrTb"/>
            <w:noWrap w:val="false"/>
          </w:tcPr>
          <w:p>
            <w:pPr>
              <w:jc w:val="left"/>
              <w:shd w:val="clear" w:color="auto"/>
              <w:rPr>
                <w:rFonts w:hint="default"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会议、活动、培训、现场查看要求到会的人员按时到会</w:t>
            </w:r>
            <w:r/>
          </w:p>
        </w:tc>
        <w:tc>
          <w:tcPr>
            <w:tcW w:w="6483" w:type="dxa"/>
            <w:vAlign w:val="center"/>
            <w:textDirection w:val="lrTb"/>
            <w:noWrap/>
          </w:tcPr>
          <w:p>
            <w:pPr>
              <w:numPr>
                <w:ilvl w:val="0"/>
                <w:numId w:val="2"/>
              </w:numPr>
              <w:jc w:val="left"/>
              <w:shd w:val="clear" w:color="auto"/>
              <w:rPr>
                <w:rFonts w:hint="eastAsia"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迟到，1次扣1分</w:t>
            </w:r>
            <w:r/>
          </w:p>
          <w:p>
            <w:pPr>
              <w:numPr>
                <w:ilvl w:val="0"/>
                <w:numId w:val="2"/>
              </w:numPr>
              <w:jc w:val="left"/>
              <w:shd w:val="clear" w:color="auto"/>
              <w:rPr>
                <w:rFonts w:hint="eastAsia" w:cs="Calibri"/>
                <w:color w:val="000000" w:themeColor="text1"/>
                <w:szCs w:val="21"/>
                <w:highlight w:val="none"/>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参加人员不符合会议要求</w:t>
            </w:r>
            <w:r>
              <w:rPr>
                <w:rFonts w:hint="eastAsia" w:cs="Calibri"/>
                <w:color w:val="000000" w:themeColor="text1"/>
                <w:szCs w:val="21"/>
                <w:highlight w:val="none"/>
                <w:lang w:val="en-US" w:eastAsia="zh-CN"/>
                <w14:textFill>
                  <w14:solidFill>
                    <w14:schemeClr w14:val="tx1"/>
                  </w14:solidFill>
                </w14:textFill>
              </w:rPr>
              <w:t xml:space="preserve">且未履行请假手续</w:t>
            </w:r>
            <w:r>
              <w:rPr>
                <w:rFonts w:hint="eastAsia" w:cs="Calibri"/>
                <w:color w:val="000000" w:themeColor="text1"/>
                <w:szCs w:val="21"/>
                <w:highlight w:val="none"/>
                <w14:textFill>
                  <w14:solidFill>
                    <w14:schemeClr w14:val="tx1"/>
                  </w14:solidFill>
                </w14:textFill>
              </w:rPr>
              <w:t xml:space="preserve">，扣2分</w:t>
            </w:r>
            <w:r/>
          </w:p>
          <w:p>
            <w:pPr>
              <w:numPr>
                <w:ilvl w:val="0"/>
                <w:numId w:val="2"/>
              </w:numPr>
              <w:jc w:val="left"/>
              <w:shd w:val="clear" w:color="auto"/>
              <w:rPr>
                <w:rFonts w:hint="eastAsia"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未参加，扣3分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eastAsia" w:eastAsia="宋体" w:cs="Calibri"/>
                <w:b/>
                <w:bCs/>
                <w:color w:val="000000" w:themeColor="text1"/>
                <w:szCs w:val="21"/>
                <w:highlight w:val="none"/>
                <w:lang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6</w:t>
            </w:r>
            <w:r/>
          </w:p>
        </w:tc>
        <w:tc>
          <w:tcPr>
            <w:tcW w:w="5155" w:type="dxa"/>
            <w:vAlign w:val="center"/>
            <w:textDirection w:val="lrTb"/>
            <w:noWrap w:val="false"/>
          </w:tcPr>
          <w:p>
            <w:pPr>
              <w:jc w:val="left"/>
              <w:shd w:val="clear" w:color="auto"/>
              <w:rPr>
                <w:rFonts w:hint="eastAsia"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态度良好、现场</w:t>
            </w:r>
            <w:r>
              <w:rPr>
                <w:rFonts w:hint="eastAsia" w:cs="Calibri"/>
                <w:color w:val="000000" w:themeColor="text1"/>
                <w:szCs w:val="21"/>
                <w:highlight w:val="none"/>
                <w14:textFill>
                  <w14:solidFill>
                    <w14:schemeClr w14:val="tx1"/>
                  </w14:solidFill>
                </w14:textFill>
              </w:rPr>
              <w:t xml:space="preserve">核实市民投诉问题，</w:t>
            </w:r>
            <w:r>
              <w:rPr>
                <w:rFonts w:hint="eastAsia" w:cs="Calibri"/>
                <w:color w:val="000000" w:themeColor="text1"/>
                <w:szCs w:val="21"/>
                <w:highlight w:val="none"/>
                <w:lang w:val="en-US" w:eastAsia="zh-CN"/>
                <w14:textFill>
                  <w14:solidFill>
                    <w14:schemeClr w14:val="tx1"/>
                  </w14:solidFill>
                </w14:textFill>
              </w:rPr>
              <w:t xml:space="preserve">2</w:t>
            </w:r>
            <w:r>
              <w:rPr>
                <w:rFonts w:hint="eastAsia" w:cs="Calibri"/>
                <w:color w:val="000000" w:themeColor="text1"/>
                <w:szCs w:val="21"/>
                <w:highlight w:val="none"/>
                <w14:textFill>
                  <w14:solidFill>
                    <w14:schemeClr w14:val="tx1"/>
                  </w14:solidFill>
                </w14:textFill>
              </w:rPr>
              <w:t xml:space="preserve">小时内明确反馈管理范围并及时处理</w:t>
            </w:r>
            <w:r/>
          </w:p>
        </w:tc>
        <w:tc>
          <w:tcPr>
            <w:tcW w:w="6483" w:type="dxa"/>
            <w:vAlign w:val="center"/>
            <w:textDirection w:val="lrTb"/>
            <w:noWrap/>
          </w:tcPr>
          <w:p>
            <w:pPr>
              <w:jc w:val="left"/>
              <w:shd w:val="clear" w:color="auto"/>
              <w:rPr>
                <w:rFonts w:hint="eastAsia" w:eastAsia="宋体"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未及时反馈，一次扣1分；因态度问题造成市民重复投诉，一次扣3分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eastAsia" w:eastAsia="宋体" w:cs="Calibri"/>
                <w:b/>
                <w:bCs/>
                <w:color w:val="000000" w:themeColor="text1"/>
                <w:szCs w:val="21"/>
                <w:highlight w:val="none"/>
                <w:lang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7</w:t>
            </w:r>
            <w:r/>
          </w:p>
        </w:tc>
        <w:tc>
          <w:tcPr>
            <w:tcW w:w="5155" w:type="dxa"/>
            <w:vAlign w:val="center"/>
            <w:textDirection w:val="lrTb"/>
            <w:noWrap w:val="false"/>
          </w:tcPr>
          <w:p>
            <w:pPr>
              <w:jc w:val="left"/>
              <w:keepLines w:val="0"/>
              <w:keepNext w:val="0"/>
              <w:shd w:val="clear" w:color="auto"/>
              <w:widowControl/>
              <w:rPr>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每月维护完成量抽查复核，结果与养护单位上报的维</w:t>
            </w:r>
            <w:r/>
          </w:p>
          <w:p>
            <w:pPr>
              <w:jc w:val="left"/>
              <w:keepLines w:val="0"/>
              <w:keepNext w:val="0"/>
              <w:shd w:val="clear" w:color="auto"/>
              <w:widowControl/>
              <w:rPr>
                <w:rFonts w:cs="Calibr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护完成量不超过10%</w:t>
            </w:r>
            <w:r/>
          </w:p>
        </w:tc>
        <w:tc>
          <w:tcPr>
            <w:tcW w:w="6483" w:type="dxa"/>
            <w:vAlign w:val="center"/>
            <w:textDirection w:val="lrTb"/>
            <w:noWrap/>
          </w:tcPr>
          <w:p>
            <w:pPr>
              <w:jc w:val="left"/>
              <w:keepLines w:val="0"/>
              <w:keepNext w:val="0"/>
              <w:shd w:val="clear" w:color="auto"/>
              <w:widowControl/>
              <w:rPr>
                <w:rFonts w:cs="Calibri"/>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未满足，一次扣5分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eastAsia" w:eastAsia="宋体" w:cs="Calibri"/>
                <w:b/>
                <w:bCs/>
                <w:color w:val="000000" w:themeColor="text1"/>
                <w:szCs w:val="21"/>
                <w:highlight w:val="none"/>
                <w:lang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8</w:t>
            </w:r>
            <w:r/>
          </w:p>
        </w:tc>
        <w:tc>
          <w:tcPr>
            <w:tcW w:w="5155" w:type="dxa"/>
            <w:vAlign w:val="center"/>
            <w:textDirection w:val="lrTb"/>
            <w:noWrap w:val="false"/>
          </w:tcPr>
          <w:p>
            <w:pPr>
              <w:jc w:val="left"/>
              <w:shd w:val="clear" w:color="auto"/>
              <w:rPr>
                <w:rFonts w:hint="eastAsia"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市、区针对沟槽结构层及面层的检测中，各项指标应满足相关规范</w:t>
            </w:r>
            <w:r/>
          </w:p>
        </w:tc>
        <w:tc>
          <w:tcPr>
            <w:tcW w:w="6483" w:type="dxa"/>
            <w:vAlign w:val="center"/>
            <w:textDirection w:val="lrTb"/>
            <w:noWrap/>
          </w:tcPr>
          <w:p>
            <w:pPr>
              <w:jc w:val="left"/>
              <w:shd w:val="clear" w:color="auto"/>
              <w:rPr>
                <w:rFonts w:hint="default"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检测不合格</w:t>
            </w:r>
            <w:r>
              <w:rPr>
                <w:rFonts w:hint="eastAsia" w:cs="Calibri"/>
                <w:color w:val="000000" w:themeColor="text1"/>
                <w:szCs w:val="21"/>
                <w:highlight w:val="none"/>
                <w14:textFill>
                  <w14:solidFill>
                    <w14:schemeClr w14:val="tx1"/>
                  </w14:solidFill>
                </w14:textFill>
              </w:rPr>
              <w:t xml:space="preserve">扣除该修复项目挖掘修复费50%，并按照要求整改。对整改质量或整改时间不能达到要求的，扣除该项修复经费剩余50%，公司自费整改。如拒不整改，按月扣除养护经费30%，且当月及后续养护经费暂停支付，待按要求整改完毕，经科室检查满足要求后，再进行支付。</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eastAsia" w:eastAsia="宋体" w:cs="Calibri"/>
                <w:b/>
                <w:bCs/>
                <w:color w:val="000000" w:themeColor="text1"/>
                <w:szCs w:val="21"/>
                <w:highlight w:val="none"/>
                <w:lang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9</w:t>
            </w:r>
            <w:r/>
          </w:p>
        </w:tc>
        <w:tc>
          <w:tcPr>
            <w:tcW w:w="5155" w:type="dxa"/>
            <w:vAlign w:val="center"/>
            <w:textDirection w:val="lrTb"/>
            <w:noWrap/>
          </w:tcPr>
          <w:p>
            <w:pPr>
              <w:jc w:val="left"/>
              <w:shd w:val="clear" w:color="auto"/>
              <w:rPr>
                <w:rFonts w:hint="default" w:eastAsia="宋体"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态度恶劣、不听从上级领导安排</w:t>
            </w:r>
            <w:r>
              <w:rPr>
                <w:rFonts w:hint="eastAsia" w:cs="Calibri"/>
                <w:color w:val="000000" w:themeColor="text1"/>
                <w:szCs w:val="21"/>
                <w:highlight w:val="none"/>
                <w:lang w:eastAsia="zh-CN"/>
                <w14:textFill>
                  <w14:solidFill>
                    <w14:schemeClr w14:val="tx1"/>
                  </w14:solidFill>
                </w14:textFill>
              </w:rPr>
              <w:t xml:space="preserve">，</w:t>
            </w:r>
            <w:r>
              <w:rPr>
                <w:rFonts w:hint="eastAsia" w:cs="Calibri"/>
                <w:color w:val="000000" w:themeColor="text1"/>
                <w:szCs w:val="21"/>
                <w:highlight w:val="none"/>
                <w:lang w:val="en-US" w:eastAsia="zh-CN"/>
                <w14:textFill>
                  <w14:solidFill>
                    <w14:schemeClr w14:val="tx1"/>
                  </w14:solidFill>
                </w14:textFill>
              </w:rPr>
              <w:t xml:space="preserve">指令性任务未完成</w:t>
            </w:r>
            <w:r/>
          </w:p>
        </w:tc>
        <w:tc>
          <w:tcPr>
            <w:tcW w:w="6483" w:type="dxa"/>
            <w:vAlign w:val="center"/>
            <w:textDirection w:val="lrTb"/>
            <w:noWrap/>
          </w:tcPr>
          <w:p>
            <w:pPr>
              <w:jc w:val="left"/>
              <w:shd w:val="clear" w:color="auto"/>
              <w:rPr>
                <w:rFonts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1次扣3分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eastAsia="宋体"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10</w:t>
            </w:r>
            <w:r/>
          </w:p>
        </w:tc>
        <w:tc>
          <w:tcPr>
            <w:tcW w:w="5155" w:type="dxa"/>
            <w:vAlign w:val="center"/>
            <w:textDirection w:val="lrTb"/>
            <w:noWrap/>
          </w:tcPr>
          <w:p>
            <w:pPr>
              <w:jc w:val="left"/>
              <w:shd w:val="clear" w:color="auto"/>
              <w:rPr>
                <w:rFonts w:hint="default" w:eastAsia="宋体"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因施工管理不到位，受到居民投诉</w:t>
            </w:r>
            <w:r/>
          </w:p>
        </w:tc>
        <w:tc>
          <w:tcPr>
            <w:tcW w:w="6483" w:type="dxa"/>
            <w:vAlign w:val="center"/>
            <w:textDirection w:val="lrTb"/>
            <w:noWrap/>
          </w:tcPr>
          <w:p>
            <w:pPr>
              <w:jc w:val="left"/>
              <w:shd w:val="clear" w:color="auto"/>
              <w:rPr>
                <w:rFonts w:hint="default" w:eastAsia="宋体"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1次扣1分</w:t>
            </w:r>
            <w:r>
              <w:rPr>
                <w:rFonts w:hint="eastAsia" w:cs="Calibri"/>
                <w:color w:val="000000" w:themeColor="text1"/>
                <w:szCs w:val="21"/>
                <w:highlight w:val="none"/>
                <w:lang w:eastAsia="zh-CN"/>
                <w14:textFill>
                  <w14:solidFill>
                    <w14:schemeClr w14:val="tx1"/>
                  </w14:solidFill>
                </w14:textFill>
              </w:rPr>
              <w:t xml:space="preserve">；</w:t>
            </w:r>
            <w:r>
              <w:rPr>
                <w:rFonts w:hint="eastAsia" w:cs="Calibri"/>
                <w:color w:val="000000" w:themeColor="text1"/>
                <w:szCs w:val="21"/>
                <w:highlight w:val="none"/>
                <w:lang w:val="en-US" w:eastAsia="zh-CN"/>
                <w14:textFill>
                  <w14:solidFill>
                    <w14:schemeClr w14:val="tx1"/>
                  </w14:solidFill>
                </w14:textFill>
              </w:rPr>
              <w:t xml:space="preserve">如造成</w:t>
            </w:r>
            <w:r>
              <w:rPr>
                <w:rFonts w:hint="eastAsia" w:cs="Calibri"/>
                <w:color w:val="000000" w:themeColor="text1"/>
                <w:szCs w:val="21"/>
                <w:highlight w:val="none"/>
                <w14:textFill>
                  <w14:solidFill>
                    <w14:schemeClr w14:val="tx1"/>
                  </w14:solidFill>
                </w14:textFill>
              </w:rPr>
              <w:t xml:space="preserve">人员受伤、财产损失</w:t>
            </w:r>
            <w:r>
              <w:rPr>
                <w:rFonts w:hint="eastAsia" w:cs="Calibri"/>
                <w:color w:val="000000" w:themeColor="text1"/>
                <w:szCs w:val="21"/>
                <w:highlight w:val="none"/>
                <w:lang w:eastAsia="zh-CN"/>
                <w14:textFill>
                  <w14:solidFill>
                    <w14:schemeClr w14:val="tx1"/>
                  </w14:solidFill>
                </w14:textFill>
              </w:rPr>
              <w:t xml:space="preserve">，</w:t>
            </w:r>
            <w:r>
              <w:rPr>
                <w:rFonts w:hint="eastAsia" w:cs="Calibri"/>
                <w:color w:val="000000" w:themeColor="text1"/>
                <w:szCs w:val="21"/>
                <w:highlight w:val="none"/>
                <w:lang w:val="en-US" w:eastAsia="zh-CN"/>
                <w14:textFill>
                  <w14:solidFill>
                    <w14:schemeClr w14:val="tx1"/>
                  </w14:solidFill>
                </w14:textFill>
              </w:rPr>
              <w:t xml:space="preserve">一次扣3分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846"/>
        </w:trPr>
        <w:tc>
          <w:tcPr>
            <w:tcW w:w="941" w:type="dxa"/>
            <w:vAlign w:val="center"/>
            <w:textDirection w:val="lrTb"/>
            <w:noWrap/>
          </w:tcPr>
          <w:p>
            <w:pPr>
              <w:jc w:val="center"/>
              <w:shd w:val="clear" w:color="auto"/>
              <w:rPr>
                <w:rFonts w:hint="eastAsia" w:cs="Calibri"/>
                <w:b/>
                <w:bCs/>
                <w:color w:val="000000" w:themeColor="text1"/>
                <w:sz w:val="21"/>
                <w:szCs w:val="21"/>
                <w:highlight w:val="none"/>
                <w:lang w:val="en-US" w:eastAsia="zh-CN" w:bidi="ar-SA"/>
                <w14:textFill>
                  <w14:solidFill>
                    <w14:schemeClr w14:val="tx1"/>
                  </w14:solidFill>
                </w14:textFill>
              </w:rPr>
            </w:pPr>
            <w:r>
              <w:rPr>
                <w:rFonts w:hint="eastAsia" w:cs="Calibri"/>
                <w:b/>
                <w:bCs/>
                <w:color w:val="000000" w:themeColor="text1"/>
                <w:szCs w:val="21"/>
                <w:highlight w:val="none"/>
                <w14:textFill>
                  <w14:solidFill>
                    <w14:schemeClr w14:val="tx1"/>
                  </w14:solidFill>
                </w14:textFill>
              </w:rPr>
              <w:t xml:space="preserve">11</w:t>
            </w:r>
            <w:r/>
          </w:p>
        </w:tc>
        <w:tc>
          <w:tcPr>
            <w:tcW w:w="5155" w:type="dxa"/>
            <w:vAlign w:val="center"/>
            <w:textDirection w:val="lrTb"/>
            <w:noWrap/>
          </w:tcPr>
          <w:p>
            <w:pPr>
              <w:jc w:val="left"/>
              <w:shd w:val="clear" w:color="auto"/>
              <w:rPr>
                <w:rFonts w:hint="eastAsia"/>
                <w:color w:val="000000" w:themeColor="text1"/>
                <w:sz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媒体曝光、市、区级领导发现的设施问题等</w:t>
            </w:r>
            <w:r/>
          </w:p>
        </w:tc>
        <w:tc>
          <w:tcPr>
            <w:tcW w:w="6483" w:type="dxa"/>
            <w:vAlign w:val="center"/>
            <w:textDirection w:val="lrTb"/>
            <w:noWrap/>
          </w:tcPr>
          <w:p>
            <w:pPr>
              <w:jc w:val="left"/>
              <w:shd w:val="clear" w:color="auto"/>
              <w:rPr>
                <w:rFonts w:hint="eastAsia"/>
                <w:color w:val="000000" w:themeColor="text1"/>
                <w:sz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区级领导发现问题一次扣3分，市级领导发现问题一次扣5分，，造成区级舆情重大影响的一次扣10分，造成市级舆情重大影响的一次扣20</w:t>
            </w:r>
            <w:r>
              <w:rPr>
                <w:color w:val="000000" w:themeColor="text1"/>
                <w:highlight w:val="none"/>
                <w14:textFill>
                  <w14:solidFill>
                    <w14:schemeClr w14:val="tx1"/>
                  </w14:solidFill>
                </w14:textFill>
              </w:rPr>
              <w:t xml:space="preserve"> 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63"/>
        </w:trPr>
        <w:tc>
          <w:tcPr>
            <w:tcW w:w="941" w:type="dxa"/>
            <w:vAlign w:val="center"/>
            <w:textDirection w:val="lrTb"/>
            <w:noWrap/>
          </w:tcPr>
          <w:p>
            <w:pPr>
              <w:jc w:val="center"/>
              <w:shd w:val="clear" w:color="auto"/>
              <w:rPr>
                <w:rFonts w:hint="default" w:eastAsia="宋体"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12</w:t>
            </w:r>
            <w:r/>
          </w:p>
        </w:tc>
        <w:tc>
          <w:tcPr>
            <w:tcW w:w="5155" w:type="dxa"/>
            <w:vAlign w:val="center"/>
            <w:textDirection w:val="lrTb"/>
            <w:noWrap w:val="false"/>
          </w:tcPr>
          <w:p>
            <w:pPr>
              <w:jc w:val="left"/>
              <w:shd w:val="clear" w:color="auto"/>
              <w:rPr>
                <w:rFonts w:hint="eastAsia" w:eastAsia="宋体"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道路违章挖掘未及时发现</w:t>
            </w:r>
            <w:r>
              <w:rPr>
                <w:rFonts w:hint="eastAsia" w:cs="Calibri"/>
                <w:color w:val="000000" w:themeColor="text1"/>
                <w:szCs w:val="21"/>
                <w:highlight w:val="none"/>
                <w:lang w:eastAsia="zh-CN"/>
                <w14:textFill>
                  <w14:solidFill>
                    <w14:schemeClr w14:val="tx1"/>
                  </w14:solidFill>
                </w14:textFill>
              </w:rPr>
              <w:t xml:space="preserve">、</w:t>
            </w:r>
            <w:r>
              <w:rPr>
                <w:rFonts w:hint="eastAsia" w:cs="Calibri"/>
                <w:color w:val="000000" w:themeColor="text1"/>
                <w:szCs w:val="21"/>
                <w:highlight w:val="none"/>
                <w14:textFill>
                  <w14:solidFill>
                    <w14:schemeClr w14:val="tx1"/>
                  </w14:solidFill>
                </w14:textFill>
              </w:rPr>
              <w:t xml:space="preserve">未尽到阻止义务</w:t>
            </w:r>
            <w:r/>
          </w:p>
        </w:tc>
        <w:tc>
          <w:tcPr>
            <w:tcW w:w="6483" w:type="dxa"/>
            <w:vAlign w:val="center"/>
            <w:textDirection w:val="lrTb"/>
            <w:noWrap/>
          </w:tcPr>
          <w:p>
            <w:pPr>
              <w:jc w:val="left"/>
              <w:shd w:val="clear" w:color="auto"/>
              <w:rPr>
                <w:rFonts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Cs w:val="21"/>
                <w:highlight w:val="none"/>
                <w14:textFill>
                  <w14:solidFill>
                    <w14:schemeClr w14:val="tx1"/>
                  </w14:solidFill>
                </w14:textFill>
              </w:rPr>
              <w:t xml:space="preserve">1次扣1分，并由养护单位自行负责修复到位</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46"/>
        </w:trPr>
        <w:tc>
          <w:tcPr>
            <w:tcW w:w="941" w:type="dxa"/>
            <w:vAlign w:val="center"/>
            <w:textDirection w:val="lrTb"/>
            <w:noWrap/>
          </w:tcPr>
          <w:p>
            <w:pPr>
              <w:jc w:val="center"/>
              <w:shd w:val="clear" w:color="auto"/>
              <w:rPr>
                <w:rFonts w:hint="default" w:cs="Calibri"/>
                <w:b/>
                <w:bCs/>
                <w:color w:val="000000" w:themeColor="text1"/>
                <w:sz w:val="21"/>
                <w:szCs w:val="21"/>
                <w:highlight w:val="none"/>
                <w:lang w:val="en-US" w:eastAsia="zh-CN" w:bidi="ar-SA"/>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13</w:t>
            </w:r>
            <w:r/>
          </w:p>
        </w:tc>
        <w:tc>
          <w:tcPr>
            <w:tcW w:w="5155" w:type="dxa"/>
            <w:vAlign w:val="center"/>
            <w:textDirection w:val="lrTb"/>
            <w:noWrap w:val="false"/>
          </w:tcPr>
          <w:p>
            <w:pPr>
              <w:jc w:val="left"/>
              <w:shd w:val="clear" w:color="auto"/>
              <w:rPr>
                <w:rFonts w:hint="default"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 w:val="21"/>
                <w:szCs w:val="21"/>
                <w:highlight w:val="none"/>
                <w:lang w:val="en-US" w:eastAsia="zh-CN" w:bidi="ar-SA"/>
                <w14:textFill>
                  <w14:solidFill>
                    <w14:schemeClr w14:val="tx1"/>
                  </w14:solidFill>
                </w14:textFill>
              </w:rPr>
              <w:t xml:space="preserve">桥梁日常巡查应包括桥面系、上部结构、下部结构等，并按月建立台账</w:t>
            </w:r>
            <w:r/>
          </w:p>
        </w:tc>
        <w:tc>
          <w:tcPr>
            <w:tcW w:w="6483" w:type="dxa"/>
            <w:vAlign w:val="center"/>
            <w:textDirection w:val="lrTb"/>
            <w:noWrap/>
          </w:tcPr>
          <w:p>
            <w:pPr>
              <w:jc w:val="left"/>
              <w:shd w:val="clear" w:color="auto"/>
              <w:rPr>
                <w:rFonts w:hint="default" w:cs="Calibri"/>
                <w:color w:val="000000" w:themeColor="text1"/>
                <w:sz w:val="21"/>
                <w:szCs w:val="21"/>
                <w:highlight w:val="none"/>
                <w:lang w:val="en-US" w:eastAsia="zh-CN" w:bidi="ar-SA"/>
                <w14:textFill>
                  <w14:solidFill>
                    <w14:schemeClr w14:val="tx1"/>
                  </w14:solidFill>
                </w14:textFill>
              </w:rPr>
            </w:pPr>
            <w:r>
              <w:rPr>
                <w:rFonts w:hint="eastAsia" w:cs="Calibri"/>
                <w:color w:val="000000" w:themeColor="text1"/>
                <w:sz w:val="21"/>
                <w:szCs w:val="21"/>
                <w:highlight w:val="none"/>
                <w:lang w:val="en-US" w:eastAsia="zh-CN" w:bidi="ar-SA"/>
                <w14:textFill>
                  <w14:solidFill>
                    <w14:schemeClr w14:val="tx1"/>
                  </w14:solidFill>
                </w14:textFill>
              </w:rPr>
              <w:t xml:space="preserve">巡查台账缺失、不完善，扣减当月所有桥梁养护经费的10%</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1485"/>
        </w:trPr>
        <w:tc>
          <w:tcPr>
            <w:shd w:val="clear" w:color="auto" w:fill="auto"/>
            <w:tcW w:w="941" w:type="dxa"/>
            <w:vAlign w:val="center"/>
            <w:textDirection w:val="lrTb"/>
            <w:noWrap/>
          </w:tcPr>
          <w:p>
            <w:pPr>
              <w:jc w:val="center"/>
              <w:shd w:val="clear" w:color="auto"/>
              <w:rPr>
                <w:rFonts w:hint="default" w:eastAsia="宋体"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14</w:t>
            </w:r>
            <w:r/>
          </w:p>
        </w:tc>
        <w:tc>
          <w:tcPr>
            <w:shd w:val="clear" w:color="auto" w:fill="auto"/>
            <w:tcW w:w="5155" w:type="dxa"/>
            <w:vAlign w:val="center"/>
            <w:textDirection w:val="lrTb"/>
            <w:noWrap/>
          </w:tcPr>
          <w:p>
            <w:pPr>
              <w:jc w:val="left"/>
              <w:shd w:val="clear" w:color="auto"/>
              <w:rPr>
                <w:rFonts w:hint="eastAsia"/>
                <w:color w:val="000000" w:themeColor="text1"/>
                <w:sz w:val="21"/>
                <w:highlight w:val="none"/>
                <w:lang w:val="en-US" w:eastAsia="zh-CN" w:bidi="ar-SA"/>
                <w14:textFill>
                  <w14:solidFill>
                    <w14:schemeClr w14:val="tx1"/>
                  </w14:solidFill>
                </w14:textFill>
              </w:rPr>
            </w:pPr>
            <w:r>
              <w:rPr>
                <w:rFonts w:hint="eastAsia"/>
                <w:color w:val="000000" w:themeColor="text1"/>
                <w:sz w:val="21"/>
                <w:highlight w:val="none"/>
                <w:lang w:val="en-US" w:eastAsia="zh-CN" w:bidi="ar-SA"/>
                <w14:textFill>
                  <w14:solidFill>
                    <w14:schemeClr w14:val="tx1"/>
                  </w14:solidFill>
                </w14:textFill>
              </w:rPr>
              <w:t xml:space="preserve">提升性养护的预算和结算申报，审计要求的结算计量材料补充，均应在10个工作日内完成，且计量材料退回次数不超2次。</w:t>
            </w:r>
            <w:r/>
          </w:p>
          <w:p>
            <w:pPr>
              <w:jc w:val="left"/>
              <w:shd w:val="clear" w:color="auto"/>
              <w:rPr>
                <w:rFonts w:hint="default"/>
                <w:color w:val="000000" w:themeColor="text1"/>
                <w:sz w:val="21"/>
                <w:highlight w:val="none"/>
                <w:lang w:val="en-US" w:eastAsia="zh-CN" w:bidi="ar-SA"/>
                <w14:textFill>
                  <w14:solidFill>
                    <w14:schemeClr w14:val="tx1"/>
                  </w14:solidFill>
                </w14:textFill>
              </w:rPr>
            </w:pPr>
            <w:r>
              <w:rPr>
                <w:rFonts w:hint="eastAsia"/>
                <w:color w:val="000000" w:themeColor="text1"/>
                <w:sz w:val="21"/>
                <w:highlight w:val="none"/>
                <w:lang w:val="en-US" w:eastAsia="zh-CN" w:bidi="ar-SA"/>
                <w14:textFill>
                  <w14:solidFill>
                    <w14:schemeClr w14:val="tx1"/>
                  </w14:solidFill>
                </w14:textFill>
              </w:rPr>
              <w:t xml:space="preserve">预算申报以科室具体通知之日始，结算申报以科室现场验收之日始，补充材料以审计通知之日始</w:t>
            </w:r>
            <w:r/>
          </w:p>
        </w:tc>
        <w:tc>
          <w:tcPr>
            <w:shd w:val="clear" w:color="auto" w:fill="auto"/>
            <w:tcW w:w="6483" w:type="dxa"/>
            <w:vAlign w:val="center"/>
            <w:textDirection w:val="lrTb"/>
            <w:noWrap w:val="false"/>
          </w:tcPr>
          <w:p>
            <w:pPr>
              <w:numPr>
                <w:ilvl w:val="0"/>
                <w:numId w:val="0"/>
              </w:numPr>
              <w:jc w:val="left"/>
              <w:shd w:val="clear" w:color="auto"/>
              <w:rPr>
                <w:rFonts w:hint="default" w:cs="Calibri"/>
                <w:color w:val="000000" w:themeColor="text1"/>
                <w:szCs w:val="21"/>
                <w:highlight w:val="none"/>
                <w:lang w:val="en-US" w:eastAsia="zh-CN"/>
                <w14:textFill>
                  <w14:solidFill>
                    <w14:schemeClr w14:val="tx1"/>
                  </w14:solidFill>
                </w14:textFill>
              </w:rPr>
            </w:pPr>
            <w:r>
              <w:rPr>
                <w:rFonts w:hint="eastAsia" w:cs="Calibri"/>
                <w:color w:val="000000" w:themeColor="text1"/>
                <w:szCs w:val="21"/>
                <w:highlight w:val="none"/>
                <w:lang w:val="en-US" w:eastAsia="zh-CN"/>
                <w14:textFill>
                  <w14:solidFill>
                    <w14:schemeClr w14:val="tx1"/>
                  </w14:solidFill>
                </w14:textFill>
              </w:rPr>
              <w:t xml:space="preserve">预算、结算未及时申报，按照审定经费扣减1%</w:t>
            </w:r>
            <w:r/>
          </w:p>
          <w:p>
            <w:pPr>
              <w:numPr>
                <w:ilvl w:val="0"/>
                <w:numId w:val="0"/>
              </w:numPr>
              <w:jc w:val="left"/>
              <w:shd w:val="clear" w:color="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审计要求补充的材料未及时提供，</w:t>
            </w:r>
            <w:r>
              <w:rPr>
                <w:rFonts w:hint="eastAsia" w:cs="Calibri"/>
                <w:color w:val="000000" w:themeColor="text1"/>
                <w:szCs w:val="21"/>
                <w:highlight w:val="none"/>
                <w:lang w:val="en-US" w:eastAsia="zh-CN"/>
                <w14:textFill>
                  <w14:solidFill>
                    <w14:schemeClr w14:val="tx1"/>
                  </w14:solidFill>
                </w14:textFill>
              </w:rPr>
              <w:t xml:space="preserve">按照审定经费扣减2%</w:t>
            </w:r>
            <w:r/>
          </w:p>
          <w:p>
            <w:pPr>
              <w:jc w:val="left"/>
              <w:shd w:val="clear" w:color="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结算计量材料审计退回超2次，每超1次，</w:t>
            </w:r>
            <w:r>
              <w:rPr>
                <w:rFonts w:hint="eastAsia" w:cs="Calibri"/>
                <w:color w:val="000000" w:themeColor="text1"/>
                <w:szCs w:val="21"/>
                <w:highlight w:val="none"/>
                <w:lang w:val="en-US" w:eastAsia="zh-CN"/>
                <w14:textFill>
                  <w14:solidFill>
                    <w14:schemeClr w14:val="tx1"/>
                  </w14:solidFill>
                </w14:textFill>
              </w:rPr>
              <w:t xml:space="preserve">按照审定经费扣减2%</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1812"/>
        </w:trPr>
        <w:tc>
          <w:tcPr>
            <w:shd w:val="clear" w:color="auto" w:fill="auto"/>
            <w:tcW w:w="941" w:type="dxa"/>
            <w:vAlign w:val="center"/>
            <w:textDirection w:val="lrTb"/>
            <w:noWrap/>
          </w:tcPr>
          <w:p>
            <w:pPr>
              <w:jc w:val="center"/>
              <w:shd w:val="clear" w:color="auto"/>
              <w:rPr>
                <w:rFonts w:hint="eastAsia"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15</w:t>
            </w:r>
            <w:r/>
          </w:p>
        </w:tc>
        <w:tc>
          <w:tcPr>
            <w:shd w:val="clear" w:color="auto" w:fill="auto"/>
            <w:tcW w:w="5155" w:type="dxa"/>
            <w:vAlign w:val="center"/>
            <w:textDirection w:val="lrTb"/>
            <w:noWrap w:val="false"/>
          </w:tcPr>
          <w:p>
            <w:pPr>
              <w:jc w:val="left"/>
              <w:shd w:val="clear" w:color="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区属城市道路设施管理养护质量验收不合格</w:t>
            </w:r>
            <w:r/>
          </w:p>
        </w:tc>
        <w:tc>
          <w:tcPr>
            <w:shd w:val="clear" w:color="auto" w:fill="auto"/>
            <w:tcW w:w="6483" w:type="dxa"/>
            <w:vAlign w:val="center"/>
            <w:textDirection w:val="lrTb"/>
            <w:noWrap/>
          </w:tcPr>
          <w:p>
            <w:pPr>
              <w:jc w:val="left"/>
              <w:shd w:val="clear" w:color="auto"/>
              <w:rPr>
                <w:rFonts w:hint="eastAsia"/>
                <w:color w:val="000000" w:themeColor="text1"/>
                <w:sz w:val="21"/>
                <w:highlight w:val="none"/>
                <w:lang w:val="en-US" w:eastAsia="zh-CN" w:bidi="ar-SA"/>
                <w14:textFill>
                  <w14:solidFill>
                    <w14:schemeClr w14:val="tx1"/>
                  </w14:solidFill>
                </w14:textFill>
              </w:rPr>
            </w:pPr>
            <w:r>
              <w:rPr>
                <w:rFonts w:hint="eastAsia"/>
                <w:color w:val="000000" w:themeColor="text1"/>
                <w:sz w:val="21"/>
                <w:highlight w:val="none"/>
                <w:lang w:val="en-US" w:eastAsia="zh-CN" w:bidi="ar-SA"/>
                <w14:textFill>
                  <w14:solidFill>
                    <w14:schemeClr w14:val="tx1"/>
                  </w14:solidFill>
                </w14:textFill>
              </w:rPr>
              <w:t xml:space="preserve">日常养护验收不合格，存在养护合同关系的养护单位，当月管理考核扣10分</w:t>
            </w:r>
            <w:r/>
          </w:p>
          <w:p>
            <w:pPr>
              <w:jc w:val="left"/>
              <w:shd w:val="clear" w:color="auto"/>
              <w:rPr>
                <w:rFonts w:hint="eastAsia"/>
                <w:color w:val="000000" w:themeColor="text1"/>
                <w:sz w:val="21"/>
                <w:highlight w:val="none"/>
                <w:lang w:val="en-US" w:eastAsia="zh-CN" w:bidi="ar-SA"/>
                <w14:textFill>
                  <w14:solidFill>
                    <w14:schemeClr w14:val="tx1"/>
                  </w14:solidFill>
                </w14:textFill>
              </w:rPr>
            </w:pPr>
            <w:r>
              <w:rPr>
                <w:rFonts w:hint="eastAsia"/>
                <w:color w:val="000000" w:themeColor="text1"/>
                <w:sz w:val="21"/>
                <w:highlight w:val="none"/>
                <w:lang w:val="en-US" w:eastAsia="zh-CN" w:bidi="ar-SA"/>
                <w14:textFill>
                  <w14:solidFill>
                    <w14:schemeClr w14:val="tx1"/>
                  </w14:solidFill>
                </w14:textFill>
              </w:rPr>
              <w:t xml:space="preserve">设施状况验收不合格，存在养护合同关系的养护单位，当月管理考核扣10分</w:t>
            </w:r>
            <w:r/>
          </w:p>
          <w:p>
            <w:pPr>
              <w:jc w:val="left"/>
              <w:shd w:val="clear" w:color="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专项任务验收不合格，</w:t>
            </w:r>
            <w:r>
              <w:rPr>
                <w:rFonts w:hint="eastAsia"/>
                <w:color w:val="000000" w:themeColor="text1"/>
                <w:sz w:val="21"/>
                <w:highlight w:val="none"/>
                <w:lang w:val="en-US" w:eastAsia="zh-CN" w:bidi="ar-SA"/>
                <w14:textFill>
                  <w14:solidFill>
                    <w14:schemeClr w14:val="tx1"/>
                  </w14:solidFill>
                </w14:textFill>
              </w:rPr>
              <w:t xml:space="preserve">参与专项任务实施的养护单位，每项专项任务不合格，当月管理考核扣10分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eastAsia="宋体"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16</w:t>
            </w:r>
            <w:r/>
          </w:p>
        </w:tc>
        <w:tc>
          <w:tcPr>
            <w:tcW w:w="5155" w:type="dxa"/>
            <w:vAlign w:val="center"/>
            <w:textDirection w:val="lrTb"/>
            <w:noWrap w:val="false"/>
          </w:tcPr>
          <w:p>
            <w:pPr>
              <w:jc w:val="left"/>
              <w:shd w:val="clear" w:color="auto"/>
              <w:rPr>
                <w:rFonts w:hint="default" w:eastAsia="宋体"/>
                <w:color w:val="000000" w:themeColor="text1"/>
                <w:sz w:val="21"/>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如因养护单位导致市级考核管理扣分，该养护单位以市级考核扣分数二倍扣分。（不含第三方菜单）</w:t>
            </w:r>
            <w:r/>
          </w:p>
        </w:tc>
        <w:tc>
          <w:tcPr>
            <w:tcW w:w="6483" w:type="dxa"/>
            <w:vAlign w:val="center"/>
            <w:textDirection w:val="lrTb"/>
            <w:noWrap/>
          </w:tcPr>
          <w:p>
            <w:pPr>
              <w:jc w:val="left"/>
              <w:shd w:val="clear" w:color="auto"/>
              <w:rPr>
                <w:rFonts w:hint="eastAsia"/>
                <w:color w:val="000000" w:themeColor="text1"/>
                <w:sz w:val="21"/>
                <w:highlight w:val="none"/>
                <w:lang w:val="en-US" w:eastAsia="zh-CN" w:bidi="ar-SA"/>
                <w14:textFill>
                  <w14:solidFill>
                    <w14:schemeClr w14:val="tx1"/>
                  </w14:solidFill>
                </w14:textFill>
              </w:rPr>
            </w:pPr>
            <w:r>
              <w:rPr>
                <w:rFonts w:hint="eastAsia"/>
                <w:color w:val="000000" w:themeColor="text1"/>
                <w:sz w:val="21"/>
                <w:highlight w:val="none"/>
                <w:lang w:val="en-US" w:eastAsia="zh-CN" w:bidi="ar-SA"/>
                <w14:textFill>
                  <w14:solidFill>
                    <w14:schemeClr w14:val="tx1"/>
                  </w14:solidFill>
                </w14:textFill>
              </w:rPr>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17</w:t>
            </w:r>
            <w:r/>
          </w:p>
        </w:tc>
        <w:tc>
          <w:tcPr>
            <w:shd w:val="clear" w:color="auto" w:fill="auto"/>
            <w:tcW w:w="5155" w:type="dxa"/>
            <w:vAlign w:val="center"/>
            <w:textDirection w:val="lrTb"/>
            <w:noWrap w:val="false"/>
          </w:tcPr>
          <w:p>
            <w:p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CN" w:bidi="ar-SA"/>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有健全的安全生产领导组织架构，有</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完善</w:t>
            </w: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的</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安全管理制度、安全生产</w:t>
            </w: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岗位</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责任制、安全操作规程、安全检查制度、应急预案等</w:t>
            </w:r>
            <w:r/>
          </w:p>
        </w:tc>
        <w:tc>
          <w:tcPr>
            <w:shd w:val="clear" w:color="auto" w:fill="auto"/>
            <w:tcW w:w="6483" w:type="dxa"/>
            <w:vAlign w:val="center"/>
            <w:textDirection w:val="lrTb"/>
            <w:noWrap/>
          </w:tcPr>
          <w:p>
            <w:pPr>
              <w:numPr>
                <w:ilvl w:val="0"/>
                <w:numId w:val="0"/>
              </w:num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CN" w:bidi="ar-SA"/>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未满足一项扣2分，制度不合理一项扣1分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18</w:t>
            </w:r>
            <w:r/>
          </w:p>
        </w:tc>
        <w:tc>
          <w:tcPr>
            <w:shd w:val="clear" w:color="auto" w:fill="auto"/>
            <w:tcW w:w="5155" w:type="dxa"/>
            <w:vAlign w:val="center"/>
            <w:textDirection w:val="lrTb"/>
            <w:noWrap w:val="false"/>
          </w:tcPr>
          <w:p>
            <w:p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 w:bidi="ar-SA"/>
                <w14:textFill>
                  <w14:solidFill>
                    <w14:schemeClr w14:val="tx1"/>
                  </w14:solidFill>
                </w14:textFill>
              </w:rPr>
            </w:pPr>
            <w:r>
              <w:rPr>
                <w:rFonts w:hint="eastAsia" w:ascii="Arial" w:hAnsi="Arial" w:cs="Arial"/>
                <w:b w:val="0"/>
                <w:bCs/>
                <w:color w:val="000000" w:themeColor="text1"/>
                <w:szCs w:val="21"/>
                <w:highlight w:val="none"/>
                <w:shd w:val="clear" w:color="auto" w:fill="auto"/>
                <w:lang w:eastAsia="zh"/>
                <w14:textFill>
                  <w14:solidFill>
                    <w14:schemeClr w14:val="tx1"/>
                  </w14:solidFill>
                </w14:textFill>
              </w:rPr>
              <w:t xml:space="preserve">定期</w:t>
            </w: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开展安全教育、</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培训</w:t>
            </w: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、应急演练</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w:t>
            </w: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如月度安全会议、</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新员工</w:t>
            </w: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三级教育</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、岗位安全培训、特种设备操作培训等。</w:t>
            </w:r>
            <w:r/>
          </w:p>
        </w:tc>
        <w:tc>
          <w:tcPr>
            <w:shd w:val="clear" w:color="auto" w:fill="auto"/>
            <w:tcW w:w="6483" w:type="dxa"/>
            <w:vAlign w:val="center"/>
            <w:textDirection w:val="lrTb"/>
            <w:noWrap/>
          </w:tcPr>
          <w:p>
            <w:pPr>
              <w:numPr>
                <w:ilvl w:val="0"/>
                <w:numId w:val="0"/>
              </w:numPr>
              <w:ind w:right="0"/>
              <w:jc w:val="left"/>
              <w:spacing w:before="19" w:line="240" w:lineRule="auto"/>
              <w:shd w:val="clear" w:color="auto"/>
              <w:widowControl/>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未满足扣2分；</w:t>
            </w:r>
            <w:r/>
          </w:p>
          <w:p>
            <w:p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CN" w:bidi="ar-SA"/>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记录不全、未及时更新扣1分。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19</w:t>
            </w:r>
            <w:r/>
          </w:p>
        </w:tc>
        <w:tc>
          <w:tcPr>
            <w:shd w:val="clear" w:color="auto" w:fill="auto"/>
            <w:tcW w:w="5155" w:type="dxa"/>
            <w:vAlign w:val="center"/>
            <w:textDirection w:val="lrTb"/>
            <w:noWrap w:val="false"/>
          </w:tcPr>
          <w:p>
            <w:p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 w:bidi="ar-SA"/>
                <w14:textFill>
                  <w14:solidFill>
                    <w14:schemeClr w14:val="tx1"/>
                  </w14:solidFill>
                </w14:textFill>
              </w:rPr>
            </w:pP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企业主要负责人每月开展一次安全生产</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检查</w:t>
            </w: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，安全负责人定期开展</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专项检查、</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节假日</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检查等，记录内容包括检查时间、检查人员、检查内容、发现的问题及整改情况等</w:t>
            </w:r>
            <w:r/>
          </w:p>
        </w:tc>
        <w:tc>
          <w:tcPr>
            <w:shd w:val="clear" w:color="auto" w:fill="auto"/>
            <w:tcW w:w="6483" w:type="dxa"/>
            <w:vAlign w:val="center"/>
            <w:textDirection w:val="lrTb"/>
            <w:noWrap/>
          </w:tcPr>
          <w:p>
            <w:pPr>
              <w:numPr>
                <w:ilvl w:val="0"/>
                <w:numId w:val="0"/>
              </w:numPr>
              <w:ind w:right="0"/>
              <w:jc w:val="left"/>
              <w:spacing w:before="19" w:line="240" w:lineRule="auto"/>
              <w:shd w:val="clear" w:color="auto"/>
              <w:widowControl/>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未开展检查扣3分；检查记录遗漏扣1分。</w:t>
            </w:r>
            <w:r/>
          </w:p>
          <w:p>
            <w:pPr>
              <w:numPr>
                <w:ilvl w:val="0"/>
                <w:numId w:val="0"/>
              </w:num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CN" w:bidi="ar-SA"/>
                <w14:textFill>
                  <w14:solidFill>
                    <w14:schemeClr w14:val="tx1"/>
                  </w14:solidFill>
                </w14:textFill>
              </w:rPr>
            </w:pPr>
            <w:r>
              <w:rPr>
                <w:rFonts w:hint="eastAsia" w:ascii="Arial" w:hAnsi="Arial" w:eastAsia="宋体" w:cs="Arial"/>
                <w:b w:val="0"/>
                <w:bCs/>
                <w:color w:val="000000" w:themeColor="text1"/>
                <w:sz w:val="21"/>
                <w:szCs w:val="21"/>
                <w:highlight w:val="none"/>
                <w:shd w:val="clear" w:color="auto" w:fill="auto"/>
                <w:lang w:val="en-US" w:eastAsia="zh-CN" w:bidi="ar-SA"/>
                <w14:textFill>
                  <w14:solidFill>
                    <w14:schemeClr w14:val="tx1"/>
                  </w14:solidFill>
                </w14:textFill>
              </w:rPr>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20</w:t>
            </w:r>
            <w:r/>
          </w:p>
        </w:tc>
        <w:tc>
          <w:tcPr>
            <w:shd w:val="clear" w:color="auto" w:fill="auto"/>
            <w:tcW w:w="5155" w:type="dxa"/>
            <w:vAlign w:val="center"/>
            <w:textDirection w:val="lrTb"/>
            <w:noWrap w:val="false"/>
          </w:tcPr>
          <w:p>
            <w:p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 w:bidi="ar-SA"/>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每年</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按规定计提</w:t>
            </w: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并使用</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安全生产</w:t>
            </w: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专项经费</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w:t>
            </w:r>
            <w:r/>
          </w:p>
        </w:tc>
        <w:tc>
          <w:tcPr>
            <w:shd w:val="clear" w:color="auto" w:fill="auto"/>
            <w:tcW w:w="6483" w:type="dxa"/>
            <w:vAlign w:val="center"/>
            <w:textDirection w:val="lrTb"/>
            <w:noWrap/>
          </w:tcPr>
          <w:p>
            <w:pPr>
              <w:numPr>
                <w:ilvl w:val="0"/>
                <w:numId w:val="0"/>
              </w:numPr>
              <w:ind w:right="0"/>
              <w:jc w:val="left"/>
              <w:spacing w:before="19" w:line="240" w:lineRule="auto"/>
              <w:shd w:val="clear" w:color="auto"/>
              <w:widowControl/>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未满足扣5分；不规范使用</w:t>
            </w: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经费</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一项扣2分</w:t>
            </w:r>
            <w:r/>
          </w:p>
          <w:p>
            <w:pPr>
              <w:numPr>
                <w:ilvl w:val="0"/>
                <w:numId w:val="0"/>
              </w:num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CN" w:bidi="ar-SA"/>
                <w14:textFill>
                  <w14:solidFill>
                    <w14:schemeClr w14:val="tx1"/>
                  </w14:solidFill>
                </w14:textFill>
              </w:rPr>
            </w:pPr>
            <w:r>
              <w:rPr>
                <w:rFonts w:hint="eastAsia" w:ascii="Arial" w:hAnsi="Arial" w:eastAsia="宋体" w:cs="Arial"/>
                <w:b w:val="0"/>
                <w:bCs/>
                <w:color w:val="000000" w:themeColor="text1"/>
                <w:sz w:val="21"/>
                <w:szCs w:val="21"/>
                <w:highlight w:val="none"/>
                <w:shd w:val="clear" w:color="auto" w:fill="auto"/>
                <w:lang w:val="en-US" w:eastAsia="zh-CN" w:bidi="ar-SA"/>
                <w14:textFill>
                  <w14:solidFill>
                    <w14:schemeClr w14:val="tx1"/>
                  </w14:solidFill>
                </w14:textFill>
              </w:rPr>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21</w:t>
            </w:r>
            <w:r/>
          </w:p>
        </w:tc>
        <w:tc>
          <w:tcPr>
            <w:shd w:val="clear" w:color="auto" w:fill="auto"/>
            <w:tcW w:w="5155" w:type="dxa"/>
            <w:vAlign w:val="center"/>
            <w:textDirection w:val="lrTb"/>
            <w:noWrap w:val="false"/>
          </w:tcPr>
          <w:p>
            <w:p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 w:bidi="ar-SA"/>
                <w14:textFill>
                  <w14:solidFill>
                    <w14:schemeClr w14:val="tx1"/>
                  </w14:solidFill>
                </w14:textFill>
              </w:rPr>
            </w:pP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按规定配备足够的安全员(</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人数少于30</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名员工至少1名安全员</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，人数30到100名员工的</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至少</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2</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名安全员</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，人数100到300名员工的</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至少</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3</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名安全员</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w:t>
            </w:r>
            <w:r/>
          </w:p>
        </w:tc>
        <w:tc>
          <w:tcPr>
            <w:shd w:val="clear" w:color="auto" w:fill="auto"/>
            <w:tcW w:w="6483" w:type="dxa"/>
            <w:vAlign w:val="center"/>
            <w:textDirection w:val="lrTb"/>
            <w:noWrap/>
          </w:tcPr>
          <w:p>
            <w:p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CN" w:bidi="ar-SA"/>
                <w14:textFill>
                  <w14:solidFill>
                    <w14:schemeClr w14:val="tx1"/>
                  </w14:solidFill>
                </w14:textFill>
              </w:rPr>
            </w:pP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每缺少一名安全员，扣</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3</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分</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22</w:t>
            </w:r>
            <w:r/>
          </w:p>
        </w:tc>
        <w:tc>
          <w:tcPr>
            <w:shd w:val="clear" w:color="auto" w:fill="auto"/>
            <w:tcW w:w="5155" w:type="dxa"/>
            <w:vAlign w:val="center"/>
            <w:textDirection w:val="lrTb"/>
            <w:noWrap w:val="false"/>
          </w:tcPr>
          <w:p>
            <w:p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 w:bidi="ar-SA"/>
                <w14:textFill>
                  <w14:solidFill>
                    <w14:schemeClr w14:val="tx1"/>
                  </w14:solidFill>
                </w14:textFill>
              </w:rPr>
            </w:pP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特种作业人员需持有有效特种作业操作证上岗，开展特种作业前，养护单位需严格履行企业内部报批手续</w:t>
            </w:r>
            <w:r>
              <w:rPr>
                <w:rFonts w:hint="eastAsia" w:cs="Arial"/>
                <w:b w:val="0"/>
                <w:bCs/>
                <w:color w:val="000000" w:themeColor="text1"/>
                <w:szCs w:val="21"/>
                <w:highlight w:val="none"/>
                <w:shd w:val="clear" w:color="auto" w:fill="auto"/>
                <w:lang w:val="en-US" w:eastAsia="zh-CN"/>
                <w14:textFill>
                  <w14:solidFill>
                    <w14:schemeClr w14:val="tx1"/>
                  </w14:solidFill>
                </w14:textFill>
              </w:rPr>
              <w:t xml:space="preserve">。</w:t>
            </w:r>
            <w:r/>
          </w:p>
        </w:tc>
        <w:tc>
          <w:tcPr>
            <w:shd w:val="clear" w:color="auto" w:fill="auto"/>
            <w:tcW w:w="6483" w:type="dxa"/>
            <w:vAlign w:val="center"/>
            <w:textDirection w:val="lrTb"/>
            <w:noWrap/>
          </w:tcPr>
          <w:p>
            <w:p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CN" w:bidi="ar-SA"/>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未满足一项扣3分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tcW w:w="941" w:type="dxa"/>
            <w:vAlign w:val="center"/>
            <w:textDirection w:val="lrTb"/>
            <w:noWrap/>
          </w:tcPr>
          <w:p>
            <w:pPr>
              <w:jc w:val="center"/>
              <w:shd w:val="clear" w:color="auto"/>
              <w:rPr>
                <w:rFonts w:hint="default" w:cs="Calibri"/>
                <w:b/>
                <w:bCs/>
                <w:color w:val="000000" w:themeColor="text1"/>
                <w:szCs w:val="21"/>
                <w:highlight w:val="none"/>
                <w:lang w:val="en-US" w:eastAsia="zh-CN"/>
                <w14:textFill>
                  <w14:solidFill>
                    <w14:schemeClr w14:val="tx1"/>
                  </w14:solidFill>
                </w14:textFill>
              </w:rPr>
            </w:pPr>
            <w:r>
              <w:rPr>
                <w:rFonts w:hint="eastAsia" w:cs="Calibri"/>
                <w:b/>
                <w:bCs/>
                <w:color w:val="000000" w:themeColor="text1"/>
                <w:szCs w:val="21"/>
                <w:highlight w:val="none"/>
                <w:lang w:val="en-US" w:eastAsia="zh-CN"/>
                <w14:textFill>
                  <w14:solidFill>
                    <w14:schemeClr w14:val="tx1"/>
                  </w14:solidFill>
                </w14:textFill>
              </w:rPr>
              <w:t xml:space="preserve">23</w:t>
            </w:r>
            <w:r/>
          </w:p>
        </w:tc>
        <w:tc>
          <w:tcPr>
            <w:shd w:val="clear" w:color="auto" w:fill="auto"/>
            <w:tcW w:w="5155" w:type="dxa"/>
            <w:vAlign w:val="center"/>
            <w:textDirection w:val="lrTb"/>
            <w:noWrap w:val="false"/>
          </w:tcPr>
          <w:p>
            <w:p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 w:bidi="ar-SA"/>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配备合规足量的消防器具</w:t>
            </w:r>
            <w:r/>
          </w:p>
        </w:tc>
        <w:tc>
          <w:tcPr>
            <w:shd w:val="clear" w:color="auto" w:fill="auto"/>
            <w:tcW w:w="6483" w:type="dxa"/>
            <w:vAlign w:val="center"/>
            <w:textDirection w:val="lrTb"/>
            <w:noWrap/>
          </w:tcPr>
          <w:p>
            <w:pPr>
              <w:ind w:left="0" w:right="0" w:firstLine="0"/>
              <w:jc w:val="left"/>
              <w:spacing w:before="19" w:line="240" w:lineRule="auto"/>
              <w:shd w:val="clear" w:color="auto"/>
              <w:widowControl/>
              <w:rPr>
                <w:rFonts w:hint="eastAsia" w:ascii="Arial" w:hAnsi="Arial" w:eastAsia="宋体" w:cs="Arial"/>
                <w:b w:val="0"/>
                <w:bCs/>
                <w:color w:val="000000" w:themeColor="text1"/>
                <w:sz w:val="21"/>
                <w:szCs w:val="21"/>
                <w:highlight w:val="none"/>
                <w:shd w:val="clear" w:color="auto" w:fill="auto"/>
                <w:lang w:val="en-US" w:eastAsia="zh-CN" w:bidi="ar-SA"/>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未满足一项扣2分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14"/>
        </w:trPr>
        <w:tc>
          <w:tcPr>
            <w:gridSpan w:val="4"/>
            <w:tcW w:w="14179" w:type="dxa"/>
            <w:vAlign w:val="center"/>
            <w:textDirection w:val="lrTb"/>
            <w:noWrap/>
          </w:tcPr>
          <w:p>
            <w:pPr>
              <w:jc w:val="center"/>
              <w:shd w:val="clear" w:color="auto"/>
              <w:rPr>
                <w:rFonts w:hint="eastAsia" w:cs="Calibri"/>
                <w:color w:val="000000" w:themeColor="text1"/>
                <w:szCs w:val="21"/>
                <w:highlight w:val="none"/>
                <w:lang w:val="en-US" w:eastAsia="zh-CN"/>
                <w14:textFill>
                  <w14:solidFill>
                    <w14:schemeClr w14:val="tx1"/>
                  </w14:solidFill>
                </w14:textFill>
              </w:rPr>
            </w:pPr>
            <w:r>
              <w:rPr>
                <w:rFonts w:hint="eastAsia" w:ascii="Calibri" w:hAnsi="Calibri" w:eastAsia="宋体" w:cs="宋体"/>
                <w:b/>
                <w:bCs/>
                <w:color w:val="000000" w:themeColor="text1"/>
                <w:highlight w:val="none"/>
                <w:lang w:val="en-US" w:eastAsia="zh-CN"/>
                <w14:textFill>
                  <w14:solidFill>
                    <w14:schemeClr w14:val="tx1"/>
                  </w14:solidFill>
                </w14:textFill>
              </w:rPr>
              <w:t xml:space="preserve">加分项</w:t>
            </w:r>
            <w:r/>
          </w:p>
        </w:tc>
      </w:tr>
      <w:tr>
        <w:trPr>
          <w:trHeight w:val="2045"/>
        </w:trPr>
        <w:tc>
          <w:tcPr>
            <w:shd w:val="clear" w:color="auto" w:fill="auto"/>
            <w:tcW w:w="941" w:type="dxa"/>
            <w:vAlign w:val="center"/>
            <w:textDirection w:val="lrTb"/>
            <w:noWrap/>
          </w:tcPr>
          <w:p>
            <w:pPr>
              <w:jc w:val="center"/>
              <w:shd w:val="clear" w:color="auto"/>
              <w:rPr>
                <w:rFonts w:hint="eastAsia" w:eastAsia="宋体"/>
                <w:b/>
                <w:bCs/>
                <w:color w:val="000000" w:themeColor="text1"/>
                <w:sz w:val="21"/>
                <w:highlight w:val="none"/>
                <w:lang w:val="en-US" w:eastAsia="zh-CN" w:bidi="ar-SA"/>
                <w14:textFill>
                  <w14:solidFill>
                    <w14:schemeClr w14:val="tx1"/>
                  </w14:solidFill>
                </w14:textFill>
              </w:rPr>
            </w:pPr>
            <w:r>
              <w:rPr>
                <w:rFonts w:hint="eastAsia" w:eastAsia="宋体"/>
                <w:b/>
                <w:bCs/>
                <w:color w:val="000000" w:themeColor="text1"/>
                <w:highlight w:val="none"/>
                <w:lang w:val="en-US" w:eastAsia="zh-CN"/>
                <w14:textFill>
                  <w14:solidFill>
                    <w14:schemeClr w14:val="tx1"/>
                  </w14:solidFill>
                </w14:textFill>
              </w:rPr>
              <w:t xml:space="preserve">1</w:t>
            </w:r>
            <w:r/>
          </w:p>
        </w:tc>
        <w:tc>
          <w:tcPr>
            <w:shd w:val="clear" w:color="auto" w:fill="auto"/>
            <w:tcW w:w="5155" w:type="dxa"/>
            <w:vAlign w:val="center"/>
            <w:textDirection w:val="lrTb"/>
            <w:noWrap w:val="false"/>
          </w:tcPr>
          <w:p>
            <w:pPr>
              <w:jc w:val="left"/>
              <w:shd w:val="clear" w:color="auto"/>
              <w:rPr>
                <w:rFonts w:hint="default" w:eastAsia="宋体"/>
                <w:color w:val="000000" w:themeColor="text1"/>
                <w:sz w:val="21"/>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区属城市道路设施管理养护质量验收合格</w:t>
            </w:r>
            <w:r/>
          </w:p>
        </w:tc>
        <w:tc>
          <w:tcPr>
            <w:shd w:val="clear" w:color="auto" w:fill="auto"/>
            <w:tcW w:w="6483" w:type="dxa"/>
            <w:vAlign w:val="center"/>
            <w:textDirection w:val="lrTb"/>
            <w:noWrap/>
          </w:tcPr>
          <w:p>
            <w:pPr>
              <w:jc w:val="left"/>
              <w:shd w:val="clear" w:color="auto"/>
              <w:rPr>
                <w:rFonts w:hint="default"/>
                <w:color w:val="000000" w:themeColor="text1"/>
                <w:sz w:val="21"/>
                <w:highlight w:val="none"/>
                <w:lang w:val="en-US" w:eastAsia="zh-CN" w:bidi="ar-SA"/>
                <w14:textFill>
                  <w14:solidFill>
                    <w14:schemeClr w14:val="tx1"/>
                  </w14:solidFill>
                </w14:textFill>
              </w:rPr>
            </w:pPr>
            <w:r>
              <w:rPr>
                <w:rFonts w:hint="eastAsia"/>
                <w:color w:val="000000" w:themeColor="text1"/>
                <w:sz w:val="21"/>
                <w:highlight w:val="none"/>
                <w:lang w:val="en-US" w:eastAsia="zh-CN" w:bidi="ar-SA"/>
                <w14:textFill>
                  <w14:solidFill>
                    <w14:schemeClr w14:val="tx1"/>
                  </w14:solidFill>
                </w14:textFill>
              </w:rPr>
              <w:t xml:space="preserve">日常养护验收合格，存在养护合同关系的养护单位，当年扣减的维护经费返还5%</w:t>
            </w:r>
            <w:r/>
          </w:p>
          <w:p>
            <w:pPr>
              <w:jc w:val="left"/>
              <w:shd w:val="clear" w:color="auto"/>
              <w:rPr>
                <w:rFonts w:hint="eastAsia"/>
                <w:color w:val="000000" w:themeColor="text1"/>
                <w:sz w:val="21"/>
                <w:highlight w:val="none"/>
                <w:lang w:val="en-US" w:eastAsia="zh-CN" w:bidi="ar-SA"/>
                <w14:textFill>
                  <w14:solidFill>
                    <w14:schemeClr w14:val="tx1"/>
                  </w14:solidFill>
                </w14:textFill>
              </w:rPr>
            </w:pPr>
            <w:r>
              <w:rPr>
                <w:rFonts w:hint="eastAsia"/>
                <w:color w:val="000000" w:themeColor="text1"/>
                <w:sz w:val="21"/>
                <w:highlight w:val="none"/>
                <w:lang w:val="en-US" w:eastAsia="zh-CN" w:bidi="ar-SA"/>
                <w14:textFill>
                  <w14:solidFill>
                    <w14:schemeClr w14:val="tx1"/>
                  </w14:solidFill>
                </w14:textFill>
              </w:rPr>
              <w:t xml:space="preserve">设施状况验收合格，存在养护合同关系的养护单位，当年扣减的维护经费返还5%</w:t>
            </w:r>
            <w:r/>
          </w:p>
          <w:p>
            <w:pPr>
              <w:jc w:val="left"/>
              <w:shd w:val="clear" w:color="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专项任务验收合格，</w:t>
            </w:r>
            <w:r>
              <w:rPr>
                <w:rFonts w:hint="eastAsia"/>
                <w:color w:val="000000" w:themeColor="text1"/>
                <w:sz w:val="21"/>
                <w:highlight w:val="none"/>
                <w:lang w:val="en-US" w:eastAsia="zh-CN" w:bidi="ar-SA"/>
                <w14:textFill>
                  <w14:solidFill>
                    <w14:schemeClr w14:val="tx1"/>
                  </w14:solidFill>
                </w14:textFill>
              </w:rPr>
              <w:t xml:space="preserve">参与专项任务实施的养护单位，每项专项任务合格，当年扣减的维护经费返还5%</w:t>
            </w:r>
            <w:r/>
          </w:p>
        </w:tc>
        <w:tc>
          <w:tcPr>
            <w:tcW w:w="1600" w:type="dxa"/>
            <w:vAlign w:val="center"/>
            <w:textDirection w:val="lrTb"/>
            <w:noWrap/>
          </w:tcPr>
          <w:p>
            <w:pPr>
              <w:jc w:val="center"/>
              <w:shd w:val="clear" w:color="auto"/>
              <w:rPr>
                <w:rFonts w:hint="eastAsia" w:eastAsia="宋体" w:cs="Calibri"/>
                <w:color w:val="000000" w:themeColor="text1"/>
                <w:szCs w:val="21"/>
                <w:highlight w:val="none"/>
                <w:lang w:eastAsia="zh-CN"/>
                <w14:textFill>
                  <w14:solidFill>
                    <w14:schemeClr w14:val="tx1"/>
                  </w14:solidFill>
                </w14:textFill>
              </w:rPr>
            </w:pPr>
            <w:r>
              <w:rPr>
                <w:rFonts w:hint="eastAsia" w:eastAsia="宋体" w:cs="Calibri"/>
                <w:color w:val="000000" w:themeColor="text1"/>
                <w:szCs w:val="21"/>
                <w:highlight w:val="none"/>
                <w:lang w:eastAsia="zh-CN"/>
                <w14:textFill>
                  <w14:solidFill>
                    <w14:schemeClr w14:val="tx1"/>
                  </w14:solidFill>
                </w14:textFill>
              </w:rPr>
            </w:r>
            <w:r/>
          </w:p>
        </w:tc>
      </w:tr>
      <w:tr>
        <w:trPr>
          <w:trHeight w:val="690"/>
        </w:trPr>
        <w:tc>
          <w:tcPr>
            <w:shd w:val="clear" w:color="auto" w:fill="auto"/>
            <w:tcW w:w="941" w:type="dxa"/>
            <w:vAlign w:val="center"/>
            <w:textDirection w:val="lrTb"/>
            <w:noWrap/>
          </w:tcPr>
          <w:p>
            <w:pPr>
              <w:jc w:val="center"/>
              <w:shd w:val="clear" w:color="auto"/>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2</w:t>
            </w:r>
            <w:r/>
          </w:p>
        </w:tc>
        <w:tc>
          <w:tcPr>
            <w:shd w:val="clear" w:color="auto" w:fill="auto"/>
            <w:tcW w:w="5155" w:type="dxa"/>
            <w:vAlign w:val="center"/>
            <w:textDirection w:val="lrTb"/>
            <w:noWrap w:val="false"/>
          </w:tcPr>
          <w:p>
            <w:pPr>
              <w:jc w:val="left"/>
              <w:shd w:val="clear" w:color="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养护单位自行拟写并被市级纸媒采用与工作相关的宣传报道</w:t>
            </w:r>
            <w:r/>
          </w:p>
        </w:tc>
        <w:tc>
          <w:tcPr>
            <w:shd w:val="clear" w:color="auto" w:fill="auto"/>
            <w:tcW w:w="6483" w:type="dxa"/>
            <w:vAlign w:val="center"/>
            <w:textDirection w:val="lrTb"/>
            <w:noWrap/>
          </w:tcPr>
          <w:p>
            <w:pPr>
              <w:jc w:val="left"/>
              <w:shd w:val="clear" w:color="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每篇加1分，每月不超过两分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r>
        <w:trPr>
          <w:trHeight w:val="690"/>
        </w:trPr>
        <w:tc>
          <w:tcPr>
            <w:shd w:val="clear" w:color="auto" w:fill="auto"/>
            <w:tcW w:w="941" w:type="dxa"/>
            <w:vAlign w:val="center"/>
            <w:textDirection w:val="lrTb"/>
            <w:noWrap/>
          </w:tcPr>
          <w:p>
            <w:pPr>
              <w:jc w:val="center"/>
              <w:shd w:val="clear" w:color="auto"/>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3</w:t>
            </w:r>
            <w:r/>
          </w:p>
        </w:tc>
        <w:tc>
          <w:tcPr>
            <w:shd w:val="clear" w:color="auto" w:fill="auto"/>
            <w:tcW w:w="5155" w:type="dxa"/>
            <w:vAlign w:val="center"/>
            <w:textDirection w:val="lrTb"/>
            <w:noWrap w:val="false"/>
          </w:tcPr>
          <w:p>
            <w:pPr>
              <w:jc w:val="left"/>
              <w:shd w:val="clear" w:color="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月度重点维护道路工作中，在各养护单位中排名第一</w:t>
            </w:r>
            <w:r/>
          </w:p>
        </w:tc>
        <w:tc>
          <w:tcPr>
            <w:shd w:val="clear" w:color="auto" w:fill="auto"/>
            <w:tcW w:w="6483" w:type="dxa"/>
            <w:vAlign w:val="center"/>
            <w:textDirection w:val="lrTb"/>
            <w:noWrap/>
          </w:tcPr>
          <w:p>
            <w:pPr>
              <w:jc w:val="left"/>
              <w:shd w:val="clear" w:color="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当月管理考核加3分</w:t>
            </w:r>
            <w:r/>
          </w:p>
        </w:tc>
        <w:tc>
          <w:tcPr>
            <w:tcW w:w="1600" w:type="dxa"/>
            <w:vAlign w:val="center"/>
            <w:textDirection w:val="lrTb"/>
            <w:noWrap/>
          </w:tcPr>
          <w:p>
            <w:pPr>
              <w:jc w:val="center"/>
              <w:shd w:val="clear" w:color="auto"/>
              <w:rPr>
                <w:rFonts w:cs="Calibri"/>
                <w:color w:val="000000" w:themeColor="text1"/>
                <w:szCs w:val="21"/>
                <w:highlight w:val="none"/>
                <w14:textFill>
                  <w14:solidFill>
                    <w14:schemeClr w14:val="tx1"/>
                  </w14:solidFill>
                </w14:textFill>
              </w:rPr>
            </w:pPr>
            <w:r>
              <w:rPr>
                <w:rFonts w:cs="Calibri"/>
                <w:color w:val="000000" w:themeColor="text1"/>
                <w:szCs w:val="21"/>
                <w:highlight w:val="none"/>
                <w14:textFill>
                  <w14:solidFill>
                    <w14:schemeClr w14:val="tx1"/>
                  </w14:solidFill>
                </w14:textFill>
              </w:rPr>
            </w:r>
            <w:r/>
          </w:p>
        </w:tc>
      </w:tr>
    </w:tbl>
    <w:p>
      <w:pPr>
        <w:ind w:left="529"/>
        <w:jc w:val="center"/>
        <w:shd w:val="clear" w:color="auto"/>
        <w:rPr>
          <w:rFonts w:ascii="仿宋" w:hAnsi="仿宋" w:eastAsia="仿宋" w:cs="??_GB2312"/>
          <w:color w:val="000000" w:themeColor="text1"/>
          <w:sz w:val="28"/>
          <w:szCs w:val="28"/>
          <w:highlight w:val="none"/>
          <w14:textFill>
            <w14:solidFill>
              <w14:schemeClr w14:val="tx1"/>
            </w14:solidFill>
          </w14:textFill>
        </w:rPr>
      </w:pPr>
      <w:r>
        <w:rPr>
          <w:rFonts w:ascii="仿宋" w:hAnsi="仿宋" w:eastAsia="仿宋" w:cs="??_GB2312"/>
          <w:color w:val="000000" w:themeColor="text1"/>
          <w:sz w:val="28"/>
          <w:szCs w:val="28"/>
          <w:highlight w:val="none"/>
          <w14:textFill>
            <w14:solidFill>
              <w14:schemeClr w14:val="tx1"/>
            </w14:solidFill>
          </w14:textFill>
        </w:rPr>
      </w:r>
      <w:r/>
    </w:p>
    <w:p>
      <w:pPr>
        <w:ind w:left="529"/>
        <w:jc w:val="both"/>
        <w:shd w:val="clear" w:color="auto"/>
        <w:rPr>
          <w:color w:val="000000" w:themeColor="text1"/>
          <w:highlight w:val="none"/>
          <w14:textFill>
            <w14:solidFill>
              <w14:schemeClr w14:val="tx1"/>
            </w14:solidFill>
          </w14:textFill>
        </w:rPr>
        <w:sectPr>
          <w:footnotePr/>
          <w:endnotePr/>
          <w:type w:val="nextPage"/>
          <w:pgSz w:w="16838" w:h="11906" w:orient="landscape"/>
          <w:pgMar w:top="1474" w:right="2154" w:bottom="1361" w:left="2041" w:header="851" w:footer="794" w:gutter="0"/>
          <w:cols w:num="1" w:sep="0" w:space="720" w:equalWidth="1"/>
          <w:docGrid w:linePitch="360"/>
        </w:sectPr>
      </w:pPr>
      <w:r>
        <w:rPr>
          <w:color w:val="000000" w:themeColor="text1"/>
          <w:highlight w:val="none"/>
          <w14:textFill>
            <w14:solidFill>
              <w14:schemeClr w14:val="tx1"/>
            </w14:solidFill>
          </w14:textFill>
        </w:rPr>
      </w:r>
      <w:r/>
    </w:p>
    <w:p>
      <w:pPr>
        <w:spacing w:before="20"/>
        <w:shd w:val="clear" w:color="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2：</w:t>
      </w:r>
      <w:r/>
    </w:p>
    <w:p>
      <w:pPr>
        <w:jc w:val="center"/>
        <w:keepLines w:val="0"/>
        <w:keepNext w:val="0"/>
        <w:pageBreakBefore w:val="0"/>
        <w:shd w:val="clear" w:color="auto"/>
        <w:widowControl w:val="off"/>
        <w:rPr>
          <w:rFonts w:hint="eastAsia" w:ascii="方正小标宋简体" w:hAnsi="方正小标宋简体" w:eastAsia="方正小标宋简体" w:cs="方正小标宋简体"/>
          <w:b/>
          <w:bCs/>
          <w:color w:val="000000" w:themeColor="text1"/>
          <w:sz w:val="44"/>
          <w:szCs w:val="44"/>
          <w:highlight w:val="none"/>
          <w:lang w:eastAsia="zh-CN"/>
          <w14:textFill>
            <w14:solidFill>
              <w14:schemeClr w14:val="tx1"/>
            </w14:solidFill>
          </w14:textFill>
        </w:rPr>
      </w:pPr>
      <w:r>
        <w:rPr>
          <w:rFonts w:hint="eastAsia" w:ascii="方正小标宋简体" w:hAnsi="方正小标宋简体" w:eastAsia="方正小标宋简体" w:cs="方正小标宋简体"/>
          <w:b/>
          <w:bCs/>
          <w:color w:val="000000" w:themeColor="text1"/>
          <w:sz w:val="44"/>
          <w:szCs w:val="44"/>
          <w:highlight w:val="none"/>
          <w:lang w:val="en-US" w:eastAsia="zh-CN"/>
          <w14:textFill>
            <w14:solidFill>
              <w14:schemeClr w14:val="tx1"/>
            </w14:solidFill>
          </w14:textFill>
        </w:rPr>
        <w:t xml:space="preserve">南京市</w:t>
      </w:r>
      <w:r>
        <w:rPr>
          <w:rFonts w:hint="eastAsia" w:ascii="方正小标宋简体" w:hAnsi="方正小标宋简体" w:eastAsia="方正小标宋简体" w:cs="方正小标宋简体"/>
          <w:b/>
          <w:bCs/>
          <w:color w:val="000000" w:themeColor="text1"/>
          <w:sz w:val="44"/>
          <w:szCs w:val="44"/>
          <w:highlight w:val="none"/>
          <w14:textFill>
            <w14:solidFill>
              <w14:schemeClr w14:val="tx1"/>
            </w14:solidFill>
          </w14:textFill>
        </w:rPr>
        <w:t xml:space="preserve">栖霞区</w:t>
      </w:r>
      <w:r>
        <w:rPr>
          <w:rFonts w:hint="eastAsia" w:ascii="方正小标宋简体" w:hAnsi="方正小标宋简体" w:eastAsia="方正小标宋简体" w:cs="方正小标宋简体"/>
          <w:b/>
          <w:bCs/>
          <w:color w:val="000000" w:themeColor="text1"/>
          <w:sz w:val="44"/>
          <w:szCs w:val="44"/>
          <w:highlight w:val="none"/>
          <w:lang w:eastAsia="zh-CN"/>
          <w14:textFill>
            <w14:solidFill>
              <w14:schemeClr w14:val="tx1"/>
            </w14:solidFill>
          </w14:textFill>
        </w:rPr>
        <w:t xml:space="preserve">市政设施综合养护管理所</w:t>
      </w:r>
      <w:r/>
    </w:p>
    <w:p>
      <w:pPr>
        <w:jc w:val="center"/>
        <w:keepLines w:val="0"/>
        <w:keepNext w:val="0"/>
        <w:pageBreakBefore w:val="0"/>
        <w:shd w:val="clear" w:color="auto"/>
        <w:widowControl w:val="off"/>
        <w:rPr>
          <w:rFonts w:hint="eastAsia" w:ascii="方正小标宋简体" w:hAnsi="方正小标宋简体" w:eastAsia="方正小标宋简体" w:cs="方正小标宋简体"/>
          <w:b/>
          <w:bCs/>
          <w:color w:val="000000" w:themeColor="text1"/>
          <w:sz w:val="32"/>
          <w:szCs w:val="32"/>
          <w:highlight w:val="none"/>
          <w:lang w:eastAsia="zh-CN"/>
          <w14:textFill>
            <w14:solidFill>
              <w14:schemeClr w14:val="tx1"/>
            </w14:solidFill>
          </w14:textFill>
        </w:rPr>
      </w:pPr>
      <w:r>
        <w:rPr>
          <w:rFonts w:hint="eastAsia" w:ascii="方正小标宋简体" w:hAnsi="方正小标宋简体" w:eastAsia="方正小标宋简体" w:cs="方正小标宋简体"/>
          <w:b/>
          <w:bCs/>
          <w:color w:val="000000" w:themeColor="text1"/>
          <w:sz w:val="44"/>
          <w:szCs w:val="44"/>
          <w:highlight w:val="none"/>
          <w14:textFill>
            <w14:solidFill>
              <w14:schemeClr w14:val="tx1"/>
            </w14:solidFill>
          </w14:textFill>
        </w:rPr>
        <w:t xml:space="preserve">绿化养护管理考核办法</w:t>
      </w:r>
      <w:r/>
    </w:p>
    <w:p>
      <w:pPr>
        <w:ind w:firstLine="560"/>
        <w:shd w:val="clear" w:color="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为切实加强我区绿化设施养护管理考核工作，全面提高绿化设施养护管理精细化、规范化、长效化水平，根据市园林局相关考核</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办法</w:t>
      </w:r>
      <w:r>
        <w:rPr>
          <w:rFonts w:hint="eastAsia" w:ascii="仿宋" w:hAnsi="仿宋" w:eastAsia="仿宋" w:cs="仿宋"/>
          <w:color w:val="000000" w:themeColor="text1"/>
          <w:sz w:val="28"/>
          <w:szCs w:val="28"/>
          <w:highlight w:val="none"/>
          <w14:textFill>
            <w14:solidFill>
              <w14:schemeClr w14:val="tx1"/>
            </w14:solidFill>
          </w14:textFill>
        </w:rPr>
        <w:t xml:space="preserve">，结合我区绿化设施养护的实际情况，制定本考核办法。</w:t>
      </w:r>
      <w:r/>
    </w:p>
    <w:p>
      <w:pPr>
        <w:numPr>
          <w:ilvl w:val="0"/>
          <w:numId w:val="3"/>
        </w:numPr>
        <w:ind w:firstLine="562"/>
        <w:shd w:val="clear" w:color="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考核对象</w:t>
      </w:r>
      <w:r/>
    </w:p>
    <w:p>
      <w:pPr>
        <w:ind w:firstLine="640"/>
        <w:shd w:val="clear" w:color="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区市政综合所管理的各绿化设施维护单位。</w:t>
      </w:r>
      <w:r/>
    </w:p>
    <w:p>
      <w:pPr>
        <w:ind w:firstLine="640"/>
        <w:shd w:val="clear" w:color="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二、考核内容 </w:t>
      </w:r>
      <w:r/>
    </w:p>
    <w:p>
      <w:pPr>
        <w:ind w:firstLine="640"/>
        <w:shd w:val="clear" w:color="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各养护单位养护范围内绿化设施的养护情况。</w:t>
      </w:r>
      <w:r/>
    </w:p>
    <w:p>
      <w:pPr>
        <w:ind w:firstLine="640"/>
        <w:shd w:val="clear" w:color="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三、考核依据 </w:t>
      </w:r>
      <w:r/>
    </w:p>
    <w:p>
      <w:pPr>
        <w:ind w:firstLine="560"/>
        <w:shd w:val="clear" w:color="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考核依据：《南京市城市园林绿化养护管理检查考核细则》、《南京市城市园林绿化养护管理绩效考核办法》、《南京市城市绿化养护质量等级标准》、《南京市城市绿化养护技术规程》、《栖霞区绿化养护管理考核办法》、《栖霞区绿化养护管理日常考核评分细则》</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《江苏省安全生产条例》，《江苏省消防条例》</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、《市政养护企业安全生产考核评分细则》</w:t>
      </w:r>
      <w:r>
        <w:rPr>
          <w:rFonts w:hint="eastAsia" w:ascii="仿宋" w:hAnsi="仿宋" w:eastAsia="仿宋" w:cs="仿宋"/>
          <w:color w:val="000000" w:themeColor="text1"/>
          <w:sz w:val="28"/>
          <w:szCs w:val="28"/>
          <w:highlight w:val="none"/>
          <w14:textFill>
            <w14:solidFill>
              <w14:schemeClr w14:val="tx1"/>
            </w14:solidFill>
          </w14:textFill>
        </w:rPr>
        <w:t xml:space="preserve">及主管部门制定的各类绿化养护考核标准。相关规范被调整的，按调整后的规范执行。</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b/>
          <w:bCs/>
          <w:color w:val="000000" w:themeColor="text1"/>
          <w:sz w:val="28"/>
          <w:szCs w:val="28"/>
          <w:highlight w:val="none"/>
          <w14:textFill>
            <w14:solidFill>
              <w14:schemeClr w14:val="tx1"/>
            </w14:solidFill>
          </w14:textFill>
        </w:rPr>
        <w:t xml:space="preserve">四、考核方式</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采取日常考核、月度明查考核和专项考核相结合的方式。</w:t>
      </w:r>
      <w:r/>
    </w:p>
    <w:p>
      <w:pPr>
        <w:ind w:firstLine="562"/>
        <w:shd w:val="clear" w:color="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1、日常考核</w:t>
      </w:r>
      <w:r/>
    </w:p>
    <w:p>
      <w:pPr>
        <w:ind w:firstLine="560"/>
        <w:shd w:val="clear" w:color="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区市政综合所采取日常巡查的方式，每月对辖区范围内道路绿化、游园绿地、市民广场的绿化养护、卫生保洁、设施维护、秩序维护及工作台账等对照《栖霞区绿化养护管理日常考核评分细则》考核，对设施存在问题纳入当月考核结果评分。对于巡查中发现的问题，向养护公司发出工作督查单，公司须在规定时间完成整改</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，检查问题直接纳入当月考核扣分。</w:t>
      </w:r>
      <w:r/>
    </w:p>
    <w:p>
      <w:pPr>
        <w:ind w:firstLine="562"/>
        <w:shd w:val="clear" w:color="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2、月度考核</w:t>
      </w:r>
      <w:r/>
    </w:p>
    <w:p>
      <w:pPr>
        <w:ind w:firstLine="560"/>
        <w:shd w:val="clear" w:color="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区市政综合所根据计划安排，每月组织</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由</w:t>
      </w:r>
      <w:r>
        <w:rPr>
          <w:rFonts w:hint="eastAsia" w:ascii="仿宋" w:hAnsi="仿宋" w:eastAsia="仿宋" w:cs="仿宋"/>
          <w:color w:val="000000" w:themeColor="text1"/>
          <w:sz w:val="28"/>
          <w:szCs w:val="28"/>
          <w:highlight w:val="none"/>
          <w14:textFill>
            <w14:solidFill>
              <w14:schemeClr w14:val="tx1"/>
            </w14:solidFill>
          </w14:textFill>
        </w:rPr>
        <w:t xml:space="preserve">绿化养护单位参加的，对养护公司养护的绿化设施进行的考核。考核采取区市政综合所和设施养护单位各指定1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2条道路，并对养护范围内的广场游园随机抽查的方式，检查全部采取现场步查，对检查中发现的问题确认并按标准打分。</w:t>
      </w:r>
      <w:r/>
    </w:p>
    <w:p>
      <w:pPr>
        <w:ind w:firstLine="562"/>
        <w:shd w:val="clear" w:color="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3、专项考核</w:t>
      </w:r>
      <w:r/>
    </w:p>
    <w:p>
      <w:pPr>
        <w:ind w:firstLine="560"/>
        <w:shd w:val="clear" w:color="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区市政综合所将结合重点工作、重大活动保障、创建迎查活动</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、当年专项提升改造项目精细化养护情况</w:t>
      </w:r>
      <w:r>
        <w:rPr>
          <w:rFonts w:hint="eastAsia" w:ascii="仿宋" w:hAnsi="仿宋" w:eastAsia="仿宋" w:cs="仿宋"/>
          <w:color w:val="000000" w:themeColor="text1"/>
          <w:sz w:val="28"/>
          <w:szCs w:val="28"/>
          <w:highlight w:val="none"/>
          <w14:textFill>
            <w14:solidFill>
              <w14:schemeClr w14:val="tx1"/>
            </w14:solidFill>
          </w14:textFill>
        </w:rPr>
        <w:t xml:space="preserve">等工作，不定时对养护单位专项工作开展情况进行检查，对于</w:t>
      </w:r>
      <w:r>
        <w:rPr>
          <w:rFonts w:hint="eastAsia" w:ascii="仿宋" w:hAnsi="仿宋" w:cs="仿宋"/>
          <w:color w:val="000000" w:themeColor="text1"/>
          <w:sz w:val="28"/>
          <w:szCs w:val="28"/>
          <w:highlight w:val="none"/>
          <w:lang w:eastAsia="zh-CN"/>
          <w14:textFill>
            <w14:solidFill>
              <w14:schemeClr w14:val="tx1"/>
            </w14:solidFill>
          </w14:textFill>
        </w:rPr>
        <w:t xml:space="preserve">检</w:t>
      </w:r>
      <w:r>
        <w:rPr>
          <w:rFonts w:hint="eastAsia" w:ascii="仿宋" w:hAnsi="仿宋" w:eastAsia="仿宋" w:cs="仿宋"/>
          <w:color w:val="000000" w:themeColor="text1"/>
          <w:sz w:val="28"/>
          <w:szCs w:val="28"/>
          <w:highlight w:val="none"/>
          <w14:textFill>
            <w14:solidFill>
              <w14:schemeClr w14:val="tx1"/>
            </w14:solidFill>
          </w14:textFill>
        </w:rPr>
        <w:t xml:space="preserve">查中发现的问题，向养护公司发出工作督查单，公司须在规定时间完成整改</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，检查问题直接纳入当月考核扣分。</w:t>
      </w:r>
      <w:r/>
    </w:p>
    <w:p>
      <w:pPr>
        <w:numPr>
          <w:ilvl w:val="0"/>
          <w:numId w:val="4"/>
        </w:numPr>
        <w:ind w:left="-13" w:firstLine="643"/>
        <w:shd w:val="clear" w:color="auto"/>
        <w:rPr>
          <w:rFonts w:hint="default" w:ascii="仿宋" w:hAnsi="仿宋" w:eastAsia="仿宋" w:cs="仿宋"/>
          <w:b/>
          <w:bCs/>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u w:val="none"/>
          <w:lang w:eastAsia="zh-CN"/>
          <w14:textFill>
            <w14:solidFill>
              <w14:schemeClr w14:val="tx1"/>
            </w14:solidFill>
          </w14:textFill>
        </w:rPr>
        <w:t xml:space="preserve">计分方法</w:t>
      </w:r>
      <w:r/>
    </w:p>
    <w:p>
      <w:pPr>
        <w:numPr>
          <w:ilvl w:val="0"/>
          <w:numId w:val="0"/>
        </w:numPr>
        <w:shd w:val="clear" w:color="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    维护经费按月度拨付。考核分每月按照月度考核百分制打分为基础，另计算加分项目以及减分项目后，最终形成月度考核评分。</w:t>
      </w:r>
      <w:r/>
    </w:p>
    <w:p>
      <w:pPr>
        <w:ind w:firstLine="562"/>
        <w:shd w:val="clear" w:color="auto"/>
        <w:rPr>
          <w:rFonts w:hint="default"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六</w:t>
      </w:r>
      <w:r>
        <w:rPr>
          <w:rFonts w:hint="eastAsia" w:ascii="仿宋" w:hAnsi="仿宋" w:eastAsia="仿宋" w:cs="仿宋"/>
          <w:b/>
          <w:bCs/>
          <w:color w:val="000000" w:themeColor="text1"/>
          <w:sz w:val="28"/>
          <w:szCs w:val="28"/>
          <w:highlight w:val="none"/>
          <w14:textFill>
            <w14:solidFill>
              <w14:schemeClr w14:val="tx1"/>
            </w14:solidFill>
          </w14:textFill>
        </w:rPr>
        <w:t xml:space="preserve">、</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费用拨付</w:t>
      </w:r>
      <w:r/>
    </w:p>
    <w:p>
      <w:pPr>
        <w:ind w:firstLine="560"/>
        <w:shd w:val="clear" w:color="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每月</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科室</w:t>
      </w:r>
      <w:r>
        <w:rPr>
          <w:rFonts w:hint="eastAsia" w:ascii="仿宋" w:hAnsi="仿宋" w:eastAsia="仿宋" w:cs="仿宋"/>
          <w:color w:val="000000" w:themeColor="text1"/>
          <w:sz w:val="28"/>
          <w:szCs w:val="28"/>
          <w:highlight w:val="none"/>
          <w14:textFill>
            <w14:solidFill>
              <w14:schemeClr w14:val="tx1"/>
            </w14:solidFill>
          </w14:textFill>
        </w:rPr>
        <w:t xml:space="preserve">考核结果与当月养护经费挂钩</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firstLine="560"/>
        <w:shd w:val="clear" w:color="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日常维护费用拨付依据：</w:t>
      </w:r>
      <w:r>
        <w:rPr>
          <w:rFonts w:hint="eastAsia" w:ascii="仿宋" w:hAnsi="仿宋" w:eastAsia="仿宋" w:cs="仿宋"/>
          <w:color w:val="000000" w:themeColor="text1"/>
          <w:sz w:val="28"/>
          <w:szCs w:val="28"/>
          <w:highlight w:val="none"/>
          <w14:textFill>
            <w14:solidFill>
              <w14:schemeClr w14:val="tx1"/>
            </w14:solidFill>
          </w14:textFill>
        </w:rPr>
        <w:t xml:space="preserve">区市政综合所</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按月对</w:t>
      </w:r>
      <w:r>
        <w:rPr>
          <w:rFonts w:hint="eastAsia" w:ascii="仿宋" w:hAnsi="仿宋" w:eastAsia="仿宋" w:cs="仿宋"/>
          <w:color w:val="000000" w:themeColor="text1"/>
          <w:sz w:val="28"/>
          <w:szCs w:val="28"/>
          <w:highlight w:val="none"/>
          <w14:textFill>
            <w14:solidFill>
              <w14:schemeClr w14:val="tx1"/>
            </w14:solidFill>
          </w14:textFill>
        </w:rPr>
        <w:t xml:space="preserve">各绿化设施维护单位</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养护工作进行考核打分，根据考核情况及实际养护</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设施</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量按月拨付。在区级每月考核中，在9</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分及以上的为</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合格</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，正常拨付当月日常养护费用；比9</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分每低1分，扣减当月养护经费1%。</w:t>
      </w:r>
      <w:r>
        <w:rPr>
          <w:rFonts w:hint="eastAsia" w:ascii="仿宋" w:hAnsi="仿宋" w:eastAsia="仿宋" w:cs="仿宋"/>
          <w:color w:val="000000" w:themeColor="text1"/>
          <w:sz w:val="28"/>
          <w:szCs w:val="28"/>
          <w:highlight w:val="none"/>
          <w14:textFill>
            <w14:solidFill>
              <w14:schemeClr w14:val="tx1"/>
            </w14:solidFill>
          </w14:textFill>
        </w:rPr>
        <w:t xml:space="preserve">各养护公司扣减的养护经费，由区市政综合所统筹安排</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用于绿化设施专项维护。</w:t>
      </w:r>
      <w:r/>
    </w:p>
    <w:p>
      <w:pPr>
        <w:ind w:firstLine="560"/>
        <w:jc w:val="left"/>
        <w:keepLines w:val="0"/>
        <w:keepNext w:val="0"/>
        <w:shd w:val="clear" w:color="auto"/>
        <w:widowControl/>
        <w:rPr>
          <w:rFonts w:hint="eastAsia" w:ascii="仿宋" w:hAnsi="仿宋" w:eastAsia="仿宋" w:cs="仿宋"/>
          <w:color w:val="000000" w:themeColor="text1"/>
          <w:sz w:val="28"/>
          <w:szCs w:val="28"/>
          <w:highlight w:val="none"/>
          <w:lang w:eastAsia="zh-CN"/>
          <w14:textFill>
            <w14:solidFill>
              <w14:schemeClr w14:val="tx1"/>
            </w14:solidFill>
          </w14:textFill>
        </w:rPr>
        <w:suppressLineNumbers w:val="0"/>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提升</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养护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经费拨付依据：提升</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养护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经费</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用于</w:t>
      </w:r>
      <w:r>
        <w:rPr>
          <w:rFonts w:hint="eastAsia" w:ascii="仿宋" w:hAnsi="仿宋" w:eastAsia="仿宋" w:cs="仿宋"/>
          <w:color w:val="000000" w:themeColor="text1"/>
          <w:sz w:val="28"/>
          <w:szCs w:val="28"/>
          <w:highlight w:val="none"/>
          <w14:textFill>
            <w14:solidFill>
              <w14:schemeClr w14:val="tx1"/>
            </w14:solidFill>
          </w14:textFill>
        </w:rPr>
        <w:t xml:space="preserve">区市政综合所</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安排的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草花季节更换、设施更新、改造或非</w:t>
      </w:r>
      <w:r>
        <w:rPr>
          <w:rFonts w:hint="eastAsia" w:ascii="仿宋" w:hAnsi="仿宋" w:eastAsia="仿宋" w:cs="仿宋"/>
          <w:color w:val="000000" w:themeColor="text1"/>
          <w:sz w:val="28"/>
          <w:szCs w:val="28"/>
          <w:highlight w:val="none"/>
          <w14:textFill>
            <w14:solidFill>
              <w14:schemeClr w14:val="tx1"/>
            </w14:solidFill>
          </w14:textFill>
        </w:rPr>
        <w:t xml:space="preserve">各绿化设施维护单位</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养护责任补植，重大节日、增设景观、花镜</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护栏及应急保障等工作产生的费用</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区市政综合所</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根据项目推进情况支付进度款，在相关工作完工验收合格后，根据审核结果付清费用，经费计算方式采用按实计取，材料、</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人工、机械设备等按方案当时当月《南京市工程材料信息价》执行，无信息价的，按</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市政综合所</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委托的审计单位出具的《工程结算审定单》为准，工作量以</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市政综合所</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或</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市政综合所</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认可的第三方核实的为准，</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若审计核减率超过10%，则全部审计费用由养护公司承担，不超过10%则审计费由市政所承担。因</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各绿化设施维护单位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原因产生的质量问题，由</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各绿化设施维护单</w:t>
      </w:r>
      <w:r>
        <w:rPr>
          <w:rFonts w:hint="eastAsia" w:ascii="仿宋" w:hAnsi="仿宋" w:eastAsia="仿宋" w:cs="仿宋"/>
          <w:color w:val="000000" w:themeColor="text1"/>
          <w:sz w:val="28"/>
          <w:szCs w:val="28"/>
          <w:highlight w:val="none"/>
          <w14:textFill>
            <w14:solidFill>
              <w14:schemeClr w14:val="tx1"/>
            </w14:solidFill>
          </w14:textFill>
        </w:rPr>
        <w:t xml:space="preserve">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无条件及时整改，不及时整改或整改不到位的，</w:t>
      </w:r>
      <w:r>
        <w:rPr>
          <w:rFonts w:hint="eastAsia" w:ascii="仿宋" w:hAnsi="仿宋" w:eastAsia="仿宋" w:cs="仿宋"/>
          <w:color w:val="000000" w:themeColor="text1"/>
          <w:sz w:val="28"/>
          <w:szCs w:val="28"/>
          <w:highlight w:val="none"/>
          <w14:textFill>
            <w14:solidFill>
              <w14:schemeClr w14:val="tx1"/>
            </w14:solidFill>
          </w14:textFill>
        </w:rPr>
        <w:t xml:space="preserve">区市政综合所</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在该公司的月度养护费用中扣减相应费用。各养护单位</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提升</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养护经费</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由甲方统筹安排，</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可在甲方管理设施范围内进行调剂</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firstLine="560"/>
        <w:jc w:val="left"/>
        <w:keepLines w:val="0"/>
        <w:keepNext w:val="0"/>
        <w:shd w:val="clear" w:color="auto"/>
        <w:widowControl/>
        <w:rPr>
          <w:rFonts w:hint="default" w:ascii="仿宋" w:hAnsi="仿宋" w:eastAsia="仿宋" w:cs="仿宋"/>
          <w:color w:val="000000" w:themeColor="text1"/>
          <w:sz w:val="28"/>
          <w:szCs w:val="28"/>
          <w:highlight w:val="none"/>
          <w:lang w:val="en-US" w:eastAsia="zh-CN"/>
          <w14:textFill>
            <w14:solidFill>
              <w14:schemeClr w14:val="tx1"/>
            </w14:solidFill>
          </w14:textFill>
        </w:rPr>
        <w:suppressLineNumbers w:val="0"/>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绿化设施车损结算拨付依据：若因意外事件造成绿化设施损坏的，由养护公司报送《绿化车损核定单》，经科室现场核实损害苗木品种、规格、数量等，根据南京市园林局宁园法字【2008】175号《关于调整园林绿化损坏赔偿费标准的通知》补偿标准对绿化损坏赔偿费进行核定，并上报所领导审批同意后，在次月养护经费中拨付。</w:t>
      </w:r>
      <w:r/>
    </w:p>
    <w:p>
      <w:pPr>
        <w:ind w:firstLine="562"/>
        <w:shd w:val="clear" w:color="auto"/>
        <w:rPr>
          <w:rFonts w:hint="default"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七、奖惩规定</w:t>
      </w:r>
      <w:r/>
    </w:p>
    <w:p>
      <w:pPr>
        <w:ind w:firstLine="560"/>
        <w:shd w:val="clear" w:color="auto"/>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t xml:space="preserve">1、加分及奖励事项：</w:t>
      </w:r>
      <w:r/>
    </w:p>
    <w:p>
      <w:pPr>
        <w:ind w:firstLine="560"/>
        <w:shd w:val="clear" w:color="auto"/>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t xml:space="preserve">（1）受媒体专题表扬的单位，每次加3分。</w:t>
      </w:r>
      <w:r/>
    </w:p>
    <w:p>
      <w:pPr>
        <w:ind w:firstLine="560"/>
        <w:shd w:val="clear" w:color="auto"/>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t xml:space="preserve">（2）在重点工作、重大活动保障、创建迎查活动等工作中积极配合，表现突出的，每次加3分。</w:t>
      </w:r>
      <w:r/>
    </w:p>
    <w:p>
      <w:pPr>
        <w:ind w:firstLine="560"/>
        <w:shd w:val="clear" w:color="auto"/>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t xml:space="preserve">（3）对各级领导重点关注及表扬的单位，给予一次性奖励1万元。</w:t>
      </w:r>
      <w:r/>
    </w:p>
    <w:p>
      <w:pPr>
        <w:ind w:firstLine="560"/>
        <w:shd w:val="clear" w:color="auto"/>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t xml:space="preserve">（4）对于全年无安全生产事故，并在安全生产方面表现较好的单位，经科室上报所领导认可后，给予一次性奖励1万元。</w:t>
      </w:r>
      <w:r/>
    </w:p>
    <w:p>
      <w:pPr>
        <w:ind w:firstLine="560"/>
        <w:shd w:val="clear" w:color="auto"/>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t xml:space="preserve">2、减分及惩罚事项：</w:t>
      </w:r>
      <w:r/>
    </w:p>
    <w:p>
      <w:pPr>
        <w:ind w:firstLine="560"/>
        <w:shd w:val="clear" w:color="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（1）绿化设施有违章占用，未及时巡查发现并上报，造成设施损毁的，一次性扣3分，并由养护公司自行恢复完成。</w:t>
      </w:r>
      <w:r/>
    </w:p>
    <w:p>
      <w:pPr>
        <w:ind w:firstLine="560"/>
        <w:shd w:val="clear" w:color="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cs="仿宋"/>
          <w:color w:val="000000" w:themeColor="text1"/>
          <w:sz w:val="28"/>
          <w:szCs w:val="28"/>
          <w:highlight w:val="none"/>
          <w:u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对于区市政综合所指定的必查、必巡点，巡查中发现、上级领导指出，媒体曝光的相关问题，一次性扣</w:t>
      </w:r>
      <w:r>
        <w:rPr>
          <w:rFonts w:hint="eastAsia" w:ascii="仿宋" w:hAnsi="仿宋" w:cs="仿宋"/>
          <w:color w:val="000000" w:themeColor="text1"/>
          <w:sz w:val="28"/>
          <w:szCs w:val="28"/>
          <w:highlight w:val="none"/>
          <w:u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分。</w:t>
      </w:r>
      <w:r/>
    </w:p>
    <w:p>
      <w:pPr>
        <w:ind w:firstLine="560"/>
        <w:shd w:val="clear" w:color="auto"/>
        <w:rPr>
          <w:rFonts w:hint="default"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w:t>
      </w:r>
      <w:r>
        <w:rPr>
          <w:rFonts w:hint="eastAsia" w:ascii="仿宋" w:hAnsi="仿宋" w:cs="仿宋"/>
          <w:color w:val="000000" w:themeColor="text1"/>
          <w:sz w:val="28"/>
          <w:szCs w:val="28"/>
          <w:highlight w:val="none"/>
          <w:u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对园林设施养护方面产生各类投诉，未及时处理或处理不当等原因造成投诉人反复投诉，经核实，一次性扣3分；媒体曝光和上级领导通报批评等问题，一次性扣5分；因舆情问题造成严重后果的，区级一次性扣10分，市级一次性扣20分。</w:t>
      </w:r>
      <w:r/>
    </w:p>
    <w:p>
      <w:pPr>
        <w:ind w:firstLine="560"/>
        <w:shd w:val="clear" w:color="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（4）对于下达的工作通知和指令，不按要求实施，质量不达标，对前期的检查问题未按时进行整改的，一次扣3分。</w:t>
      </w:r>
      <w:r/>
    </w:p>
    <w:p>
      <w:pPr>
        <w:ind w:firstLine="560"/>
        <w:shd w:val="clear" w:color="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w:t>
      </w:r>
      <w:r>
        <w:rPr>
          <w:rFonts w:hint="eastAsia" w:ascii="仿宋" w:hAnsi="仿宋" w:cs="仿宋"/>
          <w:color w:val="000000" w:themeColor="text1"/>
          <w:sz w:val="28"/>
          <w:szCs w:val="28"/>
          <w:highlight w:val="none"/>
          <w:u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）因防汛、创建迎查、各类保障等专项任务工作不力造成社会负面影响的，一次扣5分。</w:t>
      </w:r>
      <w:r/>
    </w:p>
    <w:p>
      <w:pPr>
        <w:ind w:firstLine="560"/>
        <w:shd w:val="clear" w:color="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6）未及时发现安全隐患，不遵守安全管理制度和各项安全操作规程进行违章作业的，因养护不到位造成安全生产责任的，一次扣5分，并考核中进行通报批评，发生重大安全生产责任事故的一次扣10分，并追究相关责任。养护公司须按市政养护安全生产考核要求落实工作内容，未完成内容根据《市政养护企业安全生产考核评分细则》进行相应扣分。</w:t>
      </w:r>
      <w:r/>
    </w:p>
    <w:p>
      <w:pPr>
        <w:ind w:firstLine="560"/>
        <w:shd w:val="clear" w:color="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（7）养护公司不能按时、按要求完成各类材料、工作台账，或有材料缺漏、发现内容数据有重大错误的，根据实际情况，一次扣1-3分。</w:t>
      </w:r>
      <w:r/>
    </w:p>
    <w:p>
      <w:pPr>
        <w:ind w:firstLine="560"/>
        <w:shd w:val="clear" w:color="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w:t>
      </w:r>
      <w:r>
        <w:rPr>
          <w:rFonts w:hint="eastAsia" w:ascii="仿宋" w:hAnsi="仿宋" w:cs="仿宋"/>
          <w:color w:val="000000" w:themeColor="text1"/>
          <w:sz w:val="28"/>
          <w:szCs w:val="28"/>
          <w:highlight w:val="none"/>
          <w:u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养护公司一年内累计三次被区市政综合所书面警告的，第一次书面警告扣当月考核分值5分，第二次书面警告扣当月考核分值10分，第三次书面严重警告，将提前终止该公司的养护合同，维护经费结算到终止合同的前一个月止。</w:t>
      </w:r>
      <w:r/>
    </w:p>
    <w:p>
      <w:pPr>
        <w:ind w:firstLine="560"/>
        <w:shd w:val="clear" w:color="auto"/>
        <w:rPr>
          <w:rFonts w:hint="eastAsia"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3、养护公司在年度合同期限内累计两次受到市级综合考评批评，并严重影响到全区养护考核评价的，区市政综合所将有权提前终止该公司的全部绿化养护合同。</w:t>
      </w:r>
      <w:r/>
    </w:p>
    <w:p>
      <w:pPr>
        <w:ind w:firstLine="562"/>
        <w:shd w:val="clear" w:color="auto"/>
        <w:rPr>
          <w:rFonts w:hint="default"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八、本办法自2026年1月1日起实行。</w:t>
      </w:r>
      <w:r/>
    </w:p>
    <w:p>
      <w:pPr>
        <w:numPr>
          <w:ilvl w:val="0"/>
          <w:numId w:val="0"/>
        </w:numPr>
        <w:jc w:val="both"/>
        <w:shd w:val="clear" w:color="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numPr>
          <w:ilvl w:val="0"/>
          <w:numId w:val="0"/>
        </w:numPr>
        <w:jc w:val="both"/>
        <w:shd w:val="clear" w:color="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left="529"/>
        <w:shd w:val="clear" w:color="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left="529"/>
        <w:jc w:val="right"/>
        <w:shd w:val="clear" w:color="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南京市</w:t>
      </w:r>
      <w:r>
        <w:rPr>
          <w:rFonts w:hint="eastAsia" w:ascii="仿宋" w:hAnsi="仿宋" w:eastAsia="仿宋" w:cs="仿宋"/>
          <w:color w:val="000000" w:themeColor="text1"/>
          <w:sz w:val="28"/>
          <w:szCs w:val="28"/>
          <w:highlight w:val="none"/>
          <w14:textFill>
            <w14:solidFill>
              <w14:schemeClr w14:val="tx1"/>
            </w14:solidFill>
          </w14:textFill>
        </w:rPr>
        <w:t xml:space="preserve">栖霞区市政设施综合养护管理所</w:t>
      </w:r>
      <w:r/>
    </w:p>
    <w:p>
      <w:pPr>
        <w:ind w:left="529"/>
        <w:jc w:val="center"/>
        <w:shd w:val="clear" w:color="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2025年12</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30日</w:t>
      </w:r>
      <w:r/>
    </w:p>
    <w:p>
      <w:pPr>
        <w:ind w:left="529"/>
        <w:jc w:val="center"/>
        <w:shd w:val="clear" w:color="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left="529"/>
        <w:jc w:val="center"/>
        <w:shd w:val="clear" w:color="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left="529"/>
        <w:jc w:val="left"/>
        <w:shd w:val="clear" w:color="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后附：《栖霞区绿化养护管理考核评分细则》</w:t>
      </w:r>
      <w:r/>
    </w:p>
    <w:p>
      <w:pPr>
        <w:ind w:firstLine="1120"/>
        <w:jc w:val="left"/>
        <w:shd w:val="clear" w:color="auto"/>
        <w:rPr>
          <w:rFonts w:hint="eastAsia" w:ascii="仿宋" w:hAnsi="仿宋" w:eastAsia="仿宋" w:cs="仿宋"/>
          <w:color w:val="000000" w:themeColor="text1"/>
          <w:sz w:val="28"/>
          <w:szCs w:val="28"/>
          <w:highlight w:val="none"/>
          <w:lang w:val="en-US" w:eastAsia="zh-CN"/>
          <w14:textFill>
            <w14:solidFill>
              <w14:schemeClr w14:val="tx1"/>
            </w14:solidFill>
          </w14:textFill>
        </w:rPr>
        <w:sectPr>
          <w:footerReference w:type="default" r:id="rId15"/>
          <w:footnotePr/>
          <w:endnotePr/>
          <w:type w:val="nextPage"/>
          <w:pgSz w:w="11906" w:h="16838" w:orient="portrait"/>
          <w:pgMar w:top="1440" w:right="1474" w:bottom="1440" w:left="1474" w:header="851" w:footer="992" w:gutter="0"/>
          <w:cols w:num="1" w:sep="0" w:space="0" w:equalWidth="1"/>
          <w:docGrid w:linePitch="360"/>
        </w:sect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《市政养护企业安全生产考核评分细则》</w:t>
      </w:r>
      <w:r/>
    </w:p>
    <w:tbl>
      <w:tblPr>
        <w:tblStyle w:val="956"/>
        <w:tblW w:w="136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7"/>
        <w:gridCol w:w="570"/>
        <w:gridCol w:w="396"/>
        <w:gridCol w:w="8219"/>
        <w:gridCol w:w="4020"/>
      </w:tblGrid>
      <w:tr>
        <w:trPr>
          <w:trHeight w:val="820"/>
        </w:trPr>
        <w:tc>
          <w:tcPr>
            <w:gridSpan w:val="5"/>
            <w:shd w:val="clear" w:color="auto" w:fill="auto"/>
            <w:tcBorders>
              <w:top w:val="none" w:color="000000" w:sz="4" w:space="0"/>
              <w:left w:val="none" w:color="000000" w:sz="4" w:space="0"/>
              <w:bottom w:val="none" w:color="000000" w:sz="4" w:space="0"/>
              <w:right w:val="none" w:color="000000" w:sz="4" w:space="0"/>
            </w:tcBorders>
            <w:tcW w:w="13602"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p>
            <w:pPr>
              <w:jc w:val="center"/>
              <w:keepLines w:val="0"/>
              <w:keepNext w:val="0"/>
              <w:shd w:val="clear" w:color="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Style w:val="1247"/>
                <w:color w:val="000000" w:themeColor="text1"/>
                <w:highlight w:val="none"/>
                <w:lang w:val="en-US" w:eastAsia="zh-CN" w:bidi="ar"/>
                <w14:textFill>
                  <w14:solidFill>
                    <w14:schemeClr w14:val="tx1"/>
                  </w14:solidFill>
                </w14:textFill>
              </w:rPr>
              <w:t xml:space="preserve">栖霞区绿化养护管理考核评分细则</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1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考核内容及标准</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扣分细则（按百分制扣减）</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tbRlV"/>
            <w:noWrap w:val="false"/>
          </w:tcPr>
          <w:p>
            <w:pPr>
              <w:jc w:val="left"/>
              <w:keepLines w:val="0"/>
              <w:keepNext w:val="0"/>
              <w:shd w:val="clear" w:color="auto"/>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 绿化养护</w:t>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行道树（含乔木）长势茂盛，规格整齐，树干挺直，定干高度一致，树冠丰满；观花树木按时茂盛开花，观果树木正常结果</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行道树长势衰弱扣0.5分/株/次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行道树上（含乔木）无枯枝、下垂枝、交叉枝、过密枝、并生枝、病虫枝，主干上无萌蘖枝；无影响交通、架空线路、路灯、建筑、行人安全的树枝</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行道树修剪、除萌、剥芽及时，枝条修剪截面要平整，不留短桩。截面直径大于6厘米的伤口要涂防腐剂</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无明显病虫危害迹象，树干无未处理的腐洞；树体无钉挂物、悬挂物</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树穴设施完好，黄土不裸露，无杂草、杂物；树池内种植土要低于树池砌体顶沿5cm</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无死株、缺株、严重倾斜株；无法修整复壮的树木及时申报更换</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新栽、补栽的树木和易受害倒伏的树木应设立扶木支撑，扎缚规范有效</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按操作规程能及时地对行道树（含乔木）进行冬季刷白</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花灌木整形修剪及时、修剪成型，层次分明，面平边齐，线条流畅，曲线处弧度圆润丰满</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扣0.3分/处/次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绿篱无缺损断档、无脱脚枯死；绿岛内无明显杂草、明显杂枝叶、无明显黄叶、焦叶、卷叶</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绿岛或绿地内无灌木缺株或黄土裸露（大于等于0.5m2）现象</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灌木无明显病虫害症状、虫粪、虫网、虫卵、病虫枝、虫蛹、虫茧及有关病原体</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灌木上无积尘，绿岛内种植土低于绿岛砌体顶沿5cm</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花箱、花盆、花坛及地栽花卉更换及时，长势旺盛养护到位；栏杆、花盆（箱）整洁无破损</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草坪生长健壮，生长期无枯黄现象；草坪内无低洼积水处，无明显裸露地，草坪基本无病虫危害状</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扣0.2分/人/次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草坪修剪平整，修剪后剪口无撕裂现象，草坪上无修剪残留草屑、杂物，基本无杂草</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地被栽植密度适宜，分布均匀，规格整齐，无残花、枯叶、死株、缺株，基本无病虫危害现象</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植物浇水及时、按照规范及时施肥（每年休眠期施基肥，生长期施2-3次追肥，规范操作，施肥后及时覆盖，施肥方法适当，用量合理，不产生肥害）</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使用化学药剂要保证园林植物的安全，不发生药害</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园路、铺装地面平整，无破损、无积水；金属构件设施无锈斑、油漆剥落现象。无障碍设施完好通畅。</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供水、排水、喷灌等管网设施维护良好，使用便捷，清洁、通畅</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供电、照明设施完好无损，各类管线保持完整、安全无隐患</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栏杆、桌椅、垃圾桶、井盖和指示牌、告示牌、宣传牌整洁美观，设置合理、醒目、完善、规范</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窨井、进水口、给水口等设施完整无损，无安全隐患</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防台、防汛、消防等设备完好充足，保证应急使用要求</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树池或绿岛内卫生整洁，无垃圾、无垃圾土</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广场游园内垃圾箱及垃圾堆场外观清洁，无陈积垃圾，无卫生死角，垃圾日产日清，严禁焚烧垃圾和枯枝落叶</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厕所内外清洁卫生，全天保洁，无尿垢，无臭味，无蚊蝇，无污水外溢</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园林机具摆放隐蔽，位置合理</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及时清除或覆盖非法小广告</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雨雪后及时清扫，疏通雨水口、排水沟、集水井等排水设施</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扣0.3分/处/次</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广场实行全天候保洁；水面无漂浮杂物、无异味，水体清洁无污染</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扣0.5分/处/次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广场内无躺卧或露宿、践踏绿地、攀枝摘花、宠物出入等不文明行为</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车辆不乱停乱放、不得进入禁止停放区域,有问题及时反映</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未反映，扣0.2分/处/次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广场内没有无证出摊、占道经营,有问题及时反映</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未反映，扣0.5分/处/次</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加分项目</w:t>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受媒体专题表扬、宣传的单位</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加3分/次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在重点工作、重大活动保障、创建迎查活动等工作中积极配合，表现突出的</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加3分/次</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对各级领导重点关注及表扬的单位</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一次性奖励1万元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对于全年无安全生产事故，并在安全生产方面表现较好的单位</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一次性奖励1万元</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jc w:val="center"/>
              <w:keepLines w:val="0"/>
              <w:keepNext w:val="0"/>
              <w:shd w:val="clear" w:color="auto"/>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减分项目</w:t>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绿化设施有违章占用，未及时巡查发现并上报，造成设施损毁的，并由养护公司自行恢复完成。</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扣3分/处/次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对于区市政综合所指定的必查、必巡点，巡查中发现、上级领导指出，媒体曝光的相关问题</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扣3分/处/次</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对园林设施养护方面产生各类投诉、媒体曝光和上级领导通报批评等问题，因舆情问题造成严重后果的</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各类投诉，一次性扣3分；媒体曝光和上级领导通报批评的，一次性扣5分；因舆情问题造成严重后果的，区级一次性扣10分，市级一次性扣20分。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养护公司对于下达的工作通知和指令，不按要求实施，质量不达标，对前期的检查问题未按时进行整改的</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扣3分/处/次</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因防汛、创建迎查、各类保障等专项任务工作不力造成社会负面影响的</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扣5分/处/次</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未及时发现安全隐患，不遵守安全管理制度和各项安全操作规程进行违章作业的，因养护不到位造成安全生产责任的</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一次扣5分，并考核中进行通报批评，发生重大安全生产责任事故的一次扣10分，并追究相关责任。</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养护公司不能按时、按要求完成各类材料、工作台账，或有材料缺漏、发现内容数据有重大错误的</w:t>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根据实际情况，一次性扣1-3分</w:t>
            </w:r>
            <w:r/>
          </w:p>
        </w:tc>
      </w:tr>
    </w:tbl>
    <w:p>
      <w:pPr>
        <w:ind w:firstLine="1120"/>
        <w:jc w:val="left"/>
        <w:shd w:val="clear" w:color="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left="529"/>
        <w:jc w:val="center"/>
        <w:shd w:val="clear" w:color="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left="529"/>
        <w:jc w:val="center"/>
        <w:shd w:val="clear" w:color="auto"/>
        <w:rPr>
          <w:rFonts w:hint="eastAsia" w:ascii="仿宋" w:hAnsi="仿宋" w:eastAsia="仿宋" w:cs="仿宋"/>
          <w:color w:val="000000" w:themeColor="text1"/>
          <w:sz w:val="28"/>
          <w:szCs w:val="28"/>
          <w:highlight w:val="none"/>
          <w:lang w:val="en-US" w:eastAsia="zh-CN"/>
          <w14:textFill>
            <w14:solidFill>
              <w14:schemeClr w14:val="tx1"/>
            </w14:solidFill>
          </w14:textFill>
        </w:rPr>
        <w:sectPr>
          <w:footnotePr/>
          <w:endnotePr/>
          <w:type w:val="nextPage"/>
          <w:pgSz w:w="16838" w:h="11906" w:orient="landscape"/>
          <w:pgMar w:top="1474" w:right="1440" w:bottom="1474" w:left="1440" w:header="851" w:footer="992" w:gutter="0"/>
          <w:cols w:num="1" w:sep="0" w:space="0" w:equalWidth="1"/>
          <w:docGrid w:linePitch="360"/>
        </w:sectPr>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jc w:val="center"/>
        <w:shd w:val="clear" w:color="auto"/>
        <w:rPr>
          <w:rFonts w:hint="eastAsia" w:ascii="仿宋" w:hAnsi="仿宋" w:eastAsia="仿宋"/>
          <w:b/>
          <w:color w:val="000000" w:themeColor="text1"/>
          <w:sz w:val="32"/>
          <w:szCs w:val="32"/>
          <w:highlight w:val="none"/>
          <w14:textFill>
            <w14:solidFill>
              <w14:schemeClr w14:val="tx1"/>
            </w14:solidFill>
          </w14:textFill>
        </w:rPr>
      </w:pPr>
      <w:r>
        <w:rPr>
          <w:rFonts w:hint="eastAsia" w:ascii="黑体" w:hAnsi="黑体" w:eastAsia="黑体" w:cs="Calibri"/>
          <w:bCs/>
          <w:color w:val="000000" w:themeColor="text1"/>
          <w:sz w:val="32"/>
          <w:szCs w:val="32"/>
          <w:highlight w:val="none"/>
          <w:lang w:val="en-US" w:eastAsia="zh-CN"/>
          <w14:textFill>
            <w14:solidFill>
              <w14:schemeClr w14:val="tx1"/>
            </w14:solidFill>
          </w14:textFill>
        </w:rPr>
        <w:t xml:space="preserve">市政养护企业安全生产</w:t>
      </w:r>
      <w:r>
        <w:rPr>
          <w:rFonts w:hint="eastAsia" w:ascii="黑体" w:hAnsi="黑体" w:eastAsia="黑体" w:cs="Calibri"/>
          <w:bCs/>
          <w:color w:val="000000" w:themeColor="text1"/>
          <w:sz w:val="32"/>
          <w:szCs w:val="32"/>
          <w:highlight w:val="none"/>
          <w14:textFill>
            <w14:solidFill>
              <w14:schemeClr w14:val="tx1"/>
            </w14:solidFill>
          </w14:textFill>
        </w:rPr>
        <w:t xml:space="preserve">考核评分细则</w:t>
      </w:r>
      <w:r/>
    </w:p>
    <w:tbl>
      <w:tblPr>
        <w:tblStyle w:val="956"/>
        <w:tblW w:w="13673" w:type="dxa"/>
        <w:jc w:val="center"/>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985"/>
        <w:gridCol w:w="2688"/>
      </w:tblGrid>
      <w:tr>
        <w:trPr>
          <w:jc w:val="center"/>
          <w:trHeight w:val="0"/>
          <w:tblHeader/>
        </w:trPr>
        <w:tc>
          <w:tcPr>
            <w:tcMar>
              <w:left w:w="195" w:type="dxa"/>
              <w:top w:w="90" w:type="dxa"/>
              <w:right w:w="195" w:type="dxa"/>
              <w:bottom w:w="90" w:type="dxa"/>
            </w:tcMar>
            <w:tcW w:w="10985" w:type="dxa"/>
            <w:vAlign w:val="center"/>
            <w:textDirection w:val="lrTb"/>
            <w:noWrap w:val="false"/>
          </w:tcPr>
          <w:p>
            <w:pPr>
              <w:ind w:left="0" w:right="0" w:firstLine="0"/>
              <w:jc w:val="center"/>
              <w:shd w:val="clear" w:color="auto"/>
              <w:rPr>
                <w:rFonts w:hint="default" w:ascii="Calibri" w:hAnsi="Arial" w:eastAsia="宋体" w:cs="Arial"/>
                <w:b/>
                <w:bCs/>
                <w:color w:val="000000" w:themeColor="text1"/>
                <w:sz w:val="21"/>
                <w:szCs w:val="21"/>
                <w:highlight w:val="none"/>
                <w:shd w:val="clear" w:color="auto" w:fill="auto"/>
                <w14:textFill>
                  <w14:solidFill>
                    <w14:schemeClr w14:val="tx1"/>
                  </w14:solidFill>
                </w14:textFill>
              </w:rPr>
            </w:pPr>
            <w:r>
              <w:rPr>
                <w:rFonts w:hint="eastAsia" w:ascii="Calibri" w:eastAsia="宋体" w:cs="Calibri"/>
                <w:b/>
                <w:bCs/>
                <w:color w:val="000000" w:themeColor="text1"/>
                <w:sz w:val="21"/>
                <w:szCs w:val="21"/>
                <w:highlight w:val="none"/>
                <w14:textFill>
                  <w14:solidFill>
                    <w14:schemeClr w14:val="tx1"/>
                  </w14:solidFill>
                </w14:textFill>
              </w:rPr>
              <w:t xml:space="preserve">考核内容</w:t>
            </w:r>
            <w:r/>
          </w:p>
        </w:tc>
        <w:tc>
          <w:tcPr>
            <w:tcMar>
              <w:left w:w="195" w:type="dxa"/>
              <w:top w:w="90" w:type="dxa"/>
              <w:right w:w="195" w:type="dxa"/>
              <w:bottom w:w="90" w:type="dxa"/>
            </w:tcMar>
            <w:tcW w:w="2688" w:type="dxa"/>
            <w:vAlign w:val="center"/>
            <w:textDirection w:val="lrTb"/>
            <w:noWrap w:val="false"/>
          </w:tcPr>
          <w:p>
            <w:pPr>
              <w:ind w:left="0" w:right="0" w:firstLine="0"/>
              <w:jc w:val="center"/>
              <w:shd w:val="clear" w:color="auto"/>
              <w:rPr>
                <w:rFonts w:hint="default" w:ascii="Calibri" w:hAnsi="Arial" w:eastAsia="宋体" w:cs="Arial"/>
                <w:b/>
                <w:bCs/>
                <w:color w:val="000000" w:themeColor="text1"/>
                <w:sz w:val="21"/>
                <w:szCs w:val="21"/>
                <w:highlight w:val="none"/>
                <w:shd w:val="clear" w:color="auto" w:fill="auto"/>
                <w14:textFill>
                  <w14:solidFill>
                    <w14:schemeClr w14:val="tx1"/>
                  </w14:solidFill>
                </w14:textFill>
              </w:rPr>
            </w:pPr>
            <w:r>
              <w:rPr>
                <w:rFonts w:hint="eastAsia" w:ascii="Calibri" w:eastAsia="宋体" w:cs="Calibri"/>
                <w:b/>
                <w:bCs/>
                <w:color w:val="000000" w:themeColor="text1"/>
                <w:sz w:val="21"/>
                <w:szCs w:val="21"/>
                <w:highlight w:val="none"/>
                <w14:textFill>
                  <w14:solidFill>
                    <w14:schemeClr w14:val="tx1"/>
                  </w14:solidFill>
                </w14:textFill>
              </w:rPr>
              <w:t xml:space="preserve">扣分细则</w:t>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widowControl/>
              <w:rPr>
                <w:rFonts w:hint="default" w:ascii="Arial" w:hAnsi="Arial" w:cs="Arial"/>
                <w:b w:val="0"/>
                <w:bCs/>
                <w:color w:val="000000" w:themeColor="text1"/>
                <w:szCs w:val="21"/>
                <w:highlight w:val="none"/>
                <w:shd w:val="clear" w:color="auto" w:fill="auto"/>
                <w:lang w:val="en-US"/>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有健全的安全生产领导组织架构，有</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完善</w:t>
            </w: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的</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安全管理制度、安全生产</w:t>
            </w: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岗位</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责任制、安全操作规程、安全检查制度、应急预案等</w:t>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widowControl/>
              <w:rPr>
                <w:rFonts w:hint="default" w:ascii="Arial" w:hAnsi="Arial" w:cs="Arial"/>
                <w:b w:val="0"/>
                <w:bCs/>
                <w:color w:val="000000" w:themeColor="text1"/>
                <w:szCs w:val="21"/>
                <w:highlight w:val="none"/>
                <w:shd w:val="clear" w:color="auto" w:fill="auto"/>
                <w:lang w:val="en-US"/>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未满足一项扣2分，制度不合理一项扣1分</w:t>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widowControl/>
              <w:rPr>
                <w:rFonts w:hint="default" w:ascii="Arial" w:hAnsi="Arial" w:cs="Arial"/>
                <w:b w:val="0"/>
                <w:bCs/>
                <w:color w:val="000000" w:themeColor="text1"/>
                <w:szCs w:val="21"/>
                <w:highlight w:val="none"/>
                <w:shd w:val="clear" w:color="auto" w:fill="auto"/>
                <w14:textFill>
                  <w14:solidFill>
                    <w14:schemeClr w14:val="tx1"/>
                  </w14:solidFill>
                </w14:textFill>
              </w:rPr>
            </w:pPr>
            <w:r>
              <w:rPr>
                <w:rFonts w:hint="eastAsia" w:ascii="Arial" w:hAnsi="Arial" w:cs="Arial"/>
                <w:b w:val="0"/>
                <w:bCs/>
                <w:color w:val="000000" w:themeColor="text1"/>
                <w:szCs w:val="21"/>
                <w:highlight w:val="none"/>
                <w:shd w:val="clear" w:color="auto" w:fill="auto"/>
                <w:lang w:eastAsia="zh"/>
                <w14:textFill>
                  <w14:solidFill>
                    <w14:schemeClr w14:val="tx1"/>
                  </w14:solidFill>
                </w14:textFill>
              </w:rPr>
              <w:t xml:space="preserve">定期</w:t>
            </w: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开展安全教育、</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培训</w:t>
            </w: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、应急演练</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w:t>
            </w: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如月度安全会议、</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新员工</w:t>
            </w: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三级教育</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、岗位安全培训、特种设备操作培训等。</w:t>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widowControl/>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未满足扣2分；</w:t>
            </w:r>
            <w:r/>
          </w:p>
          <w:p>
            <w:pPr>
              <w:ind w:left="0" w:right="0" w:firstLine="0"/>
              <w:jc w:val="left"/>
              <w:spacing w:before="19" w:line="240" w:lineRule="auto"/>
              <w:shd w:val="clear" w:color="auto"/>
              <w:widowControl/>
              <w:rPr>
                <w:rFonts w:hint="default" w:ascii="Arial" w:hAnsi="Arial" w:cs="Arial"/>
                <w:b w:val="0"/>
                <w:bCs/>
                <w:color w:val="000000" w:themeColor="text1"/>
                <w:szCs w:val="21"/>
                <w:highlight w:val="none"/>
                <w:shd w:val="clear" w:color="auto" w:fill="auto"/>
                <w:lang w:val="en-US"/>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记录不全、未及时更新扣1分。</w:t>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widowControl/>
              <w:rPr>
                <w:rFonts w:hint="default" w:ascii="Arial" w:hAnsi="Arial" w:cs="Arial"/>
                <w:b w:val="0"/>
                <w:bCs/>
                <w:color w:val="000000" w:themeColor="text1"/>
                <w:szCs w:val="21"/>
                <w:highlight w:val="none"/>
                <w:shd w:val="clear" w:color="auto" w:fill="auto"/>
                <w14:textFill>
                  <w14:solidFill>
                    <w14:schemeClr w14:val="tx1"/>
                  </w14:solidFill>
                </w14:textFill>
              </w:rPr>
            </w:pP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企业主要负责人每月开展一次安全生产</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检查</w:t>
            </w:r>
            <w:r>
              <w:rPr>
                <w:rFonts w:hint="eastAsia" w:ascii="Arial" w:hAnsi="Arial" w:cs="Arial"/>
                <w:b w:val="0"/>
                <w:bCs/>
                <w:color w:val="000000" w:themeColor="text1"/>
                <w:szCs w:val="21"/>
                <w:highlight w:val="none"/>
                <w:shd w:val="clear" w:color="auto" w:fill="auto"/>
                <w:lang w:eastAsia="zh-CN"/>
                <w14:textFill>
                  <w14:solidFill>
                    <w14:schemeClr w14:val="tx1"/>
                  </w14:solidFill>
                </w14:textFill>
              </w:rPr>
              <w:t xml:space="preserve">，安全负责人定期开展</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专项检查、</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节假日</w:t>
            </w:r>
            <w:r>
              <w:rPr>
                <w:rFonts w:hint="default" w:ascii="Arial" w:hAnsi="Arial" w:cs="Arial"/>
                <w:b w:val="0"/>
                <w:bCs/>
                <w:color w:val="000000" w:themeColor="text1"/>
                <w:szCs w:val="21"/>
                <w:highlight w:val="none"/>
                <w:shd w:val="clear" w:color="auto" w:fill="auto"/>
                <w14:textFill>
                  <w14:solidFill>
                    <w14:schemeClr w14:val="tx1"/>
                  </w14:solidFill>
                </w14:textFill>
              </w:rPr>
              <w:t xml:space="preserve">检查等，记录内容包括检查时间、检查人员、检查内容、发现的问题及整改情况等</w:t>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widowControl/>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未开展检查扣3分；检查记录遗漏扣1分。</w:t>
            </w:r>
            <w:r/>
          </w:p>
          <w:p>
            <w:pPr>
              <w:numPr>
                <w:ilvl w:val="0"/>
                <w:numId w:val="0"/>
              </w:numPr>
              <w:ind w:right="0"/>
              <w:jc w:val="left"/>
              <w:spacing w:before="19" w:line="240" w:lineRule="auto"/>
              <w:shd w:val="clear" w:color="auto"/>
              <w:widowControl/>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r>
            <w:r/>
          </w:p>
        </w:tc>
      </w:tr>
      <w:tr>
        <w:trPr>
          <w:jc w:val="center"/>
          <w:trHeight w:val="683"/>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widowControl/>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每年</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按规定计提</w:t>
            </w: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并使用</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安全生产</w:t>
            </w: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专项经费</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w:t>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widowControl/>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未满足扣5分；不规范使用</w:t>
            </w: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经费</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一项扣2分</w:t>
            </w:r>
            <w:r/>
          </w:p>
          <w:p>
            <w:pPr>
              <w:numPr>
                <w:ilvl w:val="0"/>
                <w:numId w:val="0"/>
              </w:numPr>
              <w:ind w:right="0"/>
              <w:jc w:val="left"/>
              <w:spacing w:before="19" w:line="240" w:lineRule="auto"/>
              <w:shd w:val="clear" w:color="auto"/>
              <w:widowControl/>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widowControl/>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按规定配备足够的安全员(</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人数少于30</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名员工至少1名安全员</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，人数30到100名员工的</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至少</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2</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名安全员</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，人数100到300名员工的</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至少</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3</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名安全员</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w:t>
            </w:r>
            <w:r/>
          </w:p>
        </w:tc>
        <w:tc>
          <w:tcPr>
            <w:tcMar>
              <w:left w:w="195" w:type="dxa"/>
              <w:top w:w="90" w:type="dxa"/>
              <w:right w:w="195" w:type="dxa"/>
              <w:bottom w:w="90" w:type="dxa"/>
            </w:tcMar>
            <w:tcW w:w="2688" w:type="dxa"/>
            <w:vAlign w:val="center"/>
            <w:textDirection w:val="lrTb"/>
            <w:noWrap w:val="false"/>
          </w:tcPr>
          <w:p>
            <w:pPr>
              <w:ind w:left="0" w:right="0" w:firstLine="0"/>
              <w:jc w:val="left"/>
              <w:spacing w:before="19" w:line="240" w:lineRule="auto"/>
              <w:shd w:val="clear" w:color="auto"/>
              <w:widowControl/>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每缺少一名安全员，扣</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3</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分</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w:t>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widowControl/>
              <w:rPr>
                <w:rFonts w:hint="eastAsia" w:ascii="Arial" w:hAnsi="Arial" w:eastAsia="宋体" w:cs="Arial"/>
                <w:b w:val="0"/>
                <w:bCs/>
                <w:color w:val="000000" w:themeColor="text1"/>
                <w:szCs w:val="21"/>
                <w:highlight w:val="none"/>
                <w:shd w:val="clear" w:color="auto" w:fill="auto"/>
                <w:lang w:val="en-US" w:eastAsia="zh"/>
                <w14:textFill>
                  <w14:solidFill>
                    <w14:schemeClr w14:val="tx1"/>
                  </w14:solidFill>
                </w14:textFill>
              </w:rPr>
            </w:pP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特种作业人员</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需</w:t>
            </w:r>
            <w:r>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t xml:space="preserve">持有有效特种作业操作证</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上岗</w:t>
            </w:r>
            <w:r>
              <w:rPr>
                <w:rFonts w:hint="eastAsia" w:ascii="Arial" w:hAnsi="Arial" w:cs="Arial"/>
                <w:b w:val="0"/>
                <w:bCs/>
                <w:color w:val="000000" w:themeColor="text1"/>
                <w:szCs w:val="21"/>
                <w:highlight w:val="none"/>
                <w:shd w:val="clear" w:color="auto" w:fill="auto"/>
                <w:lang w:val="en-US" w:eastAsia="zh"/>
                <w14:textFill>
                  <w14:solidFill>
                    <w14:schemeClr w14:val="tx1"/>
                  </w14:solidFill>
                </w14:textFill>
              </w:rPr>
              <w:t xml:space="preserve">，开展特种作业需严格履行报批手续</w:t>
            </w: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w:t>
            </w:r>
            <w:r/>
          </w:p>
        </w:tc>
        <w:tc>
          <w:tcPr>
            <w:tcMar>
              <w:left w:w="195" w:type="dxa"/>
              <w:top w:w="90" w:type="dxa"/>
              <w:right w:w="195" w:type="dxa"/>
              <w:bottom w:w="90" w:type="dxa"/>
            </w:tcMar>
            <w:tcW w:w="2688" w:type="dxa"/>
            <w:vAlign w:val="center"/>
            <w:textDirection w:val="lrTb"/>
            <w:noWrap w:val="false"/>
          </w:tcPr>
          <w:p>
            <w:pPr>
              <w:ind w:left="0" w:right="0" w:firstLine="0"/>
              <w:jc w:val="left"/>
              <w:spacing w:before="19" w:line="240" w:lineRule="auto"/>
              <w:shd w:val="clear" w:color="auto"/>
              <w:widowControl/>
              <w:rPr>
                <w:rFonts w:hint="default"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未满足一项扣3分</w:t>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widowControl/>
              <w:rPr>
                <w:rFonts w:hint="eastAsia" w:ascii="Arial" w:hAnsi="Arial" w:eastAsia="宋体" w:cs="Arial"/>
                <w:b w:val="0"/>
                <w:bCs/>
                <w:color w:val="000000" w:themeColor="text1"/>
                <w:szCs w:val="21"/>
                <w:highlight w:val="none"/>
                <w:shd w:val="clear" w:color="auto" w:fill="auto"/>
                <w:lang w:val="en-US" w:eastAsia="zh-CN"/>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配备合规足量的消防器具</w:t>
            </w:r>
            <w:r/>
          </w:p>
        </w:tc>
        <w:tc>
          <w:tcPr>
            <w:tcMar>
              <w:left w:w="195" w:type="dxa"/>
              <w:top w:w="90" w:type="dxa"/>
              <w:right w:w="195" w:type="dxa"/>
              <w:bottom w:w="90" w:type="dxa"/>
            </w:tcMar>
            <w:tcW w:w="2688" w:type="dxa"/>
            <w:vAlign w:val="center"/>
            <w:textDirection w:val="lrTb"/>
            <w:noWrap w:val="false"/>
          </w:tcPr>
          <w:p>
            <w:pPr>
              <w:ind w:left="0" w:right="0" w:firstLine="0"/>
              <w:jc w:val="left"/>
              <w:spacing w:before="19" w:line="240" w:lineRule="auto"/>
              <w:shd w:val="clear" w:color="auto"/>
              <w:widowControl/>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未满足一项扣2分</w:t>
            </w:r>
            <w:r/>
          </w:p>
        </w:tc>
      </w:tr>
    </w:tbl>
    <w:p>
      <w:pPr>
        <w:shd w:val="clear" w:color="auto"/>
        <w:rPr>
          <w:color w:val="000000" w:themeColor="text1"/>
          <w:highlight w:val="none"/>
          <w14:textFill>
            <w14:solidFill>
              <w14:schemeClr w14:val="tx1"/>
            </w14:solidFill>
          </w14:textFill>
        </w:rPr>
        <w:sectPr>
          <w:footnotePr/>
          <w:endnotePr/>
          <w:type w:val="nextPage"/>
          <w:pgSz w:w="16838" w:h="11906" w:orient="landscape"/>
          <w:pgMar w:top="1474" w:right="1440" w:bottom="1474" w:left="1440" w:header="851" w:footer="992" w:gutter="0"/>
          <w:cols w:num="1" w:sep="0" w:space="0" w:equalWidth="1"/>
          <w:docGrid w:linePitch="360"/>
        </w:sectPr>
      </w:pPr>
      <w:r>
        <w:rPr>
          <w:color w:val="000000" w:themeColor="text1"/>
          <w:highlight w:val="none"/>
          <w14:textFill>
            <w14:solidFill>
              <w14:schemeClr w14:val="tx1"/>
            </w14:solidFill>
          </w14:textFill>
        </w:rPr>
      </w:r>
      <w:r/>
    </w:p>
    <w:p>
      <w:pPr>
        <w:ind w:left="0" w:right="0" w:firstLine="0"/>
        <w:jc w:val="left"/>
        <w:spacing w:before="19" w:line="240" w:lineRule="auto"/>
        <w:shd w:val="clear" w:color="auto"/>
        <w:widowControl/>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pPr>
      <w:r>
        <w:rPr>
          <w:rFonts w:hint="eastAsia" w:ascii="Arial" w:hAnsi="Arial" w:cs="Arial"/>
          <w:b w:val="0"/>
          <w:bCs/>
          <w:color w:val="000000" w:themeColor="text1"/>
          <w:szCs w:val="21"/>
          <w:highlight w:val="none"/>
          <w:shd w:val="clear" w:color="auto" w:fill="auto"/>
          <w:lang w:val="en-US" w:eastAsia="zh-CN"/>
          <w14:textFill>
            <w14:solidFill>
              <w14:schemeClr w14:val="tx1"/>
            </w14:solidFill>
          </w14:textFill>
        </w:rPr>
        <w:t xml:space="preserve">附件3：</w:t>
      </w:r>
      <w:r/>
    </w:p>
    <w:p>
      <w:pPr>
        <w:jc w:val="center"/>
        <w:keepLines w:val="0"/>
        <w:keepNext w:val="0"/>
        <w:pageBreakBefore w:val="0"/>
        <w:shd w:val="clear" w:color="auto"/>
        <w:widowControl w:val="off"/>
        <w:rPr>
          <w:rFonts w:hint="eastAsia" w:ascii="方正小标宋简体" w:hAnsi="方正小标宋简体" w:eastAsia="方正小标宋简体" w:cs="方正小标宋简体"/>
          <w:b/>
          <w:bCs/>
          <w:color w:val="000000" w:themeColor="text1"/>
          <w:sz w:val="44"/>
          <w:szCs w:val="44"/>
          <w:highlight w:val="none"/>
          <w:lang w:eastAsia="zh-CN"/>
          <w14:textFill>
            <w14:solidFill>
              <w14:schemeClr w14:val="tx1"/>
            </w14:solidFill>
          </w14:textFill>
        </w:rPr>
      </w:pPr>
      <w:r>
        <w:rPr>
          <w:rFonts w:hint="eastAsia" w:ascii="方正小标宋简体" w:hAnsi="方正小标宋简体" w:eastAsia="方正小标宋简体" w:cs="方正小标宋简体"/>
          <w:b/>
          <w:bCs/>
          <w:color w:val="000000" w:themeColor="text1"/>
          <w:sz w:val="44"/>
          <w:szCs w:val="44"/>
          <w:highlight w:val="none"/>
          <w:lang w:eastAsia="zh-CN"/>
          <w14:textFill>
            <w14:solidFill>
              <w14:schemeClr w14:val="tx1"/>
            </w14:solidFill>
          </w14:textFill>
        </w:rPr>
        <w:t xml:space="preserve">栖霞区市政设施综合养护管理所水务设施管理维护考核办法（</w:t>
      </w:r>
      <w:r>
        <w:rPr>
          <w:rFonts w:hint="eastAsia" w:ascii="方正小标宋简体" w:hAnsi="方正小标宋简体" w:eastAsia="方正小标宋简体" w:cs="方正小标宋简体"/>
          <w:b/>
          <w:bCs/>
          <w:color w:val="000000" w:themeColor="text1"/>
          <w:sz w:val="44"/>
          <w:szCs w:val="44"/>
          <w:highlight w:val="none"/>
          <w:lang w:val="en-US" w:eastAsia="zh-CN"/>
          <w14:textFill>
            <w14:solidFill>
              <w14:schemeClr w14:val="tx1"/>
            </w14:solidFill>
          </w14:textFill>
        </w:rPr>
        <w:t xml:space="preserve">2026</w:t>
      </w:r>
      <w:r>
        <w:rPr>
          <w:rFonts w:hint="eastAsia" w:ascii="方正小标宋简体" w:hAnsi="方正小标宋简体" w:eastAsia="方正小标宋简体" w:cs="方正小标宋简体"/>
          <w:b/>
          <w:bCs/>
          <w:color w:val="000000" w:themeColor="text1"/>
          <w:sz w:val="44"/>
          <w:szCs w:val="44"/>
          <w:highlight w:val="none"/>
          <w:lang w:eastAsia="zh-CN"/>
          <w14:textFill>
            <w14:solidFill>
              <w14:schemeClr w14:val="tx1"/>
            </w14:solidFill>
          </w14:textFill>
        </w:rPr>
        <w:t xml:space="preserve">）</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2"/>
        <w:ind w:left="13" w:right="120" w:firstLine="592"/>
        <w:jc w:val="both"/>
        <w:keepLines w:val="0"/>
        <w:keepNext w:val="0"/>
        <w:pageBreakBefore w:val="0"/>
        <w:spacing w:before="18"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2"/>
          <w:sz w:val="30"/>
          <w:szCs w:val="30"/>
          <w:highlight w:val="none"/>
          <w14:textFill>
            <w14:solidFill>
              <w14:schemeClr w14:val="tx1"/>
            </w14:solidFill>
          </w14:textFill>
        </w:rPr>
        <w:t xml:space="preserve">为确保我区水务设施使用功能完好，规范水务设施维护、管理行为，提升水务</w:t>
      </w:r>
      <w:r>
        <w:rPr>
          <w:rFonts w:hint="eastAsia" w:ascii="仿宋" w:hAnsi="仿宋" w:eastAsia="仿宋" w:cs="仿宋"/>
          <w:color w:val="000000" w:themeColor="text1"/>
          <w:spacing w:val="-3"/>
          <w:sz w:val="30"/>
          <w:szCs w:val="30"/>
          <w:highlight w:val="none"/>
          <w14:textFill>
            <w14:solidFill>
              <w14:schemeClr w14:val="tx1"/>
            </w14:solidFill>
          </w14:textFill>
        </w:rPr>
        <w:t xml:space="preserve">设施</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管理水平，为市民打造宜居环境，根据国家及省、市有关法律、法规和规范性文件，结合我区的实际情况，制定本办法。</w:t>
      </w:r>
      <w:r/>
    </w:p>
    <w:p>
      <w:pPr>
        <w:pStyle w:val="962"/>
        <w:ind w:left="222" w:firstLine="580"/>
        <w:keepLines w:val="0"/>
        <w:keepNext w:val="0"/>
        <w:pageBreakBefore w:val="0"/>
        <w:spacing w:before="23"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5"/>
          <w:sz w:val="30"/>
          <w:szCs w:val="30"/>
          <w:highlight w:val="none"/>
          <w14:textFill>
            <w14:solidFill>
              <w14:schemeClr w14:val="tx1"/>
            </w14:solidFill>
          </w14:textFill>
        </w:rPr>
        <w:t xml:space="preserve">一、</w:t>
      </w:r>
      <w:r>
        <w:rPr>
          <w:rFonts w:hint="eastAsia" w:ascii="仿宋" w:hAnsi="仿宋" w:eastAsia="仿宋" w:cs="仿宋"/>
          <w:color w:val="000000" w:themeColor="text1"/>
          <w:spacing w:val="53"/>
          <w:sz w:val="30"/>
          <w:szCs w:val="30"/>
          <w:highlight w:val="none"/>
          <w14:textFill>
            <w14:solidFill>
              <w14:schemeClr w14:val="tx1"/>
            </w14:solidFill>
          </w14:textFill>
        </w:rPr>
        <w:t xml:space="preserve"> </w:t>
      </w:r>
      <w:r>
        <w:rPr>
          <w:rFonts w:hint="eastAsia" w:ascii="仿宋" w:hAnsi="仿宋" w:eastAsia="仿宋" w:cs="仿宋"/>
          <w:color w:val="000000" w:themeColor="text1"/>
          <w:spacing w:val="-5"/>
          <w:sz w:val="30"/>
          <w:szCs w:val="30"/>
          <w:highlight w:val="none"/>
          <w14:textFill>
            <w14:solidFill>
              <w14:schemeClr w14:val="tx1"/>
            </w14:solidFill>
          </w14:textFill>
        </w:rPr>
        <w:t xml:space="preserve">组织结构及职责</w:t>
      </w:r>
      <w:r/>
    </w:p>
    <w:p>
      <w:pPr>
        <w:pStyle w:val="962"/>
        <w:ind w:left="6" w:right="120" w:firstLine="592"/>
        <w:jc w:val="both"/>
        <w:keepLines w:val="0"/>
        <w:keepNext w:val="0"/>
        <w:pageBreakBefore w:val="0"/>
        <w:spacing w:before="19"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2"/>
          <w:sz w:val="30"/>
          <w:szCs w:val="30"/>
          <w:highlight w:val="none"/>
          <w14:textFill>
            <w14:solidFill>
              <w14:schemeClr w14:val="tx1"/>
            </w14:solidFill>
          </w14:textFill>
        </w:rPr>
        <w:t xml:space="preserve">成立栖霞区市政设施综合养护管理所水务设施维护管理考核工作领导小组，负责制</w:t>
      </w:r>
      <w:r>
        <w:rPr>
          <w:rFonts w:hint="eastAsia" w:ascii="仿宋" w:hAnsi="仿宋" w:eastAsia="仿宋" w:cs="仿宋"/>
          <w:color w:val="000000" w:themeColor="text1"/>
          <w:spacing w:val="3"/>
          <w:sz w:val="30"/>
          <w:szCs w:val="30"/>
          <w:highlight w:val="none"/>
          <w14:textFill>
            <w14:solidFill>
              <w14:schemeClr w14:val="tx1"/>
            </w14:solidFill>
          </w14:textFill>
        </w:rPr>
        <w:t xml:space="preserve">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定考核办法，协调有关问题，指导督促辖区内设施维护管理工作的实施，对各养护公司</w:t>
      </w:r>
      <w:r>
        <w:rPr>
          <w:rFonts w:hint="eastAsia" w:ascii="仿宋" w:hAnsi="仿宋" w:eastAsia="仿宋" w:cs="仿宋"/>
          <w:color w:val="000000" w:themeColor="text1"/>
          <w:spacing w:val="1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1"/>
          <w:sz w:val="30"/>
          <w:szCs w:val="30"/>
          <w:highlight w:val="none"/>
          <w14:textFill>
            <w14:solidFill>
              <w14:schemeClr w14:val="tx1"/>
            </w14:solidFill>
          </w14:textFill>
        </w:rPr>
        <w:t xml:space="preserve">水务设施维护管理情况进行检查、考核，并将考核结果汇总上报。</w:t>
      </w:r>
      <w:r/>
    </w:p>
    <w:p>
      <w:pPr>
        <w:pStyle w:val="962"/>
        <w:ind w:firstLine="572"/>
        <w:keepLines w:val="0"/>
        <w:keepNext w:val="0"/>
        <w:pageBreakBefore w:val="0"/>
        <w:spacing w:before="26"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7"/>
          <w:sz w:val="30"/>
          <w:szCs w:val="30"/>
          <w:highlight w:val="none"/>
          <w14:textFill>
            <w14:solidFill>
              <w14:schemeClr w14:val="tx1"/>
            </w14:solidFill>
          </w14:textFill>
        </w:rPr>
        <w:t xml:space="preserve">二、</w:t>
      </w:r>
      <w:r>
        <w:rPr>
          <w:rFonts w:hint="eastAsia" w:ascii="仿宋" w:hAnsi="仿宋" w:eastAsia="仿宋" w:cs="仿宋"/>
          <w:color w:val="000000" w:themeColor="text1"/>
          <w:spacing w:val="46"/>
          <w:sz w:val="30"/>
          <w:szCs w:val="30"/>
          <w:highlight w:val="none"/>
          <w14:textFill>
            <w14:solidFill>
              <w14:schemeClr w14:val="tx1"/>
            </w14:solidFill>
          </w14:textFill>
        </w:rPr>
        <w:t xml:space="preserve"> </w:t>
      </w:r>
      <w:r>
        <w:rPr>
          <w:rFonts w:hint="eastAsia" w:ascii="仿宋" w:hAnsi="仿宋" w:eastAsia="仿宋" w:cs="仿宋"/>
          <w:color w:val="000000" w:themeColor="text1"/>
          <w:spacing w:val="-7"/>
          <w:sz w:val="30"/>
          <w:szCs w:val="30"/>
          <w:highlight w:val="none"/>
          <w14:textFill>
            <w14:solidFill>
              <w14:schemeClr w14:val="tx1"/>
            </w14:solidFill>
          </w14:textFill>
        </w:rPr>
        <w:t xml:space="preserve">考核范围</w:t>
      </w:r>
      <w:r/>
    </w:p>
    <w:p>
      <w:pPr>
        <w:pStyle w:val="962"/>
        <w:ind w:firstLine="596"/>
        <w:keepLines w:val="0"/>
        <w:keepNext w:val="0"/>
        <w:pageBreakBefore w:val="0"/>
        <w:spacing w:before="23"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1"/>
          <w:sz w:val="30"/>
          <w:szCs w:val="30"/>
          <w:highlight w:val="none"/>
          <w14:textFill>
            <w14:solidFill>
              <w14:schemeClr w14:val="tx1"/>
            </w14:solidFill>
          </w14:textFill>
        </w:rPr>
        <w:t xml:space="preserve">水务设施的维护、管理工作情况，具体包括:</w:t>
      </w:r>
      <w:r/>
    </w:p>
    <w:p>
      <w:pPr>
        <w:pStyle w:val="962"/>
        <w:ind w:firstLine="596"/>
        <w:keepLines w:val="0"/>
        <w:keepNext w:val="0"/>
        <w:pageBreakBefore w:val="0"/>
        <w:spacing w:before="24"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1"/>
          <w:sz w:val="30"/>
          <w:szCs w:val="30"/>
          <w:highlight w:val="none"/>
          <w14:textFill>
            <w14:solidFill>
              <w14:schemeClr w14:val="tx1"/>
            </w14:solidFill>
          </w14:textFill>
        </w:rPr>
        <w:t xml:space="preserve">排水管道:指委托管养的排水管道、检查井、雨水口及其他附属设施。</w:t>
      </w:r>
      <w:r/>
    </w:p>
    <w:p>
      <w:pPr>
        <w:pStyle w:val="962"/>
        <w:ind w:right="2989" w:firstLine="588"/>
        <w:keepLines w:val="0"/>
        <w:keepNext w:val="0"/>
        <w:pageBreakBefore w:val="0"/>
        <w:spacing w:before="27" w:line="560" w:lineRule="exact"/>
        <w:shd w:val="clear" w:color="auto"/>
        <w:widowControl/>
        <w:rPr>
          <w:rFonts w:hint="eastAsia" w:ascii="仿宋" w:hAnsi="仿宋" w:eastAsia="仿宋" w:cs="仿宋"/>
          <w:color w:val="000000" w:themeColor="text1"/>
          <w:spacing w:val="11"/>
          <w:sz w:val="30"/>
          <w:szCs w:val="30"/>
          <w:highlight w:val="none"/>
          <w:lang w:val="en-US" w:eastAsia="zh-CN"/>
          <w14:textFill>
            <w14:solidFill>
              <w14:schemeClr w14:val="tx1"/>
            </w14:solidFill>
          </w14:textFill>
        </w:rPr>
      </w:pPr>
      <w:r>
        <w:rPr>
          <w:rFonts w:hint="eastAsia" w:ascii="仿宋" w:hAnsi="仿宋" w:eastAsia="仿宋" w:cs="仿宋"/>
          <w:color w:val="000000" w:themeColor="text1"/>
          <w:spacing w:val="-3"/>
          <w:sz w:val="30"/>
          <w:szCs w:val="30"/>
          <w:highlight w:val="none"/>
          <w14:textFill>
            <w14:solidFill>
              <w14:schemeClr w14:val="tx1"/>
            </w14:solidFill>
          </w14:textFill>
        </w:rPr>
        <w:t xml:space="preserve">河道：指河面、岸坡、水闸、拦污栅等</w:t>
      </w:r>
      <w:r>
        <w:rPr>
          <w:rFonts w:hint="eastAsia" w:cs="仿宋"/>
          <w:color w:val="000000" w:themeColor="text1"/>
          <w:spacing w:val="-3"/>
          <w:sz w:val="30"/>
          <w:szCs w:val="30"/>
          <w:highlight w:val="none"/>
          <w:lang w:eastAsia="zh-CN"/>
          <w14:textFill>
            <w14:solidFill>
              <w14:schemeClr w14:val="tx1"/>
            </w14:solidFill>
          </w14:textFill>
        </w:rPr>
        <w:t xml:space="preserve">。</w:t>
      </w:r>
      <w:r/>
    </w:p>
    <w:p>
      <w:pPr>
        <w:pStyle w:val="962"/>
        <w:ind w:right="2989" w:firstLine="592"/>
        <w:keepLines w:val="0"/>
        <w:keepNext w:val="0"/>
        <w:pageBreakBefore w:val="0"/>
        <w:spacing w:before="27"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2"/>
          <w:sz w:val="30"/>
          <w:szCs w:val="30"/>
          <w:highlight w:val="none"/>
          <w14:textFill>
            <w14:solidFill>
              <w14:schemeClr w14:val="tx1"/>
            </w14:solidFill>
          </w14:textFill>
        </w:rPr>
        <w:t xml:space="preserve">泵站：指委托管养的泵站及附属设施。</w:t>
      </w:r>
      <w:r/>
    </w:p>
    <w:p>
      <w:pPr>
        <w:pStyle w:val="962"/>
        <w:ind w:left="225" w:firstLine="572"/>
        <w:keepLines w:val="0"/>
        <w:keepNext w:val="0"/>
        <w:pageBreakBefore w:val="0"/>
        <w:spacing w:before="25"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7"/>
          <w:sz w:val="30"/>
          <w:szCs w:val="30"/>
          <w:highlight w:val="none"/>
          <w14:textFill>
            <w14:solidFill>
              <w14:schemeClr w14:val="tx1"/>
            </w14:solidFill>
          </w14:textFill>
        </w:rPr>
        <w:t xml:space="preserve">三、</w:t>
      </w:r>
      <w:r>
        <w:rPr>
          <w:rFonts w:hint="eastAsia" w:ascii="仿宋" w:hAnsi="仿宋" w:eastAsia="仿宋" w:cs="仿宋"/>
          <w:color w:val="000000" w:themeColor="text1"/>
          <w:spacing w:val="47"/>
          <w:sz w:val="30"/>
          <w:szCs w:val="30"/>
          <w:highlight w:val="none"/>
          <w14:textFill>
            <w14:solidFill>
              <w14:schemeClr w14:val="tx1"/>
            </w14:solidFill>
          </w14:textFill>
        </w:rPr>
        <w:t xml:space="preserve"> </w:t>
      </w:r>
      <w:r>
        <w:rPr>
          <w:rFonts w:hint="eastAsia" w:ascii="仿宋" w:hAnsi="仿宋" w:eastAsia="仿宋" w:cs="仿宋"/>
          <w:color w:val="000000" w:themeColor="text1"/>
          <w:spacing w:val="-7"/>
          <w:sz w:val="30"/>
          <w:szCs w:val="30"/>
          <w:highlight w:val="none"/>
          <w14:textFill>
            <w14:solidFill>
              <w14:schemeClr w14:val="tx1"/>
            </w14:solidFill>
          </w14:textFill>
        </w:rPr>
        <w:t xml:space="preserve">考核依据</w:t>
      </w:r>
      <w:r/>
    </w:p>
    <w:p>
      <w:pPr>
        <w:pStyle w:val="962"/>
        <w:ind w:left="15" w:right="14" w:firstLine="576"/>
        <w:jc w:val="both"/>
        <w:keepLines w:val="0"/>
        <w:keepNext w:val="0"/>
        <w:pageBreakBefore w:val="0"/>
        <w:spacing w:before="19" w:line="560" w:lineRule="exact"/>
        <w:shd w:val="clear" w:color="auto"/>
        <w:widowControl/>
        <w:rPr>
          <w:rFonts w:hint="eastAsia" w:ascii="仿宋" w:hAnsi="仿宋" w:eastAsia="仿宋" w:cs="仿宋"/>
          <w:color w:val="000000" w:themeColor="text1"/>
          <w:spacing w:val="-11"/>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t xml:space="preserve">城市排水设施维护管理检查考核应当遵循《城镇排水处理条例》《南京市排水条例</w:t>
      </w:r>
      <w:r>
        <w:rPr>
          <w:rFonts w:hint="eastAsia" w:cs="仿宋"/>
          <w:color w:val="000000" w:themeColor="text1"/>
          <w:spacing w:val="-6"/>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pacing w:val="-5"/>
          <w:sz w:val="30"/>
          <w:szCs w:val="30"/>
          <w:highlight w:val="none"/>
          <w14:textFill>
            <w14:solidFill>
              <w14:schemeClr w14:val="tx1"/>
            </w14:solidFill>
          </w14:textFill>
        </w:rPr>
        <w:t xml:space="preserve">等相关法规和《城镇排水管道维护安全技术规程》《城镇排</w:t>
      </w:r>
      <w:r>
        <w:rPr>
          <w:rFonts w:hint="eastAsia" w:ascii="仿宋" w:hAnsi="仿宋" w:eastAsia="仿宋" w:cs="仿宋"/>
          <w:color w:val="000000" w:themeColor="text1"/>
          <w:spacing w:val="-6"/>
          <w:sz w:val="30"/>
          <w:szCs w:val="30"/>
          <w:highlight w:val="none"/>
          <w14:textFill>
            <w14:solidFill>
              <w14:schemeClr w14:val="tx1"/>
            </w14:solidFill>
          </w14:textFill>
        </w:rPr>
        <w:t xml:space="preserve">水灌渠及泵站养护技术规程》</w:t>
      </w:r>
      <w:r>
        <w:rPr>
          <w:rFonts w:hint="eastAsia" w:ascii="仿宋" w:hAnsi="仿宋" w:eastAsia="仿宋" w:cs="仿宋"/>
          <w:color w:val="000000" w:themeColor="text1"/>
          <w:spacing w:val="-3"/>
          <w:sz w:val="30"/>
          <w:szCs w:val="30"/>
          <w:highlight w:val="none"/>
          <w14:textFill>
            <w14:solidFill>
              <w14:schemeClr w14:val="tx1"/>
            </w14:solidFill>
          </w14:textFill>
        </w:rPr>
        <w:t xml:space="preserve">等技术规范和行业标准。安全生产相关工作按照《江苏省安全生产条例》，《江苏省消防条例》及其细则进行考核。国家，省，市及我区关于安全生产考核的其他规定相关调整的，按调整后的规范执行。</w:t>
      </w:r>
      <w:r/>
    </w:p>
    <w:p>
      <w:pPr>
        <w:pStyle w:val="962"/>
        <w:ind w:firstLine="556"/>
        <w:keepLines w:val="0"/>
        <w:keepNext w:val="0"/>
        <w:pageBreakBefore w:val="0"/>
        <w:spacing w:before="23"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11"/>
          <w:sz w:val="30"/>
          <w:szCs w:val="30"/>
          <w:highlight w:val="none"/>
          <w14:textFill>
            <w14:solidFill>
              <w14:schemeClr w14:val="tx1"/>
            </w14:solidFill>
          </w14:textFill>
        </w:rPr>
        <w:t xml:space="preserve">四、</w:t>
      </w:r>
      <w:r>
        <w:rPr>
          <w:rFonts w:hint="eastAsia" w:ascii="仿宋" w:hAnsi="仿宋" w:eastAsia="仿宋" w:cs="仿宋"/>
          <w:color w:val="000000" w:themeColor="text1"/>
          <w:spacing w:val="49"/>
          <w:sz w:val="30"/>
          <w:szCs w:val="30"/>
          <w:highlight w:val="none"/>
          <w14:textFill>
            <w14:solidFill>
              <w14:schemeClr w14:val="tx1"/>
            </w14:solidFill>
          </w14:textFill>
        </w:rPr>
        <w:t xml:space="preserve"> </w:t>
      </w:r>
      <w:r>
        <w:rPr>
          <w:rFonts w:hint="eastAsia" w:ascii="仿宋" w:hAnsi="仿宋" w:eastAsia="仿宋" w:cs="仿宋"/>
          <w:color w:val="000000" w:themeColor="text1"/>
          <w:spacing w:val="-11"/>
          <w:sz w:val="30"/>
          <w:szCs w:val="30"/>
          <w:highlight w:val="none"/>
          <w14:textFill>
            <w14:solidFill>
              <w14:schemeClr w14:val="tx1"/>
            </w14:solidFill>
          </w14:textFill>
        </w:rPr>
        <w:t xml:space="preserve">考核原则</w:t>
      </w:r>
      <w:r/>
    </w:p>
    <w:p>
      <w:pPr>
        <w:pStyle w:val="962"/>
        <w:ind w:firstLine="588"/>
        <w:keepLines w:val="0"/>
        <w:keepNext w:val="0"/>
        <w:pageBreakBefore w:val="0"/>
        <w:spacing w:before="23"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3"/>
          <w:sz w:val="30"/>
          <w:szCs w:val="30"/>
          <w:highlight w:val="none"/>
          <w14:textFill>
            <w14:solidFill>
              <w14:schemeClr w14:val="tx1"/>
            </w14:solidFill>
          </w14:textFill>
        </w:rPr>
        <w:t xml:space="preserve">1、坚持责、权、利相统一原则。</w:t>
      </w:r>
      <w:r/>
    </w:p>
    <w:p>
      <w:pPr>
        <w:pStyle w:val="962"/>
        <w:ind w:firstLine="592"/>
        <w:keepLines w:val="0"/>
        <w:keepNext w:val="0"/>
        <w:pageBreakBefore w:val="0"/>
        <w:spacing w:before="24"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2"/>
          <w:sz w:val="30"/>
          <w:szCs w:val="30"/>
          <w:highlight w:val="none"/>
          <w14:textFill>
            <w14:solidFill>
              <w14:schemeClr w14:val="tx1"/>
            </w14:solidFill>
          </w14:textFill>
        </w:rPr>
        <w:t xml:space="preserve">2、坚持过程与结果并重原则。</w:t>
      </w:r>
      <w:r/>
    </w:p>
    <w:p>
      <w:pPr>
        <w:pStyle w:val="962"/>
        <w:ind w:left="294" w:right="3889" w:firstLine="292"/>
        <w:keepLines w:val="0"/>
        <w:keepNext w:val="0"/>
        <w:pageBreakBefore w:val="0"/>
        <w:spacing w:before="26" w:line="560" w:lineRule="exact"/>
        <w:shd w:val="clear" w:color="auto"/>
        <w:widowControl/>
        <w:rPr>
          <w:rFonts w:hint="default" w:ascii="仿宋" w:hAnsi="仿宋" w:eastAsia="仿宋" w:cs="仿宋"/>
          <w:color w:val="000000" w:themeColor="text1"/>
          <w:spacing w:val="-4"/>
          <w:sz w:val="30"/>
          <w:szCs w:val="30"/>
          <w:highlight w:val="none"/>
          <w:lang w:val="en-US" w:eastAsia="zh-CN"/>
          <w14:textFill>
            <w14:solidFill>
              <w14:schemeClr w14:val="tx1"/>
            </w14:solidFill>
          </w14:textFill>
        </w:rPr>
      </w:pPr>
      <w:r>
        <w:rPr>
          <w:rFonts w:hint="eastAsia" w:ascii="仿宋" w:hAnsi="仿宋" w:eastAsia="仿宋" w:cs="仿宋"/>
          <w:color w:val="000000" w:themeColor="text1"/>
          <w:spacing w:val="-4"/>
          <w:sz w:val="30"/>
          <w:szCs w:val="30"/>
          <w:highlight w:val="none"/>
          <w14:textFill>
            <w14:solidFill>
              <w14:schemeClr w14:val="tx1"/>
            </w14:solidFill>
          </w14:textFill>
        </w:rPr>
        <w:t xml:space="preserve">3、坚持考核结果与考核经费相</w:t>
      </w:r>
      <w:r>
        <w:rPr>
          <w:rFonts w:hint="eastAsia" w:cs="仿宋"/>
          <w:color w:val="000000" w:themeColor="text1"/>
          <w:spacing w:val="-4"/>
          <w:sz w:val="30"/>
          <w:szCs w:val="30"/>
          <w:highlight w:val="none"/>
          <w:lang w:val="en-US" w:eastAsia="zh-CN"/>
          <w14:textFill>
            <w14:solidFill>
              <w14:schemeClr w14:val="tx1"/>
            </w14:solidFill>
          </w14:textFill>
        </w:rPr>
        <w:t xml:space="preserve">挂钩。</w:t>
      </w:r>
      <w:r/>
    </w:p>
    <w:p>
      <w:pPr>
        <w:pStyle w:val="962"/>
        <w:ind w:left="294" w:right="3889" w:firstLine="286"/>
        <w:keepLines w:val="0"/>
        <w:keepNext w:val="0"/>
        <w:pageBreakBefore w:val="0"/>
        <w:spacing w:before="26"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7"/>
          <w:sz w:val="30"/>
          <w:szCs w:val="30"/>
          <w:highlight w:val="none"/>
          <w14:textFill>
            <w14:solidFill>
              <w14:schemeClr w14:val="tx1"/>
            </w14:solidFill>
          </w14:textFill>
        </w:rPr>
        <w:t xml:space="preserve">五、</w:t>
      </w:r>
      <w:r>
        <w:rPr>
          <w:rFonts w:hint="eastAsia" w:ascii="仿宋" w:hAnsi="仿宋" w:eastAsia="仿宋" w:cs="仿宋"/>
          <w:color w:val="000000" w:themeColor="text1"/>
          <w:spacing w:val="50"/>
          <w:sz w:val="30"/>
          <w:szCs w:val="30"/>
          <w:highlight w:val="none"/>
          <w14:textFill>
            <w14:solidFill>
              <w14:schemeClr w14:val="tx1"/>
            </w14:solidFill>
          </w14:textFill>
        </w:rPr>
        <w:t xml:space="preserve"> </w:t>
      </w:r>
      <w:r>
        <w:rPr>
          <w:rFonts w:hint="eastAsia" w:ascii="仿宋" w:hAnsi="仿宋" w:eastAsia="仿宋" w:cs="仿宋"/>
          <w:color w:val="000000" w:themeColor="text1"/>
          <w:spacing w:val="-7"/>
          <w:sz w:val="30"/>
          <w:szCs w:val="30"/>
          <w:highlight w:val="none"/>
          <w14:textFill>
            <w14:solidFill>
              <w14:schemeClr w14:val="tx1"/>
            </w14:solidFill>
          </w14:textFill>
        </w:rPr>
        <w:t xml:space="preserve">考核对象</w:t>
      </w:r>
      <w:r/>
    </w:p>
    <w:p>
      <w:pPr>
        <w:pStyle w:val="962"/>
        <w:ind w:left="473" w:firstLine="584"/>
        <w:keepLines w:val="0"/>
        <w:keepNext w:val="0"/>
        <w:pageBreakBefore w:val="0"/>
        <w:spacing w:before="23"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4"/>
          <w:sz w:val="30"/>
          <w:szCs w:val="30"/>
          <w:highlight w:val="none"/>
          <w14:textFill>
            <w14:solidFill>
              <w14:schemeClr w14:val="tx1"/>
            </w14:solidFill>
          </w14:textFill>
        </w:rPr>
        <w:t xml:space="preserve">各养护公司</w:t>
      </w:r>
      <w:r/>
    </w:p>
    <w:p>
      <w:pPr>
        <w:pStyle w:val="962"/>
        <w:ind w:firstLine="592"/>
        <w:keepLines w:val="0"/>
        <w:keepNext w:val="0"/>
        <w:pageBreakBefore w:val="0"/>
        <w:spacing w:before="23"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2"/>
          <w:sz w:val="30"/>
          <w:szCs w:val="30"/>
          <w:highlight w:val="none"/>
          <w14:textFill>
            <w14:solidFill>
              <w14:schemeClr w14:val="tx1"/>
            </w14:solidFill>
          </w14:textFill>
        </w:rPr>
        <w:t xml:space="preserve">六、考核内容及标准</w:t>
      </w:r>
      <w:r/>
    </w:p>
    <w:p>
      <w:pPr>
        <w:pStyle w:val="962"/>
        <w:ind w:left="18" w:right="109" w:firstLine="592"/>
        <w:keepLines w:val="0"/>
        <w:keepNext w:val="0"/>
        <w:pageBreakBefore w:val="0"/>
        <w:spacing w:before="22"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2"/>
          <w:sz w:val="30"/>
          <w:szCs w:val="30"/>
          <w:highlight w:val="none"/>
          <w14:textFill>
            <w14:solidFill>
              <w14:schemeClr w14:val="tx1"/>
            </w14:solidFill>
          </w14:textFill>
        </w:rPr>
        <w:t xml:space="preserve">（一）考核分为月度考核和年度考核。月度考核根据考核细则实行百分制，主要包括</w:t>
      </w:r>
      <w:r>
        <w:rPr>
          <w:rFonts w:hint="eastAsia" w:ascii="仿宋" w:hAnsi="仿宋" w:eastAsia="仿宋" w:cs="仿宋"/>
          <w:color w:val="000000" w:themeColor="text1"/>
          <w:spacing w:val="4"/>
          <w:sz w:val="30"/>
          <w:szCs w:val="30"/>
          <w:highlight w:val="none"/>
          <w14:textFill>
            <w14:solidFill>
              <w14:schemeClr w14:val="tx1"/>
            </w14:solidFill>
          </w14:textFill>
        </w:rPr>
        <w:t xml:space="preserve">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南京排水监管系统运用、设施维护巡查过程、完好状况和管理绩效水平三个方面内容。</w:t>
      </w:r>
      <w:r/>
    </w:p>
    <w:p>
      <w:pPr>
        <w:pStyle w:val="962"/>
        <w:ind w:left="8" w:right="55" w:firstLine="580"/>
        <w:keepLines w:val="0"/>
        <w:keepNext w:val="0"/>
        <w:pageBreakBefore w:val="0"/>
        <w:spacing w:before="23"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5"/>
          <w:sz w:val="30"/>
          <w:szCs w:val="30"/>
          <w:highlight w:val="none"/>
          <w14:textFill>
            <w14:solidFill>
              <w14:schemeClr w14:val="tx1"/>
            </w14:solidFill>
          </w14:textFill>
        </w:rPr>
        <w:t xml:space="preserve">1、南京排水监管系统运用：每月考核公司</w:t>
      </w:r>
      <w:r>
        <w:rPr>
          <w:rFonts w:hint="eastAsia" w:ascii="仿宋" w:hAnsi="仿宋" w:eastAsia="仿宋" w:cs="仿宋"/>
          <w:color w:val="000000" w:themeColor="text1"/>
          <w:spacing w:val="-6"/>
          <w:sz w:val="30"/>
          <w:szCs w:val="30"/>
          <w:highlight w:val="none"/>
          <w14:textFill>
            <w14:solidFill>
              <w14:schemeClr w14:val="tx1"/>
            </w14:solidFill>
          </w14:textFill>
        </w:rPr>
        <w:t xml:space="preserve">设施完成维护打卡的量和准确性（30</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6"/>
          <w:sz w:val="30"/>
          <w:szCs w:val="30"/>
          <w:highlight w:val="none"/>
          <w14:textFill>
            <w14:solidFill>
              <w14:schemeClr w14:val="tx1"/>
            </w14:solidFill>
          </w14:textFill>
        </w:rPr>
        <w:t xml:space="preserve">分，</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详见细则）。</w:t>
      </w:r>
      <w:r/>
    </w:p>
    <w:p>
      <w:pPr>
        <w:pStyle w:val="962"/>
        <w:ind w:left="6" w:right="120" w:firstLine="604"/>
        <w:jc w:val="both"/>
        <w:keepLines w:val="0"/>
        <w:keepNext w:val="0"/>
        <w:pageBreakBefore w:val="0"/>
        <w:spacing w:before="266"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1"/>
          <w:sz w:val="30"/>
          <w:szCs w:val="30"/>
          <w:highlight w:val="none"/>
          <w14:textFill>
            <w14:solidFill>
              <w14:schemeClr w14:val="tx1"/>
            </w14:solidFill>
          </w14:textFill>
        </w:rPr>
        <w:t xml:space="preserve">2</w:t>
      </w:r>
      <w:r>
        <w:rPr>
          <w:rFonts w:hint="eastAsia" w:ascii="仿宋" w:hAnsi="仿宋" w:eastAsia="仿宋" w:cs="仿宋"/>
          <w:color w:val="000000" w:themeColor="text1"/>
          <w:spacing w:val="-24"/>
          <w:sz w:val="30"/>
          <w:szCs w:val="30"/>
          <w:highlight w:val="none"/>
          <w14:textFill>
            <w14:solidFill>
              <w14:schemeClr w14:val="tx1"/>
            </w14:solidFill>
          </w14:textFill>
        </w:rPr>
        <w:t xml:space="preserve"> </w:t>
      </w:r>
      <w:r>
        <w:rPr>
          <w:rFonts w:hint="eastAsia" w:ascii="仿宋" w:hAnsi="仿宋" w:eastAsia="仿宋" w:cs="仿宋"/>
          <w:color w:val="000000" w:themeColor="text1"/>
          <w:spacing w:val="1"/>
          <w:sz w:val="30"/>
          <w:szCs w:val="30"/>
          <w:highlight w:val="none"/>
          <w14:textFill>
            <w14:solidFill>
              <w14:schemeClr w14:val="tx1"/>
            </w14:solidFill>
          </w14:textFill>
        </w:rPr>
        <w:t xml:space="preserve">、设施维护过程、设施综合状况完好：每月考核养护公司的</w:t>
      </w:r>
      <w:r>
        <w:rPr>
          <w:rFonts w:hint="eastAsia" w:ascii="仿宋" w:hAnsi="仿宋" w:eastAsia="仿宋" w:cs="仿宋"/>
          <w:color w:val="000000" w:themeColor="text1"/>
          <w:sz w:val="30"/>
          <w:szCs w:val="30"/>
          <w:highlight w:val="none"/>
          <w14:textFill>
            <w14:solidFill>
              <w14:schemeClr w14:val="tx1"/>
            </w14:solidFill>
          </w14:textFill>
        </w:rPr>
        <w:t xml:space="preserve">养护计划、巡检、养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护质量、通沟污泥处置情况、设施完好情况、占用设施巡查情况、问题菜单处理，公司</w:t>
      </w:r>
      <w:r>
        <w:rPr>
          <w:rFonts w:hint="eastAsia" w:ascii="仿宋" w:hAnsi="仿宋" w:eastAsia="仿宋" w:cs="仿宋"/>
          <w:color w:val="000000" w:themeColor="text1"/>
          <w:spacing w:val="1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内部考核等养护全过程及各类重大活动的保障情况进行考核，发现的问题纳入当月考核</w:t>
      </w:r>
      <w:r/>
    </w:p>
    <w:p>
      <w:pPr>
        <w:pStyle w:val="962"/>
        <w:ind w:left="10" w:firstLine="588"/>
        <w:keepLines w:val="0"/>
        <w:keepNext w:val="0"/>
        <w:pageBreakBefore w:val="0"/>
        <w:spacing w:before="40"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3"/>
          <w:sz w:val="30"/>
          <w:szCs w:val="30"/>
          <w:highlight w:val="none"/>
          <w14:textFill>
            <w14:solidFill>
              <w14:schemeClr w14:val="tx1"/>
            </w14:solidFill>
          </w14:textFill>
        </w:rPr>
        <w:t xml:space="preserve">成绩（30</w:t>
      </w:r>
      <w:r>
        <w:rPr>
          <w:rFonts w:hint="eastAsia" w:ascii="仿宋" w:hAnsi="仿宋" w:eastAsia="仿宋" w:cs="仿宋"/>
          <w:color w:val="000000" w:themeColor="text1"/>
          <w:spacing w:val="-42"/>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分，详见细则）。</w:t>
      </w:r>
      <w:r/>
    </w:p>
    <w:p>
      <w:pPr>
        <w:pStyle w:val="962"/>
        <w:ind w:left="20" w:right="122" w:firstLine="608"/>
        <w:keepLines w:val="0"/>
        <w:keepNext w:val="0"/>
        <w:pageBreakBefore w:val="0"/>
        <w:spacing w:before="73"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2"/>
          <w:sz w:val="30"/>
          <w:szCs w:val="30"/>
          <w:highlight w:val="none"/>
          <w14:textFill>
            <w14:solidFill>
              <w14:schemeClr w14:val="tx1"/>
            </w14:solidFill>
          </w14:textFill>
        </w:rPr>
        <w:t xml:space="preserve">3、管理绩效水平方面：主要考核养护公司</w:t>
      </w:r>
      <w:r>
        <w:rPr>
          <w:rFonts w:hint="eastAsia" w:ascii="仿宋" w:hAnsi="仿宋" w:eastAsia="仿宋" w:cs="仿宋"/>
          <w:color w:val="000000" w:themeColor="text1"/>
          <w:spacing w:val="1"/>
          <w:sz w:val="30"/>
          <w:szCs w:val="30"/>
          <w:highlight w:val="none"/>
          <w14:textFill>
            <w14:solidFill>
              <w14:schemeClr w14:val="tx1"/>
            </w14:solidFill>
          </w14:textFill>
        </w:rPr>
        <w:t xml:space="preserve">日常养护管理、各类台账管理、养护监</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管、应急保障、安全生产等工作（40</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分，详见细则）。</w:t>
      </w:r>
      <w:r/>
    </w:p>
    <w:p>
      <w:pPr>
        <w:pStyle w:val="962"/>
        <w:ind w:left="478" w:firstLine="592"/>
        <w:keepLines w:val="0"/>
        <w:keepNext w:val="0"/>
        <w:pageBreakBefore w:val="0"/>
        <w:spacing w:before="23"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2"/>
          <w:sz w:val="30"/>
          <w:szCs w:val="30"/>
          <w:highlight w:val="none"/>
          <w14:textFill>
            <w14:solidFill>
              <w14:schemeClr w14:val="tx1"/>
            </w14:solidFill>
          </w14:textFill>
        </w:rPr>
        <w:t xml:space="preserve">4、附加分</w:t>
      </w:r>
      <w:r/>
    </w:p>
    <w:p>
      <w:pPr>
        <w:pStyle w:val="962"/>
        <w:ind w:left="5" w:right="14" w:firstLine="588"/>
        <w:keepLines w:val="0"/>
        <w:keepNext w:val="0"/>
        <w:pageBreakBefore w:val="0"/>
        <w:spacing w:before="78"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3"/>
          <w:sz w:val="30"/>
          <w:szCs w:val="30"/>
          <w:highlight w:val="none"/>
          <w14:textFill>
            <w14:solidFill>
              <w14:schemeClr w14:val="tx1"/>
            </w14:solidFill>
          </w14:textFill>
        </w:rPr>
        <w:t xml:space="preserve">（1）养护公司因排水设施管理、养护、防汛应急成绩</w:t>
      </w:r>
      <w:r>
        <w:rPr>
          <w:rFonts w:hint="eastAsia" w:ascii="仿宋" w:hAnsi="仿宋" w:eastAsia="仿宋" w:cs="仿宋"/>
          <w:color w:val="000000" w:themeColor="text1"/>
          <w:spacing w:val="-4"/>
          <w:sz w:val="30"/>
          <w:szCs w:val="30"/>
          <w:highlight w:val="none"/>
          <w14:textFill>
            <w14:solidFill>
              <w14:schemeClr w14:val="tx1"/>
            </w14:solidFill>
          </w14:textFill>
        </w:rPr>
        <w:t xml:space="preserve">突出，在市级以上媒体宣传的；</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受到上级部门专门表扬的，每次加</w:t>
      </w:r>
      <w:r>
        <w:rPr>
          <w:rFonts w:hint="eastAsia" w:ascii="仿宋" w:hAnsi="仿宋" w:eastAsia="仿宋" w:cs="仿宋"/>
          <w:color w:val="000000" w:themeColor="text1"/>
          <w:spacing w:val="-19"/>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1-2</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分，当月考核累计最高加</w:t>
      </w:r>
      <w:r>
        <w:rPr>
          <w:rFonts w:hint="eastAsia" w:ascii="仿宋" w:hAnsi="仿宋" w:eastAsia="仿宋" w:cs="仿宋"/>
          <w:color w:val="000000" w:themeColor="text1"/>
          <w:spacing w:val="-53"/>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4</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分（受表扬的单位需</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要提供相关材料）。</w:t>
      </w:r>
      <w:r/>
    </w:p>
    <w:p>
      <w:pPr>
        <w:pStyle w:val="962"/>
        <w:ind w:left="14" w:right="76" w:firstLine="604"/>
        <w:keepLines w:val="0"/>
        <w:keepNext w:val="0"/>
        <w:pageBreakBefore w:val="0"/>
        <w:spacing w:before="24"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1"/>
          <w:sz w:val="30"/>
          <w:szCs w:val="30"/>
          <w:highlight w:val="none"/>
          <w14:textFill>
            <w14:solidFill>
              <w14:schemeClr w14:val="tx1"/>
            </w14:solidFill>
          </w14:textFill>
        </w:rPr>
        <w:t xml:space="preserve">（2）养护公司应积极参与创优、创新、文明施工竞赛等各类评比活动。参与各类评</w:t>
      </w:r>
      <w:r>
        <w:rPr>
          <w:rFonts w:hint="eastAsia" w:ascii="仿宋" w:hAnsi="仿宋" w:eastAsia="仿宋" w:cs="仿宋"/>
          <w:color w:val="000000" w:themeColor="text1"/>
          <w:spacing w:val="13"/>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比活动获奖的，视国家、省、市不同层次在当月考核中加分，分值分别为</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3、2、1</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分，</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累计最高加</w:t>
      </w:r>
      <w:r>
        <w:rPr>
          <w:rFonts w:hint="eastAsia" w:ascii="仿宋" w:hAnsi="仿宋" w:eastAsia="仿宋" w:cs="仿宋"/>
          <w:color w:val="000000" w:themeColor="text1"/>
          <w:spacing w:val="-44"/>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4</w:t>
      </w:r>
      <w:r>
        <w:rPr>
          <w:rFonts w:hint="eastAsia" w:ascii="仿宋" w:hAnsi="仿宋" w:eastAsia="仿宋" w:cs="仿宋"/>
          <w:color w:val="000000" w:themeColor="text1"/>
          <w:spacing w:val="-42"/>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分（获奖的单位需提供相关材料）。</w:t>
      </w:r>
      <w:r/>
    </w:p>
    <w:p>
      <w:pPr>
        <w:pStyle w:val="962"/>
        <w:ind w:right="76" w:firstLine="604"/>
        <w:keepLines w:val="0"/>
        <w:keepNext w:val="0"/>
        <w:pageBreakBefore w:val="0"/>
        <w:spacing w:before="26"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1"/>
          <w:sz w:val="30"/>
          <w:szCs w:val="30"/>
          <w:highlight w:val="none"/>
          <w14:textFill>
            <w14:solidFill>
              <w14:schemeClr w14:val="tx1"/>
            </w14:solidFill>
          </w14:textFill>
        </w:rPr>
        <w:t xml:space="preserve">(3)养护公司在工作中有好人好事的，应及</w:t>
      </w:r>
      <w:r>
        <w:rPr>
          <w:rFonts w:hint="eastAsia" w:ascii="仿宋" w:hAnsi="仿宋" w:eastAsia="仿宋" w:cs="仿宋"/>
          <w:color w:val="000000" w:themeColor="text1"/>
          <w:sz w:val="30"/>
          <w:szCs w:val="30"/>
          <w:highlight w:val="none"/>
          <w14:textFill>
            <w14:solidFill>
              <w14:schemeClr w14:val="tx1"/>
            </w14:solidFill>
          </w14:textFill>
        </w:rPr>
        <w:t xml:space="preserve">时给员工和班组进行奖励和表彰的，每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次加</w:t>
      </w:r>
      <w:r>
        <w:rPr>
          <w:rFonts w:hint="eastAsia" w:ascii="仿宋" w:hAnsi="仿宋" w:eastAsia="仿宋" w:cs="仿宋"/>
          <w:color w:val="000000" w:themeColor="text1"/>
          <w:spacing w:val="-24"/>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1</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分，当月累计最高加</w:t>
      </w:r>
      <w:r>
        <w:rPr>
          <w:rFonts w:hint="eastAsia" w:ascii="仿宋" w:hAnsi="仿宋" w:eastAsia="仿宋" w:cs="仿宋"/>
          <w:color w:val="000000" w:themeColor="text1"/>
          <w:spacing w:val="-49"/>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2</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分（获奖的情况需提供相关材料给所部核实）。</w:t>
      </w:r>
      <w:r/>
    </w:p>
    <w:p>
      <w:pPr>
        <w:pStyle w:val="962"/>
        <w:ind w:firstLine="592"/>
        <w:keepLines w:val="0"/>
        <w:keepNext w:val="0"/>
        <w:pageBreakBefore w:val="0"/>
        <w:spacing w:before="28"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2"/>
          <w:sz w:val="30"/>
          <w:szCs w:val="30"/>
          <w:highlight w:val="none"/>
          <w14:textFill>
            <w14:solidFill>
              <w14:schemeClr w14:val="tx1"/>
            </w14:solidFill>
          </w14:textFill>
        </w:rPr>
        <w:t xml:space="preserve">（二）考核主要标准（详见考核细则</w:t>
      </w:r>
      <w:r>
        <w:rPr>
          <w:rFonts w:hint="eastAsia" w:ascii="仿宋" w:hAnsi="仿宋" w:eastAsia="仿宋" w:cs="仿宋"/>
          <w:color w:val="000000" w:themeColor="text1"/>
          <w:spacing w:val="4"/>
          <w:sz w:val="30"/>
          <w:szCs w:val="30"/>
          <w:highlight w:val="none"/>
          <w14:textFill>
            <w14:solidFill>
              <w14:schemeClr w14:val="tx1"/>
            </w14:solidFill>
          </w14:textFill>
        </w:rPr>
        <w:t xml:space="preserve">）：</w:t>
      </w:r>
      <w:r>
        <w:rPr>
          <w:rFonts w:hint="eastAsia" w:ascii="仿宋" w:hAnsi="仿宋" w:eastAsia="仿宋" w:cs="仿宋"/>
          <w:color w:val="000000" w:themeColor="text1"/>
          <w:spacing w:val="-2"/>
          <w:sz w:val="30"/>
          <w:szCs w:val="30"/>
          <w:highlight w:val="none"/>
          <w14:textFill>
            <w14:solidFill>
              <w14:schemeClr w14:val="tx1"/>
            </w14:solidFill>
          </w14:textFill>
        </w:rPr>
        <w:t xml:space="preserve">管道考核主要以日</w:t>
      </w:r>
      <w:r>
        <w:rPr>
          <w:rFonts w:hint="eastAsia" w:ascii="仿宋" w:hAnsi="仿宋" w:eastAsia="仿宋" w:cs="仿宋"/>
          <w:color w:val="000000" w:themeColor="text1"/>
          <w:spacing w:val="-3"/>
          <w:sz w:val="30"/>
          <w:szCs w:val="30"/>
          <w:highlight w:val="none"/>
          <w14:textFill>
            <w14:solidFill>
              <w14:schemeClr w14:val="tx1"/>
            </w14:solidFill>
          </w14:textFill>
        </w:rPr>
        <w:t xml:space="preserve">常检查为主，根据公司</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养护计划的上报、实际完成的养护量、进度、质量、巡查频次、一路一档建立及南京排</w:t>
      </w:r>
      <w:r>
        <w:rPr>
          <w:rFonts w:hint="eastAsia" w:ascii="仿宋" w:hAnsi="仿宋" w:eastAsia="仿宋" w:cs="仿宋"/>
          <w:color w:val="000000" w:themeColor="text1"/>
          <w:spacing w:val="1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6"/>
          <w:sz w:val="30"/>
          <w:szCs w:val="30"/>
          <w:highlight w:val="none"/>
          <w14:textFill>
            <w14:solidFill>
              <w14:schemeClr w14:val="tx1"/>
            </w14:solidFill>
          </w14:textFill>
        </w:rPr>
        <w:t xml:space="preserve">水监管系统运用进行考核；泵站考核每周不少于一次，主要以人员工作情况、站容站貌、</w:t>
      </w:r>
      <w:r>
        <w:rPr>
          <w:rFonts w:hint="eastAsia" w:ascii="仿宋" w:hAnsi="仿宋" w:eastAsia="仿宋" w:cs="仿宋"/>
          <w:color w:val="000000" w:themeColor="text1"/>
          <w:spacing w:val="6"/>
          <w:sz w:val="30"/>
          <w:szCs w:val="30"/>
          <w:highlight w:val="none"/>
          <w14:textFill>
            <w14:solidFill>
              <w14:schemeClr w14:val="tx1"/>
            </w14:solidFill>
          </w14:textFill>
        </w:rPr>
        <w:t xml:space="preserve">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设施设备养护、应急保障、安全生产等工作为主；河道考核每周不少于一次，主要以人</w:t>
      </w:r>
      <w:r>
        <w:rPr>
          <w:rFonts w:hint="eastAsia" w:ascii="仿宋" w:hAnsi="仿宋" w:eastAsia="仿宋" w:cs="仿宋"/>
          <w:color w:val="000000" w:themeColor="text1"/>
          <w:spacing w:val="1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员工作情况、河清岸净、车船使用状况、安全生产为主，如遇重大保障或管理要求，可</w:t>
      </w:r>
      <w:r>
        <w:rPr>
          <w:rFonts w:hint="eastAsia" w:ascii="仿宋" w:hAnsi="仿宋" w:eastAsia="仿宋" w:cs="仿宋"/>
          <w:color w:val="000000" w:themeColor="text1"/>
          <w:spacing w:val="1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适当调整考核工作。</w:t>
      </w:r>
      <w:r/>
    </w:p>
    <w:p>
      <w:pPr>
        <w:pStyle w:val="962"/>
        <w:ind w:right="76" w:firstLine="604"/>
        <w:keepLines w:val="0"/>
        <w:keepNext w:val="0"/>
        <w:pageBreakBefore w:val="0"/>
        <w:spacing w:before="24"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1"/>
          <w:sz w:val="30"/>
          <w:szCs w:val="30"/>
          <w:highlight w:val="none"/>
          <w14:textFill>
            <w14:solidFill>
              <w14:schemeClr w14:val="tx1"/>
            </w14:solidFill>
          </w14:textFill>
        </w:rPr>
        <w:t xml:space="preserve">七、月度考核得分=南京排水监管系统运用+设施维护过程、设施完好评分+管理绩</w:t>
      </w:r>
      <w:r>
        <w:rPr>
          <w:rFonts w:hint="eastAsia" w:ascii="仿宋" w:hAnsi="仿宋" w:eastAsia="仿宋" w:cs="仿宋"/>
          <w:color w:val="000000" w:themeColor="text1"/>
          <w:spacing w:val="13"/>
          <w:sz w:val="30"/>
          <w:szCs w:val="30"/>
          <w:highlight w:val="none"/>
          <w14:textFill>
            <w14:solidFill>
              <w14:schemeClr w14:val="tx1"/>
            </w14:solidFill>
          </w14:textFill>
        </w:rPr>
        <w:t xml:space="preserve"> </w:t>
      </w:r>
      <w:r>
        <w:rPr>
          <w:rFonts w:hint="eastAsia" w:ascii="仿宋" w:hAnsi="仿宋" w:eastAsia="仿宋" w:cs="仿宋"/>
          <w:color w:val="000000" w:themeColor="text1"/>
          <w:spacing w:val="-3"/>
          <w:sz w:val="30"/>
          <w:szCs w:val="30"/>
          <w:highlight w:val="none"/>
          <w14:textFill>
            <w14:solidFill>
              <w14:schemeClr w14:val="tx1"/>
            </w14:solidFill>
          </w14:textFill>
        </w:rPr>
        <w:t xml:space="preserve">效评分+附加分</w:t>
      </w:r>
      <w:r/>
    </w:p>
    <w:p>
      <w:pPr>
        <w:pStyle w:val="962"/>
        <w:ind w:firstLine="588"/>
        <w:keepLines w:val="0"/>
        <w:keepNext w:val="0"/>
        <w:pageBreakBefore w:val="0"/>
        <w:spacing w:before="23"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3"/>
          <w:sz w:val="30"/>
          <w:szCs w:val="30"/>
          <w:highlight w:val="none"/>
          <w14:textFill>
            <w14:solidFill>
              <w14:schemeClr w14:val="tx1"/>
            </w14:solidFill>
          </w14:textFill>
        </w:rPr>
        <w:t xml:space="preserve">八、考核方式</w:t>
      </w:r>
      <w:r/>
    </w:p>
    <w:p>
      <w:pPr>
        <w:pStyle w:val="962"/>
        <w:ind w:firstLine="596"/>
        <w:keepLines w:val="0"/>
        <w:keepNext w:val="0"/>
        <w:pageBreakBefore w:val="0"/>
        <w:spacing w:before="21"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1"/>
          <w:sz w:val="30"/>
          <w:szCs w:val="30"/>
          <w:highlight w:val="none"/>
          <w14:textFill>
            <w14:solidFill>
              <w14:schemeClr w14:val="tx1"/>
            </w14:solidFill>
          </w14:textFill>
        </w:rPr>
        <w:t xml:space="preserve">考核采取明查与暗查、定期检查与不定期检查、交叉检查相结合的形式。</w:t>
      </w:r>
      <w:r/>
    </w:p>
    <w:p>
      <w:pPr>
        <w:pStyle w:val="962"/>
        <w:ind w:firstLine="584"/>
        <w:keepLines w:val="0"/>
        <w:keepNext w:val="0"/>
        <w:pageBreakBefore w:val="0"/>
        <w:spacing w:before="26"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4"/>
          <w:sz w:val="30"/>
          <w:szCs w:val="30"/>
          <w:highlight w:val="none"/>
          <w14:textFill>
            <w14:solidFill>
              <w14:schemeClr w14:val="tx1"/>
            </w14:solidFill>
          </w14:textFill>
        </w:rPr>
        <w:t xml:space="preserve">九、考核结果奖惩</w:t>
      </w:r>
      <w:r/>
    </w:p>
    <w:p>
      <w:pPr>
        <w:pStyle w:val="962"/>
        <w:ind w:left="1" w:right="76" w:firstLine="596"/>
        <w:keepLines w:val="0"/>
        <w:keepNext w:val="0"/>
        <w:pageBreakBefore w:val="0"/>
        <w:spacing w:before="26"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1"/>
          <w:sz w:val="30"/>
          <w:szCs w:val="30"/>
          <w:highlight w:val="none"/>
          <w14:textFill>
            <w14:solidFill>
              <w14:schemeClr w14:val="tx1"/>
            </w14:solidFill>
          </w14:textFill>
        </w:rPr>
        <w:t xml:space="preserve">1、</w:t>
      </w:r>
      <w:r>
        <w:rPr>
          <w:rFonts w:hint="eastAsia" w:ascii="仿宋" w:hAnsi="仿宋" w:eastAsia="仿宋" w:cs="仿宋"/>
          <w:color w:val="000000" w:themeColor="text1"/>
          <w:spacing w:val="-42"/>
          <w:sz w:val="30"/>
          <w:szCs w:val="30"/>
          <w:highlight w:val="none"/>
          <w14:textFill>
            <w14:solidFill>
              <w14:schemeClr w14:val="tx1"/>
            </w14:solidFill>
          </w14:textFill>
        </w:rPr>
        <w:t xml:space="preserve"> </w:t>
      </w:r>
      <w:r>
        <w:rPr>
          <w:rFonts w:hint="eastAsia" w:ascii="仿宋" w:hAnsi="仿宋" w:eastAsia="仿宋" w:cs="仿宋"/>
          <w:color w:val="000000" w:themeColor="text1"/>
          <w:spacing w:val="-1"/>
          <w:sz w:val="30"/>
          <w:szCs w:val="30"/>
          <w:highlight w:val="none"/>
          <w14:textFill>
            <w14:solidFill>
              <w14:schemeClr w14:val="tx1"/>
            </w14:solidFill>
          </w14:textFill>
        </w:rPr>
        <w:t xml:space="preserve">日常维护费用拨付依据：水务科按月对养护公司养护工作进行考核打分，根据</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2"/>
          <w:sz w:val="30"/>
          <w:szCs w:val="30"/>
          <w:highlight w:val="none"/>
          <w14:textFill>
            <w14:solidFill>
              <w14:schemeClr w14:val="tx1"/>
            </w14:solidFill>
          </w14:textFill>
        </w:rPr>
        <w:t xml:space="preserve">考核情况及实际完成养护量按月拨付。每月市级检查问题作为每月区级考核扣分项目，</w:t>
      </w:r>
      <w:r>
        <w:rPr>
          <w:rFonts w:hint="eastAsia" w:ascii="仿宋" w:hAnsi="仿宋" w:eastAsia="仿宋" w:cs="仿宋"/>
          <w:color w:val="000000" w:themeColor="text1"/>
          <w:spacing w:val="10"/>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每月区级考核中</w:t>
      </w:r>
      <w:r>
        <w:rPr>
          <w:rFonts w:hint="eastAsia" w:ascii="仿宋" w:hAnsi="仿宋" w:eastAsia="仿宋" w:cs="仿宋"/>
          <w:color w:val="000000" w:themeColor="text1"/>
          <w:spacing w:val="-37"/>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95</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分及以上的为优秀，正常拨付当月经费；在</w:t>
      </w:r>
      <w:r>
        <w:rPr>
          <w:rFonts w:hint="eastAsia" w:ascii="仿宋" w:hAnsi="仿宋" w:eastAsia="仿宋" w:cs="仿宋"/>
          <w:color w:val="000000" w:themeColor="text1"/>
          <w:spacing w:val="-5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90-95</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分（含</w:t>
      </w:r>
      <w:r>
        <w:rPr>
          <w:rFonts w:hint="eastAsia" w:ascii="仿宋" w:hAnsi="仿宋" w:eastAsia="仿宋" w:cs="仿宋"/>
          <w:color w:val="000000" w:themeColor="text1"/>
          <w:spacing w:val="-5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90</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分，不</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含</w:t>
      </w:r>
      <w:r>
        <w:rPr>
          <w:rFonts w:hint="eastAsia" w:ascii="仿宋" w:hAnsi="仿宋" w:eastAsia="仿宋" w:cs="仿宋"/>
          <w:color w:val="000000" w:themeColor="text1"/>
          <w:spacing w:val="-5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95</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分）的为合格，比</w:t>
      </w:r>
      <w:r>
        <w:rPr>
          <w:rFonts w:hint="eastAsia" w:ascii="仿宋" w:hAnsi="仿宋" w:eastAsia="仿宋" w:cs="仿宋"/>
          <w:color w:val="000000" w:themeColor="text1"/>
          <w:spacing w:val="-5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95</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分每低</w:t>
      </w:r>
      <w:r>
        <w:rPr>
          <w:rFonts w:hint="eastAsia" w:ascii="仿宋" w:hAnsi="仿宋" w:eastAsia="仿宋" w:cs="仿宋"/>
          <w:color w:val="000000" w:themeColor="text1"/>
          <w:spacing w:val="-3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1</w:t>
      </w:r>
      <w:r>
        <w:rPr>
          <w:rFonts w:hint="eastAsia" w:ascii="仿宋" w:hAnsi="仿宋" w:eastAsia="仿宋" w:cs="仿宋"/>
          <w:color w:val="000000" w:themeColor="text1"/>
          <w:spacing w:val="-42"/>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分，扣减当月日常养护费用的</w:t>
      </w:r>
      <w:r>
        <w:rPr>
          <w:rFonts w:hint="eastAsia" w:ascii="仿宋" w:hAnsi="仿宋" w:eastAsia="仿宋" w:cs="仿宋"/>
          <w:color w:val="000000" w:themeColor="text1"/>
          <w:spacing w:val="-36"/>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1%；低于</w:t>
      </w:r>
      <w:r>
        <w:rPr>
          <w:rFonts w:hint="eastAsia" w:ascii="仿宋" w:hAnsi="仿宋" w:eastAsia="仿宋" w:cs="仿宋"/>
          <w:color w:val="000000" w:themeColor="text1"/>
          <w:spacing w:val="-50"/>
          <w:sz w:val="30"/>
          <w:szCs w:val="30"/>
          <w:highlight w:val="none"/>
          <w14:textFill>
            <w14:solidFill>
              <w14:schemeClr w14:val="tx1"/>
            </w14:solidFill>
          </w14:textFill>
        </w:rPr>
        <w:t xml:space="preserve"> </w:t>
      </w:r>
      <w:r>
        <w:rPr>
          <w:rFonts w:hint="eastAsia" w:ascii="仿宋" w:hAnsi="仿宋" w:eastAsia="仿宋" w:cs="仿宋"/>
          <w:color w:val="000000" w:themeColor="text1"/>
          <w:spacing w:val="-4"/>
          <w:sz w:val="30"/>
          <w:szCs w:val="30"/>
          <w:highlight w:val="none"/>
          <w14:textFill>
            <w14:solidFill>
              <w14:schemeClr w14:val="tx1"/>
            </w14:solidFill>
          </w14:textFill>
        </w:rPr>
        <w:t xml:space="preserve">9</w:t>
      </w:r>
      <w:r>
        <w:rPr>
          <w:rFonts w:hint="eastAsia" w:ascii="仿宋" w:hAnsi="仿宋" w:eastAsia="仿宋" w:cs="仿宋"/>
          <w:color w:val="000000" w:themeColor="text1"/>
          <w:spacing w:val="-5"/>
          <w:sz w:val="30"/>
          <w:szCs w:val="30"/>
          <w:highlight w:val="none"/>
          <w14:textFill>
            <w14:solidFill>
              <w14:schemeClr w14:val="tx1"/>
            </w14:solidFill>
          </w14:textFill>
        </w:rPr>
        <w:t xml:space="preserve">0</w:t>
      </w:r>
      <w:r>
        <w:rPr>
          <w:rFonts w:hint="eastAsia" w:ascii="仿宋" w:hAnsi="仿宋" w:eastAsia="仿宋" w:cs="仿宋"/>
          <w:color w:val="000000" w:themeColor="text1"/>
          <w:spacing w:val="-42"/>
          <w:sz w:val="30"/>
          <w:szCs w:val="30"/>
          <w:highlight w:val="none"/>
          <w14:textFill>
            <w14:solidFill>
              <w14:schemeClr w14:val="tx1"/>
            </w14:solidFill>
          </w14:textFill>
        </w:rPr>
        <w:t xml:space="preserve"> </w:t>
      </w:r>
      <w:r>
        <w:rPr>
          <w:rFonts w:hint="eastAsia" w:ascii="仿宋" w:hAnsi="仿宋" w:eastAsia="仿宋" w:cs="仿宋"/>
          <w:color w:val="000000" w:themeColor="text1"/>
          <w:spacing w:val="-5"/>
          <w:sz w:val="30"/>
          <w:szCs w:val="30"/>
          <w:highlight w:val="none"/>
          <w14:textFill>
            <w14:solidFill>
              <w14:schemeClr w14:val="tx1"/>
            </w14:solidFill>
          </w14:textFill>
        </w:rPr>
        <w:t xml:space="preserve">分的为</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1"/>
          <w:sz w:val="30"/>
          <w:szCs w:val="30"/>
          <w:highlight w:val="none"/>
          <w14:textFill>
            <w14:solidFill>
              <w14:schemeClr w14:val="tx1"/>
            </w14:solidFill>
          </w14:textFill>
        </w:rPr>
        <w:t xml:space="preserve">不合格，扣减当月日常养护费用的</w:t>
      </w:r>
      <w:r>
        <w:rPr>
          <w:rFonts w:hint="eastAsia" w:ascii="仿宋" w:hAnsi="仿宋" w:eastAsia="仿宋" w:cs="仿宋"/>
          <w:color w:val="000000" w:themeColor="text1"/>
          <w:spacing w:val="-47"/>
          <w:sz w:val="30"/>
          <w:szCs w:val="30"/>
          <w:highlight w:val="none"/>
          <w14:textFill>
            <w14:solidFill>
              <w14:schemeClr w14:val="tx1"/>
            </w14:solidFill>
          </w14:textFill>
        </w:rPr>
        <w:t xml:space="preserve"> </w:t>
      </w:r>
      <w:r>
        <w:rPr>
          <w:rFonts w:hint="eastAsia" w:ascii="仿宋" w:hAnsi="仿宋" w:eastAsia="仿宋" w:cs="仿宋"/>
          <w:color w:val="000000" w:themeColor="text1"/>
          <w:spacing w:val="-1"/>
          <w:sz w:val="30"/>
          <w:szCs w:val="30"/>
          <w:highlight w:val="none"/>
          <w14:textFill>
            <w14:solidFill>
              <w14:schemeClr w14:val="tx1"/>
            </w14:solidFill>
          </w14:textFill>
        </w:rPr>
        <w:t xml:space="preserve">5%后，比</w:t>
      </w:r>
      <w:r>
        <w:rPr>
          <w:rFonts w:hint="eastAsia" w:ascii="仿宋" w:hAnsi="仿宋" w:eastAsia="仿宋" w:cs="仿宋"/>
          <w:color w:val="000000" w:themeColor="text1"/>
          <w:spacing w:val="-5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1"/>
          <w:sz w:val="30"/>
          <w:szCs w:val="30"/>
          <w:highlight w:val="none"/>
          <w14:textFill>
            <w14:solidFill>
              <w14:schemeClr w14:val="tx1"/>
            </w14:solidFill>
          </w14:textFill>
        </w:rPr>
        <w:t xml:space="preserve">90</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1"/>
          <w:sz w:val="30"/>
          <w:szCs w:val="30"/>
          <w:highlight w:val="none"/>
          <w14:textFill>
            <w14:solidFill>
              <w14:schemeClr w14:val="tx1"/>
            </w14:solidFill>
          </w14:textFill>
        </w:rPr>
        <w:t xml:space="preserve">分每低</w:t>
      </w:r>
      <w:r>
        <w:rPr>
          <w:rFonts w:hint="eastAsia" w:ascii="仿宋" w:hAnsi="仿宋" w:eastAsia="仿宋" w:cs="仿宋"/>
          <w:color w:val="000000" w:themeColor="text1"/>
          <w:spacing w:val="-34"/>
          <w:sz w:val="30"/>
          <w:szCs w:val="30"/>
          <w:highlight w:val="none"/>
          <w14:textFill>
            <w14:solidFill>
              <w14:schemeClr w14:val="tx1"/>
            </w14:solidFill>
          </w14:textFill>
        </w:rPr>
        <w:t xml:space="preserve"> </w:t>
      </w:r>
      <w:r>
        <w:rPr>
          <w:rFonts w:hint="eastAsia" w:ascii="仿宋" w:hAnsi="仿宋" w:eastAsia="仿宋" w:cs="仿宋"/>
          <w:color w:val="000000" w:themeColor="text1"/>
          <w:spacing w:val="-1"/>
          <w:sz w:val="30"/>
          <w:szCs w:val="30"/>
          <w:highlight w:val="none"/>
          <w14:textFill>
            <w14:solidFill>
              <w14:schemeClr w14:val="tx1"/>
            </w14:solidFill>
          </w14:textFill>
        </w:rPr>
        <w:t xml:space="preserve">1</w:t>
      </w:r>
      <w:r>
        <w:rPr>
          <w:rFonts w:hint="eastAsia" w:ascii="仿宋" w:hAnsi="仿宋" w:eastAsia="仿宋" w:cs="仿宋"/>
          <w:color w:val="000000" w:themeColor="text1"/>
          <w:spacing w:val="-4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1"/>
          <w:sz w:val="30"/>
          <w:szCs w:val="30"/>
          <w:highlight w:val="none"/>
          <w14:textFill>
            <w14:solidFill>
              <w14:schemeClr w14:val="tx1"/>
            </w14:solidFill>
          </w14:textFill>
        </w:rPr>
        <w:t xml:space="preserve">分，扣减当月养护</w:t>
      </w:r>
      <w:r>
        <w:rPr>
          <w:rFonts w:hint="eastAsia" w:ascii="仿宋" w:hAnsi="仿宋" w:eastAsia="仿宋" w:cs="仿宋"/>
          <w:color w:val="000000" w:themeColor="text1"/>
          <w:spacing w:val="-2"/>
          <w:sz w:val="30"/>
          <w:szCs w:val="30"/>
          <w:highlight w:val="none"/>
          <w14:textFill>
            <w14:solidFill>
              <w14:schemeClr w14:val="tx1"/>
            </w14:solidFill>
          </w14:textFill>
        </w:rPr>
        <w:t xml:space="preserve">经费2%。</w:t>
      </w:r>
      <w:r/>
    </w:p>
    <w:p>
      <w:pPr>
        <w:pStyle w:val="962"/>
        <w:ind w:left="5" w:right="196" w:firstLine="592"/>
        <w:keepLines w:val="0"/>
        <w:keepNext w:val="0"/>
        <w:pageBreakBefore w:val="0"/>
        <w:spacing w:before="25" w:line="560" w:lineRule="exact"/>
        <w:shd w:val="clear" w:color="auto"/>
        <w:widowControl/>
        <w:rPr>
          <w:rFonts w:hint="eastAsia" w:ascii="仿宋" w:hAnsi="仿宋" w:eastAsia="仿宋" w:cs="仿宋"/>
          <w:color w:val="000000" w:themeColor="text1"/>
          <w:spacing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spacing w:val="-2"/>
          <w:sz w:val="30"/>
          <w:szCs w:val="30"/>
          <w:highlight w:val="none"/>
          <w14:textFill>
            <w14:solidFill>
              <w14:schemeClr w14:val="tx1"/>
            </w14:solidFill>
          </w14:textFill>
        </w:rPr>
        <w:t xml:space="preserve">2、提升养护经费拨付依据：提升养护经费由市政所统筹安排，作为科室指令性任务,原则上用于公司承包设施，</w:t>
      </w:r>
      <w:r>
        <w:rPr>
          <w:rFonts w:hint="eastAsia" w:cs="仿宋"/>
          <w:color w:val="000000" w:themeColor="text1"/>
          <w:spacing w:val="-2"/>
          <w:sz w:val="30"/>
          <w:szCs w:val="30"/>
          <w:highlight w:val="none"/>
          <w:lang w:val="en-US" w:eastAsia="zh-CN"/>
          <w14:textFill>
            <w14:solidFill>
              <w14:schemeClr w14:val="tx1"/>
            </w14:solidFill>
          </w14:textFill>
        </w:rPr>
        <w:t xml:space="preserve">甲方</w:t>
      </w:r>
      <w:r>
        <w:rPr>
          <w:rFonts w:hint="eastAsia" w:ascii="仿宋" w:hAnsi="仿宋" w:eastAsia="仿宋" w:cs="仿宋"/>
          <w:color w:val="000000" w:themeColor="text1"/>
          <w:spacing w:val="-2"/>
          <w:sz w:val="30"/>
          <w:szCs w:val="30"/>
          <w:highlight w:val="none"/>
          <w:lang w:val="en-US" w:eastAsia="zh-CN"/>
          <w14:textFill>
            <w14:solidFill>
              <w14:schemeClr w14:val="tx1"/>
            </w14:solidFill>
          </w14:textFill>
        </w:rPr>
        <w:t xml:space="preserve">根据项目推进情况支付进度款，在相关工作完工验收合格后，根据审核结果付清费用，经费计算方式采用按实计取，材料</w:t>
      </w:r>
      <w:r>
        <w:rPr>
          <w:rFonts w:hint="eastAsia" w:cs="仿宋"/>
          <w:color w:val="000000" w:themeColor="text1"/>
          <w:spacing w:val="-2"/>
          <w:sz w:val="30"/>
          <w:szCs w:val="30"/>
          <w:highlight w:val="none"/>
          <w:lang w:val="en-US" w:eastAsia="zh-CN"/>
          <w14:textFill>
            <w14:solidFill>
              <w14:schemeClr w14:val="tx1"/>
            </w14:solidFill>
          </w14:textFill>
        </w:rPr>
        <w:t xml:space="preserve">、</w:t>
      </w:r>
      <w:r>
        <w:rPr>
          <w:rFonts w:hint="eastAsia" w:ascii="仿宋" w:hAnsi="仿宋" w:eastAsia="仿宋" w:cs="仿宋"/>
          <w:color w:val="000000" w:themeColor="text1"/>
          <w:spacing w:val="-2"/>
          <w:sz w:val="30"/>
          <w:szCs w:val="30"/>
          <w:highlight w:val="none"/>
          <w:lang w:val="en-US" w:eastAsia="zh-CN"/>
          <w14:textFill>
            <w14:solidFill>
              <w14:schemeClr w14:val="tx1"/>
            </w14:solidFill>
          </w14:textFill>
        </w:rPr>
        <w:t xml:space="preserve">人工</w:t>
      </w:r>
      <w:r>
        <w:rPr>
          <w:rFonts w:hint="eastAsia" w:cs="仿宋"/>
          <w:color w:val="000000" w:themeColor="text1"/>
          <w:spacing w:val="-2"/>
          <w:sz w:val="30"/>
          <w:szCs w:val="30"/>
          <w:highlight w:val="none"/>
          <w:lang w:val="en-US" w:eastAsia="zh-CN"/>
          <w14:textFill>
            <w14:solidFill>
              <w14:schemeClr w14:val="tx1"/>
            </w14:solidFill>
          </w14:textFill>
        </w:rPr>
        <w:t xml:space="preserve">、</w:t>
      </w:r>
      <w:r>
        <w:rPr>
          <w:rFonts w:hint="eastAsia" w:ascii="仿宋" w:hAnsi="仿宋" w:eastAsia="仿宋" w:cs="仿宋"/>
          <w:color w:val="000000" w:themeColor="text1"/>
          <w:spacing w:val="-2"/>
          <w:sz w:val="30"/>
          <w:szCs w:val="30"/>
          <w:highlight w:val="none"/>
          <w:lang w:val="en-US" w:eastAsia="zh-CN"/>
          <w14:textFill>
            <w14:solidFill>
              <w14:schemeClr w14:val="tx1"/>
            </w14:solidFill>
          </w14:textFill>
        </w:rPr>
        <w:t xml:space="preserve">机械设备等按方案当时当月《南京市工程材料信息价》执行，无信息价的，按市政综合所委托的审计单位出具的《工程结算审定单》为准，工作量以市政综合所或市政综合所认可的第三方核实的为准，若审计核减率超过10%，则全部审计费用由养护公司承担，不超过10%则审计费由市政所承担。</w:t>
      </w:r>
      <w:r>
        <w:rPr>
          <w:rFonts w:hint="eastAsia" w:ascii="仿宋" w:hAnsi="仿宋" w:eastAsia="仿宋" w:cs="仿宋"/>
          <w:color w:val="000000" w:themeColor="text1"/>
          <w:spacing w:val="-2"/>
          <w:sz w:val="30"/>
          <w:szCs w:val="30"/>
          <w:highlight w:val="none"/>
          <w14:textFill>
            <w14:solidFill>
              <w14:schemeClr w14:val="tx1"/>
            </w14:solidFill>
          </w14:textFill>
        </w:rPr>
        <w:t xml:space="preserve">在项目完工验收合格后，根据审核结果一次性付清。若公司无法按市政所要求实施项目，甲方可安排其他公司实施。</w:t>
      </w:r>
      <w:r/>
    </w:p>
    <w:p>
      <w:pPr>
        <w:pStyle w:val="962"/>
        <w:ind w:firstLine="596"/>
        <w:keepLines w:val="0"/>
        <w:keepNext w:val="0"/>
        <w:pageBreakBefore w:val="0"/>
        <w:spacing w:before="21"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cs="仿宋"/>
          <w:color w:val="000000" w:themeColor="text1"/>
          <w:spacing w:val="-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pacing w:val="-1"/>
          <w:sz w:val="30"/>
          <w:szCs w:val="30"/>
          <w:highlight w:val="none"/>
          <w14:textFill>
            <w14:solidFill>
              <w14:schemeClr w14:val="tx1"/>
            </w14:solidFill>
          </w14:textFill>
        </w:rPr>
        <w:t xml:space="preserve">、对于因各种原因被占用的设施量，拨付养护费用</w:t>
      </w:r>
      <w:r>
        <w:rPr>
          <w:rFonts w:hint="eastAsia" w:ascii="仿宋" w:hAnsi="仿宋" w:eastAsia="仿宋" w:cs="仿宋"/>
          <w:color w:val="000000" w:themeColor="text1"/>
          <w:spacing w:val="-2"/>
          <w:sz w:val="30"/>
          <w:szCs w:val="30"/>
          <w:highlight w:val="none"/>
          <w14:textFill>
            <w14:solidFill>
              <w14:schemeClr w14:val="tx1"/>
            </w14:solidFill>
          </w14:textFill>
        </w:rPr>
        <w:t xml:space="preserve">的10%作为占用设施巡查经费</w:t>
      </w:r>
      <w:r>
        <w:rPr>
          <w:rFonts w:hint="eastAsia" w:ascii="仿宋" w:hAnsi="仿宋" w:eastAsia="仿宋" w:cs="仿宋"/>
          <w:color w:val="000000" w:themeColor="text1"/>
          <w:position w:val="2"/>
          <w:sz w:val="30"/>
          <w:szCs w:val="30"/>
          <w:highlight w:val="none"/>
          <w14:textFill>
            <w14:solidFill>
              <w14:schemeClr w14:val="tx1"/>
            </w14:solidFill>
          </w14:textFill>
        </w:rPr>
        <w:t xml:space="preserve">。</w:t>
      </w:r>
      <w:r/>
    </w:p>
    <w:p>
      <w:pPr>
        <w:pStyle w:val="962"/>
        <w:ind w:firstLine="584"/>
        <w:keepLines w:val="0"/>
        <w:keepNext w:val="0"/>
        <w:pageBreakBefore w:val="0"/>
        <w:spacing w:before="37"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outlineLvl w:val="0"/>
      </w:pPr>
      <w:r>
        <w:rPr>
          <w:rFonts w:hint="eastAsia" w:ascii="仿宋" w:hAnsi="仿宋" w:eastAsia="仿宋" w:cs="仿宋"/>
          <w:color w:val="000000" w:themeColor="text1"/>
          <w:spacing w:val="-4"/>
          <w:sz w:val="30"/>
          <w:szCs w:val="30"/>
          <w:highlight w:val="none"/>
          <w14:textFill>
            <w14:solidFill>
              <w14:schemeClr w14:val="tx1"/>
            </w14:solidFill>
          </w14:textFill>
        </w:rPr>
        <w:t xml:space="preserve">十、考核要求</w:t>
      </w:r>
      <w:r/>
    </w:p>
    <w:p>
      <w:pPr>
        <w:pStyle w:val="962"/>
        <w:ind w:left="9" w:right="76" w:firstLine="604"/>
        <w:keepLines w:val="0"/>
        <w:keepNext w:val="0"/>
        <w:pageBreakBefore w:val="0"/>
        <w:spacing w:before="23" w:line="560" w:lineRule="exact"/>
        <w:shd w:val="clear" w:color="auto"/>
        <w:widowControl/>
        <w:rPr>
          <w:rFonts w:hint="eastAsia" w:ascii="仿宋" w:hAnsi="仿宋" w:eastAsia="仿宋" w:cs="仿宋"/>
          <w:color w:val="000000" w:themeColor="text1"/>
          <w:spacing w:val="-7"/>
          <w:sz w:val="30"/>
          <w:szCs w:val="30"/>
          <w:highlight w:val="none"/>
          <w14:textFill>
            <w14:solidFill>
              <w14:schemeClr w14:val="tx1"/>
            </w14:solidFill>
          </w14:textFill>
        </w:rPr>
      </w:pPr>
      <w:r>
        <w:rPr>
          <w:rFonts w:hint="eastAsia" w:ascii="仿宋" w:hAnsi="仿宋" w:eastAsia="仿宋" w:cs="仿宋"/>
          <w:color w:val="000000" w:themeColor="text1"/>
          <w:spacing w:val="1"/>
          <w:sz w:val="30"/>
          <w:szCs w:val="30"/>
          <w:highlight w:val="none"/>
          <w14:textFill>
            <w14:solidFill>
              <w14:schemeClr w14:val="tx1"/>
            </w14:solidFill>
          </w14:textFill>
        </w:rPr>
        <w:t xml:space="preserve">1、被考核单位应统一思想，提高认识，严格按照考核办法要求加强日常管理和自</w:t>
      </w:r>
      <w:r>
        <w:rPr>
          <w:rFonts w:hint="eastAsia" w:ascii="仿宋" w:hAnsi="仿宋" w:eastAsia="仿宋" w:cs="仿宋"/>
          <w:color w:val="000000" w:themeColor="text1"/>
          <w:spacing w:val="-7"/>
          <w:sz w:val="30"/>
          <w:szCs w:val="30"/>
          <w:highlight w:val="none"/>
          <w14:textFill>
            <w14:solidFill>
              <w14:schemeClr w14:val="tx1"/>
            </w14:solidFill>
          </w14:textFill>
        </w:rPr>
        <w:t xml:space="preserve">我考评。</w:t>
      </w:r>
      <w:r/>
    </w:p>
    <w:p>
      <w:pPr>
        <w:pStyle w:val="962"/>
        <w:ind w:right="76" w:firstLine="600"/>
        <w:keepLines w:val="0"/>
        <w:keepNext w:val="0"/>
        <w:pageBreakBefore w:val="0"/>
        <w:spacing w:before="23"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2、被考核单位应积极配合考核工作，创造良好考核</w:t>
      </w:r>
      <w:r>
        <w:rPr>
          <w:rFonts w:hint="eastAsia" w:ascii="仿宋" w:hAnsi="仿宋" w:eastAsia="仿宋" w:cs="仿宋"/>
          <w:color w:val="000000" w:themeColor="text1"/>
          <w:spacing w:val="-1"/>
          <w:sz w:val="30"/>
          <w:szCs w:val="30"/>
          <w:highlight w:val="none"/>
          <w14:textFill>
            <w14:solidFill>
              <w14:schemeClr w14:val="tx1"/>
            </w14:solidFill>
          </w14:textFill>
        </w:rPr>
        <w:t xml:space="preserve">条件提供完整台账资料，上报</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pacing w:val="-1"/>
          <w:sz w:val="30"/>
          <w:szCs w:val="30"/>
          <w:highlight w:val="none"/>
          <w14:textFill>
            <w14:solidFill>
              <w14:schemeClr w14:val="tx1"/>
            </w14:solidFill>
          </w14:textFill>
        </w:rPr>
        <w:t xml:space="preserve">的书面材料应客观、准确、实事求是，保证考核工作顺</w:t>
      </w:r>
      <w:r>
        <w:rPr>
          <w:rFonts w:hint="eastAsia" w:ascii="仿宋" w:hAnsi="仿宋" w:eastAsia="仿宋" w:cs="仿宋"/>
          <w:color w:val="000000" w:themeColor="text1"/>
          <w:spacing w:val="-2"/>
          <w:sz w:val="30"/>
          <w:szCs w:val="30"/>
          <w:highlight w:val="none"/>
          <w14:textFill>
            <w14:solidFill>
              <w14:schemeClr w14:val="tx1"/>
            </w14:solidFill>
          </w14:textFill>
        </w:rPr>
        <w:t xml:space="preserve">利进行。</w:t>
      </w:r>
      <w:r/>
    </w:p>
    <w:p>
      <w:pPr>
        <w:pStyle w:val="962"/>
        <w:ind w:firstLine="596"/>
        <w:keepLines w:val="0"/>
        <w:keepNext w:val="0"/>
        <w:pageBreakBefore w:val="0"/>
        <w:spacing w:before="91" w:line="560" w:lineRule="exact"/>
        <w:shd w:val="clear" w:color="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1"/>
          <w:sz w:val="30"/>
          <w:szCs w:val="30"/>
          <w:highlight w:val="none"/>
          <w14:textFill>
            <w14:solidFill>
              <w14:schemeClr w14:val="tx1"/>
            </w14:solidFill>
          </w14:textFill>
        </w:rPr>
        <w:t xml:space="preserve">3、被考核单位要落实好问题整改，正视不足，快速切实解决好存在问题。</w:t>
      </w:r>
      <w:r/>
    </w:p>
    <w:p>
      <w:pPr>
        <w:pStyle w:val="962"/>
        <w:ind w:right="192" w:firstLine="596"/>
        <w:keepLines w:val="0"/>
        <w:keepNext w:val="0"/>
        <w:pageBreakBefore w:val="0"/>
        <w:spacing w:before="27" w:line="560" w:lineRule="exact"/>
        <w:shd w:val="clear" w:color="auto"/>
        <w:widowControl/>
        <w:rPr>
          <w:rFonts w:hint="eastAsia" w:ascii="仿宋" w:hAnsi="仿宋" w:eastAsia="仿宋" w:cs="仿宋"/>
          <w:color w:val="000000" w:themeColor="text1"/>
          <w:spacing w:val="-3"/>
          <w:sz w:val="30"/>
          <w:szCs w:val="30"/>
          <w:highlight w:val="none"/>
          <w14:textFill>
            <w14:solidFill>
              <w14:schemeClr w14:val="tx1"/>
            </w14:solidFill>
          </w14:textFill>
        </w:rPr>
      </w:pPr>
      <w:r>
        <w:rPr>
          <w:rFonts w:hint="eastAsia" w:ascii="仿宋" w:hAnsi="仿宋" w:eastAsia="仿宋" w:cs="仿宋"/>
          <w:color w:val="000000" w:themeColor="text1"/>
          <w:spacing w:val="-1"/>
          <w:sz w:val="30"/>
          <w:szCs w:val="30"/>
          <w:highlight w:val="none"/>
          <w14:textFill>
            <w14:solidFill>
              <w14:schemeClr w14:val="tx1"/>
            </w14:solidFill>
          </w14:textFill>
        </w:rPr>
        <w:t xml:space="preserve">4、严肃考核纪律，考核单位和工作人员认真</w:t>
      </w:r>
      <w:r>
        <w:rPr>
          <w:rFonts w:hint="eastAsia" w:ascii="仿宋" w:hAnsi="仿宋" w:eastAsia="仿宋" w:cs="仿宋"/>
          <w:color w:val="000000" w:themeColor="text1"/>
          <w:spacing w:val="-2"/>
          <w:sz w:val="30"/>
          <w:szCs w:val="30"/>
          <w:highlight w:val="none"/>
          <w14:textFill>
            <w14:solidFill>
              <w14:schemeClr w14:val="tx1"/>
            </w14:solidFill>
          </w14:textFill>
        </w:rPr>
        <w:t xml:space="preserve">负责，恪尽职守，做到公平</w:t>
      </w:r>
      <w:r>
        <w:rPr>
          <w:rFonts w:hint="eastAsia" w:cs="仿宋"/>
          <w:color w:val="000000" w:themeColor="text1"/>
          <w:spacing w:val="-2"/>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pacing w:val="-2"/>
          <w:sz w:val="30"/>
          <w:szCs w:val="30"/>
          <w:highlight w:val="none"/>
          <w14:textFill>
            <w14:solidFill>
              <w14:schemeClr w14:val="tx1"/>
            </w14:solidFill>
          </w14:textFill>
        </w:rPr>
        <w:t xml:space="preserve">公正</w:t>
      </w:r>
      <w:r>
        <w:rPr>
          <w:rFonts w:hint="eastAsia" w:cs="仿宋"/>
          <w:color w:val="000000" w:themeColor="text1"/>
          <w:spacing w:val="-2"/>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pacing w:val="-3"/>
          <w:sz w:val="30"/>
          <w:szCs w:val="30"/>
          <w:highlight w:val="none"/>
          <w14:textFill>
            <w14:solidFill>
              <w14:schemeClr w14:val="tx1"/>
            </w14:solidFill>
          </w14:textFill>
        </w:rPr>
        <w:t xml:space="preserve">科学实施考核。</w:t>
      </w:r>
      <w:r/>
    </w:p>
    <w:p>
      <w:pPr>
        <w:pStyle w:val="962"/>
        <w:ind w:left="481" w:right="192" w:firstLine="588"/>
        <w:keepLines w:val="0"/>
        <w:keepNext w:val="0"/>
        <w:pageBreakBefore w:val="0"/>
        <w:spacing w:before="27" w:line="231" w:lineRule="auto"/>
        <w:shd w:val="clear" w:color="auto"/>
        <w:widowControl/>
        <w:rPr>
          <w:rFonts w:hint="eastAsia" w:ascii="仿宋" w:hAnsi="仿宋" w:eastAsia="仿宋" w:cs="仿宋"/>
          <w:color w:val="000000" w:themeColor="text1"/>
          <w:spacing w:val="-3"/>
          <w:sz w:val="30"/>
          <w:szCs w:val="30"/>
          <w:highlight w:val="none"/>
          <w14:textFill>
            <w14:solidFill>
              <w14:schemeClr w14:val="tx1"/>
            </w14:solidFill>
          </w14:textFill>
        </w:rPr>
      </w:pPr>
      <w:r>
        <w:rPr>
          <w:rFonts w:hint="eastAsia" w:ascii="仿宋" w:hAnsi="仿宋" w:eastAsia="仿宋" w:cs="仿宋"/>
          <w:color w:val="000000" w:themeColor="text1"/>
          <w:spacing w:val="-3"/>
          <w:sz w:val="30"/>
          <w:szCs w:val="30"/>
          <w:highlight w:val="none"/>
          <w14:textFill>
            <w14:solidFill>
              <w14:schemeClr w14:val="tx1"/>
            </w14:solidFill>
          </w14:textFill>
        </w:rPr>
      </w:r>
      <w:r/>
    </w:p>
    <w:p>
      <w:pPr>
        <w:pStyle w:val="962"/>
        <w:ind w:right="192"/>
        <w:spacing w:before="27" w:line="231" w:lineRule="auto"/>
        <w:shd w:val="clear" w:color="auto"/>
        <w:rPr>
          <w:rFonts w:hint="eastAsia" w:ascii="仿宋" w:hAnsi="仿宋" w:eastAsia="仿宋" w:cs="仿宋"/>
          <w:color w:val="000000" w:themeColor="text1"/>
          <w:spacing w:val="-3"/>
          <w:sz w:val="30"/>
          <w:szCs w:val="30"/>
          <w:highlight w:val="none"/>
          <w14:textFill>
            <w14:solidFill>
              <w14:schemeClr w14:val="tx1"/>
            </w14:solidFill>
          </w14:textFill>
        </w:rPr>
      </w:pPr>
      <w:r>
        <w:rPr>
          <w:rFonts w:hint="eastAsia" w:ascii="仿宋" w:hAnsi="仿宋" w:eastAsia="仿宋" w:cs="仿宋"/>
          <w:color w:val="000000" w:themeColor="text1"/>
          <w:spacing w:val="-3"/>
          <w:sz w:val="30"/>
          <w:szCs w:val="30"/>
          <w:highlight w:val="none"/>
          <w14:textFill>
            <w14:solidFill>
              <w14:schemeClr w14:val="tx1"/>
            </w14:solidFill>
          </w14:textFill>
        </w:rPr>
      </w:r>
      <w:r/>
    </w:p>
    <w:p>
      <w:pPr>
        <w:pStyle w:val="962"/>
        <w:ind w:right="196" w:firstLine="4440"/>
        <w:spacing w:before="198" w:line="302" w:lineRule="auto"/>
        <w:shd w:val="clear" w:color="auto"/>
        <w:rPr>
          <w:color w:val="000000" w:themeColor="text1"/>
          <w:spacing w:val="-2"/>
          <w:sz w:val="30"/>
          <w:szCs w:val="30"/>
          <w:highlight w:val="none"/>
          <w14:textFill>
            <w14:solidFill>
              <w14:schemeClr w14:val="tx1"/>
            </w14:solidFill>
          </w14:textFill>
        </w:rPr>
      </w:pPr>
      <w:r>
        <w:rPr>
          <w:color w:val="000000" w:themeColor="text1"/>
          <w:spacing w:val="-2"/>
          <w:sz w:val="30"/>
          <w:szCs w:val="30"/>
          <w:highlight w:val="none"/>
          <w14:textFill>
            <w14:solidFill>
              <w14:schemeClr w14:val="tx1"/>
            </w14:solidFill>
          </w14:textFill>
        </w:rPr>
      </w:r>
      <w:r/>
    </w:p>
    <w:p>
      <w:pPr>
        <w:pStyle w:val="962"/>
        <w:ind w:right="196" w:firstLine="4440"/>
        <w:spacing w:before="198" w:line="302" w:lineRule="auto"/>
        <w:shd w:val="clear" w:color="auto"/>
        <w:rPr>
          <w:color w:val="000000" w:themeColor="text1"/>
          <w:spacing w:val="-2"/>
          <w:sz w:val="30"/>
          <w:szCs w:val="30"/>
          <w:highlight w:val="none"/>
          <w14:textFill>
            <w14:solidFill>
              <w14:schemeClr w14:val="tx1"/>
            </w14:solidFill>
          </w14:textFill>
        </w:rPr>
      </w:pPr>
      <w:r>
        <w:rPr>
          <w:color w:val="000000" w:themeColor="text1"/>
          <w:spacing w:val="-2"/>
          <w:sz w:val="30"/>
          <w:szCs w:val="30"/>
          <w:highlight w:val="none"/>
          <w14:textFill>
            <w14:solidFill>
              <w14:schemeClr w14:val="tx1"/>
            </w14:solidFill>
          </w14:textFill>
        </w:rPr>
        <w:t xml:space="preserve">栖霞区市政设施综合养护管理所</w:t>
      </w:r>
      <w:r/>
    </w:p>
    <w:p>
      <w:pPr>
        <w:pStyle w:val="962"/>
        <w:ind w:right="196"/>
        <w:spacing w:before="198" w:line="302" w:lineRule="auto"/>
        <w:shd w:val="clear" w:color="auto"/>
        <w:rPr>
          <w:color w:val="000000" w:themeColor="text1"/>
          <w:sz w:val="30"/>
          <w:szCs w:val="30"/>
          <w:highlight w:val="none"/>
          <w14:textFill>
            <w14:solidFill>
              <w14:schemeClr w14:val="tx1"/>
            </w14:solidFill>
          </w14:textFill>
        </w:rPr>
      </w:pPr>
      <w:r>
        <w:rPr>
          <w:color w:val="000000" w:themeColor="text1"/>
          <w:spacing w:val="11"/>
          <w:sz w:val="30"/>
          <w:szCs w:val="30"/>
          <w:highlight w:val="none"/>
          <w14:textFill>
            <w14:solidFill>
              <w14:schemeClr w14:val="tx1"/>
            </w14:solidFill>
          </w14:textFill>
        </w:rPr>
        <w:t xml:space="preserve"> </w:t>
      </w:r>
      <w:r>
        <w:rPr>
          <w:rFonts w:hint="eastAsia"/>
          <w:color w:val="000000" w:themeColor="text1"/>
          <w:spacing w:val="11"/>
          <w:sz w:val="30"/>
          <w:szCs w:val="30"/>
          <w:highlight w:val="none"/>
          <w:lang w:val="en-US" w:eastAsia="zh-CN"/>
          <w14:textFill>
            <w14:solidFill>
              <w14:schemeClr w14:val="tx1"/>
            </w14:solidFill>
          </w14:textFill>
        </w:rPr>
        <w:t xml:space="preserve">                                 </w:t>
      </w:r>
      <w:r>
        <w:rPr>
          <w:color w:val="000000" w:themeColor="text1"/>
          <w:spacing w:val="-9"/>
          <w:sz w:val="30"/>
          <w:szCs w:val="30"/>
          <w:highlight w:val="none"/>
          <w14:textFill>
            <w14:solidFill>
              <w14:schemeClr w14:val="tx1"/>
            </w14:solidFill>
          </w14:textFill>
        </w:rPr>
        <w:t xml:space="preserve">202</w:t>
      </w:r>
      <w:r>
        <w:rPr>
          <w:rFonts w:hint="eastAsia"/>
          <w:color w:val="000000" w:themeColor="text1"/>
          <w:spacing w:val="-9"/>
          <w:sz w:val="30"/>
          <w:szCs w:val="30"/>
          <w:highlight w:val="none"/>
          <w:lang w:val="en-US" w:eastAsia="zh-CN"/>
          <w14:textFill>
            <w14:solidFill>
              <w14:schemeClr w14:val="tx1"/>
            </w14:solidFill>
          </w14:textFill>
        </w:rPr>
        <w:t xml:space="preserve">6</w:t>
      </w:r>
      <w:r>
        <w:rPr>
          <w:color w:val="000000" w:themeColor="text1"/>
          <w:spacing w:val="-9"/>
          <w:sz w:val="30"/>
          <w:szCs w:val="30"/>
          <w:highlight w:val="none"/>
          <w14:textFill>
            <w14:solidFill>
              <w14:schemeClr w14:val="tx1"/>
            </w14:solidFill>
          </w14:textFill>
        </w:rPr>
        <w:t xml:space="preserve">年</w:t>
      </w:r>
      <w:r>
        <w:rPr>
          <w:color w:val="000000" w:themeColor="text1"/>
          <w:spacing w:val="-34"/>
          <w:sz w:val="30"/>
          <w:szCs w:val="30"/>
          <w:highlight w:val="none"/>
          <w14:textFill>
            <w14:solidFill>
              <w14:schemeClr w14:val="tx1"/>
            </w14:solidFill>
          </w14:textFill>
        </w:rPr>
        <w:t xml:space="preserve"> </w:t>
      </w:r>
      <w:r>
        <w:rPr>
          <w:color w:val="000000" w:themeColor="text1"/>
          <w:spacing w:val="-9"/>
          <w:sz w:val="30"/>
          <w:szCs w:val="30"/>
          <w:highlight w:val="none"/>
          <w14:textFill>
            <w14:solidFill>
              <w14:schemeClr w14:val="tx1"/>
            </w14:solidFill>
          </w14:textFill>
        </w:rPr>
        <w:t xml:space="preserve">1</w:t>
      </w:r>
      <w:r>
        <w:rPr>
          <w:color w:val="000000" w:themeColor="text1"/>
          <w:spacing w:val="-32"/>
          <w:sz w:val="30"/>
          <w:szCs w:val="30"/>
          <w:highlight w:val="none"/>
          <w14:textFill>
            <w14:solidFill>
              <w14:schemeClr w14:val="tx1"/>
            </w14:solidFill>
          </w14:textFill>
        </w:rPr>
        <w:t xml:space="preserve"> </w:t>
      </w:r>
      <w:r>
        <w:rPr>
          <w:color w:val="000000" w:themeColor="text1"/>
          <w:spacing w:val="-9"/>
          <w:sz w:val="30"/>
          <w:szCs w:val="30"/>
          <w:highlight w:val="none"/>
          <w14:textFill>
            <w14:solidFill>
              <w14:schemeClr w14:val="tx1"/>
            </w14:solidFill>
          </w14:textFill>
        </w:rPr>
        <w:t xml:space="preserve">月</w:t>
      </w:r>
      <w:r>
        <w:rPr>
          <w:color w:val="000000" w:themeColor="text1"/>
          <w:spacing w:val="-34"/>
          <w:sz w:val="30"/>
          <w:szCs w:val="30"/>
          <w:highlight w:val="none"/>
          <w14:textFill>
            <w14:solidFill>
              <w14:schemeClr w14:val="tx1"/>
            </w14:solidFill>
          </w14:textFill>
        </w:rPr>
        <w:t xml:space="preserve"> </w:t>
      </w:r>
      <w:r>
        <w:rPr>
          <w:color w:val="000000" w:themeColor="text1"/>
          <w:spacing w:val="-9"/>
          <w:sz w:val="30"/>
          <w:szCs w:val="30"/>
          <w:highlight w:val="none"/>
          <w14:textFill>
            <w14:solidFill>
              <w14:schemeClr w14:val="tx1"/>
            </w14:solidFill>
          </w14:textFill>
        </w:rPr>
        <w:t xml:space="preserve">1</w:t>
      </w:r>
      <w:r>
        <w:rPr>
          <w:rFonts w:hint="eastAsia"/>
          <w:color w:val="000000" w:themeColor="text1"/>
          <w:spacing w:val="-9"/>
          <w:sz w:val="30"/>
          <w:szCs w:val="30"/>
          <w:highlight w:val="none"/>
          <w:lang w:val="en-US" w:eastAsia="zh-CN"/>
          <w14:textFill>
            <w14:solidFill>
              <w14:schemeClr w14:val="tx1"/>
            </w14:solidFill>
          </w14:textFill>
        </w:rPr>
        <w:t xml:space="preserve"> </w:t>
      </w:r>
      <w:r>
        <w:rPr>
          <w:color w:val="000000" w:themeColor="text1"/>
          <w:spacing w:val="-9"/>
          <w:sz w:val="30"/>
          <w:szCs w:val="30"/>
          <w:highlight w:val="none"/>
          <w14:textFill>
            <w14:solidFill>
              <w14:schemeClr w14:val="tx1"/>
            </w14:solidFill>
          </w14:textFill>
        </w:rPr>
        <w:t xml:space="preserve">日</w:t>
      </w:r>
      <w:r/>
    </w:p>
    <w:p>
      <w:pPr>
        <w:pStyle w:val="962"/>
        <w:ind w:left="478"/>
        <w:spacing w:before="23" w:line="224" w:lineRule="auto"/>
        <w:shd w:val="clear" w:color="auto"/>
        <w:rPr>
          <w:rFonts w:hint="eastAsia" w:ascii="仿宋" w:hAnsi="仿宋" w:eastAsia="仿宋" w:cs="仿宋"/>
          <w:color w:val="000000" w:themeColor="text1"/>
          <w:spacing w:val="-2"/>
          <w:sz w:val="30"/>
          <w:szCs w:val="30"/>
          <w:highlight w:val="none"/>
          <w14:textFill>
            <w14:solidFill>
              <w14:schemeClr w14:val="tx1"/>
            </w14:solidFill>
          </w14:textFill>
        </w:rPr>
        <w:sectPr>
          <w:headerReference w:type="default" r:id="rId11"/>
          <w:footerReference w:type="default" r:id="rId16"/>
          <w:footnotePr/>
          <w:endnotePr/>
          <w:type w:val="nextPage"/>
          <w:pgSz w:w="11906" w:h="16839" w:orient="portrait"/>
          <w:pgMar w:top="1431" w:right="1240" w:bottom="957" w:left="1482" w:header="0" w:footer="795" w:gutter="0"/>
          <w:cols w:num="1" w:sep="0" w:space="720" w:equalWidth="1"/>
          <w:docGrid w:linePitch="360"/>
        </w:sectPr>
      </w:pPr>
      <w:r>
        <w:rPr>
          <w:rFonts w:hint="eastAsia" w:ascii="仿宋" w:hAnsi="仿宋" w:eastAsia="仿宋" w:cs="仿宋"/>
          <w:color w:val="000000" w:themeColor="text1"/>
          <w:spacing w:val="-2"/>
          <w:sz w:val="30"/>
          <w:szCs w:val="30"/>
          <w:highlight w:val="none"/>
          <w14:textFill>
            <w14:solidFill>
              <w14:schemeClr w14:val="tx1"/>
            </w14:solidFill>
          </w14:textFill>
        </w:rPr>
      </w:r>
      <w:r/>
    </w:p>
    <w:p>
      <w:pPr>
        <w:jc w:val="center"/>
        <w:spacing w:before="143" w:line="225" w:lineRule="auto"/>
        <w:shd w:val="clear" w:color="auto"/>
        <w:rPr>
          <w:rFonts w:ascii="宋体" w:hAnsi="宋体" w:eastAsia="宋体" w:cs="宋体"/>
          <w:color w:val="000000" w:themeColor="text1"/>
          <w:sz w:val="35"/>
          <w:szCs w:val="35"/>
          <w:highlight w:val="none"/>
          <w14:textFill>
            <w14:solidFill>
              <w14:schemeClr w14:val="tx1"/>
            </w14:solidFill>
          </w14:textFill>
        </w:rPr>
      </w:pPr>
      <w:r>
        <w:rPr>
          <w:rFonts w:ascii="宋体" w:hAnsi="宋体" w:eastAsia="宋体" w:cs="宋体"/>
          <w:b/>
          <w:bCs/>
          <w:color w:val="000000" w:themeColor="text1"/>
          <w:spacing w:val="7"/>
          <w:sz w:val="35"/>
          <w:szCs w:val="35"/>
          <w:highlight w:val="none"/>
          <w14:textFill>
            <w14:solidFill>
              <w14:schemeClr w14:val="tx1"/>
            </w14:solidFill>
          </w14:textFill>
        </w:rPr>
        <w:t xml:space="preserve">城市排水设施维护管理检查考核评分细则</w:t>
      </w:r>
      <w:r/>
    </w:p>
    <w:p>
      <w:pPr>
        <w:jc w:val="center"/>
        <w:spacing w:before="13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217"/>
        <w:tblW w:w="97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10"/>
        <w:gridCol w:w="400"/>
        <w:gridCol w:w="427"/>
        <w:gridCol w:w="7536"/>
        <w:gridCol w:w="987"/>
      </w:tblGrid>
      <w:tr>
        <w:trPr>
          <w:trHeight w:val="896"/>
        </w:trPr>
        <w:tc>
          <w:tcPr>
            <w:tcW w:w="410" w:type="dxa"/>
            <w:vAlign w:val="top"/>
            <w:textDirection w:val="lrTb"/>
            <w:noWrap w:val="false"/>
          </w:tcPr>
          <w:p>
            <w:pPr>
              <w:pStyle w:val="1256"/>
              <w:ind w:left="117" w:right="90" w:hanging="5"/>
              <w:spacing w:before="236" w:line="234" w:lineRule="auto"/>
              <w:shd w:val="clear" w:color="auto"/>
              <w:rPr>
                <w:color w:val="000000" w:themeColor="text1"/>
                <w:sz w:val="19"/>
                <w:szCs w:val="19"/>
                <w:highlight w:val="none"/>
                <w14:textFill>
                  <w14:solidFill>
                    <w14:schemeClr w14:val="tx1"/>
                  </w14:solidFill>
                </w14:textFill>
              </w:rPr>
            </w:pPr>
            <w:r>
              <w:rPr>
                <w:color w:val="000000" w:themeColor="text1"/>
                <w:spacing w:val="2"/>
                <w:sz w:val="19"/>
                <w:szCs w:val="19"/>
                <w:highlight w:val="none"/>
                <w14:textFill>
                  <w14:solidFill>
                    <w14:schemeClr w14:val="tx1"/>
                  </w14:solidFill>
                </w14:textFill>
              </w:rPr>
              <w:t xml:space="preserve">序</w:t>
            </w:r>
            <w:r>
              <w:rPr>
                <w:color w:val="000000" w:themeColor="text1"/>
                <w:sz w:val="19"/>
                <w:szCs w:val="19"/>
                <w:highlight w:val="none"/>
                <w14:textFill>
                  <w14:solidFill>
                    <w14:schemeClr w14:val="tx1"/>
                  </w14:solidFill>
                </w14:textFill>
              </w:rPr>
              <w:t xml:space="preserve"> </w:t>
            </w:r>
            <w:r>
              <w:rPr>
                <w:color w:val="000000" w:themeColor="text1"/>
                <w:spacing w:val="-4"/>
                <w:sz w:val="19"/>
                <w:szCs w:val="19"/>
                <w:highlight w:val="none"/>
                <w14:textFill>
                  <w14:solidFill>
                    <w14:schemeClr w14:val="tx1"/>
                  </w14:solidFill>
                </w14:textFill>
              </w:rPr>
              <w:t xml:space="preserve">号</w:t>
            </w:r>
            <w:r/>
          </w:p>
        </w:tc>
        <w:tc>
          <w:tcPr>
            <w:tcW w:w="400" w:type="dxa"/>
            <w:vAlign w:val="top"/>
            <w:textDirection w:val="lrTb"/>
            <w:noWrap w:val="false"/>
          </w:tcPr>
          <w:p>
            <w:pPr>
              <w:pStyle w:val="1256"/>
              <w:ind w:left="103" w:right="89" w:firstLine="2"/>
              <w:spacing w:before="237" w:line="233" w:lineRule="auto"/>
              <w:shd w:val="clear" w:color="auto"/>
              <w:rPr>
                <w:color w:val="000000" w:themeColor="text1"/>
                <w:sz w:val="19"/>
                <w:szCs w:val="19"/>
                <w:highlight w:val="none"/>
                <w14:textFill>
                  <w14:solidFill>
                    <w14:schemeClr w14:val="tx1"/>
                  </w14:solidFill>
                </w14:textFill>
              </w:rPr>
            </w:pPr>
            <w:r>
              <w:rPr>
                <w:color w:val="000000" w:themeColor="text1"/>
                <w:spacing w:val="-2"/>
                <w:sz w:val="19"/>
                <w:szCs w:val="19"/>
                <w:highlight w:val="none"/>
                <w14:textFill>
                  <w14:solidFill>
                    <w14:schemeClr w14:val="tx1"/>
                  </w14:solidFill>
                </w14:textFill>
              </w:rPr>
              <w:t xml:space="preserve">分</w:t>
            </w:r>
            <w:r>
              <w:rPr>
                <w:color w:val="000000" w:themeColor="text1"/>
                <w:sz w:val="19"/>
                <w:szCs w:val="19"/>
                <w:highlight w:val="none"/>
                <w14:textFill>
                  <w14:solidFill>
                    <w14:schemeClr w14:val="tx1"/>
                  </w14:solidFill>
                </w14:textFill>
              </w:rPr>
              <w:t xml:space="preserve"> </w:t>
            </w:r>
            <w:r>
              <w:rPr>
                <w:color w:val="000000" w:themeColor="text1"/>
                <w:spacing w:val="1"/>
                <w:sz w:val="19"/>
                <w:szCs w:val="19"/>
                <w:highlight w:val="none"/>
                <w14:textFill>
                  <w14:solidFill>
                    <w14:schemeClr w14:val="tx1"/>
                  </w14:solidFill>
                </w14:textFill>
              </w:rPr>
              <w:t xml:space="preserve">值</w:t>
            </w:r>
            <w:r/>
          </w:p>
        </w:tc>
        <w:tc>
          <w:tcPr>
            <w:tcW w:w="427" w:type="dxa"/>
            <w:vAlign w:val="top"/>
            <w:textDirection w:val="lrTb"/>
            <w:noWrap w:val="false"/>
          </w:tcPr>
          <w:p>
            <w:pPr>
              <w:pStyle w:val="1256"/>
              <w:ind w:left="153" w:right="104" w:hanging="34"/>
              <w:spacing w:before="236" w:line="235" w:lineRule="auto"/>
              <w:shd w:val="clear" w:color="auto"/>
              <w:rPr>
                <w:color w:val="000000" w:themeColor="text1"/>
                <w:sz w:val="19"/>
                <w:szCs w:val="19"/>
                <w:highlight w:val="none"/>
                <w14:textFill>
                  <w14:solidFill>
                    <w14:schemeClr w14:val="tx1"/>
                  </w14:solidFill>
                </w14:textFill>
              </w:rPr>
            </w:pPr>
            <w:r>
              <w:rPr>
                <w:color w:val="000000" w:themeColor="text1"/>
                <w:spacing w:val="-2"/>
                <w:sz w:val="19"/>
                <w:szCs w:val="19"/>
                <w:highlight w:val="none"/>
                <w14:textFill>
                  <w14:solidFill>
                    <w14:schemeClr w14:val="tx1"/>
                  </w14:solidFill>
                </w14:textFill>
              </w:rPr>
              <w:t xml:space="preserve">项</w:t>
            </w:r>
            <w:r>
              <w:rPr>
                <w:color w:val="000000" w:themeColor="text1"/>
                <w:sz w:val="19"/>
                <w:szCs w:val="19"/>
                <w:highlight w:val="none"/>
                <w14:textFill>
                  <w14:solidFill>
                    <w14:schemeClr w14:val="tx1"/>
                  </w14:solidFill>
                </w14:textFill>
              </w:rPr>
              <w:t xml:space="preserve"> </w:t>
            </w:r>
            <w:r>
              <w:rPr>
                <w:color w:val="000000" w:themeColor="text1"/>
                <w:spacing w:val="-37"/>
                <w:sz w:val="19"/>
                <w:szCs w:val="19"/>
                <w:highlight w:val="none"/>
                <w14:textFill>
                  <w14:solidFill>
                    <w14:schemeClr w14:val="tx1"/>
                  </w14:solidFill>
                </w14:textFill>
              </w:rPr>
              <w:t xml:space="preserve">目</w:t>
            </w:r>
            <w:r/>
          </w:p>
        </w:tc>
        <w:tc>
          <w:tcPr>
            <w:tcW w:w="7536" w:type="dxa"/>
            <w:vAlign w:val="top"/>
            <w:textDirection w:val="lrTb"/>
            <w:noWrap w:val="false"/>
          </w:tcPr>
          <w:p>
            <w:pPr>
              <w:spacing w:line="296"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3080"/>
              <w:spacing w:before="62" w:line="228" w:lineRule="auto"/>
              <w:shd w:val="clear" w:color="auto"/>
              <w:rPr>
                <w:color w:val="000000" w:themeColor="text1"/>
                <w:sz w:val="19"/>
                <w:szCs w:val="19"/>
                <w:highlight w:val="none"/>
                <w14:textFill>
                  <w14:solidFill>
                    <w14:schemeClr w14:val="tx1"/>
                  </w14:solidFill>
                </w14:textFill>
              </w:rPr>
            </w:pPr>
            <w:r>
              <w:rPr>
                <w:color w:val="000000" w:themeColor="text1"/>
                <w:spacing w:val="7"/>
                <w:sz w:val="19"/>
                <w:szCs w:val="19"/>
                <w:highlight w:val="none"/>
                <w14:textFill>
                  <w14:solidFill>
                    <w14:schemeClr w14:val="tx1"/>
                  </w14:solidFill>
                </w14:textFill>
              </w:rPr>
              <w:t xml:space="preserve">考核内容及标准</w:t>
            </w:r>
            <w:r/>
          </w:p>
        </w:tc>
        <w:tc>
          <w:tcPr>
            <w:tcW w:w="987" w:type="dxa"/>
            <w:vAlign w:val="top"/>
            <w:textDirection w:val="lrTb"/>
            <w:noWrap w:val="false"/>
          </w:tcPr>
          <w:p>
            <w:pPr>
              <w:pStyle w:val="1256"/>
              <w:ind w:left="110"/>
              <w:spacing w:before="112" w:line="229" w:lineRule="auto"/>
              <w:shd w:val="clear" w:color="auto"/>
              <w:rPr>
                <w:color w:val="000000" w:themeColor="text1"/>
                <w:sz w:val="19"/>
                <w:szCs w:val="19"/>
                <w:highlight w:val="none"/>
                <w14:textFill>
                  <w14:solidFill>
                    <w14:schemeClr w14:val="tx1"/>
                  </w14:solidFill>
                </w14:textFill>
              </w:rPr>
            </w:pPr>
            <w:r>
              <w:rPr>
                <w:color w:val="000000" w:themeColor="text1"/>
                <w:spacing w:val="6"/>
                <w:sz w:val="19"/>
                <w:szCs w:val="19"/>
                <w:highlight w:val="none"/>
                <w14:textFill>
                  <w14:solidFill>
                    <w14:schemeClr w14:val="tx1"/>
                  </w14:solidFill>
                </w14:textFill>
              </w:rPr>
              <w:t xml:space="preserve">不达标扣</w:t>
            </w:r>
            <w:r/>
          </w:p>
          <w:p>
            <w:pPr>
              <w:pStyle w:val="1256"/>
              <w:ind w:left="107"/>
              <w:spacing w:before="12" w:line="228" w:lineRule="auto"/>
              <w:shd w:val="clear" w:color="auto"/>
              <w:rPr>
                <w:color w:val="000000" w:themeColor="text1"/>
                <w:sz w:val="19"/>
                <w:szCs w:val="19"/>
                <w:highlight w:val="none"/>
                <w14:textFill>
                  <w14:solidFill>
                    <w14:schemeClr w14:val="tx1"/>
                  </w14:solidFill>
                </w14:textFill>
              </w:rPr>
            </w:pPr>
            <w:r>
              <w:rPr>
                <w:color w:val="000000" w:themeColor="text1"/>
                <w:spacing w:val="4"/>
                <w:sz w:val="19"/>
                <w:szCs w:val="19"/>
                <w:highlight w:val="none"/>
                <w14:textFill>
                  <w14:solidFill>
                    <w14:schemeClr w14:val="tx1"/>
                  </w14:solidFill>
                </w14:textFill>
              </w:rPr>
              <w:t xml:space="preserve">分分值</w:t>
            </w:r>
            <w:r>
              <w:rPr>
                <w:color w:val="000000" w:themeColor="text1"/>
                <w:spacing w:val="12"/>
                <w:sz w:val="19"/>
                <w:szCs w:val="19"/>
                <w:highlight w:val="none"/>
                <w14:textFill>
                  <w14:solidFill>
                    <w14:schemeClr w14:val="tx1"/>
                  </w14:solidFill>
                </w14:textFill>
              </w:rPr>
              <w:t xml:space="preserve"> </w:t>
            </w:r>
            <w:r>
              <w:rPr>
                <w:color w:val="000000" w:themeColor="text1"/>
                <w:spacing w:val="4"/>
                <w:sz w:val="19"/>
                <w:szCs w:val="19"/>
                <w:highlight w:val="none"/>
                <w14:textFill>
                  <w14:solidFill>
                    <w14:schemeClr w14:val="tx1"/>
                  </w14:solidFill>
                </w14:textFill>
              </w:rPr>
              <w:t xml:space="preserve">/</w:t>
            </w:r>
            <w:r/>
          </w:p>
          <w:p>
            <w:pPr>
              <w:pStyle w:val="1256"/>
              <w:ind w:left="210"/>
              <w:spacing w:before="12" w:line="228" w:lineRule="auto"/>
              <w:shd w:val="clear" w:color="auto"/>
              <w:rPr>
                <w:color w:val="000000" w:themeColor="text1"/>
                <w:sz w:val="19"/>
                <w:szCs w:val="19"/>
                <w:highlight w:val="none"/>
                <w14:textFill>
                  <w14:solidFill>
                    <w14:schemeClr w14:val="tx1"/>
                  </w14:solidFill>
                </w14:textFill>
              </w:rPr>
            </w:pPr>
            <w:r>
              <w:rPr>
                <w:color w:val="000000" w:themeColor="text1"/>
                <w:spacing w:val="4"/>
                <w:sz w:val="19"/>
                <w:szCs w:val="19"/>
                <w:highlight w:val="none"/>
                <w14:textFill>
                  <w14:solidFill>
                    <w14:schemeClr w14:val="tx1"/>
                  </w14:solidFill>
                </w14:textFill>
              </w:rPr>
              <w:t xml:space="preserve">次或处</w:t>
            </w:r>
            <w:r/>
          </w:p>
        </w:tc>
      </w:tr>
      <w:tr>
        <w:trPr>
          <w:trHeight w:val="388"/>
        </w:trPr>
        <w:tc>
          <w:tcPr>
            <w:gridSpan w:val="5"/>
            <w:tcW w:w="9760" w:type="dxa"/>
            <w:vAlign w:val="top"/>
            <w:textDirection w:val="lrTb"/>
            <w:noWrap w:val="false"/>
          </w:tcPr>
          <w:p>
            <w:pPr>
              <w:pStyle w:val="1256"/>
              <w:ind w:left="48"/>
              <w:spacing w:before="101" w:line="228" w:lineRule="auto"/>
              <w:shd w:val="clear" w:color="auto"/>
              <w:rPr>
                <w:color w:val="000000" w:themeColor="text1"/>
                <w:sz w:val="19"/>
                <w:szCs w:val="19"/>
                <w:highlight w:val="none"/>
                <w14:textFill>
                  <w14:solidFill>
                    <w14:schemeClr w14:val="tx1"/>
                  </w14:solidFill>
                </w14:textFill>
              </w:rPr>
            </w:pPr>
            <w:r>
              <w:rPr>
                <w:b/>
                <w:bCs/>
                <w:color w:val="000000" w:themeColor="text1"/>
                <w:spacing w:val="8"/>
                <w:sz w:val="19"/>
                <w:szCs w:val="19"/>
                <w:highlight w:val="none"/>
                <w14:textFill>
                  <w14:solidFill>
                    <w14:schemeClr w14:val="tx1"/>
                  </w14:solidFill>
                </w14:textFill>
              </w:rPr>
              <w:t xml:space="preserve">市城市排水监管系统</w:t>
            </w:r>
            <w:r/>
          </w:p>
        </w:tc>
      </w:tr>
      <w:tr>
        <w:trPr>
          <w:trHeight w:val="388"/>
        </w:trPr>
        <w:tc>
          <w:tcPr>
            <w:tcBorders>
              <w:bottom w:val="none" w:color="000000" w:sz="4" w:space="0"/>
            </w:tcBorders>
            <w:tcW w:w="410" w:type="dxa"/>
            <w:vAlign w:val="top"/>
            <w:vMerge w:val="restart"/>
            <w:textDirection w:val="lrTb"/>
            <w:noWrap w:val="false"/>
          </w:tcPr>
          <w:p>
            <w:pPr>
              <w:spacing w:line="255"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6"/>
              <w:spacing w:before="61" w:line="148" w:lineRule="exact"/>
              <w:shd w:val="clear" w:color="auto"/>
              <w:rPr>
                <w:color w:val="000000" w:themeColor="text1"/>
                <w:sz w:val="19"/>
                <w:szCs w:val="19"/>
                <w:highlight w:val="none"/>
                <w14:textFill>
                  <w14:solidFill>
                    <w14:schemeClr w14:val="tx1"/>
                  </w14:solidFill>
                </w14:textFill>
              </w:rPr>
            </w:pPr>
            <w:r>
              <w:rPr>
                <w:color w:val="000000" w:themeColor="text1"/>
                <w:position w:val="-4"/>
                <w:sz w:val="19"/>
                <w:szCs w:val="19"/>
                <w:highlight w:val="none"/>
                <w14:textFill>
                  <w14:solidFill>
                    <w14:schemeClr w14:val="tx1"/>
                  </w14:solidFill>
                </w14:textFill>
              </w:rPr>
              <w:t xml:space="preserve">一</w:t>
            </w:r>
            <w:r/>
          </w:p>
        </w:tc>
        <w:tc>
          <w:tcPr>
            <w:tcBorders>
              <w:bottom w:val="none" w:color="000000" w:sz="4" w:space="0"/>
            </w:tcBorders>
            <w:tcW w:w="400" w:type="dxa"/>
            <w:vAlign w:val="top"/>
            <w:vMerge w:val="restart"/>
            <w:textDirection w:val="lrTb"/>
            <w:noWrap w:val="false"/>
          </w:tcPr>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104"/>
              <w:spacing w:before="62" w:line="189" w:lineRule="auto"/>
              <w:shd w:val="clear" w:color="auto"/>
              <w:rPr>
                <w:color w:val="000000" w:themeColor="text1"/>
                <w:sz w:val="19"/>
                <w:szCs w:val="19"/>
                <w:highlight w:val="none"/>
                <w14:textFill>
                  <w14:solidFill>
                    <w14:schemeClr w14:val="tx1"/>
                  </w14:solidFill>
                </w14:textFill>
              </w:rPr>
            </w:pPr>
            <w:r>
              <w:rPr>
                <w:color w:val="000000" w:themeColor="text1"/>
                <w:spacing w:val="-1"/>
                <w:sz w:val="19"/>
                <w:szCs w:val="19"/>
                <w:highlight w:val="none"/>
                <w14:textFill>
                  <w14:solidFill>
                    <w14:schemeClr w14:val="tx1"/>
                  </w14:solidFill>
                </w14:textFill>
              </w:rPr>
              <w:t xml:space="preserve">30</w:t>
            </w:r>
            <w:r/>
          </w:p>
        </w:tc>
        <w:tc>
          <w:tcPr>
            <w:tcBorders>
              <w:bottom w:val="none" w:color="000000" w:sz="4" w:space="0"/>
            </w:tcBorders>
            <w:tcW w:w="427" w:type="dxa"/>
            <w:vAlign w:val="top"/>
            <w:vMerge w:val="restart"/>
            <w:textDirection w:val="tbRlV"/>
            <w:noWrap w:val="false"/>
          </w:tcPr>
          <w:p>
            <w:pPr>
              <w:pStyle w:val="1256"/>
              <w:ind w:left="1167"/>
              <w:spacing w:before="185" w:line="216" w:lineRule="auto"/>
              <w:shd w:val="clear" w:color="auto"/>
              <w:rPr>
                <w:color w:val="000000" w:themeColor="text1"/>
                <w:sz w:val="19"/>
                <w:szCs w:val="19"/>
                <w:highlight w:val="none"/>
                <w14:textFill>
                  <w14:solidFill>
                    <w14:schemeClr w14:val="tx1"/>
                  </w14:solidFill>
                </w14:textFill>
              </w:rPr>
            </w:pPr>
            <w:r>
              <w:rPr>
                <w:color w:val="000000" w:themeColor="text1"/>
                <w:spacing w:val="24"/>
                <w:sz w:val="19"/>
                <w:szCs w:val="19"/>
                <w:highlight w:val="none"/>
                <w14:textFill>
                  <w14:solidFill>
                    <w14:schemeClr w14:val="tx1"/>
                  </w14:solidFill>
                </w14:textFill>
              </w:rPr>
              <w:t xml:space="preserve">系</w:t>
            </w:r>
            <w:r>
              <w:rPr>
                <w:color w:val="000000" w:themeColor="text1"/>
                <w:spacing w:val="-45"/>
                <w:sz w:val="19"/>
                <w:szCs w:val="19"/>
                <w:highlight w:val="none"/>
                <w14:textFill>
                  <w14:solidFill>
                    <w14:schemeClr w14:val="tx1"/>
                  </w14:solidFill>
                </w14:textFill>
              </w:rPr>
              <w:t xml:space="preserve"> </w:t>
            </w:r>
            <w:r>
              <w:rPr>
                <w:color w:val="000000" w:themeColor="text1"/>
                <w:spacing w:val="24"/>
                <w:sz w:val="19"/>
                <w:szCs w:val="19"/>
                <w:highlight w:val="none"/>
                <w14:textFill>
                  <w14:solidFill>
                    <w14:schemeClr w14:val="tx1"/>
                  </w14:solidFill>
                </w14:textFill>
              </w:rPr>
              <w:t xml:space="preserve">统</w:t>
            </w:r>
            <w:r>
              <w:rPr>
                <w:color w:val="000000" w:themeColor="text1"/>
                <w:spacing w:val="-47"/>
                <w:sz w:val="19"/>
                <w:szCs w:val="19"/>
                <w:highlight w:val="none"/>
                <w14:textFill>
                  <w14:solidFill>
                    <w14:schemeClr w14:val="tx1"/>
                  </w14:solidFill>
                </w14:textFill>
              </w:rPr>
              <w:t xml:space="preserve"> </w:t>
            </w:r>
            <w:r>
              <w:rPr>
                <w:color w:val="000000" w:themeColor="text1"/>
                <w:spacing w:val="24"/>
                <w:sz w:val="19"/>
                <w:szCs w:val="19"/>
                <w:highlight w:val="none"/>
                <w14:textFill>
                  <w14:solidFill>
                    <w14:schemeClr w14:val="tx1"/>
                  </w14:solidFill>
                </w14:textFill>
              </w:rPr>
              <w:t xml:space="preserve">运用</w:t>
            </w:r>
            <w:r>
              <w:rPr>
                <w:color w:val="000000" w:themeColor="text1"/>
                <w:spacing w:val="-46"/>
                <w:sz w:val="19"/>
                <w:szCs w:val="19"/>
                <w:highlight w:val="none"/>
                <w14:textFill>
                  <w14:solidFill>
                    <w14:schemeClr w14:val="tx1"/>
                  </w14:solidFill>
                </w14:textFill>
              </w:rPr>
              <w:t xml:space="preserve"> </w:t>
            </w:r>
            <w:r>
              <w:rPr>
                <w:color w:val="000000" w:themeColor="text1"/>
                <w:spacing w:val="24"/>
                <w:sz w:val="19"/>
                <w:szCs w:val="19"/>
                <w:highlight w:val="none"/>
                <w14:textFill>
                  <w14:solidFill>
                    <w14:schemeClr w14:val="tx1"/>
                  </w14:solidFill>
                </w14:textFill>
              </w:rPr>
              <w:t xml:space="preserve">管理</w:t>
            </w:r>
            <w:r/>
          </w:p>
        </w:tc>
        <w:tc>
          <w:tcPr>
            <w:tcW w:w="7536" w:type="dxa"/>
            <w:vAlign w:val="top"/>
            <w:textDirection w:val="lrTb"/>
            <w:noWrap w:val="false"/>
          </w:tcPr>
          <w:p>
            <w:pPr>
              <w:pStyle w:val="1256"/>
              <w:ind w:left="49"/>
              <w:spacing w:before="102" w:line="228" w:lineRule="auto"/>
              <w:shd w:val="clear" w:color="auto"/>
              <w:rPr>
                <w:color w:val="000000" w:themeColor="text1"/>
                <w:sz w:val="19"/>
                <w:szCs w:val="19"/>
                <w:highlight w:val="none"/>
                <w14:textFill>
                  <w14:solidFill>
                    <w14:schemeClr w14:val="tx1"/>
                  </w14:solidFill>
                </w14:textFill>
              </w:rPr>
            </w:pPr>
            <w:r>
              <w:rPr>
                <w:color w:val="000000" w:themeColor="text1"/>
                <w:spacing w:val="7"/>
                <w:sz w:val="19"/>
                <w:szCs w:val="19"/>
                <w:highlight w:val="none"/>
                <w14:textFill>
                  <w14:solidFill>
                    <w14:schemeClr w14:val="tx1"/>
                  </w14:solidFill>
                </w14:textFill>
              </w:rPr>
              <w:t xml:space="preserve">1、管道维护起止点定位、作业过程、养护过程影像上报。</w:t>
            </w:r>
            <w:r/>
          </w:p>
        </w:tc>
        <w:tc>
          <w:tcPr>
            <w:tcBorders>
              <w:bottom w:val="none" w:color="000000" w:sz="4" w:space="0"/>
            </w:tcBorders>
            <w:tcW w:w="987" w:type="dxa"/>
            <w:vAlign w:val="top"/>
            <w:vMerge w:val="restart"/>
            <w:textDirection w:val="lrTb"/>
            <w:noWrap w:val="false"/>
          </w:tcPr>
          <w:p>
            <w:pPr>
              <w:spacing w:line="290"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9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9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355"/>
              <w:spacing w:before="62" w:line="189" w:lineRule="auto"/>
              <w:shd w:val="clear" w:color="auto"/>
              <w:rPr>
                <w:color w:val="000000" w:themeColor="text1"/>
                <w:sz w:val="19"/>
                <w:szCs w:val="19"/>
                <w:highlight w:val="none"/>
                <w14:textFill>
                  <w14:solidFill>
                    <w14:schemeClr w14:val="tx1"/>
                  </w14:solidFill>
                </w14:textFill>
              </w:rPr>
            </w:pPr>
            <w:r>
              <w:rPr>
                <w:color w:val="000000" w:themeColor="text1"/>
                <w:spacing w:val="2"/>
                <w:sz w:val="19"/>
                <w:szCs w:val="19"/>
                <w:highlight w:val="none"/>
                <w14:textFill>
                  <w14:solidFill>
                    <w14:schemeClr w14:val="tx1"/>
                  </w14:solidFill>
                </w14:textFill>
              </w:rPr>
              <w:t xml:space="preserve">0.5</w:t>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7"/>
              <w:spacing w:before="102" w:line="227"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2、河道及附属设施维护起止点定位、作业过程、养护过程影像上报。</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8"/>
              <w:spacing w:before="102" w:line="228"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3、泵站、截流、初期雨水装置各类设施维护、维修过程影像上报。</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4"/>
              <w:spacing w:before="102" w:line="228"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4、闸坝、拦污栅各类设施维护、维修作业过程影像上报。</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8"/>
              <w:spacing w:before="102" w:line="228" w:lineRule="auto"/>
              <w:shd w:val="clear" w:color="auto"/>
              <w:rPr>
                <w:color w:val="000000" w:themeColor="text1"/>
                <w:sz w:val="19"/>
                <w:szCs w:val="19"/>
                <w:highlight w:val="none"/>
                <w14:textFill>
                  <w14:solidFill>
                    <w14:schemeClr w14:val="tx1"/>
                  </w14:solidFill>
                </w14:textFill>
              </w:rPr>
            </w:pPr>
            <w:r>
              <w:rPr>
                <w:color w:val="000000" w:themeColor="text1"/>
                <w:spacing w:val="7"/>
                <w:sz w:val="19"/>
                <w:szCs w:val="19"/>
                <w:highlight w:val="none"/>
                <w14:textFill>
                  <w14:solidFill>
                    <w14:schemeClr w14:val="tx1"/>
                  </w14:solidFill>
                </w14:textFill>
              </w:rPr>
              <w:t xml:space="preserve">5、临时任务、菜单整改等作业过程影像上报。</w:t>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2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9" w:right="30" w:hanging="3"/>
              <w:spacing w:before="47" w:line="228"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6、养护设施应按要求准确及时录入系统，当月完成</w:t>
            </w:r>
            <w:r>
              <w:rPr>
                <w:color w:val="000000" w:themeColor="text1"/>
                <w:spacing w:val="8"/>
                <w:sz w:val="19"/>
                <w:szCs w:val="19"/>
                <w:highlight w:val="none"/>
                <w14:textFill>
                  <w14:solidFill>
                    <w14:schemeClr w14:val="tx1"/>
                  </w14:solidFill>
                </w14:textFill>
              </w:rPr>
              <w:t xml:space="preserve">养护计划验收合格后，次月纳入南</w:t>
            </w:r>
            <w:r>
              <w:rPr>
                <w:color w:val="000000" w:themeColor="text1"/>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京城市排水监管平台打卡。</w:t>
            </w:r>
            <w:r/>
          </w:p>
        </w:tc>
        <w:tc>
          <w:tcPr>
            <w:tcBorders>
              <w:bottom w:val="none" w:color="000000" w:sz="4" w:space="0"/>
            </w:tcBorders>
            <w:tcW w:w="987" w:type="dxa"/>
            <w:vAlign w:val="top"/>
            <w:vMerge w:val="restart"/>
            <w:textDirection w:val="lrTb"/>
            <w:noWrap w:val="false"/>
          </w:tcPr>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57"/>
              <w:spacing w:before="62"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2</w:t>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9"/>
              <w:spacing w:before="103" w:line="227"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7、南京城市排水监管平台和手机</w:t>
            </w:r>
            <w:r>
              <w:rPr>
                <w:color w:val="000000" w:themeColor="text1"/>
                <w:sz w:val="19"/>
                <w:szCs w:val="19"/>
                <w:highlight w:val="none"/>
                <w14:textFill>
                  <w14:solidFill>
                    <w14:schemeClr w14:val="tx1"/>
                  </w14:solidFill>
                </w14:textFill>
              </w:rPr>
              <w:t xml:space="preserve">APP</w:t>
            </w:r>
            <w:r>
              <w:rPr>
                <w:color w:val="000000" w:themeColor="text1"/>
                <w:spacing w:val="8"/>
                <w:sz w:val="19"/>
                <w:szCs w:val="19"/>
                <w:highlight w:val="none"/>
                <w14:textFill>
                  <w14:solidFill>
                    <w14:schemeClr w14:val="tx1"/>
                  </w14:solidFill>
                </w14:textFill>
              </w:rPr>
              <w:t xml:space="preserve">打卡规范操作。</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5"/>
              <w:spacing w:before="103" w:line="228" w:lineRule="auto"/>
              <w:shd w:val="clear" w:color="auto"/>
              <w:rPr>
                <w:color w:val="000000" w:themeColor="text1"/>
                <w:sz w:val="19"/>
                <w:szCs w:val="19"/>
                <w:highlight w:val="none"/>
                <w14:textFill>
                  <w14:solidFill>
                    <w14:schemeClr w14:val="tx1"/>
                  </w14:solidFill>
                </w14:textFill>
              </w:rPr>
            </w:pPr>
            <w:r>
              <w:rPr>
                <w:color w:val="000000" w:themeColor="text1"/>
                <w:spacing w:val="7"/>
                <w:sz w:val="19"/>
                <w:szCs w:val="19"/>
                <w:highlight w:val="none"/>
                <w14:textFill>
                  <w14:solidFill>
                    <w14:schemeClr w14:val="tx1"/>
                  </w14:solidFill>
                </w14:textFill>
              </w:rPr>
              <w:t xml:space="preserve">8、上报信息应与实际完成情况相符。</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5"/>
              <w:spacing w:before="103" w:line="228" w:lineRule="auto"/>
              <w:shd w:val="clear" w:color="auto"/>
              <w:rPr>
                <w:color w:val="000000" w:themeColor="text1"/>
                <w:sz w:val="19"/>
                <w:szCs w:val="19"/>
                <w:highlight w:val="none"/>
                <w14:textFill>
                  <w14:solidFill>
                    <w14:schemeClr w14:val="tx1"/>
                  </w14:solidFill>
                </w14:textFill>
              </w:rPr>
            </w:pPr>
            <w:r>
              <w:rPr>
                <w:b/>
                <w:bCs/>
                <w:color w:val="000000" w:themeColor="text1"/>
                <w:spacing w:val="9"/>
                <w:sz w:val="19"/>
                <w:szCs w:val="19"/>
                <w:highlight w:val="none"/>
                <w14:textFill>
                  <w14:solidFill>
                    <w14:schemeClr w14:val="tx1"/>
                  </w14:solidFill>
                </w14:textFill>
              </w:rPr>
              <w:t xml:space="preserve">9、南京城市排水监管系统有专人负责监管，各岗位具体打卡工作有专人负责。</w:t>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gridSpan w:val="5"/>
            <w:tcW w:w="9760" w:type="dxa"/>
            <w:vAlign w:val="top"/>
            <w:textDirection w:val="lrTb"/>
            <w:noWrap w:val="false"/>
          </w:tcPr>
          <w:p>
            <w:pPr>
              <w:pStyle w:val="1256"/>
              <w:ind w:left="46"/>
              <w:spacing w:before="104" w:line="228" w:lineRule="auto"/>
              <w:shd w:val="clear" w:color="auto"/>
              <w:rPr>
                <w:color w:val="000000" w:themeColor="text1"/>
                <w:sz w:val="19"/>
                <w:szCs w:val="19"/>
                <w:highlight w:val="none"/>
                <w14:textFill>
                  <w14:solidFill>
                    <w14:schemeClr w14:val="tx1"/>
                  </w14:solidFill>
                </w14:textFill>
              </w:rPr>
            </w:pPr>
            <w:r>
              <w:rPr>
                <w:b/>
                <w:bCs/>
                <w:color w:val="000000" w:themeColor="text1"/>
                <w:spacing w:val="8"/>
                <w:sz w:val="19"/>
                <w:szCs w:val="19"/>
                <w:highlight w:val="none"/>
                <w14:textFill>
                  <w14:solidFill>
                    <w14:schemeClr w14:val="tx1"/>
                  </w14:solidFill>
                </w14:textFill>
              </w:rPr>
              <w:t xml:space="preserve">设施养护过程及完好</w:t>
            </w:r>
            <w:r/>
          </w:p>
        </w:tc>
      </w:tr>
      <w:tr>
        <w:trPr>
          <w:trHeight w:val="388"/>
        </w:trPr>
        <w:tc>
          <w:tcPr>
            <w:tcBorders>
              <w:bottom w:val="none" w:color="000000" w:sz="4" w:space="0"/>
            </w:tcBorders>
            <w:tcW w:w="410" w:type="dxa"/>
            <w:vAlign w:val="top"/>
            <w:vMerge w:val="restart"/>
            <w:textDirection w:val="lrTb"/>
            <w:noWrap w:val="false"/>
          </w:tcPr>
          <w:p>
            <w:pPr>
              <w:spacing w:line="26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6"/>
              <w:spacing w:before="62" w:line="184"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二</w:t>
            </w:r>
            <w:r/>
          </w:p>
        </w:tc>
        <w:tc>
          <w:tcPr>
            <w:tcBorders>
              <w:bottom w:val="none" w:color="000000" w:sz="4" w:space="0"/>
            </w:tcBorders>
            <w:tcW w:w="400" w:type="dxa"/>
            <w:vAlign w:val="top"/>
            <w:vMerge w:val="restart"/>
            <w:textDirection w:val="lrTb"/>
            <w:noWrap w:val="false"/>
          </w:tcPr>
          <w:p>
            <w:pPr>
              <w:spacing w:line="24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104"/>
              <w:spacing w:before="61" w:line="189" w:lineRule="auto"/>
              <w:shd w:val="clear" w:color="auto"/>
              <w:rPr>
                <w:color w:val="000000" w:themeColor="text1"/>
                <w:sz w:val="19"/>
                <w:szCs w:val="19"/>
                <w:highlight w:val="none"/>
                <w14:textFill>
                  <w14:solidFill>
                    <w14:schemeClr w14:val="tx1"/>
                  </w14:solidFill>
                </w14:textFill>
              </w:rPr>
            </w:pPr>
            <w:r>
              <w:rPr>
                <w:color w:val="000000" w:themeColor="text1"/>
                <w:spacing w:val="-1"/>
                <w:sz w:val="19"/>
                <w:szCs w:val="19"/>
                <w:highlight w:val="none"/>
                <w14:textFill>
                  <w14:solidFill>
                    <w14:schemeClr w14:val="tx1"/>
                  </w14:solidFill>
                </w14:textFill>
              </w:rPr>
              <w:t xml:space="preserve">30</w:t>
            </w:r>
            <w:r/>
          </w:p>
        </w:tc>
        <w:tc>
          <w:tcPr>
            <w:tcBorders>
              <w:bottom w:val="none" w:color="000000" w:sz="4" w:space="0"/>
            </w:tcBorders>
            <w:tcW w:w="427" w:type="dxa"/>
            <w:vAlign w:val="top"/>
            <w:vMerge w:val="restart"/>
            <w:textDirection w:val="tbRlV"/>
            <w:noWrap w:val="false"/>
          </w:tcPr>
          <w:p>
            <w:pPr>
              <w:pStyle w:val="1256"/>
              <w:ind w:left="1241"/>
              <w:spacing w:before="104" w:line="217"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排</w:t>
            </w:r>
            <w:r>
              <w:rPr>
                <w:color w:val="000000" w:themeColor="text1"/>
                <w:spacing w:val="-44"/>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水</w:t>
            </w:r>
            <w:r>
              <w:rPr>
                <w:color w:val="000000" w:themeColor="text1"/>
                <w:spacing w:val="-47"/>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管</w:t>
            </w:r>
            <w:r>
              <w:rPr>
                <w:color w:val="000000" w:themeColor="text1"/>
                <w:spacing w:val="-47"/>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道</w:t>
            </w:r>
            <w:r/>
          </w:p>
        </w:tc>
        <w:tc>
          <w:tcPr>
            <w:tcW w:w="7536" w:type="dxa"/>
            <w:vAlign w:val="top"/>
            <w:textDirection w:val="lrTb"/>
            <w:noWrap w:val="false"/>
          </w:tcPr>
          <w:p>
            <w:pPr>
              <w:pStyle w:val="1256"/>
              <w:ind w:left="49"/>
              <w:spacing w:before="104" w:line="228"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1、管道按计划方案实施养护，管道内积泥深度不超标，各类井积泥深度不超标。</w:t>
            </w:r>
            <w:r/>
          </w:p>
        </w:tc>
        <w:tc>
          <w:tcPr>
            <w:tcBorders>
              <w:bottom w:val="none" w:color="000000" w:sz="4" w:space="0"/>
            </w:tcBorders>
            <w:tcW w:w="987" w:type="dxa"/>
            <w:vAlign w:val="top"/>
            <w:vMerge w:val="restart"/>
            <w:textDirection w:val="lrTb"/>
            <w:noWrap w:val="false"/>
          </w:tcPr>
          <w:p>
            <w:pPr>
              <w:spacing w:line="25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69"/>
              <w:spacing w:before="61"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40" w:right="30" w:hanging="3"/>
              <w:spacing w:before="80"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2、管道内无垃圾、杂物、树根，无私拉乱接，管</w:t>
            </w:r>
            <w:r>
              <w:rPr>
                <w:color w:val="000000" w:themeColor="text1"/>
                <w:spacing w:val="8"/>
                <w:sz w:val="19"/>
                <w:szCs w:val="19"/>
                <w:highlight w:val="none"/>
                <w14:textFill>
                  <w14:solidFill>
                    <w14:schemeClr w14:val="tx1"/>
                  </w14:solidFill>
                </w14:textFill>
              </w:rPr>
              <w:t xml:space="preserve">道、盖板、出水口设施齐全，标识标</w:t>
            </w:r>
            <w:r>
              <w:rPr>
                <w:color w:val="000000" w:themeColor="text1"/>
                <w:sz w:val="19"/>
                <w:szCs w:val="19"/>
                <w:highlight w:val="none"/>
                <w14:textFill>
                  <w14:solidFill>
                    <w14:schemeClr w14:val="tx1"/>
                  </w14:solidFill>
                </w14:textFill>
              </w:rPr>
              <w:t xml:space="preserve"> </w:t>
            </w:r>
            <w:r>
              <w:rPr>
                <w:color w:val="000000" w:themeColor="text1"/>
                <w:spacing w:val="6"/>
                <w:sz w:val="19"/>
                <w:szCs w:val="19"/>
                <w:highlight w:val="none"/>
                <w14:textFill>
                  <w14:solidFill>
                    <w14:schemeClr w14:val="tx1"/>
                  </w14:solidFill>
                </w14:textFill>
              </w:rPr>
              <w:t xml:space="preserve">志规范，功能完好。</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8"/>
              <w:spacing w:before="105" w:line="228"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3、管道养护必须进行全覆盖，需要养护至下游或排口并掌握下游或排口情况。</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4"/>
              <w:spacing w:before="106" w:line="227"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4、清疏车辆设备规范作业，车容车貌干净整洁，车辆密闭，无抛洒滴漏。</w:t>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5" w:right="229" w:firstLine="3"/>
              <w:spacing w:before="81"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5、雨水篦、检查井与路面整齐平稳功能完好</w:t>
            </w:r>
            <w:r>
              <w:rPr>
                <w:color w:val="000000" w:themeColor="text1"/>
                <w:spacing w:val="8"/>
                <w:sz w:val="19"/>
                <w:szCs w:val="19"/>
                <w:highlight w:val="none"/>
                <w14:textFill>
                  <w14:solidFill>
                    <w14:schemeClr w14:val="tx1"/>
                  </w14:solidFill>
                </w14:textFill>
              </w:rPr>
              <w:t xml:space="preserve">，蔑眼无堵塞，井室完好，框盖齐全平</w:t>
            </w:r>
            <w:r>
              <w:rPr>
                <w:color w:val="000000" w:themeColor="text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稳，不动摇，无响声，无破损，开启灵活，设施见本色。</w:t>
            </w:r>
            <w:r/>
          </w:p>
        </w:tc>
        <w:tc>
          <w:tcPr>
            <w:tcW w:w="987" w:type="dxa"/>
            <w:vAlign w:val="top"/>
            <w:textDirection w:val="lrTb"/>
            <w:noWrap w:val="false"/>
          </w:tcPr>
          <w:p>
            <w:pPr>
              <w:pStyle w:val="1256"/>
              <w:ind w:left="457"/>
              <w:spacing w:before="235"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2</w:t>
            </w:r>
            <w:r/>
          </w:p>
        </w:tc>
      </w:tr>
      <w:tr>
        <w:trPr>
          <w:trHeight w:val="989"/>
        </w:trPr>
        <w:tc>
          <w:tcPr>
            <w:tcW w:w="410" w:type="dxa"/>
            <w:vAlign w:val="top"/>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5" w:right="29"/>
              <w:spacing w:before="159" w:line="236"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6、作业人员应穿戴配有反光标志的安全警示服并正确</w:t>
            </w:r>
            <w:r>
              <w:rPr>
                <w:color w:val="000000" w:themeColor="text1"/>
                <w:spacing w:val="8"/>
                <w:sz w:val="19"/>
                <w:szCs w:val="19"/>
                <w:highlight w:val="none"/>
                <w14:textFill>
                  <w14:solidFill>
                    <w14:schemeClr w14:val="tx1"/>
                  </w14:solidFill>
                </w14:textFill>
              </w:rPr>
              <w:t xml:space="preserve">佩戴和使用劳动保护用品；作业</w:t>
            </w:r>
            <w:r>
              <w:rPr>
                <w:color w:val="000000" w:themeColor="text1"/>
                <w:sz w:val="19"/>
                <w:szCs w:val="19"/>
                <w:highlight w:val="none"/>
                <w14:textFill>
                  <w14:solidFill>
                    <w14:schemeClr w14:val="tx1"/>
                  </w14:solidFill>
                </w14:textFill>
              </w:rPr>
              <w:t xml:space="preserve"> </w:t>
            </w:r>
            <w:r>
              <w:rPr>
                <w:color w:val="000000" w:themeColor="text1"/>
                <w:spacing w:val="9"/>
                <w:sz w:val="19"/>
                <w:szCs w:val="19"/>
                <w:highlight w:val="none"/>
                <w14:textFill>
                  <w14:solidFill>
                    <w14:schemeClr w14:val="tx1"/>
                  </w14:solidFill>
                </w14:textFill>
              </w:rPr>
              <w:t xml:space="preserve">区域应采取设置安全警示标志灯防护措施；夜间作业时，应在</w:t>
            </w:r>
            <w:r>
              <w:rPr>
                <w:color w:val="000000" w:themeColor="text1"/>
                <w:spacing w:val="8"/>
                <w:sz w:val="19"/>
                <w:szCs w:val="19"/>
                <w:highlight w:val="none"/>
                <w14:textFill>
                  <w14:solidFill>
                    <w14:schemeClr w14:val="tx1"/>
                  </w14:solidFill>
                </w14:textFill>
              </w:rPr>
              <w:t xml:space="preserve">作业周边明显处设置警</w:t>
            </w:r>
            <w:r>
              <w:rPr>
                <w:color w:val="000000" w:themeColor="text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示灯；工完场清，应及时清除障碍物，作业现场严禁动用明火。</w:t>
            </w:r>
            <w:r/>
          </w:p>
        </w:tc>
        <w:tc>
          <w:tcPr>
            <w:tcW w:w="987" w:type="dxa"/>
            <w:vAlign w:val="top"/>
            <w:textDirection w:val="lrTb"/>
            <w:noWrap w:val="false"/>
          </w:tcPr>
          <w:p>
            <w:pPr>
              <w:spacing w:line="37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57"/>
              <w:spacing w:before="62"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2</w:t>
            </w:r>
            <w:r/>
          </w:p>
        </w:tc>
      </w:tr>
      <w:tr>
        <w:trPr>
          <w:trHeight w:val="586"/>
        </w:trPr>
        <w:tc>
          <w:tcPr>
            <w:tcBorders>
              <w:bottom w:val="none" w:color="000000" w:sz="4" w:space="0"/>
            </w:tcBorders>
            <w:tcW w:w="410" w:type="dxa"/>
            <w:vAlign w:val="top"/>
            <w:vMerge w:val="restart"/>
            <w:textDirection w:val="lrTb"/>
            <w:noWrap w:val="false"/>
          </w:tcPr>
          <w:p>
            <w:pPr>
              <w:spacing w:line="260"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0"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0"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0"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2"/>
              <w:spacing w:before="62" w:line="253" w:lineRule="exact"/>
              <w:shd w:val="clear" w:color="auto"/>
              <w:rPr>
                <w:color w:val="000000" w:themeColor="text1"/>
                <w:sz w:val="19"/>
                <w:szCs w:val="19"/>
                <w:highlight w:val="none"/>
                <w14:textFill>
                  <w14:solidFill>
                    <w14:schemeClr w14:val="tx1"/>
                  </w14:solidFill>
                </w14:textFill>
              </w:rPr>
            </w:pPr>
            <w:r>
              <w:rPr>
                <w:color w:val="000000" w:themeColor="text1"/>
                <w:spacing w:val="1"/>
                <w:position w:val="1"/>
                <w:sz w:val="19"/>
                <w:szCs w:val="19"/>
                <w:highlight w:val="none"/>
                <w14:textFill>
                  <w14:solidFill>
                    <w14:schemeClr w14:val="tx1"/>
                  </w14:solidFill>
                </w14:textFill>
              </w:rPr>
              <w:t xml:space="preserve">三</w:t>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7" w:type="dxa"/>
            <w:vAlign w:val="top"/>
            <w:vMerge w:val="restart"/>
            <w:textDirection w:val="lrTb"/>
            <w:noWrap w:val="false"/>
          </w:tcPr>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116" w:right="104"/>
              <w:spacing w:before="62" w:line="235"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泵 站</w:t>
            </w:r>
            <w:r/>
          </w:p>
        </w:tc>
        <w:tc>
          <w:tcPr>
            <w:tcW w:w="7536" w:type="dxa"/>
            <w:vAlign w:val="top"/>
            <w:textDirection w:val="lrTb"/>
            <w:noWrap w:val="false"/>
          </w:tcPr>
          <w:p>
            <w:pPr>
              <w:pStyle w:val="1256"/>
              <w:ind w:left="48" w:right="29"/>
              <w:spacing w:before="84" w:line="234"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1、设施设备无故障运行正常，按期保养出新，做好水泵、捞污机、电气、吊装、消防</w:t>
            </w:r>
            <w:r>
              <w:rPr>
                <w:color w:val="000000" w:themeColor="text1"/>
                <w:spacing w:val="11"/>
                <w:sz w:val="19"/>
                <w:szCs w:val="19"/>
                <w:highlight w:val="none"/>
                <w14:textFill>
                  <w14:solidFill>
                    <w14:schemeClr w14:val="tx1"/>
                  </w14:solidFill>
                </w14:textFill>
              </w:rPr>
              <w:t xml:space="preserve"> </w:t>
            </w:r>
            <w:r>
              <w:rPr>
                <w:color w:val="000000" w:themeColor="text1"/>
                <w:spacing w:val="6"/>
                <w:sz w:val="19"/>
                <w:szCs w:val="19"/>
                <w:highlight w:val="none"/>
                <w14:textFill>
                  <w14:solidFill>
                    <w14:schemeClr w14:val="tx1"/>
                  </w14:solidFill>
                </w14:textFill>
              </w:rPr>
              <w:t xml:space="preserve">、监控等各类设备检测工作。</w:t>
            </w:r>
            <w:r/>
          </w:p>
        </w:tc>
        <w:tc>
          <w:tcPr>
            <w:tcW w:w="987" w:type="dxa"/>
            <w:vAlign w:val="top"/>
            <w:textDirection w:val="lrTb"/>
            <w:noWrap w:val="false"/>
          </w:tcPr>
          <w:p>
            <w:pPr>
              <w:pStyle w:val="1256"/>
              <w:ind w:left="457"/>
              <w:spacing w:before="237"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2</w:t>
            </w:r>
            <w:r/>
          </w:p>
        </w:tc>
      </w:tr>
      <w:tr>
        <w:trPr>
          <w:trHeight w:val="4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6" w:right="29"/>
              <w:spacing w:before="37" w:line="21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2、捞污机不得阻水，临边洞口危险处防护遮拦齐全</w:t>
            </w:r>
            <w:r>
              <w:rPr>
                <w:color w:val="000000" w:themeColor="text1"/>
                <w:spacing w:val="8"/>
                <w:sz w:val="19"/>
                <w:szCs w:val="19"/>
                <w:highlight w:val="none"/>
                <w14:textFill>
                  <w14:solidFill>
                    <w14:schemeClr w14:val="tx1"/>
                  </w14:solidFill>
                </w14:textFill>
              </w:rPr>
              <w:t xml:space="preserve">牢固，警示标识明显；扶梯、栏杆</w:t>
            </w:r>
            <w:r>
              <w:rPr>
                <w:color w:val="000000" w:themeColor="text1"/>
                <w:sz w:val="19"/>
                <w:szCs w:val="19"/>
                <w:highlight w:val="none"/>
                <w14:textFill>
                  <w14:solidFill>
                    <w14:schemeClr w14:val="tx1"/>
                  </w14:solidFill>
                </w14:textFill>
              </w:rPr>
              <w:t xml:space="preserve"> </w:t>
            </w:r>
            <w:r>
              <w:rPr>
                <w:color w:val="000000" w:themeColor="text1"/>
                <w:spacing w:val="4"/>
                <w:sz w:val="19"/>
                <w:szCs w:val="19"/>
                <w:highlight w:val="none"/>
                <w14:textFill>
                  <w14:solidFill>
                    <w14:schemeClr w14:val="tx1"/>
                  </w14:solidFill>
                </w14:textFill>
              </w:rPr>
              <w:t xml:space="preserve">无锈迹。</w:t>
            </w:r>
            <w:r/>
          </w:p>
        </w:tc>
        <w:tc>
          <w:tcPr>
            <w:tcW w:w="987" w:type="dxa"/>
            <w:vAlign w:val="top"/>
            <w:textDirection w:val="lrTb"/>
            <w:noWrap w:val="false"/>
          </w:tcPr>
          <w:p>
            <w:pPr>
              <w:pStyle w:val="1256"/>
              <w:ind w:left="469"/>
              <w:spacing w:before="190"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6" w:right="30" w:firstLine="2"/>
              <w:spacing w:before="85"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3、房屋设施安全完好，墙体完好无开裂，墙壁</w:t>
            </w:r>
            <w:r>
              <w:rPr>
                <w:color w:val="000000" w:themeColor="text1"/>
                <w:spacing w:val="8"/>
                <w:sz w:val="19"/>
                <w:szCs w:val="19"/>
                <w:highlight w:val="none"/>
                <w14:textFill>
                  <w14:solidFill>
                    <w14:schemeClr w14:val="tx1"/>
                  </w14:solidFill>
                </w14:textFill>
              </w:rPr>
              <w:t xml:space="preserve">无脱落无渗水无污渍霉斑，屋顶天沟及</w:t>
            </w:r>
            <w:r>
              <w:rPr>
                <w:color w:val="000000" w:themeColor="text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落水管保持畅通，照明设备完好齐全，干净。</w:t>
            </w:r>
            <w:r/>
          </w:p>
        </w:tc>
        <w:tc>
          <w:tcPr>
            <w:tcBorders>
              <w:bottom w:val="none" w:color="000000" w:sz="4" w:space="0"/>
            </w:tcBorders>
            <w:tcW w:w="987" w:type="dxa"/>
            <w:vAlign w:val="top"/>
            <w:vMerge w:val="restart"/>
            <w:textDirection w:val="lrTb"/>
            <w:noWrap w:val="false"/>
          </w:tcPr>
          <w:p>
            <w:pPr>
              <w:spacing w:line="26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69"/>
              <w:spacing w:before="62"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7" w:right="31" w:hanging="3"/>
              <w:spacing w:before="89"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4、附属设施完好齐备，泵站各建筑屋顶天沟及落水管保</w:t>
            </w:r>
            <w:r>
              <w:rPr>
                <w:color w:val="000000" w:themeColor="text1"/>
                <w:spacing w:val="8"/>
                <w:sz w:val="19"/>
                <w:szCs w:val="19"/>
                <w:highlight w:val="none"/>
                <w14:textFill>
                  <w14:solidFill>
                    <w14:schemeClr w14:val="tx1"/>
                  </w14:solidFill>
                </w14:textFill>
              </w:rPr>
              <w:t xml:space="preserve">持畅通，老化的防雨油毡及时</w:t>
            </w:r>
            <w:r>
              <w:rPr>
                <w:color w:val="000000" w:themeColor="text1"/>
                <w:sz w:val="19"/>
                <w:szCs w:val="19"/>
                <w:highlight w:val="none"/>
                <w14:textFill>
                  <w14:solidFill>
                    <w14:schemeClr w14:val="tx1"/>
                  </w14:solidFill>
                </w14:textFill>
              </w:rPr>
              <w:t xml:space="preserve"> </w:t>
            </w:r>
            <w:r>
              <w:rPr>
                <w:color w:val="000000" w:themeColor="text1"/>
                <w:spacing w:val="2"/>
                <w:sz w:val="19"/>
                <w:szCs w:val="19"/>
                <w:highlight w:val="none"/>
                <w14:textFill>
                  <w14:solidFill>
                    <w14:schemeClr w14:val="tx1"/>
                  </w14:solidFill>
                </w14:textFill>
              </w:rPr>
              <w:t xml:space="preserve">更换。</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4" w:right="30" w:firstLine="3"/>
              <w:spacing w:before="89"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5、站容站貌整洁干净，每日保洁，墙地面清洁</w:t>
            </w:r>
            <w:r>
              <w:rPr>
                <w:color w:val="000000" w:themeColor="text1"/>
                <w:spacing w:val="8"/>
                <w:sz w:val="19"/>
                <w:szCs w:val="19"/>
                <w:highlight w:val="none"/>
                <w14:textFill>
                  <w14:solidFill>
                    <w14:schemeClr w14:val="tx1"/>
                  </w14:solidFill>
                </w14:textFill>
              </w:rPr>
              <w:t xml:space="preserve">干净；室内无蛛网污迹；玻璃明净无缺</w:t>
            </w:r>
            <w:r>
              <w:rPr>
                <w:color w:val="000000" w:themeColor="text1"/>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损；不放挂杂物；前池无垃圾漂浮物。</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2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5" w:right="29"/>
              <w:spacing w:before="60" w:line="222"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6、管理规范，制度上墙，按要求标准进行作业。各种</w:t>
            </w:r>
            <w:r>
              <w:rPr>
                <w:color w:val="000000" w:themeColor="text1"/>
                <w:spacing w:val="8"/>
                <w:sz w:val="19"/>
                <w:szCs w:val="19"/>
                <w:highlight w:val="none"/>
                <w14:textFill>
                  <w14:solidFill>
                    <w14:schemeClr w14:val="tx1"/>
                  </w14:solidFill>
                </w14:textFill>
              </w:rPr>
              <w:t xml:space="preserve">铭牌、图牌内容清晰、完整，悬</w:t>
            </w:r>
            <w:r>
              <w:rPr>
                <w:color w:val="000000" w:themeColor="text1"/>
                <w:sz w:val="19"/>
                <w:szCs w:val="19"/>
                <w:highlight w:val="none"/>
                <w14:textFill>
                  <w14:solidFill>
                    <w14:schemeClr w14:val="tx1"/>
                  </w14:solidFill>
                </w14:textFill>
              </w:rPr>
              <w:t xml:space="preserve"> </w:t>
            </w:r>
            <w:r>
              <w:rPr>
                <w:color w:val="000000" w:themeColor="text1"/>
                <w:spacing w:val="6"/>
                <w:sz w:val="19"/>
                <w:szCs w:val="19"/>
                <w:highlight w:val="none"/>
                <w14:textFill>
                  <w14:solidFill>
                    <w14:schemeClr w14:val="tx1"/>
                  </w14:solidFill>
                </w14:textFill>
              </w:rPr>
              <w:t xml:space="preserve">挂位置明显。</w:t>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96"/>
        </w:trPr>
        <w:tc>
          <w:tcPr>
            <w:tcW w:w="410" w:type="dxa"/>
            <w:vAlign w:val="top"/>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5" w:right="30" w:firstLine="3"/>
              <w:spacing w:before="91"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7、作业人员进入机泵房、配电房等作业区域</w:t>
            </w:r>
            <w:r>
              <w:rPr>
                <w:color w:val="000000" w:themeColor="text1"/>
                <w:spacing w:val="8"/>
                <w:sz w:val="19"/>
                <w:szCs w:val="19"/>
                <w:highlight w:val="none"/>
                <w14:textFill>
                  <w14:solidFill>
                    <w14:schemeClr w14:val="tx1"/>
                  </w14:solidFill>
                </w14:textFill>
              </w:rPr>
              <w:t xml:space="preserve">作业时必须穿戴绝缘鞋，手套，清理前池</w:t>
            </w:r>
            <w:r>
              <w:rPr>
                <w:color w:val="000000" w:themeColor="text1"/>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要穿戴救生衣，做好泵站运行的记录。</w:t>
            </w:r>
            <w:r/>
          </w:p>
        </w:tc>
        <w:tc>
          <w:tcPr>
            <w:tcW w:w="987" w:type="dxa"/>
            <w:vAlign w:val="top"/>
            <w:textDirection w:val="lrTb"/>
            <w:noWrap w:val="false"/>
          </w:tcPr>
          <w:p>
            <w:pPr>
              <w:pStyle w:val="1256"/>
              <w:ind w:left="457"/>
              <w:spacing w:before="244"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2</w:t>
            </w:r>
            <w:r/>
          </w:p>
        </w:tc>
      </w:tr>
    </w:tbl>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hd w:val="clear" w:color="auto"/>
        <w:rPr>
          <w:rFonts w:ascii="Arial" w:hAnsi="Arial" w:eastAsia="Arial" w:cs="Arial"/>
          <w:color w:val="000000" w:themeColor="text1"/>
          <w:sz w:val="21"/>
          <w:szCs w:val="21"/>
          <w:highlight w:val="none"/>
          <w14:textFill>
            <w14:solidFill>
              <w14:schemeClr w14:val="tx1"/>
            </w14:solidFill>
          </w14:textFill>
        </w:rPr>
        <w:sectPr>
          <w:footerReference w:type="default" r:id="rId17"/>
          <w:footnotePr/>
          <w:endnotePr/>
          <w:type w:val="nextPage"/>
          <w:pgSz w:w="11905" w:h="16837" w:orient="portrait"/>
          <w:pgMar w:top="1431" w:right="1116" w:bottom="400" w:left="1012" w:header="0" w:footer="0" w:gutter="0"/>
          <w:cols w:num="1" w:sep="0" w:space="720" w:equalWidth="1"/>
          <w:docGrid w:linePitch="360"/>
        </w:sectPr>
      </w:pPr>
      <w:r>
        <w:rPr>
          <w:rFonts w:ascii="Arial" w:hAnsi="Arial" w:eastAsia="Arial" w:cs="Arial"/>
          <w:color w:val="000000" w:themeColor="text1"/>
          <w:sz w:val="21"/>
          <w:szCs w:val="21"/>
          <w:highlight w:val="none"/>
          <w14:textFill>
            <w14:solidFill>
              <w14:schemeClr w14:val="tx1"/>
            </w14:solidFill>
          </w14:textFill>
        </w:rPr>
      </w:r>
      <w:r/>
    </w:p>
    <w:tbl>
      <w:tblPr>
        <w:tblStyle w:val="1217"/>
        <w:tblW w:w="976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10"/>
        <w:gridCol w:w="400"/>
        <w:gridCol w:w="426"/>
        <w:gridCol w:w="7536"/>
        <w:gridCol w:w="997"/>
      </w:tblGrid>
      <w:tr>
        <w:trPr>
          <w:trHeight w:val="596"/>
        </w:trPr>
        <w:tc>
          <w:tcPr>
            <w:tcBorders>
              <w:bottom w:val="none" w:color="000000" w:sz="4" w:space="0"/>
            </w:tcBorders>
            <w:tcW w:w="410" w:type="dxa"/>
            <w:vAlign w:val="top"/>
            <w:vMerge w:val="restart"/>
            <w:textDirection w:val="lrTb"/>
            <w:noWrap w:val="false"/>
          </w:tcPr>
          <w:p>
            <w:pPr>
              <w:spacing w:line="262"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3"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131"/>
              <w:spacing w:before="62" w:line="231"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四</w:t>
            </w:r>
            <w:r/>
          </w:p>
        </w:tc>
        <w:tc>
          <w:tcPr>
            <w:tcBorders>
              <w:top w:val="none" w:color="000000" w:sz="4" w:space="0"/>
              <w:bottom w:val="none" w:color="000000" w:sz="4" w:space="0"/>
            </w:tcBorders>
            <w:tcW w:w="400" w:type="dxa"/>
            <w:vAlign w:val="top"/>
            <w:vMerge w:val="restart"/>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6" w:type="dxa"/>
            <w:vAlign w:val="top"/>
            <w:vMerge w:val="restart"/>
            <w:textDirection w:val="lrTb"/>
            <w:noWrap w:val="false"/>
          </w:tcPr>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115" w:right="103"/>
              <w:spacing w:before="62" w:line="237" w:lineRule="auto"/>
              <w:shd w:val="clear" w:color="auto"/>
              <w:rPr>
                <w:color w:val="000000" w:themeColor="text1"/>
                <w:sz w:val="19"/>
                <w:szCs w:val="19"/>
                <w:highlight w:val="none"/>
                <w14:textFill>
                  <w14:solidFill>
                    <w14:schemeClr w14:val="tx1"/>
                  </w14:solidFill>
                </w14:textFill>
              </w:rPr>
            </w:pPr>
            <w:r>
              <w:rPr>
                <w:color w:val="000000" w:themeColor="text1"/>
                <w:spacing w:val="2"/>
                <w:sz w:val="19"/>
                <w:szCs w:val="19"/>
                <w:highlight w:val="none"/>
                <w14:textFill>
                  <w14:solidFill>
                    <w14:schemeClr w14:val="tx1"/>
                  </w14:solidFill>
                </w14:textFill>
              </w:rPr>
              <w:t xml:space="preserve">河</w:t>
            </w:r>
            <w:r>
              <w:rPr>
                <w:color w:val="000000" w:themeColor="text1"/>
                <w:sz w:val="19"/>
                <w:szCs w:val="19"/>
                <w:highlight w:val="none"/>
                <w14:textFill>
                  <w14:solidFill>
                    <w14:schemeClr w14:val="tx1"/>
                  </w14:solidFill>
                </w14:textFill>
              </w:rPr>
              <w:t xml:space="preserve"> </w:t>
            </w:r>
            <w:r>
              <w:rPr>
                <w:color w:val="000000" w:themeColor="text1"/>
                <w:spacing w:val="2"/>
                <w:sz w:val="19"/>
                <w:szCs w:val="19"/>
                <w:highlight w:val="none"/>
                <w14:textFill>
                  <w14:solidFill>
                    <w14:schemeClr w14:val="tx1"/>
                  </w14:solidFill>
                </w14:textFill>
              </w:rPr>
              <w:t xml:space="preserve">道</w:t>
            </w:r>
            <w:r/>
          </w:p>
        </w:tc>
        <w:tc>
          <w:tcPr>
            <w:tcW w:w="7536" w:type="dxa"/>
            <w:vAlign w:val="top"/>
            <w:textDirection w:val="lrTb"/>
            <w:noWrap w:val="false"/>
          </w:tcPr>
          <w:p>
            <w:pPr>
              <w:pStyle w:val="1256"/>
              <w:ind w:left="39" w:right="28" w:firstLine="10"/>
              <w:spacing w:before="86" w:line="234"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1、河面（含拦污栅前）、无漂浮物等；河道保护范围内无杂物垃圾、杂草、杂树；无</w:t>
            </w:r>
            <w:r>
              <w:rPr>
                <w:color w:val="000000" w:themeColor="text1"/>
                <w:spacing w:val="11"/>
                <w:sz w:val="19"/>
                <w:szCs w:val="19"/>
                <w:highlight w:val="none"/>
                <w14:textFill>
                  <w14:solidFill>
                    <w14:schemeClr w14:val="tx1"/>
                  </w14:solidFill>
                </w14:textFill>
              </w:rPr>
              <w:t xml:space="preserve"> </w:t>
            </w:r>
            <w:r>
              <w:rPr>
                <w:color w:val="000000" w:themeColor="text1"/>
                <w:spacing w:val="6"/>
                <w:sz w:val="19"/>
                <w:szCs w:val="19"/>
                <w:highlight w:val="none"/>
                <w14:textFill>
                  <w14:solidFill>
                    <w14:schemeClr w14:val="tx1"/>
                  </w14:solidFill>
                </w14:textFill>
              </w:rPr>
              <w:t xml:space="preserve">毁绿种菜</w:t>
            </w:r>
            <w:r/>
          </w:p>
        </w:tc>
        <w:tc>
          <w:tcPr>
            <w:tcW w:w="997" w:type="dxa"/>
            <w:vAlign w:val="top"/>
            <w:textDirection w:val="lrTb"/>
            <w:noWrap w:val="false"/>
          </w:tcPr>
          <w:p>
            <w:pPr>
              <w:pStyle w:val="1256"/>
              <w:ind w:left="470"/>
              <w:spacing w:before="239"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8"/>
              <w:spacing w:before="202" w:line="228" w:lineRule="auto"/>
              <w:shd w:val="clear" w:color="auto"/>
              <w:rPr>
                <w:color w:val="000000" w:themeColor="text1"/>
                <w:sz w:val="19"/>
                <w:szCs w:val="19"/>
                <w:highlight w:val="none"/>
                <w14:textFill>
                  <w14:solidFill>
                    <w14:schemeClr w14:val="tx1"/>
                  </w14:solidFill>
                </w14:textFill>
              </w:rPr>
            </w:pPr>
            <w:r>
              <w:rPr>
                <w:color w:val="000000" w:themeColor="text1"/>
                <w:spacing w:val="7"/>
                <w:sz w:val="19"/>
                <w:szCs w:val="19"/>
                <w:highlight w:val="none"/>
                <w14:textFill>
                  <w14:solidFill>
                    <w14:schemeClr w14:val="tx1"/>
                  </w14:solidFill>
                </w14:textFill>
              </w:rPr>
              <w:t xml:space="preserve">2、打捞上来的漂浮物在指定地点堆放，</w:t>
            </w:r>
            <w:r>
              <w:rPr>
                <w:color w:val="000000" w:themeColor="text1"/>
                <w:spacing w:val="-47"/>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日产</w:t>
            </w:r>
            <w:r>
              <w:rPr>
                <w:color w:val="000000" w:themeColor="text1"/>
                <w:spacing w:val="6"/>
                <w:sz w:val="19"/>
                <w:szCs w:val="19"/>
                <w:highlight w:val="none"/>
                <w14:textFill>
                  <w14:solidFill>
                    <w14:schemeClr w14:val="tx1"/>
                  </w14:solidFill>
                </w14:textFill>
              </w:rPr>
              <w:t xml:space="preserve">日清，按要求弃置处理。</w:t>
            </w:r>
            <w:r/>
          </w:p>
        </w:tc>
        <w:tc>
          <w:tcPr>
            <w:tcW w:w="997" w:type="dxa"/>
            <w:vAlign w:val="top"/>
            <w:textDirection w:val="lrTb"/>
            <w:noWrap w:val="false"/>
          </w:tcPr>
          <w:p>
            <w:pPr>
              <w:pStyle w:val="1256"/>
              <w:ind w:left="458"/>
              <w:spacing w:before="234"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2</w:t>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5" w:right="320" w:firstLine="3"/>
              <w:spacing w:before="77"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3、拦污栅不得悬空、淹没，上下游水位差&lt;20</w:t>
            </w:r>
            <w:r>
              <w:rPr>
                <w:color w:val="000000" w:themeColor="text1"/>
                <w:sz w:val="19"/>
                <w:szCs w:val="19"/>
                <w:highlight w:val="none"/>
                <w14:textFill>
                  <w14:solidFill>
                    <w14:schemeClr w14:val="tx1"/>
                  </w14:solidFill>
                </w14:textFill>
              </w:rPr>
              <w:t xml:space="preserve">cm</w:t>
            </w:r>
            <w:r>
              <w:rPr>
                <w:color w:val="000000" w:themeColor="text1"/>
                <w:spacing w:val="9"/>
                <w:sz w:val="19"/>
                <w:szCs w:val="19"/>
                <w:highlight w:val="none"/>
                <w14:textFill>
                  <w14:solidFill>
                    <w14:schemeClr w14:val="tx1"/>
                  </w14:solidFill>
                </w14:textFill>
              </w:rPr>
              <w:t xml:space="preserve">；</w:t>
            </w:r>
            <w:r>
              <w:rPr>
                <w:color w:val="000000" w:themeColor="text1"/>
                <w:spacing w:val="8"/>
                <w:sz w:val="19"/>
                <w:szCs w:val="19"/>
                <w:highlight w:val="none"/>
                <w14:textFill>
                  <w14:solidFill>
                    <w14:schemeClr w14:val="tx1"/>
                  </w14:solidFill>
                </w14:textFill>
              </w:rPr>
              <w:t xml:space="preserve">不得擅自提起。设施表面油漆完</w:t>
            </w:r>
            <w:r>
              <w:rPr>
                <w:color w:val="000000" w:themeColor="text1"/>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好，格栅、踏板、栏杆完好。</w:t>
            </w:r>
            <w:r/>
          </w:p>
        </w:tc>
        <w:tc>
          <w:tcPr>
            <w:tcW w:w="997" w:type="dxa"/>
            <w:vAlign w:val="top"/>
            <w:textDirection w:val="lrTb"/>
            <w:noWrap w:val="false"/>
          </w:tcPr>
          <w:p>
            <w:pPr>
              <w:pStyle w:val="1256"/>
              <w:ind w:left="458"/>
              <w:spacing w:before="234"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2</w:t>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5"/>
              <w:spacing w:before="102" w:line="228" w:lineRule="auto"/>
              <w:shd w:val="clear" w:color="auto"/>
              <w:rPr>
                <w:color w:val="000000" w:themeColor="text1"/>
                <w:sz w:val="19"/>
                <w:szCs w:val="19"/>
                <w:highlight w:val="none"/>
                <w14:textFill>
                  <w14:solidFill>
                    <w14:schemeClr w14:val="tx1"/>
                  </w14:solidFill>
                </w14:textFill>
              </w:rPr>
            </w:pPr>
            <w:r>
              <w:rPr>
                <w:color w:val="000000" w:themeColor="text1"/>
                <w:spacing w:val="7"/>
                <w:sz w:val="19"/>
                <w:szCs w:val="19"/>
                <w:highlight w:val="none"/>
                <w14:textFill>
                  <w14:solidFill>
                    <w14:schemeClr w14:val="tx1"/>
                  </w14:solidFill>
                </w14:textFill>
              </w:rPr>
              <w:t xml:space="preserve">4、排水截流装置设施完好，运行正常。</w:t>
            </w:r>
            <w:r/>
          </w:p>
        </w:tc>
        <w:tc>
          <w:tcPr>
            <w:tcW w:w="997" w:type="dxa"/>
            <w:vAlign w:val="top"/>
            <w:textDirection w:val="lrTb"/>
            <w:noWrap w:val="false"/>
          </w:tcPr>
          <w:p>
            <w:pPr>
              <w:pStyle w:val="1256"/>
              <w:ind w:left="459"/>
              <w:spacing w:before="134"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3</w:t>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48" w:right="29" w:hanging="9"/>
              <w:spacing w:before="77"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5、压顶无缺损；勾缝无脱落；片石无脱落；堤</w:t>
            </w:r>
            <w:r>
              <w:rPr>
                <w:color w:val="000000" w:themeColor="text1"/>
                <w:spacing w:val="8"/>
                <w:sz w:val="19"/>
                <w:szCs w:val="19"/>
                <w:highlight w:val="none"/>
                <w14:textFill>
                  <w14:solidFill>
                    <w14:schemeClr w14:val="tx1"/>
                  </w14:solidFill>
                </w14:textFill>
              </w:rPr>
              <w:t xml:space="preserve">身无裂缝；岸坡无掏空、坍塌；警示牌</w:t>
            </w:r>
            <w:r>
              <w:rPr>
                <w:color w:val="000000" w:themeColor="text1"/>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、宣传牌、栏杆、拦污栅等附属设施无损坏。</w:t>
            </w:r>
            <w:r/>
          </w:p>
        </w:tc>
        <w:tc>
          <w:tcPr>
            <w:tcW w:w="997" w:type="dxa"/>
            <w:vAlign w:val="top"/>
            <w:textDirection w:val="lrTb"/>
            <w:noWrap w:val="false"/>
          </w:tcPr>
          <w:p>
            <w:pPr>
              <w:pStyle w:val="1256"/>
              <w:ind w:left="470"/>
              <w:spacing w:before="234"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99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29" w:right="36" w:firstLine="1"/>
              <w:spacing w:before="22"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6、水闸主体设施完好，闸门完好牢固，止水良好，</w:t>
            </w:r>
            <w:r>
              <w:rPr>
                <w:color w:val="000000" w:themeColor="text1"/>
                <w:spacing w:val="8"/>
                <w:sz w:val="19"/>
                <w:szCs w:val="19"/>
                <w:highlight w:val="none"/>
                <w14:textFill>
                  <w14:solidFill>
                    <w14:schemeClr w14:val="tx1"/>
                  </w14:solidFill>
                </w14:textFill>
              </w:rPr>
              <w:t xml:space="preserve">无腐蚀、裂纹、穿孔，闸槽内无杂</w:t>
            </w:r>
            <w:r>
              <w:rPr>
                <w:color w:val="000000" w:themeColor="text1"/>
                <w:sz w:val="19"/>
                <w:szCs w:val="19"/>
                <w:highlight w:val="none"/>
                <w14:textFill>
                  <w14:solidFill>
                    <w14:schemeClr w14:val="tx1"/>
                  </w14:solidFill>
                </w14:textFill>
              </w:rPr>
              <w:t xml:space="preserve"> </w:t>
            </w:r>
            <w:r>
              <w:rPr>
                <w:color w:val="000000" w:themeColor="text1"/>
                <w:spacing w:val="9"/>
                <w:sz w:val="19"/>
                <w:szCs w:val="19"/>
                <w:highlight w:val="none"/>
                <w14:textFill>
                  <w14:solidFill>
                    <w14:schemeClr w14:val="tx1"/>
                  </w14:solidFill>
                </w14:textFill>
              </w:rPr>
              <w:t xml:space="preserve">物；启动装置完好，丝杆及齿轮箱不变形，不失油，不锈蚀，</w:t>
            </w:r>
            <w:r>
              <w:rPr>
                <w:color w:val="000000" w:themeColor="text1"/>
                <w:spacing w:val="8"/>
                <w:sz w:val="19"/>
                <w:szCs w:val="19"/>
                <w:highlight w:val="none"/>
                <w14:textFill>
                  <w14:solidFill>
                    <w14:schemeClr w14:val="tx1"/>
                  </w14:solidFill>
                </w14:textFill>
              </w:rPr>
              <w:t xml:space="preserve">启闭灵活，无异常振动</w:t>
            </w:r>
            <w:r>
              <w:rPr>
                <w:color w:val="000000" w:themeColor="text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和噪音，限位开关安全可靠；附属建筑物完好，</w:t>
            </w:r>
            <w:r>
              <w:rPr>
                <w:color w:val="000000" w:themeColor="text1"/>
                <w:spacing w:val="-55"/>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内、外墙</w:t>
            </w:r>
            <w:r>
              <w:rPr>
                <w:color w:val="000000" w:themeColor="text1"/>
                <w:spacing w:val="7"/>
                <w:sz w:val="19"/>
                <w:szCs w:val="19"/>
                <w:highlight w:val="none"/>
                <w14:textFill>
                  <w14:solidFill>
                    <w14:schemeClr w14:val="tx1"/>
                  </w14:solidFill>
                </w14:textFill>
              </w:rPr>
              <w:t xml:space="preserve">整洁，无沉陷、开裂、屋漏</w:t>
            </w:r>
            <w:r>
              <w:rPr>
                <w:color w:val="000000" w:themeColor="text1"/>
                <w:sz w:val="19"/>
                <w:szCs w:val="19"/>
                <w:highlight w:val="none"/>
                <w14:textFill>
                  <w14:solidFill>
                    <w14:schemeClr w14:val="tx1"/>
                  </w14:solidFill>
                </w14:textFill>
              </w:rPr>
              <w:t xml:space="preserve">  </w:t>
            </w:r>
            <w:r>
              <w:rPr>
                <w:color w:val="000000" w:themeColor="text1"/>
                <w:spacing w:val="4"/>
                <w:sz w:val="19"/>
                <w:szCs w:val="19"/>
                <w:highlight w:val="none"/>
                <w14:textFill>
                  <w14:solidFill>
                    <w14:schemeClr w14:val="tx1"/>
                  </w14:solidFill>
                </w14:textFill>
              </w:rPr>
              <w:t xml:space="preserve">等现象。</w:t>
            </w:r>
            <w:r/>
          </w:p>
        </w:tc>
        <w:tc>
          <w:tcPr>
            <w:tcW w:w="997" w:type="dxa"/>
            <w:vAlign w:val="top"/>
            <w:textDirection w:val="lrTb"/>
            <w:noWrap w:val="false"/>
          </w:tcPr>
          <w:p>
            <w:pPr>
              <w:spacing w:line="330"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58"/>
              <w:spacing w:before="62"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2</w:t>
            </w:r>
            <w:r/>
          </w:p>
        </w:tc>
      </w:tr>
      <w:tr>
        <w:trPr>
          <w:trHeight w:val="3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4"/>
              <w:spacing w:before="13" w:line="228"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7、河岸绿地、生态浮岛、水中绿植养护应符合养护标准。</w:t>
            </w:r>
            <w:r/>
          </w:p>
        </w:tc>
        <w:tc>
          <w:tcPr>
            <w:tcW w:w="997" w:type="dxa"/>
            <w:vAlign w:val="top"/>
            <w:textDirection w:val="lrTb"/>
            <w:noWrap w:val="false"/>
          </w:tcPr>
          <w:p>
            <w:pPr>
              <w:pStyle w:val="1256"/>
              <w:ind w:left="470"/>
              <w:spacing w:before="44"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29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6"/>
              <w:spacing w:before="15" w:line="227" w:lineRule="auto"/>
              <w:shd w:val="clear" w:color="auto"/>
              <w:rPr>
                <w:color w:val="000000" w:themeColor="text1"/>
                <w:sz w:val="19"/>
                <w:szCs w:val="19"/>
                <w:highlight w:val="none"/>
                <w14:textFill>
                  <w14:solidFill>
                    <w14:schemeClr w14:val="tx1"/>
                  </w14:solidFill>
                </w14:textFill>
              </w:rPr>
            </w:pPr>
            <w:r>
              <w:rPr>
                <w:color w:val="000000" w:themeColor="text1"/>
                <w:spacing w:val="6"/>
                <w:sz w:val="19"/>
                <w:szCs w:val="19"/>
                <w:highlight w:val="none"/>
                <w14:textFill>
                  <w14:solidFill>
                    <w14:schemeClr w14:val="tx1"/>
                  </w14:solidFill>
                </w14:textFill>
              </w:rPr>
              <w:t xml:space="preserve">8、</w:t>
            </w:r>
            <w:r>
              <w:rPr>
                <w:color w:val="000000" w:themeColor="text1"/>
                <w:spacing w:val="-32"/>
                <w:sz w:val="19"/>
                <w:szCs w:val="19"/>
                <w:highlight w:val="none"/>
                <w14:textFill>
                  <w14:solidFill>
                    <w14:schemeClr w14:val="tx1"/>
                  </w14:solidFill>
                </w14:textFill>
              </w:rPr>
              <w:t xml:space="preserve"> </w:t>
            </w:r>
            <w:r>
              <w:rPr>
                <w:color w:val="000000" w:themeColor="text1"/>
                <w:spacing w:val="6"/>
                <w:sz w:val="19"/>
                <w:szCs w:val="19"/>
                <w:highlight w:val="none"/>
                <w14:textFill>
                  <w14:solidFill>
                    <w14:schemeClr w14:val="tx1"/>
                  </w14:solidFill>
                </w14:textFill>
              </w:rPr>
              <w:t xml:space="preserve">日常清洁养护，科室随时查看，发现问题列入当月考核</w:t>
            </w:r>
            <w:r/>
          </w:p>
        </w:tc>
        <w:tc>
          <w:tcPr>
            <w:tcW w:w="997" w:type="dxa"/>
            <w:vAlign w:val="top"/>
            <w:textDirection w:val="lrTb"/>
            <w:noWrap w:val="false"/>
          </w:tcPr>
          <w:p>
            <w:pPr>
              <w:pStyle w:val="1256"/>
              <w:ind w:left="470"/>
              <w:spacing w:before="45"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388"/>
        </w:trPr>
        <w:tc>
          <w:tcPr>
            <w:gridSpan w:val="5"/>
            <w:tcW w:w="9769" w:type="dxa"/>
            <w:vAlign w:val="top"/>
            <w:textDirection w:val="lrTb"/>
            <w:noWrap w:val="false"/>
          </w:tcPr>
          <w:p>
            <w:pPr>
              <w:pStyle w:val="1256"/>
              <w:ind w:left="47"/>
              <w:spacing w:before="105" w:line="228" w:lineRule="auto"/>
              <w:shd w:val="clear" w:color="auto"/>
              <w:rPr>
                <w:color w:val="000000" w:themeColor="text1"/>
                <w:sz w:val="19"/>
                <w:szCs w:val="19"/>
                <w:highlight w:val="none"/>
                <w14:textFill>
                  <w14:solidFill>
                    <w14:schemeClr w14:val="tx1"/>
                  </w14:solidFill>
                </w14:textFill>
              </w:rPr>
            </w:pPr>
            <w:r>
              <w:rPr>
                <w:b/>
                <w:bCs/>
                <w:color w:val="000000" w:themeColor="text1"/>
                <w:spacing w:val="6"/>
                <w:sz w:val="19"/>
                <w:szCs w:val="19"/>
                <w:highlight w:val="none"/>
                <w14:textFill>
                  <w14:solidFill>
                    <w14:schemeClr w14:val="tx1"/>
                  </w14:solidFill>
                </w14:textFill>
              </w:rPr>
              <w:t xml:space="preserve">管理绩效</w:t>
            </w:r>
            <w:r/>
          </w:p>
        </w:tc>
      </w:tr>
      <w:tr>
        <w:trPr>
          <w:trHeight w:val="785"/>
        </w:trPr>
        <w:tc>
          <w:tcPr>
            <w:tcBorders>
              <w:bottom w:val="none" w:color="000000" w:sz="4" w:space="0"/>
            </w:tcBorders>
            <w:tcW w:w="410" w:type="dxa"/>
            <w:vAlign w:val="top"/>
            <w:vMerge w:val="restart"/>
            <w:textDirection w:val="lrTb"/>
            <w:noWrap w:val="false"/>
          </w:tcPr>
          <w:p>
            <w:pPr>
              <w:spacing w:line="260"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116"/>
              <w:spacing w:before="62" w:line="238"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五</w:t>
            </w:r>
            <w:r/>
          </w:p>
        </w:tc>
        <w:tc>
          <w:tcPr>
            <w:tcBorders>
              <w:bottom w:val="none" w:color="000000" w:sz="4" w:space="0"/>
            </w:tcBorders>
            <w:tcW w:w="400" w:type="dxa"/>
            <w:vAlign w:val="top"/>
            <w:vMerge w:val="restart"/>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6" w:type="dxa"/>
            <w:vAlign w:val="top"/>
            <w:vMerge w:val="restart"/>
            <w:textDirection w:val="tbRlV"/>
            <w:noWrap w:val="false"/>
          </w:tcPr>
          <w:p>
            <w:pPr>
              <w:pStyle w:val="1256"/>
              <w:ind w:left="739"/>
              <w:spacing w:before="104" w:line="215" w:lineRule="auto"/>
              <w:shd w:val="clear" w:color="auto"/>
              <w:rPr>
                <w:color w:val="000000" w:themeColor="text1"/>
                <w:sz w:val="19"/>
                <w:szCs w:val="19"/>
                <w:highlight w:val="none"/>
                <w14:textFill>
                  <w14:solidFill>
                    <w14:schemeClr w14:val="tx1"/>
                  </w14:solidFill>
                </w14:textFill>
              </w:rPr>
            </w:pPr>
            <w:r>
              <w:rPr>
                <w:color w:val="000000" w:themeColor="text1"/>
                <w:spacing w:val="45"/>
                <w:sz w:val="19"/>
                <w:szCs w:val="19"/>
                <w:highlight w:val="none"/>
                <w14:textFill>
                  <w14:solidFill>
                    <w14:schemeClr w14:val="tx1"/>
                  </w14:solidFill>
                </w14:textFill>
              </w:rPr>
              <w:t xml:space="preserve">日常养护</w:t>
            </w:r>
            <w:r/>
          </w:p>
        </w:tc>
        <w:tc>
          <w:tcPr>
            <w:tcW w:w="7536" w:type="dxa"/>
            <w:vAlign w:val="top"/>
            <w:textDirection w:val="lrTb"/>
            <w:noWrap w:val="false"/>
          </w:tcPr>
          <w:p>
            <w:pPr>
              <w:pStyle w:val="1256"/>
              <w:ind w:left="37" w:right="28" w:firstLine="13"/>
              <w:spacing w:before="179" w:line="234"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1、按规范要求开展养护工作，定人、定岗、定车辆设备，作业情况按时间定位等要求</w:t>
            </w:r>
            <w:r>
              <w:rPr>
                <w:color w:val="000000" w:themeColor="text1"/>
                <w:spacing w:val="1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拍照发工作群。各岗位作业时间每天须保持8小时，汛期工作时间以雨情为令。</w:t>
            </w:r>
            <w:r/>
          </w:p>
        </w:tc>
        <w:tc>
          <w:tcPr>
            <w:tcW w:w="997" w:type="dxa"/>
            <w:vAlign w:val="top"/>
            <w:textDirection w:val="lrTb"/>
            <w:noWrap w:val="false"/>
          </w:tcPr>
          <w:p>
            <w:pPr>
              <w:spacing w:line="272"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70"/>
              <w:spacing w:before="62"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8"/>
              <w:spacing w:before="107" w:line="228"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2、按要求开展管道检测，配备必要的管道检测设备。</w:t>
            </w:r>
            <w:r/>
          </w:p>
        </w:tc>
        <w:tc>
          <w:tcPr>
            <w:tcW w:w="997" w:type="dxa"/>
            <w:vAlign w:val="top"/>
            <w:textDirection w:val="lrTb"/>
            <w:noWrap w:val="false"/>
          </w:tcPr>
          <w:p>
            <w:pPr>
              <w:pStyle w:val="1256"/>
              <w:ind w:left="459"/>
              <w:spacing w:before="140" w:line="188"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5</w:t>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9"/>
              <w:spacing w:before="107" w:line="228" w:lineRule="auto"/>
              <w:shd w:val="clear" w:color="auto"/>
              <w:rPr>
                <w:color w:val="000000" w:themeColor="text1"/>
                <w:sz w:val="19"/>
                <w:szCs w:val="19"/>
                <w:highlight w:val="none"/>
                <w14:textFill>
                  <w14:solidFill>
                    <w14:schemeClr w14:val="tx1"/>
                  </w14:solidFill>
                </w14:textFill>
              </w:rPr>
            </w:pPr>
            <w:r>
              <w:rPr>
                <w:color w:val="000000" w:themeColor="text1"/>
                <w:spacing w:val="7"/>
                <w:sz w:val="19"/>
                <w:szCs w:val="19"/>
                <w:highlight w:val="none"/>
                <w14:textFill>
                  <w14:solidFill>
                    <w14:schemeClr w14:val="tx1"/>
                  </w14:solidFill>
                </w14:textFill>
              </w:rPr>
              <w:t xml:space="preserve">3、检测发现问题及时整改。</w:t>
            </w:r>
            <w:r/>
          </w:p>
        </w:tc>
        <w:tc>
          <w:tcPr>
            <w:tcW w:w="997" w:type="dxa"/>
            <w:vAlign w:val="top"/>
            <w:textDirection w:val="lrTb"/>
            <w:noWrap w:val="false"/>
          </w:tcPr>
          <w:p>
            <w:pPr>
              <w:pStyle w:val="1256"/>
              <w:ind w:left="470"/>
              <w:spacing w:before="138"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5"/>
              <w:spacing w:before="108" w:line="228"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4、投诉、菜单等各类问题4小时内当日处理完成，并按要求上报。</w:t>
            </w:r>
            <w:r/>
          </w:p>
        </w:tc>
        <w:tc>
          <w:tcPr>
            <w:tcW w:w="997" w:type="dxa"/>
            <w:vAlign w:val="top"/>
            <w:textDirection w:val="lrTb"/>
            <w:noWrap w:val="false"/>
          </w:tcPr>
          <w:p>
            <w:pPr>
              <w:pStyle w:val="1256"/>
              <w:ind w:left="459"/>
              <w:spacing w:before="141" w:line="188"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5</w:t>
            </w:r>
            <w:r/>
          </w:p>
        </w:tc>
      </w:tr>
      <w:tr>
        <w:trPr>
          <w:trHeight w:val="388"/>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9"/>
              <w:spacing w:before="109" w:line="227" w:lineRule="auto"/>
              <w:shd w:val="clear" w:color="auto"/>
              <w:rPr>
                <w:color w:val="000000" w:themeColor="text1"/>
                <w:sz w:val="19"/>
                <w:szCs w:val="19"/>
                <w:highlight w:val="none"/>
                <w14:textFill>
                  <w14:solidFill>
                    <w14:schemeClr w14:val="tx1"/>
                  </w14:solidFill>
                </w14:textFill>
              </w:rPr>
            </w:pPr>
            <w:r>
              <w:rPr>
                <w:color w:val="000000" w:themeColor="text1"/>
                <w:spacing w:val="6"/>
                <w:sz w:val="19"/>
                <w:szCs w:val="19"/>
                <w:highlight w:val="none"/>
                <w14:textFill>
                  <w14:solidFill>
                    <w14:schemeClr w14:val="tx1"/>
                  </w14:solidFill>
                </w14:textFill>
              </w:rPr>
              <w:t xml:space="preserve">5、每月完成宣传报道2篇。</w:t>
            </w:r>
            <w:r/>
          </w:p>
        </w:tc>
        <w:tc>
          <w:tcPr>
            <w:tcW w:w="997" w:type="dxa"/>
            <w:vAlign w:val="top"/>
            <w:textDirection w:val="lrTb"/>
            <w:noWrap w:val="false"/>
          </w:tcPr>
          <w:p>
            <w:pPr>
              <w:pStyle w:val="1256"/>
              <w:ind w:left="470"/>
              <w:spacing w:before="139"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388"/>
        </w:trPr>
        <w:tc>
          <w:tcPr>
            <w:tcBorders>
              <w:bottom w:val="none" w:color="000000" w:sz="4" w:space="0"/>
            </w:tcBorders>
            <w:tcW w:w="410" w:type="dxa"/>
            <w:vAlign w:val="top"/>
            <w:vMerge w:val="restart"/>
            <w:textDirection w:val="lrTb"/>
            <w:noWrap w:val="false"/>
          </w:tcPr>
          <w:p>
            <w:pPr>
              <w:spacing w:line="28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90"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90"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114"/>
              <w:spacing w:before="62" w:line="232"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六</w:t>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6" w:type="dxa"/>
            <w:vAlign w:val="top"/>
            <w:vMerge w:val="restart"/>
            <w:textDirection w:val="tbRlV"/>
            <w:noWrap w:val="false"/>
          </w:tcPr>
          <w:p>
            <w:pPr>
              <w:pStyle w:val="1256"/>
              <w:ind w:left="564"/>
              <w:spacing w:before="103" w:line="214" w:lineRule="auto"/>
              <w:shd w:val="clear" w:color="auto"/>
              <w:rPr>
                <w:color w:val="000000" w:themeColor="text1"/>
                <w:sz w:val="19"/>
                <w:szCs w:val="19"/>
                <w:highlight w:val="none"/>
                <w14:textFill>
                  <w14:solidFill>
                    <w14:schemeClr w14:val="tx1"/>
                  </w14:solidFill>
                </w14:textFill>
              </w:rPr>
            </w:pPr>
            <w:r>
              <w:rPr>
                <w:color w:val="000000" w:themeColor="text1"/>
                <w:spacing w:val="21"/>
                <w:sz w:val="19"/>
                <w:szCs w:val="19"/>
                <w:highlight w:val="none"/>
                <w14:textFill>
                  <w14:solidFill>
                    <w14:schemeClr w14:val="tx1"/>
                  </w14:solidFill>
                </w14:textFill>
              </w:rPr>
              <w:t xml:space="preserve">台</w:t>
            </w:r>
            <w:r>
              <w:rPr>
                <w:color w:val="000000" w:themeColor="text1"/>
                <w:spacing w:val="-47"/>
                <w:sz w:val="19"/>
                <w:szCs w:val="19"/>
                <w:highlight w:val="none"/>
                <w14:textFill>
                  <w14:solidFill>
                    <w14:schemeClr w14:val="tx1"/>
                  </w14:solidFill>
                </w14:textFill>
              </w:rPr>
              <w:t xml:space="preserve"> </w:t>
            </w:r>
            <w:r>
              <w:rPr>
                <w:color w:val="000000" w:themeColor="text1"/>
                <w:spacing w:val="21"/>
                <w:sz w:val="19"/>
                <w:szCs w:val="19"/>
                <w:highlight w:val="none"/>
                <w14:textFill>
                  <w14:solidFill>
                    <w14:schemeClr w14:val="tx1"/>
                  </w14:solidFill>
                </w14:textFill>
              </w:rPr>
              <w:t xml:space="preserve">帐</w:t>
            </w:r>
            <w:r>
              <w:rPr>
                <w:color w:val="000000" w:themeColor="text1"/>
                <w:spacing w:val="-47"/>
                <w:sz w:val="19"/>
                <w:szCs w:val="19"/>
                <w:highlight w:val="none"/>
                <w14:textFill>
                  <w14:solidFill>
                    <w14:schemeClr w14:val="tx1"/>
                  </w14:solidFill>
                </w14:textFill>
              </w:rPr>
              <w:t xml:space="preserve"> </w:t>
            </w:r>
            <w:r>
              <w:rPr>
                <w:color w:val="000000" w:themeColor="text1"/>
                <w:spacing w:val="21"/>
                <w:sz w:val="19"/>
                <w:szCs w:val="19"/>
                <w:highlight w:val="none"/>
                <w14:textFill>
                  <w14:solidFill>
                    <w14:schemeClr w14:val="tx1"/>
                  </w14:solidFill>
                </w14:textFill>
              </w:rPr>
              <w:t xml:space="preserve">管理</w:t>
            </w:r>
            <w:r/>
          </w:p>
        </w:tc>
        <w:tc>
          <w:tcPr>
            <w:tcW w:w="7536" w:type="dxa"/>
            <w:vAlign w:val="top"/>
            <w:textDirection w:val="lrTb"/>
            <w:noWrap w:val="false"/>
          </w:tcPr>
          <w:p>
            <w:pPr>
              <w:pStyle w:val="1256"/>
              <w:ind w:left="50"/>
              <w:spacing w:before="108" w:line="228"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1、按要求及时准确完成各类信息、计划、报表、总结的上报，数据真实</w:t>
            </w:r>
            <w:r>
              <w:rPr>
                <w:color w:val="000000" w:themeColor="text1"/>
                <w:spacing w:val="7"/>
                <w:sz w:val="19"/>
                <w:szCs w:val="19"/>
                <w:highlight w:val="none"/>
                <w14:textFill>
                  <w14:solidFill>
                    <w14:schemeClr w14:val="tx1"/>
                  </w14:solidFill>
                </w14:textFill>
              </w:rPr>
              <w:t xml:space="preserve">有效。</w:t>
            </w:r>
            <w:r/>
          </w:p>
        </w:tc>
        <w:tc>
          <w:tcPr>
            <w:tcW w:w="997" w:type="dxa"/>
            <w:vAlign w:val="top"/>
            <w:textDirection w:val="lrTb"/>
            <w:noWrap w:val="false"/>
          </w:tcPr>
          <w:p>
            <w:pPr>
              <w:pStyle w:val="1256"/>
              <w:ind w:left="458"/>
              <w:spacing w:before="140"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2</w:t>
            </w:r>
            <w:r/>
          </w:p>
        </w:tc>
      </w:tr>
      <w:tr>
        <w:trPr>
          <w:trHeight w:val="52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5" w:right="29" w:firstLine="2"/>
              <w:spacing w:before="53" w:line="225"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2、按照规范要求建立健全管道、河道、泵站等设</w:t>
            </w:r>
            <w:r>
              <w:rPr>
                <w:color w:val="000000" w:themeColor="text1"/>
                <w:spacing w:val="8"/>
                <w:sz w:val="19"/>
                <w:szCs w:val="19"/>
                <w:highlight w:val="none"/>
                <w14:textFill>
                  <w14:solidFill>
                    <w14:schemeClr w14:val="tx1"/>
                  </w14:solidFill>
                </w14:textFill>
              </w:rPr>
              <w:t xml:space="preserve">施检测、养护、考核台帐；管道通沟</w:t>
            </w:r>
            <w:r>
              <w:rPr>
                <w:color w:val="000000" w:themeColor="text1"/>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淤泥处理台账</w:t>
            </w:r>
            <w:r/>
          </w:p>
        </w:tc>
        <w:tc>
          <w:tcPr>
            <w:tcW w:w="997" w:type="dxa"/>
            <w:vAlign w:val="top"/>
            <w:textDirection w:val="lrTb"/>
            <w:noWrap w:val="false"/>
          </w:tcPr>
          <w:p>
            <w:pPr>
              <w:pStyle w:val="1256"/>
              <w:ind w:left="470"/>
              <w:spacing w:before="209"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9"/>
              <w:spacing w:before="109" w:line="228"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3、建立安全、车辆、危化品、设施设备检查、人员培训等专项台账。</w:t>
            </w:r>
            <w:r/>
          </w:p>
        </w:tc>
        <w:tc>
          <w:tcPr>
            <w:tcW w:w="997" w:type="dxa"/>
            <w:vAlign w:val="top"/>
            <w:textDirection w:val="lrTb"/>
            <w:noWrap w:val="false"/>
          </w:tcPr>
          <w:p>
            <w:pPr>
              <w:pStyle w:val="1256"/>
              <w:ind w:left="458"/>
              <w:spacing w:before="141"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2</w:t>
            </w:r>
            <w:r/>
          </w:p>
        </w:tc>
      </w:tr>
      <w:tr>
        <w:trPr>
          <w:trHeight w:val="692"/>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49" w:right="28" w:hanging="14"/>
              <w:spacing w:before="138"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4、一路一档资料要如实反映现在排水设施内部情况，在一路</w:t>
            </w:r>
            <w:r>
              <w:rPr>
                <w:color w:val="000000" w:themeColor="text1"/>
                <w:spacing w:val="8"/>
                <w:sz w:val="19"/>
                <w:szCs w:val="19"/>
                <w:highlight w:val="none"/>
                <w14:textFill>
                  <w14:solidFill>
                    <w14:schemeClr w14:val="tx1"/>
                  </w14:solidFill>
                </w14:textFill>
              </w:rPr>
              <w:t xml:space="preserve">一档里没反映出来的穿管</w:t>
            </w:r>
            <w:r>
              <w:rPr>
                <w:color w:val="000000" w:themeColor="text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、穿线等情况，后期一律作为新增问题，并由养护公司进行处理</w:t>
            </w:r>
            <w:r/>
          </w:p>
        </w:tc>
        <w:tc>
          <w:tcPr>
            <w:tcW w:w="997" w:type="dxa"/>
            <w:vAlign w:val="top"/>
            <w:textDirection w:val="lrTb"/>
            <w:noWrap w:val="false"/>
          </w:tcPr>
          <w:p>
            <w:pPr>
              <w:pStyle w:val="1256"/>
              <w:ind w:left="470"/>
              <w:spacing w:before="291"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826"/>
        </w:trPr>
        <w:tc>
          <w:tcPr>
            <w:tcBorders>
              <w:bottom w:val="none" w:color="000000" w:sz="4" w:space="0"/>
            </w:tcBorders>
            <w:tcW w:w="410" w:type="dxa"/>
            <w:vAlign w:val="top"/>
            <w:vMerge w:val="restart"/>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112"/>
              <w:spacing w:before="62"/>
              <w:shd w:val="clear" w:color="auto"/>
              <w:rPr>
                <w:color w:val="000000" w:themeColor="text1"/>
                <w:sz w:val="19"/>
                <w:szCs w:val="19"/>
                <w:highlight w:val="none"/>
                <w14:textFill>
                  <w14:solidFill>
                    <w14:schemeClr w14:val="tx1"/>
                  </w14:solidFill>
                </w14:textFill>
              </w:rPr>
            </w:pPr>
            <w:r>
              <w:rPr>
                <w:color w:val="000000" w:themeColor="text1"/>
                <w:spacing w:val="2"/>
                <w:sz w:val="19"/>
                <w:szCs w:val="19"/>
                <w:highlight w:val="none"/>
                <w14:textFill>
                  <w14:solidFill>
                    <w14:schemeClr w14:val="tx1"/>
                  </w14:solidFill>
                </w14:textFill>
              </w:rPr>
              <w:t xml:space="preserve">七</w:t>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6" w:type="dxa"/>
            <w:vAlign w:val="top"/>
            <w:vMerge w:val="restart"/>
            <w:textDirection w:val="tbRlV"/>
            <w:noWrap w:val="false"/>
          </w:tcPr>
          <w:p>
            <w:pPr>
              <w:pStyle w:val="1256"/>
              <w:ind w:left="659"/>
              <w:spacing w:before="104" w:line="215" w:lineRule="auto"/>
              <w:shd w:val="clear" w:color="auto"/>
              <w:rPr>
                <w:color w:val="000000" w:themeColor="text1"/>
                <w:sz w:val="19"/>
                <w:szCs w:val="19"/>
                <w:highlight w:val="none"/>
                <w14:textFill>
                  <w14:solidFill>
                    <w14:schemeClr w14:val="tx1"/>
                  </w14:solidFill>
                </w14:textFill>
              </w:rPr>
            </w:pPr>
            <w:r>
              <w:rPr>
                <w:color w:val="000000" w:themeColor="text1"/>
                <w:spacing w:val="45"/>
                <w:sz w:val="19"/>
                <w:szCs w:val="19"/>
                <w:highlight w:val="none"/>
                <w14:textFill>
                  <w14:solidFill>
                    <w14:schemeClr w14:val="tx1"/>
                  </w14:solidFill>
                </w14:textFill>
              </w:rPr>
              <w:t xml:space="preserve">巡查监管</w:t>
            </w:r>
            <w:r/>
          </w:p>
        </w:tc>
        <w:tc>
          <w:tcPr>
            <w:tcW w:w="7536" w:type="dxa"/>
            <w:vAlign w:val="top"/>
            <w:textDirection w:val="lrTb"/>
            <w:noWrap w:val="false"/>
          </w:tcPr>
          <w:p>
            <w:pPr>
              <w:pStyle w:val="1256"/>
              <w:ind w:left="34" w:right="29" w:firstLine="16"/>
              <w:spacing w:before="80" w:line="236"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1、每日按规定频次对养护设施进行巡查监管，每周对占用设施巡查监管，对各类违章</w:t>
            </w:r>
            <w:r>
              <w:rPr>
                <w:color w:val="000000" w:themeColor="text1"/>
                <w:spacing w:val="10"/>
                <w:sz w:val="19"/>
                <w:szCs w:val="19"/>
                <w:highlight w:val="none"/>
                <w14:textFill>
                  <w14:solidFill>
                    <w14:schemeClr w14:val="tx1"/>
                  </w14:solidFill>
                </w14:textFill>
              </w:rPr>
              <w:t xml:space="preserve"> </w:t>
            </w:r>
            <w:r>
              <w:rPr>
                <w:color w:val="000000" w:themeColor="text1"/>
                <w:spacing w:val="9"/>
                <w:sz w:val="19"/>
                <w:szCs w:val="19"/>
                <w:highlight w:val="none"/>
                <w14:textFill>
                  <w14:solidFill>
                    <w14:schemeClr w14:val="tx1"/>
                  </w14:solidFill>
                </w14:textFill>
              </w:rPr>
              <w:t xml:space="preserve">行为第一时间发现、制止、查处、上报，每月上报巡查台账。如巡</w:t>
            </w:r>
            <w:r>
              <w:rPr>
                <w:color w:val="000000" w:themeColor="text1"/>
                <w:spacing w:val="8"/>
                <w:sz w:val="19"/>
                <w:szCs w:val="19"/>
                <w:highlight w:val="none"/>
                <w14:textFill>
                  <w14:solidFill>
                    <w14:schemeClr w14:val="tx1"/>
                  </w14:solidFill>
                </w14:textFill>
              </w:rPr>
              <w:t xml:space="preserve">查不到位，台账上</w:t>
            </w:r>
            <w:r>
              <w:rPr>
                <w:color w:val="000000" w:themeColor="text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报不及时，科室或其他渠道发现问题，进行扣分。</w:t>
            </w:r>
            <w:r/>
          </w:p>
        </w:tc>
        <w:tc>
          <w:tcPr>
            <w:tcW w:w="997" w:type="dxa"/>
            <w:vAlign w:val="top"/>
            <w:textDirection w:val="lrTb"/>
            <w:noWrap w:val="false"/>
          </w:tcPr>
          <w:p>
            <w:pPr>
              <w:spacing w:line="295"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70"/>
              <w:spacing w:before="62"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7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9" w:right="30" w:hanging="1"/>
              <w:spacing w:before="188"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2、养护公司应每天对排水设施进行巡查，发现</w:t>
            </w:r>
            <w:r>
              <w:rPr>
                <w:color w:val="000000" w:themeColor="text1"/>
                <w:spacing w:val="8"/>
                <w:sz w:val="19"/>
                <w:szCs w:val="19"/>
                <w:highlight w:val="none"/>
                <w14:textFill>
                  <w14:solidFill>
                    <w14:schemeClr w14:val="tx1"/>
                  </w14:solidFill>
                </w14:textFill>
              </w:rPr>
              <w:t xml:space="preserve">非雨水排入情况，应提供切实有效的查</w:t>
            </w:r>
            <w:r>
              <w:rPr>
                <w:color w:val="000000" w:themeColor="text1"/>
                <w:sz w:val="19"/>
                <w:szCs w:val="19"/>
                <w:highlight w:val="none"/>
                <w14:textFill>
                  <w14:solidFill>
                    <w14:schemeClr w14:val="tx1"/>
                  </w14:solidFill>
                </w14:textFill>
              </w:rPr>
              <w:t xml:space="preserve"> </w:t>
            </w:r>
            <w:r>
              <w:rPr>
                <w:color w:val="000000" w:themeColor="text1"/>
                <w:spacing w:val="3"/>
                <w:sz w:val="19"/>
                <w:szCs w:val="19"/>
                <w:highlight w:val="none"/>
                <w14:textFill>
                  <w14:solidFill>
                    <w14:schemeClr w14:val="tx1"/>
                  </w14:solidFill>
                </w14:textFill>
              </w:rPr>
              <w:t xml:space="preserve">处信息。</w:t>
            </w:r>
            <w:r/>
          </w:p>
        </w:tc>
        <w:tc>
          <w:tcPr>
            <w:tcW w:w="997" w:type="dxa"/>
            <w:vAlign w:val="top"/>
            <w:textDirection w:val="lrTb"/>
            <w:noWrap w:val="false"/>
          </w:tcPr>
          <w:p>
            <w:pPr>
              <w:spacing w:line="27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70"/>
              <w:spacing w:before="62"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58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7" w:right="29" w:firstLine="2"/>
              <w:spacing w:before="88"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3、在设施占用挖掘施工过程中，按照每周一次</w:t>
            </w:r>
            <w:r>
              <w:rPr>
                <w:color w:val="000000" w:themeColor="text1"/>
                <w:spacing w:val="8"/>
                <w:sz w:val="19"/>
                <w:szCs w:val="19"/>
                <w:highlight w:val="none"/>
                <w14:textFill>
                  <w14:solidFill>
                    <w14:schemeClr w14:val="tx1"/>
                  </w14:solidFill>
                </w14:textFill>
              </w:rPr>
              <w:t xml:space="preserve">进行巡查，在验槽、埋管、回填时做好</w:t>
            </w:r>
            <w:r>
              <w:rPr>
                <w:color w:val="000000" w:themeColor="text1"/>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上报和验收工作，并记录在一路一档中。</w:t>
            </w:r>
            <w:r/>
          </w:p>
        </w:tc>
        <w:tc>
          <w:tcPr>
            <w:tcW w:w="997" w:type="dxa"/>
            <w:vAlign w:val="top"/>
            <w:textDirection w:val="lrTb"/>
            <w:noWrap w:val="false"/>
          </w:tcPr>
          <w:p>
            <w:pPr>
              <w:pStyle w:val="1256"/>
              <w:ind w:left="458"/>
              <w:spacing w:before="242"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2</w:t>
            </w:r>
            <w:r/>
          </w:p>
        </w:tc>
      </w:tr>
      <w:tr>
        <w:trPr>
          <w:trHeight w:val="587"/>
        </w:trPr>
        <w:tc>
          <w:tcPr>
            <w:tcBorders>
              <w:bottom w:val="none" w:color="000000" w:sz="4" w:space="0"/>
            </w:tcBorders>
            <w:tcW w:w="410" w:type="dxa"/>
            <w:vAlign w:val="top"/>
            <w:vMerge w:val="restart"/>
            <w:textDirection w:val="lrTb"/>
            <w:noWrap w:val="false"/>
          </w:tcPr>
          <w:p>
            <w:pPr>
              <w:spacing w:line="316"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316"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31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6"/>
              <w:spacing w:before="62" w:line="22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八</w:t>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6" w:type="dxa"/>
            <w:vAlign w:val="top"/>
            <w:vMerge w:val="restart"/>
            <w:textDirection w:val="tbRlV"/>
            <w:noWrap w:val="false"/>
          </w:tcPr>
          <w:p>
            <w:pPr>
              <w:pStyle w:val="1256"/>
              <w:ind w:left="1322"/>
              <w:spacing w:before="103" w:line="216" w:lineRule="auto"/>
              <w:shd w:val="clear" w:color="auto"/>
              <w:rPr>
                <w:color w:val="000000" w:themeColor="text1"/>
                <w:sz w:val="19"/>
                <w:szCs w:val="19"/>
                <w:highlight w:val="none"/>
                <w14:textFill>
                  <w14:solidFill>
                    <w14:schemeClr w14:val="tx1"/>
                  </w14:solidFill>
                </w14:textFill>
              </w:rPr>
            </w:pPr>
            <w:r>
              <w:rPr>
                <w:color w:val="000000" w:themeColor="text1"/>
                <w:spacing w:val="44"/>
                <w:sz w:val="19"/>
                <w:szCs w:val="19"/>
                <w:highlight w:val="none"/>
                <w14:textFill>
                  <w14:solidFill>
                    <w14:schemeClr w14:val="tx1"/>
                  </w14:solidFill>
                </w14:textFill>
              </w:rPr>
              <w:t xml:space="preserve">应急保障</w:t>
            </w:r>
            <w:r/>
          </w:p>
        </w:tc>
        <w:tc>
          <w:tcPr>
            <w:tcW w:w="7536" w:type="dxa"/>
            <w:vAlign w:val="top"/>
            <w:textDirection w:val="lrTb"/>
            <w:noWrap w:val="false"/>
          </w:tcPr>
          <w:p>
            <w:pPr>
              <w:pStyle w:val="1256"/>
              <w:ind w:left="35" w:right="28" w:firstLine="14"/>
              <w:spacing w:before="88" w:line="234"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1、建立健全排水设施应急预案，制定防汛预案、防冻扫雪预案、重大保障预案、井盖</w:t>
            </w:r>
            <w:r>
              <w:rPr>
                <w:color w:val="000000" w:themeColor="text1"/>
                <w:spacing w:val="1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缺失现场处置预案、管道作业应急预案。</w:t>
            </w:r>
            <w:r/>
          </w:p>
        </w:tc>
        <w:tc>
          <w:tcPr>
            <w:tcW w:w="997" w:type="dxa"/>
            <w:vAlign w:val="top"/>
            <w:textDirection w:val="lrTb"/>
            <w:noWrap w:val="false"/>
          </w:tcPr>
          <w:p>
            <w:pPr>
              <w:pStyle w:val="1256"/>
              <w:ind w:left="420"/>
              <w:spacing w:before="244" w:line="190" w:lineRule="auto"/>
              <w:shd w:val="clear" w:color="auto"/>
              <w:rPr>
                <w:color w:val="000000" w:themeColor="text1"/>
                <w:sz w:val="19"/>
                <w:szCs w:val="19"/>
                <w:highlight w:val="none"/>
                <w14:textFill>
                  <w14:solidFill>
                    <w14:schemeClr w14:val="tx1"/>
                  </w14:solidFill>
                </w14:textFill>
              </w:rPr>
            </w:pPr>
            <w:r>
              <w:rPr>
                <w:color w:val="000000" w:themeColor="text1"/>
                <w:spacing w:val="-6"/>
                <w:sz w:val="19"/>
                <w:szCs w:val="19"/>
                <w:highlight w:val="none"/>
                <w14:textFill>
                  <w14:solidFill>
                    <w14:schemeClr w14:val="tx1"/>
                  </w14:solidFill>
                </w14:textFill>
              </w:rPr>
              <w:t xml:space="preserve">10</w:t>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50" w:right="28" w:hanging="12"/>
              <w:spacing w:before="89"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2、按照安全规范作业，按要求进行检查、培训、演</w:t>
            </w:r>
            <w:r>
              <w:rPr>
                <w:color w:val="000000" w:themeColor="text1"/>
                <w:spacing w:val="8"/>
                <w:sz w:val="19"/>
                <w:szCs w:val="19"/>
                <w:highlight w:val="none"/>
                <w14:textFill>
                  <w14:solidFill>
                    <w14:schemeClr w14:val="tx1"/>
                  </w14:solidFill>
                </w14:textFill>
              </w:rPr>
              <w:t xml:space="preserve">练，及时发现处理安全隐患，对辖</w:t>
            </w:r>
            <w:r>
              <w:rPr>
                <w:color w:val="000000" w:themeColor="text1"/>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区范围内各类井盖能及时现场确认处置。</w:t>
            </w:r>
            <w:r/>
          </w:p>
        </w:tc>
        <w:tc>
          <w:tcPr>
            <w:tcBorders>
              <w:bottom w:val="none" w:color="000000" w:sz="4" w:space="0"/>
            </w:tcBorders>
            <w:tcW w:w="997" w:type="dxa"/>
            <w:vAlign w:val="top"/>
            <w:vMerge w:val="restart"/>
            <w:textDirection w:val="lrTb"/>
            <w:noWrap w:val="false"/>
          </w:tcPr>
          <w:p>
            <w:pPr>
              <w:spacing w:line="38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59"/>
              <w:spacing w:before="61"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3</w:t>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9"/>
              <w:spacing w:before="113" w:line="228"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3、做好重大事件和重要活动保障，对突发事件及时有效处置。</w:t>
            </w:r>
            <w:r/>
          </w:p>
        </w:tc>
        <w:tc>
          <w:tcPr>
            <w:tcBorders>
              <w:top w:val="none" w:color="000000" w:sz="4" w:space="0"/>
            </w:tcBorders>
            <w:tcW w:w="99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42" w:right="229" w:hanging="7"/>
              <w:spacing w:before="89"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4、未按预案进行处置，响应迟缓不力，受到到领导上</w:t>
            </w:r>
            <w:r>
              <w:rPr>
                <w:color w:val="000000" w:themeColor="text1"/>
                <w:spacing w:val="8"/>
                <w:sz w:val="19"/>
                <w:szCs w:val="19"/>
                <w:highlight w:val="none"/>
                <w14:textFill>
                  <w14:solidFill>
                    <w14:schemeClr w14:val="tx1"/>
                  </w14:solidFill>
                </w14:textFill>
              </w:rPr>
              <w:t xml:space="preserve">级批评的，管理人员未履行职</w:t>
            </w:r>
            <w:r>
              <w:rPr>
                <w:color w:val="000000" w:themeColor="text1"/>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责，运转不灵出现失误等情况。</w:t>
            </w:r>
            <w:r/>
          </w:p>
        </w:tc>
        <w:tc>
          <w:tcPr>
            <w:tcW w:w="997" w:type="dxa"/>
            <w:vAlign w:val="top"/>
            <w:textDirection w:val="lrTb"/>
            <w:noWrap w:val="false"/>
          </w:tcPr>
          <w:p>
            <w:pPr>
              <w:pStyle w:val="1256"/>
              <w:ind w:left="459"/>
              <w:spacing w:before="247" w:line="188"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5</w:t>
            </w:r>
            <w:r/>
          </w:p>
        </w:tc>
      </w:tr>
      <w:tr>
        <w:trPr>
          <w:trHeight w:val="670"/>
        </w:trPr>
        <w:tc>
          <w:tcPr>
            <w:tcW w:w="410" w:type="dxa"/>
            <w:vAlign w:val="top"/>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43" w:right="322" w:hanging="4"/>
              <w:spacing w:before="126" w:line="234"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5、保持电话畅通，确保工作24小时全天候能应急处理，1小时内回电、回复各类信</w:t>
            </w:r>
            <w:r>
              <w:rPr>
                <w:color w:val="000000" w:themeColor="text1"/>
                <w:spacing w:val="13"/>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息，4小时内完成修复，当日工作当日完成，工作完成要及时回复。</w:t>
            </w:r>
            <w:r/>
          </w:p>
        </w:tc>
        <w:tc>
          <w:tcPr>
            <w:tcW w:w="997" w:type="dxa"/>
            <w:vAlign w:val="top"/>
            <w:textDirection w:val="lrTb"/>
            <w:noWrap w:val="false"/>
          </w:tcPr>
          <w:p>
            <w:pPr>
              <w:pStyle w:val="1256"/>
              <w:ind w:left="459"/>
              <w:spacing w:before="282"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3</w:t>
            </w:r>
            <w:r/>
          </w:p>
        </w:tc>
      </w:tr>
    </w:tbl>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hd w:val="clear" w:color="auto"/>
        <w:rPr>
          <w:rFonts w:ascii="Arial" w:hAnsi="Arial" w:eastAsia="Arial" w:cs="Arial"/>
          <w:color w:val="000000" w:themeColor="text1"/>
          <w:sz w:val="21"/>
          <w:szCs w:val="21"/>
          <w:highlight w:val="none"/>
          <w14:textFill>
            <w14:solidFill>
              <w14:schemeClr w14:val="tx1"/>
            </w14:solidFill>
          </w14:textFill>
        </w:rPr>
        <w:sectPr>
          <w:footnotePr/>
          <w:endnotePr/>
          <w:type w:val="nextPage"/>
          <w:pgSz w:w="11905" w:h="16837" w:orient="portrait"/>
          <w:pgMar w:top="1070" w:right="1107" w:bottom="400" w:left="1012" w:header="0" w:footer="0" w:gutter="0"/>
          <w:cols w:num="1" w:sep="0" w:space="720" w:equalWidth="1"/>
          <w:docGrid w:linePitch="360"/>
        </w:sectPr>
      </w:pPr>
      <w:r>
        <w:rPr>
          <w:rFonts w:ascii="Arial" w:hAnsi="Arial" w:eastAsia="Arial" w:cs="Arial"/>
          <w:color w:val="000000" w:themeColor="text1"/>
          <w:sz w:val="21"/>
          <w:szCs w:val="21"/>
          <w:highlight w:val="none"/>
          <w14:textFill>
            <w14:solidFill>
              <w14:schemeClr w14:val="tx1"/>
            </w14:solidFill>
          </w14:textFill>
        </w:rPr>
      </w:r>
      <w:r/>
    </w:p>
    <w:tbl>
      <w:tblPr>
        <w:tblStyle w:val="1217"/>
        <w:tblW w:w="97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10"/>
        <w:gridCol w:w="400"/>
        <w:gridCol w:w="427"/>
        <w:gridCol w:w="7536"/>
        <w:gridCol w:w="987"/>
      </w:tblGrid>
      <w:tr>
        <w:trPr>
          <w:trHeight w:val="671"/>
        </w:trPr>
        <w:tc>
          <w:tcPr>
            <w:tcW w:w="410" w:type="dxa"/>
            <w:vAlign w:val="top"/>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00" w:type="dxa"/>
            <w:vAlign w:val="top"/>
            <w:vMerge w:val="restart"/>
            <w:textDirection w:val="lrTb"/>
            <w:noWrap w:val="false"/>
          </w:tcPr>
          <w:p>
            <w:pPr>
              <w:spacing w:line="255"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100"/>
              <w:spacing w:before="61" w:line="189" w:lineRule="auto"/>
              <w:shd w:val="clear" w:color="auto"/>
              <w:rPr>
                <w:color w:val="000000" w:themeColor="text1"/>
                <w:sz w:val="19"/>
                <w:szCs w:val="19"/>
                <w:highlight w:val="none"/>
                <w14:textFill>
                  <w14:solidFill>
                    <w14:schemeClr w14:val="tx1"/>
                  </w14:solidFill>
                </w14:textFill>
              </w:rPr>
            </w:pPr>
            <w:r>
              <w:rPr>
                <w:color w:val="000000" w:themeColor="text1"/>
                <w:spacing w:val="1"/>
                <w:sz w:val="19"/>
                <w:szCs w:val="19"/>
                <w:highlight w:val="none"/>
                <w14:textFill>
                  <w14:solidFill>
                    <w14:schemeClr w14:val="tx1"/>
                  </w14:solidFill>
                </w14:textFill>
              </w:rPr>
              <w:t xml:space="preserve">40</w:t>
            </w:r>
            <w:r/>
          </w:p>
        </w:tc>
        <w:tc>
          <w:tcPr>
            <w:tcBorders>
              <w:top w:val="none" w:color="000000" w:sz="4" w:space="0"/>
            </w:tcBorders>
            <w:tcW w:w="427" w:type="dxa"/>
            <w:vAlign w:val="top"/>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67" w:right="30" w:hanging="31"/>
              <w:spacing w:before="123"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6、平时加强对施工占用设施的巡查频次，发现问题</w:t>
            </w:r>
            <w:r>
              <w:rPr>
                <w:color w:val="000000" w:themeColor="text1"/>
                <w:spacing w:val="8"/>
                <w:sz w:val="19"/>
                <w:szCs w:val="19"/>
                <w:highlight w:val="none"/>
                <w14:textFill>
                  <w14:solidFill>
                    <w14:schemeClr w14:val="tx1"/>
                  </w14:solidFill>
                </w14:textFill>
              </w:rPr>
              <w:t xml:space="preserve">及时以菜单形式上报，汛期对施工</w:t>
            </w:r>
            <w:r>
              <w:rPr>
                <w:color w:val="000000" w:themeColor="text1"/>
                <w:sz w:val="19"/>
                <w:szCs w:val="19"/>
                <w:highlight w:val="none"/>
                <w14:textFill>
                  <w14:solidFill>
                    <w14:schemeClr w14:val="tx1"/>
                  </w14:solidFill>
                </w14:textFill>
              </w:rPr>
              <w:t xml:space="preserve"> </w:t>
            </w:r>
            <w:r>
              <w:rPr>
                <w:color w:val="000000" w:themeColor="text1"/>
                <w:spacing w:val="6"/>
                <w:sz w:val="19"/>
                <w:szCs w:val="19"/>
                <w:highlight w:val="none"/>
                <w14:textFill>
                  <w14:solidFill>
                    <w14:schemeClr w14:val="tx1"/>
                  </w14:solidFill>
                </w14:textFill>
              </w:rPr>
              <w:t xml:space="preserve">占用设施进行巡查应急防汛组织工作</w:t>
            </w:r>
            <w:r/>
          </w:p>
        </w:tc>
        <w:tc>
          <w:tcPr>
            <w:tcW w:w="987" w:type="dxa"/>
            <w:vAlign w:val="top"/>
            <w:textDirection w:val="lrTb"/>
            <w:noWrap w:val="false"/>
          </w:tcPr>
          <w:p>
            <w:pPr>
              <w:pStyle w:val="1256"/>
              <w:ind w:left="469"/>
              <w:spacing w:before="277" w:line="190"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1</w:t>
            </w:r>
            <w:r/>
          </w:p>
        </w:tc>
      </w:tr>
      <w:tr>
        <w:trPr>
          <w:trHeight w:val="388"/>
        </w:trPr>
        <w:tc>
          <w:tcPr>
            <w:tcW w:w="410" w:type="dxa"/>
            <w:vAlign w:val="top"/>
            <w:vMerge w:val="restart"/>
            <w:textDirection w:val="lrTb"/>
            <w:noWrap w:val="false"/>
          </w:tcPr>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7"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47"/>
              <w:spacing w:before="62" w:line="231"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九</w:t>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7" w:type="dxa"/>
            <w:vAlign w:val="top"/>
            <w:vMerge w:val="restart"/>
            <w:textDirection w:val="tbRlV"/>
            <w:noWrap w:val="false"/>
          </w:tcPr>
          <w:p>
            <w:pPr>
              <w:pStyle w:val="1256"/>
              <w:ind w:left="3609"/>
              <w:spacing w:before="104" w:line="214" w:lineRule="auto"/>
              <w:shd w:val="clear" w:color="auto"/>
              <w:rPr>
                <w:color w:val="000000" w:themeColor="text1"/>
                <w:sz w:val="19"/>
                <w:szCs w:val="19"/>
                <w:highlight w:val="none"/>
                <w14:textFill>
                  <w14:solidFill>
                    <w14:schemeClr w14:val="tx1"/>
                  </w14:solidFill>
                </w14:textFill>
              </w:rPr>
            </w:pPr>
            <w:r>
              <w:rPr>
                <w:color w:val="000000" w:themeColor="text1"/>
                <w:spacing w:val="20"/>
                <w:sz w:val="19"/>
                <w:szCs w:val="19"/>
                <w:highlight w:val="none"/>
                <w14:textFill>
                  <w14:solidFill>
                    <w14:schemeClr w14:val="tx1"/>
                  </w14:solidFill>
                </w14:textFill>
              </w:rPr>
              <w:t xml:space="preserve">日</w:t>
            </w:r>
            <w:r>
              <w:rPr>
                <w:color w:val="000000" w:themeColor="text1"/>
                <w:spacing w:val="-47"/>
                <w:sz w:val="19"/>
                <w:szCs w:val="19"/>
                <w:highlight w:val="none"/>
                <w14:textFill>
                  <w14:solidFill>
                    <w14:schemeClr w14:val="tx1"/>
                  </w14:solidFill>
                </w14:textFill>
              </w:rPr>
              <w:t xml:space="preserve"> </w:t>
            </w:r>
            <w:r>
              <w:rPr>
                <w:color w:val="000000" w:themeColor="text1"/>
                <w:spacing w:val="20"/>
                <w:sz w:val="19"/>
                <w:szCs w:val="19"/>
                <w:highlight w:val="none"/>
                <w14:textFill>
                  <w14:solidFill>
                    <w14:schemeClr w14:val="tx1"/>
                  </w14:solidFill>
                </w14:textFill>
              </w:rPr>
              <w:t xml:space="preserve">常</w:t>
            </w:r>
            <w:r>
              <w:rPr>
                <w:color w:val="000000" w:themeColor="text1"/>
                <w:spacing w:val="-47"/>
                <w:sz w:val="19"/>
                <w:szCs w:val="19"/>
                <w:highlight w:val="none"/>
                <w14:textFill>
                  <w14:solidFill>
                    <w14:schemeClr w14:val="tx1"/>
                  </w14:solidFill>
                </w14:textFill>
              </w:rPr>
              <w:t xml:space="preserve"> </w:t>
            </w:r>
            <w:r>
              <w:rPr>
                <w:color w:val="000000" w:themeColor="text1"/>
                <w:spacing w:val="20"/>
                <w:sz w:val="19"/>
                <w:szCs w:val="19"/>
                <w:highlight w:val="none"/>
                <w14:textFill>
                  <w14:solidFill>
                    <w14:schemeClr w14:val="tx1"/>
                  </w14:solidFill>
                </w14:textFill>
              </w:rPr>
              <w:t xml:space="preserve">管理</w:t>
            </w:r>
            <w:r/>
          </w:p>
        </w:tc>
        <w:tc>
          <w:tcPr>
            <w:tcW w:w="7536" w:type="dxa"/>
            <w:vAlign w:val="top"/>
            <w:textDirection w:val="lrTb"/>
            <w:noWrap w:val="false"/>
          </w:tcPr>
          <w:p>
            <w:pPr>
              <w:pStyle w:val="1256"/>
              <w:ind w:left="49"/>
              <w:spacing w:before="101" w:line="227" w:lineRule="auto"/>
              <w:shd w:val="clear" w:color="auto"/>
              <w:rPr>
                <w:color w:val="000000" w:themeColor="text1"/>
                <w:sz w:val="19"/>
                <w:szCs w:val="19"/>
                <w:highlight w:val="none"/>
                <w14:textFill>
                  <w14:solidFill>
                    <w14:schemeClr w14:val="tx1"/>
                  </w14:solidFill>
                </w14:textFill>
              </w:rPr>
            </w:pPr>
            <w:r>
              <w:rPr>
                <w:color w:val="000000" w:themeColor="text1"/>
                <w:spacing w:val="7"/>
                <w:sz w:val="19"/>
                <w:szCs w:val="19"/>
                <w:highlight w:val="none"/>
                <w14:textFill>
                  <w14:solidFill>
                    <w14:schemeClr w14:val="tx1"/>
                  </w14:solidFill>
                </w14:textFill>
              </w:rPr>
              <w:t xml:space="preserve">1、及时有效落实各类指令性工作安排。</w:t>
            </w:r>
            <w:r/>
          </w:p>
        </w:tc>
        <w:tc>
          <w:tcPr>
            <w:tcW w:w="987" w:type="dxa"/>
            <w:vAlign w:val="top"/>
            <w:textDirection w:val="lrTb"/>
            <w:noWrap w:val="false"/>
          </w:tcPr>
          <w:p>
            <w:pPr>
              <w:pStyle w:val="1256"/>
              <w:ind w:left="419"/>
              <w:spacing w:before="131" w:line="190" w:lineRule="auto"/>
              <w:shd w:val="clear" w:color="auto"/>
              <w:rPr>
                <w:color w:val="000000" w:themeColor="text1"/>
                <w:sz w:val="19"/>
                <w:szCs w:val="19"/>
                <w:highlight w:val="none"/>
                <w14:textFill>
                  <w14:solidFill>
                    <w14:schemeClr w14:val="tx1"/>
                  </w14:solidFill>
                </w14:textFill>
              </w:rPr>
            </w:pPr>
            <w:r>
              <w:rPr>
                <w:color w:val="000000" w:themeColor="text1"/>
                <w:spacing w:val="-6"/>
                <w:sz w:val="19"/>
                <w:szCs w:val="19"/>
                <w:highlight w:val="none"/>
                <w14:textFill>
                  <w14:solidFill>
                    <w14:schemeClr w14:val="tx1"/>
                  </w14:solidFill>
                </w14:textFill>
              </w:rPr>
              <w:t xml:space="preserve">10</w:t>
            </w:r>
            <w:r/>
          </w:p>
        </w:tc>
      </w:tr>
      <w:tr>
        <w:trPr>
          <w:trHeight w:val="3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7"/>
              <w:spacing w:before="102" w:line="227"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2、设施损坏、停电等影响设施运转的及时报备；完成调度指令任务后及时反馈信息。</w:t>
            </w:r>
            <w:r/>
          </w:p>
        </w:tc>
        <w:tc>
          <w:tcPr>
            <w:tcW w:w="987" w:type="dxa"/>
            <w:vAlign w:val="top"/>
            <w:textDirection w:val="lrTb"/>
            <w:noWrap w:val="false"/>
          </w:tcPr>
          <w:p>
            <w:pPr>
              <w:pStyle w:val="1256"/>
              <w:ind w:left="458"/>
              <w:spacing w:before="133" w:line="189" w:lineRule="auto"/>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3</w:t>
            </w:r>
            <w:r/>
          </w:p>
        </w:tc>
      </w:tr>
      <w:tr>
        <w:trPr>
          <w:trHeight w:val="3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8"/>
              <w:spacing w:before="101" w:line="228"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3、造成区级舆情重大影响的一次性扣10分，造成市局舆情重大影响的一次性扣20分。</w:t>
            </w:r>
            <w:r/>
          </w:p>
        </w:tc>
        <w:tc>
          <w:tcPr>
            <w:tcBorders>
              <w:bottom w:val="none" w:color="000000" w:sz="4" w:space="0"/>
            </w:tcBorders>
            <w:tcW w:w="987" w:type="dxa"/>
            <w:vAlign w:val="top"/>
            <w:vMerge w:val="restart"/>
            <w:textDirection w:val="lrTb"/>
            <w:noWrap w:val="false"/>
          </w:tcPr>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8"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9"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52" w:right="23" w:firstLine="50"/>
              <w:spacing w:before="62" w:line="238" w:lineRule="auto"/>
              <w:shd w:val="clear" w:color="auto"/>
              <w:rPr>
                <w:color w:val="000000" w:themeColor="text1"/>
                <w:sz w:val="19"/>
                <w:szCs w:val="19"/>
                <w:highlight w:val="none"/>
                <w14:textFill>
                  <w14:solidFill>
                    <w14:schemeClr w14:val="tx1"/>
                  </w14:solidFill>
                </w14:textFill>
              </w:rPr>
            </w:pPr>
            <w:r>
              <w:rPr>
                <w:b/>
                <w:bCs/>
                <w:color w:val="000000" w:themeColor="text1"/>
                <w:spacing w:val="6"/>
                <w:sz w:val="19"/>
                <w:szCs w:val="19"/>
                <w:highlight w:val="none"/>
                <w14:textFill>
                  <w14:solidFill>
                    <w14:schemeClr w14:val="tx1"/>
                  </w14:solidFill>
                </w14:textFill>
              </w:rPr>
              <w:t xml:space="preserve">不符合要</w:t>
            </w:r>
            <w:r>
              <w:rPr>
                <w:color w:val="000000" w:themeColor="text1"/>
                <w:spacing w:val="1"/>
                <w:sz w:val="19"/>
                <w:szCs w:val="19"/>
                <w:highlight w:val="none"/>
                <w14:textFill>
                  <w14:solidFill>
                    <w14:schemeClr w14:val="tx1"/>
                  </w14:solidFill>
                </w14:textFill>
              </w:rPr>
              <w:t xml:space="preserve"> </w:t>
            </w:r>
            <w:r>
              <w:rPr>
                <w:b/>
                <w:bCs/>
                <w:color w:val="000000" w:themeColor="text1"/>
                <w:spacing w:val="19"/>
                <w:sz w:val="19"/>
                <w:szCs w:val="19"/>
                <w:highlight w:val="none"/>
                <w14:textFill>
                  <w14:solidFill>
                    <w14:schemeClr w14:val="tx1"/>
                  </w14:solidFill>
                </w14:textFill>
              </w:rPr>
              <w:t xml:space="preserve">求的每次</w:t>
            </w:r>
            <w:r>
              <w:rPr>
                <w:color w:val="000000" w:themeColor="text1"/>
                <w:sz w:val="19"/>
                <w:szCs w:val="19"/>
                <w:highlight w:val="none"/>
                <w14:textFill>
                  <w14:solidFill>
                    <w14:schemeClr w14:val="tx1"/>
                  </w14:solidFill>
                </w14:textFill>
              </w:rPr>
              <w:t xml:space="preserve"> </w:t>
            </w:r>
            <w:r>
              <w:rPr>
                <w:b/>
                <w:bCs/>
                <w:color w:val="000000" w:themeColor="text1"/>
                <w:spacing w:val="6"/>
                <w:sz w:val="19"/>
                <w:szCs w:val="19"/>
                <w:highlight w:val="none"/>
                <w14:textFill>
                  <w14:solidFill>
                    <w14:schemeClr w14:val="tx1"/>
                  </w14:solidFill>
                </w14:textFill>
              </w:rPr>
              <w:t xml:space="preserve">扣1分，每</w:t>
            </w:r>
            <w:r>
              <w:rPr>
                <w:color w:val="000000" w:themeColor="text1"/>
                <w:sz w:val="19"/>
                <w:szCs w:val="19"/>
                <w:highlight w:val="none"/>
                <w14:textFill>
                  <w14:solidFill>
                    <w14:schemeClr w14:val="tx1"/>
                  </w14:solidFill>
                </w14:textFill>
              </w:rPr>
              <w:t xml:space="preserve"> </w:t>
            </w:r>
            <w:r>
              <w:rPr>
                <w:b/>
                <w:bCs/>
                <w:color w:val="000000" w:themeColor="text1"/>
                <w:spacing w:val="19"/>
                <w:sz w:val="19"/>
                <w:szCs w:val="19"/>
                <w:highlight w:val="none"/>
                <w14:textFill>
                  <w14:solidFill>
                    <w14:schemeClr w14:val="tx1"/>
                  </w14:solidFill>
                </w14:textFill>
              </w:rPr>
              <w:t xml:space="preserve">拖延一天</w:t>
            </w:r>
            <w:r>
              <w:rPr>
                <w:color w:val="000000" w:themeColor="text1"/>
                <w:sz w:val="19"/>
                <w:szCs w:val="19"/>
                <w:highlight w:val="none"/>
                <w14:textFill>
                  <w14:solidFill>
                    <w14:schemeClr w14:val="tx1"/>
                  </w14:solidFill>
                </w14:textFill>
              </w:rPr>
              <w:t xml:space="preserve"> </w:t>
            </w:r>
            <w:r>
              <w:rPr>
                <w:b/>
                <w:bCs/>
                <w:color w:val="000000" w:themeColor="text1"/>
                <w:spacing w:val="8"/>
                <w:sz w:val="19"/>
                <w:szCs w:val="19"/>
                <w:highlight w:val="none"/>
                <w14:textFill>
                  <w14:solidFill>
                    <w14:schemeClr w14:val="tx1"/>
                  </w14:solidFill>
                </w14:textFill>
              </w:rPr>
              <w:t xml:space="preserve">扣</w:t>
            </w:r>
            <w:r>
              <w:rPr>
                <w:color w:val="000000" w:themeColor="text1"/>
                <w:spacing w:val="33"/>
                <w:sz w:val="19"/>
                <w:szCs w:val="19"/>
                <w:highlight w:val="none"/>
                <w14:textFill>
                  <w14:solidFill>
                    <w14:schemeClr w14:val="tx1"/>
                  </w14:solidFill>
                </w14:textFill>
              </w:rPr>
              <w:t xml:space="preserve"> </w:t>
            </w:r>
            <w:r>
              <w:rPr>
                <w:b/>
                <w:bCs/>
                <w:color w:val="000000" w:themeColor="text1"/>
                <w:spacing w:val="8"/>
                <w:sz w:val="19"/>
                <w:szCs w:val="19"/>
                <w:highlight w:val="none"/>
                <w14:textFill>
                  <w14:solidFill>
                    <w14:schemeClr w14:val="tx1"/>
                  </w14:solidFill>
                </w14:textFill>
              </w:rPr>
              <w:t xml:space="preserve">1分；</w:t>
            </w:r>
            <w:r/>
          </w:p>
          <w:p>
            <w:pPr>
              <w:pStyle w:val="1256"/>
              <w:ind w:left="54" w:right="72" w:firstLine="48"/>
              <w:spacing w:before="12" w:line="238" w:lineRule="auto"/>
              <w:shd w:val="clear" w:color="auto"/>
              <w:rPr>
                <w:color w:val="000000" w:themeColor="text1"/>
                <w:sz w:val="19"/>
                <w:szCs w:val="19"/>
                <w:highlight w:val="none"/>
                <w14:textFill>
                  <w14:solidFill>
                    <w14:schemeClr w14:val="tx1"/>
                  </w14:solidFill>
                </w14:textFill>
              </w:rPr>
            </w:pPr>
            <w:r>
              <w:rPr>
                <w:b/>
                <w:bCs/>
                <w:color w:val="000000" w:themeColor="text1"/>
                <w:spacing w:val="6"/>
                <w:sz w:val="19"/>
                <w:szCs w:val="19"/>
                <w:highlight w:val="none"/>
                <w14:textFill>
                  <w14:solidFill>
                    <w14:schemeClr w14:val="tx1"/>
                  </w14:solidFill>
                </w14:textFill>
              </w:rPr>
              <w:t xml:space="preserve">发生质量</w:t>
            </w:r>
            <w:r>
              <w:rPr>
                <w:color w:val="000000" w:themeColor="text1"/>
                <w:spacing w:val="1"/>
                <w:sz w:val="19"/>
                <w:szCs w:val="19"/>
                <w:highlight w:val="none"/>
                <w14:textFill>
                  <w14:solidFill>
                    <w14:schemeClr w14:val="tx1"/>
                  </w14:solidFill>
                </w14:textFill>
              </w:rPr>
              <w:t xml:space="preserve"> </w:t>
            </w:r>
            <w:r>
              <w:rPr>
                <w:b/>
                <w:bCs/>
                <w:color w:val="000000" w:themeColor="text1"/>
                <w:spacing w:val="18"/>
                <w:sz w:val="19"/>
                <w:szCs w:val="19"/>
                <w:highlight w:val="none"/>
                <w14:textFill>
                  <w14:solidFill>
                    <w14:schemeClr w14:val="tx1"/>
                  </w14:solidFill>
                </w14:textFill>
              </w:rPr>
              <w:t xml:space="preserve">问题的每</w:t>
            </w:r>
            <w:r>
              <w:rPr>
                <w:color w:val="000000" w:themeColor="text1"/>
                <w:spacing w:val="1"/>
                <w:sz w:val="19"/>
                <w:szCs w:val="19"/>
                <w:highlight w:val="none"/>
                <w14:textFill>
                  <w14:solidFill>
                    <w14:schemeClr w14:val="tx1"/>
                  </w14:solidFill>
                </w14:textFill>
              </w:rPr>
              <w:t xml:space="preserve"> </w:t>
            </w:r>
            <w:r>
              <w:rPr>
                <w:b/>
                <w:bCs/>
                <w:color w:val="000000" w:themeColor="text1"/>
                <w:spacing w:val="13"/>
                <w:sz w:val="19"/>
                <w:szCs w:val="19"/>
                <w:highlight w:val="none"/>
                <w14:textFill>
                  <w14:solidFill>
                    <w14:schemeClr w14:val="tx1"/>
                  </w14:solidFill>
                </w14:textFill>
              </w:rPr>
              <w:t xml:space="preserve">一次扣</w:t>
            </w:r>
            <w:r>
              <w:rPr>
                <w:color w:val="000000" w:themeColor="text1"/>
                <w:spacing w:val="24"/>
                <w:sz w:val="19"/>
                <w:szCs w:val="19"/>
                <w:highlight w:val="none"/>
                <w14:textFill>
                  <w14:solidFill>
                    <w14:schemeClr w14:val="tx1"/>
                  </w14:solidFill>
                </w14:textFill>
              </w:rPr>
              <w:t xml:space="preserve"> </w:t>
            </w:r>
            <w:r>
              <w:rPr>
                <w:b/>
                <w:bCs/>
                <w:color w:val="000000" w:themeColor="text1"/>
                <w:spacing w:val="13"/>
                <w:sz w:val="19"/>
                <w:szCs w:val="19"/>
                <w:highlight w:val="none"/>
                <w14:textFill>
                  <w14:solidFill>
                    <w14:schemeClr w14:val="tx1"/>
                  </w14:solidFill>
                </w14:textFill>
              </w:rPr>
              <w:t xml:space="preserve">2</w:t>
            </w:r>
            <w:r>
              <w:rPr>
                <w:color w:val="000000" w:themeColor="text1"/>
                <w:sz w:val="19"/>
                <w:szCs w:val="19"/>
                <w:highlight w:val="none"/>
                <w14:textFill>
                  <w14:solidFill>
                    <w14:schemeClr w14:val="tx1"/>
                  </w14:solidFill>
                </w14:textFill>
              </w:rPr>
              <w:t xml:space="preserve"> </w:t>
            </w:r>
            <w:r>
              <w:rPr>
                <w:b/>
                <w:bCs/>
                <w:color w:val="000000" w:themeColor="text1"/>
                <w:spacing w:val="18"/>
                <w:sz w:val="19"/>
                <w:szCs w:val="19"/>
                <w:highlight w:val="none"/>
                <w14:textFill>
                  <w14:solidFill>
                    <w14:schemeClr w14:val="tx1"/>
                  </w14:solidFill>
                </w14:textFill>
              </w:rPr>
              <w:t xml:space="preserve">分，整改</w:t>
            </w:r>
            <w:r>
              <w:rPr>
                <w:color w:val="000000" w:themeColor="text1"/>
                <w:sz w:val="19"/>
                <w:szCs w:val="19"/>
                <w:highlight w:val="none"/>
                <w14:textFill>
                  <w14:solidFill>
                    <w14:schemeClr w14:val="tx1"/>
                  </w14:solidFill>
                </w14:textFill>
              </w:rPr>
              <w:t xml:space="preserve"> </w:t>
            </w:r>
            <w:r>
              <w:rPr>
                <w:b/>
                <w:bCs/>
                <w:color w:val="000000" w:themeColor="text1"/>
                <w:spacing w:val="18"/>
                <w:sz w:val="19"/>
                <w:szCs w:val="19"/>
                <w:highlight w:val="none"/>
                <w14:textFill>
                  <w14:solidFill>
                    <w14:schemeClr w14:val="tx1"/>
                  </w14:solidFill>
                </w14:textFill>
              </w:rPr>
              <w:t xml:space="preserve">不到位每</w:t>
            </w:r>
            <w:r>
              <w:rPr>
                <w:color w:val="000000" w:themeColor="text1"/>
                <w:spacing w:val="1"/>
                <w:sz w:val="19"/>
                <w:szCs w:val="19"/>
                <w:highlight w:val="none"/>
                <w14:textFill>
                  <w14:solidFill>
                    <w14:schemeClr w14:val="tx1"/>
                  </w14:solidFill>
                </w14:textFill>
              </w:rPr>
              <w:t xml:space="preserve"> </w:t>
            </w:r>
            <w:r>
              <w:rPr>
                <w:b/>
                <w:bCs/>
                <w:color w:val="000000" w:themeColor="text1"/>
                <w:spacing w:val="-4"/>
                <w:sz w:val="19"/>
                <w:szCs w:val="19"/>
                <w:highlight w:val="none"/>
                <w14:textFill>
                  <w14:solidFill>
                    <w14:schemeClr w14:val="tx1"/>
                  </w14:solidFill>
                </w14:textFill>
              </w:rPr>
              <w:t xml:space="preserve">次扣4分；</w:t>
            </w:r>
            <w:r>
              <w:rPr>
                <w:color w:val="000000" w:themeColor="text1"/>
                <w:sz w:val="19"/>
                <w:szCs w:val="19"/>
                <w:highlight w:val="none"/>
                <w14:textFill>
                  <w14:solidFill>
                    <w14:schemeClr w14:val="tx1"/>
                  </w14:solidFill>
                </w14:textFill>
              </w:rPr>
              <w:t xml:space="preserve"> </w:t>
            </w:r>
            <w:r>
              <w:rPr>
                <w:b/>
                <w:bCs/>
                <w:color w:val="000000" w:themeColor="text1"/>
                <w:spacing w:val="18"/>
                <w:sz w:val="19"/>
                <w:szCs w:val="19"/>
                <w:highlight w:val="none"/>
                <w14:textFill>
                  <w14:solidFill>
                    <w14:schemeClr w14:val="tx1"/>
                  </w14:solidFill>
                </w14:textFill>
              </w:rPr>
              <w:t xml:space="preserve">被曝光的</w:t>
            </w:r>
            <w:r/>
          </w:p>
          <w:p>
            <w:pPr>
              <w:pStyle w:val="1256"/>
              <w:ind w:left="52" w:right="22" w:firstLine="151"/>
              <w:spacing w:before="15" w:line="238" w:lineRule="auto"/>
              <w:shd w:val="clear" w:color="auto"/>
              <w:rPr>
                <w:color w:val="000000" w:themeColor="text1"/>
                <w:sz w:val="19"/>
                <w:szCs w:val="19"/>
                <w:highlight w:val="none"/>
                <w14:textFill>
                  <w14:solidFill>
                    <w14:schemeClr w14:val="tx1"/>
                  </w14:solidFill>
                </w14:textFill>
              </w:rPr>
            </w:pPr>
            <w:r>
              <w:rPr>
                <w:b/>
                <w:bCs/>
                <w:color w:val="000000" w:themeColor="text1"/>
                <w:spacing w:val="5"/>
                <w:sz w:val="19"/>
                <w:szCs w:val="19"/>
                <w:highlight w:val="none"/>
                <w14:textFill>
                  <w14:solidFill>
                    <w14:schemeClr w14:val="tx1"/>
                  </w14:solidFill>
                </w14:textFill>
              </w:rPr>
              <w:t xml:space="preserve">一次扣</w:t>
            </w:r>
            <w:r>
              <w:rPr>
                <w:color w:val="000000" w:themeColor="text1"/>
                <w:sz w:val="19"/>
                <w:szCs w:val="19"/>
                <w:highlight w:val="none"/>
                <w14:textFill>
                  <w14:solidFill>
                    <w14:schemeClr w14:val="tx1"/>
                  </w14:solidFill>
                </w14:textFill>
              </w:rPr>
              <w:t xml:space="preserve">  </w:t>
            </w:r>
            <w:r>
              <w:rPr>
                <w:b/>
                <w:bCs/>
                <w:color w:val="000000" w:themeColor="text1"/>
                <w:spacing w:val="6"/>
                <w:sz w:val="19"/>
                <w:szCs w:val="19"/>
                <w:highlight w:val="none"/>
                <w14:textFill>
                  <w14:solidFill>
                    <w14:schemeClr w14:val="tx1"/>
                  </w14:solidFill>
                </w14:textFill>
              </w:rPr>
              <w:t xml:space="preserve">5分；菜单</w:t>
            </w:r>
            <w:r>
              <w:rPr>
                <w:color w:val="000000" w:themeColor="text1"/>
                <w:sz w:val="19"/>
                <w:szCs w:val="19"/>
                <w:highlight w:val="none"/>
                <w14:textFill>
                  <w14:solidFill>
                    <w14:schemeClr w14:val="tx1"/>
                  </w14:solidFill>
                </w14:textFill>
              </w:rPr>
              <w:t xml:space="preserve"> </w:t>
            </w:r>
            <w:r>
              <w:rPr>
                <w:b/>
                <w:bCs/>
                <w:color w:val="000000" w:themeColor="text1"/>
                <w:spacing w:val="4"/>
                <w:sz w:val="19"/>
                <w:szCs w:val="19"/>
                <w:highlight w:val="none"/>
                <w14:textFill>
                  <w14:solidFill>
                    <w14:schemeClr w14:val="tx1"/>
                  </w14:solidFill>
                </w14:textFill>
              </w:rPr>
              <w:t xml:space="preserve">、</w:t>
            </w:r>
            <w:r>
              <w:rPr>
                <w:color w:val="000000" w:themeColor="text1"/>
                <w:spacing w:val="-37"/>
                <w:sz w:val="19"/>
                <w:szCs w:val="19"/>
                <w:highlight w:val="none"/>
                <w14:textFill>
                  <w14:solidFill>
                    <w14:schemeClr w14:val="tx1"/>
                  </w14:solidFill>
                </w14:textFill>
              </w:rPr>
              <w:t xml:space="preserve"> </w:t>
            </w:r>
            <w:r>
              <w:rPr>
                <w:b/>
                <w:bCs/>
                <w:color w:val="000000" w:themeColor="text1"/>
                <w:spacing w:val="4"/>
                <w:sz w:val="19"/>
                <w:szCs w:val="19"/>
                <w:highlight w:val="none"/>
                <w14:textFill>
                  <w14:solidFill>
                    <w14:schemeClr w14:val="tx1"/>
                  </w14:solidFill>
                </w14:textFill>
              </w:rPr>
              <w:t xml:space="preserve">事故处</w:t>
            </w:r>
            <w:r>
              <w:rPr>
                <w:color w:val="000000" w:themeColor="text1"/>
                <w:sz w:val="19"/>
                <w:szCs w:val="19"/>
                <w:highlight w:val="none"/>
                <w14:textFill>
                  <w14:solidFill>
                    <w14:schemeClr w14:val="tx1"/>
                  </w14:solidFill>
                </w14:textFill>
              </w:rPr>
              <w:t xml:space="preserve"> </w:t>
            </w:r>
            <w:r>
              <w:rPr>
                <w:b/>
                <w:bCs/>
                <w:color w:val="000000" w:themeColor="text1"/>
                <w:spacing w:val="19"/>
                <w:sz w:val="19"/>
                <w:szCs w:val="19"/>
                <w:highlight w:val="none"/>
                <w14:textFill>
                  <w14:solidFill>
                    <w14:schemeClr w14:val="tx1"/>
                  </w14:solidFill>
                </w14:textFill>
              </w:rPr>
              <w:t xml:space="preserve">理及问题</w:t>
            </w:r>
            <w:r>
              <w:rPr>
                <w:color w:val="000000" w:themeColor="text1"/>
                <w:sz w:val="19"/>
                <w:szCs w:val="19"/>
                <w:highlight w:val="none"/>
                <w14:textFill>
                  <w14:solidFill>
                    <w14:schemeClr w14:val="tx1"/>
                  </w14:solidFill>
                </w14:textFill>
              </w:rPr>
              <w:t xml:space="preserve"> </w:t>
            </w:r>
            <w:r>
              <w:rPr>
                <w:b/>
                <w:bCs/>
                <w:color w:val="000000" w:themeColor="text1"/>
                <w:spacing w:val="19"/>
                <w:sz w:val="19"/>
                <w:szCs w:val="19"/>
                <w:highlight w:val="none"/>
                <w14:textFill>
                  <w14:solidFill>
                    <w14:schemeClr w14:val="tx1"/>
                  </w14:solidFill>
                </w14:textFill>
              </w:rPr>
              <w:t xml:space="preserve">反复出现</w:t>
            </w:r>
            <w:r>
              <w:rPr>
                <w:color w:val="000000" w:themeColor="text1"/>
                <w:sz w:val="19"/>
                <w:szCs w:val="19"/>
                <w:highlight w:val="none"/>
                <w14:textFill>
                  <w14:solidFill>
                    <w14:schemeClr w14:val="tx1"/>
                  </w14:solidFill>
                </w14:textFill>
              </w:rPr>
              <w:t xml:space="preserve"> </w:t>
            </w:r>
            <w:r>
              <w:rPr>
                <w:b/>
                <w:bCs/>
                <w:color w:val="000000" w:themeColor="text1"/>
                <w:spacing w:val="19"/>
                <w:sz w:val="19"/>
                <w:szCs w:val="19"/>
                <w:highlight w:val="none"/>
                <w14:textFill>
                  <w14:solidFill>
                    <w14:schemeClr w14:val="tx1"/>
                  </w14:solidFill>
                </w14:textFill>
              </w:rPr>
              <w:t xml:space="preserve">不及时整</w:t>
            </w:r>
            <w:r>
              <w:rPr>
                <w:color w:val="000000" w:themeColor="text1"/>
                <w:sz w:val="19"/>
                <w:szCs w:val="19"/>
                <w:highlight w:val="none"/>
                <w14:textFill>
                  <w14:solidFill>
                    <w14:schemeClr w14:val="tx1"/>
                  </w14:solidFill>
                </w14:textFill>
              </w:rPr>
              <w:t xml:space="preserve"> </w:t>
            </w:r>
            <w:r>
              <w:rPr>
                <w:b/>
                <w:bCs/>
                <w:color w:val="000000" w:themeColor="text1"/>
                <w:spacing w:val="6"/>
                <w:sz w:val="19"/>
                <w:szCs w:val="19"/>
                <w:highlight w:val="none"/>
                <w14:textFill>
                  <w14:solidFill>
                    <w14:schemeClr w14:val="tx1"/>
                  </w14:solidFill>
                </w14:textFill>
              </w:rPr>
              <w:t xml:space="preserve">改每次扣5</w:t>
            </w:r>
            <w:r/>
          </w:p>
          <w:p>
            <w:pPr>
              <w:pStyle w:val="1256"/>
              <w:ind w:left="303"/>
              <w:spacing w:before="13" w:line="229" w:lineRule="auto"/>
              <w:shd w:val="clear" w:color="auto"/>
              <w:rPr>
                <w:color w:val="000000" w:themeColor="text1"/>
                <w:sz w:val="19"/>
                <w:szCs w:val="19"/>
                <w:highlight w:val="none"/>
                <w14:textFill>
                  <w14:solidFill>
                    <w14:schemeClr w14:val="tx1"/>
                  </w14:solidFill>
                </w14:textFill>
              </w:rPr>
            </w:pPr>
            <w:r>
              <w:rPr>
                <w:b/>
                <w:bCs/>
                <w:color w:val="000000" w:themeColor="text1"/>
                <w:spacing w:val="-3"/>
                <w:sz w:val="19"/>
                <w:szCs w:val="19"/>
                <w:highlight w:val="none"/>
                <w14:textFill>
                  <w14:solidFill>
                    <w14:schemeClr w14:val="tx1"/>
                  </w14:solidFill>
                </w14:textFill>
              </w:rPr>
              <w:t xml:space="preserve">分。</w:t>
            </w:r>
            <w:r/>
          </w:p>
        </w:tc>
      </w:tr>
      <w:tr>
        <w:trPr>
          <w:trHeight w:val="4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4"/>
              <w:spacing w:before="29" w:line="228"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4、按行业管理相关要求开展养护管理工作，投诉菜单有</w:t>
            </w:r>
            <w:r>
              <w:rPr>
                <w:color w:val="000000" w:themeColor="text1"/>
                <w:spacing w:val="8"/>
                <w:sz w:val="19"/>
                <w:szCs w:val="19"/>
                <w:highlight w:val="none"/>
                <w14:textFill>
                  <w14:solidFill>
                    <w14:schemeClr w14:val="tx1"/>
                  </w14:solidFill>
                </w14:textFill>
              </w:rPr>
              <w:t xml:space="preserve">专人处理，问题整改及时有效</w:t>
            </w:r>
            <w:r/>
          </w:p>
          <w:p>
            <w:pPr>
              <w:pStyle w:val="1256"/>
              <w:ind w:left="54"/>
              <w:spacing w:before="140" w:line="73" w:lineRule="exact"/>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4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8"/>
              <w:spacing w:before="30" w:line="228"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5、建立各养护公司内部考核体系，按月上报考核</w:t>
            </w:r>
            <w:r>
              <w:rPr>
                <w:color w:val="000000" w:themeColor="text1"/>
                <w:spacing w:val="8"/>
                <w:sz w:val="19"/>
                <w:szCs w:val="19"/>
                <w:highlight w:val="none"/>
                <w14:textFill>
                  <w14:solidFill>
                    <w14:schemeClr w14:val="tx1"/>
                  </w14:solidFill>
                </w14:textFill>
              </w:rPr>
              <w:t xml:space="preserve">情况，对上级考核结果认真分析上报</w:t>
            </w:r>
            <w:r/>
          </w:p>
          <w:p>
            <w:pPr>
              <w:pStyle w:val="1256"/>
              <w:ind w:left="54"/>
              <w:spacing w:before="140" w:line="72" w:lineRule="exact"/>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50" w:right="30" w:hanging="14"/>
              <w:spacing w:before="78" w:line="234"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6、未按要求完成工作或质量不达标，被要求返工的</w:t>
            </w:r>
            <w:r>
              <w:rPr>
                <w:color w:val="000000" w:themeColor="text1"/>
                <w:spacing w:val="8"/>
                <w:sz w:val="19"/>
                <w:szCs w:val="19"/>
                <w:highlight w:val="none"/>
                <w14:textFill>
                  <w14:solidFill>
                    <w14:schemeClr w14:val="tx1"/>
                  </w14:solidFill>
                </w14:textFill>
              </w:rPr>
              <w:t xml:space="preserve">；安排的工作不落实，问题不解决</w:t>
            </w:r>
            <w:r>
              <w:rPr>
                <w:color w:val="000000" w:themeColor="text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的；情节严重，影响工作进展的；科室多次提出</w:t>
            </w:r>
            <w:r>
              <w:rPr>
                <w:color w:val="000000" w:themeColor="text1"/>
                <w:spacing w:val="7"/>
                <w:sz w:val="19"/>
                <w:szCs w:val="19"/>
                <w:highlight w:val="none"/>
                <w14:textFill>
                  <w14:solidFill>
                    <w14:schemeClr w14:val="tx1"/>
                  </w14:solidFill>
                </w14:textFill>
              </w:rPr>
              <w:t xml:space="preserve">的问题不整改的。</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4" w:right="30" w:firstLine="4"/>
              <w:spacing w:before="78" w:line="235" w:lineRule="auto"/>
              <w:shd w:val="clear" w:color="auto"/>
              <w:rPr>
                <w:color w:val="000000" w:themeColor="text1"/>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7、不得离岗脱岗，各区域段落都要专人养护</w:t>
            </w:r>
            <w:r>
              <w:rPr>
                <w:color w:val="000000" w:themeColor="text1"/>
                <w:spacing w:val="8"/>
                <w:sz w:val="19"/>
                <w:szCs w:val="19"/>
                <w:highlight w:val="none"/>
                <w14:textFill>
                  <w14:solidFill>
                    <w14:schemeClr w14:val="tx1"/>
                  </w14:solidFill>
                </w14:textFill>
              </w:rPr>
              <w:t xml:space="preserve">，及时回电、回复各类信息。上级部门安</w:t>
            </w:r>
            <w:r>
              <w:rPr>
                <w:color w:val="000000" w:themeColor="text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排工作要及时签收回复，工作完成要有回复。</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4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5"/>
              <w:spacing w:before="30" w:line="227" w:lineRule="auto"/>
              <w:shd w:val="clear" w:color="auto"/>
              <w:rPr>
                <w:color w:val="000000" w:themeColor="text1"/>
                <w:sz w:val="19"/>
                <w:szCs w:val="19"/>
                <w:highlight w:val="none"/>
                <w14:textFill>
                  <w14:solidFill>
                    <w14:schemeClr w14:val="tx1"/>
                  </w14:solidFill>
                </w14:textFill>
              </w:rPr>
            </w:pPr>
            <w:r>
              <w:rPr>
                <w:color w:val="000000" w:themeColor="text1"/>
                <w:spacing w:val="7"/>
                <w:sz w:val="19"/>
                <w:szCs w:val="19"/>
                <w:highlight w:val="none"/>
                <w14:textFill>
                  <w14:solidFill>
                    <w14:schemeClr w14:val="tx1"/>
                  </w14:solidFill>
                </w14:textFill>
              </w:rPr>
              <w:t xml:space="preserve">8、养护公司上报有违规挖掘、</w:t>
            </w:r>
            <w:r>
              <w:rPr>
                <w:color w:val="000000" w:themeColor="text1"/>
                <w:spacing w:val="-34"/>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占用、违规排放等违规行为时，需要提供有效证明材料</w:t>
            </w:r>
            <w:r/>
          </w:p>
          <w:p>
            <w:pPr>
              <w:pStyle w:val="1256"/>
              <w:ind w:left="54"/>
              <w:spacing w:before="142" w:line="72" w:lineRule="exact"/>
              <w:shd w:val="clear" w:color="auto"/>
              <w:rPr>
                <w:color w:val="000000" w:themeColor="text1"/>
                <w:sz w:val="19"/>
                <w:szCs w:val="19"/>
                <w:highlight w:val="none"/>
                <w14:textFill>
                  <w14:solidFill>
                    <w14:schemeClr w14:val="tx1"/>
                  </w14:solidFill>
                </w14:textFill>
              </w:rPr>
            </w:pPr>
            <w:r>
              <w:rPr>
                <w:color w:val="000000" w:themeColor="text1"/>
                <w:sz w:val="19"/>
                <w:szCs w:val="19"/>
                <w:highlight w:val="none"/>
                <w14:textFill>
                  <w14:solidFill>
                    <w14:schemeClr w14:val="tx1"/>
                  </w14:solidFill>
                </w14:textFill>
              </w:rPr>
              <w:t xml:space="preserve">。</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78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7" w:right="63" w:hanging="2"/>
              <w:spacing w:before="56" w:line="233"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9、各岗位不得离岗脱岗。养护公司拟投入项目的人员未经甲方同意</w:t>
            </w:r>
            <w:r>
              <w:rPr>
                <w:color w:val="000000" w:themeColor="text1"/>
                <w:spacing w:val="7"/>
                <w:sz w:val="19"/>
                <w:szCs w:val="19"/>
                <w:highlight w:val="none"/>
                <w14:textFill>
                  <w14:solidFill>
                    <w14:schemeClr w14:val="tx1"/>
                  </w14:solidFill>
                </w14:textFill>
              </w:rPr>
              <w:t xml:space="preserve">，不得随意更换。</w:t>
            </w:r>
            <w:r>
              <w:rPr>
                <w:color w:val="000000" w:themeColor="text1"/>
                <w:sz w:val="19"/>
                <w:szCs w:val="19"/>
                <w:highlight w:val="none"/>
                <w14:textFill>
                  <w14:solidFill>
                    <w14:schemeClr w14:val="tx1"/>
                  </w14:solidFill>
                </w14:textFill>
              </w:rPr>
              <w:t xml:space="preserve"> </w:t>
            </w:r>
            <w:r>
              <w:rPr>
                <w:color w:val="000000" w:themeColor="text1"/>
                <w:spacing w:val="9"/>
                <w:sz w:val="19"/>
                <w:szCs w:val="19"/>
                <w:highlight w:val="none"/>
                <w14:textFill>
                  <w14:solidFill>
                    <w14:schemeClr w14:val="tx1"/>
                  </w14:solidFill>
                </w14:textFill>
              </w:rPr>
              <w:t xml:space="preserve">如确有需要，经甲方同意后，需出示新管理人员的劳动合同原件、身份证原件审核，</w:t>
            </w:r>
            <w:r>
              <w:rPr>
                <w:color w:val="000000" w:themeColor="text1"/>
                <w:spacing w:val="3"/>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并将劳动合同复印件、身份证复印件盖公司章送所部备案。</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49"/>
              <w:spacing w:before="207" w:line="227"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10、养护公司应配合各级管理部门现场检</w:t>
            </w:r>
            <w:r>
              <w:rPr>
                <w:color w:val="000000" w:themeColor="text1"/>
                <w:spacing w:val="7"/>
                <w:sz w:val="19"/>
                <w:szCs w:val="19"/>
                <w:highlight w:val="none"/>
                <w14:textFill>
                  <w14:solidFill>
                    <w14:schemeClr w14:val="tx1"/>
                  </w14:solidFill>
                </w14:textFill>
              </w:rPr>
              <w:t xml:space="preserve">查、考核、 会议等要求。</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6" w:right="128" w:firstLine="13"/>
              <w:spacing w:before="82" w:line="234"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11、养护公司需按时完成工作且完成的工作质量达标，不得发生养护质量问题被曝光</w:t>
            </w:r>
            <w:r>
              <w:rPr>
                <w:color w:val="000000" w:themeColor="text1"/>
                <w:spacing w:val="7"/>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等情况。养护公司应积极处理各类菜单、事故投诉处理。</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90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4" w:right="128" w:firstLine="15"/>
              <w:jc w:val="both"/>
              <w:spacing w:before="27" w:line="211"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12、养护公司需按设施类别建立健全设施信息资料（如一路一档、一井一档、一河一</w:t>
            </w:r>
            <w:r>
              <w:rPr>
                <w:color w:val="000000" w:themeColor="text1"/>
                <w:spacing w:val="7"/>
                <w:sz w:val="19"/>
                <w:szCs w:val="19"/>
                <w:highlight w:val="none"/>
                <w14:textFill>
                  <w14:solidFill>
                    <w14:schemeClr w14:val="tx1"/>
                  </w14:solidFill>
                </w14:textFill>
              </w:rPr>
              <w:t xml:space="preserve"> </w:t>
            </w:r>
            <w:r>
              <w:rPr>
                <w:color w:val="000000" w:themeColor="text1"/>
                <w:spacing w:val="9"/>
                <w:sz w:val="19"/>
                <w:szCs w:val="19"/>
                <w:highlight w:val="none"/>
                <w14:textFill>
                  <w14:solidFill>
                    <w14:schemeClr w14:val="tx1"/>
                  </w14:solidFill>
                </w14:textFill>
              </w:rPr>
              <w:t xml:space="preserve">档、一站一档）、维护台帐资料，需安排专职资料文员负责各类</w:t>
            </w:r>
            <w:r>
              <w:rPr>
                <w:color w:val="000000" w:themeColor="text1"/>
                <w:spacing w:val="8"/>
                <w:sz w:val="19"/>
                <w:szCs w:val="19"/>
                <w:highlight w:val="none"/>
                <w14:textFill>
                  <w14:solidFill>
                    <w14:schemeClr w14:val="tx1"/>
                  </w14:solidFill>
                </w14:textFill>
              </w:rPr>
              <w:t xml:space="preserve">文件资料，及时准确</w:t>
            </w:r>
            <w:r>
              <w:rPr>
                <w:color w:val="000000" w:themeColor="text1"/>
                <w:sz w:val="19"/>
                <w:szCs w:val="19"/>
                <w:highlight w:val="none"/>
                <w14:textFill>
                  <w14:solidFill>
                    <w14:schemeClr w14:val="tx1"/>
                  </w14:solidFill>
                </w14:textFill>
              </w:rPr>
              <w:t xml:space="preserve"> </w:t>
            </w:r>
            <w:r>
              <w:rPr>
                <w:color w:val="000000" w:themeColor="text1"/>
                <w:spacing w:val="9"/>
                <w:sz w:val="19"/>
                <w:szCs w:val="19"/>
                <w:highlight w:val="none"/>
                <w14:textFill>
                  <w14:solidFill>
                    <w14:schemeClr w14:val="tx1"/>
                  </w14:solidFill>
                </w14:textFill>
              </w:rPr>
              <w:t xml:space="preserve">地向甲方报送各类信息和材料，确保养护计划和工作报表真实有</w:t>
            </w:r>
            <w:r>
              <w:rPr>
                <w:color w:val="000000" w:themeColor="text1"/>
                <w:spacing w:val="8"/>
                <w:sz w:val="19"/>
                <w:szCs w:val="19"/>
                <w:highlight w:val="none"/>
                <w14:textFill>
                  <w14:solidFill>
                    <w14:schemeClr w14:val="tx1"/>
                  </w14:solidFill>
                </w14:textFill>
              </w:rPr>
              <w:t xml:space="preserve">效，作为经费拨付依</w:t>
            </w:r>
            <w:r>
              <w:rPr>
                <w:color w:val="000000" w:themeColor="text1"/>
                <w:sz w:val="19"/>
                <w:szCs w:val="19"/>
                <w:highlight w:val="none"/>
                <w14:textFill>
                  <w14:solidFill>
                    <w14:schemeClr w14:val="tx1"/>
                  </w14:solidFill>
                </w14:textFill>
              </w:rPr>
              <w:t xml:space="preserve"> </w:t>
            </w:r>
            <w:r>
              <w:rPr>
                <w:color w:val="000000" w:themeColor="text1"/>
                <w:spacing w:val="2"/>
                <w:sz w:val="19"/>
                <w:szCs w:val="19"/>
                <w:highlight w:val="none"/>
                <w14:textFill>
                  <w14:solidFill>
                    <w14:schemeClr w14:val="tx1"/>
                  </w14:solidFill>
                </w14:textFill>
              </w:rPr>
              <w:t xml:space="preserve">据</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1289"/>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253"/>
              <w:spacing w:line="45" w:lineRule="exact"/>
              <w:shd w:val="clear" w:color="auto"/>
              <w:rPr>
                <w:color w:val="000000" w:themeColor="text1"/>
                <w:sz w:val="9"/>
                <w:szCs w:val="9"/>
                <w:highlight w:val="none"/>
                <w14:textFill>
                  <w14:solidFill>
                    <w14:schemeClr w14:val="tx1"/>
                  </w14:solidFill>
                </w14:textFill>
              </w:rPr>
            </w:pPr>
            <w:r>
              <w:rPr>
                <w:color w:val="000000" w:themeColor="text1"/>
                <w:sz w:val="9"/>
                <w:szCs w:val="9"/>
                <w:highlight w:val="none"/>
                <w14:textFill>
                  <w14:solidFill>
                    <w14:schemeClr w14:val="tx1"/>
                  </w14:solidFill>
                </w14:textFill>
              </w:rPr>
              <w:t xml:space="preserve">。</w:t>
            </w:r>
            <w:r/>
          </w:p>
          <w:p>
            <w:pPr>
              <w:pStyle w:val="1256"/>
              <w:ind w:left="38" w:right="126" w:firstLine="11"/>
              <w:jc w:val="both"/>
              <w:spacing w:before="18" w:line="236"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13、养护公司每月18日前（遇到节假日提前上报）上报下月养护计划表，报所科室同</w:t>
            </w:r>
            <w:r>
              <w:rPr>
                <w:color w:val="000000" w:themeColor="text1"/>
                <w:spacing w:val="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意后，严格落实工作内容，养护完毕，养护公司需要上报该路“一路一档</w:t>
            </w:r>
            <w:r>
              <w:rPr>
                <w:color w:val="000000" w:themeColor="text1"/>
                <w:spacing w:val="-67"/>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w:t>
            </w:r>
            <w:r>
              <w:rPr>
                <w:color w:val="000000" w:themeColor="text1"/>
                <w:spacing w:val="7"/>
                <w:sz w:val="19"/>
                <w:szCs w:val="19"/>
                <w:highlight w:val="none"/>
                <w14:textFill>
                  <w14:solidFill>
                    <w14:schemeClr w14:val="tx1"/>
                  </w14:solidFill>
                </w14:textFill>
              </w:rPr>
              <w:t xml:space="preserve">“一河</w:t>
            </w:r>
            <w:r>
              <w:rPr>
                <w:color w:val="000000" w:themeColor="text1"/>
                <w:sz w:val="19"/>
                <w:szCs w:val="19"/>
                <w:highlight w:val="none"/>
                <w14:textFill>
                  <w14:solidFill>
                    <w14:schemeClr w14:val="tx1"/>
                  </w14:solidFill>
                </w14:textFill>
              </w:rPr>
              <w:t xml:space="preserve"> </w:t>
            </w:r>
            <w:r>
              <w:rPr>
                <w:color w:val="000000" w:themeColor="text1"/>
                <w:spacing w:val="6"/>
                <w:sz w:val="19"/>
                <w:szCs w:val="19"/>
                <w:highlight w:val="none"/>
                <w14:textFill>
                  <w14:solidFill>
                    <w14:schemeClr w14:val="tx1"/>
                  </w14:solidFill>
                </w14:textFill>
              </w:rPr>
              <w:t xml:space="preserve">一档</w:t>
            </w:r>
            <w:r>
              <w:rPr>
                <w:color w:val="000000" w:themeColor="text1"/>
                <w:spacing w:val="-70"/>
                <w:sz w:val="19"/>
                <w:szCs w:val="19"/>
                <w:highlight w:val="none"/>
                <w14:textFill>
                  <w14:solidFill>
                    <w14:schemeClr w14:val="tx1"/>
                  </w14:solidFill>
                </w14:textFill>
              </w:rPr>
              <w:t xml:space="preserve"> </w:t>
            </w:r>
            <w:r>
              <w:rPr>
                <w:color w:val="000000" w:themeColor="text1"/>
                <w:spacing w:val="6"/>
                <w:sz w:val="19"/>
                <w:szCs w:val="19"/>
                <w:highlight w:val="none"/>
                <w14:textFill>
                  <w14:solidFill>
                    <w14:schemeClr w14:val="tx1"/>
                  </w14:solidFill>
                </w14:textFill>
              </w:rPr>
              <w:t xml:space="preserve">”、“一站一档</w:t>
            </w:r>
            <w:r>
              <w:rPr>
                <w:color w:val="000000" w:themeColor="text1"/>
                <w:spacing w:val="-69"/>
                <w:sz w:val="19"/>
                <w:szCs w:val="19"/>
                <w:highlight w:val="none"/>
                <w14:textFill>
                  <w14:solidFill>
                    <w14:schemeClr w14:val="tx1"/>
                  </w14:solidFill>
                </w14:textFill>
              </w:rPr>
              <w:t xml:space="preserve"> </w:t>
            </w:r>
            <w:r>
              <w:rPr>
                <w:color w:val="000000" w:themeColor="text1"/>
                <w:spacing w:val="6"/>
                <w:sz w:val="19"/>
                <w:szCs w:val="19"/>
                <w:highlight w:val="none"/>
                <w14:textFill>
                  <w14:solidFill>
                    <w14:schemeClr w14:val="tx1"/>
                  </w14:solidFill>
                </w14:textFill>
              </w:rPr>
              <w:t xml:space="preserve">”台账、</w:t>
            </w:r>
            <w:r>
              <w:rPr>
                <w:color w:val="000000" w:themeColor="text1"/>
                <w:spacing w:val="-48"/>
                <w:sz w:val="19"/>
                <w:szCs w:val="19"/>
                <w:highlight w:val="none"/>
                <w14:textFill>
                  <w14:solidFill>
                    <w14:schemeClr w14:val="tx1"/>
                  </w14:solidFill>
                </w14:textFill>
              </w:rPr>
              <w:t xml:space="preserve"> </w:t>
            </w:r>
            <w:r>
              <w:rPr>
                <w:color w:val="000000" w:themeColor="text1"/>
                <w:spacing w:val="6"/>
                <w:sz w:val="19"/>
                <w:szCs w:val="19"/>
                <w:highlight w:val="none"/>
                <w14:textFill>
                  <w14:solidFill>
                    <w14:schemeClr w14:val="tx1"/>
                  </w14:solidFill>
                </w14:textFill>
              </w:rPr>
              <w:t xml:space="preserve">自查验收单、养护台账等信息资料的电子档在现场验收</w:t>
            </w:r>
            <w:r>
              <w:rPr>
                <w:color w:val="000000" w:themeColor="text1"/>
                <w:sz w:val="19"/>
                <w:szCs w:val="19"/>
                <w:highlight w:val="none"/>
                <w14:textFill>
                  <w14:solidFill>
                    <w14:schemeClr w14:val="tx1"/>
                  </w14:solidFill>
                </w14:textFill>
              </w:rPr>
              <w:t xml:space="preserve"> </w:t>
            </w:r>
            <w:r>
              <w:rPr>
                <w:color w:val="000000" w:themeColor="text1"/>
                <w:spacing w:val="9"/>
                <w:sz w:val="19"/>
                <w:szCs w:val="19"/>
                <w:highlight w:val="none"/>
                <w14:textFill>
                  <w14:solidFill>
                    <w14:schemeClr w14:val="tx1"/>
                  </w14:solidFill>
                </w14:textFill>
              </w:rPr>
              <w:t xml:space="preserve">前，先报科室，现场验收时提交纸质档。科室根据当月</w:t>
            </w:r>
            <w:r>
              <w:rPr>
                <w:color w:val="000000" w:themeColor="text1"/>
                <w:spacing w:val="8"/>
                <w:sz w:val="19"/>
                <w:szCs w:val="19"/>
                <w:highlight w:val="none"/>
                <w14:textFill>
                  <w14:solidFill>
                    <w14:schemeClr w14:val="tx1"/>
                  </w14:solidFill>
                </w14:textFill>
              </w:rPr>
              <w:t xml:space="preserve">养护计划完成工作进行工程验</w:t>
            </w:r>
            <w:r>
              <w:rPr>
                <w:color w:val="000000" w:themeColor="text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收考核、考核系统后台抽查等形式考核养护公司的维护过程。</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11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spacing w:line="321" w:lineRule="auto"/>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pStyle w:val="1256"/>
              <w:ind w:left="35" w:right="128" w:firstLine="13"/>
              <w:spacing w:before="62" w:line="234"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14、养护公司需要清晰了解养护设施的基本状况、排水走向、养护范围、设施设备基</w:t>
            </w:r>
            <w:r>
              <w:rPr>
                <w:color w:val="000000" w:themeColor="text1"/>
                <w:spacing w:val="7"/>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本信息等现场查看南京排水监管系统运用工作，各公司需确保检查设备完好。</w:t>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94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34" w:right="27" w:firstLine="14"/>
              <w:spacing w:before="144" w:line="236" w:lineRule="auto"/>
              <w:shd w:val="clear" w:color="auto"/>
              <w:rPr>
                <w:color w:val="000000" w:themeColor="text1"/>
                <w:sz w:val="19"/>
                <w:szCs w:val="19"/>
                <w:highlight w:val="none"/>
                <w14:textFill>
                  <w14:solidFill>
                    <w14:schemeClr w14:val="tx1"/>
                  </w14:solidFill>
                </w14:textFill>
              </w:rPr>
            </w:pPr>
            <w:r>
              <w:rPr>
                <w:color w:val="000000" w:themeColor="text1"/>
                <w:spacing w:val="8"/>
                <w:sz w:val="19"/>
                <w:szCs w:val="19"/>
                <w:highlight w:val="none"/>
                <w14:textFill>
                  <w14:solidFill>
                    <w14:schemeClr w14:val="tx1"/>
                  </w14:solidFill>
                </w14:textFill>
              </w:rPr>
              <w:t xml:space="preserve">15、设施养护计划要考虑节假日、汛期影响，按9个月折算为每个月平均养护量，年度</w:t>
            </w:r>
            <w:r>
              <w:rPr>
                <w:color w:val="000000" w:themeColor="text1"/>
                <w:spacing w:val="5"/>
                <w:sz w:val="19"/>
                <w:szCs w:val="19"/>
                <w:highlight w:val="none"/>
                <w14:textFill>
                  <w14:solidFill>
                    <w14:schemeClr w14:val="tx1"/>
                  </w14:solidFill>
                </w14:textFill>
              </w:rPr>
              <w:t xml:space="preserve"> </w:t>
            </w:r>
            <w:r>
              <w:rPr>
                <w:color w:val="000000" w:themeColor="text1"/>
                <w:spacing w:val="9"/>
                <w:sz w:val="19"/>
                <w:szCs w:val="19"/>
                <w:highlight w:val="none"/>
                <w14:textFill>
                  <w14:solidFill>
                    <w14:schemeClr w14:val="tx1"/>
                  </w14:solidFill>
                </w14:textFill>
              </w:rPr>
              <w:t xml:space="preserve">计划按月严格实施，如需调整，需同步调整年度养护计划，</w:t>
            </w:r>
            <w:r>
              <w:rPr>
                <w:color w:val="000000" w:themeColor="text1"/>
                <w:spacing w:val="8"/>
                <w:sz w:val="19"/>
                <w:szCs w:val="19"/>
                <w:highlight w:val="none"/>
                <w14:textFill>
                  <w14:solidFill>
                    <w14:schemeClr w14:val="tx1"/>
                  </w14:solidFill>
                </w14:textFill>
              </w:rPr>
              <w:t xml:space="preserve">原则上不超过当月平均量</w:t>
            </w:r>
            <w:r>
              <w:rPr>
                <w:color w:val="000000" w:themeColor="text1"/>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的1倍。公司要在计划范围的时间内完成养护任务。</w:t>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905"/>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restart"/>
            <w:textDirection w:val="tbRlV"/>
            <w:noWrap w:val="false"/>
          </w:tcPr>
          <w:p>
            <w:pPr>
              <w:pStyle w:val="1256"/>
              <w:ind w:left="256"/>
              <w:jc w:val="center"/>
              <w:spacing w:before="104" w:line="216" w:lineRule="auto"/>
              <w:shd w:val="clear" w:color="auto"/>
              <w:rPr>
                <w:color w:val="000000" w:themeColor="text1"/>
                <w:sz w:val="19"/>
                <w:szCs w:val="19"/>
                <w:highlight w:val="none"/>
                <w14:textFill>
                  <w14:solidFill>
                    <w14:schemeClr w14:val="tx1"/>
                  </w14:solidFill>
                </w14:textFill>
              </w:rPr>
            </w:pPr>
            <w:r>
              <w:rPr>
                <w:color w:val="000000" w:themeColor="text1"/>
                <w:spacing w:val="25"/>
                <w:sz w:val="19"/>
                <w:szCs w:val="19"/>
                <w:highlight w:val="none"/>
                <w14:textFill>
                  <w14:solidFill>
                    <w14:schemeClr w14:val="tx1"/>
                  </w14:solidFill>
                </w14:textFill>
              </w:rPr>
              <w:t xml:space="preserve">安</w:t>
            </w:r>
            <w:r>
              <w:rPr>
                <w:color w:val="000000" w:themeColor="text1"/>
                <w:spacing w:val="-47"/>
                <w:sz w:val="19"/>
                <w:szCs w:val="19"/>
                <w:highlight w:val="none"/>
                <w14:textFill>
                  <w14:solidFill>
                    <w14:schemeClr w14:val="tx1"/>
                  </w14:solidFill>
                </w14:textFill>
              </w:rPr>
              <w:t xml:space="preserve"> </w:t>
            </w:r>
            <w:r>
              <w:rPr>
                <w:color w:val="000000" w:themeColor="text1"/>
                <w:spacing w:val="25"/>
                <w:sz w:val="19"/>
                <w:szCs w:val="19"/>
                <w:highlight w:val="none"/>
                <w14:textFill>
                  <w14:solidFill>
                    <w14:schemeClr w14:val="tx1"/>
                  </w14:solidFill>
                </w14:textFill>
              </w:rPr>
              <w:t xml:space="preserve">全</w:t>
            </w:r>
            <w:r>
              <w:rPr>
                <w:color w:val="000000" w:themeColor="text1"/>
                <w:spacing w:val="-47"/>
                <w:sz w:val="19"/>
                <w:szCs w:val="19"/>
                <w:highlight w:val="none"/>
                <w14:textFill>
                  <w14:solidFill>
                    <w14:schemeClr w14:val="tx1"/>
                  </w14:solidFill>
                </w14:textFill>
              </w:rPr>
              <w:t xml:space="preserve"> </w:t>
            </w:r>
            <w:r>
              <w:rPr>
                <w:color w:val="000000" w:themeColor="text1"/>
                <w:spacing w:val="25"/>
                <w:sz w:val="19"/>
                <w:szCs w:val="19"/>
                <w:highlight w:val="none"/>
                <w14:textFill>
                  <w14:solidFill>
                    <w14:schemeClr w14:val="tx1"/>
                  </w14:solidFill>
                </w14:textFill>
              </w:rPr>
              <w:t xml:space="preserve">生产</w:t>
            </w:r>
            <w:r>
              <w:rPr>
                <w:color w:val="000000" w:themeColor="text1"/>
                <w:spacing w:val="-47"/>
                <w:sz w:val="19"/>
                <w:szCs w:val="19"/>
                <w:highlight w:val="none"/>
                <w14:textFill>
                  <w14:solidFill>
                    <w14:schemeClr w14:val="tx1"/>
                  </w14:solidFill>
                </w14:textFill>
              </w:rPr>
              <w:t xml:space="preserve"> </w:t>
            </w:r>
            <w:r>
              <w:rPr>
                <w:color w:val="000000" w:themeColor="text1"/>
                <w:spacing w:val="25"/>
                <w:sz w:val="19"/>
                <w:szCs w:val="19"/>
                <w:highlight w:val="none"/>
                <w14:textFill>
                  <w14:solidFill>
                    <w14:schemeClr w14:val="tx1"/>
                  </w14:solidFill>
                </w14:textFill>
              </w:rPr>
              <w:t xml:space="preserve">管理</w:t>
            </w:r>
            <w:r/>
          </w:p>
        </w:tc>
        <w:tc>
          <w:tcPr>
            <w:tcW w:w="7536" w:type="dxa"/>
            <w:vAlign w:val="center"/>
            <w:textDirection w:val="lrTb"/>
            <w:noWrap w:val="false"/>
          </w:tcPr>
          <w:p>
            <w:pPr>
              <w:ind w:left="0" w:right="0" w:firstLine="0"/>
              <w:jc w:val="left"/>
              <w:spacing w:before="19" w:line="240" w:lineRule="auto"/>
              <w:shd w:val="clear" w:color="auto"/>
              <w:widowControl/>
              <w:rPr>
                <w:rFonts w:ascii="宋体" w:hAnsi="宋体" w:eastAsia="宋体" w:cs="宋体"/>
                <w:color w:val="000000" w:themeColor="text1"/>
                <w:spacing w:val="8"/>
                <w:sz w:val="19"/>
                <w:szCs w:val="19"/>
                <w:highlight w:val="none"/>
                <w:lang w:val="en-US" w:eastAsia="en-US" w:bidi="ar-SA"/>
                <w14:textFill>
                  <w14:solidFill>
                    <w14:schemeClr w14:val="tx1"/>
                  </w14:solidFill>
                </w14:textFill>
              </w:rPr>
            </w:pP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16、</w:t>
            </w:r>
            <w:r>
              <w:rPr>
                <w:rFonts w:hint="eastAsia" w:ascii="宋体" w:hAnsi="宋体" w:eastAsia="宋体" w:cs="宋体"/>
                <w:color w:val="000000" w:themeColor="text1"/>
                <w:spacing w:val="8"/>
                <w:sz w:val="19"/>
                <w:szCs w:val="19"/>
                <w:highlight w:val="none"/>
                <w:lang w:val="en-US" w:eastAsia="zh" w:bidi="ar-SA"/>
                <w14:textFill>
                  <w14:solidFill>
                    <w14:schemeClr w14:val="tx1"/>
                  </w14:solidFill>
                </w14:textFill>
              </w:rPr>
              <w:t xml:space="preserve">有健全的安全生产领导组织架构，有</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完善</w:t>
            </w:r>
            <w:r>
              <w:rPr>
                <w:rFonts w:hint="eastAsia" w:ascii="宋体" w:hAnsi="宋体" w:eastAsia="宋体" w:cs="宋体"/>
                <w:color w:val="000000" w:themeColor="text1"/>
                <w:spacing w:val="8"/>
                <w:sz w:val="19"/>
                <w:szCs w:val="19"/>
                <w:highlight w:val="none"/>
                <w:lang w:val="en-US" w:eastAsia="zh" w:bidi="ar-SA"/>
                <w14:textFill>
                  <w14:solidFill>
                    <w14:schemeClr w14:val="tx1"/>
                  </w14:solidFill>
                </w14:textFill>
              </w:rPr>
              <w:t xml:space="preserve">的</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安全管理制度、安全生产</w:t>
            </w:r>
            <w:r>
              <w:rPr>
                <w:rFonts w:hint="eastAsia" w:ascii="宋体" w:hAnsi="宋体" w:eastAsia="宋体" w:cs="宋体"/>
                <w:color w:val="000000" w:themeColor="text1"/>
                <w:spacing w:val="8"/>
                <w:sz w:val="19"/>
                <w:szCs w:val="19"/>
                <w:highlight w:val="none"/>
                <w:lang w:val="en-US" w:eastAsia="zh" w:bidi="ar-SA"/>
                <w14:textFill>
                  <w14:solidFill>
                    <w14:schemeClr w14:val="tx1"/>
                  </w14:solidFill>
                </w14:textFill>
              </w:rPr>
              <w:t xml:space="preserve">岗位</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责任制、安全操作规程、安全检查制度、应急预案等</w:t>
            </w:r>
            <w:r/>
          </w:p>
        </w:tc>
        <w:tc>
          <w:tcPr>
            <w:tcBorders>
              <w:bottom w:val="single" w:color="000000" w:sz="6" w:space="0"/>
            </w:tcBorders>
            <w:tcW w:w="987" w:type="dxa"/>
            <w:vAlign w:val="center"/>
            <w:textDirection w:val="lrTb"/>
            <w:noWrap w:val="false"/>
          </w:tcPr>
          <w:p>
            <w:pPr>
              <w:numPr>
                <w:ilvl w:val="0"/>
                <w:numId w:val="0"/>
              </w:numPr>
              <w:ind w:left="0" w:right="0" w:firstLine="0"/>
              <w:jc w:val="center"/>
              <w:spacing w:before="19" w:line="240" w:lineRule="auto"/>
              <w:shd w:val="clear" w:color="auto"/>
              <w:widowControl/>
              <w:rPr>
                <w:rFonts w:ascii="宋体" w:hAnsi="宋体" w:eastAsia="宋体" w:cs="宋体"/>
                <w:b/>
                <w:bCs/>
                <w:color w:val="000000" w:themeColor="text1"/>
                <w:spacing w:val="5"/>
                <w:sz w:val="19"/>
                <w:szCs w:val="19"/>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未满足一项扣2分，制度不合理一项扣1分</w:t>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widowControl/>
              <w:rPr>
                <w:rFonts w:ascii="宋体" w:hAnsi="宋体" w:eastAsia="宋体" w:cs="宋体"/>
                <w:color w:val="000000" w:themeColor="text1"/>
                <w:spacing w:val="8"/>
                <w:sz w:val="19"/>
                <w:szCs w:val="19"/>
                <w:highlight w:val="none"/>
                <w:lang w:val="en-US" w:eastAsia="en-US" w:bidi="ar-SA"/>
                <w14:textFill>
                  <w14:solidFill>
                    <w14:schemeClr w14:val="tx1"/>
                  </w14:solidFill>
                </w14:textFill>
              </w:rPr>
            </w:pP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17、</w:t>
            </w:r>
            <w:r>
              <w:rPr>
                <w:rFonts w:hint="eastAsia" w:ascii="宋体" w:hAnsi="宋体" w:eastAsia="宋体" w:cs="宋体"/>
                <w:color w:val="000000" w:themeColor="text1"/>
                <w:spacing w:val="8"/>
                <w:sz w:val="19"/>
                <w:szCs w:val="19"/>
                <w:highlight w:val="none"/>
                <w:lang w:val="en-US" w:eastAsia="zh" w:bidi="ar-SA"/>
                <w14:textFill>
                  <w14:solidFill>
                    <w14:schemeClr w14:val="tx1"/>
                  </w14:solidFill>
                </w14:textFill>
              </w:rPr>
              <w:t xml:space="preserve">定期</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开展安全教育、</w:t>
            </w:r>
            <w:r>
              <w:rPr>
                <w:rFonts w:hint="default" w:ascii="宋体" w:hAnsi="宋体" w:eastAsia="宋体" w:cs="宋体"/>
                <w:color w:val="000000" w:themeColor="text1"/>
                <w:spacing w:val="8"/>
                <w:sz w:val="19"/>
                <w:szCs w:val="19"/>
                <w:highlight w:val="none"/>
                <w:lang w:val="en-US" w:eastAsia="en-US" w:bidi="ar-SA"/>
                <w14:textFill>
                  <w14:solidFill>
                    <w14:schemeClr w14:val="tx1"/>
                  </w14:solidFill>
                </w14:textFill>
              </w:rPr>
              <w:t xml:space="preserve">培训</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、应急演练</w:t>
            </w:r>
            <w:r>
              <w:rPr>
                <w:rFonts w:hint="default" w:ascii="宋体" w:hAnsi="宋体" w:eastAsia="宋体" w:cs="宋体"/>
                <w:color w:val="000000" w:themeColor="text1"/>
                <w:spacing w:val="8"/>
                <w:sz w:val="19"/>
                <w:szCs w:val="19"/>
                <w:highlight w:val="none"/>
                <w:lang w:val="en-US" w:eastAsia="en-US" w:bidi="ar-SA"/>
                <w14:textFill>
                  <w14:solidFill>
                    <w14:schemeClr w14:val="tx1"/>
                  </w14:solidFill>
                </w14:textFill>
              </w:rPr>
              <w:t xml:space="preserve">；</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如月度安全会议、</w:t>
            </w:r>
            <w:r>
              <w:rPr>
                <w:rFonts w:hint="default" w:ascii="宋体" w:hAnsi="宋体" w:eastAsia="宋体" w:cs="宋体"/>
                <w:color w:val="000000" w:themeColor="text1"/>
                <w:spacing w:val="8"/>
                <w:sz w:val="19"/>
                <w:szCs w:val="19"/>
                <w:highlight w:val="none"/>
                <w:lang w:val="en-US" w:eastAsia="en-US" w:bidi="ar-SA"/>
                <w14:textFill>
                  <w14:solidFill>
                    <w14:schemeClr w14:val="tx1"/>
                  </w14:solidFill>
                </w14:textFill>
              </w:rPr>
              <w:t xml:space="preserve">新员工</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三级教育</w:t>
            </w:r>
            <w:r>
              <w:rPr>
                <w:rFonts w:hint="default" w:ascii="宋体" w:hAnsi="宋体" w:eastAsia="宋体" w:cs="宋体"/>
                <w:color w:val="000000" w:themeColor="text1"/>
                <w:spacing w:val="8"/>
                <w:sz w:val="19"/>
                <w:szCs w:val="19"/>
                <w:highlight w:val="none"/>
                <w:lang w:val="en-US" w:eastAsia="en-US" w:bidi="ar-SA"/>
                <w14:textFill>
                  <w14:solidFill>
                    <w14:schemeClr w14:val="tx1"/>
                  </w14:solidFill>
                </w14:textFill>
              </w:rPr>
              <w:t xml:space="preserve">、岗位安全培训、特种设备操作培训等。</w:t>
            </w:r>
            <w:r/>
          </w:p>
        </w:tc>
        <w:tc>
          <w:tcPr>
            <w:tcBorders>
              <w:top w:val="single" w:color="000000" w:sz="6" w:space="0"/>
              <w:bottom w:val="single" w:color="000000" w:sz="6" w:space="0"/>
            </w:tcBorders>
            <w:tcW w:w="987" w:type="dxa"/>
            <w:vAlign w:val="center"/>
            <w:textDirection w:val="lrTb"/>
            <w:noWrap w:val="false"/>
          </w:tcPr>
          <w:p>
            <w:pPr>
              <w:numPr>
                <w:ilvl w:val="0"/>
                <w:numId w:val="0"/>
              </w:numPr>
              <w:ind w:right="0"/>
              <w:jc w:val="center"/>
              <w:spacing w:before="19" w:line="240" w:lineRule="auto"/>
              <w:shd w:val="clear" w:color="auto"/>
              <w:widowControl/>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未满足扣2分；</w:t>
            </w:r>
            <w:r/>
          </w:p>
          <w:p>
            <w:pPr>
              <w:ind w:left="0" w:right="0" w:firstLine="0"/>
              <w:jc w:val="center"/>
              <w:spacing w:before="19" w:line="240" w:lineRule="auto"/>
              <w:shd w:val="clear" w:color="auto"/>
              <w:widowControl/>
              <w:rPr>
                <w:rFonts w:ascii="宋体" w:hAnsi="宋体" w:eastAsia="宋体" w:cs="宋体"/>
                <w:b/>
                <w:bCs/>
                <w:color w:val="000000" w:themeColor="text1"/>
                <w:spacing w:val="5"/>
                <w:sz w:val="19"/>
                <w:szCs w:val="19"/>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记录不全、未及时更新扣1分。</w:t>
            </w:r>
            <w:r/>
          </w:p>
        </w:tc>
      </w:tr>
      <w:tr>
        <w:trPr>
          <w:trHeight w:val="3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widowControl/>
              <w:rPr>
                <w:rFonts w:ascii="宋体" w:hAnsi="宋体" w:eastAsia="宋体" w:cs="宋体"/>
                <w:color w:val="000000" w:themeColor="text1"/>
                <w:spacing w:val="8"/>
                <w:sz w:val="19"/>
                <w:szCs w:val="19"/>
                <w:highlight w:val="none"/>
                <w:lang w:val="en-US" w:eastAsia="en-US" w:bidi="ar-SA"/>
                <w14:textFill>
                  <w14:solidFill>
                    <w14:schemeClr w14:val="tx1"/>
                  </w14:solidFill>
                </w14:textFill>
              </w:rPr>
            </w:pP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18、企业主要负责人每月开展一次安全生产</w:t>
            </w:r>
            <w:r>
              <w:rPr>
                <w:rFonts w:hint="default" w:ascii="宋体" w:hAnsi="宋体" w:eastAsia="宋体" w:cs="宋体"/>
                <w:color w:val="000000" w:themeColor="text1"/>
                <w:spacing w:val="8"/>
                <w:sz w:val="19"/>
                <w:szCs w:val="19"/>
                <w:highlight w:val="none"/>
                <w:lang w:val="en-US" w:eastAsia="en-US" w:bidi="ar-SA"/>
                <w14:textFill>
                  <w14:solidFill>
                    <w14:schemeClr w14:val="tx1"/>
                  </w14:solidFill>
                </w14:textFill>
              </w:rPr>
              <w:t xml:space="preserve">检查</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，安全负责人定期开展</w:t>
            </w:r>
            <w:r>
              <w:rPr>
                <w:rFonts w:hint="default" w:ascii="宋体" w:hAnsi="宋体" w:eastAsia="宋体" w:cs="宋体"/>
                <w:color w:val="000000" w:themeColor="text1"/>
                <w:spacing w:val="8"/>
                <w:sz w:val="19"/>
                <w:szCs w:val="19"/>
                <w:highlight w:val="none"/>
                <w:lang w:val="en-US" w:eastAsia="en-US" w:bidi="ar-SA"/>
                <w14:textFill>
                  <w14:solidFill>
                    <w14:schemeClr w14:val="tx1"/>
                  </w14:solidFill>
                </w14:textFill>
              </w:rPr>
              <w:t xml:space="preserve">专项检查、</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节假日</w:t>
            </w:r>
            <w:r>
              <w:rPr>
                <w:rFonts w:hint="default" w:ascii="宋体" w:hAnsi="宋体" w:eastAsia="宋体" w:cs="宋体"/>
                <w:color w:val="000000" w:themeColor="text1"/>
                <w:spacing w:val="8"/>
                <w:sz w:val="19"/>
                <w:szCs w:val="19"/>
                <w:highlight w:val="none"/>
                <w:lang w:val="en-US" w:eastAsia="en-US" w:bidi="ar-SA"/>
                <w14:textFill>
                  <w14:solidFill>
                    <w14:schemeClr w14:val="tx1"/>
                  </w14:solidFill>
                </w14:textFill>
              </w:rPr>
              <w:t xml:space="preserve">检查等，记录内容包括检查时间、检查人员、检查内容、发现的问题及整改情况等</w:t>
            </w:r>
            <w:r/>
          </w:p>
        </w:tc>
        <w:tc>
          <w:tcPr>
            <w:tcBorders>
              <w:top w:val="single" w:color="000000" w:sz="6" w:space="0"/>
              <w:bottom w:val="single" w:color="000000" w:sz="6" w:space="0"/>
            </w:tcBorders>
            <w:tcW w:w="987" w:type="dxa"/>
            <w:vAlign w:val="center"/>
            <w:textDirection w:val="lrTb"/>
            <w:noWrap w:val="false"/>
          </w:tcPr>
          <w:p>
            <w:pPr>
              <w:numPr>
                <w:ilvl w:val="0"/>
                <w:numId w:val="0"/>
              </w:numPr>
              <w:ind w:right="0"/>
              <w:jc w:val="center"/>
              <w:spacing w:before="19" w:line="240" w:lineRule="auto"/>
              <w:shd w:val="clear" w:color="auto"/>
              <w:widowControl/>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未开展检查扣3分；检查记录遗漏扣1分。</w:t>
            </w:r>
            <w:r/>
          </w:p>
          <w:p>
            <w:pPr>
              <w:numPr>
                <w:ilvl w:val="0"/>
                <w:numId w:val="0"/>
              </w:numPr>
              <w:ind w:left="0" w:right="0" w:firstLine="0"/>
              <w:jc w:val="center"/>
              <w:spacing w:before="19" w:line="240" w:lineRule="auto"/>
              <w:shd w:val="clear" w:color="auto"/>
              <w:widowControl/>
              <w:rPr>
                <w:rFonts w:ascii="宋体" w:hAnsi="宋体" w:eastAsia="宋体" w:cs="宋体"/>
                <w:b/>
                <w:bCs/>
                <w:color w:val="000000" w:themeColor="text1"/>
                <w:spacing w:val="5"/>
                <w:sz w:val="19"/>
                <w:szCs w:val="19"/>
                <w:highlight w:val="none"/>
                <w:lang w:val="en-US" w:eastAsia="en-US" w:bidi="ar-SA"/>
                <w14:textFill>
                  <w14:solidFill>
                    <w14:schemeClr w14:val="tx1"/>
                  </w14:solidFill>
                </w14:textFill>
              </w:rPr>
            </w:pPr>
            <w:r>
              <w:rPr>
                <w:rFonts w:ascii="宋体" w:hAnsi="宋体" w:eastAsia="宋体" w:cs="宋体"/>
                <w:b/>
                <w:bCs/>
                <w:color w:val="000000" w:themeColor="text1"/>
                <w:spacing w:val="5"/>
                <w:sz w:val="19"/>
                <w:szCs w:val="19"/>
                <w:highlight w:val="none"/>
                <w:lang w:val="en-US" w:eastAsia="en-US" w:bidi="ar-SA"/>
                <w14:textFill>
                  <w14:solidFill>
                    <w14:schemeClr w14:val="tx1"/>
                  </w14:solidFill>
                </w14:textFill>
              </w:rPr>
            </w:r>
            <w:r/>
          </w:p>
        </w:tc>
      </w:tr>
      <w:tr>
        <w:trPr>
          <w:trHeight w:val="1353"/>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widowControl/>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19、</w:t>
            </w:r>
            <w:r>
              <w:rPr>
                <w:rFonts w:hint="eastAsia" w:ascii="宋体" w:hAnsi="宋体" w:eastAsia="宋体" w:cs="宋体"/>
                <w:color w:val="000000" w:themeColor="text1"/>
                <w:spacing w:val="8"/>
                <w:sz w:val="19"/>
                <w:szCs w:val="19"/>
                <w:highlight w:val="none"/>
                <w:lang w:val="en-US" w:eastAsia="zh" w:bidi="ar-SA"/>
                <w14:textFill>
                  <w14:solidFill>
                    <w14:schemeClr w14:val="tx1"/>
                  </w14:solidFill>
                </w14:textFill>
              </w:rPr>
              <w:t xml:space="preserve">每年</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按规定计提</w:t>
            </w:r>
            <w:r>
              <w:rPr>
                <w:rFonts w:hint="eastAsia" w:ascii="宋体" w:hAnsi="宋体" w:eastAsia="宋体" w:cs="宋体"/>
                <w:color w:val="000000" w:themeColor="text1"/>
                <w:spacing w:val="8"/>
                <w:sz w:val="19"/>
                <w:szCs w:val="19"/>
                <w:highlight w:val="none"/>
                <w:lang w:val="en-US" w:eastAsia="zh" w:bidi="ar-SA"/>
                <w14:textFill>
                  <w14:solidFill>
                    <w14:schemeClr w14:val="tx1"/>
                  </w14:solidFill>
                </w14:textFill>
              </w:rPr>
              <w:t xml:space="preserve">并使用</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安全生产</w:t>
            </w:r>
            <w:r>
              <w:rPr>
                <w:rFonts w:hint="eastAsia" w:ascii="宋体" w:hAnsi="宋体" w:eastAsia="宋体" w:cs="宋体"/>
                <w:color w:val="000000" w:themeColor="text1"/>
                <w:spacing w:val="8"/>
                <w:sz w:val="19"/>
                <w:szCs w:val="19"/>
                <w:highlight w:val="none"/>
                <w:lang w:val="en-US" w:eastAsia="zh" w:bidi="ar-SA"/>
                <w14:textFill>
                  <w14:solidFill>
                    <w14:schemeClr w14:val="tx1"/>
                  </w14:solidFill>
                </w14:textFill>
              </w:rPr>
              <w:t xml:space="preserve">专项经费</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w:t>
            </w:r>
            <w:r/>
          </w:p>
        </w:tc>
        <w:tc>
          <w:tcPr>
            <w:tcBorders>
              <w:top w:val="single" w:color="000000" w:sz="6" w:space="0"/>
            </w:tcBorders>
            <w:tcW w:w="987" w:type="dxa"/>
            <w:vAlign w:val="center"/>
            <w:textDirection w:val="lrTb"/>
            <w:noWrap w:val="false"/>
          </w:tcPr>
          <w:p>
            <w:pPr>
              <w:numPr>
                <w:ilvl w:val="0"/>
                <w:numId w:val="0"/>
              </w:numPr>
              <w:ind w:right="0"/>
              <w:jc w:val="center"/>
              <w:spacing w:before="19" w:line="240" w:lineRule="auto"/>
              <w:shd w:val="clear" w:color="auto"/>
              <w:widowControl/>
              <w:rPr>
                <w:rFonts w:hint="default" w:ascii="宋体" w:hAnsi="宋体" w:eastAsia="宋体" w:cs="宋体"/>
                <w:b/>
                <w:bCs/>
                <w:color w:val="000000" w:themeColor="text1"/>
                <w:spacing w:val="5"/>
                <w:sz w:val="19"/>
                <w:szCs w:val="19"/>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未满足扣5分；不规范使用</w:t>
            </w:r>
            <w:r>
              <w:rPr>
                <w:rFonts w:hint="eastAsia" w:ascii="宋体" w:hAnsi="宋体" w:eastAsia="宋体" w:cs="宋体"/>
                <w:b/>
                <w:bCs/>
                <w:color w:val="000000" w:themeColor="text1"/>
                <w:spacing w:val="5"/>
                <w:sz w:val="19"/>
                <w:szCs w:val="19"/>
                <w:highlight w:val="none"/>
                <w:lang w:val="en-US" w:eastAsia="zh" w:bidi="ar-SA"/>
                <w14:textFill>
                  <w14:solidFill>
                    <w14:schemeClr w14:val="tx1"/>
                  </w14:solidFill>
                </w14:textFill>
              </w:rPr>
              <w:t xml:space="preserve">经费</w:t>
            </w:r>
            <w:r>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一项扣2分</w:t>
            </w:r>
            <w:r/>
          </w:p>
          <w:p>
            <w:pPr>
              <w:numPr>
                <w:ilvl w:val="0"/>
                <w:numId w:val="0"/>
              </w:numPr>
              <w:ind w:left="0" w:right="0" w:firstLine="0"/>
              <w:jc w:val="center"/>
              <w:spacing w:before="19" w:line="240" w:lineRule="auto"/>
              <w:shd w:val="clear" w:color="auto"/>
              <w:widowControl/>
              <w:rPr>
                <w:rFonts w:ascii="宋体" w:hAnsi="宋体" w:eastAsia="宋体" w:cs="宋体"/>
                <w:b/>
                <w:bCs/>
                <w:color w:val="000000" w:themeColor="text1"/>
                <w:spacing w:val="5"/>
                <w:sz w:val="19"/>
                <w:szCs w:val="19"/>
                <w:highlight w:val="none"/>
                <w:lang w:val="en-US" w:eastAsia="en-US" w:bidi="ar-SA"/>
                <w14:textFill>
                  <w14:solidFill>
                    <w14:schemeClr w14:val="tx1"/>
                  </w14:solidFill>
                </w14:textFill>
              </w:rPr>
            </w:pPr>
            <w:r>
              <w:rPr>
                <w:rFonts w:ascii="宋体" w:hAnsi="宋体" w:eastAsia="宋体" w:cs="宋体"/>
                <w:b/>
                <w:bCs/>
                <w:color w:val="000000" w:themeColor="text1"/>
                <w:spacing w:val="5"/>
                <w:sz w:val="19"/>
                <w:szCs w:val="19"/>
                <w:highlight w:val="none"/>
                <w:lang w:val="en-US" w:eastAsia="en-US" w:bidi="ar-SA"/>
                <w14:textFill>
                  <w14:solidFill>
                    <w14:schemeClr w14:val="tx1"/>
                  </w14:solidFill>
                </w14:textFill>
              </w:rPr>
            </w:r>
            <w:r/>
          </w:p>
        </w:tc>
      </w:tr>
      <w:tr>
        <w:trPr>
          <w:trHeight w:val="784"/>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widowControl/>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20、</w:t>
            </w:r>
            <w:r>
              <w:rPr>
                <w:rFonts w:hint="default"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按规定配备足够的安全员(</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人数少于30</w:t>
            </w:r>
            <w:r>
              <w:rPr>
                <w:rFonts w:hint="default"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名员工至少1名安全员</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，人数30到100名员工的</w:t>
            </w:r>
            <w:r>
              <w:rPr>
                <w:rFonts w:hint="default"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至少</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2</w:t>
            </w:r>
            <w:r>
              <w:rPr>
                <w:rFonts w:hint="default"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名安全员</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，人数100到300名员工的</w:t>
            </w:r>
            <w:r>
              <w:rPr>
                <w:rFonts w:hint="default"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至少</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3</w:t>
            </w:r>
            <w:r>
              <w:rPr>
                <w:rFonts w:hint="default"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名安全员</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w:t>
            </w:r>
            <w:r/>
          </w:p>
        </w:tc>
        <w:tc>
          <w:tcPr>
            <w:tcBorders>
              <w:top w:val="none" w:color="000000" w:sz="4" w:space="0"/>
            </w:tcBorders>
            <w:tcW w:w="987" w:type="dxa"/>
            <w:vAlign w:val="center"/>
            <w:textDirection w:val="lrTb"/>
            <w:noWrap w:val="false"/>
          </w:tcPr>
          <w:p>
            <w:pPr>
              <w:ind w:left="0" w:right="0" w:firstLine="0"/>
              <w:jc w:val="center"/>
              <w:spacing w:before="19" w:line="240" w:lineRule="auto"/>
              <w:shd w:val="clear" w:color="auto"/>
              <w:widowControl/>
              <w:rPr>
                <w:rFonts w:ascii="宋体" w:hAnsi="宋体" w:eastAsia="宋体" w:cs="宋体"/>
                <w:b/>
                <w:bCs/>
                <w:color w:val="000000" w:themeColor="text1"/>
                <w:spacing w:val="5"/>
                <w:sz w:val="19"/>
                <w:szCs w:val="19"/>
                <w:highlight w:val="none"/>
                <w:lang w:val="en-US" w:eastAsia="en-US" w:bidi="ar-SA"/>
                <w14:textFill>
                  <w14:solidFill>
                    <w14:schemeClr w14:val="tx1"/>
                  </w14:solidFill>
                </w14:textFill>
              </w:rPr>
            </w:pPr>
            <w:r>
              <w:rPr>
                <w:rFonts w:hint="default"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每缺少一名安全员，扣</w:t>
            </w:r>
            <w:r>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3</w:t>
            </w:r>
            <w:r>
              <w:rPr>
                <w:rFonts w:hint="default"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分</w:t>
            </w:r>
            <w:r>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w:t>
            </w:r>
            <w:r/>
          </w:p>
        </w:tc>
      </w:tr>
      <w:tr>
        <w:trPr>
          <w:trHeight w:val="109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widowControl/>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21、</w:t>
            </w:r>
            <w:r>
              <w:rPr>
                <w:rFonts w:hint="default"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特种作业人员</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需</w:t>
            </w:r>
            <w:r>
              <w:rPr>
                <w:rFonts w:hint="default"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持有有效特种作业操作证</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上岗</w:t>
            </w:r>
            <w:r>
              <w:rPr>
                <w:rFonts w:hint="eastAsia" w:ascii="宋体" w:hAnsi="宋体" w:eastAsia="宋体" w:cs="宋体"/>
                <w:color w:val="000000" w:themeColor="text1"/>
                <w:spacing w:val="8"/>
                <w:sz w:val="19"/>
                <w:szCs w:val="19"/>
                <w:highlight w:val="none"/>
                <w:lang w:val="en-US" w:eastAsia="zh" w:bidi="ar-SA"/>
                <w14:textFill>
                  <w14:solidFill>
                    <w14:schemeClr w14:val="tx1"/>
                  </w14:solidFill>
                </w14:textFill>
              </w:rPr>
              <w:t xml:space="preserve">，开展特种作业需严格履行报批手续</w:t>
            </w: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w:t>
            </w:r>
            <w:r/>
          </w:p>
        </w:tc>
        <w:tc>
          <w:tcPr>
            <w:tcBorders>
              <w:top w:val="none" w:color="000000" w:sz="4" w:space="0"/>
            </w:tcBorders>
            <w:tcW w:w="987" w:type="dxa"/>
            <w:vAlign w:val="center"/>
            <w:textDirection w:val="lrTb"/>
            <w:noWrap w:val="false"/>
          </w:tcPr>
          <w:p>
            <w:pPr>
              <w:ind w:left="0" w:right="0" w:firstLine="0"/>
              <w:jc w:val="center"/>
              <w:spacing w:before="19" w:line="240" w:lineRule="auto"/>
              <w:shd w:val="clear" w:color="auto"/>
              <w:widowControl/>
              <w:rPr>
                <w:rFonts w:ascii="宋体" w:hAnsi="宋体" w:eastAsia="宋体" w:cs="宋体"/>
                <w:b/>
                <w:bCs/>
                <w:color w:val="000000" w:themeColor="text1"/>
                <w:spacing w:val="5"/>
                <w:sz w:val="19"/>
                <w:szCs w:val="19"/>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未满足一项扣3分</w:t>
            </w:r>
            <w:r/>
          </w:p>
        </w:tc>
      </w:tr>
      <w:tr>
        <w:trPr>
          <w:trHeight w:val="865"/>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widowControl/>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19"/>
                <w:szCs w:val="19"/>
                <w:highlight w:val="none"/>
                <w:lang w:val="en-US" w:eastAsia="zh-CN" w:bidi="ar-SA"/>
                <w14:textFill>
                  <w14:solidFill>
                    <w14:schemeClr w14:val="tx1"/>
                  </w14:solidFill>
                </w14:textFill>
              </w:rPr>
              <w:t xml:space="preserve">22、配备合规足量的消防器具</w:t>
            </w:r>
            <w:r/>
          </w:p>
        </w:tc>
        <w:tc>
          <w:tcPr>
            <w:tcBorders>
              <w:top w:val="none" w:color="000000" w:sz="4" w:space="0"/>
            </w:tcBorders>
            <w:tcW w:w="987" w:type="dxa"/>
            <w:vAlign w:val="center"/>
            <w:textDirection w:val="lrTb"/>
            <w:noWrap w:val="false"/>
          </w:tcPr>
          <w:p>
            <w:pPr>
              <w:ind w:left="0" w:right="0" w:firstLine="0"/>
              <w:jc w:val="center"/>
              <w:spacing w:before="19" w:line="240" w:lineRule="auto"/>
              <w:shd w:val="clear" w:color="auto"/>
              <w:widowControl/>
              <w:rPr>
                <w:rFonts w:ascii="宋体" w:hAnsi="宋体" w:eastAsia="宋体" w:cs="宋体"/>
                <w:b/>
                <w:bCs/>
                <w:color w:val="000000" w:themeColor="text1"/>
                <w:spacing w:val="5"/>
                <w:sz w:val="19"/>
                <w:szCs w:val="19"/>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5"/>
                <w:sz w:val="19"/>
                <w:szCs w:val="19"/>
                <w:highlight w:val="none"/>
                <w:lang w:val="en-US" w:eastAsia="zh-CN" w:bidi="ar-SA"/>
                <w14:textFill>
                  <w14:solidFill>
                    <w14:schemeClr w14:val="tx1"/>
                  </w14:solidFill>
                </w14:textFill>
              </w:rPr>
              <w:t xml:space="preserve">未满足一项扣2分</w:t>
            </w:r>
            <w:r/>
          </w:p>
        </w:tc>
      </w:tr>
      <w:tr>
        <w:trPr>
          <w:trHeight w:val="388"/>
        </w:trPr>
        <w:tc>
          <w:tcPr>
            <w:gridSpan w:val="5"/>
            <w:tcW w:w="9760" w:type="dxa"/>
            <w:vAlign w:val="top"/>
            <w:textDirection w:val="lrTb"/>
            <w:noWrap w:val="false"/>
          </w:tcPr>
          <w:p>
            <w:pPr>
              <w:pStyle w:val="1256"/>
              <w:ind w:left="58"/>
              <w:spacing w:before="115" w:line="227" w:lineRule="auto"/>
              <w:shd w:val="clear" w:color="auto"/>
              <w:rPr>
                <w:color w:val="000000" w:themeColor="text1"/>
                <w:sz w:val="19"/>
                <w:szCs w:val="19"/>
                <w:highlight w:val="none"/>
                <w14:textFill>
                  <w14:solidFill>
                    <w14:schemeClr w14:val="tx1"/>
                  </w14:solidFill>
                </w14:textFill>
              </w:rPr>
            </w:pPr>
            <w:r>
              <w:rPr>
                <w:b/>
                <w:bCs/>
                <w:color w:val="000000" w:themeColor="text1"/>
                <w:spacing w:val="1"/>
                <w:sz w:val="19"/>
                <w:szCs w:val="19"/>
                <w:highlight w:val="none"/>
                <w14:textFill>
                  <w14:solidFill>
                    <w14:schemeClr w14:val="tx1"/>
                  </w14:solidFill>
                </w14:textFill>
              </w:rPr>
              <w:t xml:space="preserve">附加分</w:t>
            </w:r>
            <w:r/>
          </w:p>
        </w:tc>
      </w:tr>
      <w:tr>
        <w:trPr>
          <w:trHeight w:val="596"/>
        </w:trPr>
        <w:tc>
          <w:tcPr>
            <w:tcW w:w="410" w:type="dxa"/>
            <w:vAlign w:val="top"/>
            <w:vMerge w:val="restart"/>
            <w:textDirection w:val="lrTb"/>
            <w:noWrap w:val="false"/>
          </w:tcPr>
          <w:p>
            <w:pPr>
              <w:jc w:val="center"/>
              <w:shd w:val="clear" w:color="auto"/>
              <w:rPr>
                <w:rFonts w:hint="eastAsia" w:eastAsia="宋体"/>
                <w:color w:val="000000" w:themeColor="text1"/>
                <w:sz w:val="21"/>
                <w:highlight w:val="none"/>
                <w:lang w:val="en-US" w:eastAsia="zh-CN"/>
                <w14:textFill>
                  <w14:solidFill>
                    <w14:schemeClr w14:val="tx1"/>
                  </w14:solidFill>
                </w14:textFill>
              </w:rPr>
            </w:pPr>
            <w:r>
              <w:rPr>
                <w:rFonts w:hint="eastAsia" w:eastAsia="宋体"/>
                <w:color w:val="000000" w:themeColor="text1"/>
                <w:sz w:val="21"/>
                <w:highlight w:val="none"/>
                <w:lang w:val="en-US" w:eastAsia="zh-CN"/>
                <w14:textFill>
                  <w14:solidFill>
                    <w14:schemeClr w14:val="tx1"/>
                  </w14:solidFill>
                </w14:textFill>
              </w:rPr>
            </w:r>
            <w:r/>
          </w:p>
          <w:p>
            <w:pPr>
              <w:jc w:val="center"/>
              <w:shd w:val="clear" w:color="auto"/>
              <w:rPr>
                <w:rFonts w:hint="eastAsia" w:eastAsia="宋体"/>
                <w:color w:val="000000" w:themeColor="text1"/>
                <w:sz w:val="21"/>
                <w:highlight w:val="none"/>
                <w:lang w:val="en-US" w:eastAsia="zh-CN"/>
                <w14:textFill>
                  <w14:solidFill>
                    <w14:schemeClr w14:val="tx1"/>
                  </w14:solidFill>
                </w14:textFill>
              </w:rPr>
            </w:pPr>
            <w:r>
              <w:rPr>
                <w:rFonts w:hint="eastAsia" w:eastAsia="宋体"/>
                <w:color w:val="000000" w:themeColor="text1"/>
                <w:sz w:val="21"/>
                <w:highlight w:val="none"/>
                <w:lang w:val="en-US" w:eastAsia="zh-CN"/>
                <w14:textFill>
                  <w14:solidFill>
                    <w14:schemeClr w14:val="tx1"/>
                  </w14:solidFill>
                </w14:textFill>
              </w:rPr>
            </w:r>
            <w:r/>
          </w:p>
          <w:p>
            <w:pPr>
              <w:jc w:val="center"/>
              <w:shd w:val="clear" w:color="auto"/>
              <w:rPr>
                <w:rFonts w:hint="eastAsia" w:eastAsia="宋体"/>
                <w:color w:val="000000" w:themeColor="text1"/>
                <w:sz w:val="21"/>
                <w:highlight w:val="none"/>
                <w:lang w:val="en-US" w:eastAsia="zh-CN"/>
                <w14:textFill>
                  <w14:solidFill>
                    <w14:schemeClr w14:val="tx1"/>
                  </w14:solidFill>
                </w14:textFill>
              </w:rPr>
            </w:pPr>
            <w:r>
              <w:rPr>
                <w:rFonts w:hint="eastAsia" w:eastAsia="宋体"/>
                <w:color w:val="000000" w:themeColor="text1"/>
                <w:sz w:val="21"/>
                <w:highlight w:val="none"/>
                <w:lang w:val="en-US" w:eastAsia="zh-CN"/>
                <w14:textFill>
                  <w14:solidFill>
                    <w14:schemeClr w14:val="tx1"/>
                  </w14:solidFill>
                </w14:textFill>
              </w:rPr>
            </w:r>
            <w:r/>
          </w:p>
          <w:p>
            <w:pPr>
              <w:jc w:val="both"/>
              <w:shd w:val="clear" w:color="auto"/>
              <w:rPr>
                <w:rFonts w:hint="eastAsia" w:ascii="Arial" w:eastAsia="宋体"/>
                <w:color w:val="000000" w:themeColor="text1"/>
                <w:sz w:val="21"/>
                <w:highlight w:val="none"/>
                <w:lang w:val="en-US" w:eastAsia="zh-CN"/>
                <w14:textFill>
                  <w14:solidFill>
                    <w14:schemeClr w14:val="tx1"/>
                  </w14:solidFill>
                </w14:textFill>
              </w:rPr>
            </w:pPr>
            <w:r>
              <w:rPr>
                <w:rFonts w:hint="eastAsia" w:eastAsia="宋体"/>
                <w:color w:val="000000" w:themeColor="text1"/>
                <w:sz w:val="21"/>
                <w:highlight w:val="none"/>
                <w:lang w:val="en-US" w:eastAsia="zh-CN"/>
                <w14:textFill>
                  <w14:solidFill>
                    <w14:schemeClr w14:val="tx1"/>
                  </w14:solidFill>
                </w14:textFill>
              </w:rPr>
              <w:t xml:space="preserve">一</w:t>
            </w:r>
            <w:r/>
          </w:p>
        </w:tc>
        <w:tc>
          <w:tcPr>
            <w:tcW w:w="400" w:type="dxa"/>
            <w:vAlign w:val="top"/>
            <w:vMerge w:val="restart"/>
            <w:textDirection w:val="lrTb"/>
            <w:noWrap w:val="false"/>
          </w:tcPr>
          <w:p>
            <w:pPr>
              <w:jc w:val="center"/>
              <w:shd w:val="clear" w:color="auto"/>
              <w:rPr>
                <w:rFonts w:hint="eastAsia" w:eastAsia="宋体"/>
                <w:color w:val="000000" w:themeColor="text1"/>
                <w:sz w:val="21"/>
                <w:highlight w:val="none"/>
                <w:lang w:val="en-US" w:eastAsia="zh-CN"/>
                <w14:textFill>
                  <w14:solidFill>
                    <w14:schemeClr w14:val="tx1"/>
                  </w14:solidFill>
                </w14:textFill>
              </w:rPr>
            </w:pPr>
            <w:r>
              <w:rPr>
                <w:rFonts w:hint="eastAsia" w:eastAsia="宋体"/>
                <w:color w:val="000000" w:themeColor="text1"/>
                <w:sz w:val="21"/>
                <w:highlight w:val="none"/>
                <w:lang w:val="en-US" w:eastAsia="zh-CN"/>
                <w14:textFill>
                  <w14:solidFill>
                    <w14:schemeClr w14:val="tx1"/>
                  </w14:solidFill>
                </w14:textFill>
              </w:rPr>
            </w:r>
            <w:r/>
          </w:p>
          <w:p>
            <w:pPr>
              <w:jc w:val="center"/>
              <w:shd w:val="clear" w:color="auto"/>
              <w:rPr>
                <w:rFonts w:hint="eastAsia" w:eastAsia="宋体"/>
                <w:color w:val="000000" w:themeColor="text1"/>
                <w:sz w:val="21"/>
                <w:highlight w:val="none"/>
                <w:lang w:val="en-US" w:eastAsia="zh-CN"/>
                <w14:textFill>
                  <w14:solidFill>
                    <w14:schemeClr w14:val="tx1"/>
                  </w14:solidFill>
                </w14:textFill>
              </w:rPr>
            </w:pPr>
            <w:r>
              <w:rPr>
                <w:rFonts w:hint="eastAsia" w:eastAsia="宋体"/>
                <w:color w:val="000000" w:themeColor="text1"/>
                <w:sz w:val="21"/>
                <w:highlight w:val="none"/>
                <w:lang w:val="en-US" w:eastAsia="zh-CN"/>
                <w14:textFill>
                  <w14:solidFill>
                    <w14:schemeClr w14:val="tx1"/>
                  </w14:solidFill>
                </w14:textFill>
              </w:rPr>
            </w:r>
            <w:r/>
          </w:p>
          <w:p>
            <w:pPr>
              <w:jc w:val="center"/>
              <w:shd w:val="clear" w:color="auto"/>
              <w:rPr>
                <w:rFonts w:hint="eastAsia" w:eastAsia="宋体"/>
                <w:color w:val="000000" w:themeColor="text1"/>
                <w:sz w:val="21"/>
                <w:highlight w:val="none"/>
                <w:lang w:val="en-US" w:eastAsia="zh-CN"/>
                <w14:textFill>
                  <w14:solidFill>
                    <w14:schemeClr w14:val="tx1"/>
                  </w14:solidFill>
                </w14:textFill>
              </w:rPr>
            </w:pPr>
            <w:r>
              <w:rPr>
                <w:rFonts w:hint="eastAsia" w:eastAsia="宋体"/>
                <w:color w:val="000000" w:themeColor="text1"/>
                <w:sz w:val="21"/>
                <w:highlight w:val="none"/>
                <w:lang w:val="en-US" w:eastAsia="zh-CN"/>
                <w14:textFill>
                  <w14:solidFill>
                    <w14:schemeClr w14:val="tx1"/>
                  </w14:solidFill>
                </w14:textFill>
              </w:rPr>
            </w:r>
            <w:r/>
          </w:p>
          <w:p>
            <w:pPr>
              <w:jc w:val="center"/>
              <w:shd w:val="clear" w:color="auto"/>
              <w:rPr>
                <w:rFonts w:hint="default" w:ascii="Arial" w:eastAsia="宋体"/>
                <w:color w:val="000000" w:themeColor="text1"/>
                <w:sz w:val="21"/>
                <w:highlight w:val="none"/>
                <w:lang w:val="en-US" w:eastAsia="zh-CN"/>
                <w14:textFill>
                  <w14:solidFill>
                    <w14:schemeClr w14:val="tx1"/>
                  </w14:solidFill>
                </w14:textFill>
              </w:rPr>
            </w:pPr>
            <w:r>
              <w:rPr>
                <w:rFonts w:hint="eastAsia" w:eastAsia="宋体"/>
                <w:color w:val="000000" w:themeColor="text1"/>
                <w:sz w:val="21"/>
                <w:highlight w:val="none"/>
                <w:lang w:val="en-US" w:eastAsia="zh-CN"/>
                <w14:textFill>
                  <w14:solidFill>
                    <w14:schemeClr w14:val="tx1"/>
                  </w14:solidFill>
                </w14:textFill>
              </w:rPr>
              <w:t xml:space="preserve">10</w:t>
            </w:r>
            <w:r/>
          </w:p>
        </w:tc>
        <w:tc>
          <w:tcPr>
            <w:tcW w:w="427" w:type="dxa"/>
            <w:vAlign w:val="top"/>
            <w:vMerge w:val="restart"/>
            <w:textDirection w:val="lrTb"/>
            <w:noWrap w:val="false"/>
          </w:tcPr>
          <w:p>
            <w:pPr>
              <w:jc w:val="center"/>
              <w:shd w:val="clear" w:color="auto"/>
              <w:rPr>
                <w:rFonts w:hint="eastAsia" w:eastAsia="宋体"/>
                <w:color w:val="000000" w:themeColor="text1"/>
                <w:sz w:val="21"/>
                <w:highlight w:val="none"/>
                <w:lang w:val="en-US" w:eastAsia="zh-CN"/>
                <w14:textFill>
                  <w14:solidFill>
                    <w14:schemeClr w14:val="tx1"/>
                  </w14:solidFill>
                </w14:textFill>
              </w:rPr>
            </w:pPr>
            <w:r>
              <w:rPr>
                <w:rFonts w:hint="eastAsia" w:eastAsia="宋体"/>
                <w:color w:val="000000" w:themeColor="text1"/>
                <w:sz w:val="21"/>
                <w:highlight w:val="none"/>
                <w:lang w:val="en-US" w:eastAsia="zh-CN"/>
                <w14:textFill>
                  <w14:solidFill>
                    <w14:schemeClr w14:val="tx1"/>
                  </w14:solidFill>
                </w14:textFill>
              </w:rPr>
            </w:r>
            <w:r/>
          </w:p>
          <w:p>
            <w:pPr>
              <w:jc w:val="center"/>
              <w:shd w:val="clear" w:color="auto"/>
              <w:rPr>
                <w:rFonts w:hint="eastAsia" w:eastAsia="宋体"/>
                <w:color w:val="000000" w:themeColor="text1"/>
                <w:sz w:val="21"/>
                <w:highlight w:val="none"/>
                <w:lang w:val="en-US" w:eastAsia="zh-CN"/>
                <w14:textFill>
                  <w14:solidFill>
                    <w14:schemeClr w14:val="tx1"/>
                  </w14:solidFill>
                </w14:textFill>
              </w:rPr>
            </w:pPr>
            <w:r>
              <w:rPr>
                <w:rFonts w:hint="eastAsia" w:eastAsia="宋体"/>
                <w:color w:val="000000" w:themeColor="text1"/>
                <w:sz w:val="21"/>
                <w:highlight w:val="none"/>
                <w:lang w:val="en-US" w:eastAsia="zh-CN"/>
                <w14:textFill>
                  <w14:solidFill>
                    <w14:schemeClr w14:val="tx1"/>
                  </w14:solidFill>
                </w14:textFill>
              </w:rPr>
            </w:r>
            <w:r/>
          </w:p>
          <w:p>
            <w:pPr>
              <w:jc w:val="center"/>
              <w:shd w:val="clear" w:color="auto"/>
              <w:rPr>
                <w:rFonts w:hint="default" w:ascii="Arial" w:eastAsia="宋体"/>
                <w:color w:val="000000" w:themeColor="text1"/>
                <w:sz w:val="21"/>
                <w:highlight w:val="none"/>
                <w:lang w:val="en-US" w:eastAsia="zh-CN"/>
                <w14:textFill>
                  <w14:solidFill>
                    <w14:schemeClr w14:val="tx1"/>
                  </w14:solidFill>
                </w14:textFill>
              </w:rPr>
            </w:pPr>
            <w:r>
              <w:rPr>
                <w:rFonts w:hint="eastAsia" w:eastAsia="宋体"/>
                <w:color w:val="000000" w:themeColor="text1"/>
                <w:sz w:val="21"/>
                <w:highlight w:val="none"/>
                <w:lang w:val="en-US" w:eastAsia="zh-CN"/>
                <w14:textFill>
                  <w14:solidFill>
                    <w14:schemeClr w14:val="tx1"/>
                  </w14:solidFill>
                </w14:textFill>
              </w:rPr>
              <w:t xml:space="preserve">加分项目</w:t>
            </w:r>
            <w:r/>
          </w:p>
        </w:tc>
        <w:tc>
          <w:tcPr>
            <w:tcW w:w="7536" w:type="dxa"/>
            <w:vAlign w:val="top"/>
            <w:textDirection w:val="lrTb"/>
            <w:noWrap w:val="false"/>
          </w:tcPr>
          <w:p>
            <w:pPr>
              <w:pStyle w:val="1256"/>
              <w:ind w:left="50" w:right="9" w:hanging="1"/>
              <w:spacing w:before="90" w:line="234" w:lineRule="auto"/>
              <w:shd w:val="clear" w:color="auto"/>
              <w:rPr>
                <w:color w:val="000000" w:themeColor="text1"/>
                <w:sz w:val="19"/>
                <w:szCs w:val="19"/>
                <w:highlight w:val="none"/>
                <w14:textFill>
                  <w14:solidFill>
                    <w14:schemeClr w14:val="tx1"/>
                  </w14:solidFill>
                </w14:textFill>
              </w:rPr>
            </w:pPr>
            <w:r>
              <w:rPr>
                <w:color w:val="000000" w:themeColor="text1"/>
                <w:spacing w:val="14"/>
                <w:sz w:val="19"/>
                <w:szCs w:val="19"/>
                <w:highlight w:val="none"/>
                <w14:textFill>
                  <w14:solidFill>
                    <w14:schemeClr w14:val="tx1"/>
                  </w14:solidFill>
                </w14:textFill>
              </w:rPr>
              <w:t xml:space="preserve">1、养护公司因排水设施管理、养护方面、防汛应急成绩突出，在市级以上媒体宣传</w:t>
            </w:r>
            <w:r>
              <w:rPr>
                <w:color w:val="000000" w:themeColor="text1"/>
                <w:spacing w:val="7"/>
                <w:sz w:val="19"/>
                <w:szCs w:val="19"/>
                <w:highlight w:val="none"/>
                <w14:textFill>
                  <w14:solidFill>
                    <w14:schemeClr w14:val="tx1"/>
                  </w14:solidFill>
                </w14:textFill>
              </w:rPr>
              <w:t xml:space="preserve"> </w:t>
            </w:r>
            <w:r>
              <w:rPr>
                <w:color w:val="000000" w:themeColor="text1"/>
                <w:spacing w:val="8"/>
                <w:sz w:val="19"/>
                <w:szCs w:val="19"/>
                <w:highlight w:val="none"/>
                <w14:textFill>
                  <w14:solidFill>
                    <w14:schemeClr w14:val="tx1"/>
                  </w14:solidFill>
                </w14:textFill>
              </w:rPr>
              <w:t xml:space="preserve">的；受到上级部门专门表扬的，每次加1-2分</w:t>
            </w:r>
            <w:r>
              <w:rPr>
                <w:color w:val="000000" w:themeColor="text1"/>
                <w:spacing w:val="7"/>
                <w:sz w:val="19"/>
                <w:szCs w:val="19"/>
                <w:highlight w:val="none"/>
                <w14:textFill>
                  <w14:solidFill>
                    <w14:schemeClr w14:val="tx1"/>
                  </w14:solidFill>
                </w14:textFill>
              </w:rPr>
              <w:t xml:space="preserve">，当月考核累计最高加4分。</w:t>
            </w:r>
            <w:r/>
          </w:p>
        </w:tc>
        <w:tc>
          <w:tcPr>
            <w:tcW w:w="987" w:type="dxa"/>
            <w:vAlign w:val="top"/>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9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50" w:right="9" w:hanging="1"/>
              <w:spacing w:before="90" w:line="234" w:lineRule="auto"/>
              <w:shd w:val="clear" w:color="auto"/>
              <w:rPr>
                <w:color w:val="000000" w:themeColor="text1"/>
                <w:spacing w:val="14"/>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2、养护公司应积极参与创优、创新、文明施工竞</w:t>
            </w:r>
            <w:r>
              <w:rPr>
                <w:color w:val="000000" w:themeColor="text1"/>
                <w:spacing w:val="8"/>
                <w:sz w:val="19"/>
                <w:szCs w:val="19"/>
                <w:highlight w:val="none"/>
                <w14:textFill>
                  <w14:solidFill>
                    <w14:schemeClr w14:val="tx1"/>
                  </w14:solidFill>
                </w14:textFill>
              </w:rPr>
              <w:t xml:space="preserve">赛等各类评比活动。参与各类评比活</w:t>
            </w:r>
            <w:r>
              <w:rPr>
                <w:color w:val="000000" w:themeColor="text1"/>
                <w:sz w:val="19"/>
                <w:szCs w:val="19"/>
                <w:highlight w:val="none"/>
                <w14:textFill>
                  <w14:solidFill>
                    <w14:schemeClr w14:val="tx1"/>
                  </w14:solidFill>
                </w14:textFill>
              </w:rPr>
              <w:t xml:space="preserve"> </w:t>
            </w:r>
            <w:r>
              <w:rPr>
                <w:color w:val="000000" w:themeColor="text1"/>
                <w:spacing w:val="9"/>
                <w:sz w:val="19"/>
                <w:szCs w:val="19"/>
                <w:highlight w:val="none"/>
                <w14:textFill>
                  <w14:solidFill>
                    <w14:schemeClr w14:val="tx1"/>
                  </w14:solidFill>
                </w14:textFill>
              </w:rPr>
              <w:t xml:space="preserve">动获奖的，视国家、省、市不同层次在当月</w:t>
            </w:r>
            <w:r>
              <w:rPr>
                <w:color w:val="000000" w:themeColor="text1"/>
                <w:spacing w:val="8"/>
                <w:sz w:val="19"/>
                <w:szCs w:val="19"/>
                <w:highlight w:val="none"/>
                <w14:textFill>
                  <w14:solidFill>
                    <w14:schemeClr w14:val="tx1"/>
                  </w14:solidFill>
                </w14:textFill>
              </w:rPr>
              <w:t xml:space="preserve">考核中加分，分值分别为3、2、1分，累计</w:t>
            </w:r>
            <w:r>
              <w:rPr>
                <w:color w:val="000000" w:themeColor="text1"/>
                <w:sz w:val="19"/>
                <w:szCs w:val="19"/>
                <w:highlight w:val="none"/>
                <w14:textFill>
                  <w14:solidFill>
                    <w14:schemeClr w14:val="tx1"/>
                  </w14:solidFill>
                </w14:textFill>
              </w:rPr>
              <w:t xml:space="preserve"> </w:t>
            </w:r>
            <w:r>
              <w:rPr>
                <w:color w:val="000000" w:themeColor="text1"/>
                <w:spacing w:val="5"/>
                <w:sz w:val="19"/>
                <w:szCs w:val="19"/>
                <w:highlight w:val="none"/>
                <w14:textFill>
                  <w14:solidFill>
                    <w14:schemeClr w14:val="tx1"/>
                  </w14:solidFill>
                </w14:textFill>
              </w:rPr>
              <w:t xml:space="preserve">最高加4分。</w:t>
            </w:r>
            <w:r/>
          </w:p>
        </w:tc>
        <w:tc>
          <w:tcPr>
            <w:tcW w:w="987" w:type="dxa"/>
            <w:vAlign w:val="top"/>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96"/>
        </w:trPr>
        <w:tc>
          <w:tcPr>
            <w:tcBorders>
              <w:bottom w:val="single" w:color="000000" w:sz="6"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single" w:color="000000" w:sz="6"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single" w:color="000000" w:sz="6"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56"/>
              <w:ind w:left="50" w:right="9" w:hanging="1"/>
              <w:spacing w:before="90" w:line="234" w:lineRule="auto"/>
              <w:shd w:val="clear" w:color="auto"/>
              <w:rPr>
                <w:color w:val="000000" w:themeColor="text1"/>
                <w:spacing w:val="14"/>
                <w:sz w:val="19"/>
                <w:szCs w:val="19"/>
                <w:highlight w:val="none"/>
                <w14:textFill>
                  <w14:solidFill>
                    <w14:schemeClr w14:val="tx1"/>
                  </w14:solidFill>
                </w14:textFill>
              </w:rPr>
            </w:pPr>
            <w:r>
              <w:rPr>
                <w:color w:val="000000" w:themeColor="text1"/>
                <w:spacing w:val="9"/>
                <w:sz w:val="19"/>
                <w:szCs w:val="19"/>
                <w:highlight w:val="none"/>
                <w14:textFill>
                  <w14:solidFill>
                    <w14:schemeClr w14:val="tx1"/>
                  </w14:solidFill>
                </w14:textFill>
              </w:rPr>
              <w:t xml:space="preserve">3、养护公司在工作中有好人好事的，应及时给员工和班组进行奖励和表彰的，每次加</w:t>
            </w:r>
            <w:r>
              <w:rPr>
                <w:color w:val="000000" w:themeColor="text1"/>
                <w:spacing w:val="5"/>
                <w:sz w:val="19"/>
                <w:szCs w:val="19"/>
                <w:highlight w:val="none"/>
                <w14:textFill>
                  <w14:solidFill>
                    <w14:schemeClr w14:val="tx1"/>
                  </w14:solidFill>
                </w14:textFill>
              </w:rPr>
              <w:t xml:space="preserve"> </w:t>
            </w:r>
            <w:r>
              <w:rPr>
                <w:color w:val="000000" w:themeColor="text1"/>
                <w:spacing w:val="7"/>
                <w:sz w:val="19"/>
                <w:szCs w:val="19"/>
                <w:highlight w:val="none"/>
                <w14:textFill>
                  <w14:solidFill>
                    <w14:schemeClr w14:val="tx1"/>
                  </w14:solidFill>
                </w14:textFill>
              </w:rPr>
              <w:t xml:space="preserve">1分，当月累计最高加2分（获奖的情况需提供相关材料给所部核实）。</w:t>
            </w:r>
            <w:r/>
          </w:p>
        </w:tc>
        <w:tc>
          <w:tcPr>
            <w:tcW w:w="987" w:type="dxa"/>
            <w:vAlign w:val="top"/>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bl>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hd w:val="clear" w:color="auto"/>
        <w:rPr>
          <w:rFonts w:ascii="Arial" w:hAnsi="Arial" w:eastAsia="Arial" w:cs="Arial"/>
          <w:color w:val="000000" w:themeColor="text1"/>
          <w:sz w:val="21"/>
          <w:szCs w:val="21"/>
          <w:highlight w:val="none"/>
          <w14:textFill>
            <w14:solidFill>
              <w14:schemeClr w14:val="tx1"/>
            </w14:solidFill>
          </w14:textFill>
        </w:rPr>
        <w:sectPr>
          <w:footnotePr/>
          <w:endnotePr/>
          <w:type w:val="nextPage"/>
          <w:pgSz w:w="11905" w:h="16837" w:orient="portrait"/>
          <w:pgMar w:top="1070" w:right="1116" w:bottom="400" w:left="1012" w:header="0" w:footer="0" w:gutter="0"/>
          <w:cols w:num="1" w:sep="0" w:space="720" w:equalWidth="1"/>
          <w:docGrid w:linePitch="360"/>
        </w:sectPr>
      </w:pPr>
      <w:r>
        <w:rPr>
          <w:rFonts w:ascii="Arial" w:hAnsi="Arial" w:eastAsia="Arial" w:cs="Arial"/>
          <w:color w:val="000000" w:themeColor="text1"/>
          <w:sz w:val="21"/>
          <w:szCs w:val="21"/>
          <w:highlight w:val="none"/>
          <w14:textFill>
            <w14:solidFill>
              <w14:schemeClr w14:val="tx1"/>
            </w14:solidFill>
          </w14:textFill>
        </w:rPr>
      </w:r>
      <w:r/>
    </w:p>
    <w:p>
      <w:pPr>
        <w:pStyle w:val="962"/>
        <w:jc w:val="center"/>
        <w:shd w:val="clear" w:color="auto"/>
        <w:rPr>
          <w:rFonts w:ascii="宋体" w:hAnsi="宋体" w:cs="宋体"/>
          <w:b/>
          <w:color w:val="000000" w:themeColor="text1"/>
          <w:sz w:val="36"/>
          <w:highlight w:val="none"/>
          <w:lang w:val="zh-CN"/>
          <w14:textFill>
            <w14:solidFill>
              <w14:schemeClr w14:val="tx1"/>
            </w14:solidFill>
          </w14:textFill>
        </w:rPr>
        <w:outlineLvl w:val="0"/>
      </w:pPr>
      <w:r>
        <w:rPr>
          <w:rFonts w:hint="eastAsia" w:ascii="宋体" w:hAnsi="宋体" w:cs="宋体"/>
          <w:b/>
          <w:color w:val="000000" w:themeColor="text1"/>
          <w:sz w:val="36"/>
          <w:highlight w:val="none"/>
          <w14:textFill>
            <w14:solidFill>
              <w14:schemeClr w14:val="tx1"/>
            </w14:solidFill>
          </w14:textFill>
        </w:rPr>
        <w:t xml:space="preserve">第</w:t>
      </w:r>
      <w:r>
        <w:rPr>
          <w:rFonts w:hint="eastAsia" w:ascii="宋体" w:hAnsi="宋体" w:cs="宋体"/>
          <w:b/>
          <w:color w:val="000000" w:themeColor="text1"/>
          <w:sz w:val="36"/>
          <w:highlight w:val="none"/>
          <w:lang w:eastAsia="zh-CN"/>
          <w14:textFill>
            <w14:solidFill>
              <w14:schemeClr w14:val="tx1"/>
            </w14:solidFill>
          </w14:textFill>
        </w:rPr>
        <w:t xml:space="preserve">五</w:t>
      </w:r>
      <w:r>
        <w:rPr>
          <w:rFonts w:hint="eastAsia" w:ascii="宋体" w:hAnsi="宋体" w:cs="宋体"/>
          <w:b/>
          <w:color w:val="000000" w:themeColor="text1"/>
          <w:sz w:val="36"/>
          <w:highlight w:val="none"/>
          <w14:textFill>
            <w14:solidFill>
              <w14:schemeClr w14:val="tx1"/>
            </w14:solidFill>
          </w14:textFill>
        </w:rPr>
        <w:t xml:space="preserve">章</w:t>
      </w:r>
      <w:r>
        <w:rPr>
          <w:rFonts w:hint="eastAsia" w:ascii="宋体" w:hAnsi="宋体" w:cs="宋体"/>
          <w:b/>
          <w:color w:val="000000" w:themeColor="text1"/>
          <w:sz w:val="36"/>
          <w:highlight w:val="none"/>
          <w:lang w:val="zh-CN"/>
          <w14:textFill>
            <w14:solidFill>
              <w14:schemeClr w14:val="tx1"/>
            </w14:solidFill>
          </w14:textFill>
        </w:rPr>
        <w:t xml:space="preserve"> 合同文本</w:t>
      </w:r>
      <w:r/>
    </w:p>
    <w:p>
      <w:pPr>
        <w:jc w:val="center"/>
        <w:spacing w:line="360" w:lineRule="auto"/>
        <w:shd w:val="clear" w:color="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（此合同格式及主要条款作为签订正式合同时的参考，最终以甲乙双方签订的合同为准。）</w:t>
      </w:r>
      <w:r/>
    </w:p>
    <w:p>
      <w:pPr>
        <w:ind w:firstLine="720"/>
        <w:jc w:val="center"/>
        <w:spacing w:line="360" w:lineRule="auto"/>
        <w:shd w:val="clear" w:color="auto"/>
        <w:rPr>
          <w:rFonts w:hint="eastAsia" w:ascii="宋体" w:hAnsi="宋体" w:eastAsia="宋体" w:cs="宋体"/>
          <w:color w:val="000000" w:themeColor="text1"/>
          <w:sz w:val="36"/>
          <w:szCs w:val="36"/>
          <w:highlight w:val="none"/>
          <w:lang w:val="zh-CN"/>
          <w14:textFill>
            <w14:solidFill>
              <w14:schemeClr w14:val="tx1"/>
            </w14:solidFill>
          </w14:textFill>
        </w:rPr>
      </w:pPr>
      <w:r>
        <w:rPr>
          <w:rFonts w:hint="eastAsia" w:ascii="宋体" w:hAnsi="宋体" w:eastAsia="宋体" w:cs="宋体"/>
          <w:color w:val="000000" w:themeColor="text1"/>
          <w:sz w:val="36"/>
          <w:szCs w:val="36"/>
          <w:highlight w:val="none"/>
          <w:lang w:val="zh-CN"/>
          <w14:textFill>
            <w14:solidFill>
              <w14:schemeClr w14:val="tx1"/>
            </w14:solidFill>
          </w14:textFill>
        </w:rPr>
      </w:r>
      <w:r/>
    </w:p>
    <w:p>
      <w:pPr>
        <w:ind w:firstLine="720"/>
        <w:jc w:val="center"/>
        <w:spacing w:line="360" w:lineRule="auto"/>
        <w:shd w:val="clear" w:color="auto"/>
        <w:rPr>
          <w:rFonts w:hint="eastAsia" w:ascii="宋体" w:hAnsi="宋体" w:eastAsia="宋体" w:cs="宋体"/>
          <w:color w:val="000000" w:themeColor="text1"/>
          <w:sz w:val="36"/>
          <w:szCs w:val="36"/>
          <w:highlight w:val="none"/>
          <w:lang w:val="zh-CN"/>
          <w14:textFill>
            <w14:solidFill>
              <w14:schemeClr w14:val="tx1"/>
            </w14:solidFill>
          </w14:textFill>
        </w:rPr>
      </w:pPr>
      <w:r>
        <w:rPr>
          <w:rFonts w:hint="eastAsia" w:ascii="宋体" w:hAnsi="宋体" w:eastAsia="宋体" w:cs="宋体"/>
          <w:color w:val="000000" w:themeColor="text1"/>
          <w:sz w:val="36"/>
          <w:szCs w:val="36"/>
          <w:highlight w:val="none"/>
          <w:lang w:val="zh-CN"/>
          <w14:textFill>
            <w14:solidFill>
              <w14:schemeClr w14:val="tx1"/>
            </w14:solidFill>
          </w14:textFill>
        </w:rPr>
      </w:r>
      <w:r/>
    </w:p>
    <w:p>
      <w:pPr>
        <w:jc w:val="center"/>
        <w:spacing w:line="360" w:lineRule="auto"/>
        <w:shd w:val="clear" w:color="auto"/>
        <w:rPr>
          <w:rFonts w:hint="eastAsia"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t xml:space="preserve">南京市政府采购合同</w:t>
      </w:r>
      <w:r/>
    </w:p>
    <w:p>
      <w:pPr>
        <w:spacing w:line="360" w:lineRule="auto"/>
        <w:shd w:val="clear" w:color="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ind w:firstLine="720"/>
        <w:jc w:val="center"/>
        <w:spacing w:line="360" w:lineRule="auto"/>
        <w:shd w:val="clear" w:color="auto"/>
        <w:rPr>
          <w:rFonts w:hint="eastAsia" w:ascii="宋体" w:hAnsi="宋体" w:eastAsia="宋体" w:cs="宋体"/>
          <w:color w:val="000000" w:themeColor="text1"/>
          <w:sz w:val="36"/>
          <w:szCs w:val="36"/>
          <w:highlight w:val="none"/>
          <w:lang w:val="zh-CN"/>
          <w14:textFill>
            <w14:solidFill>
              <w14:schemeClr w14:val="tx1"/>
            </w14:solidFill>
          </w14:textFill>
        </w:rPr>
      </w:pPr>
      <w:r>
        <w:rPr>
          <w:rFonts w:hint="eastAsia" w:ascii="宋体" w:hAnsi="宋体" w:eastAsia="宋体" w:cs="宋体"/>
          <w:color w:val="000000" w:themeColor="text1"/>
          <w:sz w:val="36"/>
          <w:szCs w:val="36"/>
          <w:highlight w:val="none"/>
          <w:lang w:val="zh-CN"/>
          <w14:textFill>
            <w14:solidFill>
              <w14:schemeClr w14:val="tx1"/>
            </w14:solidFill>
          </w14:textFill>
        </w:rPr>
      </w:r>
      <w:r/>
    </w:p>
    <w:p>
      <w:pPr>
        <w:ind w:firstLine="720"/>
        <w:jc w:val="center"/>
        <w:spacing w:line="360" w:lineRule="auto"/>
        <w:shd w:val="clear" w:color="auto"/>
        <w:rPr>
          <w:rFonts w:hint="eastAsia" w:ascii="宋体" w:hAnsi="宋体" w:eastAsia="宋体" w:cs="宋体"/>
          <w:color w:val="000000" w:themeColor="text1"/>
          <w:sz w:val="36"/>
          <w:szCs w:val="36"/>
          <w:highlight w:val="none"/>
          <w:lang w:val="zh-CN"/>
          <w14:textFill>
            <w14:solidFill>
              <w14:schemeClr w14:val="tx1"/>
            </w14:solidFill>
          </w14:textFill>
        </w:rPr>
      </w:pPr>
      <w:r>
        <w:rPr>
          <w:rFonts w:hint="eastAsia" w:ascii="宋体" w:hAnsi="宋体" w:eastAsia="宋体" w:cs="宋体"/>
          <w:color w:val="000000" w:themeColor="text1"/>
          <w:sz w:val="36"/>
          <w:szCs w:val="36"/>
          <w:highlight w:val="none"/>
          <w:lang w:val="zh-CN"/>
          <w14:textFill>
            <w14:solidFill>
              <w14:schemeClr w14:val="tx1"/>
            </w14:solidFill>
          </w14:textFill>
        </w:rPr>
      </w:r>
      <w:r/>
    </w:p>
    <w:p>
      <w:pPr>
        <w:ind w:firstLine="723"/>
        <w:jc w:val="left"/>
        <w:spacing w:line="360" w:lineRule="auto"/>
        <w:shd w:val="clear" w:color="auto"/>
        <w:rPr>
          <w:rFonts w:ascii="宋体" w:hAnsi="宋体" w:eastAsia="宋体" w:cs="宋体"/>
          <w:b/>
          <w:color w:val="000000" w:themeColor="text1"/>
          <w:sz w:val="36"/>
          <w:highlight w:val="none"/>
          <w:u w:val="single"/>
          <w:lang w:val="en-US" w:eastAsia="zh-CN"/>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合同编号：</w:t>
      </w:r>
      <w:r>
        <w:rPr>
          <w:rFonts w:hint="eastAsia" w:ascii="宋体" w:hAnsi="宋体" w:eastAsia="宋体" w:cs="宋体"/>
          <w:b/>
          <w:color w:val="000000" w:themeColor="text1"/>
          <w:sz w:val="36"/>
          <w:highlight w:val="none"/>
          <w:u w:val="single"/>
          <w:lang w:val="en-US" w:eastAsia="zh-CN"/>
          <w14:textFill>
            <w14:solidFill>
              <w14:schemeClr w14:val="tx1"/>
            </w14:solidFill>
          </w14:textFill>
        </w:rPr>
        <w:t xml:space="preserve">                                  </w:t>
      </w:r>
      <w:r/>
    </w:p>
    <w:p>
      <w:pPr>
        <w:ind w:left="2511" w:hanging="1789"/>
        <w:jc w:val="left"/>
        <w:spacing w:line="360" w:lineRule="auto"/>
        <w:shd w:val="clear" w:color="auto"/>
        <w:rPr>
          <w:rFonts w:ascii="宋体" w:hAnsi="宋体" w:eastAsia="宋体" w:cs="宋体"/>
          <w:b/>
          <w:color w:val="000000" w:themeColor="text1"/>
          <w:sz w:val="36"/>
          <w:highlight w:val="none"/>
          <w:u w:val="single"/>
          <w:lang w:val="en-US" w:eastAsia="zh-CN"/>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项目名称：</w:t>
      </w:r>
      <w:r>
        <w:rPr>
          <w:rFonts w:hint="eastAsia" w:ascii="宋体" w:hAnsi="宋体" w:eastAsia="宋体" w:cs="宋体"/>
          <w:b/>
          <w:color w:val="000000" w:themeColor="text1"/>
          <w:sz w:val="36"/>
          <w:highlight w:val="none"/>
          <w:u w:val="single"/>
          <w:lang w:val="en-US" w:eastAsia="zh-CN"/>
          <w14:textFill>
            <w14:solidFill>
              <w14:schemeClr w14:val="tx1"/>
            </w14:solidFill>
          </w14:textFill>
        </w:rPr>
        <w:t xml:space="preserve">栖霞区市政所2026年至2029年（3年）燕霞路市政、绿化设施养护    </w:t>
      </w:r>
      <w:r/>
    </w:p>
    <w:p>
      <w:pPr>
        <w:ind w:firstLine="723"/>
        <w:jc w:val="left"/>
        <w:spacing w:line="360" w:lineRule="auto"/>
        <w:shd w:val="clear" w:color="auto"/>
        <w:rPr>
          <w:rFonts w:hint="eastAsia" w:ascii="宋体" w:hAnsi="宋体" w:eastAsia="宋体" w:cs="宋体"/>
          <w:b/>
          <w:color w:val="000000" w:themeColor="text1"/>
          <w:sz w:val="36"/>
          <w:highlight w:val="none"/>
          <w:u w:val="single"/>
          <w:lang w:eastAsia="zh-CN"/>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使用单位：</w:t>
      </w:r>
      <w:r>
        <w:rPr>
          <w:rFonts w:hint="eastAsia" w:ascii="宋体" w:hAnsi="宋体" w:eastAsia="宋体" w:cs="宋体"/>
          <w:b/>
          <w:color w:val="000000" w:themeColor="text1"/>
          <w:sz w:val="36"/>
          <w:highlight w:val="none"/>
          <w:u w:val="single"/>
          <w:lang w:eastAsia="zh-CN"/>
          <w14:textFill>
            <w14:solidFill>
              <w14:schemeClr w14:val="tx1"/>
            </w14:solidFill>
          </w14:textFill>
        </w:rPr>
        <w:t xml:space="preserve">南京市栖霞区市政设施综合养护管理所</w:t>
      </w:r>
      <w:r/>
    </w:p>
    <w:p>
      <w:pPr>
        <w:ind w:firstLine="723"/>
        <w:jc w:val="left"/>
        <w:spacing w:line="360" w:lineRule="auto"/>
        <w:shd w:val="clear" w:color="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服务单位：</w:t>
      </w:r>
      <w:r>
        <w:rPr>
          <w:rFonts w:hint="eastAsia" w:ascii="宋体" w:hAnsi="宋体" w:eastAsia="宋体" w:cs="宋体"/>
          <w:b/>
          <w:color w:val="000000" w:themeColor="text1"/>
          <w:sz w:val="36"/>
          <w:highlight w:val="none"/>
          <w:u w:val="single"/>
          <w:lang w:val="en-US" w:eastAsia="zh-CN"/>
          <w14:textFill>
            <w14:solidFill>
              <w14:schemeClr w14:val="tx1"/>
            </w14:solidFill>
          </w14:textFill>
        </w:rPr>
        <w:t xml:space="preserve">                                  </w:t>
      </w:r>
      <w:r/>
    </w:p>
    <w:p>
      <w:pPr>
        <w:ind w:firstLine="723"/>
        <w:jc w:val="left"/>
        <w:spacing w:line="360" w:lineRule="auto"/>
        <w:shd w:val="clear" w:color="auto"/>
        <w:rPr>
          <w:rFonts w:hint="default" w:ascii="宋体" w:hAnsi="宋体" w:eastAsia="宋体" w:cs="宋体"/>
          <w:b/>
          <w:color w:val="000000" w:themeColor="text1"/>
          <w:sz w:val="36"/>
          <w:highlight w:val="none"/>
          <w:lang w:val="en-US" w:eastAsia="zh-CN"/>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签订日期：</w:t>
      </w:r>
      <w:r>
        <w:rPr>
          <w:rFonts w:hint="eastAsia" w:ascii="宋体" w:hAnsi="宋体" w:eastAsia="宋体" w:cs="宋体"/>
          <w:b/>
          <w:color w:val="000000" w:themeColor="text1"/>
          <w:sz w:val="36"/>
          <w:highlight w:val="none"/>
          <w:u w:val="single"/>
          <w14:textFill>
            <w14:solidFill>
              <w14:schemeClr w14:val="tx1"/>
            </w14:solidFill>
          </w14:textFill>
        </w:rPr>
        <w:t xml:space="preserve">202</w:t>
      </w:r>
      <w:r>
        <w:rPr>
          <w:rFonts w:hint="eastAsia" w:ascii="宋体" w:hAnsi="宋体" w:eastAsia="宋体" w:cs="宋体"/>
          <w:b/>
          <w:color w:val="000000" w:themeColor="text1"/>
          <w:sz w:val="36"/>
          <w:highlight w:val="none"/>
          <w:u w:val="single"/>
          <w:lang w:val="en-US" w:eastAsia="zh-CN"/>
          <w14:textFill>
            <w14:solidFill>
              <w14:schemeClr w14:val="tx1"/>
            </w14:solidFill>
          </w14:textFill>
        </w:rPr>
        <w:t xml:space="preserve">6</w:t>
      </w:r>
      <w:r>
        <w:rPr>
          <w:rFonts w:hint="eastAsia" w:ascii="宋体" w:hAnsi="宋体" w:eastAsia="宋体" w:cs="宋体"/>
          <w:b/>
          <w:color w:val="000000" w:themeColor="text1"/>
          <w:sz w:val="36"/>
          <w:highlight w:val="none"/>
          <w:u w:val="single"/>
          <w14:textFill>
            <w14:solidFill>
              <w14:schemeClr w14:val="tx1"/>
            </w14:solidFill>
          </w14:textFill>
        </w:rPr>
        <w:t xml:space="preserve">年 </w:t>
      </w:r>
      <w:r>
        <w:rPr>
          <w:rFonts w:hint="eastAsia" w:ascii="宋体" w:hAnsi="宋体" w:eastAsia="宋体" w:cs="宋体"/>
          <w:b/>
          <w:color w:val="000000" w:themeColor="text1"/>
          <w:sz w:val="36"/>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6"/>
          <w:highlight w:val="none"/>
          <w:u w:val="single"/>
          <w14:textFill>
            <w14:solidFill>
              <w14:schemeClr w14:val="tx1"/>
            </w14:solidFill>
          </w14:textFill>
        </w:rPr>
        <w:t xml:space="preserve">月</w:t>
      </w:r>
      <w:r/>
    </w:p>
    <w:p>
      <w:pPr>
        <w:spacing w:line="360" w:lineRule="auto"/>
        <w:shd w:val="clear" w:color="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jc w:val="center"/>
        <w:spacing w:line="360" w:lineRule="auto"/>
        <w:shd w:val="clear" w:color="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南京市工商行政管理局</w:t>
      </w:r>
      <w:r/>
    </w:p>
    <w:p>
      <w:pPr>
        <w:jc w:val="center"/>
        <w:spacing w:line="360" w:lineRule="auto"/>
        <w:shd w:val="clear" w:color="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南京市财政局    监制</w:t>
      </w:r>
      <w:r/>
    </w:p>
    <w:p>
      <w:pPr>
        <w:jc w:val="left"/>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sectPr>
          <w:headerReference w:type="default" r:id="rId12"/>
          <w:footerReference w:type="default" r:id="rId18"/>
          <w:footnotePr/>
          <w:endnotePr/>
          <w:type w:val="nextPage"/>
          <w:pgSz w:w="11906" w:h="16838" w:orient="portrait"/>
          <w:pgMar w:top="1134" w:right="1134" w:bottom="1134" w:left="1304" w:header="567" w:footer="907" w:gutter="0"/>
          <w:cols w:num="1" w:sep="0" w:space="425" w:equalWidth="1"/>
          <w:docGrid w:linePitch="360"/>
        </w:sect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r>
      <w:r/>
    </w:p>
    <w:p>
      <w:pPr>
        <w:jc w:val="left"/>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合同编号：</w:t>
      </w:r>
      <w:r/>
    </w:p>
    <w:p>
      <w:pPr>
        <w:spacing w:line="360" w:lineRule="auto"/>
        <w:shd w:val="clear" w:color="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政府采购计划号：</w:t>
      </w:r>
      <w:r/>
    </w:p>
    <w:p>
      <w:pPr>
        <w:spacing w:line="360" w:lineRule="auto"/>
        <w:shd w:val="clear" w:color="auto"/>
        <w:rPr>
          <w:rFonts w:hint="eastAsia" w:asciiTheme="minorEastAsia" w:hAnsiTheme="minorEastAsia" w:eastAsiaTheme="minorEastAsia" w:cstheme="minorEastAsia"/>
          <w:b/>
          <w:color w:val="000000" w:themeColor="text1"/>
          <w:sz w:val="24"/>
          <w:szCs w:val="24"/>
          <w:highlight w:val="none"/>
          <w:u w:val="singl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采购人（以下称甲方）：</w:t>
      </w:r>
      <w:r>
        <w:rPr>
          <w:rFonts w:hint="eastAsia" w:asciiTheme="minorEastAsia" w:hAnsiTheme="minorEastAsia" w:eastAsiaTheme="minorEastAsia" w:cstheme="minorEastAsia"/>
          <w:b/>
          <w:color w:val="000000" w:themeColor="text1"/>
          <w:sz w:val="24"/>
          <w:szCs w:val="24"/>
          <w:highlight w:val="none"/>
          <w:u w:val="single"/>
          <w:lang w:val="zh-CN"/>
          <w14:textFill>
            <w14:solidFill>
              <w14:schemeClr w14:val="tx1"/>
            </w14:solidFill>
          </w14:textFill>
        </w:rPr>
        <w:t xml:space="preserve">南京市栖霞区市政设施综合养护管理所</w:t>
      </w:r>
      <w:r/>
    </w:p>
    <w:p>
      <w:pPr>
        <w:spacing w:line="360" w:lineRule="auto"/>
        <w:shd w:val="clear" w:color="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住所地：</w:t>
      </w:r>
      <w:r/>
    </w:p>
    <w:p>
      <w:pPr>
        <w:spacing w:line="360" w:lineRule="auto"/>
        <w:shd w:val="clear" w:color="auto"/>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供应商（以下称乙方）：</w:t>
      </w:r>
      <w:r/>
    </w:p>
    <w:p>
      <w:pPr>
        <w:spacing w:line="360" w:lineRule="auto"/>
        <w:shd w:val="clear" w:color="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住所地：</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根据《中华人民共和国政府采购法》、《中华人民共和国民法典》等法律法规的规定，甲乙双方按照招标结果签订本合同。</w:t>
      </w:r>
      <w:r/>
    </w:p>
    <w:p>
      <w:pPr>
        <w:ind w:left="0" w:firstLine="482"/>
        <w:keepLines w:val="0"/>
        <w:keepNext w:val="0"/>
        <w:pageBreakBefore w:val="0"/>
        <w:spacing w:line="360" w:lineRule="auto"/>
        <w:shd w:val="clear" w:color="auto"/>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第一条 合同标的</w:t>
      </w:r>
      <w:r/>
    </w:p>
    <w:p>
      <w:pPr>
        <w:ind w:left="0" w:firstLine="480"/>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乙方根据甲方需求提供下列服务：</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详见附件及乙方投标文件。</w:t>
      </w:r>
      <w:r/>
    </w:p>
    <w:p>
      <w:pPr>
        <w:numPr>
          <w:ilvl w:val="0"/>
          <w:numId w:val="5"/>
        </w:numPr>
        <w:ind w:left="0" w:firstLine="482"/>
        <w:jc w:val="left"/>
        <w:keepLines w:val="0"/>
        <w:keepNext w:val="0"/>
        <w:pageBreakBefore w:val="0"/>
        <w:spacing w:line="360" w:lineRule="auto"/>
        <w:shd w:val="clear" w:color="auto"/>
        <w:widowControl/>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合同价款</w:t>
      </w:r>
      <w:r/>
    </w:p>
    <w:p>
      <w:pPr>
        <w:numPr>
          <w:ilvl w:val="0"/>
          <w:numId w:val="0"/>
        </w:numPr>
        <w:ind w:left="480"/>
        <w:jc w:val="left"/>
        <w:keepLines w:val="0"/>
        <w:keepNext w:val="0"/>
        <w:pageBreakBefore w:val="0"/>
        <w:spacing w:line="360" w:lineRule="auto"/>
        <w:shd w:val="clear" w:color="auto"/>
        <w:rPr>
          <w:rFonts w:hint="eastAsia" w:asciiTheme="minorEastAsia" w:hAnsi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t xml:space="preserve">本合同项下服务总价款为：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t xml:space="preserve">元</w:t>
      </w:r>
      <w:r>
        <w:rPr>
          <w:rFonts w:hint="eastAsia" w:asciiTheme="minorEastAsia" w:hAnsiTheme="minorEastAsia" w:cstheme="minorEastAsia"/>
          <w:color w:val="000000" w:themeColor="text1"/>
          <w:sz w:val="24"/>
          <w:szCs w:val="24"/>
          <w:highlight w:val="none"/>
          <w:u w:val="none"/>
          <w:lang w:val="en-US" w:eastAsia="zh-CN"/>
          <w14:textFill>
            <w14:solidFill>
              <w14:schemeClr w14:val="tx1"/>
            </w14:solidFill>
          </w14:textFill>
        </w:rPr>
        <w:t xml:space="preserve">,明细如下：</w:t>
      </w:r>
      <w:r/>
    </w:p>
    <w:p>
      <w:pPr>
        <w:numPr>
          <w:ilvl w:val="0"/>
          <w:numId w:val="0"/>
        </w:numPr>
        <w:ind w:firstLine="720"/>
        <w:keepLines w:val="0"/>
        <w:keepNext w:val="0"/>
        <w:pageBreakBefore w:val="0"/>
        <w:spacing w:before="181" w:after="181"/>
        <w:shd w:val="clear" w:color="auto"/>
        <w:widowControl w:val="off"/>
        <w:rPr>
          <w:rFonts w:hint="eastAsia" w:asciiTheme="minorEastAsia" w:hAnsi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4"/>
          <w:highlight w:val="none"/>
          <w:u w:val="none"/>
          <w:lang w:val="en-US" w:eastAsia="zh-CN"/>
          <w14:textFill>
            <w14:solidFill>
              <w14:schemeClr w14:val="tx1"/>
            </w14:solidFill>
          </w14:textFill>
        </w:rPr>
        <w:t xml:space="preserve">1)道路设施</w:t>
      </w:r>
      <w:r>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t xml:space="preserve">日常</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养护</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元</w:t>
      </w:r>
      <w:r>
        <w:rPr>
          <w:rFonts w:hint="eastAsia" w:asciiTheme="minorEastAsia" w:hAnsiTheme="minorEastAsia" w:cstheme="minorEastAsia"/>
          <w:color w:val="000000" w:themeColor="text1"/>
          <w:sz w:val="24"/>
          <w:szCs w:val="24"/>
          <w:highlight w:val="none"/>
          <w:u w:val="none"/>
          <w:lang w:val="en-US" w:eastAsia="zh-CN"/>
          <w14:textFill>
            <w14:solidFill>
              <w14:schemeClr w14:val="tx1"/>
            </w14:solidFill>
          </w14:textFill>
        </w:rPr>
        <w:t xml:space="preserve">；</w:t>
      </w:r>
      <w:r/>
    </w:p>
    <w:p>
      <w:pPr>
        <w:numPr>
          <w:ilvl w:val="0"/>
          <w:numId w:val="0"/>
        </w:numPr>
        <w:ind w:firstLine="720"/>
        <w:keepLines w:val="0"/>
        <w:keepNext w:val="0"/>
        <w:pageBreakBefore w:val="0"/>
        <w:spacing w:before="181" w:after="181"/>
        <w:shd w:val="clear" w:color="auto"/>
        <w:widowControl w:val="off"/>
        <w:rPr>
          <w:rFonts w:hint="eastAsia" w:asciiTheme="minorEastAsia" w:hAnsi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4"/>
          <w:highlight w:val="none"/>
          <w:u w:val="none"/>
          <w:lang w:val="en-US" w:eastAsia="zh-CN"/>
          <w14:textFill>
            <w14:solidFill>
              <w14:schemeClr w14:val="tx1"/>
            </w14:solidFill>
          </w14:textFill>
        </w:rPr>
        <w:t xml:space="preserve">2)水务设施日</w:t>
      </w:r>
      <w:r>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t xml:space="preserve">常</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养护</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元</w:t>
      </w:r>
      <w:r>
        <w:rPr>
          <w:rFonts w:hint="eastAsia" w:asciiTheme="minorEastAsia" w:hAnsiTheme="minorEastAsia" w:cstheme="minorEastAsia"/>
          <w:color w:val="000000" w:themeColor="text1"/>
          <w:sz w:val="24"/>
          <w:szCs w:val="24"/>
          <w:highlight w:val="none"/>
          <w:u w:val="none"/>
          <w:lang w:val="en-US" w:eastAsia="zh-CN"/>
          <w14:textFill>
            <w14:solidFill>
              <w14:schemeClr w14:val="tx1"/>
            </w14:solidFill>
          </w14:textFill>
        </w:rPr>
        <w:t xml:space="preserve">；</w:t>
      </w:r>
      <w:r/>
    </w:p>
    <w:p>
      <w:pPr>
        <w:numPr>
          <w:ilvl w:val="0"/>
          <w:numId w:val="0"/>
        </w:numPr>
        <w:ind w:firstLine="720"/>
        <w:keepLines w:val="0"/>
        <w:keepNext w:val="0"/>
        <w:pageBreakBefore w:val="0"/>
        <w:spacing w:before="181" w:after="181"/>
        <w:shd w:val="clear" w:color="auto"/>
        <w:widowControl w:val="off"/>
        <w:rPr>
          <w:rFonts w:hint="eastAsia" w:asciiTheme="minorEastAsia" w:hAnsi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4"/>
          <w:highlight w:val="none"/>
          <w:u w:val="none"/>
          <w:lang w:val="en-US" w:eastAsia="zh-CN"/>
          <w14:textFill>
            <w14:solidFill>
              <w14:schemeClr w14:val="tx1"/>
            </w14:solidFill>
          </w14:textFill>
        </w:rPr>
        <w:t xml:space="preserve">3)绿化设施日</w:t>
      </w:r>
      <w:r>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t xml:space="preserve">常</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养护</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元</w:t>
      </w:r>
      <w:r>
        <w:rPr>
          <w:rFonts w:hint="eastAsia" w:asciiTheme="minorEastAsia" w:hAnsiTheme="minorEastAsia" w:cstheme="minorEastAsia"/>
          <w:color w:val="000000" w:themeColor="text1"/>
          <w:sz w:val="24"/>
          <w:szCs w:val="24"/>
          <w:highlight w:val="none"/>
          <w:u w:val="none"/>
          <w:lang w:val="en-US" w:eastAsia="zh-CN"/>
          <w14:textFill>
            <w14:solidFill>
              <w14:schemeClr w14:val="tx1"/>
            </w14:solidFill>
          </w14:textFill>
        </w:rPr>
        <w:t xml:space="preserve">；</w:t>
      </w:r>
      <w:r/>
    </w:p>
    <w:p>
      <w:pPr>
        <w:ind w:left="0" w:firstLine="480"/>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t xml:space="preserve">本合同价款包含以下内容：</w:t>
      </w:r>
      <w:r/>
    </w:p>
    <w:p>
      <w:pPr>
        <w:ind w:left="0" w:firstLine="480"/>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t xml:space="preserve">（1）完成本服务项目发生的所有含税费用；</w:t>
      </w:r>
      <w:r/>
    </w:p>
    <w:p>
      <w:pPr>
        <w:ind w:left="0" w:firstLine="480"/>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t xml:space="preserve">（2）支付给员工的工资和国家强制缴纳的各种社会保障资金；</w:t>
      </w:r>
      <w:r/>
    </w:p>
    <w:p>
      <w:pPr>
        <w:ind w:left="0" w:firstLine="480"/>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t xml:space="preserve">（3）乙方应当提供的伴随服务/售后服务费用；</w:t>
      </w:r>
      <w:r/>
    </w:p>
    <w:p>
      <w:pPr>
        <w:ind w:left="0" w:firstLine="480"/>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t xml:space="preserve">（4）</w:t>
      </w:r>
      <w:r>
        <w:rPr>
          <w:rFonts w:hint="eastAsia" w:asciiTheme="minorEastAsia" w:hAnsiTheme="minorEastAsia" w:cstheme="minorEastAsia"/>
          <w:color w:val="000000" w:themeColor="text1"/>
          <w:sz w:val="24"/>
          <w:szCs w:val="24"/>
          <w:highlight w:val="none"/>
          <w:u w:val="none"/>
          <w:lang w:val="zh-CN"/>
          <w14:textFill>
            <w14:solidFill>
              <w14:schemeClr w14:val="tx1"/>
            </w14:solidFill>
          </w14:textFill>
        </w:rPr>
        <w:t xml:space="preserve">采购文件内规定的其他费用及</w:t>
      </w:r>
      <w:r>
        <w:rPr>
          <w:rFonts w:hint="eastAsia" w:asciiTheme="minorEastAsia" w:hAnsiTheme="minorEastAsia" w:eastAsiaTheme="minorEastAsia" w:cstheme="minorEastAsia"/>
          <w:color w:val="000000" w:themeColor="text1"/>
          <w:sz w:val="24"/>
          <w:szCs w:val="24"/>
          <w:highlight w:val="none"/>
          <w:u w:val="none"/>
          <w:lang w:val="zh-CN"/>
          <w14:textFill>
            <w14:solidFill>
              <w14:schemeClr w14:val="tx1"/>
            </w14:solidFill>
          </w14:textFill>
        </w:rPr>
        <w:t xml:space="preserve">供应商认为需要的其他费用。</w:t>
      </w:r>
      <w:r/>
    </w:p>
    <w:p>
      <w:pPr>
        <w:ind w:left="0" w:firstLine="482"/>
        <w:jc w:val="left"/>
        <w:keepLines w:val="0"/>
        <w:keepNext w:val="0"/>
        <w:pageBreakBefore w:val="0"/>
        <w:spacing w:line="360" w:lineRule="auto"/>
        <w:shd w:val="clear" w:color="auto"/>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第三条 组成本合同的有关文件</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u w:val="singl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下列关于</w:t>
      </w:r>
      <w:r>
        <w:rPr>
          <w:rFonts w:hint="eastAsia" w:asciiTheme="minorEastAsia" w:hAnsi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标的招投标文件或与本次采购活动方式相适应的文件及有关附件是本合同不可分割的组成部分，与本合同具有同等法律效力，这些文件包括但不限于：</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（1）投标（响应）文件和报价表；    （2）服务一览表；</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（3）交付一览表；                  （4）技术规格响应表；</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（5）投标（响应）承诺；            （6）服务承诺；</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（7）中标（成交）通知书；          （8）甲乙双方商定的其它文件。</w:t>
      </w:r>
      <w:r/>
    </w:p>
    <w:p>
      <w:pPr>
        <w:ind w:left="0" w:firstLine="482"/>
        <w:jc w:val="left"/>
        <w:keepLines w:val="0"/>
        <w:keepNext w:val="0"/>
        <w:pageBreakBefore w:val="0"/>
        <w:spacing w:line="360" w:lineRule="auto"/>
        <w:shd w:val="clear" w:color="auto"/>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第四条 权利保证</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ind w:left="0" w:firstLine="482"/>
        <w:jc w:val="left"/>
        <w:keepLines w:val="0"/>
        <w:keepNext w:val="0"/>
        <w:pageBreakBefore w:val="0"/>
        <w:spacing w:line="360" w:lineRule="auto"/>
        <w:shd w:val="clear" w:color="auto"/>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第五条 质量保证</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乙方所提供的服务的技术规格应与招标（采购）文件规定的技术规格及所附的“技术规格响应表”相一致；若技术性能无特殊说明，则按国家有关部门最新颁布的标准及规范为准。</w:t>
      </w:r>
      <w:r/>
    </w:p>
    <w:p>
      <w:pPr>
        <w:ind w:left="0" w:firstLine="482"/>
        <w:jc w:val="left"/>
        <w:keepLines w:val="0"/>
        <w:keepNext w:val="0"/>
        <w:pageBreakBefore w:val="0"/>
        <w:spacing w:line="360" w:lineRule="auto"/>
        <w:shd w:val="clear" w:color="auto"/>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第六条 交付和验收</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highlight w:val="none"/>
          <w:u w:val="none"/>
          <w:lang w:val="zh-CN"/>
          <w14:textFill>
            <w14:solidFill>
              <w14:schemeClr w14:val="tx1"/>
            </w14:solidFill>
          </w14:textFill>
        </w:rPr>
        <w:t xml:space="preserve">合同期限</w:t>
      </w:r>
      <w:r>
        <w:rPr>
          <w:rFonts w:hint="eastAsia" w:asciiTheme="minorEastAsia" w:hAnsiTheme="minorEastAsia" w:eastAsiaTheme="minorEastAsia" w:cstheme="minorEastAsia"/>
          <w:b w:val="0"/>
          <w:bCs w:val="0"/>
          <w:color w:val="000000" w:themeColor="text1"/>
          <w:sz w:val="24"/>
          <w:szCs w:val="24"/>
          <w:highlight w:val="none"/>
          <w:u w:val="none"/>
          <w:lang w:val="en-US"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u w:val="single"/>
          <w:lang w:val="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14:textFill>
            <w14:solidFill>
              <w14:schemeClr w14:val="tx1"/>
            </w14:solidFill>
          </w14:textFill>
        </w:rPr>
        <w:t xml:space="preserve">年</w:t>
      </w:r>
      <w:r>
        <w:rPr>
          <w:rFonts w:hint="eastAsia" w:asciiTheme="minorEastAsia" w:hAnsiTheme="minorEastAsia" w:eastAsiaTheme="minorEastAsia" w:cstheme="minorEastAsia"/>
          <w:b w:val="0"/>
          <w:bCs w:val="0"/>
          <w:color w:val="000000" w:themeColor="text1"/>
          <w:sz w:val="24"/>
          <w:szCs w:val="24"/>
          <w:highlight w:val="none"/>
          <w:u w:val="single"/>
          <w:lang w:val="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14:textFill>
            <w14:solidFill>
              <w14:schemeClr w14:val="tx1"/>
            </w14:solidFill>
          </w14:textFill>
        </w:rPr>
        <w:t xml:space="preserve">月</w:t>
      </w:r>
      <w:r>
        <w:rPr>
          <w:rFonts w:hint="eastAsia" w:asciiTheme="minorEastAsia" w:hAnsiTheme="minorEastAsia" w:eastAsiaTheme="minorEastAsia" w:cstheme="minorEastAsia"/>
          <w:b w:val="0"/>
          <w:bCs w:val="0"/>
          <w:color w:val="000000" w:themeColor="text1"/>
          <w:sz w:val="24"/>
          <w:szCs w:val="24"/>
          <w:highlight w:val="none"/>
          <w:u w:val="single"/>
          <w:lang w:val="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14:textFill>
            <w14:solidFill>
              <w14:schemeClr w14:val="tx1"/>
            </w14:solidFill>
          </w14:textFill>
        </w:rPr>
        <w:t xml:space="preserve">日至</w:t>
      </w:r>
      <w:r>
        <w:rPr>
          <w:rFonts w:hint="eastAsia" w:asciiTheme="minorEastAsia" w:hAnsiTheme="minorEastAsia" w:eastAsiaTheme="minorEastAsia" w:cstheme="minorEastAsia"/>
          <w:b w:val="0"/>
          <w:bCs w:val="0"/>
          <w:color w:val="000000" w:themeColor="text1"/>
          <w:sz w:val="24"/>
          <w:szCs w:val="24"/>
          <w:highlight w:val="none"/>
          <w:u w:val="single"/>
          <w:lang w:val="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14:textFill>
            <w14:solidFill>
              <w14:schemeClr w14:val="tx1"/>
            </w14:solidFill>
          </w14:textFill>
        </w:rPr>
        <w:t xml:space="preserve">年</w:t>
      </w:r>
      <w:r>
        <w:rPr>
          <w:rFonts w:hint="eastAsia" w:asciiTheme="minorEastAsia" w:hAnsiTheme="minorEastAsia" w:eastAsiaTheme="minorEastAsia" w:cstheme="minorEastAsia"/>
          <w:b w:val="0"/>
          <w:bCs w:val="0"/>
          <w:color w:val="000000" w:themeColor="text1"/>
          <w:sz w:val="24"/>
          <w:szCs w:val="24"/>
          <w:highlight w:val="none"/>
          <w:u w:val="single"/>
          <w:lang w:val="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14:textFill>
            <w14:solidFill>
              <w14:schemeClr w14:val="tx1"/>
            </w14:solidFill>
          </w14:textFill>
        </w:rPr>
        <w:t xml:space="preserve">月</w:t>
      </w:r>
      <w:r>
        <w:rPr>
          <w:rFonts w:hint="eastAsia" w:asciiTheme="minorEastAsia" w:hAnsiTheme="minorEastAsia" w:eastAsiaTheme="minorEastAsia" w:cstheme="minorEastAsia"/>
          <w:b w:val="0"/>
          <w:bCs w:val="0"/>
          <w:color w:val="000000" w:themeColor="text1"/>
          <w:sz w:val="24"/>
          <w:szCs w:val="24"/>
          <w:highlight w:val="none"/>
          <w:u w:val="single"/>
          <w:lang w:val="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14:textFill>
            <w14:solidFill>
              <w14:schemeClr w14:val="tx1"/>
            </w14:solidFill>
          </w14:textFill>
        </w:rPr>
        <w:t xml:space="preserve">日。</w:t>
      </w:r>
      <w:r>
        <w:rPr>
          <w:rFonts w:hint="eastAsia" w:asciiTheme="minorEastAsia" w:hAnsiTheme="minorEastAsia" w:cstheme="minorEastAsia"/>
          <w:b w:val="0"/>
          <w:bCs w:val="0"/>
          <w:color w:val="000000" w:themeColor="text1"/>
          <w:sz w:val="24"/>
          <w:szCs w:val="24"/>
          <w:highlight w:val="none"/>
          <w:u w:val="none"/>
          <w:lang w:val="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经</w:t>
      </w:r>
      <w:r>
        <w:rPr>
          <w:rFonts w:hint="eastAsia" w:asciiTheme="minorEastAsia" w:hAnsiTheme="minorEastAsia" w:cstheme="minorEastAsia"/>
          <w:b w:val="0"/>
          <w:bCs w:val="0"/>
          <w:color w:val="000000" w:themeColor="text1"/>
          <w:sz w:val="24"/>
          <w:szCs w:val="24"/>
          <w:highlight w:val="none"/>
          <w:lang w:val="en-US" w:eastAsia="zh-CN" w:bidi="ar-SA"/>
          <w14:textFill>
            <w14:solidFill>
              <w14:schemeClr w14:val="tx1"/>
            </w14:solidFill>
          </w14:textFill>
        </w:rPr>
        <w:t xml:space="preserve">甲方</w:t>
      </w: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考核不合格的，</w:t>
      </w:r>
      <w:r>
        <w:rPr>
          <w:rFonts w:hint="eastAsia" w:asciiTheme="minorEastAsia" w:hAnsiTheme="minorEastAsia" w:cstheme="minorEastAsia"/>
          <w:b w:val="0"/>
          <w:bCs w:val="0"/>
          <w:color w:val="000000" w:themeColor="text1"/>
          <w:sz w:val="24"/>
          <w:szCs w:val="24"/>
          <w:highlight w:val="none"/>
          <w:lang w:val="en-US" w:eastAsia="zh-CN" w:bidi="ar-SA"/>
          <w14:textFill>
            <w14:solidFill>
              <w14:schemeClr w14:val="tx1"/>
            </w14:solidFill>
          </w14:textFill>
        </w:rPr>
        <w:t xml:space="preserve">甲方</w:t>
      </w: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有权提前终止合同</w:t>
      </w:r>
      <w:r>
        <w:rPr>
          <w:rFonts w:hint="eastAsia" w:asciiTheme="minorEastAsia" w:hAnsiTheme="minorEastAsia" w:cstheme="minorEastAsia"/>
          <w:b w:val="0"/>
          <w:bCs w:val="0"/>
          <w:color w:val="000000" w:themeColor="text1"/>
          <w:sz w:val="24"/>
          <w:szCs w:val="24"/>
          <w:highlight w:val="none"/>
          <w:u w:val="none"/>
          <w:lang w:val="zh-CN"/>
          <w14:textFill>
            <w14:solidFill>
              <w14:schemeClr w14:val="tx1"/>
            </w14:solidFill>
          </w14:textFill>
        </w:rPr>
        <w:t xml:space="preserve">）</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2.验收标准：按行业通行标准和乙方投标（响应）文件的承诺（详见合同附件载明的标准，并不低于国家相关标准）。</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3.质保期：</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自验收合格之日起一年。</w:t>
      </w:r>
      <w:r/>
    </w:p>
    <w:p>
      <w:pPr>
        <w:ind w:left="0" w:firstLine="482"/>
        <w:jc w:val="left"/>
        <w:keepLines w:val="0"/>
        <w:keepNext w:val="0"/>
        <w:pageBreakBefore w:val="0"/>
        <w:spacing w:line="360" w:lineRule="auto"/>
        <w:shd w:val="clear" w:color="auto"/>
        <w:rPr>
          <w:rFonts w:hint="eastAsia" w:asciiTheme="minorEastAsia" w:hAnsiTheme="minorEastAsia" w:eastAsiaTheme="minorEastAsia" w:cstheme="minorEastAsia"/>
          <w:b/>
          <w:bCs/>
          <w:i/>
          <w:i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第七条 合同款支付</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1、本合同项下所有款项均以人民币支付。</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2、本合同项下的采购资金由甲方自行支付，乙方向甲方开具发票。</w:t>
      </w:r>
      <w:r/>
    </w:p>
    <w:p>
      <w:pPr>
        <w:ind w:left="0" w:firstLine="480"/>
        <w:jc w:val="left"/>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3、付款条件：</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（1）日常养护经费按月拨付，与该类别月度检查考核成绩相挂钩，具体拨付方式详见考核办法。</w:t>
      </w:r>
      <w:r/>
    </w:p>
    <w:p>
      <w:pPr>
        <w:ind w:firstLine="480"/>
        <w:spacing w:line="360" w:lineRule="auto"/>
        <w:shd w:val="clear" w:color="auto"/>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2）对在市政设施范围内进行出新、整治或占用、挖掘的，乙方有义务积极参与监管及验收，并负责按要求进行修复工作。对于设施被破坏或抢修等情况，乙方有义务按照甲方规定时间内完成修复，并按照当年主城区城市道路挖掘修复工程合同中约定的结算价计取方式进行结算。</w:t>
      </w:r>
      <w:r/>
    </w:p>
    <w:p>
      <w:pPr>
        <w:ind w:firstLine="480"/>
        <w:spacing w:line="360" w:lineRule="auto"/>
        <w:shd w:val="clear" w:color="auto"/>
        <w:rPr>
          <w:rFonts w:hint="default"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4、本项目日常养护部分总价包干,合同价中已含20%预留金，用于接受甲方指令性任务，该部分经费计算方式：</w:t>
      </w: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有投标报价的，单价以投标报价为准，其中如遇信息价调整，材料调价方式参照苏建价(2008)67号文相关规定执行；</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没有投标报价的，按实计取，材料、人工、机械设备等按方案当时当月《南京市工程材料信息价》执行，无信息价的，按市政综合所委托的审计单位出具的《工程结算审定单》为准。工作量以市政综合所或市政综合所认可的第三方核实的为准，</w:t>
      </w: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审计核减率超过10%，则全部审计费用由乙方承担，不超过10%则审计费由甲方承担。</w:t>
      </w:r>
      <w:r/>
    </w:p>
    <w:p>
      <w:pPr>
        <w:ind w:left="0" w:firstLine="482"/>
        <w:jc w:val="left"/>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第八条 违约责任</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1.甲方无正当理由拒收服务、拒付服务款的，甲方向乙方偿付合同总价的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%违约金。</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2.甲方未按合同规定的期限向乙方支付服务款的，每逾期1天甲方向乙方偿付欠款总额的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‰滞纳金，但累计滞纳金总额不超过欠款总额的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3.如乙方不能交付服务的，甲方有权扣留全部履约保证金；同时乙方应向甲方支付合同总价</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%的违约金。</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4.乙方逾期交付的，每逾期1天，乙方向甲方偿付合同总额的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‰的滞纳金。如乙方逾期交付达</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10</w:t>
      </w: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天，甲方有权解除合同，解除合同的通知自到达乙方时生效。</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5.乙方所交付的服务不符合合同规定的，甲方有权拒收。甲方拒收的，乙方应向甲方支付合同总款</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%的违约金。</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6.在乙方承诺的或国家规定的质量保证期内（取两者中最长的期限），如经乙方</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次整改仍不能达到合同约定的质量标准，乙方应退回全部合同价款，并按本条第3款处理，同时，乙方还须赔偿甲方因此遭受的损失。</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7.乙方未按本合同的规定和服务承诺提供伴随服务/售后服务的，应按合同总价款的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%向甲方承担违约责任。</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9.乙方响应属虚假承诺，或经权威部门检测提供的服务不能满足投标（响应）文件要求，或是由于乙方的过错造成合同无法继续履行的，乙方履约保证金不予退还外，还应向甲方支付不少于合同总价</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30</w:t>
      </w:r>
      <w:r>
        <w:rPr>
          <w:rFonts w:hint="eastAsia" w:asciiTheme="minorEastAsia" w:hAnsiTheme="minorEastAsia" w:eastAsiaTheme="minorEastAsia" w:cstheme="minorEastAsia"/>
          <w:b w:val="0"/>
          <w:bCs w:val="0"/>
          <w:color w:val="000000" w:themeColor="text1"/>
          <w:sz w:val="24"/>
          <w:szCs w:val="24"/>
          <w:highlight w:val="none"/>
          <w:lang w:val="zh-CN"/>
          <w14:textFill>
            <w14:solidFill>
              <w14:schemeClr w14:val="tx1"/>
            </w14:solidFill>
          </w14:textFill>
        </w:rPr>
        <w:t xml:space="preserve">%赔偿金。</w:t>
      </w:r>
      <w:r/>
    </w:p>
    <w:p>
      <w:pPr>
        <w:ind w:left="0" w:firstLine="482"/>
        <w:jc w:val="left"/>
        <w:keepLines w:val="0"/>
        <w:keepNext w:val="0"/>
        <w:pageBreakBefore w:val="0"/>
        <w:spacing w:line="360" w:lineRule="auto"/>
        <w:shd w:val="clear" w:color="auto"/>
        <w:widowControl/>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第九条 合同的变更和终止</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1、除《政府采购法》第50条规定的情形外，本合同一经签订，甲乙双方不得擅自变更、中止或终止合同。</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除发生法律规定的不能预见、不能避免并不能克服的客观情况外，甲乙双方不得放弃或拒绝履行合同。</w:t>
      </w:r>
      <w:r/>
    </w:p>
    <w:p>
      <w:pPr>
        <w:ind w:left="0" w:firstLine="482"/>
        <w:jc w:val="left"/>
        <w:keepLines w:val="0"/>
        <w:keepNext w:val="0"/>
        <w:pageBreakBefore w:val="0"/>
        <w:spacing w:line="360" w:lineRule="auto"/>
        <w:shd w:val="clear" w:color="auto"/>
        <w:widowControl/>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第十条 合同的转让</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乙方不得擅自部分或全部转让其应履行的合同义务。</w:t>
      </w:r>
      <w:r/>
    </w:p>
    <w:p>
      <w:pPr>
        <w:ind w:left="0" w:firstLine="482"/>
        <w:jc w:val="left"/>
        <w:keepLines w:val="0"/>
        <w:keepNext w:val="0"/>
        <w:pageBreakBefore w:val="0"/>
        <w:spacing w:line="360" w:lineRule="auto"/>
        <w:shd w:val="clear" w:color="auto"/>
        <w:widowControl/>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第十一条 争议的解决</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1、因服务的质量问题发生争议的，应当邀请国家认可的部门对服务质量进行鉴定。符合标准的，鉴定费由甲方承担；不符合质量标准的，鉴定费由乙方承担。</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2、因履行本合同引起的或与本合同有关的争议，甲、乙双方应首先通过友好协商解决，如果协商不能解决争议，则采取以下第（1）种方式解决争议：</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（1）向甲方所在地有管辖权的人民法院提起诉讼；</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（2）向南京仲裁委员会按其仲裁规则申请仲裁。</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如没有约定，默认采取第2种方式解决争议。</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3、在诉讼期间，本合同应继续履行。</w:t>
      </w:r>
      <w:r/>
    </w:p>
    <w:p>
      <w:pPr>
        <w:ind w:left="0" w:firstLine="482"/>
        <w:jc w:val="left"/>
        <w:keepLines w:val="0"/>
        <w:keepNext w:val="0"/>
        <w:pageBreakBefore w:val="0"/>
        <w:spacing w:line="360" w:lineRule="auto"/>
        <w:shd w:val="clear" w:color="auto"/>
        <w:widowControl/>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第十二条 诚实信用</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乙方应诚实信用，严格按照招标文件要求和投标承诺履行合同，不向甲方进行商业贿赂或者提供不正当利益。</w:t>
      </w:r>
      <w:r/>
    </w:p>
    <w:p>
      <w:pPr>
        <w:ind w:left="0" w:firstLine="482"/>
        <w:jc w:val="left"/>
        <w:keepLines w:val="0"/>
        <w:keepNext w:val="0"/>
        <w:pageBreakBefore w:val="0"/>
        <w:spacing w:line="360" w:lineRule="auto"/>
        <w:shd w:val="clear" w:color="auto"/>
        <w:widowControl/>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第十三条 合同生效及其他</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1、本合同自签订之日起生效。</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2、本合同一式捌份，甲乙双方各执叁份，一份交代理机构存档，一份报送政府采购监督管理部门备案。</w:t>
      </w:r>
      <w:r/>
    </w:p>
    <w:p>
      <w:pPr>
        <w:ind w:left="0" w:firstLine="480"/>
        <w:jc w:val="left"/>
        <w:keepLines w:val="0"/>
        <w:keepNext w:val="0"/>
        <w:pageBreakBefore w:val="0"/>
        <w:spacing w:line="360" w:lineRule="auto"/>
        <w:shd w:val="clear" w:color="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3、本合同应按照中华人民共和国的现行法律进行解释。</w:t>
      </w:r>
      <w:r/>
    </w:p>
    <w:tbl>
      <w:tblPr>
        <w:tblStyle w:val="956"/>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734"/>
        <w:gridCol w:w="4734"/>
      </w:tblGrid>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甲方（采购人）：（盖章）</w:t>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乙方（供应商）：（盖章）</w:t>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代表人：</w:t>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代表人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电 话：</w:t>
            </w:r>
            <w:r>
              <w:rPr>
                <w:rFonts w:hint="eastAsia" w:ascii="宋体" w:hAnsi="宋体" w:eastAsia="宋体" w:cs="宋体"/>
                <w:color w:val="000000" w:themeColor="text1"/>
                <w:sz w:val="24"/>
                <w:szCs w:val="24"/>
                <w:highlight w:val="none"/>
                <w:lang w:val="zh-CN"/>
                <w14:textFill>
                  <w14:solidFill>
                    <w14:schemeClr w14:val="tx1"/>
                  </w14:solidFill>
                </w14:textFill>
              </w:rPr>
              <w:tab/>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开户银行：</w:t>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keepLines w:val="0"/>
              <w:keepNext w:val="0"/>
              <w:pageBreakBefore w:val="0"/>
              <w:spacing w:line="24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银行帐号：</w:t>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keepLines w:val="0"/>
              <w:keepNext w:val="0"/>
              <w:pageBreakBefore w:val="0"/>
              <w:spacing w:line="24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银行账号：</w:t>
            </w:r>
            <w:r/>
          </w:p>
        </w:tc>
      </w:tr>
    </w:tbl>
    <w:p>
      <w:pPr>
        <w:jc w:val="left"/>
        <w:spacing w:line="560" w:lineRule="exact"/>
        <w:shd w:val="clear" w:color="auto"/>
        <w:widowControl/>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482"/>
        <w:jc w:val="left"/>
        <w:keepLines w:val="0"/>
        <w:keepNext w:val="0"/>
        <w:pageBreakBefore w:val="0"/>
        <w:spacing w:line="360" w:lineRule="auto"/>
        <w:shd w:val="clear" w:color="auto"/>
        <w:widowControl/>
        <w:rPr>
          <w:rFonts w:hint="eastAsia" w:ascii="宋体" w:hAnsi="宋体" w:eastAsia="宋体" w:cs="宋体"/>
          <w:b/>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304" w:header="567" w:footer="907" w:gutter="0"/>
          <w:cols w:num="1" w:sep="0" w:space="425" w:equalWidth="1"/>
          <w:docGrid w:linePitch="360"/>
        </w:sect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2"/>
        <w:jc w:val="left"/>
        <w:keepLines w:val="0"/>
        <w:keepNext w:val="0"/>
        <w:pageBreakBefore w:val="0"/>
        <w:spacing w:line="360" w:lineRule="auto"/>
        <w:shd w:val="clear" w:color="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附件</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：服务内容及要求</w:t>
      </w:r>
      <w:r/>
    </w:p>
    <w:p>
      <w:pPr>
        <w:numPr>
          <w:ilvl w:val="0"/>
          <w:numId w:val="0"/>
        </w:numPr>
        <w:ind w:firstLine="480"/>
        <w:keepLines w:val="0"/>
        <w:keepNext w:val="0"/>
        <w:pageBreakBefore w:val="0"/>
        <w:spacing w:line="360" w:lineRule="auto"/>
        <w:shd w:val="clear" w:color="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详见招标文件“第四章 采购需求”</w:t>
      </w:r>
      <w:r/>
    </w:p>
    <w:p>
      <w:pPr>
        <w:ind w:firstLine="482"/>
        <w:jc w:val="left"/>
        <w:keepLines w:val="0"/>
        <w:keepNext w:val="0"/>
        <w:pageBreakBefore w:val="0"/>
        <w:spacing w:line="360" w:lineRule="auto"/>
        <w:shd w:val="clear" w:color="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附件</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廉 政 协 议 书</w:t>
      </w:r>
      <w:r/>
    </w:p>
    <w:p>
      <w:pPr>
        <w:ind w:firstLine="480"/>
        <w:jc w:val="center"/>
        <w:spacing w:line="360" w:lineRule="auto"/>
        <w:shd w:val="clear" w:color="auto"/>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廉政协议书</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为了贯彻落实党中央国务院《关于实现党风廉政建设责任制的规定》和江苏省、南京市有关廉政建设的法律法规，加强工程建设中的党风廉政建设，保证</w:t>
      </w:r>
      <w:r>
        <w:rPr>
          <w:rFonts w:hint="eastAsia" w:ascii="宋体" w:hAnsi="宋体"/>
          <w:color w:val="000000" w:themeColor="text1"/>
          <w:sz w:val="24"/>
          <w:szCs w:val="24"/>
          <w:highlight w:val="none"/>
          <w:u w:val="single"/>
          <w:lang w:eastAsia="zh-CN"/>
          <w14:textFill>
            <w14:solidFill>
              <w14:schemeClr w14:val="tx1"/>
            </w14:solidFill>
          </w14:textFill>
        </w:rPr>
        <w:t xml:space="preserve">南京市栖霞区市政设施综合养护管理所</w:t>
      </w:r>
      <w:r>
        <w:rPr>
          <w:rFonts w:hint="eastAsia" w:ascii="宋体" w:hAnsi="宋体"/>
          <w:color w:val="000000" w:themeColor="text1"/>
          <w:sz w:val="24"/>
          <w:szCs w:val="24"/>
          <w:highlight w:val="none"/>
          <w:lang w:eastAsia="zh-CN"/>
          <w14:textFill>
            <w14:solidFill>
              <w14:schemeClr w14:val="tx1"/>
            </w14:solidFill>
          </w14:textFill>
        </w:rPr>
        <w:t xml:space="preserve">项</w:t>
      </w:r>
      <w:r>
        <w:rPr>
          <w:rFonts w:hint="eastAsia" w:ascii="宋体" w:hAnsi="宋体"/>
          <w:color w:val="000000" w:themeColor="text1"/>
          <w:sz w:val="24"/>
          <w:szCs w:val="24"/>
          <w:highlight w:val="none"/>
          <w14:textFill>
            <w14:solidFill>
              <w14:schemeClr w14:val="tx1"/>
            </w14:solidFill>
          </w14:textFill>
        </w:rPr>
        <w:t xml:space="preserve">目优质、高效、健康、有序地进行，</w:t>
      </w:r>
      <w:r>
        <w:rPr>
          <w:rFonts w:hint="eastAsia" w:ascii="宋体" w:hAnsi="宋体"/>
          <w:color w:val="000000" w:themeColor="text1"/>
          <w:sz w:val="24"/>
          <w:szCs w:val="24"/>
          <w:highlight w:val="none"/>
          <w:lang w:eastAsia="zh-CN"/>
          <w14:textFill>
            <w14:solidFill>
              <w14:schemeClr w14:val="tx1"/>
            </w14:solidFill>
          </w14:textFill>
        </w:rPr>
        <w:t xml:space="preserve">南京市栖霞区市政设施综合养护管理所</w:t>
      </w:r>
      <w:r>
        <w:rPr>
          <w:rFonts w:hint="eastAsia" w:ascii="宋体" w:hAnsi="宋体"/>
          <w:color w:val="000000" w:themeColor="text1"/>
          <w:sz w:val="24"/>
          <w:szCs w:val="24"/>
          <w:highlight w:val="none"/>
          <w14:textFill>
            <w14:solidFill>
              <w14:schemeClr w14:val="tx1"/>
            </w14:solidFill>
          </w14:textFill>
        </w:rPr>
        <w:t xml:space="preserve">（以下称甲方）,与承担</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栖霞区市政所2026年至2029年（3年）燕霞路市政、绿化设施养护</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eastAsia="zh-CN"/>
          <w14:textFill>
            <w14:solidFill>
              <w14:schemeClr w14:val="tx1"/>
            </w14:solidFill>
          </w14:textFill>
        </w:rPr>
        <w:t xml:space="preserve">实施</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（以下称乙方）特订立如下廉政协议书。</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第一条、甲乙双方约定</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l、甲乙双方应共同遵守国家和省、市以及行业主管部门关于加强党风廉政建设的各项规定。</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2、甲乙双方应认真执行合同文件,自觉按合同办事。</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3、除法律认定的商业秘密和合同文件另有规定之外,甲乙双方的业务活动应坚持公开、公正、透明的原则,严禁损害国家和甲乙双方集体利益、违反</w:t>
      </w:r>
      <w:r>
        <w:rPr>
          <w:rFonts w:hint="eastAsia" w:ascii="宋体" w:hAnsi="宋体"/>
          <w:color w:val="000000" w:themeColor="text1"/>
          <w:sz w:val="24"/>
          <w:szCs w:val="24"/>
          <w:highlight w:val="none"/>
          <w:lang w:eastAsia="zh-CN"/>
          <w14:textFill>
            <w14:solidFill>
              <w14:schemeClr w14:val="tx1"/>
            </w14:solidFill>
          </w14:textFill>
        </w:rPr>
        <w:t xml:space="preserve">相关</w:t>
      </w:r>
      <w:r>
        <w:rPr>
          <w:rFonts w:hint="eastAsia" w:ascii="宋体" w:hAnsi="宋体"/>
          <w:color w:val="000000" w:themeColor="text1"/>
          <w:sz w:val="24"/>
          <w:szCs w:val="24"/>
          <w:highlight w:val="none"/>
          <w14:textFill>
            <w14:solidFill>
              <w14:schemeClr w14:val="tx1"/>
            </w14:solidFill>
          </w14:textFill>
        </w:rPr>
        <w:t xml:space="preserve">管理规章制度的不正当交易。</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4、甲乙双方应加强对本</w:t>
      </w:r>
      <w:r>
        <w:rPr>
          <w:rFonts w:hint="eastAsia" w:ascii="宋体" w:hAnsi="宋体"/>
          <w:color w:val="000000" w:themeColor="text1"/>
          <w:sz w:val="24"/>
          <w:szCs w:val="24"/>
          <w:highlight w:val="none"/>
          <w:lang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参加人员的廉政监督,建立和健全廉政制度,认真查处本方人员的违法违纪行为。</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5、甲乙双方有对本方人员开展廉政告知、廉政教育和职业道德教育的义务。</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6、甲乙双方如发现对方在业务活动中有不廉洁行为,有及时提醒对方并督促其纠正的权利和义务。</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第二条、甲方在廉政建设方面的责任</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1、甲方及其工作人员不得以任何形式向乙方索要和收受回扣。</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2、甲方及其工作人员不得接受乙方的礼金、有价证券和贵重物品,不得在乙方报销任何应由个人支付的费用。</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3、甲方工作人员不得参加可能对公正执行公务有影响的宴请、娱乐、休闲、旅游等活动。</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4、甲方及其工作人员不得要求或者接受乙方为其住房装修、婚丧嫁娶、家属子女的工作安排以及出国、出境等提供方便。</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5、甲方及其工作人员不得向乙方介绍家属、亲友从事与甲方工程有关的材料设备供应、工程分包等经济活动。</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6、甲方工作人员不得在家里接待乙方有关工程事项的询访。</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第三条、乙方在廉政建设方面的责任</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1、乙方不得以任何理由向甲方及其工作人员赠送礼金、有价证券和贵重物品等。</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2、乙方不得以任何名义为甲方及其工作人员报支应由个人支付的任何费用。</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3、乙方不得以任何理由邀请甲方工作人员参加宴请、娱乐、休闲、旅游等活动。</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4、乙方不得为甲方单位和个人购置或提供通讯工具、交通工具、家电和高档办公用品或者为通讯工具充值。</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5、乙方人员不得到甲方人员家里询访有关</w:t>
      </w:r>
      <w:r>
        <w:rPr>
          <w:rFonts w:hint="eastAsia" w:ascii="宋体" w:hAnsi="宋体"/>
          <w:color w:val="000000" w:themeColor="text1"/>
          <w:sz w:val="24"/>
          <w:szCs w:val="24"/>
          <w:highlight w:val="none"/>
          <w:lang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事项。</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第四条、违约责任</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1、甲方及其工作人员有违反本廉政协议书第一条和第二条的,按甲方单位的廉政建设规定处罚，同时汇报检察机关。</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2、乙方有违反本廉政协议书第一条和第三条的,除通过上级纪检监察机关按乙方单位的廉政建设规定处罚外,视情节轻重和造成损失大小依照相关法律、法规追究相关责任，且在3年内不得参加</w:t>
      </w:r>
      <w:r>
        <w:rPr>
          <w:rFonts w:hint="eastAsia" w:ascii="宋体" w:hAnsi="宋体"/>
          <w:color w:val="000000" w:themeColor="text1"/>
          <w:sz w:val="24"/>
          <w:szCs w:val="24"/>
          <w:highlight w:val="none"/>
          <w:lang w:eastAsia="zh-CN"/>
          <w14:textFill>
            <w14:solidFill>
              <w14:schemeClr w14:val="tx1"/>
            </w14:solidFill>
          </w14:textFill>
        </w:rPr>
        <w:t xml:space="preserve">南京市栖霞区市政设施综合养护管理所招</w:t>
      </w:r>
      <w:r>
        <w:rPr>
          <w:rFonts w:hint="eastAsia" w:ascii="宋体" w:hAnsi="宋体"/>
          <w:color w:val="000000" w:themeColor="text1"/>
          <w:sz w:val="24"/>
          <w:szCs w:val="24"/>
          <w:highlight w:val="none"/>
          <w14:textFill>
            <w14:solidFill>
              <w14:schemeClr w14:val="tx1"/>
            </w14:solidFill>
          </w14:textFill>
        </w:rPr>
        <w:t xml:space="preserve">投标活动。</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第五条、如出现廉政问题，由监督部门按相关法律法规进行处理。</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第六条、本廉政协议书有效期为从甲乙双方签署之日起,到该项目</w:t>
      </w:r>
      <w:r>
        <w:rPr>
          <w:rFonts w:hint="eastAsia" w:ascii="宋体" w:hAnsi="宋体"/>
          <w:color w:val="000000" w:themeColor="text1"/>
          <w:sz w:val="24"/>
          <w:szCs w:val="24"/>
          <w:highlight w:val="none"/>
          <w:lang w:eastAsia="zh-CN"/>
          <w14:textFill>
            <w14:solidFill>
              <w14:schemeClr w14:val="tx1"/>
            </w14:solidFill>
          </w14:textFill>
        </w:rPr>
        <w:t xml:space="preserve">完成</w:t>
      </w:r>
      <w:r>
        <w:rPr>
          <w:rFonts w:hint="eastAsia" w:ascii="宋体" w:hAnsi="宋体"/>
          <w:color w:val="000000" w:themeColor="text1"/>
          <w:sz w:val="24"/>
          <w:szCs w:val="24"/>
          <w:highlight w:val="none"/>
          <w14:textFill>
            <w14:solidFill>
              <w14:schemeClr w14:val="tx1"/>
            </w14:solidFill>
          </w14:textFill>
        </w:rPr>
        <w:t xml:space="preserve">止。</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第七条、本廉政协议书作为合同的附件,与合同具有同等的法律效力,经协议双方签署后立即生效。</w:t>
      </w:r>
      <w:r/>
    </w:p>
    <w:p>
      <w:pPr>
        <w:ind w:firstLine="48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本协议书未尽事宜，参照国家相关法律规定及</w:t>
      </w:r>
      <w:r>
        <w:rPr>
          <w:rFonts w:hint="eastAsia" w:ascii="宋体" w:hAnsi="宋体"/>
          <w:color w:val="000000" w:themeColor="text1"/>
          <w:sz w:val="24"/>
          <w:szCs w:val="24"/>
          <w:highlight w:val="none"/>
          <w:lang w:eastAsia="zh-CN"/>
          <w14:textFill>
            <w14:solidFill>
              <w14:schemeClr w14:val="tx1"/>
            </w14:solidFill>
          </w14:textFill>
        </w:rPr>
        <w:t xml:space="preserve">相关规定</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shd w:val="clear" w:color="auto"/>
        <w:tabs>
          <w:tab w:val="left" w:pos="451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甲方单位：（盖章）            乙方单位：（盖章）</w:t>
      </w:r>
      <w:r/>
    </w:p>
    <w:p>
      <w:pP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                  法定代表人：</w:t>
      </w:r>
      <w:r/>
    </w:p>
    <w:p>
      <w:pP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                        地址：</w:t>
      </w:r>
      <w:r/>
    </w:p>
    <w:p>
      <w:pPr>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电话：                        电话：</w:t>
      </w:r>
      <w:r/>
    </w:p>
    <w:p>
      <w:pPr>
        <w:spacing w:line="360" w:lineRule="auto"/>
        <w:shd w:val="clear" w:color="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签约日期：   年  月  日       签约日期：  年  月   日</w:t>
      </w:r>
      <w:r>
        <w:rPr>
          <w:rFonts w:hint="eastAsia" w:ascii="宋体" w:hAnsi="宋体" w:cs="方正仿宋_GBK"/>
          <w:color w:val="000000" w:themeColor="text1"/>
          <w:sz w:val="24"/>
          <w:szCs w:val="24"/>
          <w:highlight w:val="none"/>
          <w14:textFill>
            <w14:solidFill>
              <w14:schemeClr w14:val="tx1"/>
            </w14:solidFill>
          </w14:textFill>
        </w:rPr>
        <w:t xml:space="preserve"> </w:t>
      </w:r>
      <w:r/>
    </w:p>
    <w:p>
      <w:pPr>
        <w:ind w:firstLine="456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r>
      <w:r/>
    </w:p>
    <w:p>
      <w:pPr>
        <w:numPr>
          <w:ilvl w:val="0"/>
          <w:numId w:val="0"/>
        </w:numPr>
        <w:keepLines w:val="0"/>
        <w:keepNext w:val="0"/>
        <w:pageBreakBefore w:val="0"/>
        <w:spacing w:line="360" w:lineRule="auto"/>
        <w:shd w:val="clear" w:color="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shd w:val="clear" w:color="auto"/>
        <w:rPr>
          <w:rFonts w:hint="eastAsia" w:ascii="宋体" w:hAnsi="宋体" w:cs="宋体"/>
          <w:b/>
          <w:color w:val="000000" w:themeColor="text1"/>
          <w:sz w:val="36"/>
          <w:highlight w:val="none"/>
          <w:lang w:val="zh-CN"/>
          <w14:textFill>
            <w14:solidFill>
              <w14:schemeClr w14:val="tx1"/>
            </w14:solidFill>
          </w14:textFill>
        </w:rPr>
      </w:pPr>
      <w:r>
        <w:rPr>
          <w:rFonts w:hint="eastAsia" w:ascii="宋体" w:hAnsi="宋体" w:cs="宋体"/>
          <w:b/>
          <w:color w:val="000000" w:themeColor="text1"/>
          <w:sz w:val="36"/>
          <w:highlight w:val="none"/>
          <w:lang w:val="zh-CN"/>
          <w14:textFill>
            <w14:solidFill>
              <w14:schemeClr w14:val="tx1"/>
            </w14:solidFill>
          </w14:textFill>
        </w:rPr>
        <w:br w:type="page" w:clear="all"/>
      </w:r>
      <w:r/>
    </w:p>
    <w:p>
      <w:pPr>
        <w:jc w:val="center"/>
        <w:shd w:val="clear" w:color="auto"/>
        <w:rPr>
          <w:rFonts w:ascii="宋体" w:hAnsi="宋体" w:eastAsia="宋体" w:cs="宋体"/>
          <w:b/>
          <w:color w:val="000000" w:themeColor="text1"/>
          <w:sz w:val="36"/>
          <w:highlight w:val="none"/>
          <w:lang w:val="zh-CN"/>
          <w14:textFill>
            <w14:solidFill>
              <w14:schemeClr w14:val="tx1"/>
            </w14:solidFill>
          </w14:textFill>
        </w:rPr>
      </w:pPr>
      <w:r>
        <w:rPr>
          <w:rFonts w:hint="eastAsia" w:ascii="宋体" w:hAnsi="宋体" w:eastAsia="宋体" w:cs="宋体"/>
          <w:b/>
          <w:color w:val="000000" w:themeColor="text1"/>
          <w:sz w:val="36"/>
          <w:highlight w:val="none"/>
          <w:lang w:val="zh-CN"/>
          <w14:textFill>
            <w14:solidFill>
              <w14:schemeClr w14:val="tx1"/>
            </w14:solidFill>
          </w14:textFill>
        </w:rPr>
        <w:t xml:space="preserve">第六章  投标文件格式</w:t>
      </w:r>
      <w:r/>
    </w:p>
    <w:p>
      <w:pPr>
        <w:jc w:val="center"/>
        <w:shd w:val="clear" w:color="auto"/>
        <w:rPr>
          <w:rFonts w:hint="default" w:ascii="宋体" w:hAnsi="宋体" w:eastAsia="宋体" w:cs="宋体"/>
          <w:b/>
          <w:color w:val="000000" w:themeColor="text1"/>
          <w:sz w:val="72"/>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（投标人应根据招标文件相关内容提供证明材料，并在制作电子投标文件时做好相关关联索引工作，因关联索引错误或未做关联导致的不利后果由投标人自行承担。）</w:t>
      </w:r>
      <w:r/>
    </w:p>
    <w:p>
      <w:pPr>
        <w:pStyle w:val="1035"/>
        <w:ind w:left="0" w:firstLine="0"/>
        <w:shd w:val="clear" w:color="auto"/>
        <w:rPr>
          <w:rFonts w:ascii="宋体" w:hAnsi="宋体" w:eastAsia="宋体"/>
          <w:b/>
          <w:color w:val="000000" w:themeColor="text1"/>
          <w:sz w:val="72"/>
          <w:highlight w:val="none"/>
          <w14:textFill>
            <w14:solidFill>
              <w14:schemeClr w14:val="tx1"/>
            </w14:solidFill>
          </w14:textFill>
        </w:rPr>
      </w:pPr>
      <w:r>
        <w:rPr>
          <w:rFonts w:ascii="宋体" w:hAnsi="宋体" w:eastAsia="宋体"/>
          <w:b/>
          <w:color w:val="000000" w:themeColor="text1"/>
          <w:sz w:val="72"/>
          <w:highlight w:val="none"/>
          <w14:textFill>
            <w14:solidFill>
              <w14:schemeClr w14:val="tx1"/>
            </w14:solidFill>
          </w14:textFill>
        </w:rPr>
      </w:r>
      <w:r/>
    </w:p>
    <w:p>
      <w:pPr>
        <w:shd w:val="clear" w:color="auto"/>
        <w:rPr>
          <w:rFonts w:ascii="宋体" w:hAnsi="宋体" w:eastAsia="宋体" w:cs="宋体"/>
          <w:b/>
          <w:color w:val="000000" w:themeColor="text1"/>
          <w:sz w:val="72"/>
          <w:highlight w:val="none"/>
          <w14:textFill>
            <w14:solidFill>
              <w14:schemeClr w14:val="tx1"/>
            </w14:solidFill>
          </w14:textFill>
        </w:rPr>
      </w:pPr>
      <w:r>
        <w:rPr>
          <w:rFonts w:ascii="宋体" w:hAnsi="宋体" w:eastAsia="宋体" w:cs="宋体"/>
          <w:b/>
          <w:color w:val="000000" w:themeColor="text1"/>
          <w:sz w:val="72"/>
          <w:highlight w:val="none"/>
          <w14:textFill>
            <w14:solidFill>
              <w14:schemeClr w14:val="tx1"/>
            </w14:solidFill>
          </w14:textFill>
        </w:rPr>
      </w:r>
      <w:r/>
    </w:p>
    <w:p>
      <w:pPr>
        <w:pStyle w:val="1035"/>
        <w:ind w:left="0" w:firstLine="0"/>
        <w:shd w:val="clear" w:color="auto"/>
        <w:rPr>
          <w:rFonts w:ascii="宋体" w:hAnsi="宋体" w:eastAsia="宋体"/>
          <w:b/>
          <w:color w:val="000000" w:themeColor="text1"/>
          <w:sz w:val="72"/>
          <w:highlight w:val="none"/>
          <w14:textFill>
            <w14:solidFill>
              <w14:schemeClr w14:val="tx1"/>
            </w14:solidFill>
          </w14:textFill>
        </w:rPr>
      </w:pPr>
      <w:r>
        <w:rPr>
          <w:rFonts w:ascii="宋体" w:hAnsi="宋体" w:eastAsia="宋体"/>
          <w:b/>
          <w:color w:val="000000" w:themeColor="text1"/>
          <w:sz w:val="72"/>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jc w:val="center"/>
        <w:shd w:val="clear" w:color="auto"/>
        <w:rPr>
          <w:rFonts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 xml:space="preserve">投  标  文  件</w:t>
      </w:r>
      <w:r/>
    </w:p>
    <w:p>
      <w:pPr>
        <w:jc w:val="center"/>
        <w:shd w:val="clear" w:color="auto"/>
        <w:rPr>
          <w:rFonts w:ascii="宋体" w:hAnsi="宋体" w:eastAsia="宋体" w:cs="宋体"/>
          <w:b/>
          <w:color w:val="000000" w:themeColor="text1"/>
          <w:sz w:val="72"/>
          <w:highlight w:val="none"/>
          <w14:textFill>
            <w14:solidFill>
              <w14:schemeClr w14:val="tx1"/>
            </w14:solidFill>
          </w14:textFill>
        </w:rPr>
      </w:pPr>
      <w:r>
        <w:rPr>
          <w:rFonts w:ascii="宋体" w:hAnsi="宋体" w:eastAsia="宋体" w:cs="宋体"/>
          <w:b/>
          <w:color w:val="000000" w:themeColor="text1"/>
          <w:sz w:val="72"/>
          <w:highlight w:val="none"/>
          <w14:textFill>
            <w14:solidFill>
              <w14:schemeClr w14:val="tx1"/>
            </w14:solidFill>
          </w14:textFill>
        </w:rPr>
      </w:r>
      <w:r/>
    </w:p>
    <w:p>
      <w:pPr>
        <w:jc w:val="center"/>
        <w:shd w:val="clear" w:color="auto"/>
        <w:rPr>
          <w:rFonts w:ascii="宋体" w:hAnsi="宋体" w:eastAsia="宋体" w:cs="宋体"/>
          <w:b/>
          <w:color w:val="000000" w:themeColor="text1"/>
          <w:sz w:val="72"/>
          <w:highlight w:val="none"/>
          <w14:textFill>
            <w14:solidFill>
              <w14:schemeClr w14:val="tx1"/>
            </w14:solidFill>
          </w14:textFill>
        </w:rPr>
      </w:pPr>
      <w:r>
        <w:rPr>
          <w:rFonts w:ascii="宋体" w:hAnsi="宋体" w:eastAsia="宋体" w:cs="宋体"/>
          <w:b/>
          <w:color w:val="000000" w:themeColor="text1"/>
          <w:sz w:val="72"/>
          <w:highlight w:val="none"/>
          <w14:textFill>
            <w14:solidFill>
              <w14:schemeClr w14:val="tx1"/>
            </w14:solidFill>
          </w14:textFill>
        </w:rPr>
      </w:r>
      <w:r/>
    </w:p>
    <w:p>
      <w:pPr>
        <w:jc w:val="center"/>
        <w:shd w:val="clear" w:color="auto"/>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jc w:val="center"/>
        <w:shd w:val="clear" w:color="auto"/>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jc w:val="center"/>
        <w:shd w:val="clear" w:color="auto"/>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ind w:firstLine="1084"/>
        <w:shd w:val="clear" w:color="auto"/>
        <w:rPr>
          <w:rFonts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名 称：</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ind w:firstLine="1084"/>
        <w:shd w:val="clear" w:color="auto"/>
        <w:rPr>
          <w:rFonts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hd w:val="clear" w:color="auto"/>
        <w:rPr>
          <w:rFonts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highlight w:val="none"/>
          <w:u w:val="single"/>
          <w14:textFill>
            <w14:solidFill>
              <w14:schemeClr w14:val="tx1"/>
            </w14:solidFill>
          </w14:textFill>
        </w:rPr>
        <w:t xml:space="preserve">（加盖电子公章）   </w:t>
      </w:r>
      <w:r/>
    </w:p>
    <w:p>
      <w:pPr>
        <w:shd w:val="clear" w:color="auto"/>
        <w:rPr>
          <w:rFonts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日      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jc w:val="both"/>
        <w:spacing w:line="440" w:lineRule="exact"/>
        <w:shd w:val="clear" w:color="auto"/>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spacing w:line="440" w:lineRule="exact"/>
        <w:shd w:val="clear" w:color="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jc w:val="both"/>
        <w:shd w:val="clear" w:color="auto"/>
        <w:rPr>
          <w:rFonts w:ascii="宋体" w:hAnsi="宋体" w:eastAsia="宋体" w:cs="宋体"/>
          <w:b/>
          <w:bCs/>
          <w:color w:val="000000" w:themeColor="text1"/>
          <w:sz w:val="24"/>
          <w:highlight w:val="none"/>
          <w14:textFill>
            <w14:solidFill>
              <w14:schemeClr w14:val="tx1"/>
            </w14:solidFill>
          </w14:textFill>
        </w:rPr>
      </w:pPr>
      <w:r>
        <w:rPr>
          <w:rFonts w:ascii="宋体" w:hAnsi="宋体" w:eastAsia="宋体" w:cs="宋体"/>
          <w:b/>
          <w:bCs/>
          <w:color w:val="000000" w:themeColor="text1"/>
          <w:sz w:val="24"/>
          <w:highlight w:val="none"/>
          <w14:textFill>
            <w14:solidFill>
              <w14:schemeClr w14:val="tx1"/>
            </w14:solidFill>
          </w14:textFill>
        </w:rPr>
      </w:r>
      <w:r/>
    </w:p>
    <w:p>
      <w:pPr>
        <w:ind w:firstLine="723"/>
        <w:jc w:val="center"/>
        <w:shd w:val="clear" w:color="auto"/>
        <w:rPr>
          <w:rFonts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br w:type="page" w:clear="all"/>
      </w:r>
      <w:bookmarkStart w:id="37" w:name="_Toc405408732"/>
      <w:r/>
      <w:bookmarkEnd w:id="37"/>
      <w:r/>
      <w:bookmarkStart w:id="38" w:name="_Toc489655320"/>
      <w:r/>
      <w:bookmarkEnd w:id="38"/>
      <w:r/>
      <w:r/>
    </w:p>
    <w:p>
      <w:pPr>
        <w:jc w:val="center"/>
        <w:shd w:val="clear" w:color="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评分索引表</w:t>
      </w:r>
      <w:r/>
    </w:p>
    <w:tbl>
      <w:tblPr>
        <w:tblStyle w:val="9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jc w:val="cente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t xml:space="preserve">评分项目</w:t>
            </w:r>
            <w:r/>
          </w:p>
        </w:tc>
        <w:tc>
          <w:tcPr>
            <w:tcW w:w="3570" w:type="dxa"/>
            <w:vAlign w:val="top"/>
            <w:textDirection w:val="lrTb"/>
            <w:noWrap w:val="false"/>
          </w:tcPr>
          <w:p>
            <w:pPr>
              <w:jc w:val="cente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t xml:space="preserve">在投标文件中的页码位置</w:t>
            </w:r>
            <w:r/>
          </w:p>
        </w:tc>
      </w:tr>
      <w:tr>
        <w:trPr>
          <w:trHeight w:val="446"/>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51"/>
        </w:trPr>
        <w:tc>
          <w:tcPr>
            <w:gridSpan w:val="2"/>
            <w:tcW w:w="924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28"/>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20"/>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60"/>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60"/>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399"/>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389"/>
        </w:trPr>
        <w:tc>
          <w:tcPr>
            <w:gridSpan w:val="2"/>
            <w:tcW w:w="924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388"/>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23"/>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07"/>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40"/>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44"/>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07"/>
        </w:trPr>
        <w:tc>
          <w:tcPr>
            <w:gridSpan w:val="2"/>
            <w:tcW w:w="924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385"/>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02"/>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39"/>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55"/>
        </w:trPr>
        <w:tc>
          <w:tcPr>
            <w:gridSpan w:val="2"/>
            <w:tcW w:w="924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37"/>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r>
        <w:trPr>
          <w:trHeight w:val="440"/>
        </w:trPr>
        <w:tc>
          <w:tcPr>
            <w:tcW w:w="56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c>
          <w:tcPr>
            <w:tcW w:w="3570" w:type="dxa"/>
            <w:vAlign w:val="top"/>
            <w:textDirection w:val="lrTb"/>
            <w:noWrap w:val="false"/>
          </w:tcPr>
          <w:p>
            <w:pPr>
              <w:shd w:val="clear" w:color="auto"/>
              <w:rPr>
                <w:rFonts w:hint="eastAsia" w:ascii="宋体" w:hAnsi="宋体" w:eastAsia="宋体" w:cs="宋体"/>
                <w:b/>
                <w:color w:val="000000" w:themeColor="text1"/>
                <w:highlight w:val="none"/>
                <w:lang w:bidi="en-US"/>
                <w14:textFill>
                  <w14:solidFill>
                    <w14:schemeClr w14:val="tx1"/>
                  </w14:solidFill>
                </w14:textFill>
              </w:rPr>
            </w:pPr>
            <w:r>
              <w:rPr>
                <w:rFonts w:hint="eastAsia" w:ascii="宋体" w:hAnsi="宋体" w:eastAsia="宋体" w:cs="宋体"/>
                <w:b/>
                <w:color w:val="000000" w:themeColor="text1"/>
                <w:highlight w:val="none"/>
                <w:lang w:bidi="en-US"/>
                <w14:textFill>
                  <w14:solidFill>
                    <w14:schemeClr w14:val="tx1"/>
                  </w14:solidFill>
                </w14:textFill>
              </w:rPr>
            </w:r>
            <w:r/>
          </w:p>
        </w:tc>
      </w:tr>
    </w:tbl>
    <w:p>
      <w:pPr>
        <w:jc w:val="left"/>
        <w:spacing w:line="360" w:lineRule="auto"/>
        <w:shd w:val="clear" w:color="auto"/>
        <w:rPr>
          <w:rFonts w:hint="eastAsia" w:ascii="宋体" w:hAnsi="宋体" w:eastAsia="宋体" w:cs="宋体"/>
          <w:color w:val="000000" w:themeColor="text1"/>
          <w:sz w:val="32"/>
          <w:szCs w:val="32"/>
          <w:highlight w:val="none"/>
          <w:lang w:val="en-US" w:eastAsia="zh-CN"/>
          <w14:textFill>
            <w14:solidFill>
              <w14:schemeClr w14:val="tx1"/>
            </w14:solidFill>
          </w14:textFill>
        </w:rPr>
        <w:sectPr>
          <w:footnotePr/>
          <w:endnotePr/>
          <w:type w:val="nextPage"/>
          <w:pgSz w:w="11906" w:h="16838" w:orient="portrait"/>
          <w:pgMar w:top="1134" w:right="1134" w:bottom="1134" w:left="1304" w:header="567" w:footer="907" w:gutter="0"/>
          <w:cols w:num="1" w:sep="0" w:space="425" w:equalWidth="1"/>
          <w:docGrid w:linePitch="360"/>
        </w:sectPr>
      </w:pPr>
      <w:r>
        <w:rPr>
          <w:rFonts w:hint="eastAsia" w:ascii="宋体" w:hAnsi="宋体" w:eastAsia="宋体" w:cs="宋体"/>
          <w:color w:val="000000" w:themeColor="text1"/>
          <w:sz w:val="32"/>
          <w:szCs w:val="32"/>
          <w:highlight w:val="none"/>
          <w:lang w:val="en-US" w:eastAsia="zh-CN"/>
          <w14:textFill>
            <w14:solidFill>
              <w14:schemeClr w14:val="tx1"/>
            </w14:solidFill>
          </w14:textFill>
        </w:rPr>
      </w:r>
      <w:r/>
    </w:p>
    <w:p>
      <w:pPr>
        <w:jc w:val="center"/>
        <w:shd w:val="clear" w:color="auto"/>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投标文件主要目录及相关证明材料格式、附件</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numPr>
          <w:ilvl w:val="0"/>
          <w:numId w:val="0"/>
        </w:numPr>
        <w:ind w:left="2280" w:hanging="72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一、</w:t>
      </w:r>
      <w:r>
        <w:rPr>
          <w:rFonts w:hint="eastAsia" w:ascii="宋体" w:hAnsi="宋体" w:eastAsia="宋体" w:cs="宋体"/>
          <w:color w:val="000000" w:themeColor="text1"/>
          <w:sz w:val="28"/>
          <w:szCs w:val="28"/>
          <w:highlight w:val="none"/>
          <w14:textFill>
            <w14:solidFill>
              <w14:schemeClr w14:val="tx1"/>
            </w14:solidFill>
          </w14:textFill>
        </w:rPr>
        <w:t xml:space="preserve">投标申请及声明</w:t>
      </w:r>
      <w:r/>
    </w:p>
    <w:p>
      <w:pPr>
        <w:numPr>
          <w:ilvl w:val="0"/>
          <w:numId w:val="0"/>
        </w:numPr>
        <w:ind w:left="2280" w:hanging="72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二、</w:t>
      </w:r>
      <w:r>
        <w:rPr>
          <w:rFonts w:hint="eastAsia" w:ascii="宋体" w:hAnsi="宋体" w:eastAsia="宋体" w:cs="宋体"/>
          <w:color w:val="000000" w:themeColor="text1"/>
          <w:sz w:val="28"/>
          <w:szCs w:val="28"/>
          <w:highlight w:val="none"/>
          <w14:textFill>
            <w14:solidFill>
              <w14:schemeClr w14:val="tx1"/>
            </w14:solidFill>
          </w14:textFill>
        </w:rPr>
        <w:t xml:space="preserve">法定代表人授权书</w:t>
      </w:r>
      <w:r/>
    </w:p>
    <w:p>
      <w:pPr>
        <w:numPr>
          <w:ilvl w:val="0"/>
          <w:numId w:val="0"/>
        </w:numPr>
        <w:ind w:left="2280" w:hanging="72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三、</w:t>
      </w:r>
      <w:r>
        <w:rPr>
          <w:rFonts w:hint="eastAsia" w:ascii="宋体" w:hAnsi="宋体" w:eastAsia="宋体" w:cs="宋体"/>
          <w:color w:val="000000" w:themeColor="text1"/>
          <w:sz w:val="28"/>
          <w:szCs w:val="28"/>
          <w:highlight w:val="none"/>
          <w14:textFill>
            <w14:solidFill>
              <w14:schemeClr w14:val="tx1"/>
            </w14:solidFill>
          </w14:textFill>
        </w:rPr>
        <w:t xml:space="preserve">开 标 一 览 表</w:t>
      </w:r>
      <w:r/>
    </w:p>
    <w:p>
      <w:pPr>
        <w:numPr>
          <w:ilvl w:val="0"/>
          <w:numId w:val="0"/>
        </w:numPr>
        <w:ind w:left="2280" w:hanging="72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四、</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南京市政府采购供应商信用记录表暨信用承诺书</w:t>
      </w:r>
      <w:r/>
    </w:p>
    <w:p>
      <w:pPr>
        <w:numPr>
          <w:ilvl w:val="0"/>
          <w:numId w:val="0"/>
        </w:numPr>
        <w:ind w:left="2280" w:hanging="72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五、</w:t>
      </w:r>
      <w:r>
        <w:rPr>
          <w:rFonts w:hint="eastAsia" w:ascii="宋体" w:hAnsi="宋体" w:eastAsia="宋体" w:cs="宋体"/>
          <w:color w:val="000000" w:themeColor="text1"/>
          <w:sz w:val="28"/>
          <w:szCs w:val="28"/>
          <w:highlight w:val="none"/>
          <w14:textFill>
            <w14:solidFill>
              <w14:schemeClr w14:val="tx1"/>
            </w14:solidFill>
          </w14:textFill>
        </w:rPr>
        <w:t xml:space="preserve">分项报价表</w:t>
      </w:r>
      <w:r/>
    </w:p>
    <w:p>
      <w:pPr>
        <w:numPr>
          <w:ilvl w:val="0"/>
          <w:numId w:val="0"/>
        </w:numPr>
        <w:ind w:left="2280" w:hanging="72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六、</w:t>
      </w:r>
      <w:r>
        <w:rPr>
          <w:rFonts w:hint="eastAsia" w:ascii="宋体" w:hAnsi="宋体" w:eastAsia="宋体" w:cs="宋体"/>
          <w:color w:val="000000" w:themeColor="text1"/>
          <w:sz w:val="28"/>
          <w:szCs w:val="28"/>
          <w:highlight w:val="none"/>
          <w14:textFill>
            <w14:solidFill>
              <w14:schemeClr w14:val="tx1"/>
            </w14:solidFill>
          </w14:textFill>
        </w:rPr>
        <w:t xml:space="preserve">技术条款偏离表</w:t>
      </w:r>
      <w:r/>
    </w:p>
    <w:p>
      <w:pPr>
        <w:numPr>
          <w:ilvl w:val="0"/>
          <w:numId w:val="0"/>
        </w:numPr>
        <w:ind w:left="2280" w:hanging="72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七、</w:t>
      </w:r>
      <w:r>
        <w:rPr>
          <w:rFonts w:hint="eastAsia" w:ascii="宋体" w:hAnsi="宋体" w:eastAsia="宋体" w:cs="宋体"/>
          <w:color w:val="000000" w:themeColor="text1"/>
          <w:sz w:val="28"/>
          <w:szCs w:val="28"/>
          <w:highlight w:val="none"/>
          <w14:textFill>
            <w14:solidFill>
              <w14:schemeClr w14:val="tx1"/>
            </w14:solidFill>
          </w14:textFill>
        </w:rPr>
        <w:t xml:space="preserve">商务条款偏离表</w:t>
      </w:r>
      <w:r/>
    </w:p>
    <w:p>
      <w:pPr>
        <w:numPr>
          <w:ilvl w:val="0"/>
          <w:numId w:val="0"/>
        </w:numPr>
        <w:ind w:left="2280" w:hanging="72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八、</w:t>
      </w:r>
      <w:r>
        <w:rPr>
          <w:rFonts w:hint="eastAsia" w:ascii="宋体" w:hAnsi="宋体" w:eastAsia="宋体" w:cs="宋体"/>
          <w:color w:val="000000" w:themeColor="text1"/>
          <w:sz w:val="28"/>
          <w:szCs w:val="28"/>
          <w:highlight w:val="none"/>
          <w14:textFill>
            <w14:solidFill>
              <w14:schemeClr w14:val="tx1"/>
            </w14:solidFill>
          </w14:textFill>
        </w:rPr>
        <w:t xml:space="preserve">项目实施、集成、实施方案</w:t>
      </w:r>
      <w:r/>
    </w:p>
    <w:p>
      <w:pPr>
        <w:numPr>
          <w:ilvl w:val="0"/>
          <w:numId w:val="0"/>
        </w:numPr>
        <w:ind w:left="2280" w:hanging="72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九、</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供应商</w:t>
      </w:r>
      <w:r>
        <w:rPr>
          <w:rFonts w:hint="eastAsia" w:ascii="宋体" w:hAnsi="宋体" w:eastAsia="宋体" w:cs="宋体"/>
          <w:color w:val="000000" w:themeColor="text1"/>
          <w:sz w:val="28"/>
          <w:szCs w:val="28"/>
          <w:highlight w:val="none"/>
          <w14:textFill>
            <w14:solidFill>
              <w14:schemeClr w14:val="tx1"/>
            </w14:solidFill>
          </w14:textFill>
        </w:rPr>
        <w:t xml:space="preserve">类似业绩情况表</w:t>
      </w:r>
      <w:r/>
    </w:p>
    <w:p>
      <w:pPr>
        <w:numPr>
          <w:ilvl w:val="0"/>
          <w:numId w:val="0"/>
        </w:numPr>
        <w:ind w:left="2280" w:hanging="72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十、</w:t>
      </w:r>
      <w:r>
        <w:rPr>
          <w:rFonts w:hint="eastAsia" w:ascii="宋体" w:hAnsi="宋体" w:eastAsia="宋体" w:cs="宋体"/>
          <w:color w:val="000000" w:themeColor="text1"/>
          <w:sz w:val="28"/>
          <w:szCs w:val="28"/>
          <w:highlight w:val="none"/>
          <w14:textFill>
            <w14:solidFill>
              <w14:schemeClr w14:val="tx1"/>
            </w14:solidFill>
          </w14:textFill>
        </w:rPr>
        <w:t xml:space="preserve">投标需要的其他证明文件及材料（若有)</w:t>
      </w:r>
      <w:r/>
    </w:p>
    <w:p>
      <w:pPr>
        <w:numPr>
          <w:ilvl w:val="0"/>
          <w:numId w:val="0"/>
        </w:numPr>
        <w:ind w:left="2280" w:hanging="72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十一、</w:t>
      </w:r>
      <w:r>
        <w:rPr>
          <w:rFonts w:hint="eastAsia" w:ascii="宋体" w:hAnsi="宋体" w:eastAsia="宋体" w:cs="宋体"/>
          <w:color w:val="000000" w:themeColor="text1"/>
          <w:sz w:val="28"/>
          <w:szCs w:val="28"/>
          <w:highlight w:val="none"/>
          <w14:textFill>
            <w14:solidFill>
              <w14:schemeClr w14:val="tx1"/>
            </w14:solidFill>
          </w14:textFill>
        </w:rPr>
        <w:t xml:space="preserve">资格性审查响应对照表</w:t>
      </w:r>
      <w:r/>
    </w:p>
    <w:p>
      <w:pPr>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附件一、中小企业声明函格式</w:t>
      </w:r>
      <w:r/>
    </w:p>
    <w:p>
      <w:pPr>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附件二、无重大违法记录声明格式</w:t>
      </w:r>
      <w:r/>
    </w:p>
    <w:p>
      <w:pPr>
        <w:ind w:firstLine="1680"/>
        <w:spacing w:line="360" w:lineRule="auto"/>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附件三、具备履行合同所必需的设备和专业技术能力的声明格式及证明材料</w:t>
      </w:r>
      <w:r/>
    </w:p>
    <w:p>
      <w:pPr>
        <w:pStyle w:val="1234"/>
        <w:ind w:firstLine="1680"/>
        <w:jc w:val="both"/>
        <w:spacing w:before="0" w:beforeAutospacing="0" w:after="120" w:afterAutospacing="0"/>
        <w:shd w:val="clear" w:color="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附件四、残疾人福利性单位声明函格式</w:t>
      </w:r>
      <w:r/>
    </w:p>
    <w:p>
      <w:pPr>
        <w:pStyle w:val="1234"/>
        <w:ind w:firstLine="1680"/>
        <w:jc w:val="both"/>
        <w:spacing w:before="0" w:beforeAutospacing="0" w:after="120" w:afterAutospacing="0"/>
        <w:shd w:val="clear" w:color="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附件五、属于监狱企业的证明文件</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40" w:lineRule="atLeast"/>
        <w:shd w:val="clear" w:color="auto"/>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spacing w:line="240" w:lineRule="atLeast"/>
        <w:shd w:val="clear" w:color="auto"/>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spacing w:line="240" w:lineRule="atLeast"/>
        <w:shd w:val="clear" w:color="auto"/>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spacing w:line="240" w:lineRule="atLeast"/>
        <w:shd w:val="clear" w:color="auto"/>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spacing w:line="240" w:lineRule="atLeast"/>
        <w:shd w:val="clear" w:color="auto"/>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spacing w:line="240" w:lineRule="atLeast"/>
        <w:shd w:val="clear" w:color="auto"/>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spacing w:line="240" w:lineRule="atLeast"/>
        <w:shd w:val="clear" w:color="auto"/>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spacing w:line="240" w:lineRule="atLeast"/>
        <w:shd w:val="clear" w:color="auto"/>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spacing w:line="360" w:lineRule="auto"/>
        <w:shd w:val="clear" w:color="auto"/>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br w:type="page" w:clear="all"/>
      </w:r>
      <w:r>
        <w:rPr>
          <w:rFonts w:hint="eastAsia" w:ascii="宋体" w:hAnsi="宋体" w:eastAsia="宋体" w:cs="宋体"/>
          <w:b/>
          <w:color w:val="000000" w:themeColor="text1"/>
          <w:szCs w:val="21"/>
          <w:highlight w:val="none"/>
          <w:lang w:val="zh-CN"/>
          <w14:textFill>
            <w14:solidFill>
              <w14:schemeClr w14:val="tx1"/>
            </w14:solidFill>
          </w14:textFill>
        </w:rPr>
        <w:t xml:space="preserve">目录一、投标申请及声明格式</w:t>
      </w:r>
      <w:r/>
    </w:p>
    <w:p>
      <w:pPr>
        <w:jc w:val="center"/>
        <w:spacing w:line="360" w:lineRule="auto"/>
        <w:shd w:val="clear" w:color="auto"/>
        <w:rPr>
          <w:rFonts w:hint="eastAsia" w:ascii="宋体" w:hAnsi="宋体" w:eastAsia="宋体" w:cs="宋体"/>
          <w:color w:val="000000" w:themeColor="text1"/>
          <w:sz w:val="36"/>
          <w:szCs w:val="36"/>
          <w:highlight w:val="none"/>
          <w:lang w:val="zh-CN"/>
          <w14:textFill>
            <w14:solidFill>
              <w14:schemeClr w14:val="tx1"/>
            </w14:solidFill>
          </w14:textFill>
        </w:rPr>
        <w:outlineLvl w:val="0"/>
      </w:pPr>
      <w:r>
        <w:rPr>
          <w:rFonts w:hint="eastAsia" w:ascii="宋体" w:hAnsi="宋体" w:eastAsia="宋体" w:cs="宋体"/>
          <w:color w:val="000000" w:themeColor="text1"/>
          <w:sz w:val="36"/>
          <w:szCs w:val="36"/>
          <w:highlight w:val="none"/>
          <w:lang w:val="zh-CN"/>
          <w14:textFill>
            <w14:solidFill>
              <w14:schemeClr w14:val="tx1"/>
            </w14:solidFill>
          </w14:textFill>
        </w:rPr>
        <w:t xml:space="preserve">投标申请及声明</w:t>
      </w:r>
      <w:r/>
    </w:p>
    <w:p>
      <w:pPr>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outlineLvl w:val="0"/>
      </w:pPr>
      <w:r>
        <w:rPr>
          <w:rFonts w:hint="eastAsia" w:ascii="宋体" w:hAnsi="宋体" w:eastAsia="宋体" w:cs="宋体"/>
          <w:color w:val="000000" w:themeColor="text1"/>
          <w:szCs w:val="21"/>
          <w:highlight w:val="none"/>
          <w:lang w:val="zh-CN"/>
          <w14:textFill>
            <w14:solidFill>
              <w14:schemeClr w14:val="tx1"/>
            </w14:solidFill>
          </w14:textFill>
        </w:rPr>
        <w:t xml:space="preserve">致：南京市栖霞区市政设施综合养护管理所</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根据贵方（项目名称）（项目编号）投标邀请，正式授权下述签字人（姓名和职务）代表供应商（供应商名称），提交投标文件。</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据此函，签字人兹宣布声明和承诺如下：</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1.我方的资格条件符合政府采购法和本次招标要求，我方同意并向贵方提供了与投标有关的所有证据和资料。</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按招标要求，</w:t>
      </w:r>
      <w:r>
        <w:rPr>
          <w:rFonts w:hint="eastAsia" w:ascii="宋体" w:hAnsi="宋体" w:eastAsia="宋体" w:cs="宋体"/>
          <w:color w:val="000000" w:themeColor="text1"/>
          <w:szCs w:val="21"/>
          <w:highlight w:val="none"/>
          <w14:textFill>
            <w14:solidFill>
              <w14:schemeClr w14:val="tx1"/>
            </w14:solidFill>
          </w14:textFill>
        </w:rPr>
        <w:t xml:space="preserve">我方投标报价</w:t>
      </w:r>
      <w:r>
        <w:rPr>
          <w:rFonts w:hint="eastAsia" w:ascii="宋体" w:hAnsi="宋体" w:eastAsia="宋体" w:cs="宋体"/>
          <w:color w:val="000000" w:themeColor="text1"/>
          <w:szCs w:val="21"/>
          <w:highlight w:val="none"/>
          <w:lang w:val="zh-CN"/>
          <w14:textFill>
            <w14:solidFill>
              <w14:schemeClr w14:val="tx1"/>
            </w14:solidFill>
          </w14:textFill>
        </w:rPr>
        <w:t xml:space="preserve">为（小写）</w:t>
      </w:r>
      <w:r>
        <w:rPr>
          <w:rFonts w:hint="eastAsia" w:ascii="宋体" w:hAnsi="宋体" w:eastAsia="宋体" w:cs="宋体"/>
          <w:b/>
          <w:bCs/>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 xml:space="preserve">元人民币。（大写）</w:t>
      </w:r>
      <w:r>
        <w:rPr>
          <w:rFonts w:hint="eastAsia" w:ascii="宋体" w:hAnsi="宋体" w:eastAsia="宋体" w:cs="宋体"/>
          <w:b/>
          <w:bCs/>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 xml:space="preserve">元人民币；其中，小、微型企业的报价为</w:t>
      </w:r>
      <w:r>
        <w:rPr>
          <w:rFonts w:hint="eastAsia" w:ascii="宋体" w:hAnsi="宋体" w:eastAsia="宋体" w:cs="宋体"/>
          <w:b/>
          <w:bCs/>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元</w:t>
      </w:r>
      <w:r>
        <w:rPr>
          <w:rFonts w:hint="eastAsia" w:ascii="宋体" w:hAnsi="宋体" w:eastAsia="宋体" w:cs="宋体"/>
          <w:color w:val="000000" w:themeColor="text1"/>
          <w:szCs w:val="21"/>
          <w:highlight w:val="none"/>
          <w:lang w:val="zh-CN"/>
          <w14:textFill>
            <w14:solidFill>
              <w14:schemeClr w14:val="tx1"/>
            </w14:solidFill>
          </w14:textFill>
        </w:rPr>
        <w:t xml:space="preserve">人民币，合同履行期限 </w:t>
      </w:r>
      <w:r>
        <w:rPr>
          <w:rFonts w:hint="eastAsia" w:ascii="宋体" w:hAnsi="宋体" w:eastAsia="宋体" w:cs="宋体"/>
          <w:b/>
          <w:bCs/>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 xml:space="preserve">。</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3.我方参加本次采购活动前三年内，在经营活动中没有重大违法记录。</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4.我方参加本次采购活动前，没有被信用中国网站、中国政府采购网站列入失信被执行人名单、重大税收违法案件当事人名单、政府采购严重违法失信行为记录名单。</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5.我方在全国范围内未受过财政部门禁止参加政府采购活动的处罚，或禁止参加政府采购活动的处罚期限已满。</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6.我方没有为本采购项目提供整体设计、规范编制，以及项目管理、监理、检测等服务。</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lang w:val="zh-CN"/>
          <w14:textFill>
            <w14:solidFill>
              <w14:schemeClr w14:val="tx1"/>
            </w14:solidFill>
          </w14:textFill>
        </w:rPr>
        <w:t xml:space="preserve">.我方与参与本次采购活动的其他供应商的法定代表人或</w:t>
      </w:r>
      <w:r>
        <w:rPr>
          <w:rFonts w:hint="eastAsia" w:ascii="宋体" w:hAnsi="宋体" w:eastAsia="宋体" w:cs="宋体"/>
          <w:color w:val="000000" w:themeColor="text1"/>
          <w:szCs w:val="21"/>
          <w:highlight w:val="none"/>
          <w14:textFill>
            <w14:solidFill>
              <w14:schemeClr w14:val="tx1"/>
            </w14:solidFill>
          </w14:textFill>
        </w:rPr>
        <w:t xml:space="preserve">委托代理人</w:t>
      </w:r>
      <w:r>
        <w:rPr>
          <w:rFonts w:hint="eastAsia" w:ascii="宋体" w:hAnsi="宋体" w:eastAsia="宋体" w:cs="宋体"/>
          <w:color w:val="000000" w:themeColor="text1"/>
          <w:szCs w:val="21"/>
          <w:highlight w:val="none"/>
          <w:lang w:val="zh-CN"/>
          <w14:textFill>
            <w14:solidFill>
              <w14:schemeClr w14:val="tx1"/>
            </w14:solidFill>
          </w14:textFill>
        </w:rPr>
        <w:t xml:space="preserve">无夫妻、直系血亲关系。</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lang w:val="zh-CN"/>
          <w14:textFill>
            <w14:solidFill>
              <w14:schemeClr w14:val="tx1"/>
            </w14:solidFill>
          </w14:textFill>
        </w:rPr>
        <w:t xml:space="preserve">.我方与参与本次采购活动的其他供应商的负责人不是同一人，也不存在直接控股、管理关系。</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lang w:val="zh-CN"/>
          <w14:textFill>
            <w14:solidFill>
              <w14:schemeClr w14:val="tx1"/>
            </w14:solidFill>
          </w14:textFill>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1"/>
          <w:highlight w:val="none"/>
          <w:lang w:val="zh-CN"/>
          <w14:textFill>
            <w14:solidFill>
              <w14:schemeClr w14:val="tx1"/>
            </w14:solidFill>
          </w14:textFill>
        </w:rPr>
        <w:t xml:space="preserve">.我方同意从规定的开标日期起遵循本投标文件，并在规定的投标有效期期满之前均具有约束力。</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lang w:val="zh-CN"/>
          <w14:textFill>
            <w14:solidFill>
              <w14:schemeClr w14:val="tx1"/>
            </w14:solidFill>
          </w14:textFill>
        </w:rPr>
        <w:t xml:space="preserve">.一旦我方中标，将根据招标文件的规定严格履行合同，并保证按承诺的时间完成服务的启动/集成、调试等服务，交付采购人验收、使用。</w:t>
      </w:r>
      <w:r/>
    </w:p>
    <w:p>
      <w:pPr>
        <w:ind w:firstLine="420"/>
        <w:jc w:val="left"/>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lang w:val="zh-CN"/>
          <w14:textFill>
            <w14:solidFill>
              <w14:schemeClr w14:val="tx1"/>
            </w14:solidFill>
          </w14:textFill>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与本投标有关的正式联系方式为：</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u w:val="singl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地址：</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u w:val="singl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电话：</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u w:val="singl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传真：</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开户银行：</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银行账号：</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u w:val="singl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供应商授权代表姓名（签字）：</w:t>
      </w:r>
      <w:r/>
    </w:p>
    <w:p>
      <w:pPr>
        <w:ind w:firstLine="420"/>
        <w:keepLines w:val="0"/>
        <w:keepNext w:val="0"/>
        <w:pageBreakBefore w:val="0"/>
        <w:spacing w:line="264" w:lineRule="auto"/>
        <w:shd w:val="clear" w:color="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供应商名称（盖章）：</w:t>
      </w:r>
      <w:r/>
    </w:p>
    <w:p>
      <w:pPr>
        <w:ind w:firstLine="420"/>
        <w:keepLines w:val="0"/>
        <w:keepNext w:val="0"/>
        <w:pageBreakBefore w:val="0"/>
        <w:spacing w:line="264" w:lineRule="auto"/>
        <w:shd w:val="clear" w:color="auto"/>
        <w:widowControl w:val="off"/>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日期：年月日</w:t>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br w:type="page" w:clear="all"/>
      </w:r>
      <w:r>
        <w:rPr>
          <w:rFonts w:hint="eastAsia" w:ascii="宋体" w:hAnsi="宋体" w:eastAsia="宋体" w:cs="宋体"/>
          <w:b/>
          <w:color w:val="000000" w:themeColor="text1"/>
          <w:szCs w:val="21"/>
          <w:highlight w:val="none"/>
          <w:lang w:val="zh-CN"/>
          <w14:textFill>
            <w14:solidFill>
              <w14:schemeClr w14:val="tx1"/>
            </w14:solidFill>
          </w14:textFill>
        </w:rPr>
        <w:t xml:space="preserve">目录二、法定代表人授权书格式</w:t>
      </w:r>
      <w:r/>
    </w:p>
    <w:p>
      <w:pPr>
        <w:ind w:firstLine="720"/>
        <w:jc w:val="center"/>
        <w:spacing w:line="360" w:lineRule="auto"/>
        <w:shd w:val="clear" w:color="auto"/>
        <w:widowControl/>
        <w:rPr>
          <w:rFonts w:hint="eastAsia" w:ascii="宋体" w:hAnsi="宋体" w:eastAsia="宋体" w:cs="宋体"/>
          <w:color w:val="000000" w:themeColor="text1"/>
          <w:sz w:val="36"/>
          <w:szCs w:val="36"/>
          <w:highlight w:val="none"/>
          <w:lang w:val="zh-CN"/>
          <w14:textFill>
            <w14:solidFill>
              <w14:schemeClr w14:val="tx1"/>
            </w14:solidFill>
          </w14:textFill>
        </w:rPr>
        <w:outlineLvl w:val="0"/>
      </w:pPr>
      <w:r>
        <w:rPr>
          <w:rFonts w:hint="eastAsia" w:ascii="宋体" w:hAnsi="宋体" w:eastAsia="宋体" w:cs="宋体"/>
          <w:color w:val="000000" w:themeColor="text1"/>
          <w:sz w:val="36"/>
          <w:szCs w:val="36"/>
          <w:highlight w:val="none"/>
          <w:lang w:val="zh-CN"/>
          <w14:textFill>
            <w14:solidFill>
              <w14:schemeClr w14:val="tx1"/>
            </w14:solidFill>
          </w14:textFill>
        </w:rPr>
        <w:t xml:space="preserve">法定代表人授权委托书</w:t>
      </w:r>
      <w:r/>
    </w:p>
    <w:p>
      <w:pPr>
        <w:jc w:val="center"/>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outlineLvl w:val="0"/>
      </w:pPr>
      <w:r>
        <w:rPr>
          <w:rFonts w:hint="eastAsia" w:ascii="宋体" w:hAnsi="宋体" w:eastAsia="宋体" w:cs="宋体"/>
          <w:b/>
          <w:color w:val="000000" w:themeColor="text1"/>
          <w:szCs w:val="2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南京市栖霞区市政设施综合养护管理所：</w:t>
      </w:r>
      <w:r/>
    </w:p>
    <w:p>
      <w:pPr>
        <w:ind w:firstLine="420"/>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投标，以本公司名义处理一切与之有关的事务。</w:t>
      </w:r>
      <w:r/>
    </w:p>
    <w:p>
      <w:pPr>
        <w:ind w:firstLine="420"/>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本授权书于年  月  日签字生效，特此声明。</w:t>
      </w:r>
      <w:r/>
    </w:p>
    <w:p>
      <w:pPr>
        <w:ind w:firstLine="420"/>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p>
      <w:pPr>
        <w:ind w:firstLine="420"/>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p>
      <w:pPr>
        <w:ind w:firstLine="420"/>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法定代表人签字或盖章：</w:t>
      </w:r>
      <w:r/>
    </w:p>
    <w:p>
      <w:pPr>
        <w:ind w:firstLine="420"/>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授权委托人签字：</w:t>
      </w:r>
      <w:r/>
    </w:p>
    <w:p>
      <w:pPr>
        <w:ind w:firstLine="420"/>
        <w:jc w:val="left"/>
        <w:spacing w:line="360" w:lineRule="auto"/>
        <w:shd w:val="clear" w:color="auto"/>
        <w:widowControl/>
        <w:tabs>
          <w:tab w:val="left" w:pos="1440" w:leader="none"/>
        </w:tabs>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供应商：（盖章）</w:t>
      </w:r>
      <w:r/>
    </w:p>
    <w:p>
      <w:pPr>
        <w:ind w:firstLine="420"/>
        <w:jc w:val="left"/>
        <w:spacing w:line="360" w:lineRule="auto"/>
        <w:shd w:val="clear" w:color="auto"/>
        <w:widowControl/>
        <w:tabs>
          <w:tab w:val="left" w:pos="1440" w:leader="none"/>
        </w:tabs>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日        期：年    月    日</w:t>
      </w:r>
      <w:r/>
    </w:p>
    <w:p>
      <w:pPr>
        <w:ind w:firstLine="420"/>
        <w:jc w:val="left"/>
        <w:spacing w:line="360" w:lineRule="auto"/>
        <w:shd w:val="clear" w:color="auto"/>
        <w:widowControl/>
        <w:tabs>
          <w:tab w:val="left" w:pos="1440" w:leader="none"/>
        </w:tabs>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p>
      <w:pPr>
        <w:ind w:firstLine="420"/>
        <w:jc w:val="left"/>
        <w:spacing w:line="360" w:lineRule="auto"/>
        <w:shd w:val="clear" w:color="auto"/>
        <w:widowControl/>
        <w:tabs>
          <w:tab w:val="left" w:pos="1440" w:leader="none"/>
        </w:tabs>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p>
      <w:pPr>
        <w:ind w:firstLine="420"/>
        <w:jc w:val="left"/>
        <w:spacing w:line="360" w:lineRule="auto"/>
        <w:shd w:val="clear" w:color="auto"/>
        <w:widowControl/>
        <w:tabs>
          <w:tab w:val="left" w:pos="1440" w:leader="none"/>
        </w:tabs>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p>
      <w:pPr>
        <w:ind w:firstLine="420"/>
        <w:jc w:val="left"/>
        <w:spacing w:line="360" w:lineRule="auto"/>
        <w:shd w:val="clear" w:color="auto"/>
        <w:widowControl/>
        <w:tabs>
          <w:tab w:val="left" w:pos="1440" w:leader="none"/>
        </w:tabs>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法定代表人身份证复印件：</w:t>
      </w:r>
      <w:r/>
    </w:p>
    <w:p>
      <w:pPr>
        <w:ind w:firstLine="420"/>
        <w:jc w:val="left"/>
        <w:spacing w:line="360" w:lineRule="auto"/>
        <w:shd w:val="clear" w:color="auto"/>
        <w:widowControl/>
        <w:tabs>
          <w:tab w:val="left" w:pos="1440" w:leader="none"/>
        </w:tabs>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授权委托人身份证复印件：</w:t>
      </w:r>
      <w:r/>
    </w:p>
    <w:p>
      <w:pPr>
        <w:pStyle w:val="1220"/>
        <w:shd w:val="clear" w:color="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br w:type="page" w:clear="all"/>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t xml:space="preserve">目录三、开标一览表格式</w:t>
      </w:r>
      <w:r/>
    </w:p>
    <w:p>
      <w:pPr>
        <w:jc w:val="center"/>
        <w:spacing w:line="360" w:lineRule="auto"/>
        <w:shd w:val="clear" w:color="auto"/>
        <w:widowControl/>
        <w:rPr>
          <w:rFonts w:hint="eastAsia" w:ascii="宋体" w:hAnsi="宋体" w:eastAsia="宋体" w:cs="宋体"/>
          <w:color w:val="000000" w:themeColor="text1"/>
          <w:sz w:val="36"/>
          <w:szCs w:val="36"/>
          <w:highlight w:val="none"/>
          <w:lang w:val="zh-CN"/>
          <w14:textFill>
            <w14:solidFill>
              <w14:schemeClr w14:val="tx1"/>
            </w14:solidFill>
          </w14:textFill>
        </w:rPr>
      </w:pPr>
      <w:r>
        <w:rPr>
          <w:rFonts w:hint="eastAsia" w:ascii="宋体" w:hAnsi="宋体" w:eastAsia="宋体" w:cs="宋体"/>
          <w:color w:val="000000" w:themeColor="text1"/>
          <w:sz w:val="36"/>
          <w:szCs w:val="36"/>
          <w:highlight w:val="none"/>
          <w:lang w:val="zh-CN"/>
          <w14:textFill>
            <w14:solidFill>
              <w14:schemeClr w14:val="tx1"/>
            </w14:solidFill>
          </w14:textFill>
        </w:rPr>
        <w:t xml:space="preserve">开标一览表</w:t>
      </w:r>
      <w:r/>
    </w:p>
    <w:p>
      <w:pPr>
        <w:spacing w:line="48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CA公章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80" w:lineRule="auto"/>
        <w:shd w:val="clear" w:color="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栖霞区市政所2026年至2029年（3年）燕霞路市政、绿化设施养护</w:t>
      </w:r>
      <w:r/>
    </w:p>
    <w:p>
      <w:pPr>
        <w:spacing w:line="48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项目编号：JSZC-320113-NJKJ-G2026-0007</w:t>
      </w:r>
      <w:r/>
    </w:p>
    <w:p>
      <w:pPr>
        <w:spacing w:line="480" w:lineRule="auto"/>
        <w:shd w:val="clear" w:color="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分包号：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采购包1</w:t>
      </w:r>
      <w:r/>
    </w:p>
    <w:tbl>
      <w:tblPr>
        <w:tblStyle w:val="9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672"/>
      </w:tblGrid>
      <w:tr>
        <w:trPr>
          <w:trHeight w:val="680"/>
        </w:trPr>
        <w:tc>
          <w:tcPr>
            <w:tcW w:w="4842" w:type="dxa"/>
            <w:vAlign w:val="center"/>
            <w:textDirection w:val="lrTb"/>
            <w:noWrap w:val="false"/>
          </w:tcPr>
          <w:p>
            <w:pPr>
              <w:pStyle w:val="962"/>
              <w:jc w:val="center"/>
              <w:keepLines w:val="0"/>
              <w:keepNext w:val="0"/>
              <w:pageBreakBefore w:val="0"/>
              <w:spacing w:after="0" w:line="240" w:lineRule="auto"/>
              <w:shd w:val="clear" w:color="auto"/>
              <w:widowControl w:val="off"/>
              <w:rPr>
                <w:rFonts w:hint="eastAsia" w:asciiTheme="minorEastAsia" w:hAnsiTheme="minorEastAsia" w:eastAsiaTheme="minorEastAsia" w:cstheme="minorEastAsia"/>
                <w:color w:val="000000" w:themeColor="text1"/>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vertAlign w:val="baseline"/>
                <w:lang w:val="en-US" w:eastAsia="zh-CN"/>
                <w14:textFill>
                  <w14:solidFill>
                    <w14:schemeClr w14:val="tx1"/>
                  </w14:solidFill>
                </w14:textFill>
              </w:rPr>
              <w:t xml:space="preserve">投标项目名称</w:t>
            </w:r>
            <w:r/>
          </w:p>
        </w:tc>
        <w:tc>
          <w:tcPr>
            <w:tcW w:w="4672" w:type="dxa"/>
            <w:vAlign w:val="center"/>
            <w:textDirection w:val="lrTb"/>
            <w:noWrap w:val="false"/>
          </w:tcPr>
          <w:p>
            <w:pPr>
              <w:pStyle w:val="962"/>
              <w:jc w:val="center"/>
              <w:keepLines w:val="0"/>
              <w:keepNext w:val="0"/>
              <w:pageBreakBefore w:val="0"/>
              <w:spacing w:after="0" w:line="240" w:lineRule="auto"/>
              <w:shd w:val="clear" w:color="auto"/>
              <w:widowControl w:val="off"/>
              <w:rPr>
                <w:rFonts w:hint="eastAsia" w:asciiTheme="minorEastAsia" w:hAnsiTheme="minorEastAsia" w:eastAsiaTheme="minorEastAsia" w:cstheme="minorEastAsia"/>
                <w:color w:val="000000" w:themeColor="text1"/>
                <w:highlight w:val="none"/>
                <w:vertAlign w:val="baseli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vertAlign w:val="baseline"/>
                <w:lang w:val="en-US" w:eastAsia="zh-CN"/>
                <w14:textFill>
                  <w14:solidFill>
                    <w14:schemeClr w14:val="tx1"/>
                  </w14:solidFill>
                </w14:textFill>
              </w:rPr>
              <w:t xml:space="preserve">总价（小写）</w:t>
            </w:r>
            <w:r/>
          </w:p>
        </w:tc>
      </w:tr>
      <w:tr>
        <w:trPr>
          <w:trHeight w:val="680"/>
        </w:trPr>
        <w:tc>
          <w:tcPr>
            <w:tcW w:w="4842" w:type="dxa"/>
            <w:vAlign w:val="center"/>
            <w:textDirection w:val="lrTb"/>
            <w:noWrap w:val="false"/>
          </w:tcPr>
          <w:p>
            <w:pPr>
              <w:pStyle w:val="962"/>
              <w:jc w:val="center"/>
              <w:keepLines w:val="0"/>
              <w:keepNext w:val="0"/>
              <w:pageBreakBefore w:val="0"/>
              <w:spacing w:after="0" w:line="240" w:lineRule="auto"/>
              <w:shd w:val="clear" w:color="auto"/>
              <w:widowControl w:val="off"/>
              <w:rPr>
                <w:rFonts w:hint="eastAsia" w:asciiTheme="minorEastAsia" w:hAnsiTheme="minorEastAsia" w:eastAsiaTheme="minorEastAsia" w:cstheme="minorEastAsia"/>
                <w:color w:val="000000" w:themeColor="text1"/>
                <w:highlight w:val="none"/>
                <w:vertAlign w:val="baseli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栖霞区市政所2026年至2029年（3年）燕霞路市政、绿化设施养护</w:t>
            </w:r>
            <w:r/>
          </w:p>
        </w:tc>
        <w:tc>
          <w:tcPr>
            <w:tcW w:w="4672" w:type="dxa"/>
            <w:vAlign w:val="center"/>
            <w:textDirection w:val="lrTb"/>
            <w:noWrap w:val="false"/>
          </w:tcPr>
          <w:p>
            <w:pPr>
              <w:pStyle w:val="962"/>
              <w:jc w:val="center"/>
              <w:keepLines w:val="0"/>
              <w:keepNext w:val="0"/>
              <w:pageBreakBefore w:val="0"/>
              <w:spacing w:after="0" w:line="240" w:lineRule="auto"/>
              <w:shd w:val="clear" w:color="auto"/>
              <w:widowControl w:val="off"/>
              <w:rPr>
                <w:rFonts w:hint="eastAsia" w:asciiTheme="minorEastAsia" w:hAnsiTheme="minorEastAsia" w:eastAsiaTheme="minorEastAsia" w:cstheme="minorEastAsia"/>
                <w:color w:val="000000" w:themeColor="text1"/>
                <w:highlight w:val="none"/>
                <w:vertAlign w:val="baseline"/>
                <w14:textFill>
                  <w14:solidFill>
                    <w14:schemeClr w14:val="tx1"/>
                  </w14:solidFill>
                </w14:textFill>
              </w:rPr>
            </w:pPr>
            <w:r>
              <w:rPr>
                <w:rFonts w:hint="eastAsia" w:asciiTheme="minorEastAsia" w:hAnsiTheme="minorEastAsia" w:eastAsiaTheme="minorEastAsia" w:cstheme="minorEastAsia"/>
                <w:color w:val="000000" w:themeColor="text1"/>
                <w:highlight w:val="none"/>
                <w:vertAlign w:val="baseline"/>
                <w14:textFill>
                  <w14:solidFill>
                    <w14:schemeClr w14:val="tx1"/>
                  </w14:solidFill>
                </w14:textFill>
              </w:rPr>
            </w:r>
            <w:r/>
          </w:p>
        </w:tc>
      </w:tr>
    </w:tbl>
    <w:p>
      <w:pPr>
        <w:pStyle w:val="962"/>
        <w:jc w:val="right"/>
        <w:shd w:val="clear" w:color="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62"/>
        <w:jc w:val="right"/>
        <w:shd w:val="clear" w:color="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年    月    日</w:t>
      </w:r>
      <w:r/>
    </w:p>
    <w:p>
      <w:pPr>
        <w:shd w:val="clear" w:color="auto"/>
        <w:rPr>
          <w:rFonts w:hint="eastAsia" w:ascii="宋体" w:hAnsi="宋体" w:eastAsia="宋体" w:cs="宋体"/>
          <w:color w:val="000000" w:themeColor="text1"/>
          <w:sz w:val="32"/>
          <w:szCs w:val="32"/>
          <w:highlight w:val="none"/>
          <w14:textFill>
            <w14:solidFill>
              <w14:schemeClr w14:val="tx1"/>
            </w14:solidFill>
          </w14:textFill>
        </w:rPr>
      </w:pPr>
      <w:r/>
      <w:bookmarkStart w:id="39" w:name="_Toc120614284"/>
      <w:r>
        <w:rPr>
          <w:rFonts w:hint="eastAsia" w:ascii="宋体" w:hAnsi="宋体" w:eastAsia="宋体" w:cs="宋体"/>
          <w:color w:val="000000" w:themeColor="text1"/>
          <w:sz w:val="32"/>
          <w:szCs w:val="32"/>
          <w:highlight w:val="none"/>
          <w14:textFill>
            <w14:solidFill>
              <w14:schemeClr w14:val="tx1"/>
            </w14:solidFill>
          </w14:textFill>
        </w:rPr>
        <w:br w:type="page" w:clear="all"/>
      </w:r>
      <w:bookmarkEnd w:id="39"/>
      <w:r/>
      <w:bookmarkStart w:id="40" w:name="_GoBack"/>
      <w:r/>
      <w:bookmarkEnd w:id="40"/>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
          <w:color w:val="000000" w:themeColor="text1"/>
          <w:szCs w:val="21"/>
          <w:highlight w:val="none"/>
          <w:lang w:val="zh-CN"/>
          <w14:textFill>
            <w14:solidFill>
              <w14:schemeClr w14:val="tx1"/>
            </w14:solidFill>
          </w14:textFill>
        </w:rPr>
        <w:t xml:space="preserve">目录四、南京市政府采购供应商信用记录表暨信用承诺书</w:t>
      </w:r>
      <w:r>
        <w:rPr>
          <w:rFonts w:ascii="SimSun" w:hAnsi="SimSun" w:eastAsia="SimSun" w:cs="SimSun"/>
          <w:b/>
          <w:color w:val="000000"/>
          <w:sz w:val="22"/>
        </w:rPr>
        <w:t xml:space="preserve">（仅为示范格式，直接填写无效，需至“南京政府采购供应商诚信档案管理系统”在线打印）</w:t>
      </w:r>
      <w:r>
        <w:rPr>
          <w:rFonts w:hint="eastAsia" w:ascii="宋体" w:hAnsi="宋体" w:eastAsia="宋体" w:cs="宋体"/>
          <w:b/>
          <w:color w:val="000000" w:themeColor="text1"/>
          <w:szCs w:val="21"/>
          <w:highlight w:val="none"/>
          <w:lang w:val="zh-CN"/>
          <w14:textFill>
            <w14:solidFill>
              <w14:schemeClr w14:val="tx1"/>
            </w14:solidFill>
          </w14:textFill>
        </w:rPr>
      </w:r>
      <w:r/>
    </w:p>
    <w:p>
      <w:pPr>
        <w:jc w:val="center"/>
        <w:keepLines w:val="0"/>
        <w:keepNext w:val="0"/>
        <w:pageBreakBefore w:val="0"/>
        <w:shd w:val="clear" w:color="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南京市政府采购供应商信用记录表暨信用承诺书</w:t>
      </w:r>
      <w:r/>
    </w:p>
    <w:p>
      <w:pPr>
        <w:keepLines w:val="0"/>
        <w:keepNext w:val="0"/>
        <w:pageBreakBefore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keepLines w:val="0"/>
        <w:keepNext w:val="0"/>
        <w:pageBreakBefore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   年  月   日</w:t>
      </w:r>
      <w:r/>
    </w:p>
    <w:p>
      <w:pPr>
        <w:keepLines w:val="0"/>
        <w:keepNext w:val="0"/>
        <w:pageBreakBefore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1217"/>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单位名称</w:t>
            </w:r>
            <w:r/>
          </w:p>
        </w:tc>
        <w:tc>
          <w:tcPr>
            <w:tcW w:w="2205"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2048"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统一社会信用代码</w:t>
            </w:r>
            <w:r/>
          </w:p>
        </w:tc>
        <w:tc>
          <w:tcPr>
            <w:tcW w:w="3472"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r>
        <w:trPr>
          <w:jc w:val="center"/>
          <w:trHeight w:val="510"/>
        </w:trPr>
        <w:tc>
          <w:tcPr>
            <w:tcW w:w="2137"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w:t>
            </w:r>
            <w:r/>
          </w:p>
        </w:tc>
        <w:tc>
          <w:tcPr>
            <w:tcW w:w="2205"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2048"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联系人</w:t>
            </w:r>
            <w:r/>
          </w:p>
        </w:tc>
        <w:tc>
          <w:tcPr>
            <w:tcW w:w="3472"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r>
        <w:trPr>
          <w:jc w:val="center"/>
          <w:trHeight w:val="510"/>
        </w:trPr>
        <w:tc>
          <w:tcPr>
            <w:tcW w:w="2137"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联系地址</w:t>
            </w:r>
            <w:r/>
          </w:p>
        </w:tc>
        <w:tc>
          <w:tcPr>
            <w:tcW w:w="2205"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2048"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联系电话</w:t>
            </w:r>
            <w:r/>
          </w:p>
        </w:tc>
        <w:tc>
          <w:tcPr>
            <w:tcW w:w="3472"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r>
        <w:trPr>
          <w:jc w:val="center"/>
          <w:trHeight w:val="1710"/>
        </w:trPr>
        <w:tc>
          <w:tcPr>
            <w:tcW w:w="2137"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诚信档案记录情况</w:t>
            </w:r>
            <w:r/>
          </w:p>
        </w:tc>
        <w:tc>
          <w:tcPr>
            <w:gridSpan w:val="3"/>
            <w:tcW w:w="7725" w:type="dxa"/>
            <w:vAlign w:val="center"/>
            <w:textDirection w:val="lrTb"/>
            <w:noWrap w:val="false"/>
          </w:tcPr>
          <w:p>
            <w:pPr>
              <w:keepLines w:val="0"/>
              <w:keepNext w:val="0"/>
              <w:pageBreakBefore w:val="0"/>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r>
        <w:trPr>
          <w:jc w:val="center"/>
          <w:trHeight w:val="4575"/>
        </w:trPr>
        <w:tc>
          <w:tcPr>
            <w:tcW w:w="2137" w:type="dxa"/>
            <w:vAlign w:val="center"/>
            <w:vMerge w:val="restart"/>
            <w:textDirection w:val="lrTb"/>
            <w:noWrap w:val="false"/>
          </w:tcPr>
          <w:p>
            <w:pPr>
              <w:jc w:val="center"/>
              <w:keepLines w:val="0"/>
              <w:keepNext w:val="0"/>
              <w:pageBreakBefore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信用承诺</w:t>
            </w:r>
            <w:r/>
          </w:p>
        </w:tc>
        <w:tc>
          <w:tcPr>
            <w:gridSpan w:val="3"/>
            <w:tcW w:w="7725" w:type="dxa"/>
            <w:vAlign w:val="center"/>
            <w:textDirection w:val="lrTb"/>
            <w:noWrap w:val="false"/>
          </w:tcPr>
          <w:p>
            <w:pPr>
              <w:ind w:left="42" w:firstLine="480"/>
              <w:keepLines w:val="0"/>
              <w:keepNext w:val="0"/>
              <w:pageBreakBefore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有履行合同所必需的设备和专业技术能力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有依法缴纳税收和社会保障资金的良好记录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参加政府采购活动前三年内，在经营活动中没有重大违法记录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符合法律、行政法规和采购文件规定的其他条件。如有弄虚作假或其他违法违规行为，愿承担一切法律责任，接受各级政府采购监管部门和有权机关的审查和处罚。</w:t>
            </w:r>
            <w:r/>
          </w:p>
        </w:tc>
      </w:tr>
      <w:tr>
        <w:trPr>
          <w:jc w:val="center"/>
          <w:trHeight w:val="1945"/>
        </w:trPr>
        <w:tc>
          <w:tcPr>
            <w:tcW w:w="2137" w:type="dxa"/>
            <w:vAlign w:val="center"/>
            <w:vMerge w:val="continue"/>
            <w:textDirection w:val="lrTb"/>
            <w:noWrap w:val="false"/>
          </w:tcPr>
          <w:p>
            <w:pPr>
              <w:keepLines w:val="0"/>
              <w:keepNext w:val="0"/>
              <w:pageBreakBefore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3"/>
            <w:tcW w:w="7725" w:type="dxa"/>
            <w:vAlign w:val="center"/>
            <w:textDirection w:val="lrTb"/>
            <w:noWrap w:val="false"/>
          </w:tcPr>
          <w:p>
            <w:pPr>
              <w:ind w:left="3780"/>
              <w:keepLines w:val="0"/>
              <w:keepNext w:val="0"/>
              <w:pageBreakBefore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供应商名称（盖章）∶</w:t>
            </w:r>
            <w:r/>
          </w:p>
          <w:p>
            <w:pPr>
              <w:ind w:left="3780"/>
              <w:keepLines w:val="0"/>
              <w:keepNext w:val="0"/>
              <w:pageBreakBefore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w:t>
            </w:r>
            <w:r/>
          </w:p>
          <w:p>
            <w:pPr>
              <w:ind w:left="3780"/>
              <w:keepLines w:val="0"/>
              <w:keepNext w:val="0"/>
              <w:pageBreakBefore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二O  年  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tc>
      </w:tr>
    </w:tbl>
    <w:p>
      <w:pPr>
        <w:jc w:val="left"/>
        <w:spacing w:line="240" w:lineRule="atLeast"/>
        <w:shd w:val="clear" w:color="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br w:type="page" w:clear="all"/>
      </w:r>
      <w:r>
        <w:rPr>
          <w:rFonts w:hint="eastAsia" w:ascii="宋体" w:hAnsi="宋体" w:eastAsia="宋体" w:cs="宋体"/>
          <w:b/>
          <w:bCs/>
          <w:color w:val="000000" w:themeColor="text1"/>
          <w:szCs w:val="21"/>
          <w:highlight w:val="none"/>
          <w14:textFill>
            <w14:solidFill>
              <w14:schemeClr w14:val="tx1"/>
            </w14:solidFill>
          </w14:textFill>
        </w:rPr>
        <w:t xml:space="preserve">五</w:t>
      </w:r>
      <w:r>
        <w:rPr>
          <w:rFonts w:hint="eastAsia" w:ascii="宋体" w:hAnsi="宋体" w:eastAsia="宋体" w:cs="宋体"/>
          <w:b/>
          <w:bCs/>
          <w:color w:val="000000" w:themeColor="text1"/>
          <w:szCs w:val="21"/>
          <w:highlight w:val="none"/>
          <w:lang w:val="zh-CN"/>
          <w14:textFill>
            <w14:solidFill>
              <w14:schemeClr w14:val="tx1"/>
            </w14:solidFill>
          </w14:textFill>
        </w:rPr>
        <w:t xml:space="preserve">、分项报价表格式</w:t>
      </w:r>
      <w:r/>
    </w:p>
    <w:p>
      <w:pPr>
        <w:jc w:val="center"/>
        <w:spacing w:line="240" w:lineRule="atLeast"/>
        <w:shd w:val="clear" w:color="auto"/>
        <w:widowControl/>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分项报价表</w:t>
      </w:r>
      <w:r/>
    </w:p>
    <w:p>
      <w:pPr>
        <w:jc w:val="left"/>
        <w:shd w:val="clear" w:color="auto"/>
        <w:widowControl/>
        <w:rPr>
          <w:rFonts w:ascii="宋体" w:hAnsi="宋体"/>
          <w:color w:val="000000" w:themeColor="text1"/>
          <w:szCs w:val="2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项目编号：</w:t>
      </w:r>
      <w:r>
        <w:rPr>
          <w:rFonts w:hint="eastAsia"/>
          <w:color w:val="000000" w:themeColor="text1"/>
          <w:highlight w:val="none"/>
          <w14:textFill>
            <w14:solidFill>
              <w14:schemeClr w14:val="tx1"/>
            </w14:solidFill>
          </w14:textFill>
        </w:rPr>
        <w:t xml:space="preserve">                      </w:t>
      </w:r>
      <w:r/>
    </w:p>
    <w:tbl>
      <w:tblPr>
        <w:tblStyle w:val="988"/>
        <w:tblW w:w="470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9"/>
        <w:gridCol w:w="459"/>
        <w:gridCol w:w="1394"/>
        <w:gridCol w:w="625"/>
        <w:gridCol w:w="874"/>
        <w:gridCol w:w="1252"/>
        <w:gridCol w:w="1083"/>
        <w:gridCol w:w="1083"/>
        <w:gridCol w:w="806"/>
        <w:gridCol w:w="1081"/>
      </w:tblGrid>
      <w:tr>
        <w:trPr>
          <w:trHeight w:val="6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vMerge w:val="restart"/>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日常养护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设施种类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计量单位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一年</w:t>
            </w:r>
            <w:r>
              <w:rPr>
                <w:rFonts w:hint="eastAsia" w:ascii="宋体" w:hAnsi="宋体" w:eastAsia="宋体" w:cs="宋体"/>
                <w:b/>
                <w:color w:val="000000" w:themeColor="text1"/>
                <w:sz w:val="24"/>
                <w:szCs w:val="24"/>
                <w:highlight w:val="none"/>
                <w14:textFill>
                  <w14:solidFill>
                    <w14:schemeClr w14:val="tx1"/>
                  </w14:solidFill>
                </w14:textFill>
              </w:rPr>
              <w:t xml:space="preserve">单价</w:t>
            </w:r>
            <w:r/>
          </w:p>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一年合价</w:t>
            </w:r>
            <w:r/>
          </w:p>
          <w:p>
            <w:pPr>
              <w:ind w:left="0" w:right="0" w:firstLine="0"/>
              <w:jc w:val="center"/>
              <w:spacing w:before="0" w:after="0"/>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三年</w:t>
            </w:r>
            <w:r>
              <w:rPr>
                <w:rFonts w:hint="eastAsia" w:ascii="宋体" w:hAnsi="宋体" w:eastAsia="宋体" w:cs="宋体"/>
                <w:b/>
                <w:color w:val="000000" w:themeColor="text1"/>
                <w:sz w:val="24"/>
                <w:szCs w:val="24"/>
                <w:highlight w:val="none"/>
                <w14:textFill>
                  <w14:solidFill>
                    <w14:schemeClr w14:val="tx1"/>
                  </w14:solidFill>
                </w14:textFill>
              </w:rPr>
              <w:t xml:space="preserve">合价</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单位：元</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备</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注</w:t>
            </w:r>
            <w:r/>
          </w:p>
        </w:tc>
      </w:tr>
      <w:tr>
        <w:trPr>
          <w:trHeight w:val="434"/>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48" w:type="pct"/>
            <w:vAlign w:val="center"/>
            <w:textDirection w:val="lrTb"/>
            <w:noWrap w:val="false"/>
          </w:tcPr>
          <w:p>
            <w:pPr>
              <w:ind w:left="0" w:right="0" w:firstLine="0"/>
              <w:jc w:val="center"/>
              <w:spacing w:before="0" w:after="0"/>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道路设施</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车行道</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18767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人行天桥</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钢筋混凝土桥</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挡土墙</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1966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人行道隔离</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桩</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391"/>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48" w:type="pct"/>
            <w:vAlign w:val="center"/>
            <w:textDirection w:val="lrTb"/>
            <w:noWrap w:val="false"/>
          </w:tcPr>
          <w:p>
            <w:pPr>
              <w:ind w:left="0" w:right="0" w:firstLine="0"/>
              <w:jc w:val="center"/>
              <w:spacing w:before="0" w:after="0"/>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水务设施</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雨水管</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D400管道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雨水管</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D600管道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708.2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雨水管</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D1000管道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雨水管</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D1200管道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950"/>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pStyle w:val="961"/>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雨水泵站</w:t>
            </w:r>
            <w:r/>
          </w:p>
          <w:p>
            <w:pPr>
              <w:jc w:val="center"/>
              <w:keepLines w:val="0"/>
              <w:keepNext w:val="0"/>
              <w:shd w:val="clear" w:color="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流量：1.167m3/s，含日常养护的所有相关费用</w:t>
            </w:r>
            <w:r/>
          </w:p>
        </w:tc>
      </w:tr>
      <w:tr>
        <w:trPr>
          <w:trHeight w:val="391"/>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48" w:type="pct"/>
            <w:vAlign w:val="center"/>
            <w:textDirection w:val="lrTb"/>
            <w:noWrap w:val="false"/>
          </w:tcPr>
          <w:p>
            <w:pPr>
              <w:ind w:left="0" w:right="0" w:firstLine="0"/>
              <w:jc w:val="center"/>
              <w:spacing w:before="0" w:after="0"/>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三、绿化设施</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行道树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636"/>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绿地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2671.13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6"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m²</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pct"/>
            <w:vAlign w:val="center"/>
            <w:textDirection w:val="lrTb"/>
            <w:noWrap w:val="false"/>
          </w:tcPr>
          <w:p>
            <w:pPr>
              <w:jc w:val="center"/>
              <w:keepLines w:val="0"/>
              <w:keepNext w:val="0"/>
              <w:shd w:val="clear" w:color="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含日常养护的所有相关费用</w:t>
            </w:r>
            <w:r/>
          </w:p>
        </w:tc>
      </w:tr>
      <w:tr>
        <w:trPr>
          <w:trHeight w:val="413"/>
        </w:trPr>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7" w:type="pct"/>
            <w:vAlign w:val="center"/>
            <w:textDirection w:val="lrTb"/>
            <w:noWrap w:val="false"/>
          </w:tcPr>
          <w:p>
            <w:pPr>
              <w:ind w:left="0" w:right="0" w:firstLine="0"/>
              <w:jc w:val="center"/>
              <w:spacing w:before="0"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日常养护小计（</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年）：               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2" w:type="pct"/>
            <w:vAlign w:val="center"/>
            <w:textDirection w:val="lrTb"/>
            <w:noWrap w:val="false"/>
          </w:tcPr>
          <w:p>
            <w:pPr>
              <w:ind w:left="0" w:right="0" w:firstLine="0"/>
              <w:jc w:val="center"/>
              <w:spacing w:before="0" w:after="0"/>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r>
            <w:r/>
          </w:p>
        </w:tc>
      </w:tr>
    </w:tbl>
    <w:p>
      <w:pPr>
        <w:jc w:val="left"/>
        <w:widowControl/>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r>
      <w:r/>
    </w:p>
    <w:p>
      <w:pPr>
        <w:jc w:val="lef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名称：</w:t>
      </w:r>
      <w:r>
        <w:rPr>
          <w:rFonts w:ascii="宋体" w:hAnsi="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（盖章）</w:t>
      </w:r>
      <w:r/>
    </w:p>
    <w:p>
      <w:pPr>
        <w:jc w:val="lef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w:t>
      </w:r>
      <w:r/>
    </w:p>
    <w:p>
      <w:pPr>
        <w:ind w:firstLine="420"/>
        <w:jc w:val="left"/>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eastAsia="zh-CN"/>
          <w14:textFill>
            <w14:solidFill>
              <w14:schemeClr w14:val="tx1"/>
            </w14:solidFill>
          </w14:textFill>
        </w:rPr>
        <w:t xml:space="preserve">如果行数不够，请自行增加。上表中：</w:t>
      </w:r>
      <w:r>
        <w:rPr>
          <w:rFonts w:hint="eastAsia" w:ascii="宋体" w:hAnsi="宋体" w:cs="宋体"/>
          <w:color w:val="000000" w:themeColor="text1"/>
          <w:szCs w:val="21"/>
          <w:highlight w:val="none"/>
          <w:lang w:val="en-US" w:eastAsia="zh-CN"/>
          <w14:textFill>
            <w14:solidFill>
              <w14:schemeClr w14:val="tx1"/>
            </w14:solidFill>
          </w14:textFill>
        </w:rPr>
        <w:t xml:space="preserve">数量*一年单价=一年合价,一年合价*3=三年合价。</w:t>
      </w:r>
      <w:r/>
    </w:p>
    <w:p>
      <w:pPr>
        <w:ind w:firstLine="420"/>
        <w:jc w:val="left"/>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2、上表中，日常养护数量为单年预估量。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9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7"/>
        <w:gridCol w:w="1577"/>
        <w:gridCol w:w="2666"/>
        <w:gridCol w:w="3113"/>
        <w:gridCol w:w="1140"/>
      </w:tblGrid>
      <w:tr>
        <w:trPr>
          <w:trHeight w:val="454"/>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招标文件要求的技术条款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说明：1、如果行、列数不够，请自行增加。</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2、供应商需在上表中对第四章“（第一部分：技术部分要求）”中相关内容进行响应。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七、商务条款偏离表格式</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9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2"/>
        <w:gridCol w:w="1986"/>
        <w:gridCol w:w="2839"/>
        <w:gridCol w:w="2425"/>
        <w:gridCol w:w="1272"/>
      </w:tblGrid>
      <w:tr>
        <w:trPr>
          <w:trHeight w:val="454"/>
        </w:trPr>
        <w:tc>
          <w:tcPr>
            <w:gridSpan w:val="3"/>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6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说明：1、如果行、列数不够，请自行增加。</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2、供应商需在上表中对第四章“（第二部分：商务部分要求）”中相关内容进行响应。</w:t>
      </w:r>
      <w:r>
        <w:rPr>
          <w:sz w:val="22"/>
        </w:rPr>
      </w:r>
      <w:r/>
    </w:p>
    <w:p>
      <w:pPr>
        <w:jc w:val="left"/>
        <w:spacing w:line="360" w:lineRule="auto"/>
        <w:shd w:val="clear" w:color="auto"/>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br w:type="page" w:clear="all"/>
      </w:r>
      <w:r>
        <w:rPr>
          <w:rFonts w:hint="eastAsia" w:ascii="宋体" w:hAnsi="宋体" w:eastAsia="宋体" w:cs="宋体"/>
          <w:b/>
          <w:bCs/>
          <w:color w:val="000000" w:themeColor="text1"/>
          <w:sz w:val="24"/>
          <w:highlight w:val="none"/>
          <w14:textFill>
            <w14:solidFill>
              <w14:schemeClr w14:val="tx1"/>
            </w14:solidFill>
          </w14:textFill>
        </w:rPr>
        <w:t xml:space="preserve">八、项目实施、集成、实施方案</w:t>
      </w:r>
      <w:r/>
    </w:p>
    <w:p>
      <w:pPr>
        <w:jc w:val="left"/>
        <w:spacing w:line="360" w:lineRule="auto"/>
        <w:shd w:val="clear" w:color="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r>
      <w:r/>
    </w:p>
    <w:p>
      <w:pPr>
        <w:jc w:val="center"/>
        <w:spacing w:line="240" w:lineRule="atLeast"/>
        <w:shd w:val="clear" w:color="auto"/>
        <w:rPr>
          <w:rFonts w:hint="eastAsia" w:ascii="宋体" w:hAnsi="宋体" w:eastAsia="宋体" w:cs="宋体"/>
          <w:color w:val="000000" w:themeColor="text1"/>
          <w:sz w:val="36"/>
          <w:szCs w:val="36"/>
          <w:highlight w:val="none"/>
          <w:lang w:val="zh-CN"/>
          <w14:textFill>
            <w14:solidFill>
              <w14:schemeClr w14:val="tx1"/>
            </w14:solidFill>
          </w14:textFill>
        </w:rPr>
      </w:pPr>
      <w:r>
        <w:rPr>
          <w:rFonts w:hint="eastAsia" w:ascii="宋体" w:hAnsi="宋体" w:eastAsia="宋体" w:cs="宋体"/>
          <w:color w:val="000000" w:themeColor="text1"/>
          <w:sz w:val="36"/>
          <w:szCs w:val="36"/>
          <w:highlight w:val="none"/>
          <w:lang w:val="zh-CN"/>
          <w14:textFill>
            <w14:solidFill>
              <w14:schemeClr w14:val="tx1"/>
            </w14:solidFill>
          </w14:textFill>
        </w:rPr>
        <w:t xml:space="preserve">（格式自拟）</w:t>
      </w:r>
      <w:r/>
    </w:p>
    <w:p>
      <w:pPr>
        <w:jc w:val="left"/>
        <w:spacing w:line="360" w:lineRule="auto"/>
        <w:shd w:val="clear" w:color="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360" w:lineRule="auto"/>
        <w:shd w:val="clear" w:color="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九</w:t>
      </w: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Cs w:val="21"/>
          <w:highlight w:val="none"/>
          <w:lang w:eastAsia="zh-CN"/>
          <w14:textFill>
            <w14:solidFill>
              <w14:schemeClr w14:val="tx1"/>
            </w14:solidFill>
          </w14:textFill>
        </w:rPr>
        <w:t xml:space="preserve">供应商</w:t>
      </w:r>
      <w:r>
        <w:rPr>
          <w:rFonts w:hint="eastAsia" w:ascii="宋体" w:hAnsi="宋体" w:eastAsia="宋体" w:cs="宋体"/>
          <w:b/>
          <w:color w:val="000000" w:themeColor="text1"/>
          <w:szCs w:val="21"/>
          <w:highlight w:val="none"/>
          <w14:textFill>
            <w14:solidFill>
              <w14:schemeClr w14:val="tx1"/>
            </w14:solidFill>
          </w14:textFill>
        </w:rPr>
        <w:t xml:space="preserve">类似业绩情况表</w:t>
      </w:r>
      <w:r/>
    </w:p>
    <w:p>
      <w:pPr>
        <w:jc w:val="center"/>
        <w:spacing w:line="360" w:lineRule="auto"/>
        <w:shd w:val="clear" w:color="auto"/>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36"/>
          <w:szCs w:val="36"/>
          <w:highlight w:val="none"/>
          <w14:textFill>
            <w14:solidFill>
              <w14:schemeClr w14:val="tx1"/>
            </w14:solidFill>
          </w14:textFill>
        </w:rPr>
        <w:t xml:space="preserve">类似业绩情况表</w:t>
      </w:r>
      <w:r/>
    </w:p>
    <w:tbl>
      <w:tblPr>
        <w:tblStyle w:val="956"/>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W w:w="3415" w:type="dxa"/>
            <w:vAlign w:val="center"/>
            <w:textDirection w:val="lrTb"/>
            <w:noWrap w:val="false"/>
          </w:tcPr>
          <w:p>
            <w:pPr>
              <w:jc w:val="center"/>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项目名称</w:t>
            </w:r>
            <w:r/>
          </w:p>
        </w:tc>
        <w:tc>
          <w:tcPr>
            <w:tcW w:w="1418" w:type="dxa"/>
            <w:vAlign w:val="center"/>
            <w:textDirection w:val="lrTb"/>
            <w:noWrap w:val="false"/>
          </w:tcPr>
          <w:p>
            <w:pPr>
              <w:jc w:val="center"/>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业主方</w:t>
            </w:r>
            <w:r/>
          </w:p>
        </w:tc>
        <w:tc>
          <w:tcPr>
            <w:tcW w:w="1517" w:type="dxa"/>
            <w:vAlign w:val="center"/>
            <w:textDirection w:val="lrTb"/>
            <w:noWrap w:val="false"/>
          </w:tcPr>
          <w:p>
            <w:pPr>
              <w:jc w:val="center"/>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签约及服务</w:t>
            </w:r>
            <w:r/>
          </w:p>
          <w:p>
            <w:pPr>
              <w:jc w:val="center"/>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时间</w:t>
            </w:r>
            <w:r/>
          </w:p>
        </w:tc>
        <w:tc>
          <w:tcPr>
            <w:tcW w:w="1134" w:type="dxa"/>
            <w:vAlign w:val="center"/>
            <w:textDirection w:val="lrTb"/>
            <w:noWrap w:val="false"/>
          </w:tcPr>
          <w:p>
            <w:pPr>
              <w:jc w:val="center"/>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联系人及电话</w:t>
            </w:r>
            <w:r/>
          </w:p>
        </w:tc>
        <w:tc>
          <w:tcPr>
            <w:tcW w:w="1134" w:type="dxa"/>
            <w:vAlign w:val="center"/>
            <w:textDirection w:val="lrTb"/>
            <w:noWrap w:val="false"/>
          </w:tcPr>
          <w:p>
            <w:pPr>
              <w:jc w:val="center"/>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tc>
      </w:tr>
      <w:tr>
        <w:trPr>
          <w:jc w:val="center"/>
          <w:trHeight w:val="737"/>
        </w:trPr>
        <w:tc>
          <w:tcPr>
            <w:tcW w:w="947"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3415"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418" w:type="dxa"/>
            <w:vAlign w:val="center"/>
            <w:textDirection w:val="lrTb"/>
            <w:noWrap w:val="false"/>
          </w:tcPr>
          <w:p>
            <w:pPr>
              <w:ind w:firstLine="105"/>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7"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737"/>
        </w:trPr>
        <w:tc>
          <w:tcPr>
            <w:tcW w:w="947"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3415"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418"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7"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737"/>
        </w:trPr>
        <w:tc>
          <w:tcPr>
            <w:tcW w:w="947"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3415"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418"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7"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left"/>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供应商名称：（盖章）</w:t>
      </w:r>
      <w:r/>
    </w:p>
    <w:p>
      <w:pPr>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    期：   年   月   日</w:t>
      </w:r>
      <w:r/>
    </w:p>
    <w:p>
      <w:pPr>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说明：</w:t>
      </w:r>
      <w:r/>
    </w:p>
    <w:p>
      <w:pPr>
        <w:spacing w:line="360" w:lineRule="auto"/>
        <w:shd w:val="clear" w:color="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1、如果行、列数不够，请自行增加。</w:t>
      </w:r>
      <w:r/>
    </w:p>
    <w:p>
      <w:pPr>
        <w:spacing w:line="360" w:lineRule="auto"/>
        <w:shd w:val="clear" w:color="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2、请</w:t>
      </w:r>
      <w:r>
        <w:rPr>
          <w:rFonts w:hint="eastAsia" w:ascii="宋体" w:hAnsi="宋体" w:eastAsia="宋体" w:cs="宋体"/>
          <w:bCs/>
          <w:color w:val="000000" w:themeColor="text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根据本格式要求如实填写业绩情况表，并附业绩合同复印件。</w:t>
      </w:r>
      <w:r/>
    </w:p>
    <w:p>
      <w:pPr>
        <w:spacing w:line="360" w:lineRule="auto"/>
        <w:shd w:val="clear" w:color="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十、投标需要的其他证明文件及材料（若有）</w:t>
      </w:r>
      <w:r/>
    </w:p>
    <w:p>
      <w:pPr>
        <w:jc w:val="left"/>
        <w:spacing w:before="50" w:after="50" w:line="360" w:lineRule="auto"/>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十</w:t>
      </w:r>
      <w:r>
        <w:rPr>
          <w:rFonts w:hint="eastAsia" w:ascii="宋体" w:hAnsi="宋体" w:eastAsia="宋体" w:cs="宋体"/>
          <w:b/>
          <w:color w:val="000000" w:themeColor="text1"/>
          <w:highlight w:val="none"/>
          <w:lang w:eastAsia="zh-CN"/>
          <w14:textFill>
            <w14:solidFill>
              <w14:schemeClr w14:val="tx1"/>
            </w14:solidFill>
          </w14:textFill>
        </w:rPr>
        <w:t xml:space="preserve">一</w:t>
      </w:r>
      <w:r>
        <w:rPr>
          <w:rFonts w:hint="eastAsia" w:ascii="宋体" w:hAnsi="宋体" w:eastAsia="宋体" w:cs="宋体"/>
          <w:b/>
          <w:color w:val="000000" w:themeColor="text1"/>
          <w:highlight w:val="none"/>
          <w14:textFill>
            <w14:solidFill>
              <w14:schemeClr w14:val="tx1"/>
            </w14:solidFill>
          </w14:textFill>
        </w:rPr>
        <w:t xml:space="preserve">、资格性审查响应对照表</w:t>
      </w:r>
      <w:r/>
    </w:p>
    <w:p>
      <w:pPr>
        <w:jc w:val="center"/>
        <w:spacing w:before="50" w:after="50" w:line="360" w:lineRule="auto"/>
        <w:shd w:val="clear" w:color="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资格性审查响应对照表</w:t>
      </w:r>
      <w:r/>
    </w:p>
    <w:p>
      <w:pPr>
        <w:jc w:val="left"/>
        <w:spacing w:before="50" w:after="50"/>
        <w:shd w:val="clear" w:color="auto"/>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                                               </w:t>
      </w:r>
      <w:r>
        <w:rPr>
          <w:rFonts w:hint="eastAsia" w:ascii="宋体" w:hAnsi="宋体" w:eastAsia="宋体" w:cs="宋体"/>
          <w:color w:val="000000" w:themeColor="text1"/>
          <w:highlight w:val="none"/>
          <w:lang w:eastAsia="zh-CN"/>
          <w14:textFill>
            <w14:solidFill>
              <w14:schemeClr w14:val="tx1"/>
            </w14:solidFill>
          </w14:textFill>
        </w:rPr>
        <w:t xml:space="preserve">项目编号：</w:t>
      </w:r>
      <w:r/>
    </w:p>
    <w:tbl>
      <w:tblPr>
        <w:tblStyle w:val="956"/>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907"/>
        </w:trPr>
        <w:tc>
          <w:tcPr>
            <w:tcW w:w="64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tcW w:w="5447" w:type="dxa"/>
            <w:vAlign w:val="center"/>
            <w:textDirection w:val="lrTb"/>
            <w:noWrap w:val="false"/>
          </w:tcPr>
          <w:p>
            <w:pPr>
              <w:jc w:val="center"/>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资格性审查响应内容</w:t>
            </w:r>
            <w:r/>
          </w:p>
        </w:tc>
        <w:tc>
          <w:tcPr>
            <w:tcW w:w="168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是否响应</w:t>
            </w:r>
            <w:r/>
          </w:p>
          <w:p>
            <w:pPr>
              <w:jc w:val="cente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（填是或者否）</w:t>
            </w:r>
            <w:r/>
          </w:p>
        </w:tc>
        <w:tc>
          <w:tcPr>
            <w:tcW w:w="1785"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投标文件中的</w:t>
            </w:r>
            <w:r/>
          </w:p>
          <w:p>
            <w:pPr>
              <w:jc w:val="cente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页码位置</w:t>
            </w:r>
            <w:r/>
          </w:p>
        </w:tc>
      </w:tr>
      <w:tr>
        <w:trPr>
          <w:trHeight w:val="907"/>
        </w:trPr>
        <w:tc>
          <w:tcPr>
            <w:tcW w:w="64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5447"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8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907"/>
        </w:trPr>
        <w:tc>
          <w:tcPr>
            <w:tcW w:w="64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5447"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8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907"/>
        </w:trPr>
        <w:tc>
          <w:tcPr>
            <w:tcW w:w="64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5447"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8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907"/>
        </w:trPr>
        <w:tc>
          <w:tcPr>
            <w:tcW w:w="64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W w:w="5447"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8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907"/>
        </w:trPr>
        <w:tc>
          <w:tcPr>
            <w:tcW w:w="64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W w:w="5447"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8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bl>
    <w:p>
      <w:pPr>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p>
      <w:pPr>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供应商名称：（盖章）</w:t>
      </w:r>
      <w:r/>
    </w:p>
    <w:p>
      <w:pPr>
        <w:jc w:val="left"/>
        <w:spacing w:line="360" w:lineRule="auto"/>
        <w:shd w:val="clear" w:color="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说明：如果行数不够，请自行增加。</w:t>
      </w:r>
      <w:r/>
    </w:p>
    <w:p>
      <w:pPr>
        <w:pStyle w:val="1218"/>
        <w:numPr>
          <w:ilvl w:val="0"/>
          <w:numId w:val="0"/>
        </w:numPr>
        <w:ind w:firstLine="480"/>
        <w:spacing w:line="360" w:lineRule="auto"/>
        <w:shd w:val="clear" w:color="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r>
      <w:r/>
    </w:p>
    <w:p>
      <w:pPr>
        <w:spacing w:line="360" w:lineRule="auto"/>
        <w:shd w:val="clear" w:color="auto"/>
        <w:rPr>
          <w:rFonts w:hint="eastAsia" w:ascii="宋体" w:hAnsi="宋体" w:eastAsia="宋体" w:cs="宋体"/>
          <w:b/>
          <w:color w:val="000000" w:themeColor="text1"/>
          <w:highlight w:val="none"/>
          <w:lang w:eastAsia="zh-CN"/>
          <w14:textFill>
            <w14:solidFill>
              <w14:schemeClr w14:val="tx1"/>
            </w14:solidFill>
          </w14:textFill>
        </w:rPr>
      </w:pPr>
      <w:r>
        <w:rPr>
          <w:rFonts w:hint="eastAsia" w:ascii="宋体" w:hAnsi="宋体" w:eastAsia="宋体" w:cs="宋体"/>
          <w:b/>
          <w:color w:val="000000" w:themeColor="text1"/>
          <w:highlight w:val="none"/>
          <w:lang w:eastAsia="zh-CN"/>
          <w14:textFill>
            <w14:solidFill>
              <w14:schemeClr w14:val="tx1"/>
            </w14:solidFill>
          </w14:textFill>
        </w:rPr>
      </w:r>
      <w:r/>
    </w:p>
    <w:p>
      <w:pPr>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p>
    <w:p>
      <w:pPr>
        <w:spacing w:line="360" w:lineRule="auto"/>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附件一、中小企业声明函格式</w:t>
      </w:r>
      <w:r/>
    </w:p>
    <w:p>
      <w:pPr>
        <w:jc w:val="center"/>
        <w:spacing w:line="360" w:lineRule="auto"/>
        <w:shd w:val="clear" w:color="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中小企业声明函（工程、服务）</w:t>
      </w:r>
      <w:r/>
    </w:p>
    <w:p>
      <w:pPr>
        <w:ind w:firstLine="420"/>
        <w:spacing w:line="360" w:lineRule="auto"/>
        <w:shd w:val="clear" w:color="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（单位名称</w:t>
      </w:r>
      <w:r>
        <w:rPr>
          <w:rFonts w:hint="eastAsia" w:ascii="宋体" w:hAnsi="宋体" w:cs="宋体"/>
          <w:color w:val="000000" w:themeColor="text1"/>
          <w:highlight w:val="none"/>
          <w:u w:val="singl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shd w:val="clear" w:color="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eastAsiaTheme="minorEastAsia"/>
          <w:color w:val="000000" w:themeColor="text1"/>
          <w:sz w:val="21"/>
          <w:szCs w:val="22"/>
          <w:highlight w:val="none"/>
          <w:u w:val="single"/>
          <w14:textFill>
            <w14:solidFill>
              <w14:schemeClr w14:val="tx1"/>
            </w14:solidFill>
          </w14:textFill>
        </w:rPr>
        <w:t xml:space="preserve">其他未列明行业</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（采购文件中明确的所属行业）</w:t>
      </w:r>
      <w:r>
        <w:rPr>
          <w:rFonts w:hint="eastAsia" w:ascii="宋体" w:hAnsi="宋体" w:cs="宋体"/>
          <w:color w:val="000000" w:themeColor="text1"/>
          <w:highlight w:val="none"/>
          <w14:textFill>
            <w14:solidFill>
              <w14:schemeClr w14:val="tx1"/>
            </w14:solidFill>
          </w14:textFill>
        </w:rPr>
        <w:t xml:space="preserve">；承建（承接）企业为</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（中型企业、小型企业、微型企业）</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shd w:val="clear" w:color="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eastAsiaTheme="minorEastAsia"/>
          <w:color w:val="000000" w:themeColor="text1"/>
          <w:sz w:val="21"/>
          <w:szCs w:val="22"/>
          <w:highlight w:val="none"/>
          <w:u w:val="single"/>
          <w14:textFill>
            <w14:solidFill>
              <w14:schemeClr w14:val="tx1"/>
            </w14:solidFill>
          </w14:textFill>
        </w:rPr>
        <w:t xml:space="preserve">其他未列明行业</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w:t>
      </w:r>
      <w:r>
        <w:rPr>
          <w:rFonts w:hint="eastAsia" w:ascii="宋体" w:hAnsi="宋体" w:cs="宋体"/>
          <w:color w:val="000000" w:themeColor="text1"/>
          <w:highlight w:val="none"/>
          <w:u w:val="none"/>
          <w14:textFill>
            <w14:solidFill>
              <w14:schemeClr w14:val="tx1"/>
            </w14:solidFill>
          </w14:textFill>
        </w:rPr>
        <w:t xml:space="preserve">采购文件中明确的所属行业</w:t>
      </w:r>
      <w:r>
        <w:rPr>
          <w:rFonts w:hint="eastAsia" w:ascii="宋体" w:hAnsi="宋体" w:cs="宋体"/>
          <w:color w:val="000000" w:themeColor="text1"/>
          <w:highlight w:val="none"/>
          <w14:textFill>
            <w14:solidFill>
              <w14:schemeClr w14:val="tx1"/>
            </w14:solidFill>
          </w14:textFill>
        </w:rPr>
        <w:t xml:space="preserve">；承建（承接）企业为</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（中型企业、小型企业、微型企业）</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shd w:val="clear" w:color="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shd w:val="clear" w:color="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shd w:val="clear" w:color="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shd w:val="clear" w:color="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620"/>
        <w:spacing w:line="360" w:lineRule="auto"/>
        <w:shd w:val="clear" w:color="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企业名称（盖章）：</w:t>
      </w:r>
      <w:r/>
    </w:p>
    <w:p>
      <w:pPr>
        <w:ind w:firstLine="4620"/>
        <w:spacing w:line="360" w:lineRule="auto"/>
        <w:shd w:val="clear" w:color="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r/>
    </w:p>
    <w:p>
      <w:pPr>
        <w:jc w:val="left"/>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shd w:val="clear" w:color="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spacing w:line="360" w:lineRule="auto"/>
        <w:shd w:val="clear" w:color="auto"/>
        <w:widowControl/>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注3：供应商如不提供此声明函，价格将不做相应扣除。</w:t>
      </w:r>
      <w:r/>
    </w:p>
    <w:p>
      <w:pPr>
        <w:spacing w:line="240" w:lineRule="atLeast"/>
        <w:shd w:val="clear" w:color="auto"/>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注4：依据《关于印发中小企业划型标准规定的通知》（工信部联企业〔2011〕300号）：</w:t>
      </w:r>
      <w:r/>
    </w:p>
    <w:p>
      <w:pPr>
        <w:spacing w:line="240" w:lineRule="atLeast"/>
        <w:shd w:val="clear" w:color="auto"/>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其他未列明行业。从业人员300人以下的为中小微型企业。其中，从业人员100人及以上的为中型企业；从业人员10人及以上的为小型企业；从业人员10人以下的为微型企业。</w:t>
      </w:r>
      <w:r/>
    </w:p>
    <w:p>
      <w:pPr>
        <w:spacing w:line="360" w:lineRule="auto"/>
        <w:shd w:val="clear" w:color="auto"/>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p>
    <w:p>
      <w:pPr>
        <w:spacing w:line="240" w:lineRule="atLeast"/>
        <w:shd w:val="clear" w:color="auto"/>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附件二、无重大违法记录声明格式</w:t>
      </w:r>
      <w:r/>
    </w:p>
    <w:p>
      <w:pPr>
        <w:spacing w:line="240" w:lineRule="atLeast"/>
        <w:shd w:val="clear" w:color="auto"/>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center"/>
        <w:shd w:val="clear" w:color="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无重大违法记录声明</w:t>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南京市栖霞区市政设施综合养护管理所</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名称）郑重声明：</w:t>
      </w:r>
      <w:r/>
    </w:p>
    <w:p>
      <w:pPr>
        <w:ind w:firstLine="420"/>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参加政府采购活动前3年内在经营活动中</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（在下划线上如实填写：有或没有）重大违法记录。</w:t>
      </w:r>
      <w:r/>
    </w:p>
    <w:p>
      <w:pPr>
        <w:ind w:firstLine="420"/>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（说明：政府采购法第二十二条第一款第五项所称重大违法记录，是指</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因违法经营受到刑事处罚或者责令停产停业、吊销许可证或者执照、较大数额罚款等行政处罚。）</w:t>
      </w:r>
      <w:r/>
    </w:p>
    <w:p>
      <w:pPr>
        <w:ind w:firstLine="4620"/>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声明人（公章）：</w:t>
      </w:r>
      <w:r/>
    </w:p>
    <w:p>
      <w:pPr>
        <w:ind w:firstLine="4620"/>
        <w:spacing w:line="360" w:lineRule="auto"/>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          年     月    日</w:t>
      </w:r>
      <w:r/>
    </w:p>
    <w:p>
      <w:pPr>
        <w:spacing w:line="360" w:lineRule="auto"/>
        <w:shd w:val="clear" w:color="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附件三、具备履行合同所必需的设备和专业技术能力的声明格式及证明材料</w:t>
      </w:r>
      <w:r/>
    </w:p>
    <w:p>
      <w:pPr>
        <w:jc w:val="center"/>
        <w:spacing w:line="360" w:lineRule="auto"/>
        <w:shd w:val="clear" w:color="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具备履行合同所必需的设备和专业技术能力的声明</w:t>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南京市栖霞区市政设施综合养护管理所</w:t>
      </w:r>
      <w:r>
        <w:rPr>
          <w:rFonts w:hint="eastAsia" w:ascii="宋体" w:hAnsi="宋体" w:eastAsia="宋体" w:cs="宋体"/>
          <w:color w:val="000000" w:themeColor="text1"/>
          <w:highlight w:val="none"/>
          <w14:textFill>
            <w14:solidFill>
              <w14:schemeClr w14:val="tx1"/>
            </w14:solidFill>
          </w14:textFill>
        </w:rPr>
        <w:t xml:space="preserve">：</w:t>
      </w:r>
      <w:r/>
    </w:p>
    <w:p>
      <w:pPr>
        <w:ind w:firstLine="492"/>
        <w:spacing w:line="46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主要设备有：。（ 若有 ）</w:t>
      </w:r>
      <w:r/>
    </w:p>
    <w:p>
      <w:pPr>
        <w:ind w:firstLine="492"/>
        <w:spacing w:line="46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主要专业技术能力有：。（ 若有 ）</w:t>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声明人：（公章）</w:t>
      </w:r>
      <w:r/>
    </w:p>
    <w:p>
      <w:pPr>
        <w:ind w:firstLine="4410"/>
        <w:spacing w:line="46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日期：年月日</w:t>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46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460" w:lineRule="exact"/>
        <w:shd w:val="clear" w:color="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其他证明材料及文件：（如果</w:t>
      </w:r>
      <w:r>
        <w:rPr>
          <w:rFonts w:hint="eastAsia" w:ascii="宋体" w:hAnsi="宋体" w:eastAsia="宋体" w:cs="宋体"/>
          <w:color w:val="000000" w:themeColor="text1"/>
          <w:highlight w:val="none"/>
          <w:lang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认为需要提供的话）</w:t>
      </w:r>
      <w:r/>
    </w:p>
    <w:p>
      <w:pPr>
        <w:ind w:firstLine="4638"/>
        <w:spacing w:line="360" w:lineRule="auto"/>
        <w:shd w:val="clear" w:color="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pStyle w:val="1186"/>
        <w:ind w:left="0"/>
        <w:spacing w:before="2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86"/>
        <w:ind w:left="0"/>
        <w:spacing w:before="2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86"/>
        <w:ind w:left="0"/>
        <w:spacing w:line="360" w:lineRule="auto"/>
        <w:shd w:val="clear" w:color="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附件四、残疾人福利性单位声明函格式</w:t>
      </w:r>
      <w:r/>
    </w:p>
    <w:p>
      <w:pPr>
        <w:pStyle w:val="1186"/>
        <w:ind w:left="0"/>
        <w:jc w:val="center"/>
        <w:spacing w:line="360" w:lineRule="auto"/>
        <w:shd w:val="clear" w:color="auto"/>
        <w:rPr>
          <w:rFonts w:hint="eastAsia" w:ascii="宋体" w:hAnsi="宋体" w:eastAsia="宋体" w:cs="宋体"/>
          <w:b w:val="0"/>
          <w:bCs w:val="0"/>
          <w:color w:val="000000" w:themeColor="text1"/>
          <w:sz w:val="36"/>
          <w:szCs w:val="36"/>
          <w:highlight w:val="none"/>
          <w:lang w:val="en-US"/>
          <w14:textFill>
            <w14:solidFill>
              <w14:schemeClr w14:val="tx1"/>
            </w14:solidFill>
          </w14:textFill>
        </w:rPr>
      </w:pPr>
      <w:r>
        <w:rPr>
          <w:rFonts w:hint="eastAsia" w:ascii="宋体" w:hAnsi="宋体" w:eastAsia="宋体" w:cs="宋体"/>
          <w:b w:val="0"/>
          <w:bCs w:val="0"/>
          <w:color w:val="000000" w:themeColor="text1"/>
          <w:sz w:val="36"/>
          <w:szCs w:val="36"/>
          <w:highlight w:val="none"/>
          <w:lang w:val="en-US"/>
          <w14:textFill>
            <w14:solidFill>
              <w14:schemeClr w14:val="tx1"/>
            </w14:solidFill>
          </w14:textFill>
        </w:rPr>
        <w:t xml:space="preserve">残疾人福利性单位声明函</w:t>
      </w:r>
      <w:r/>
    </w:p>
    <w:p>
      <w:pPr>
        <w:pStyle w:val="1233"/>
        <w:ind w:firstLine="420"/>
        <w:jc w:val="left"/>
        <w:spacing w:after="0" w:line="360" w:lineRule="auto"/>
        <w:shd w:val="clear" w:color="auto"/>
        <w:tabs>
          <w:tab w:val="left" w:pos="3711" w:leader="none"/>
          <w:tab w:val="left" w:pos="5151"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233"/>
        <w:ind w:firstLine="420"/>
        <w:jc w:val="left"/>
        <w:spacing w:after="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233"/>
        <w:ind w:left="6300"/>
        <w:jc w:val="left"/>
        <w:spacing w:after="0" w:line="360" w:lineRule="auto"/>
        <w:shd w:val="clear" w:color="auto"/>
        <w:tabs>
          <w:tab w:val="left" w:pos="7098"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单位名称（盖章）：</w:t>
      </w:r>
      <w:r/>
    </w:p>
    <w:p>
      <w:pPr>
        <w:pStyle w:val="1233"/>
        <w:ind w:left="6300"/>
        <w:jc w:val="left"/>
        <w:spacing w:after="0" w:line="360" w:lineRule="auto"/>
        <w:shd w:val="clear" w:color="auto"/>
        <w:tabs>
          <w:tab w:val="left" w:pos="7098"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pStyle w:val="1186"/>
        <w:ind w:left="0"/>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186"/>
        <w:ind w:left="0"/>
        <w:spacing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186"/>
        <w:ind w:left="0"/>
        <w:spacing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附件五、属于监狱企业的证明文件</w:t>
      </w:r>
      <w:r/>
    </w:p>
    <w:p>
      <w:pPr>
        <w:ind w:firstLine="420"/>
        <w:jc w:val="left"/>
        <w:spacing w:line="360" w:lineRule="auto"/>
        <w:shd w:val="clear" w:color="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提供由省级以上监狱管理局、戒毒管理局（含新疆生产建设兵团）出具的属于监狱企业的证明文件。</w:t>
      </w:r>
      <w:r/>
    </w:p>
    <w:p>
      <w:pPr>
        <w:spacing w:line="360" w:lineRule="auto"/>
        <w:shd w:val="clear" w:color="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sectPr>
      <w:footnotePr/>
      <w:endnotePr/>
      <w:type w:val="nextPage"/>
      <w:pgSz w:w="11906" w:h="16838" w:orient="portrait"/>
      <w:pgMar w:top="1134" w:right="1134" w:bottom="1134" w:left="1304" w:header="567" w:footer="90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Cambria">
    <w:panose1 w:val="02040503050406030204"/>
  </w:font>
  <w:font w:name="方正小标宋简体">
    <w:panose1 w:val="020B0503020202020204"/>
  </w:font>
  <w:font w:name="Courier New">
    <w:panose1 w:val="02070309020205020404"/>
  </w:font>
  <w:font w:name="Calibri">
    <w:panose1 w:val="020F0502020204030204"/>
  </w:font>
  <w:font w:name="微软雅黑">
    <w:panose1 w:val="020B0503020204020204"/>
  </w:font>
  <w:font w:name="黑体">
    <w:panose1 w:val="02010609060101010101"/>
  </w:font>
  <w:font w:name="Arial">
    <w:panose1 w:val="020B0604020202020204"/>
  </w:font>
  <w:font w:name="宋体">
    <w:panose1 w:val="02010600030101010101"/>
  </w:font>
  <w:font w:name="??_GB2312">
    <w:panose1 w:val="020B0503020202020204"/>
  </w:font>
  <w:font w:name="SimSun">
    <w:panose1 w:val="02010600030101010101"/>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1"/>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73"/>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33</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71</w:t>
                          </w:r>
                          <w:r>
                            <w:rPr>
                              <w:rFonts w:hint="eastAsia" w:eastAsia="宋体"/>
                              <w:lang w:eastAsia="zh-CN"/>
                            </w:rPr>
                            <w:fldChar w:fldCharType="end"/>
                          </w:r>
                          <w:r>
                            <w:rPr>
                              <w:rFonts w:hint="eastAsia" w:eastAsia="宋体"/>
                              <w:lang w:eastAsia="zh-CN"/>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75pt">
              <v:textbox inset="0,0,0,0">
                <w:txbxContent>
                  <w:p>
                    <w:pPr>
                      <w:pStyle w:val="973"/>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33</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71</w:t>
                    </w:r>
                    <w:r>
                      <w:rPr>
                        <w:rFonts w:hint="eastAsia" w:eastAsia="宋体"/>
                        <w:lang w:eastAsia="zh-CN"/>
                      </w:rPr>
                      <w:fldChar w:fldCharType="end"/>
                    </w:r>
                    <w:r>
                      <w:rPr>
                        <w:rFonts w:hint="eastAsia" w:eastAsia="宋体"/>
                        <w:lang w:eastAsia="zh-CN"/>
                      </w:rPr>
                      <w:t xml:space="preserve"> 页</w:t>
                    </w:r>
                    <w:r/>
                  </w:p>
                </w:txbxContent>
              </v:textbox>
            </v:shape>
          </w:pict>
        </mc:Fallback>
      </mc:AlternateContent>
    </w:r>
    <w:r/>
  </w:p>
  <w:p>
    <w:pPr>
      <w:pStyle w:val="973"/>
      <w:ind w:right="360"/>
      <w:jc w:val="center"/>
      <w:rPr>
        <w:rFonts w:cs="Times New Roman"/>
      </w:rPr>
    </w:pPr>
    <w:r>
      <w:rPr>
        <w:rFonts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margin">
                <wp:posOffset>2919095</wp:posOffset>
              </wp:positionH>
              <wp:positionV relativeFrom="page">
                <wp:posOffset>10144760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argin-left:229.8pt;mso-position-horizontal:absolute;mso-position-vertical-relative:page;margin-top:798.8pt;mso-position-vertical:absolute;width:144.0pt;height:144.0pt;mso-wrap-distance-left:9.0pt;mso-wrap-distance-top:0.0pt;mso-wrap-distance-right:9.0pt;mso-wrap-distance-bottom:0.0pt;v-text-anchor:top;visibility:visible;" filled="f" stroked="f" strokeweight="0.50pt">
              <v:textbox inset="0,0,0,0">
                <w:txbxContent>
                  <w:p>
                    <w:pPr>
                      <w:pStyle w:val="973"/>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margin">
                <wp:posOffset>2919095</wp:posOffset>
              </wp:positionH>
              <wp:positionV relativeFrom="page">
                <wp:posOffset>10144760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argin-left:229.8pt;mso-position-horizontal:absolute;mso-position-vertical-relative:page;margin-top:798.8pt;mso-position-vertical:absolute;width:144.0pt;height:144.0pt;mso-wrap-distance-left:9.0pt;mso-wrap-distance-top:0.0pt;mso-wrap-distance-right:9.0pt;mso-wrap-distance-bottom:0.0pt;v-text-anchor:top;visibility:visible;" filled="f" stroked="f" strokeweight="0.50pt">
              <v:textbox inset="0,0,0,0">
                <w:txbxContent>
                  <w:p>
                    <w:pPr>
                      <w:pStyle w:val="973"/>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both"/>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ind w:left="-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990" w:hanging="360"/>
      </w:pPr>
      <w:rPr>
        <w:rFonts w:ascii="Times New Roman" w:hAnsi="Times New Roman" w:eastAsia="宋体" w:cs="Times New Roman"/>
      </w:rPr>
    </w:lvl>
    <w:lvl w:ilvl="1">
      <w:start w:val="1"/>
      <w:numFmt w:val="decimalEnclosedCircle"/>
      <w:pStyle w:val="1183"/>
      <w:isLgl w:val="false"/>
      <w:suff w:val="tab"/>
      <w:lvlText w:val="%2"/>
      <w:lvlJc w:val="left"/>
      <w:pPr>
        <w:ind w:left="840" w:hanging="420"/>
      </w:pPr>
      <w:rPr>
        <w:rFonts w:ascii="Times New Roman" w:hAnsi="Times New Roman" w:eastAsia="宋体" w:cs="Times New Roman"/>
      </w:rPr>
    </w:lvl>
    <w:lvl w:ilvl="2">
      <w:start w:val="2"/>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5" w:default="1">
    <w:name w:val="Normal"/>
    <w:link w:val="1247"/>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946">
    <w:name w:val="Heading 1"/>
    <w:basedOn w:val="945"/>
    <w:next w:val="945"/>
    <w:link w:val="1036"/>
    <w:uiPriority w:val="9"/>
    <w:qFormat/>
    <w:pPr>
      <w:ind w:right="240"/>
      <w:jc w:val="left"/>
      <w:spacing w:before="120" w:after="240"/>
      <w:widowControl/>
      <w:outlineLvl w:val="0"/>
    </w:pPr>
    <w:rPr>
      <w:rFonts w:ascii="宋体" w:hAnsi="宋体" w:eastAsia="宋体" w:cs="Times New Roman"/>
      <w:b/>
      <w:bCs/>
      <w:sz w:val="14"/>
      <w:szCs w:val="14"/>
    </w:rPr>
  </w:style>
  <w:style w:type="paragraph" w:styleId="947">
    <w:name w:val="Heading 2"/>
    <w:basedOn w:val="945"/>
    <w:next w:val="945"/>
    <w:link w:val="1193"/>
    <w:uiPriority w:val="0"/>
    <w:qFormat/>
    <w:pPr>
      <w:keepLines/>
      <w:keepNext/>
      <w:spacing w:before="260" w:after="260" w:line="415" w:lineRule="auto"/>
      <w:outlineLvl w:val="1"/>
    </w:pPr>
    <w:rPr>
      <w:rFonts w:ascii="Arial" w:hAnsi="Arial" w:eastAsia="黑体" w:cs="Arial"/>
      <w:b/>
      <w:bCs/>
      <w:sz w:val="32"/>
      <w:szCs w:val="32"/>
    </w:rPr>
  </w:style>
  <w:style w:type="paragraph" w:styleId="948">
    <w:name w:val="Heading 3"/>
    <w:basedOn w:val="945"/>
    <w:next w:val="945"/>
    <w:link w:val="119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9">
    <w:name w:val="Heading 4"/>
    <w:basedOn w:val="945"/>
    <w:next w:val="945"/>
    <w:link w:val="1215"/>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50">
    <w:name w:val="Heading 5"/>
    <w:basedOn w:val="945"/>
    <w:next w:val="945"/>
    <w:link w:val="1041"/>
    <w:uiPriority w:val="9"/>
    <w:unhideWhenUsed/>
    <w:qFormat/>
    <w:pPr>
      <w:keepLines/>
      <w:keepNext/>
      <w:spacing w:before="320" w:after="200"/>
      <w:outlineLvl w:val="4"/>
    </w:pPr>
    <w:rPr>
      <w:rFonts w:ascii="Arial" w:hAnsi="Arial" w:eastAsia="Arial" w:cs="Arial"/>
      <w:b/>
      <w:bCs/>
      <w:sz w:val="24"/>
      <w:szCs w:val="24"/>
    </w:rPr>
  </w:style>
  <w:style w:type="paragraph" w:styleId="951">
    <w:name w:val="Heading 6"/>
    <w:basedOn w:val="945"/>
    <w:next w:val="945"/>
    <w:link w:val="1042"/>
    <w:uiPriority w:val="9"/>
    <w:unhideWhenUsed/>
    <w:qFormat/>
    <w:pPr>
      <w:keepLines/>
      <w:keepNext/>
      <w:spacing w:before="320" w:after="200"/>
      <w:outlineLvl w:val="5"/>
    </w:pPr>
    <w:rPr>
      <w:rFonts w:ascii="Arial" w:hAnsi="Arial" w:eastAsia="Arial" w:cs="Arial"/>
      <w:b/>
      <w:bCs/>
      <w:sz w:val="22"/>
    </w:rPr>
  </w:style>
  <w:style w:type="paragraph" w:styleId="952">
    <w:name w:val="Heading 7"/>
    <w:basedOn w:val="945"/>
    <w:next w:val="945"/>
    <w:link w:val="1043"/>
    <w:uiPriority w:val="9"/>
    <w:unhideWhenUsed/>
    <w:qFormat/>
    <w:pPr>
      <w:keepLines/>
      <w:keepNext/>
      <w:spacing w:before="320" w:after="200"/>
      <w:outlineLvl w:val="6"/>
    </w:pPr>
    <w:rPr>
      <w:rFonts w:ascii="Arial" w:hAnsi="Arial" w:eastAsia="Arial" w:cs="Arial"/>
      <w:b/>
      <w:bCs/>
      <w:i/>
      <w:iCs/>
      <w:sz w:val="22"/>
    </w:rPr>
  </w:style>
  <w:style w:type="paragraph" w:styleId="953">
    <w:name w:val="Heading 8"/>
    <w:basedOn w:val="945"/>
    <w:next w:val="945"/>
    <w:link w:val="1044"/>
    <w:uiPriority w:val="9"/>
    <w:unhideWhenUsed/>
    <w:qFormat/>
    <w:pPr>
      <w:keepLines/>
      <w:keepNext/>
      <w:spacing w:before="320" w:after="200"/>
      <w:outlineLvl w:val="7"/>
    </w:pPr>
    <w:rPr>
      <w:rFonts w:ascii="Arial" w:hAnsi="Arial" w:eastAsia="Arial" w:cs="Arial"/>
      <w:i/>
      <w:iCs/>
      <w:sz w:val="22"/>
    </w:rPr>
  </w:style>
  <w:style w:type="paragraph" w:styleId="954">
    <w:name w:val="Heading 9"/>
    <w:basedOn w:val="945"/>
    <w:next w:val="945"/>
    <w:link w:val="1045"/>
    <w:uiPriority w:val="9"/>
    <w:unhideWhenUsed/>
    <w:qFormat/>
    <w:pPr>
      <w:keepLines/>
      <w:keepNext/>
      <w:spacing w:before="320" w:after="200"/>
      <w:outlineLvl w:val="8"/>
    </w:pPr>
    <w:rPr>
      <w:rFonts w:ascii="Arial" w:hAnsi="Arial" w:eastAsia="Arial" w:cs="Arial"/>
      <w:i/>
      <w:iCs/>
      <w:szCs w:val="21"/>
    </w:rPr>
  </w:style>
  <w:style w:type="character" w:styleId="955" w:default="1">
    <w:name w:val="Default Paragraph Font"/>
    <w:uiPriority w:val="1"/>
    <w:semiHidden/>
    <w:unhideWhenUsed/>
    <w:qFormat/>
  </w:style>
  <w:style w:type="table" w:styleId="956" w:default="1">
    <w:name w:val="Normal Table"/>
    <w:uiPriority w:val="99"/>
    <w:semiHidden/>
    <w:unhideWhenUsed/>
    <w:qFormat/>
    <w:tblPr>
      <w:tblCellMar>
        <w:left w:w="108" w:type="dxa"/>
        <w:top w:w="0" w:type="dxa"/>
        <w:right w:w="108" w:type="dxa"/>
        <w:bottom w:w="0" w:type="dxa"/>
      </w:tblCellMar>
    </w:tblPr>
  </w:style>
  <w:style w:type="paragraph" w:styleId="957">
    <w:name w:val="toc 7"/>
    <w:basedOn w:val="945"/>
    <w:next w:val="945"/>
    <w:uiPriority w:val="39"/>
    <w:unhideWhenUsed/>
    <w:qFormat/>
    <w:pPr>
      <w:ind w:left="1701"/>
      <w:spacing w:after="57"/>
    </w:pPr>
  </w:style>
  <w:style w:type="paragraph" w:styleId="958">
    <w:name w:val="Normal Indent"/>
    <w:basedOn w:val="945"/>
    <w:uiPriority w:val="99"/>
    <w:qFormat/>
    <w:pPr>
      <w:ind w:firstLine="420"/>
    </w:pPr>
    <w:rPr>
      <w:rFonts w:ascii="Times New Roman" w:hAnsi="Times New Roman" w:eastAsia="宋体" w:cs="Times New Roman"/>
      <w:szCs w:val="24"/>
    </w:rPr>
  </w:style>
  <w:style w:type="paragraph" w:styleId="959">
    <w:name w:val="Caption"/>
    <w:basedOn w:val="945"/>
    <w:next w:val="94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60">
    <w:name w:val="toa heading"/>
    <w:basedOn w:val="945"/>
    <w:next w:val="945"/>
    <w:uiPriority w:val="99"/>
    <w:unhideWhenUsed/>
    <w:qFormat/>
    <w:pPr>
      <w:spacing w:before="120"/>
    </w:pPr>
    <w:rPr>
      <w:rFonts w:ascii="Arial" w:hAnsi="Arial"/>
      <w:sz w:val="24"/>
    </w:rPr>
  </w:style>
  <w:style w:type="paragraph" w:styleId="961">
    <w:name w:val="annotation text"/>
    <w:basedOn w:val="945"/>
    <w:link w:val="1212"/>
    <w:uiPriority w:val="0"/>
    <w:unhideWhenUsed/>
    <w:qFormat/>
    <w:pPr>
      <w:jc w:val="left"/>
    </w:pPr>
  </w:style>
  <w:style w:type="paragraph" w:styleId="962">
    <w:name w:val="Body Text"/>
    <w:basedOn w:val="945"/>
    <w:link w:val="1185"/>
    <w:uiPriority w:val="99"/>
    <w:qFormat/>
    <w:pPr>
      <w:spacing w:after="120"/>
    </w:pPr>
    <w:rPr>
      <w:rFonts w:ascii="Times New Roman" w:hAnsi="Times New Roman" w:eastAsia="宋体" w:cs="Times New Roman"/>
      <w:sz w:val="24"/>
      <w:szCs w:val="24"/>
    </w:rPr>
  </w:style>
  <w:style w:type="paragraph" w:styleId="963">
    <w:name w:val="Body Text Indent"/>
    <w:basedOn w:val="945"/>
    <w:next w:val="964"/>
    <w:uiPriority w:val="0"/>
    <w:qFormat/>
    <w:pPr>
      <w:ind w:firstLine="480"/>
      <w:spacing w:line="480" w:lineRule="exact"/>
    </w:pPr>
    <w:rPr>
      <w:rFonts w:ascii="宋体" w:hAnsi="宋体"/>
      <w:sz w:val="24"/>
    </w:rPr>
  </w:style>
  <w:style w:type="paragraph" w:styleId="964">
    <w:name w:val="envelope return"/>
    <w:basedOn w:val="945"/>
    <w:uiPriority w:val="0"/>
    <w:qFormat/>
    <w:rPr>
      <w:rFonts w:ascii="Arial" w:hAnsi="Arial"/>
    </w:rPr>
  </w:style>
  <w:style w:type="paragraph" w:styleId="965">
    <w:name w:val="toc 5"/>
    <w:basedOn w:val="945"/>
    <w:next w:val="945"/>
    <w:uiPriority w:val="39"/>
    <w:unhideWhenUsed/>
    <w:qFormat/>
    <w:pPr>
      <w:ind w:left="1134"/>
      <w:spacing w:after="57"/>
    </w:pPr>
  </w:style>
  <w:style w:type="paragraph" w:styleId="966">
    <w:name w:val="toc 3"/>
    <w:basedOn w:val="945"/>
    <w:next w:val="945"/>
    <w:uiPriority w:val="39"/>
    <w:qFormat/>
    <w:pPr>
      <w:ind w:left="840"/>
    </w:pPr>
    <w:rPr>
      <w:rFonts w:ascii="Calibri" w:hAnsi="Calibri" w:eastAsia="宋体" w:cs="Times New Roman"/>
    </w:rPr>
  </w:style>
  <w:style w:type="paragraph" w:styleId="967">
    <w:name w:val="Plain Text"/>
    <w:basedOn w:val="945"/>
    <w:link w:val="1194"/>
    <w:uiPriority w:val="0"/>
    <w:qFormat/>
    <w:rPr>
      <w:rFonts w:ascii="宋体" w:hAnsi="Courier New"/>
    </w:rPr>
  </w:style>
  <w:style w:type="paragraph" w:styleId="968">
    <w:name w:val="toc 8"/>
    <w:basedOn w:val="945"/>
    <w:next w:val="945"/>
    <w:uiPriority w:val="39"/>
    <w:unhideWhenUsed/>
    <w:qFormat/>
    <w:pPr>
      <w:ind w:left="1984"/>
      <w:spacing w:after="57"/>
    </w:pPr>
  </w:style>
  <w:style w:type="paragraph" w:styleId="969">
    <w:name w:val="Date"/>
    <w:basedOn w:val="945"/>
    <w:next w:val="945"/>
    <w:link w:val="1202"/>
    <w:uiPriority w:val="0"/>
    <w:qFormat/>
    <w:pPr>
      <w:ind w:left="100"/>
    </w:pPr>
    <w:rPr>
      <w:rFonts w:ascii="Times New Roman" w:hAnsi="Times New Roman" w:eastAsia="宋体" w:cs="Times New Roman"/>
      <w:szCs w:val="24"/>
    </w:rPr>
  </w:style>
  <w:style w:type="paragraph" w:styleId="970">
    <w:name w:val="Body Text Indent 2"/>
    <w:basedOn w:val="945"/>
    <w:uiPriority w:val="99"/>
    <w:qFormat/>
    <w:pPr>
      <w:ind w:firstLine="480"/>
      <w:spacing w:line="400" w:lineRule="exact"/>
    </w:pPr>
    <w:rPr>
      <w:rFonts w:ascii="宋体" w:hAnsi="宋体"/>
      <w:sz w:val="24"/>
      <w:szCs w:val="20"/>
    </w:rPr>
  </w:style>
  <w:style w:type="paragraph" w:styleId="971">
    <w:name w:val="endnote text"/>
    <w:basedOn w:val="945"/>
    <w:link w:val="1181"/>
    <w:uiPriority w:val="99"/>
    <w:semiHidden/>
    <w:unhideWhenUsed/>
    <w:qFormat/>
    <w:rPr>
      <w:sz w:val="20"/>
    </w:rPr>
  </w:style>
  <w:style w:type="paragraph" w:styleId="972">
    <w:name w:val="Balloon Text"/>
    <w:basedOn w:val="945"/>
    <w:link w:val="1184"/>
    <w:uiPriority w:val="99"/>
    <w:semiHidden/>
    <w:unhideWhenUsed/>
    <w:qFormat/>
    <w:rPr>
      <w:sz w:val="18"/>
      <w:szCs w:val="18"/>
    </w:rPr>
  </w:style>
  <w:style w:type="paragraph" w:styleId="973">
    <w:name w:val="Footer"/>
    <w:basedOn w:val="945"/>
    <w:link w:val="1189"/>
    <w:uiPriority w:val="0"/>
    <w:unhideWhenUsed/>
    <w:qFormat/>
    <w:pPr>
      <w:jc w:val="left"/>
      <w:tabs>
        <w:tab w:val="center" w:pos="4153" w:leader="none"/>
        <w:tab w:val="right" w:pos="8306" w:leader="none"/>
      </w:tabs>
    </w:pPr>
    <w:rPr>
      <w:sz w:val="18"/>
      <w:szCs w:val="18"/>
    </w:rPr>
  </w:style>
  <w:style w:type="paragraph" w:styleId="974">
    <w:name w:val="Header"/>
    <w:basedOn w:val="945"/>
    <w:link w:val="118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75">
    <w:name w:val="toc 1"/>
    <w:basedOn w:val="945"/>
    <w:next w:val="945"/>
    <w:uiPriority w:val="39"/>
    <w:qFormat/>
    <w:rPr>
      <w:rFonts w:ascii="Calibri" w:hAnsi="Calibri" w:eastAsia="宋体" w:cs="Times New Roman"/>
    </w:rPr>
  </w:style>
  <w:style w:type="paragraph" w:styleId="976">
    <w:name w:val="toc 4"/>
    <w:basedOn w:val="945"/>
    <w:next w:val="945"/>
    <w:uiPriority w:val="39"/>
    <w:unhideWhenUsed/>
    <w:qFormat/>
    <w:pPr>
      <w:ind w:left="850"/>
      <w:spacing w:after="57"/>
    </w:pPr>
  </w:style>
  <w:style w:type="paragraph" w:styleId="977">
    <w:name w:val="Subtitle"/>
    <w:basedOn w:val="945"/>
    <w:next w:val="945"/>
    <w:link w:val="1047"/>
    <w:uiPriority w:val="11"/>
    <w:qFormat/>
    <w:pPr>
      <w:spacing w:before="200" w:after="200"/>
    </w:pPr>
    <w:rPr>
      <w:sz w:val="24"/>
      <w:szCs w:val="24"/>
    </w:rPr>
  </w:style>
  <w:style w:type="paragraph" w:styleId="978">
    <w:name w:val="footnote text"/>
    <w:basedOn w:val="945"/>
    <w:link w:val="1180"/>
    <w:uiPriority w:val="99"/>
    <w:semiHidden/>
    <w:unhideWhenUsed/>
    <w:qFormat/>
    <w:pPr>
      <w:spacing w:after="40"/>
    </w:pPr>
    <w:rPr>
      <w:sz w:val="18"/>
    </w:rPr>
  </w:style>
  <w:style w:type="paragraph" w:styleId="979">
    <w:name w:val="toc 6"/>
    <w:basedOn w:val="945"/>
    <w:next w:val="945"/>
    <w:uiPriority w:val="39"/>
    <w:unhideWhenUsed/>
    <w:qFormat/>
    <w:pPr>
      <w:ind w:left="1417"/>
      <w:spacing w:after="57"/>
    </w:pPr>
  </w:style>
  <w:style w:type="paragraph" w:styleId="980">
    <w:name w:val="table of figures"/>
    <w:basedOn w:val="945"/>
    <w:next w:val="945"/>
    <w:uiPriority w:val="99"/>
    <w:unhideWhenUsed/>
    <w:qFormat/>
  </w:style>
  <w:style w:type="paragraph" w:styleId="981">
    <w:name w:val="toc 2"/>
    <w:basedOn w:val="945"/>
    <w:next w:val="945"/>
    <w:uiPriority w:val="39"/>
    <w:qFormat/>
    <w:pPr>
      <w:ind w:left="420"/>
    </w:pPr>
    <w:rPr>
      <w:rFonts w:ascii="Calibri" w:hAnsi="Calibri" w:eastAsia="宋体" w:cs="Times New Roman"/>
    </w:rPr>
  </w:style>
  <w:style w:type="paragraph" w:styleId="982">
    <w:name w:val="toc 9"/>
    <w:basedOn w:val="945"/>
    <w:next w:val="945"/>
    <w:uiPriority w:val="39"/>
    <w:unhideWhenUsed/>
    <w:qFormat/>
    <w:pPr>
      <w:ind w:left="2268"/>
      <w:spacing w:after="57"/>
    </w:pPr>
  </w:style>
  <w:style w:type="paragraph" w:styleId="983">
    <w:name w:val="HTML Preformatted"/>
    <w:basedOn w:val="945"/>
    <w:link w:val="1199"/>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11"/>
      <w:szCs w:val="11"/>
    </w:rPr>
  </w:style>
  <w:style w:type="paragraph" w:styleId="984">
    <w:name w:val="Normal (Web)"/>
    <w:basedOn w:val="94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85">
    <w:name w:val="Title"/>
    <w:basedOn w:val="945"/>
    <w:next w:val="945"/>
    <w:link w:val="1203"/>
    <w:uiPriority w:val="0"/>
    <w:qFormat/>
    <w:pPr>
      <w:jc w:val="center"/>
      <w:spacing w:before="240" w:after="60"/>
      <w:outlineLvl w:val="0"/>
    </w:pPr>
    <w:rPr>
      <w:rFonts w:ascii="Cambria" w:hAnsi="Cambria" w:eastAsia="黑体" w:cs="Times New Roman"/>
      <w:b/>
      <w:bCs/>
      <w:sz w:val="52"/>
      <w:szCs w:val="32"/>
    </w:rPr>
  </w:style>
  <w:style w:type="paragraph" w:styleId="986">
    <w:name w:val="annotation subject"/>
    <w:basedOn w:val="961"/>
    <w:next w:val="961"/>
    <w:link w:val="1213"/>
    <w:uiPriority w:val="99"/>
    <w:semiHidden/>
    <w:unhideWhenUsed/>
    <w:qFormat/>
    <w:rPr>
      <w:b/>
      <w:bCs/>
    </w:rPr>
  </w:style>
  <w:style w:type="paragraph" w:styleId="987">
    <w:name w:val="Body Text First Indent 2"/>
    <w:basedOn w:val="963"/>
    <w:next w:val="945"/>
    <w:uiPriority w:val="0"/>
    <w:qFormat/>
    <w:pPr>
      <w:ind w:left="420" w:firstLine="200"/>
      <w:spacing w:after="120" w:line="240" w:lineRule="auto"/>
    </w:pPr>
    <w:rPr>
      <w:sz w:val="21"/>
    </w:rPr>
  </w:style>
  <w:style w:type="table" w:styleId="988">
    <w:name w:val="Table Grid"/>
    <w:basedOn w:val="9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9">
    <w:name w:val="Strong"/>
    <w:uiPriority w:val="22"/>
    <w:qFormat/>
    <w:rPr>
      <w:b/>
      <w:bCs/>
    </w:rPr>
  </w:style>
  <w:style w:type="character" w:styleId="990">
    <w:name w:val="endnote reference"/>
    <w:basedOn w:val="955"/>
    <w:uiPriority w:val="99"/>
    <w:semiHidden/>
    <w:unhideWhenUsed/>
    <w:qFormat/>
    <w:rPr>
      <w:vertAlign w:val="superscript"/>
    </w:rPr>
  </w:style>
  <w:style w:type="character" w:styleId="991">
    <w:name w:val="page number"/>
    <w:basedOn w:val="955"/>
    <w:uiPriority w:val="0"/>
    <w:qFormat/>
    <w:rPr>
      <w:rFonts w:ascii="Calibri" w:hAnsi="Calibri" w:eastAsia="宋体" w:cs="Times New Roman"/>
    </w:rPr>
  </w:style>
  <w:style w:type="character" w:styleId="992">
    <w:name w:val="FollowedHyperlink"/>
    <w:uiPriority w:val="0"/>
    <w:qFormat/>
    <w:rPr>
      <w:color w:val="800080"/>
      <w:u w:val="single"/>
    </w:rPr>
  </w:style>
  <w:style w:type="character" w:styleId="993">
    <w:name w:val="Emphasis"/>
    <w:basedOn w:val="955"/>
    <w:uiPriority w:val="20"/>
    <w:qFormat/>
    <w:rPr>
      <w:i/>
    </w:rPr>
  </w:style>
  <w:style w:type="character" w:styleId="994">
    <w:name w:val="HTML Typewriter"/>
    <w:basedOn w:val="955"/>
    <w:uiPriority w:val="99"/>
    <w:semiHidden/>
    <w:unhideWhenUsed/>
    <w:qFormat/>
    <w:rPr>
      <w:rFonts w:ascii="monospace" w:hAnsi="monospace" w:eastAsia="monospace" w:cs="monospace"/>
      <w:sz w:val="20"/>
    </w:rPr>
  </w:style>
  <w:style w:type="character" w:styleId="995">
    <w:name w:val="HTML Acronym"/>
    <w:basedOn w:val="955"/>
    <w:uiPriority w:val="99"/>
    <w:semiHidden/>
    <w:unhideWhenUsed/>
    <w:qFormat/>
  </w:style>
  <w:style w:type="character" w:styleId="996">
    <w:name w:val="Hyperlink"/>
    <w:basedOn w:val="955"/>
    <w:uiPriority w:val="99"/>
    <w:unhideWhenUsed/>
    <w:qFormat/>
    <w:rPr>
      <w:color w:val="0563c1" w:themeColor="hyperlink"/>
      <w:u w:val="single"/>
      <w14:textFill>
        <w14:solidFill>
          <w14:schemeClr w14:val="hlink"/>
        </w14:solidFill>
      </w14:textFill>
    </w:rPr>
  </w:style>
  <w:style w:type="character" w:styleId="997">
    <w:name w:val="HTML Code"/>
    <w:basedOn w:val="955"/>
    <w:uiPriority w:val="99"/>
    <w:semiHidden/>
    <w:unhideWhenUsed/>
    <w:qFormat/>
    <w:rPr>
      <w:rFonts w:hint="default" w:ascii="monospace" w:hAnsi="monospace" w:eastAsia="monospace" w:cs="monospace"/>
      <w:sz w:val="20"/>
    </w:rPr>
  </w:style>
  <w:style w:type="character" w:styleId="998">
    <w:name w:val="annotation reference"/>
    <w:basedOn w:val="955"/>
    <w:uiPriority w:val="0"/>
    <w:unhideWhenUsed/>
    <w:qFormat/>
    <w:rPr>
      <w:sz w:val="21"/>
      <w:szCs w:val="21"/>
    </w:rPr>
  </w:style>
  <w:style w:type="character" w:styleId="999">
    <w:name w:val="footnote reference"/>
    <w:basedOn w:val="955"/>
    <w:uiPriority w:val="99"/>
    <w:unhideWhenUsed/>
    <w:qFormat/>
    <w:rPr>
      <w:vertAlign w:val="superscript"/>
    </w:rPr>
  </w:style>
  <w:style w:type="character" w:styleId="1000">
    <w:name w:val="HTML Keyboard"/>
    <w:basedOn w:val="955"/>
    <w:uiPriority w:val="99"/>
    <w:semiHidden/>
    <w:unhideWhenUsed/>
    <w:qFormat/>
    <w:rPr>
      <w:rFonts w:hint="default" w:ascii="monospace" w:hAnsi="monospace" w:eastAsia="monospace" w:cs="monospace"/>
      <w:sz w:val="20"/>
    </w:rPr>
  </w:style>
  <w:style w:type="character" w:styleId="1001">
    <w:name w:val="HTML Sample"/>
    <w:basedOn w:val="955"/>
    <w:uiPriority w:val="99"/>
    <w:semiHidden/>
    <w:unhideWhenUsed/>
    <w:qFormat/>
    <w:rPr>
      <w:rFonts w:hint="default" w:ascii="monospace" w:hAnsi="monospace" w:eastAsia="monospace" w:cs="monospace"/>
    </w:rPr>
  </w:style>
  <w:style w:type="character" w:styleId="1002" w:customStyle="1">
    <w:name w:val="Heading 5 Char"/>
    <w:basedOn w:val="955"/>
    <w:uiPriority w:val="9"/>
    <w:qFormat/>
    <w:rPr>
      <w:rFonts w:ascii="Arial" w:hAnsi="Arial" w:eastAsia="Arial" w:cs="Arial"/>
      <w:b/>
      <w:bCs/>
      <w:sz w:val="24"/>
      <w:szCs w:val="24"/>
    </w:rPr>
  </w:style>
  <w:style w:type="character" w:styleId="1003" w:customStyle="1">
    <w:name w:val="Heading 6 Char"/>
    <w:basedOn w:val="955"/>
    <w:uiPriority w:val="9"/>
    <w:qFormat/>
    <w:rPr>
      <w:rFonts w:ascii="Arial" w:hAnsi="Arial" w:eastAsia="Arial" w:cs="Arial"/>
      <w:b/>
      <w:bCs/>
      <w:sz w:val="22"/>
      <w:szCs w:val="22"/>
    </w:rPr>
  </w:style>
  <w:style w:type="character" w:styleId="1004" w:customStyle="1">
    <w:name w:val="Heading 7 Char"/>
    <w:basedOn w:val="955"/>
    <w:uiPriority w:val="9"/>
    <w:qFormat/>
    <w:rPr>
      <w:rFonts w:ascii="Arial" w:hAnsi="Arial" w:eastAsia="Arial" w:cs="Arial"/>
      <w:b/>
      <w:bCs/>
      <w:i/>
      <w:iCs/>
      <w:sz w:val="22"/>
      <w:szCs w:val="22"/>
    </w:rPr>
  </w:style>
  <w:style w:type="character" w:styleId="1005" w:customStyle="1">
    <w:name w:val="Heading 8 Char"/>
    <w:basedOn w:val="955"/>
    <w:uiPriority w:val="9"/>
    <w:qFormat/>
    <w:rPr>
      <w:rFonts w:ascii="Arial" w:hAnsi="Arial" w:eastAsia="Arial" w:cs="Arial"/>
      <w:i/>
      <w:iCs/>
      <w:sz w:val="22"/>
      <w:szCs w:val="22"/>
    </w:rPr>
  </w:style>
  <w:style w:type="character" w:styleId="1006" w:customStyle="1">
    <w:name w:val="Heading 9 Char"/>
    <w:basedOn w:val="955"/>
    <w:uiPriority w:val="9"/>
    <w:qFormat/>
    <w:rPr>
      <w:rFonts w:ascii="Arial" w:hAnsi="Arial" w:eastAsia="Arial" w:cs="Arial"/>
      <w:i/>
      <w:iCs/>
      <w:sz w:val="21"/>
      <w:szCs w:val="21"/>
    </w:rPr>
  </w:style>
  <w:style w:type="character" w:styleId="1007" w:customStyle="1">
    <w:name w:val="Subtitle Char"/>
    <w:basedOn w:val="955"/>
    <w:uiPriority w:val="11"/>
    <w:qFormat/>
    <w:rPr>
      <w:sz w:val="24"/>
      <w:szCs w:val="24"/>
    </w:rPr>
  </w:style>
  <w:style w:type="character" w:styleId="1008" w:customStyle="1">
    <w:name w:val="Quote Char"/>
    <w:uiPriority w:val="29"/>
    <w:qFormat/>
    <w:rPr>
      <w:i/>
    </w:rPr>
  </w:style>
  <w:style w:type="character" w:styleId="1009" w:customStyle="1">
    <w:name w:val="Intense Quote Char"/>
    <w:uiPriority w:val="30"/>
    <w:qFormat/>
    <w:rPr>
      <w:i/>
    </w:rPr>
  </w:style>
  <w:style w:type="table" w:styleId="1010" w:customStyle="1">
    <w:name w:val="Plain Table 1"/>
    <w:basedOn w:val="9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Plain Table 2"/>
    <w:basedOn w:val="9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3"/>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customStyle="1">
    <w:name w:val="Plain Table 4"/>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customStyle="1">
    <w:name w:val="Plain Table 5"/>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5" w:customStyle="1">
    <w:name w:val="Grid Table 1 Light"/>
    <w:basedOn w:val="9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6" w:customStyle="1">
    <w:name w:val="Grid Table 2"/>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7" w:customStyle="1">
    <w:name w:val="Grid Table 3"/>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
    <w:basedOn w:val="9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5 Dark"/>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6 Colorful"/>
    <w:basedOn w:val="9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1" w:customStyle="1">
    <w:name w:val="Grid Table 7 Colorful"/>
    <w:basedOn w:val="9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1 Light"/>
    <w:basedOn w:val="9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2"/>
    <w:basedOn w:val="9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3"/>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5 Dark"/>
    <w:basedOn w:val="9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basedOn w:val="9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7 Colorful"/>
    <w:basedOn w:val="9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9" w:customStyle="1">
    <w:name w:val="Footnote Text Char"/>
    <w:uiPriority w:val="99"/>
    <w:qFormat/>
    <w:rPr>
      <w:sz w:val="18"/>
    </w:rPr>
  </w:style>
  <w:style w:type="character" w:styleId="1030" w:customStyle="1">
    <w:name w:val="Endnote Text Char"/>
    <w:uiPriority w:val="99"/>
    <w:qFormat/>
    <w:rPr>
      <w:sz w:val="20"/>
    </w:rPr>
  </w:style>
  <w:style w:type="paragraph" w:styleId="1031" w:customStyle="1">
    <w:name w:val="TOC Heading"/>
    <w:uiPriority w:val="39"/>
    <w:unhideWhenUsed/>
    <w:qFormat/>
    <w:rPr>
      <w:rFonts w:hint="default" w:ascii="Times New Roman" w:hAnsi="Times New Roman" w:eastAsia="宋体" w:cs="Times New Roman"/>
    </w:rPr>
  </w:style>
  <w:style w:type="paragraph" w:styleId="1032" w:customStyle="1">
    <w:name w:val="一级条标题"/>
    <w:basedOn w:val="1033"/>
    <w:next w:val="10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3" w:customStyle="1">
    <w:name w:val="章标题"/>
    <w:basedOn w:val="945"/>
    <w:next w:val="945"/>
    <w:uiPriority w:val="0"/>
    <w:qFormat/>
    <w:pPr>
      <w:jc w:val="center"/>
      <w:spacing w:before="158" w:after="153" w:line="1292" w:lineRule="atLeast"/>
      <w:widowControl/>
    </w:pPr>
    <w:rPr>
      <w:rFonts w:ascii="Arial" w:hAnsi="Calibri" w:eastAsia="黑体" w:cs="黑体"/>
      <w:sz w:val="31"/>
      <w:lang w:eastAsia="en-US" w:bidi="en-US"/>
    </w:rPr>
  </w:style>
  <w:style w:type="paragraph" w:styleId="1034" w:customStyle="1">
    <w:name w:val="段"/>
    <w:basedOn w:val="945"/>
    <w:next w:val="945"/>
    <w:uiPriority w:val="0"/>
    <w:qFormat/>
    <w:pPr>
      <w:ind w:firstLine="510"/>
      <w:widowControl/>
    </w:pPr>
    <w:rPr>
      <w:rFonts w:ascii="宋体"/>
      <w:color w:val="ff0000"/>
      <w:szCs w:val="20"/>
    </w:rPr>
  </w:style>
  <w:style w:type="paragraph" w:styleId="1035" w:customStyle="1">
    <w:name w:val="索引 41"/>
    <w:basedOn w:val="945"/>
    <w:next w:val="945"/>
    <w:uiPriority w:val="0"/>
    <w:semiHidden/>
    <w:qFormat/>
    <w:pPr>
      <w:ind w:left="1260"/>
    </w:pPr>
    <w:rPr>
      <w:rFonts w:ascii="Calibri" w:hAnsi="Calibri" w:eastAsia="Calibri" w:cs="宋体"/>
      <w:sz w:val="20"/>
      <w:lang w:val="zh-CN"/>
    </w:rPr>
  </w:style>
  <w:style w:type="character" w:styleId="1036" w:customStyle="1">
    <w:name w:val="标题 1 字符"/>
    <w:basedOn w:val="955"/>
    <w:link w:val="946"/>
    <w:uiPriority w:val="99"/>
    <w:qFormat/>
    <w:rPr>
      <w:rFonts w:ascii="宋体" w:hAnsi="宋体" w:eastAsia="宋体" w:cs="Times New Roman"/>
      <w:b/>
      <w:bCs/>
      <w:sz w:val="14"/>
      <w:szCs w:val="14"/>
    </w:rPr>
  </w:style>
  <w:style w:type="character" w:styleId="1037" w:customStyle="1">
    <w:name w:val="Heading 1 Char"/>
    <w:basedOn w:val="955"/>
    <w:uiPriority w:val="9"/>
    <w:qFormat/>
    <w:rPr>
      <w:rFonts w:ascii="Arial" w:hAnsi="Arial" w:eastAsia="Arial" w:cs="Arial"/>
      <w:sz w:val="40"/>
      <w:szCs w:val="40"/>
    </w:rPr>
  </w:style>
  <w:style w:type="character" w:styleId="1038" w:customStyle="1">
    <w:name w:val="Heading 2 Char"/>
    <w:basedOn w:val="955"/>
    <w:uiPriority w:val="9"/>
    <w:qFormat/>
    <w:rPr>
      <w:rFonts w:ascii="Arial" w:hAnsi="Arial" w:eastAsia="Arial" w:cs="Arial"/>
      <w:sz w:val="34"/>
    </w:rPr>
  </w:style>
  <w:style w:type="character" w:styleId="1039" w:customStyle="1">
    <w:name w:val="Heading 3 Char"/>
    <w:basedOn w:val="955"/>
    <w:uiPriority w:val="9"/>
    <w:qFormat/>
    <w:rPr>
      <w:rFonts w:ascii="Arial" w:hAnsi="Arial" w:eastAsia="Arial" w:cs="Arial"/>
      <w:sz w:val="30"/>
      <w:szCs w:val="30"/>
    </w:rPr>
  </w:style>
  <w:style w:type="character" w:styleId="1040" w:customStyle="1">
    <w:name w:val="Heading 4 Char"/>
    <w:basedOn w:val="955"/>
    <w:uiPriority w:val="9"/>
    <w:qFormat/>
    <w:rPr>
      <w:rFonts w:ascii="Arial" w:hAnsi="Arial" w:eastAsia="Arial" w:cs="Arial"/>
      <w:b/>
      <w:bCs/>
      <w:sz w:val="26"/>
      <w:szCs w:val="26"/>
    </w:rPr>
  </w:style>
  <w:style w:type="character" w:styleId="1041" w:customStyle="1">
    <w:name w:val="标题 5 字符"/>
    <w:basedOn w:val="955"/>
    <w:link w:val="950"/>
    <w:uiPriority w:val="9"/>
    <w:qFormat/>
    <w:rPr>
      <w:rFonts w:ascii="Arial" w:hAnsi="Arial" w:eastAsia="Arial" w:cs="Arial"/>
      <w:b/>
      <w:bCs/>
      <w:sz w:val="24"/>
      <w:szCs w:val="24"/>
    </w:rPr>
  </w:style>
  <w:style w:type="character" w:styleId="1042" w:customStyle="1">
    <w:name w:val="标题 6 字符"/>
    <w:basedOn w:val="955"/>
    <w:link w:val="951"/>
    <w:uiPriority w:val="9"/>
    <w:qFormat/>
    <w:rPr>
      <w:rFonts w:ascii="Arial" w:hAnsi="Arial" w:eastAsia="Arial" w:cs="Arial"/>
      <w:b/>
      <w:bCs/>
      <w:sz w:val="22"/>
      <w:szCs w:val="22"/>
    </w:rPr>
  </w:style>
  <w:style w:type="character" w:styleId="1043" w:customStyle="1">
    <w:name w:val="标题 7 字符"/>
    <w:basedOn w:val="955"/>
    <w:link w:val="952"/>
    <w:uiPriority w:val="9"/>
    <w:qFormat/>
    <w:rPr>
      <w:rFonts w:ascii="Arial" w:hAnsi="Arial" w:eastAsia="Arial" w:cs="Arial"/>
      <w:b/>
      <w:bCs/>
      <w:i/>
      <w:iCs/>
      <w:sz w:val="22"/>
      <w:szCs w:val="22"/>
    </w:rPr>
  </w:style>
  <w:style w:type="character" w:styleId="1044" w:customStyle="1">
    <w:name w:val="标题 8 字符"/>
    <w:basedOn w:val="955"/>
    <w:link w:val="953"/>
    <w:uiPriority w:val="9"/>
    <w:qFormat/>
    <w:rPr>
      <w:rFonts w:ascii="Arial" w:hAnsi="Arial" w:eastAsia="Arial" w:cs="Arial"/>
      <w:i/>
      <w:iCs/>
      <w:sz w:val="22"/>
      <w:szCs w:val="22"/>
    </w:rPr>
  </w:style>
  <w:style w:type="character" w:styleId="1045" w:customStyle="1">
    <w:name w:val="标题 9 字符"/>
    <w:basedOn w:val="955"/>
    <w:link w:val="954"/>
    <w:uiPriority w:val="9"/>
    <w:qFormat/>
    <w:rPr>
      <w:rFonts w:ascii="Arial" w:hAnsi="Arial" w:eastAsia="Arial" w:cs="Arial"/>
      <w:i/>
      <w:iCs/>
      <w:sz w:val="21"/>
      <w:szCs w:val="21"/>
    </w:rPr>
  </w:style>
  <w:style w:type="character" w:styleId="1046" w:customStyle="1">
    <w:name w:val="Title Char"/>
    <w:basedOn w:val="955"/>
    <w:uiPriority w:val="10"/>
    <w:qFormat/>
    <w:rPr>
      <w:sz w:val="48"/>
      <w:szCs w:val="48"/>
    </w:rPr>
  </w:style>
  <w:style w:type="character" w:styleId="1047" w:customStyle="1">
    <w:name w:val="副标题 字符"/>
    <w:basedOn w:val="955"/>
    <w:link w:val="977"/>
    <w:uiPriority w:val="11"/>
    <w:qFormat/>
    <w:rPr>
      <w:sz w:val="24"/>
      <w:szCs w:val="24"/>
    </w:rPr>
  </w:style>
  <w:style w:type="paragraph" w:styleId="1048">
    <w:name w:val="Quote"/>
    <w:basedOn w:val="945"/>
    <w:next w:val="945"/>
    <w:link w:val="1049"/>
    <w:uiPriority w:val="29"/>
    <w:qFormat/>
    <w:pPr>
      <w:ind w:left="720" w:right="720"/>
    </w:pPr>
    <w:rPr>
      <w:i/>
    </w:rPr>
  </w:style>
  <w:style w:type="character" w:styleId="1049" w:customStyle="1">
    <w:name w:val="引用 字符"/>
    <w:link w:val="1048"/>
    <w:uiPriority w:val="29"/>
    <w:qFormat/>
    <w:rPr>
      <w:i/>
    </w:rPr>
  </w:style>
  <w:style w:type="paragraph" w:styleId="1050">
    <w:name w:val="Intense Quote"/>
    <w:basedOn w:val="945"/>
    <w:next w:val="945"/>
    <w:link w:val="10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1" w:customStyle="1">
    <w:name w:val="明显引用 字符"/>
    <w:link w:val="1050"/>
    <w:uiPriority w:val="30"/>
    <w:qFormat/>
    <w:rPr>
      <w:i/>
    </w:rPr>
  </w:style>
  <w:style w:type="character" w:styleId="1052" w:customStyle="1">
    <w:name w:val="Header Char"/>
    <w:basedOn w:val="955"/>
    <w:uiPriority w:val="99"/>
    <w:qFormat/>
  </w:style>
  <w:style w:type="character" w:styleId="1053" w:customStyle="1">
    <w:name w:val="Footer Char"/>
    <w:basedOn w:val="955"/>
    <w:uiPriority w:val="99"/>
    <w:qFormat/>
  </w:style>
  <w:style w:type="character" w:styleId="1054" w:customStyle="1">
    <w:name w:val="Caption Char"/>
    <w:uiPriority w:val="99"/>
    <w:qFormat/>
  </w:style>
  <w:style w:type="table" w:styleId="1055" w:customStyle="1">
    <w:name w:val="Table Grid Light"/>
    <w:basedOn w:val="9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56" w:customStyle="1">
    <w:name w:val="无格式表格 11"/>
    <w:basedOn w:val="9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无格式表格 21"/>
    <w:basedOn w:val="9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无格式表格 31"/>
    <w:basedOn w:val="9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customStyle="1">
    <w:name w:val="无格式表格 41"/>
    <w:basedOn w:val="9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customStyle="1">
    <w:name w:val="无格式表格 51"/>
    <w:basedOn w:val="9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1" w:customStyle="1">
    <w:name w:val="网格表 1 浅色1"/>
    <w:basedOn w:val="9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1"/>
    <w:basedOn w:val="95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2"/>
    <w:basedOn w:val="95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3"/>
    <w:basedOn w:val="95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4"/>
    <w:basedOn w:val="95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5"/>
    <w:basedOn w:val="95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6"/>
    <w:basedOn w:val="95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68" w:customStyle="1">
    <w:name w:val="网格表 21"/>
    <w:basedOn w:val="9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9" w:customStyle="1">
    <w:name w:val="Grid Table 2 - Accent 1"/>
    <w:basedOn w:val="95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70" w:customStyle="1">
    <w:name w:val="Grid Table 2 - Accent 2"/>
    <w:basedOn w:val="95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71" w:customStyle="1">
    <w:name w:val="Grid Table 2 - Accent 3"/>
    <w:basedOn w:val="95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72" w:customStyle="1">
    <w:name w:val="Grid Table 2 - Accent 4"/>
    <w:basedOn w:val="95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73" w:customStyle="1">
    <w:name w:val="Grid Table 2 - Accent 5"/>
    <w:basedOn w:val="95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74" w:customStyle="1">
    <w:name w:val="Grid Table 2 - Accent 6"/>
    <w:basedOn w:val="95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75" w:customStyle="1">
    <w:name w:val="网格表 31"/>
    <w:basedOn w:val="9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1"/>
    <w:basedOn w:val="95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2"/>
    <w:basedOn w:val="95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3"/>
    <w:basedOn w:val="95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4"/>
    <w:basedOn w:val="95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5"/>
    <w:basedOn w:val="95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6"/>
    <w:basedOn w:val="95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网格表 41"/>
    <w:basedOn w:val="9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3" w:customStyle="1">
    <w:name w:val="Grid Table 4 - Accent 1"/>
    <w:basedOn w:val="95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84" w:customStyle="1">
    <w:name w:val="Grid Table 4 - Accent 2"/>
    <w:basedOn w:val="95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85" w:customStyle="1">
    <w:name w:val="Grid Table 4 - Accent 3"/>
    <w:basedOn w:val="95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86" w:customStyle="1">
    <w:name w:val="Grid Table 4 - Accent 4"/>
    <w:basedOn w:val="95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87" w:customStyle="1">
    <w:name w:val="Grid Table 4 - Accent 5"/>
    <w:basedOn w:val="95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88" w:customStyle="1">
    <w:name w:val="Grid Table 4 - Accent 6"/>
    <w:basedOn w:val="95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89" w:customStyle="1">
    <w:name w:val="网格表 5 深色1"/>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0" w:customStyle="1">
    <w:name w:val="Grid Table 5 Dark- Accent 1"/>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91" w:customStyle="1">
    <w:name w:val="Grid Table 5 Dark - Accent 2"/>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92" w:customStyle="1">
    <w:name w:val="Grid Table 5 Dark - Accent 3"/>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93" w:customStyle="1">
    <w:name w:val="Grid Table 5 Dark- Accent 4"/>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94" w:customStyle="1">
    <w:name w:val="Grid Table 5 Dark - Accent 5"/>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95" w:customStyle="1">
    <w:name w:val="Grid Table 5 Dark - Accent 6"/>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96" w:customStyle="1">
    <w:name w:val="网格表 6 彩色1"/>
    <w:basedOn w:val="9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Grid Table 6 Colorful - Accent 1"/>
    <w:basedOn w:val="95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98" w:customStyle="1">
    <w:name w:val="Grid Table 6 Colorful - Accent 2"/>
    <w:basedOn w:val="95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99" w:customStyle="1">
    <w:name w:val="Grid Table 6 Colorful - Accent 3"/>
    <w:basedOn w:val="95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00" w:customStyle="1">
    <w:name w:val="Grid Table 6 Colorful - Accent 4"/>
    <w:basedOn w:val="95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01" w:customStyle="1">
    <w:name w:val="Grid Table 6 Colorful - Accent 5"/>
    <w:basedOn w:val="95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02" w:customStyle="1">
    <w:name w:val="Grid Table 6 Colorful - Accent 6"/>
    <w:basedOn w:val="95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03" w:customStyle="1">
    <w:name w:val="网格表 7 彩色1"/>
    <w:basedOn w:val="9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Grid Table 7 Colorful - Accent 1"/>
    <w:basedOn w:val="95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05" w:customStyle="1">
    <w:name w:val="Grid Table 7 Colorful - Accent 2"/>
    <w:basedOn w:val="95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6" w:customStyle="1">
    <w:name w:val="Grid Table 7 Colorful - Accent 3"/>
    <w:basedOn w:val="95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07" w:customStyle="1">
    <w:name w:val="Grid Table 7 Colorful - Accent 4"/>
    <w:basedOn w:val="95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8" w:customStyle="1">
    <w:name w:val="Grid Table 7 Colorful - Accent 5"/>
    <w:basedOn w:val="95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09" w:customStyle="1">
    <w:name w:val="Grid Table 7 Colorful - Accent 6"/>
    <w:basedOn w:val="95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10" w:customStyle="1">
    <w:name w:val="清单表 1 浅色1"/>
    <w:basedOn w:val="9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1" w:customStyle="1">
    <w:name w:val="List Table 1 Light - Accent 1"/>
    <w:basedOn w:val="95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12" w:customStyle="1">
    <w:name w:val="List Table 1 Light - Accent 2"/>
    <w:basedOn w:val="95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13" w:customStyle="1">
    <w:name w:val="List Table 1 Light - Accent 3"/>
    <w:basedOn w:val="95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14" w:customStyle="1">
    <w:name w:val="List Table 1 Light - Accent 4"/>
    <w:basedOn w:val="95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15" w:customStyle="1">
    <w:name w:val="List Table 1 Light - Accent 5"/>
    <w:basedOn w:val="95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16" w:customStyle="1">
    <w:name w:val="List Table 1 Light - Accent 6"/>
    <w:basedOn w:val="95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17" w:customStyle="1">
    <w:name w:val="清单表 21"/>
    <w:basedOn w:val="9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2 - Accent 1"/>
    <w:basedOn w:val="95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19" w:customStyle="1">
    <w:name w:val="List Table 2 - Accent 2"/>
    <w:basedOn w:val="95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20" w:customStyle="1">
    <w:name w:val="List Table 2 - Accent 3"/>
    <w:basedOn w:val="95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21" w:customStyle="1">
    <w:name w:val="List Table 2 - Accent 4"/>
    <w:basedOn w:val="95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22" w:customStyle="1">
    <w:name w:val="List Table 2 - Accent 5"/>
    <w:basedOn w:val="95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23" w:customStyle="1">
    <w:name w:val="List Table 2 - Accent 6"/>
    <w:basedOn w:val="95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24" w:customStyle="1">
    <w:name w:val="清单表 31"/>
    <w:basedOn w:val="9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5" w:customStyle="1">
    <w:name w:val="List Table 3 - Accent 1"/>
    <w:basedOn w:val="95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26" w:customStyle="1">
    <w:name w:val="List Table 3 - Accent 2"/>
    <w:basedOn w:val="95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27" w:customStyle="1">
    <w:name w:val="List Table 3 - Accent 3"/>
    <w:basedOn w:val="95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28" w:customStyle="1">
    <w:name w:val="List Table 3 - Accent 4"/>
    <w:basedOn w:val="95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29" w:customStyle="1">
    <w:name w:val="List Table 3 - Accent 5"/>
    <w:basedOn w:val="95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30" w:customStyle="1">
    <w:name w:val="List Table 3 - Accent 6"/>
    <w:basedOn w:val="95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31" w:customStyle="1">
    <w:name w:val="清单表 41"/>
    <w:basedOn w:val="9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4 - Accent 1"/>
    <w:basedOn w:val="95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33" w:customStyle="1">
    <w:name w:val="List Table 4 - Accent 2"/>
    <w:basedOn w:val="95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34" w:customStyle="1">
    <w:name w:val="List Table 4 - Accent 3"/>
    <w:basedOn w:val="95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35" w:customStyle="1">
    <w:name w:val="List Table 4 - Accent 4"/>
    <w:basedOn w:val="95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36" w:customStyle="1">
    <w:name w:val="List Table 4 - Accent 5"/>
    <w:basedOn w:val="95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37" w:customStyle="1">
    <w:name w:val="List Table 4 - Accent 6"/>
    <w:basedOn w:val="95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38" w:customStyle="1">
    <w:name w:val="清单表 5 深色1"/>
    <w:basedOn w:val="9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1"/>
    <w:basedOn w:val="95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2"/>
    <w:basedOn w:val="95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3"/>
    <w:basedOn w:val="95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4"/>
    <w:basedOn w:val="95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5"/>
    <w:basedOn w:val="95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6"/>
    <w:basedOn w:val="95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清单表 6 彩色1"/>
    <w:basedOn w:val="9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6" w:customStyle="1">
    <w:name w:val="List Table 6 Colorful - Accent 1"/>
    <w:basedOn w:val="95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47" w:customStyle="1">
    <w:name w:val="List Table 6 Colorful - Accent 2"/>
    <w:basedOn w:val="95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48" w:customStyle="1">
    <w:name w:val="List Table 6 Colorful - Accent 3"/>
    <w:basedOn w:val="95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49" w:customStyle="1">
    <w:name w:val="List Table 6 Colorful - Accent 4"/>
    <w:basedOn w:val="95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50" w:customStyle="1">
    <w:name w:val="List Table 6 Colorful - Accent 5"/>
    <w:basedOn w:val="95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51" w:customStyle="1">
    <w:name w:val="List Table 6 Colorful - Accent 6"/>
    <w:basedOn w:val="95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52" w:customStyle="1">
    <w:name w:val="清单表 7 彩色1"/>
    <w:basedOn w:val="95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List Table 7 Colorful - Accent 1"/>
    <w:basedOn w:val="95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54" w:customStyle="1">
    <w:name w:val="List Table 7 Colorful - Accent 2"/>
    <w:basedOn w:val="95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55" w:customStyle="1">
    <w:name w:val="List Table 7 Colorful - Accent 3"/>
    <w:basedOn w:val="95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56" w:customStyle="1">
    <w:name w:val="List Table 7 Colorful - Accent 4"/>
    <w:basedOn w:val="95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57" w:customStyle="1">
    <w:name w:val="List Table 7 Colorful - Accent 5"/>
    <w:basedOn w:val="95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58" w:customStyle="1">
    <w:name w:val="List Table 7 Colorful - Accent 6"/>
    <w:basedOn w:val="95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59" w:customStyle="1">
    <w:name w:val="Lined - Accent"/>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0" w:customStyle="1">
    <w:name w:val="Lined - Accent 1"/>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61" w:customStyle="1">
    <w:name w:val="Lined - Accent 2"/>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62" w:customStyle="1">
    <w:name w:val="Lined - Accent 3"/>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63" w:customStyle="1">
    <w:name w:val="Lined - Accent 4"/>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64" w:customStyle="1">
    <w:name w:val="Lined - Accent 5"/>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65" w:customStyle="1">
    <w:name w:val="Lined - Accent 6"/>
    <w:basedOn w:val="9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66" w:customStyle="1">
    <w:name w:val="Bordered &amp; Lined - Accent"/>
    <w:basedOn w:val="95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7" w:customStyle="1">
    <w:name w:val="Bordered &amp; Lined - Accent 1"/>
    <w:basedOn w:val="95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68" w:customStyle="1">
    <w:name w:val="Bordered &amp; Lined - Accent 2"/>
    <w:basedOn w:val="95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69" w:customStyle="1">
    <w:name w:val="Bordered &amp; Lined - Accent 3"/>
    <w:basedOn w:val="95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70" w:customStyle="1">
    <w:name w:val="Bordered &amp; Lined - Accent 4"/>
    <w:basedOn w:val="95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71" w:customStyle="1">
    <w:name w:val="Bordered &amp; Lined - Accent 5"/>
    <w:basedOn w:val="95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72" w:customStyle="1">
    <w:name w:val="Bordered &amp; Lined - Accent 6"/>
    <w:basedOn w:val="95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73" w:customStyle="1">
    <w:name w:val="Bordered"/>
    <w:basedOn w:val="95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4" w:customStyle="1">
    <w:name w:val="Bordered - Accent 1"/>
    <w:basedOn w:val="95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75" w:customStyle="1">
    <w:name w:val="Bordered - Accent 2"/>
    <w:basedOn w:val="95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76" w:customStyle="1">
    <w:name w:val="Bordered - Accent 3"/>
    <w:basedOn w:val="95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77" w:customStyle="1">
    <w:name w:val="Bordered - Accent 4"/>
    <w:basedOn w:val="95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78" w:customStyle="1">
    <w:name w:val="Bordered - Accent 5"/>
    <w:basedOn w:val="95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79" w:customStyle="1">
    <w:name w:val="Bordered - Accent 6"/>
    <w:basedOn w:val="95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80" w:customStyle="1">
    <w:name w:val="脚注文本 字符"/>
    <w:link w:val="978"/>
    <w:uiPriority w:val="99"/>
    <w:qFormat/>
    <w:rPr>
      <w:sz w:val="18"/>
    </w:rPr>
  </w:style>
  <w:style w:type="character" w:styleId="1181" w:customStyle="1">
    <w:name w:val="尾注文本 字符"/>
    <w:link w:val="971"/>
    <w:uiPriority w:val="99"/>
    <w:qFormat/>
    <w:rPr>
      <w:sz w:val="20"/>
    </w:rPr>
  </w:style>
  <w:style w:type="paragraph" w:styleId="1182" w:customStyle="1">
    <w:name w:val="TOC 标题1"/>
    <w:uiPriority w:val="39"/>
    <w:unhideWhenUsed/>
    <w:qFormat/>
    <w:rPr>
      <w:rFonts w:hint="default" w:ascii="Times New Roman" w:hAnsi="Times New Roman" w:eastAsia="宋体" w:cs="Times New Roman"/>
      <w:lang w:val="en-US" w:eastAsia="zh-CN" w:bidi="ar-SA"/>
    </w:rPr>
  </w:style>
  <w:style w:type="paragraph" w:styleId="1183">
    <w:name w:val="List Paragraph"/>
    <w:basedOn w:val="945"/>
    <w:uiPriority w:val="99"/>
    <w:qFormat/>
    <w:pPr>
      <w:numPr>
        <w:ilvl w:val="1"/>
        <w:numId w:val="1"/>
      </w:numPr>
      <w:ind w:left="0" w:firstLine="420"/>
      <w:spacing w:line="360" w:lineRule="auto"/>
    </w:pPr>
    <w:rPr>
      <w:rFonts w:ascii="Times New Roman" w:hAnsi="Times New Roman" w:eastAsia="宋体" w:cs="Times New Roman"/>
      <w:szCs w:val="21"/>
    </w:rPr>
  </w:style>
  <w:style w:type="character" w:styleId="1184" w:customStyle="1">
    <w:name w:val="批注框文本 字符"/>
    <w:basedOn w:val="955"/>
    <w:link w:val="972"/>
    <w:uiPriority w:val="99"/>
    <w:semiHidden/>
    <w:qFormat/>
    <w:rPr>
      <w:sz w:val="18"/>
      <w:szCs w:val="18"/>
    </w:rPr>
  </w:style>
  <w:style w:type="character" w:styleId="1185" w:customStyle="1">
    <w:name w:val="正文文本 字符"/>
    <w:basedOn w:val="955"/>
    <w:link w:val="962"/>
    <w:uiPriority w:val="99"/>
    <w:qFormat/>
    <w:rPr>
      <w:rFonts w:ascii="Times New Roman" w:hAnsi="Times New Roman" w:eastAsia="宋体" w:cs="Times New Roman"/>
      <w:sz w:val="24"/>
      <w:szCs w:val="24"/>
    </w:rPr>
  </w:style>
  <w:style w:type="paragraph" w:styleId="1186" w:customStyle="1">
    <w:name w:val="标题 41"/>
    <w:basedOn w:val="945"/>
    <w:uiPriority w:val="1"/>
    <w:qFormat/>
    <w:pPr>
      <w:ind w:left="618"/>
      <w:jc w:val="left"/>
      <w:outlineLvl w:val="4"/>
    </w:pPr>
    <w:rPr>
      <w:rFonts w:ascii="宋体" w:hAnsi="宋体" w:eastAsia="宋体" w:cs="宋体"/>
      <w:b/>
      <w:bCs/>
      <w:sz w:val="24"/>
      <w:szCs w:val="24"/>
      <w:lang w:val="zh-CN" w:bidi="zh-CN"/>
    </w:rPr>
  </w:style>
  <w:style w:type="paragraph" w:styleId="1187" w:customStyle="1">
    <w:name w:val="正文缩进1"/>
    <w:basedOn w:val="945"/>
    <w:uiPriority w:val="0"/>
    <w:qFormat/>
    <w:pPr>
      <w:ind w:firstLine="420"/>
    </w:pPr>
  </w:style>
  <w:style w:type="character" w:styleId="1188" w:customStyle="1">
    <w:name w:val="页眉 字符"/>
    <w:basedOn w:val="955"/>
    <w:link w:val="974"/>
    <w:uiPriority w:val="99"/>
    <w:qFormat/>
    <w:rPr>
      <w:sz w:val="18"/>
      <w:szCs w:val="18"/>
    </w:rPr>
  </w:style>
  <w:style w:type="character" w:styleId="1189" w:customStyle="1">
    <w:name w:val="页脚 字符"/>
    <w:basedOn w:val="955"/>
    <w:link w:val="973"/>
    <w:uiPriority w:val="99"/>
    <w:qFormat/>
    <w:rPr>
      <w:sz w:val="18"/>
      <w:szCs w:val="18"/>
    </w:rPr>
  </w:style>
  <w:style w:type="paragraph" w:styleId="1190" w:customStyle="1">
    <w:name w:val="ewb-con-p2"/>
    <w:basedOn w:val="945"/>
    <w:uiPriority w:val="0"/>
    <w:qFormat/>
    <w:pPr>
      <w:jc w:val="left"/>
      <w:spacing w:before="100" w:beforeAutospacing="1" w:after="100" w:afterAutospacing="1"/>
      <w:widowControl/>
    </w:pPr>
    <w:rPr>
      <w:rFonts w:ascii="宋体" w:hAnsi="宋体" w:eastAsia="宋体" w:cs="宋体"/>
      <w:sz w:val="24"/>
      <w:szCs w:val="24"/>
    </w:rPr>
  </w:style>
  <w:style w:type="paragraph" w:styleId="1191" w:customStyle="1">
    <w:name w:val="正文2"/>
    <w:basedOn w:val="945"/>
    <w:link w:val="1192"/>
    <w:uiPriority w:val="99"/>
    <w:qFormat/>
    <w:pPr>
      <w:ind w:firstLine="420"/>
      <w:spacing w:line="360" w:lineRule="auto"/>
    </w:pPr>
    <w:rPr>
      <w:rFonts w:ascii="宋体" w:hAnsi="宋体" w:eastAsia="宋体" w:cs="宋体"/>
      <w:color w:val="000000"/>
      <w:szCs w:val="21"/>
    </w:rPr>
  </w:style>
  <w:style w:type="character" w:styleId="1192" w:customStyle="1">
    <w:name w:val="正文2 Char Char"/>
    <w:basedOn w:val="955"/>
    <w:link w:val="1191"/>
    <w:uiPriority w:val="99"/>
    <w:qFormat/>
    <w:rPr>
      <w:rFonts w:ascii="宋体" w:hAnsi="宋体" w:eastAsia="宋体" w:cs="宋体"/>
      <w:color w:val="000000"/>
      <w:sz w:val="21"/>
      <w:szCs w:val="21"/>
    </w:rPr>
  </w:style>
  <w:style w:type="character" w:styleId="1193" w:customStyle="1">
    <w:name w:val="标题 2 字符"/>
    <w:basedOn w:val="955"/>
    <w:link w:val="947"/>
    <w:uiPriority w:val="0"/>
    <w:qFormat/>
    <w:rPr>
      <w:rFonts w:ascii="Arial" w:hAnsi="Arial" w:eastAsia="黑体" w:cs="Arial"/>
      <w:b/>
      <w:bCs/>
      <w:sz w:val="32"/>
      <w:szCs w:val="32"/>
    </w:rPr>
  </w:style>
  <w:style w:type="character" w:styleId="1194" w:customStyle="1">
    <w:name w:val="纯文本 字符"/>
    <w:basedOn w:val="955"/>
    <w:link w:val="967"/>
    <w:uiPriority w:val="0"/>
    <w:qFormat/>
    <w:rPr>
      <w:rFonts w:ascii="宋体" w:hAnsi="Courier New"/>
      <w:sz w:val="21"/>
      <w:szCs w:val="22"/>
    </w:rPr>
  </w:style>
  <w:style w:type="paragraph" w:styleId="1195" w:customStyle="1">
    <w:name w:val="Table Paragraph"/>
    <w:basedOn w:val="945"/>
    <w:uiPriority w:val="1"/>
    <w:qFormat/>
    <w:pPr>
      <w:jc w:val="left"/>
    </w:pPr>
    <w:rPr>
      <w:rFonts w:ascii="宋体" w:hAnsi="宋体" w:eastAsia="宋体" w:cs="宋体"/>
      <w:sz w:val="22"/>
      <w:lang w:val="zh-CN" w:bidi="zh-CN"/>
    </w:rPr>
  </w:style>
  <w:style w:type="character" w:styleId="1196" w:customStyle="1">
    <w:name w:val="标题 3 字符"/>
    <w:basedOn w:val="955"/>
    <w:link w:val="948"/>
    <w:uiPriority w:val="0"/>
    <w:qFormat/>
    <w:rPr>
      <w:rFonts w:ascii="Times New Roman" w:hAnsi="Times New Roman" w:eastAsia="宋体" w:cs="Times New Roman"/>
      <w:b/>
      <w:bCs/>
      <w:sz w:val="32"/>
      <w:szCs w:val="32"/>
    </w:rPr>
  </w:style>
  <w:style w:type="paragraph" w:styleId="1197" w:customStyle="1">
    <w:name w:val="contentarticle"/>
    <w:basedOn w:val="945"/>
    <w:uiPriority w:val="0"/>
    <w:qFormat/>
    <w:pPr>
      <w:jc w:val="left"/>
      <w:spacing w:before="100" w:beforeAutospacing="1" w:after="100" w:afterAutospacing="1"/>
      <w:widowControl/>
    </w:pPr>
    <w:rPr>
      <w:rFonts w:ascii="宋体" w:hAnsi="宋体" w:eastAsia="宋体" w:cs="宋体"/>
      <w:sz w:val="24"/>
    </w:rPr>
  </w:style>
  <w:style w:type="character" w:styleId="1198" w:customStyle="1">
    <w:name w:val="p21"/>
    <w:uiPriority w:val="0"/>
    <w:qFormat/>
    <w:rPr>
      <w:sz w:val="9"/>
      <w:szCs w:val="9"/>
    </w:rPr>
  </w:style>
  <w:style w:type="character" w:styleId="1199" w:customStyle="1">
    <w:name w:val="HTML 预设格式 字符"/>
    <w:basedOn w:val="955"/>
    <w:link w:val="983"/>
    <w:uiPriority w:val="99"/>
    <w:qFormat/>
    <w:rPr>
      <w:rFonts w:ascii="Arial" w:hAnsi="Arial" w:eastAsia="宋体" w:cs="Times New Roman"/>
      <w:sz w:val="11"/>
      <w:szCs w:val="11"/>
    </w:rPr>
  </w:style>
  <w:style w:type="paragraph" w:styleId="1200" w:customStyle="1">
    <w:name w:val="t_black_12_b"/>
    <w:basedOn w:val="945"/>
    <w:uiPriority w:val="0"/>
    <w:qFormat/>
    <w:pPr>
      <w:jc w:val="left"/>
      <w:widowControl/>
    </w:pPr>
    <w:rPr>
      <w:rFonts w:ascii="宋体" w:hAnsi="宋体" w:eastAsia="宋体" w:cs="宋体"/>
      <w:b/>
      <w:bCs/>
      <w:color w:val="212121"/>
      <w:sz w:val="9"/>
      <w:szCs w:val="9"/>
    </w:rPr>
  </w:style>
  <w:style w:type="paragraph" w:styleId="1201" w:customStyle="1">
    <w:name w:val="样式 标题 3 + (中文) 黑体 小四 非加粗 段前: 7.8 磅 段后: 0 磅 行距: 固定值 20 磅"/>
    <w:basedOn w:val="948"/>
    <w:uiPriority w:val="0"/>
    <w:qFormat/>
    <w:pPr>
      <w:spacing w:before="0" w:after="0" w:line="400" w:lineRule="exact"/>
    </w:pPr>
    <w:rPr>
      <w:rFonts w:eastAsia="黑体" w:cs="宋体"/>
      <w:b w:val="0"/>
      <w:bCs w:val="0"/>
      <w:sz w:val="24"/>
      <w:szCs w:val="20"/>
    </w:rPr>
  </w:style>
  <w:style w:type="character" w:styleId="1202" w:customStyle="1">
    <w:name w:val="日期 字符"/>
    <w:basedOn w:val="955"/>
    <w:link w:val="969"/>
    <w:uiPriority w:val="0"/>
    <w:qFormat/>
    <w:rPr>
      <w:rFonts w:ascii="Times New Roman" w:hAnsi="Times New Roman" w:eastAsia="宋体" w:cs="Times New Roman"/>
      <w:sz w:val="21"/>
      <w:szCs w:val="24"/>
    </w:rPr>
  </w:style>
  <w:style w:type="character" w:styleId="1203" w:customStyle="1">
    <w:name w:val="标题 字符"/>
    <w:basedOn w:val="955"/>
    <w:link w:val="985"/>
    <w:uiPriority w:val="0"/>
    <w:qFormat/>
    <w:rPr>
      <w:rFonts w:ascii="Cambria" w:hAnsi="Cambria" w:eastAsia="黑体" w:cs="Times New Roman"/>
      <w:b/>
      <w:bCs/>
      <w:sz w:val="52"/>
      <w:szCs w:val="32"/>
    </w:rPr>
  </w:style>
  <w:style w:type="paragraph" w:styleId="1204" w:customStyle="1">
    <w:name w:val="标题3"/>
    <w:basedOn w:val="945"/>
    <w:link w:val="1206"/>
    <w:uiPriority w:val="0"/>
    <w:qFormat/>
    <w:pPr>
      <w:jc w:val="center"/>
      <w:pageBreakBefore/>
      <w:outlineLvl w:val="2"/>
    </w:pPr>
    <w:rPr>
      <w:rFonts w:ascii="黑体" w:hAnsi="黑体" w:eastAsia="黑体" w:cs="Times New Roman"/>
      <w:b/>
      <w:sz w:val="32"/>
      <w:szCs w:val="32"/>
    </w:rPr>
  </w:style>
  <w:style w:type="paragraph" w:styleId="1205" w:customStyle="1">
    <w:name w:val="TOC 标题11"/>
    <w:basedOn w:val="946"/>
    <w:next w:val="945"/>
    <w:uiPriority w:val="39"/>
    <w:qFormat/>
    <w:pPr>
      <w:ind w:right="0"/>
      <w:keepLines/>
      <w:keepNext/>
      <w:spacing w:before="480" w:after="0" w:line="276" w:lineRule="auto"/>
      <w:outlineLvl w:val="9"/>
    </w:pPr>
    <w:rPr>
      <w:rFonts w:ascii="Cambria" w:hAnsi="Cambria"/>
      <w:color w:val="365f91"/>
      <w:sz w:val="28"/>
      <w:szCs w:val="28"/>
    </w:rPr>
  </w:style>
  <w:style w:type="character" w:styleId="1206" w:customStyle="1">
    <w:name w:val="标题3 Char"/>
    <w:link w:val="1204"/>
    <w:uiPriority w:val="0"/>
    <w:qFormat/>
    <w:rPr>
      <w:rFonts w:ascii="黑体" w:hAnsi="黑体" w:eastAsia="黑体" w:cs="Times New Roman"/>
      <w:b/>
      <w:sz w:val="32"/>
      <w:szCs w:val="32"/>
    </w:rPr>
  </w:style>
  <w:style w:type="paragraph" w:styleId="1207">
    <w:name w:val="No Spacing"/>
    <w:uiPriority w:val="1"/>
    <w:qFormat/>
    <w:pPr>
      <w:jc w:val="center"/>
      <w:widowControl w:val="off"/>
    </w:pPr>
    <w:rPr>
      <w:rFonts w:hint="default" w:ascii="Times New Roman" w:hAnsi="Times New Roman" w:eastAsia="黑体" w:cs="Times New Roman"/>
      <w:sz w:val="30"/>
      <w:szCs w:val="24"/>
      <w:lang w:val="en-US" w:eastAsia="zh-CN" w:bidi="ar-SA"/>
    </w:rPr>
  </w:style>
  <w:style w:type="paragraph" w:styleId="120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正文1"/>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21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2" w:customStyle="1">
    <w:name w:val="批注文字 字符"/>
    <w:basedOn w:val="955"/>
    <w:link w:val="961"/>
    <w:uiPriority w:val="0"/>
    <w:qFormat/>
    <w:rPr>
      <w:rFonts w:asciiTheme="minorHAnsi" w:hAnsiTheme="minorHAnsi" w:eastAsiaTheme="minorEastAsia" w:cstheme="minorBidi"/>
      <w:sz w:val="21"/>
      <w:szCs w:val="22"/>
    </w:rPr>
  </w:style>
  <w:style w:type="character" w:styleId="1213" w:customStyle="1">
    <w:name w:val="批注主题 字符"/>
    <w:basedOn w:val="1212"/>
    <w:link w:val="986"/>
    <w:uiPriority w:val="99"/>
    <w:semiHidden/>
    <w:qFormat/>
    <w:rPr>
      <w:rFonts w:asciiTheme="minorHAnsi" w:hAnsiTheme="minorHAnsi" w:eastAsiaTheme="minorEastAsia" w:cstheme="minorBidi"/>
      <w:b/>
      <w:bCs/>
      <w:sz w:val="21"/>
      <w:szCs w:val="22"/>
    </w:rPr>
  </w:style>
  <w:style w:type="paragraph" w:styleId="1214" w:customStyle="1">
    <w:name w:val="修订1"/>
    <w:hidden/>
    <w:uiPriority w:val="99"/>
    <w:unhideWhenUsed/>
    <w:qFormat/>
    <w:rPr>
      <w:rFonts w:hint="default" w:asciiTheme="minorHAnsi" w:hAnsiTheme="minorHAnsi" w:eastAsiaTheme="minorEastAsia" w:cstheme="minorBidi"/>
      <w:sz w:val="21"/>
      <w:szCs w:val="22"/>
      <w:lang w:val="en-US" w:eastAsia="zh-CN" w:bidi="ar-SA"/>
    </w:rPr>
  </w:style>
  <w:style w:type="character" w:styleId="1215" w:customStyle="1">
    <w:name w:val="标题 4 字符"/>
    <w:basedOn w:val="955"/>
    <w:link w:val="949"/>
    <w:uiPriority w:val="9"/>
    <w:qFormat/>
    <w:rPr>
      <w:rFonts w:asciiTheme="majorHAnsi" w:hAnsiTheme="majorHAnsi" w:eastAsiaTheme="majorEastAsia" w:cstheme="majorBidi"/>
      <w:b/>
      <w:bCs/>
      <w:sz w:val="28"/>
      <w:szCs w:val="28"/>
    </w:rPr>
  </w:style>
  <w:style w:type="paragraph" w:styleId="1216" w:customStyle="1">
    <w:name w:val="BodyText"/>
    <w:basedOn w:val="945"/>
    <w:uiPriority w:val="0"/>
    <w:qFormat/>
    <w:pPr>
      <w:spacing w:after="120"/>
    </w:pPr>
    <w:rPr>
      <w:rFonts w:ascii="Calibri" w:hAnsi="Times New Roman" w:eastAsia="宋体" w:cs="Times New Roman"/>
      <w:sz w:val="20"/>
      <w:szCs w:val="20"/>
    </w:rPr>
  </w:style>
  <w:style w:type="table" w:styleId="1217" w:customStyle="1">
    <w:name w:val="Table Normal"/>
    <w:basedOn w:val="956"/>
    <w:uiPriority w:val="2"/>
    <w:semiHidden/>
    <w:qFormat/>
    <w:tblPr>
      <w:tblCellMar>
        <w:left w:w="0" w:type="dxa"/>
        <w:right w:w="0" w:type="dxa"/>
      </w:tblCellMar>
    </w:tblPr>
  </w:style>
  <w:style w:type="paragraph" w:styleId="1218" w:customStyle="1">
    <w:name w:val="列出段落1"/>
    <w:basedOn w:val="945"/>
    <w:uiPriority w:val="99"/>
    <w:qFormat/>
    <w:pPr>
      <w:ind w:firstLine="420"/>
    </w:pPr>
    <w:rPr>
      <w:rFonts w:ascii="Times New Roman" w:hAnsi="Times New Roman" w:eastAsia="宋体" w:cs="Times New Roman"/>
      <w:szCs w:val="24"/>
    </w:rPr>
  </w:style>
  <w:style w:type="paragraph" w:styleId="1219" w:customStyle="1">
    <w:name w:val="hk正文"/>
    <w:basedOn w:val="945"/>
    <w:uiPriority w:val="0"/>
    <w:qFormat/>
    <w:pPr>
      <w:ind w:firstLine="560"/>
      <w:spacing w:line="440" w:lineRule="exact"/>
    </w:pPr>
    <w:rPr>
      <w:rFonts w:ascii="Arial" w:hAnsi="Arial" w:eastAsia="宋体" w:cs="宋体"/>
      <w:szCs w:val="28"/>
    </w:rPr>
  </w:style>
  <w:style w:type="paragraph" w:styleId="1220" w:customStyle="1">
    <w:name w:val="首行缩进"/>
    <w:basedOn w:val="945"/>
    <w:uiPriority w:val="0"/>
    <w:qFormat/>
    <w:pPr>
      <w:ind w:firstLine="480"/>
    </w:pPr>
    <w:rPr>
      <w:rFonts w:ascii="Calibri" w:hAnsi="Calibri" w:eastAsia="楷体_GB2312"/>
      <w:sz w:val="26"/>
      <w:lang w:val="zh-CN"/>
    </w:rPr>
  </w:style>
  <w:style w:type="paragraph" w:styleId="1221" w:customStyle="1">
    <w:name w:val="普通正文"/>
    <w:basedOn w:val="945"/>
    <w:uiPriority w:val="99"/>
    <w:qFormat/>
    <w:pPr>
      <w:ind w:firstLine="480"/>
      <w:jc w:val="left"/>
      <w:spacing w:before="120" w:after="120" w:line="360" w:lineRule="auto"/>
    </w:pPr>
    <w:rPr>
      <w:rFonts w:ascii="Arial" w:hAnsi="Arial"/>
      <w:sz w:val="24"/>
    </w:rPr>
  </w:style>
  <w:style w:type="character" w:styleId="1222" w:customStyle="1">
    <w:name w:val="fontstyle01"/>
    <w:uiPriority w:val="0"/>
    <w:qFormat/>
    <w:rPr>
      <w:rFonts w:hint="eastAsia" w:ascii="宋体" w:hAnsi="宋体" w:eastAsia="宋体"/>
      <w:color w:val="000000"/>
      <w:sz w:val="24"/>
      <w:szCs w:val="24"/>
    </w:rPr>
  </w:style>
  <w:style w:type="character" w:styleId="1223" w:customStyle="1">
    <w:name w:val="批注文字 Char1"/>
    <w:uiPriority w:val="0"/>
    <w:qFormat/>
    <w:rPr>
      <w:rFonts w:ascii="Times New Roman" w:hAnsi="Times New Roman" w:eastAsia="宋体" w:cs="Times New Roman"/>
      <w:sz w:val="21"/>
      <w:lang w:val="en-US" w:eastAsia="zh-CN" w:bidi="ar-SA"/>
    </w:rPr>
  </w:style>
  <w:style w:type="paragraph" w:styleId="1224" w:customStyle="1">
    <w:name w:val="T表格中正文"/>
    <w:basedOn w:val="945"/>
    <w:uiPriority w:val="0"/>
    <w:qFormat/>
    <w:pPr>
      <w:jc w:val="center"/>
    </w:pPr>
    <w:rPr>
      <w:rFonts w:ascii="微软雅黑" w:hAnsi="微软雅黑" w:eastAsia="等线" w:cs="宋体"/>
      <w:szCs w:val="20"/>
    </w:rPr>
  </w:style>
  <w:style w:type="paragraph" w:styleId="1225" w:customStyle="1">
    <w:name w:val="Default"/>
    <w:basedOn w:val="945"/>
    <w:uiPriority w:val="0"/>
    <w:qFormat/>
    <w:pPr>
      <w:jc w:val="left"/>
    </w:pPr>
    <w:rPr>
      <w:rFonts w:ascii="宋体" w:hAnsi="Calibri" w:eastAsia="宋体" w:cs="宋体"/>
      <w:color w:val="000000"/>
      <w:sz w:val="24"/>
      <w:szCs w:val="21"/>
    </w:rPr>
  </w:style>
  <w:style w:type="character" w:styleId="1226" w:customStyle="1">
    <w:name w:val="已访问的超链接1"/>
    <w:uiPriority w:val="0"/>
    <w:qFormat/>
    <w:rPr>
      <w:color w:val="800080"/>
      <w:u w:val="single"/>
    </w:rPr>
  </w:style>
  <w:style w:type="paragraph" w:styleId="1227" w:customStyle="1">
    <w:name w:val="标题 31"/>
    <w:basedOn w:val="945"/>
    <w:next w:val="1187"/>
    <w:uiPriority w:val="0"/>
    <w:qFormat/>
    <w:pPr>
      <w:keepLines/>
      <w:keepNext/>
      <w:spacing w:before="260" w:after="260" w:line="416" w:lineRule="auto"/>
      <w:outlineLvl w:val="2"/>
    </w:pPr>
    <w:rPr>
      <w:b/>
      <w:bCs/>
      <w:sz w:val="32"/>
      <w:szCs w:val="32"/>
    </w:rPr>
  </w:style>
  <w:style w:type="paragraph" w:styleId="1228" w:customStyle="1">
    <w:name w:val="样式 首行缩进:  2 字符"/>
    <w:basedOn w:val="945"/>
    <w:uiPriority w:val="0"/>
    <w:qFormat/>
    <w:pPr>
      <w:ind w:firstLine="480"/>
      <w:spacing w:line="360" w:lineRule="auto"/>
    </w:pPr>
    <w:rPr>
      <w:rFonts w:cs="宋体"/>
      <w:sz w:val="24"/>
    </w:rPr>
  </w:style>
  <w:style w:type="paragraph" w:styleId="1229" w:customStyle="1">
    <w:name w:val="Char"/>
    <w:basedOn w:val="945"/>
    <w:uiPriority w:val="0"/>
    <w:qFormat/>
    <w:pPr>
      <w:ind w:firstLine="200"/>
      <w:tabs>
        <w:tab w:val="left" w:pos="360" w:leader="none"/>
      </w:tabs>
    </w:pPr>
    <w:rPr>
      <w:sz w:val="28"/>
      <w:szCs w:val="30"/>
    </w:rPr>
  </w:style>
  <w:style w:type="paragraph" w:styleId="1230" w:customStyle="1">
    <w:name w:val="纯文本111"/>
    <w:basedOn w:val="945"/>
    <w:uiPriority w:val="6"/>
    <w:qFormat/>
    <w:rPr>
      <w:rFonts w:ascii="宋体" w:hAnsi="宋体" w:cs="Courier New"/>
    </w:rPr>
  </w:style>
  <w:style w:type="paragraph" w:styleId="1231" w:customStyle="1">
    <w:name w:val="正文文本12"/>
    <w:basedOn w:val="945"/>
    <w:uiPriority w:val="1"/>
    <w:qFormat/>
    <w:pPr>
      <w:ind w:left="120"/>
    </w:pPr>
    <w:rPr>
      <w:rFonts w:ascii="宋体" w:hAnsi="宋体" w:eastAsia="宋体" w:cs="宋体"/>
      <w:szCs w:val="21"/>
      <w:lang w:val="zh-CN" w:bidi="zh-CN"/>
    </w:rPr>
  </w:style>
  <w:style w:type="paragraph" w:styleId="1232" w:customStyle="1">
    <w:name w:val="正文文本 211"/>
    <w:basedOn w:val="945"/>
    <w:uiPriority w:val="99"/>
    <w:qFormat/>
    <w:pPr>
      <w:jc w:val="center"/>
    </w:pPr>
    <w:rPr>
      <w:b/>
      <w:bCs/>
      <w:sz w:val="20"/>
      <w:szCs w:val="20"/>
    </w:rPr>
  </w:style>
  <w:style w:type="paragraph" w:styleId="1233" w:customStyle="1">
    <w:name w:val="正文文本1"/>
    <w:basedOn w:val="945"/>
    <w:next w:val="945"/>
    <w:uiPriority w:val="0"/>
    <w:semiHidden/>
    <w:qFormat/>
    <w:rPr>
      <w:rFonts w:ascii="Arial" w:hAnsi="Arial" w:eastAsia="Arial" w:cs="Arial"/>
      <w:szCs w:val="21"/>
      <w:lang w:eastAsia="en-US"/>
    </w:rPr>
  </w:style>
  <w:style w:type="paragraph" w:styleId="1234" w:customStyle="1">
    <w:name w:val="普通(网站)1"/>
    <w:basedOn w:val="945"/>
    <w:uiPriority w:val="99"/>
    <w:qFormat/>
    <w:pPr>
      <w:jc w:val="left"/>
      <w:spacing w:before="100" w:beforeAutospacing="1" w:after="100" w:afterAutospacing="1"/>
      <w:widowControl/>
    </w:pPr>
    <w:rPr>
      <w:rFonts w:ascii="宋体" w:hAnsi="宋体" w:cs="宋体"/>
      <w:sz w:val="24"/>
      <w:szCs w:val="24"/>
    </w:rPr>
  </w:style>
  <w:style w:type="paragraph" w:styleId="1235" w:customStyle="1">
    <w:name w:val="正文首行缩进 21"/>
    <w:basedOn w:val="1236"/>
    <w:uiPriority w:val="0"/>
    <w:qFormat/>
    <w:pPr>
      <w:ind w:firstLine="420"/>
      <w:spacing w:line="360" w:lineRule="auto"/>
    </w:pPr>
    <w:rPr>
      <w:rFonts w:ascii="宋体" w:hAnsi="宋体" w:eastAsia="宋体"/>
      <w:sz w:val="21"/>
      <w:szCs w:val="20"/>
    </w:rPr>
  </w:style>
  <w:style w:type="paragraph" w:styleId="1236" w:customStyle="1">
    <w:name w:val="正文文本缩进11"/>
    <w:basedOn w:val="945"/>
    <w:uiPriority w:val="99"/>
    <w:qFormat/>
    <w:pPr>
      <w:ind w:left="420"/>
      <w:spacing w:after="120"/>
    </w:pPr>
    <w:rPr>
      <w:sz w:val="24"/>
      <w:szCs w:val="20"/>
    </w:rPr>
  </w:style>
  <w:style w:type="paragraph" w:styleId="1237" w:customStyle="1">
    <w:name w:val="正文文本缩进1"/>
    <w:basedOn w:val="945"/>
    <w:next w:val="1238"/>
    <w:uiPriority w:val="0"/>
    <w:qFormat/>
    <w:pPr>
      <w:ind w:firstLine="645"/>
    </w:pPr>
    <w:rPr>
      <w:rFonts w:ascii="楷体_GB2312" w:eastAsia="楷体_GB2312"/>
      <w:sz w:val="32"/>
      <w:szCs w:val="32"/>
    </w:rPr>
  </w:style>
  <w:style w:type="paragraph" w:styleId="1238" w:customStyle="1">
    <w:name w:val="寄信人地址1"/>
    <w:basedOn w:val="945"/>
    <w:uiPriority w:val="0"/>
    <w:qFormat/>
    <w:rPr>
      <w:rFonts w:ascii="Arial" w:hAnsi="Arial" w:eastAsia="宋体" w:cs="宋体"/>
    </w:rPr>
  </w:style>
  <w:style w:type="paragraph" w:styleId="1239" w:customStyle="1">
    <w:name w:val="页眉1"/>
    <w:basedOn w:val="945"/>
    <w:uiPriority w:val="0"/>
    <w:qFormat/>
    <w:pPr>
      <w:jc w:val="center"/>
      <w:tabs>
        <w:tab w:val="center" w:pos="4153" w:leader="none"/>
        <w:tab w:val="right" w:pos="8306" w:leader="none"/>
      </w:tabs>
      <w:pBdr>
        <w:bottom w:val="single" w:color="000000" w:sz="6" w:space="1"/>
      </w:pBdr>
    </w:pPr>
    <w:rPr>
      <w:sz w:val="18"/>
      <w:szCs w:val="18"/>
    </w:rPr>
  </w:style>
  <w:style w:type="paragraph" w:styleId="1240" w:customStyle="1">
    <w:name w:val="页脚1"/>
    <w:basedOn w:val="945"/>
    <w:uiPriority w:val="0"/>
    <w:qFormat/>
    <w:pPr>
      <w:jc w:val="left"/>
      <w:tabs>
        <w:tab w:val="center" w:pos="4153" w:leader="none"/>
        <w:tab w:val="right" w:pos="8306" w:leader="none"/>
      </w:tabs>
    </w:pPr>
    <w:rPr>
      <w:sz w:val="18"/>
      <w:szCs w:val="18"/>
    </w:rPr>
  </w:style>
  <w:style w:type="character" w:styleId="1241" w:customStyle="1">
    <w:name w:val="页码1"/>
    <w:basedOn w:val="1242"/>
    <w:link w:val="945"/>
    <w:uiPriority w:val="0"/>
    <w:qFormat/>
    <w:rPr>
      <w:rFonts w:asciiTheme="minorHAnsi" w:hAnsiTheme="minorHAnsi" w:eastAsiaTheme="minorEastAsia" w:cstheme="minorBidi"/>
      <w:sz w:val="21"/>
      <w:szCs w:val="22"/>
      <w:lang w:val="en-US" w:eastAsia="zh-CN" w:bidi="ar-SA"/>
    </w:rPr>
  </w:style>
  <w:style w:type="character" w:styleId="1242" w:customStyle="1">
    <w:name w:val="默认段落字体1"/>
    <w:link w:val="945"/>
    <w:uiPriority w:val="1"/>
    <w:unhideWhenUsed/>
    <w:qFormat/>
  </w:style>
  <w:style w:type="paragraph" w:styleId="1243" w:customStyle="1">
    <w:name w:val="标题 411"/>
    <w:basedOn w:val="945"/>
    <w:next w:val="945"/>
    <w:uiPriority w:val="9"/>
    <w:qFormat/>
    <w:pPr>
      <w:keepLines/>
      <w:keepNext/>
      <w:spacing w:before="120" w:after="120"/>
      <w:outlineLvl w:val="3"/>
    </w:pPr>
    <w:rPr>
      <w:rFonts w:ascii="Arial" w:hAnsi="Arial" w:eastAsia="黑体"/>
      <w:b/>
      <w:sz w:val="20"/>
      <w:szCs w:val="20"/>
    </w:rPr>
  </w:style>
  <w:style w:type="character" w:styleId="1244" w:customStyle="1">
    <w:name w:val="NormalCharacter1"/>
    <w:link w:val="945"/>
    <w:uiPriority w:val="0"/>
    <w:semiHidden/>
    <w:qFormat/>
  </w:style>
  <w:style w:type="table" w:styleId="1245" w:customStyle="1">
    <w:name w:val="网格型1"/>
    <w:basedOn w:val="1246"/>
    <w:uiPriority w:val="39"/>
    <w:qFormat/>
    <w:pPr>
      <w:jc w:val="both"/>
      <w:widowControl w:val="off"/>
    </w:pPr>
    <w:tblPr/>
  </w:style>
  <w:style w:type="table" w:styleId="1246" w:customStyle="1">
    <w:name w:val="普通表格1"/>
    <w:uiPriority w:val="99"/>
    <w:unhideWhenUsed/>
    <w:qFormat/>
    <w:tblPr/>
  </w:style>
  <w:style w:type="character" w:styleId="1247" w:customStyle="1">
    <w:name w:val="font101"/>
    <w:basedOn w:val="1242"/>
    <w:link w:val="945"/>
    <w:uiPriority w:val="0"/>
    <w:qFormat/>
    <w:rPr>
      <w:rFonts w:ascii="黑体" w:hAnsi="宋体" w:eastAsia="黑体" w:cs="黑体"/>
      <w:b/>
      <w:bCs/>
      <w:color w:val="000000"/>
      <w:sz w:val="40"/>
      <w:szCs w:val="40"/>
      <w:u w:val="none"/>
    </w:rPr>
  </w:style>
  <w:style w:type="character" w:styleId="1248" w:customStyle="1">
    <w:name w:val="font131"/>
    <w:basedOn w:val="955"/>
    <w:uiPriority w:val="0"/>
    <w:qFormat/>
    <w:rPr>
      <w:rFonts w:hint="eastAsia" w:ascii="宋体" w:hAnsi="宋体" w:eastAsia="宋体" w:cs="宋体"/>
      <w:color w:val="000000"/>
      <w:sz w:val="20"/>
      <w:szCs w:val="20"/>
      <w:u w:val="none"/>
    </w:rPr>
  </w:style>
  <w:style w:type="character" w:styleId="1249" w:customStyle="1">
    <w:name w:val="font51"/>
    <w:basedOn w:val="955"/>
    <w:uiPriority w:val="0"/>
    <w:qFormat/>
    <w:rPr>
      <w:rFonts w:hint="default" w:ascii="Times New Roman" w:hAnsi="Times New Roman" w:cs="Times New Roman"/>
      <w:color w:val="000000"/>
      <w:sz w:val="20"/>
      <w:szCs w:val="20"/>
      <w:u w:val="none"/>
    </w:rPr>
  </w:style>
  <w:style w:type="character" w:styleId="1250" w:customStyle="1">
    <w:name w:val="font01"/>
    <w:basedOn w:val="955"/>
    <w:uiPriority w:val="0"/>
    <w:qFormat/>
    <w:rPr>
      <w:rFonts w:hint="eastAsia" w:ascii="宋体" w:hAnsi="宋体" w:eastAsia="宋体" w:cs="宋体"/>
      <w:color w:val="000000"/>
      <w:sz w:val="22"/>
      <w:szCs w:val="22"/>
      <w:u w:val="none"/>
    </w:rPr>
  </w:style>
  <w:style w:type="character" w:styleId="1251" w:customStyle="1">
    <w:name w:val="font141"/>
    <w:basedOn w:val="955"/>
    <w:uiPriority w:val="0"/>
    <w:qFormat/>
    <w:rPr>
      <w:rFonts w:hint="eastAsia" w:ascii="宋体" w:hAnsi="宋体" w:eastAsia="宋体" w:cs="宋体"/>
      <w:color w:val="000000"/>
      <w:sz w:val="20"/>
      <w:szCs w:val="20"/>
      <w:u w:val="none"/>
    </w:rPr>
  </w:style>
  <w:style w:type="character" w:styleId="1252" w:customStyle="1">
    <w:name w:val="font41"/>
    <w:basedOn w:val="955"/>
    <w:uiPriority w:val="0"/>
    <w:qFormat/>
    <w:rPr>
      <w:rFonts w:hint="default" w:ascii="Times New Roman" w:hAnsi="Times New Roman" w:cs="Times New Roman"/>
      <w:color w:val="000000"/>
      <w:sz w:val="20"/>
      <w:szCs w:val="20"/>
      <w:u w:val="none"/>
    </w:rPr>
  </w:style>
  <w:style w:type="character" w:styleId="1253" w:customStyle="1">
    <w:name w:val="font31"/>
    <w:basedOn w:val="955"/>
    <w:uiPriority w:val="0"/>
    <w:qFormat/>
    <w:rPr>
      <w:rFonts w:hint="default" w:ascii="Times New Roman" w:hAnsi="Times New Roman" w:cs="Times New Roman"/>
      <w:color w:val="000000"/>
      <w:sz w:val="22"/>
      <w:szCs w:val="22"/>
      <w:u w:val="none"/>
    </w:rPr>
  </w:style>
  <w:style w:type="character" w:styleId="1254" w:customStyle="1">
    <w:name w:val="font112"/>
    <w:basedOn w:val="955"/>
    <w:uiPriority w:val="0"/>
    <w:qFormat/>
    <w:rPr>
      <w:rFonts w:hint="eastAsia" w:ascii="宋体" w:hAnsi="宋体" w:eastAsia="宋体" w:cs="宋体"/>
      <w:color w:val="000000"/>
      <w:sz w:val="20"/>
      <w:szCs w:val="20"/>
      <w:u w:val="none"/>
    </w:rPr>
  </w:style>
  <w:style w:type="character" w:styleId="1255" w:customStyle="1">
    <w:name w:val="font21"/>
    <w:basedOn w:val="955"/>
    <w:uiPriority w:val="0"/>
    <w:qFormat/>
    <w:rPr>
      <w:rFonts w:hint="eastAsia" w:ascii="宋体" w:hAnsi="宋体" w:eastAsia="宋体" w:cs="宋体"/>
      <w:b/>
      <w:bCs/>
      <w:color w:val="000000"/>
      <w:sz w:val="16"/>
      <w:szCs w:val="16"/>
      <w:u w:val="none"/>
    </w:rPr>
  </w:style>
  <w:style w:type="paragraph" w:styleId="1256" w:customStyle="1">
    <w:name w:val="Table Text"/>
    <w:basedOn w:val="945"/>
    <w:uiPriority w:val="0"/>
    <w:semiHidden/>
    <w:qFormat/>
    <w:rPr>
      <w:rFonts w:ascii="宋体" w:hAnsi="宋体" w:eastAsia="宋体" w:cs="宋体"/>
      <w:sz w:val="20"/>
      <w:szCs w:val="20"/>
      <w:lang w:val="en-US" w:eastAsia="en-US" w:bidi="ar-SA"/>
    </w:rPr>
  </w:style>
  <w:style w:type="character" w:styleId="1257" w:customStyle="1">
    <w:name w:val="font11"/>
    <w:basedOn w:val="955"/>
    <w:uiPriority w:val="0"/>
    <w:qFormat/>
    <w:rPr>
      <w:rFonts w:hint="default" w:ascii="Times New Roman" w:hAnsi="Times New Roman" w:cs="Times New Roman"/>
      <w:b/>
      <w:bCs/>
      <w:color w:val="ff0000"/>
      <w:sz w:val="20"/>
      <w:szCs w:val="20"/>
      <w:u w:val="none"/>
    </w:rPr>
  </w:style>
  <w:style w:type="character" w:styleId="1258" w:customStyle="1">
    <w:name w:val="not([class*=suffix])"/>
    <w:basedOn w:val="955"/>
    <w:uiPriority w:val="0"/>
    <w:qFormat/>
    <w:rPr>
      <w:sz w:val="19"/>
      <w:szCs w:val="19"/>
    </w:rPr>
  </w:style>
  <w:style w:type="character" w:styleId="1259" w:customStyle="1">
    <w:name w:val="not([class*=suffix])1"/>
    <w:basedOn w:val="955"/>
    <w:uiPriority w:val="0"/>
    <w:qFormat/>
  </w:style>
  <w:style w:type="numbering" w:styleId="1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赵慧</cp:lastModifiedBy>
  <cp:revision>58</cp:revision>
  <dcterms:created xsi:type="dcterms:W3CDTF">2023-11-01T07:23:00Z</dcterms:created>
  <dcterms:modified xsi:type="dcterms:W3CDTF">2026-04-20T09:54:45Z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E2CF6C69E3DD43748DB94BFAE167C3EC_13</vt:lpwstr>
  </property>
  <property fmtid="{D5CDD505-2E9C-101B-9397-08002B2CF9AE}" pid="4" name="KSOTemplateDocerSaveRecord">
    <vt:lpwstr>eyJoZGlkIjoiMzYwM2E0OTM1MTNmYjdhZDYzZTk0ZmY4ODg5YjlmZWEiLCJ1c2VySWQiOiI0MzkyODMxNDkifQ==</vt:lpwstr>
  </property>
</Properties>
</file>