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cs="宋体"/>
          <w:b/>
          <w:bCs/>
          <w:sz w:val="40"/>
          <w:szCs w:val="40"/>
        </w:rPr>
      </w:pPr>
      <w:r>
        <w:rPr>
          <w:rFonts w:hint="eastAsia" w:ascii="宋体" w:hAnsi="宋体" w:cs="宋体"/>
          <w:b/>
          <w:bCs/>
          <w:sz w:val="40"/>
          <w:szCs w:val="40"/>
        </w:rPr>
      </w:r>
      <w:r/>
    </w:p>
    <w:p>
      <w:pPr>
        <w:jc w:val="center"/>
        <w:spacing w:before="120" w:after="120" w:line="360" w:lineRule="auto"/>
        <w:rPr>
          <w:rFonts w:hint="eastAsia" w:ascii="宋体" w:hAnsi="宋体" w:cs="宋体"/>
          <w:b/>
          <w:bCs/>
          <w:sz w:val="52"/>
          <w:szCs w:val="52"/>
        </w:rPr>
      </w:pPr>
      <w:r>
        <w:rPr>
          <w:rFonts w:hint="eastAsia" w:ascii="宋体" w:hAnsi="宋体" w:cs="宋体"/>
          <w:b/>
          <w:bCs/>
          <w:sz w:val="52"/>
          <w:szCs w:val="52"/>
        </w:rPr>
        <w:t xml:space="preserve">竞争性磋商文件</w:t>
      </w:r>
      <w:r/>
    </w:p>
    <w:p>
      <w:pPr>
        <w:pStyle w:val="1022"/>
        <w:ind w:firstLine="0"/>
        <w:jc w:val="center"/>
        <w:rPr>
          <w:rFonts w:hint="eastAsia" w:ascii="宋体" w:hAnsi="宋体" w:cs="宋体"/>
          <w:b/>
          <w:bCs/>
          <w:color w:val="000000"/>
          <w:sz w:val="40"/>
          <w:szCs w:val="40"/>
        </w:rPr>
      </w:pPr>
      <w:r>
        <w:rPr>
          <w:rFonts w:hint="eastAsia" w:ascii="宋体" w:hAnsi="宋体" w:cs="宋体"/>
          <w:b/>
          <w:bCs/>
          <w:color w:val="000000"/>
          <w:sz w:val="40"/>
          <w:szCs w:val="40"/>
        </w:rPr>
      </w:r>
      <w:r/>
    </w:p>
    <w:p>
      <w:pPr>
        <w:pStyle w:val="1022"/>
        <w:ind w:firstLine="0"/>
        <w:jc w:val="center"/>
        <w:rPr>
          <w:rFonts w:hint="eastAsia" w:ascii="宋体" w:hAnsi="宋体" w:cs="宋体"/>
          <w:b/>
          <w:bCs/>
          <w:color w:val="000000"/>
          <w:sz w:val="40"/>
          <w:szCs w:val="40"/>
        </w:rPr>
      </w:pPr>
      <w:r>
        <w:rPr>
          <w:rFonts w:hint="eastAsia" w:ascii="宋体" w:hAnsi="宋体" w:cs="宋体"/>
          <w:b/>
          <w:bCs/>
          <w:color w:val="000000"/>
          <w:sz w:val="40"/>
          <w:szCs w:val="40"/>
        </w:rPr>
      </w:r>
      <w:r/>
    </w:p>
    <w:p>
      <w:pPr>
        <w:pStyle w:val="1022"/>
        <w:ind w:firstLine="0"/>
        <w:jc w:val="center"/>
        <w:rPr>
          <w:rFonts w:hint="eastAsia" w:ascii="宋体" w:hAnsi="宋体" w:cs="宋体"/>
          <w:b/>
          <w:bCs/>
          <w:color w:val="000000"/>
          <w:sz w:val="40"/>
          <w:szCs w:val="40"/>
        </w:rPr>
      </w:pPr>
      <w:r>
        <w:rPr>
          <w:rFonts w:hint="eastAsia" w:ascii="宋体" w:hAnsi="宋体" w:cs="宋体"/>
          <w:b/>
          <w:bCs/>
          <w:color w:val="000000"/>
          <w:sz w:val="40"/>
          <w:szCs w:val="40"/>
        </w:rPr>
      </w:r>
      <w:r/>
    </w:p>
    <w:p>
      <w:pPr>
        <w:ind w:firstLine="1205"/>
        <w:jc w:val="left"/>
        <w:spacing w:before="120" w:after="120" w:line="360" w:lineRule="auto"/>
        <w:rPr>
          <w:rFonts w:hint="eastAsia" w:ascii="宋体" w:hAnsi="宋体" w:cs="宋体"/>
          <w:b/>
          <w:bCs/>
          <w:sz w:val="40"/>
          <w:szCs w:val="40"/>
          <w:u w:val="single"/>
        </w:rPr>
      </w:pPr>
      <w:r>
        <w:rPr>
          <w:rFonts w:hint="eastAsia" w:ascii="宋体" w:hAnsi="宋体" w:cs="宋体"/>
          <w:b/>
          <w:bCs/>
          <w:sz w:val="40"/>
          <w:szCs w:val="40"/>
        </w:rPr>
        <w:t xml:space="preserve">项目名称：2026年汤泉街道办事处物业服务</w:t>
      </w:r>
      <w:r/>
    </w:p>
    <w:p>
      <w:pPr>
        <w:ind w:firstLine="1205"/>
        <w:jc w:val="both"/>
        <w:spacing w:line="360" w:lineRule="auto"/>
        <w:rPr>
          <w:rFonts w:hint="eastAsia" w:ascii="宋体" w:hAnsi="宋体" w:cs="宋体"/>
          <w:b/>
          <w:bCs/>
          <w:sz w:val="40"/>
          <w:szCs w:val="40"/>
        </w:rPr>
      </w:pPr>
      <w:r>
        <w:rPr>
          <w:rFonts w:hint="eastAsia" w:ascii="宋体" w:hAnsi="宋体" w:cs="宋体"/>
          <w:b/>
          <w:bCs/>
          <w:sz w:val="40"/>
          <w:szCs w:val="40"/>
        </w:rPr>
        <w:t xml:space="preserve">项目编号：JSZC-320111-JZCG-C2026-0025 </w:t>
      </w:r>
      <w:r/>
    </w:p>
    <w:p>
      <w:pPr>
        <w:jc w:val="center"/>
        <w:spacing w:line="360" w:lineRule="auto"/>
        <w:rPr>
          <w:rFonts w:hint="eastAsia" w:ascii="宋体" w:hAnsi="宋体" w:cs="宋体"/>
          <w:b/>
          <w:color w:val="000000"/>
          <w:sz w:val="40"/>
          <w:szCs w:val="40"/>
        </w:rPr>
      </w:pPr>
      <w:r>
        <w:rPr>
          <w:rFonts w:hint="eastAsia" w:ascii="宋体" w:hAnsi="宋体" w:cs="宋体"/>
          <w:b/>
          <w:color w:val="000000"/>
          <w:sz w:val="40"/>
          <w:szCs w:val="40"/>
        </w:rPr>
        <w:t xml:space="preserve">（专门面向中小企业）</w:t>
      </w:r>
      <w:r/>
    </w:p>
    <w:p>
      <w:pPr>
        <w:jc w:val="left"/>
        <w:spacing w:line="360" w:lineRule="auto"/>
        <w:rPr>
          <w:rFonts w:hint="eastAsia" w:ascii="宋体" w:hAnsi="宋体" w:cs="宋体"/>
          <w:sz w:val="40"/>
          <w:szCs w:val="40"/>
        </w:rPr>
      </w:pPr>
      <w:r>
        <w:rPr>
          <w:rFonts w:hint="eastAsia" w:ascii="宋体" w:hAnsi="宋体" w:cs="宋体"/>
          <w:sz w:val="40"/>
          <w:szCs w:val="40"/>
        </w:rPr>
      </w:r>
      <w:r/>
    </w:p>
    <w:p>
      <w:pPr>
        <w:jc w:val="left"/>
        <w:spacing w:line="360" w:lineRule="auto"/>
        <w:rPr>
          <w:rFonts w:hint="eastAsia" w:ascii="宋体" w:hAnsi="宋体" w:cs="宋体"/>
          <w:sz w:val="40"/>
          <w:szCs w:val="40"/>
        </w:rPr>
      </w:pPr>
      <w:r>
        <w:rPr>
          <w:rFonts w:hint="eastAsia" w:ascii="宋体" w:hAnsi="宋体" w:cs="宋体"/>
          <w:sz w:val="40"/>
          <w:szCs w:val="40"/>
        </w:rPr>
      </w:r>
      <w:r/>
    </w:p>
    <w:p>
      <w:pPr>
        <w:jc w:val="left"/>
        <w:spacing w:line="360" w:lineRule="auto"/>
        <w:rPr>
          <w:rFonts w:hint="eastAsia" w:ascii="宋体" w:hAnsi="宋体" w:cs="宋体"/>
          <w:sz w:val="40"/>
          <w:szCs w:val="40"/>
        </w:rPr>
      </w:pPr>
      <w:r>
        <w:rPr>
          <w:rFonts w:hint="eastAsia" w:ascii="宋体" w:hAnsi="宋体" w:cs="宋体"/>
          <w:sz w:val="40"/>
          <w:szCs w:val="40"/>
        </w:rPr>
      </w:r>
      <w:r/>
    </w:p>
    <w:p>
      <w:pPr>
        <w:jc w:val="left"/>
        <w:spacing w:line="360" w:lineRule="auto"/>
        <w:rPr>
          <w:rFonts w:hint="eastAsia" w:ascii="宋体" w:hAnsi="宋体" w:cs="宋体"/>
          <w:sz w:val="40"/>
          <w:szCs w:val="40"/>
        </w:rPr>
      </w:pPr>
      <w:r>
        <w:rPr>
          <w:rFonts w:hint="eastAsia" w:ascii="宋体" w:hAnsi="宋体" w:cs="宋体"/>
          <w:sz w:val="40"/>
          <w:szCs w:val="40"/>
        </w:rPr>
      </w:r>
      <w:r/>
    </w:p>
    <w:p>
      <w:pPr>
        <w:pStyle w:val="1022"/>
        <w:ind w:firstLine="0"/>
        <w:jc w:val="center"/>
        <w:rPr>
          <w:rFonts w:hint="eastAsia" w:ascii="宋体" w:hAnsi="宋体" w:cs="宋体"/>
          <w:b/>
          <w:bCs/>
          <w:sz w:val="40"/>
          <w:szCs w:val="40"/>
        </w:rPr>
      </w:pPr>
      <w:r>
        <w:rPr>
          <w:rFonts w:hint="eastAsia" w:ascii="宋体" w:hAnsi="宋体" w:cs="宋体"/>
          <w:b/>
          <w:bCs/>
          <w:sz w:val="40"/>
          <w:szCs w:val="40"/>
        </w:rPr>
        <w:t xml:space="preserve">南京市公共资源交易中心浦口分中心</w:t>
      </w:r>
      <w:r/>
    </w:p>
    <w:p>
      <w:pPr>
        <w:pStyle w:val="1022"/>
        <w:ind w:firstLine="0"/>
        <w:jc w:val="center"/>
        <w:rPr>
          <w:rFonts w:hint="eastAsia" w:ascii="宋体" w:hAnsi="宋体" w:cs="宋体"/>
          <w:b/>
          <w:bCs/>
          <w:color w:val="000000"/>
          <w:sz w:val="40"/>
          <w:szCs w:val="40"/>
        </w:rPr>
      </w:pPr>
      <w:r>
        <w:rPr>
          <w:rFonts w:hint="eastAsia" w:ascii="宋体" w:hAnsi="宋体" w:cs="宋体"/>
          <w:b/>
          <w:bCs/>
          <w:color w:val="000000"/>
          <w:sz w:val="40"/>
          <w:szCs w:val="40"/>
          <w:u w:val="none"/>
        </w:rPr>
        <w:t xml:space="preserve">202</w:t>
      </w:r>
      <w:r>
        <w:rPr>
          <w:rFonts w:hint="eastAsia" w:ascii="宋体" w:hAnsi="宋体" w:cs="宋体"/>
          <w:b/>
          <w:bCs/>
          <w:color w:val="000000"/>
          <w:sz w:val="40"/>
          <w:szCs w:val="40"/>
          <w:u w:val="none"/>
          <w:lang w:val="en-US" w:eastAsia="zh-CN"/>
        </w:rPr>
        <w:t xml:space="preserve">6</w:t>
      </w:r>
      <w:r>
        <w:rPr>
          <w:rFonts w:hint="eastAsia" w:ascii="宋体" w:hAnsi="宋体" w:cs="宋体"/>
          <w:b/>
          <w:bCs/>
          <w:color w:val="000000"/>
          <w:sz w:val="40"/>
          <w:szCs w:val="40"/>
        </w:rPr>
        <w:t xml:space="preserve">年</w:t>
      </w:r>
      <w:r>
        <w:rPr>
          <w:rFonts w:hint="eastAsia" w:ascii="宋体" w:hAnsi="宋体" w:cs="宋体"/>
          <w:b/>
          <w:bCs/>
          <w:color w:val="000000"/>
          <w:sz w:val="40"/>
          <w:szCs w:val="40"/>
          <w:lang w:val="en-US" w:eastAsia="zh-CN"/>
        </w:rPr>
        <w:t xml:space="preserve">5</w:t>
      </w:r>
      <w:r>
        <w:rPr>
          <w:rFonts w:hint="eastAsia" w:ascii="宋体" w:hAnsi="宋体" w:cs="宋体"/>
          <w:b/>
          <w:bCs/>
          <w:color w:val="000000"/>
          <w:sz w:val="40"/>
          <w:szCs w:val="40"/>
        </w:rPr>
        <w:t xml:space="preserve">月</w:t>
      </w:r>
      <w:r/>
    </w:p>
    <w:p>
      <w:pPr>
        <w:jc w:val="left"/>
        <w:spacing w:before="120" w:after="120" w:line="360" w:lineRule="auto"/>
        <w:rPr>
          <w:rFonts w:hint="eastAsia" w:ascii="宋体" w:hAnsi="宋体" w:cs="宋体"/>
          <w:sz w:val="24"/>
          <w:szCs w:val="24"/>
          <w:u w:val="single"/>
        </w:rPr>
      </w:pPr>
      <w:r>
        <w:rPr>
          <w:rFonts w:hint="eastAsia" w:ascii="宋体" w:hAnsi="宋体" w:cs="宋体"/>
          <w:sz w:val="24"/>
          <w:szCs w:val="24"/>
          <w:u w:val="single"/>
        </w:rPr>
      </w:r>
      <w:r/>
    </w:p>
    <w:p>
      <w:pPr>
        <w:jc w:val="center"/>
        <w:spacing w:before="120" w:after="120"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b/>
          <w:sz w:val="24"/>
          <w:szCs w:val="24"/>
        </w:rPr>
        <w:outlineLvl w:val="0"/>
      </w:pPr>
      <w:r>
        <w:rPr>
          <w:rFonts w:hint="eastAsia" w:ascii="宋体" w:hAnsi="宋体" w:cs="宋体"/>
          <w:sz w:val="24"/>
          <w:szCs w:val="24"/>
        </w:rPr>
        <w:br w:type="page" w:clear="all"/>
      </w:r>
      <w:bookmarkStart w:id="0" w:name="_Toc120614210"/>
      <w:r/>
      <w:bookmarkStart w:id="1" w:name="_Toc20823272"/>
      <w:r/>
      <w:bookmarkStart w:id="2" w:name="_Toc513029200"/>
      <w:r/>
      <w:bookmarkStart w:id="3" w:name="_Toc16938516"/>
      <w:r/>
      <w:bookmarkStart w:id="4" w:name="_Toc479757206"/>
      <w:r/>
      <w:bookmarkStart w:id="5" w:name="_Toc523127445"/>
      <w:r/>
      <w:r/>
    </w:p>
    <w:p>
      <w:pPr>
        <w:pStyle w:val="742"/>
        <w:jc w:val="center"/>
      </w:pPr>
      <w:r>
        <w:rPr>
          <w:rFonts w:hint="eastAsia"/>
        </w:rPr>
        <w:t xml:space="preserve">第一章</w:t>
      </w:r>
      <w:bookmarkEnd w:id="0"/>
      <w:r>
        <w:rPr>
          <w:rFonts w:hint="eastAsia"/>
        </w:rPr>
        <w:t xml:space="preserve">磋商邀请</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受南京市浦口区人民政府汤泉街道办事处委托，南京市公共资源交易中心浦口分中心就2026年汤泉街道办事处物业服务进行竞争性磋商采购，欢迎符合条件的供应商参加磋商。</w:t>
      </w:r>
      <w:r/>
    </w:p>
    <w:p>
      <w:pPr>
        <w:pStyle w:val="942"/>
        <w:ind w:firstLine="465"/>
        <w:spacing w:before="145" w:after="145" w:line="360" w:lineRule="auto"/>
        <w:rPr>
          <w:rFonts w:hint="eastAsia" w:ascii="宋体" w:hAnsi="宋体" w:cs="宋体"/>
          <w:b w:val="0"/>
          <w:bCs w:val="0"/>
          <w:color w:val="000000"/>
          <w:sz w:val="24"/>
          <w:szCs w:val="24"/>
        </w:rPr>
      </w:pPr>
      <w:r/>
      <w:bookmarkStart w:id="6" w:name="_Toc38985263"/>
      <w:r/>
      <w:bookmarkStart w:id="7" w:name="_Toc28359079"/>
      <w:r/>
      <w:bookmarkStart w:id="8" w:name="_Toc28359002"/>
      <w:r/>
      <w:bookmarkStart w:id="9" w:name="_Toc35393790"/>
      <w:r/>
      <w:bookmarkStart w:id="10" w:name="_Toc35393621"/>
      <w:r/>
      <w:bookmarkStart w:id="11" w:name="_Hlk24379207"/>
      <w:r>
        <w:rPr>
          <w:rFonts w:hint="eastAsia" w:ascii="宋体" w:hAnsi="宋体" w:cs="宋体"/>
          <w:b w:val="0"/>
          <w:bCs w:val="0"/>
          <w:color w:val="000000"/>
          <w:sz w:val="24"/>
          <w:szCs w:val="24"/>
        </w:rPr>
        <w:t xml:space="preserve">一、项目基本情况</w:t>
      </w:r>
      <w:bookmarkEnd w:id="6"/>
      <w:r/>
      <w:bookmarkEnd w:id="7"/>
      <w:r/>
      <w:bookmarkEnd w:id="8"/>
      <w:r/>
      <w:bookmarkEnd w:id="9"/>
      <w:r/>
      <w:bookmarkEnd w:id="10"/>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1.项目编号：JSZC-320111-JZCG-C2026-0025</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2.项目名称：</w:t>
      </w:r>
      <w:bookmarkEnd w:id="11"/>
      <w:r>
        <w:rPr>
          <w:rFonts w:hint="eastAsia" w:ascii="宋体" w:hAnsi="宋体" w:cs="宋体"/>
          <w:color w:val="000000" w:themeColor="text1"/>
          <w:sz w:val="24"/>
          <w:szCs w:val="24"/>
          <w:highlight w:val="none"/>
          <w14:textFill>
            <w14:solidFill>
              <w14:schemeClr w14:val="tx1"/>
            </w14:solidFill>
          </w14:textFill>
        </w:rPr>
        <w:t xml:space="preserve">2026年汤泉街道办事处物业服务</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3.预算金额：163万元 </w:t>
      </w:r>
      <w:bookmarkStart w:id="186" w:name="_GoBack"/>
      <w:r/>
      <w:bookmarkEnd w:id="186"/>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bookmarkStart w:id="12" w:name="_Toc38985264"/>
      <w:r/>
      <w:bookmarkStart w:id="13" w:name="_Toc35393622"/>
      <w:r/>
      <w:bookmarkStart w:id="14" w:name="_Toc28359003"/>
      <w:r/>
      <w:bookmarkStart w:id="15" w:name="_Toc28359080"/>
      <w:r/>
      <w:bookmarkStart w:id="16" w:name="_Toc35393791"/>
      <w:r>
        <w:rPr>
          <w:rFonts w:hint="eastAsia" w:ascii="宋体" w:hAnsi="宋体" w:cs="宋体"/>
          <w:color w:val="000000" w:themeColor="text1"/>
          <w:sz w:val="24"/>
          <w:szCs w:val="24"/>
          <w:highlight w:val="none"/>
          <w14:textFill>
            <w14:solidFill>
              <w14:schemeClr w14:val="tx1"/>
            </w14:solidFill>
          </w14:textFill>
        </w:rPr>
        <w:t xml:space="preserve">4.本项目最高限价151.3万元，报价超过最高限价的为无效报价，按照无效响应处理。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5.采购需求（简介）：2026年汤泉街道办事处物业服务</w:t>
      </w:r>
      <w:r>
        <w:rPr>
          <w:rFonts w:hint="eastAsia" w:ascii="宋体" w:hAnsi="宋体" w:eastAsia="宋体" w:cs="宋体"/>
          <w:color w:val="000000" w:themeColor="text1"/>
          <w:sz w:val="24"/>
          <w:szCs w:val="24"/>
          <w:highlight w:val="none"/>
          <w14:textFill>
            <w14:solidFill>
              <w14:schemeClr w14:val="tx1"/>
            </w14:solidFill>
          </w14:textFill>
        </w:rPr>
        <w:t xml:space="preserve">包括保洁服务、安保服务、工程维修服务等</w:t>
      </w:r>
      <w:r>
        <w:rPr>
          <w:rFonts w:hint="eastAsia" w:ascii="宋体" w:hAnsi="宋体" w:cs="宋体"/>
          <w:color w:val="000000" w:themeColor="text1"/>
          <w:sz w:val="24"/>
          <w:szCs w:val="24"/>
          <w:highlight w:val="none"/>
          <w14:textFill>
            <w14:solidFill>
              <w14:schemeClr w14:val="tx1"/>
            </w14:solidFill>
          </w14:textFill>
        </w:rPr>
        <w:t xml:space="preserve">（详细内容见本磋商文件第四章）</w:t>
      </w:r>
      <w:r/>
    </w:p>
    <w:p>
      <w:pPr>
        <w:ind w:firstLine="480"/>
        <w:spacing w:line="360" w:lineRule="auto"/>
        <w:rPr>
          <w:rFonts w:hint="default" w:ascii="宋体" w:hAnsi="宋体" w:eastAsia="宋体" w:cs="宋体"/>
          <w:color w:val="000000"/>
          <w:sz w:val="24"/>
          <w:szCs w:val="24"/>
          <w:highlight w:val="green"/>
          <w:lang w:val="en-US" w:eastAsia="zh-CN"/>
        </w:rPr>
      </w:pPr>
      <w:r>
        <w:rPr>
          <w:rFonts w:hint="eastAsia" w:ascii="宋体" w:hAnsi="宋体" w:cs="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2026年6月1日-20</w:t>
      </w:r>
      <w:r>
        <w:rPr>
          <w:rFonts w:hint="eastAsia" w:ascii="宋体" w:hAnsi="宋体" w:cs="宋体"/>
          <w:color w:val="000000"/>
          <w:sz w:val="24"/>
          <w:szCs w:val="24"/>
          <w:lang w:val="en-US" w:eastAsia="zh-CN"/>
        </w:rPr>
        <w:t xml:space="preserve">27年5月31日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7.本项目不接受联合体参与磋商。</w:t>
      </w:r>
      <w:r/>
    </w:p>
    <w:p>
      <w:pPr>
        <w:pStyle w:val="942"/>
        <w:ind w:firstLine="465"/>
        <w:spacing w:before="145" w:after="145"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二、申请人的资格要求</w:t>
      </w:r>
      <w:bookmarkEnd w:id="12"/>
      <w:r/>
      <w:bookmarkEnd w:id="13"/>
      <w:r/>
      <w:bookmarkEnd w:id="14"/>
      <w:r/>
      <w:bookmarkEnd w:id="15"/>
      <w:r/>
      <w:bookmarkEnd w:id="16"/>
      <w:r/>
      <w:r/>
    </w:p>
    <w:p>
      <w:pPr>
        <w:ind w:firstLine="480"/>
        <w:spacing w:line="360" w:lineRule="auto"/>
        <w:rPr>
          <w:rFonts w:hint="eastAsia" w:ascii="宋体" w:hAnsi="宋体" w:cs="宋体"/>
          <w:color w:val="000000"/>
          <w:sz w:val="24"/>
          <w:szCs w:val="24"/>
        </w:rPr>
      </w:pPr>
      <w:r/>
      <w:bookmarkStart w:id="17" w:name="_Toc35393623"/>
      <w:r/>
      <w:bookmarkStart w:id="18" w:name="_Toc28359004"/>
      <w:r/>
      <w:bookmarkStart w:id="19" w:name="_Toc38985265"/>
      <w:r/>
      <w:bookmarkStart w:id="20" w:name="_Toc28359081"/>
      <w:r/>
      <w:bookmarkStart w:id="21" w:name="_Toc35393792"/>
      <w:r>
        <w:rPr>
          <w:rFonts w:hint="eastAsia" w:ascii="宋体" w:hAnsi="宋体" w:cs="宋体"/>
          <w:color w:val="000000"/>
          <w:sz w:val="24"/>
          <w:szCs w:val="24"/>
        </w:rPr>
        <w:t xml:space="preserve">（一）通用资格要求</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1.满足《中华人民共和国政府采购法》第二十二条规定，并提供下列材料：</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1.1</w:t>
      </w:r>
      <w:r>
        <w:rPr>
          <w:rFonts w:hint="eastAsia" w:ascii="宋体" w:hAnsi="宋体" w:cs="宋体"/>
          <w:color w:val="000000"/>
          <w:sz w:val="24"/>
          <w:szCs w:val="24"/>
          <w:lang w:val="zh-CN"/>
        </w:rPr>
        <w:t xml:space="preserve">供应商信用承诺函（</w:t>
      </w:r>
      <w:r>
        <w:rPr>
          <w:rFonts w:hint="eastAsia" w:ascii="宋体" w:hAnsi="宋体" w:cs="宋体"/>
          <w:sz w:val="24"/>
          <w:szCs w:val="24"/>
          <w:lang w:val="zh-CN"/>
        </w:rPr>
        <w:t xml:space="preserve">格式见第六章</w:t>
      </w:r>
      <w:r>
        <w:rPr>
          <w:rFonts w:hint="eastAsia" w:ascii="宋体" w:hAnsi="宋体" w:cs="宋体"/>
          <w:color w:val="000000"/>
          <w:sz w:val="24"/>
          <w:szCs w:val="24"/>
          <w:lang w:val="zh-CN"/>
        </w:rPr>
        <w:t xml:space="preserve">）。</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2.落实政府采购政策需满足的资格要求：</w:t>
      </w:r>
      <w:r/>
    </w:p>
    <w:p>
      <w:pPr>
        <w:ind w:firstLine="480"/>
        <w:spacing w:line="360" w:lineRule="auto"/>
        <w:rPr>
          <w:rFonts w:hint="eastAsia" w:ascii="宋体" w:hAnsi="宋体" w:cs="宋体"/>
          <w:sz w:val="24"/>
          <w:szCs w:val="24"/>
        </w:rPr>
      </w:pPr>
      <w:r>
        <w:rPr>
          <w:rFonts w:hint="eastAsia" w:ascii="宋体" w:hAnsi="宋体" w:cs="宋体"/>
          <w:b/>
          <w:bCs/>
          <w:sz w:val="24"/>
          <w:szCs w:val="24"/>
        </w:rPr>
        <w:t xml:space="preserve">本项目专门面向中小企业采购，不执行价格扣除优惠政策，供应商应为中小微企业、监狱企业、残疾人福利性单位,</w:t>
      </w:r>
      <w:r>
        <w:rPr>
          <w:rFonts w:hint="eastAsia" w:ascii="宋体" w:hAnsi="宋体" w:cs="宋体"/>
          <w:sz w:val="24"/>
          <w:szCs w:val="24"/>
        </w:rPr>
        <w:t xml:space="preserve">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本项目采购标的对应的中小企业划分标准所属行业为：</w:t>
      </w:r>
      <w:r>
        <w:rPr>
          <w:rFonts w:hint="eastAsia" w:ascii="宋体" w:hAnsi="宋体" w:cs="宋体"/>
          <w:color w:val="000000"/>
          <w:sz w:val="24"/>
          <w:szCs w:val="24"/>
          <w:u w:val="single"/>
        </w:rPr>
        <w:t xml:space="preserve">物业管理</w:t>
      </w:r>
      <w:r>
        <w:rPr>
          <w:rFonts w:hint="eastAsia" w:ascii="宋体" w:hAnsi="宋体" w:cs="宋体"/>
          <w:color w:val="000000"/>
          <w:sz w:val="24"/>
          <w:szCs w:val="24"/>
        </w:rPr>
        <w:t xml:space="preserve">。</w:t>
      </w:r>
      <w:r>
        <w:rPr>
          <w:rFonts w:hint="eastAsia" w:ascii="宋体" w:hAnsi="宋体" w:cs="宋体"/>
          <w:sz w:val="24"/>
          <w:szCs w:val="24"/>
        </w:rPr>
        <w:t xml:space="preserve">根据《中小企业划型标准规定》工信部联企业[2011]300号规定，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hint="eastAsia" w:ascii="宋体" w:hAnsi="宋体" w:eastAsia="宋体" w:cs="宋体"/>
          <w:color w:val="ee0000"/>
          <w:sz w:val="24"/>
          <w:szCs w:val="24"/>
          <w:lang w:eastAsia="zh-CN"/>
        </w:rPr>
      </w:pPr>
      <w:r>
        <w:rPr>
          <w:rFonts w:hint="eastAsia" w:ascii="宋体" w:hAnsi="宋体" w:cs="宋体"/>
          <w:color w:val="000000"/>
          <w:sz w:val="24"/>
          <w:szCs w:val="24"/>
        </w:rPr>
        <w:t xml:space="preserve">（二）本项目的特定资格要求</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无</w:t>
      </w:r>
      <w:r>
        <w:rPr>
          <w:rFonts w:hint="eastAsia" w:ascii="宋体" w:hAnsi="宋体" w:cs="宋体"/>
          <w:color w:val="000000"/>
          <w:sz w:val="24"/>
          <w:szCs w:val="24"/>
          <w:lang w:eastAsia="zh-CN"/>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（三）拒绝下述供应商参加本次采购活动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2.为采购项目提供整体设计、规范编制或者项目管理、监理、检测等服务的供应商，不得参加本项目的采购活动。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供应商被“信用中国”网站（www.creditchina.gov.cn）、“中国政府采购网”(www.ccgp.gov.cn)列入失信被执行人、重大税收违法案件当事人名单、政府采购严重违法失信行为记录名单。（上传本单位在信用中国网站最新截屏）</w:t>
      </w:r>
      <w:r/>
    </w:p>
    <w:p>
      <w:pPr>
        <w:ind w:firstLine="480"/>
        <w:spacing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三、获取</w:t>
      </w:r>
      <w:bookmarkEnd w:id="17"/>
      <w:r/>
      <w:bookmarkEnd w:id="18"/>
      <w:r/>
      <w:bookmarkEnd w:id="19"/>
      <w:r/>
      <w:bookmarkEnd w:id="20"/>
      <w:r/>
      <w:bookmarkEnd w:id="21"/>
      <w:r>
        <w:rPr>
          <w:rFonts w:hint="eastAsia" w:ascii="宋体" w:hAnsi="宋体" w:cs="宋体"/>
          <w:b w:val="0"/>
          <w:bCs w:val="0"/>
          <w:color w:val="000000"/>
          <w:sz w:val="24"/>
          <w:szCs w:val="24"/>
        </w:rPr>
        <w:t xml:space="preserve">磋商文件</w:t>
      </w:r>
      <w:bookmarkStart w:id="22" w:name="_Toc35393624"/>
      <w:r/>
      <w:bookmarkStart w:id="23" w:name="_Toc35393793"/>
      <w:r/>
      <w:bookmarkStart w:id="24" w:name="_Toc38985266"/>
      <w:r/>
      <w:bookmarkStart w:id="25" w:name="_Toc28359005"/>
      <w:r/>
      <w:bookmarkStart w:id="26" w:name="_Toc28359082"/>
      <w:r/>
      <w:r/>
    </w:p>
    <w:p>
      <w:pPr>
        <w:ind w:firstLine="480"/>
        <w:spacing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时间：自采购文件公告发布之日起5个工作日</w:t>
      </w:r>
      <w:r/>
    </w:p>
    <w:p>
      <w:pPr>
        <w:ind w:firstLine="480"/>
        <w:spacing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地点：江苏政府采购网 </w:t>
      </w:r>
      <w:r/>
    </w:p>
    <w:p>
      <w:pPr>
        <w:ind w:firstLine="480"/>
        <w:spacing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方式：网站下载 </w:t>
      </w:r>
      <w:r/>
    </w:p>
    <w:p>
      <w:pPr>
        <w:ind w:firstLine="480"/>
        <w:spacing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售价：0.00元 </w:t>
      </w:r>
      <w:r/>
    </w:p>
    <w:p>
      <w:pPr>
        <w:numPr>
          <w:ilvl w:val="0"/>
          <w:numId w:val="0"/>
        </w:numPr>
        <w:ind w:firstLine="480"/>
        <w:spacing w:line="360" w:lineRule="auto"/>
        <w:rPr>
          <w:rFonts w:hint="eastAsia" w:ascii="宋体" w:hAnsi="宋体" w:cs="宋体"/>
          <w:b w:val="0"/>
          <w:bCs w:val="0"/>
          <w:color w:val="000000"/>
          <w:sz w:val="24"/>
          <w:szCs w:val="24"/>
        </w:rPr>
      </w:pPr>
      <w:r>
        <w:rPr>
          <w:rFonts w:hint="eastAsia" w:ascii="宋体" w:hAnsi="宋体" w:eastAsia="宋体" w:cs="宋体"/>
          <w:b w:val="0"/>
          <w:bCs w:val="0"/>
          <w:color w:val="000000"/>
          <w:sz w:val="24"/>
          <w:szCs w:val="24"/>
          <w:lang w:val="en-US" w:eastAsia="zh-CN" w:bidi="ar-SA"/>
        </w:rPr>
        <w:t xml:space="preserve">四、</w:t>
      </w:r>
      <w:r>
        <w:rPr>
          <w:rFonts w:hint="eastAsia" w:ascii="宋体" w:hAnsi="宋体" w:cs="宋体"/>
          <w:b w:val="0"/>
          <w:bCs w:val="0"/>
          <w:color w:val="000000"/>
          <w:sz w:val="24"/>
          <w:szCs w:val="24"/>
        </w:rPr>
        <w:t xml:space="preserve">提交响应文件截止时间</w:t>
      </w:r>
      <w:bookmarkStart w:id="27" w:name="_Toc28359007"/>
      <w:r/>
      <w:bookmarkStart w:id="28" w:name="_Toc35393794"/>
      <w:r/>
      <w:bookmarkStart w:id="29" w:name="_Toc35393625"/>
      <w:r/>
      <w:bookmarkStart w:id="30" w:name="_Toc28359084"/>
      <w:r/>
      <w:bookmarkStart w:id="31" w:name="_Toc38985267"/>
      <w:r/>
      <w:r/>
    </w:p>
    <w:p>
      <w:pPr>
        <w:numPr>
          <w:ilvl w:val="0"/>
          <w:numId w:val="0"/>
        </w:numPr>
        <w:ind w:firstLine="480"/>
        <w:spacing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截止时间：</w:t>
      </w:r>
      <w:r>
        <w:rPr>
          <w:rFonts w:hint="eastAsia" w:ascii="宋体" w:hAnsi="宋体" w:cs="宋体"/>
          <w:b w:val="0"/>
          <w:bCs w:val="0"/>
          <w:color w:val="000000"/>
          <w:sz w:val="24"/>
          <w:szCs w:val="24"/>
        </w:rPr>
        <w:t xml:space="preserve">2026年05月26日 09:30</w:t>
      </w:r>
      <w:r>
        <w:rPr>
          <w:rFonts w:hint="eastAsia" w:ascii="宋体" w:hAnsi="宋体" w:cs="宋体"/>
          <w:b w:val="0"/>
          <w:bCs w:val="0"/>
          <w:color w:val="000000"/>
          <w:sz w:val="24"/>
          <w:szCs w:val="24"/>
        </w:rPr>
        <w:t xml:space="preserve">（北京时间）</w:t>
      </w:r>
      <w:r/>
    </w:p>
    <w:p>
      <w:pPr>
        <w:numPr>
          <w:ilvl w:val="0"/>
          <w:numId w:val="0"/>
        </w:numPr>
        <w:ind w:firstLine="480"/>
        <w:spacing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地点：苏采云系统 </w:t>
      </w:r>
      <w:r/>
    </w:p>
    <w:p>
      <w:pPr>
        <w:numPr>
          <w:ilvl w:val="0"/>
          <w:numId w:val="0"/>
        </w:numPr>
        <w:ind w:firstLine="480"/>
        <w:spacing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五、公告期限</w:t>
      </w:r>
      <w:bookmarkEnd w:id="27"/>
      <w:r/>
      <w:bookmarkEnd w:id="28"/>
      <w:r/>
      <w:bookmarkEnd w:id="29"/>
      <w:r/>
      <w:bookmarkEnd w:id="30"/>
      <w:r/>
      <w:bookmarkEnd w:id="31"/>
      <w:r/>
      <w:r/>
    </w:p>
    <w:p>
      <w:pPr>
        <w:pStyle w:val="942"/>
        <w:ind w:firstLine="465"/>
        <w:spacing w:before="145" w:after="145" w:line="360" w:lineRule="auto"/>
        <w:rPr>
          <w:rFonts w:hint="eastAsia" w:ascii="宋体" w:hAnsi="宋体" w:cs="宋体"/>
          <w:b w:val="0"/>
          <w:bCs w:val="0"/>
          <w:color w:val="000000"/>
          <w:sz w:val="24"/>
          <w:szCs w:val="24"/>
        </w:rPr>
      </w:pPr>
      <w:r/>
      <w:bookmarkStart w:id="32" w:name="_Toc38985268"/>
      <w:r/>
      <w:bookmarkStart w:id="33" w:name="_Toc35393795"/>
      <w:r/>
      <w:bookmarkStart w:id="34" w:name="_Toc35393626"/>
      <w:r>
        <w:rPr>
          <w:rFonts w:hint="eastAsia" w:ascii="宋体" w:hAnsi="宋体" w:cs="宋体"/>
          <w:b w:val="0"/>
          <w:bCs w:val="0"/>
          <w:color w:val="000000"/>
          <w:sz w:val="24"/>
          <w:szCs w:val="24"/>
        </w:rPr>
        <w:t xml:space="preserve">自本公告发布之日起5个工作日。</w:t>
      </w:r>
      <w:r/>
    </w:p>
    <w:p>
      <w:pPr>
        <w:pStyle w:val="942"/>
        <w:numPr>
          <w:ilvl w:val="0"/>
          <w:numId w:val="4"/>
        </w:numPr>
        <w:ind w:firstLine="465"/>
        <w:spacing w:before="145" w:after="145"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其他补充事宜</w:t>
      </w:r>
      <w:bookmarkEnd w:id="32"/>
      <w:r/>
      <w:bookmarkEnd w:id="33"/>
      <w:r/>
      <w:bookmarkEnd w:id="34"/>
      <w:r/>
      <w:bookmarkStart w:id="35" w:name="_Toc35393627"/>
      <w:r/>
      <w:bookmarkStart w:id="36" w:name="_Toc28359085"/>
      <w:r/>
      <w:bookmarkStart w:id="37" w:name="_Toc35393796"/>
      <w:r/>
      <w:bookmarkStart w:id="38" w:name="_Toc38985269"/>
      <w:r/>
      <w:bookmarkStart w:id="39" w:name="_Toc28359008"/>
      <w:r/>
      <w:r/>
    </w:p>
    <w:p>
      <w:pPr>
        <w:pStyle w:val="942"/>
        <w:numPr>
          <w:ilvl w:val="0"/>
          <w:numId w:val="0"/>
        </w:numPr>
        <w:ind w:firstLine="480"/>
        <w:spacing w:before="145" w:after="145" w:line="360" w:lineRule="auto"/>
        <w:rPr>
          <w:rFonts w:hint="eastAsia" w:ascii="宋体" w:hAnsi="宋体" w:cs="Courier New"/>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sz w:val="24"/>
          <w:szCs w:val="24"/>
          <w:highlight w:val="none"/>
        </w:rPr>
        <w:t xml:space="preserve">1.</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履约保证金</w:t>
      </w:r>
      <w:r>
        <w:rPr>
          <w:rFonts w:hint="eastAsia" w:cs="Times New Roman"/>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Courier New"/>
          <w:b w:val="0"/>
          <w:bCs w:val="0"/>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单位在</w:t>
      </w:r>
      <w:r>
        <w:rPr>
          <w:rFonts w:hint="eastAsia" w:ascii="宋体" w:hAnsi="宋体" w:cs="Courier New"/>
          <w:b w:val="0"/>
          <w:bCs w:val="0"/>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公示期满确定</w:t>
      </w:r>
      <w:r>
        <w:rPr>
          <w:rFonts w:hint="eastAsia" w:ascii="宋体" w:hAnsi="宋体" w:cs="Courier New"/>
          <w:b w:val="0"/>
          <w:bCs w:val="0"/>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资格后3个工作日内，须采用银行转账的形式向采购单位缴纳</w:t>
      </w:r>
      <w:r>
        <w:rPr>
          <w:rFonts w:hint="eastAsia" w:ascii="宋体" w:hAnsi="宋体" w:cs="Courier New"/>
          <w:b w:val="0"/>
          <w:bCs w:val="0"/>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价款</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的</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10</w:t>
      </w: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%作为本项目的履约保证金</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，项目竣工验收合格后，采购单位退还履约保证金。若</w:t>
      </w:r>
      <w:r>
        <w:rPr>
          <w:rFonts w:hint="eastAsia" w:ascii="宋体" w:hAnsi="宋体" w:cs="Courier New"/>
          <w:b w:val="0"/>
          <w:bCs w:val="0"/>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单位未按时交纳履约保证金，视为自动放弃</w:t>
      </w:r>
      <w:r>
        <w:rPr>
          <w:rFonts w:hint="eastAsia" w:ascii="宋体" w:hAnsi="宋体" w:cs="Courier New"/>
          <w:b w:val="0"/>
          <w:bCs w:val="0"/>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资格。</w:t>
      </w:r>
      <w:r>
        <w:rPr>
          <w:rFonts w:hint="eastAsia" w:ascii="宋体" w:hAnsi="宋体" w:cs="Courier New"/>
          <w:b w:val="0"/>
          <w:bCs w:val="0"/>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单位凭</w:t>
      </w:r>
      <w:r>
        <w:rPr>
          <w:rFonts w:hint="eastAsia" w:ascii="宋体" w:hAnsi="宋体" w:cs="Courier New"/>
          <w:b w:val="0"/>
          <w:bCs w:val="0"/>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通知书、采购单位财务部门出具的履约保证金收款证明与实施单位签订采购合同。(南京市浦口区人民政府</w:t>
      </w:r>
      <w:r>
        <w:rPr>
          <w:rFonts w:hint="eastAsia" w:ascii="宋体" w:hAnsi="宋体" w:cs="Courier New"/>
          <w:b w:val="0"/>
          <w:bCs w:val="0"/>
          <w:color w:val="000000" w:themeColor="text1"/>
          <w:sz w:val="24"/>
          <w:szCs w:val="24"/>
          <w:highlight w:val="none"/>
          <w14:textFill>
            <w14:solidFill>
              <w14:schemeClr w14:val="tx1"/>
            </w14:solidFill>
          </w14:textFill>
        </w:rPr>
        <w:t xml:space="preserve">汤泉</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街道办事处，</w:t>
      </w:r>
      <w:r>
        <w:rPr>
          <w:rFonts w:hint="eastAsia" w:ascii="宋体" w:hAnsi="宋体" w:cs="Courier New"/>
          <w:b w:val="0"/>
          <w:bCs w:val="0"/>
          <w:color w:val="000000" w:themeColor="text1"/>
          <w:sz w:val="24"/>
          <w:szCs w:val="24"/>
          <w:highlight w:val="none"/>
          <w14:textFill>
            <w14:solidFill>
              <w14:schemeClr w14:val="tx1"/>
            </w14:solidFill>
          </w14:textFill>
        </w:rPr>
        <w:t xml:space="preserve">中国建设银行浦口支行账户</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w:t>
      </w:r>
      <w:r>
        <w:rPr>
          <w:rFonts w:hint="eastAsia" w:ascii="宋体" w:hAnsi="宋体" w:cs="Courier New"/>
          <w:b w:val="0"/>
          <w:bCs w:val="0"/>
          <w:color w:val="000000" w:themeColor="text1"/>
          <w:sz w:val="24"/>
          <w:szCs w:val="24"/>
          <w:highlight w:val="none"/>
          <w14:textFill>
            <w14:solidFill>
              <w14:schemeClr w14:val="tx1"/>
            </w14:solidFill>
          </w14:textFill>
        </w:rPr>
        <w:t xml:space="preserve">32050159536700000254</w:t>
      </w:r>
      <w:r>
        <w:rPr>
          <w:rFonts w:hint="eastAsia" w:ascii="宋体" w:hAnsi="宋体" w:eastAsia="宋体" w:cs="Courier New"/>
          <w:b w:val="0"/>
          <w:bCs w:val="0"/>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2.现场勘察及答疑：本项目不组织集中勘察及答疑，供应商如对采购需求有疑问，请咨询采购单位联系人。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苏采云”南京地区客服热线025-83633744、025-83633743）。《操作手册》下载地址：http://www.ccgp-jiangsu.gov.cn/jiangsu/zlxz/ee/ee3a4bc5a3454aa2b0d9312230633ce9.html</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4.有关本次采购的事项若存在变动或修改，请及时关注“江苏政府采购网”（www.ccgp-jiangsu.gov.cn）更正公告。</w:t>
      </w:r>
      <w:r/>
    </w:p>
    <w:p>
      <w:pPr>
        <w:pStyle w:val="942"/>
        <w:ind w:firstLine="465"/>
        <w:spacing w:before="145" w:after="145"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七、本次磋商联系方式</w:t>
      </w:r>
      <w:bookmarkEnd w:id="35"/>
      <w:r/>
      <w:bookmarkEnd w:id="36"/>
      <w:r/>
      <w:bookmarkEnd w:id="37"/>
      <w:r/>
      <w:bookmarkEnd w:id="38"/>
      <w:r/>
      <w:bookmarkEnd w:id="39"/>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1.采购人信息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名称：南京市浦口区人民政府汤泉街道办事处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地址：南京市浦口区汤泉街道假日路1号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 </w:t>
      </w:r>
      <w:r>
        <w:rPr>
          <w:rFonts w:hint="eastAsia" w:ascii="宋体" w:hAnsi="宋体" w:cs="宋体"/>
          <w:sz w:val="24"/>
          <w:szCs w:val="24"/>
          <w:highlight w:val="none"/>
        </w:rPr>
        <w:t xml:space="preserve">张工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联系电话：</w:t>
      </w:r>
      <w:bookmarkStart w:id="40" w:name="_Toc28359009"/>
      <w:r/>
      <w:bookmarkStart w:id="41" w:name="_Toc28359086"/>
      <w:r>
        <w:rPr>
          <w:rFonts w:hint="eastAsia" w:ascii="宋体" w:hAnsi="宋体" w:cs="宋体"/>
          <w:sz w:val="24"/>
          <w:szCs w:val="24"/>
          <w:highlight w:val="none"/>
        </w:rPr>
        <w:t xml:space="preserve">025-58247710</w:t>
      </w:r>
      <w:r>
        <w:rPr>
          <w:rFonts w:hint="eastAsia"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2.南京市公共资源交易中心浦口分中心信息</w:t>
      </w:r>
      <w:bookmarkEnd w:id="40"/>
      <w:r/>
      <w:bookmarkEnd w:id="41"/>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　址：南京市浦口区象山路4号B座，南京市浦口区江浦街道象山路4号浦口市民中心B幢五楼受理大厅</w:t>
      </w:r>
      <w:r/>
    </w:p>
    <w:p>
      <w:pPr>
        <w:ind w:firstLine="480"/>
        <w:spacing w:line="360" w:lineRule="auto"/>
        <w:rPr>
          <w:rFonts w:hint="eastAsia" w:ascii="宋体" w:hAnsi="宋体" w:cs="宋体"/>
          <w:color w:val="000000"/>
          <w:sz w:val="24"/>
          <w:szCs w:val="24"/>
          <w:highlight w:val="none"/>
        </w:rPr>
      </w:pPr>
      <w:r>
        <w:rPr>
          <w:rFonts w:hint="eastAsia" w:ascii="宋体" w:hAnsi="宋体" w:cs="宋体"/>
          <w:sz w:val="24"/>
          <w:szCs w:val="24"/>
        </w:rPr>
        <w:t xml:space="preserve">联</w:t>
      </w:r>
      <w:r>
        <w:rPr>
          <w:rFonts w:hint="eastAsia" w:ascii="宋体" w:hAnsi="宋体" w:cs="宋体"/>
          <w:sz w:val="24"/>
          <w:szCs w:val="24"/>
          <w:highlight w:val="none"/>
        </w:rPr>
        <w:t xml:space="preserve">系</w:t>
      </w:r>
      <w:r>
        <w:rPr>
          <w:rFonts w:hint="eastAsia" w:ascii="宋体" w:hAnsi="宋体" w:cs="宋体"/>
          <w:sz w:val="24"/>
          <w:szCs w:val="24"/>
          <w:highlight w:val="none"/>
        </w:rPr>
        <w:t xml:space="preserve">人：陈工</w:t>
      </w:r>
      <w:r>
        <w:rPr>
          <w:highlight w:val="none"/>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rPr>
        <w:t xml:space="preserve">025-69659050</w:t>
      </w:r>
      <w:r>
        <w:rPr>
          <w:rFonts w:hint="eastAsia" w:ascii="宋体" w:hAnsi="宋体" w:cs="宋体"/>
          <w:sz w:val="24"/>
          <w:szCs w:val="24"/>
        </w:rPr>
      </w:r>
      <w:bookmarkEnd w:id="22"/>
      <w:r/>
      <w:bookmarkEnd w:id="23"/>
      <w:r/>
      <w:bookmarkEnd w:id="24"/>
      <w:r/>
      <w:bookmarkEnd w:id="25"/>
      <w:r/>
      <w:bookmarkEnd w:id="26"/>
      <w:r/>
      <w:r/>
    </w:p>
    <w:p>
      <w:pPr>
        <w:rPr>
          <w:rFonts w:ascii="Arial" w:hAnsi="Arial" w:eastAsia="Arial" w:cs="Arial"/>
        </w:rPr>
      </w:pPr>
      <w:r/>
      <w:bookmarkStart w:id="42" w:name="_Toc120614211"/>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rPr>
          <w:rFonts w:ascii="Arial" w:hAnsi="Arial" w:eastAsia="Arial" w:cs="Arial"/>
        </w:rPr>
      </w:pPr>
      <w:r>
        <w:rPr>
          <w:rFonts w:ascii="Arial" w:hAnsi="Arial" w:eastAsia="Arial" w:cs="Arial"/>
        </w:rPr>
      </w:r>
      <w:r/>
    </w:p>
    <w:p>
      <w:pPr>
        <w:pStyle w:val="742"/>
        <w:jc w:val="center"/>
      </w:pPr>
      <w:r>
        <w:rPr>
          <w:rFonts w:hint="eastAsia"/>
        </w:rPr>
        <w:t xml:space="preserve">第二章</w:t>
      </w:r>
      <w:bookmarkEnd w:id="1"/>
      <w:r/>
      <w:bookmarkEnd w:id="2"/>
      <w:r/>
      <w:bookmarkEnd w:id="3"/>
      <w:r/>
      <w:bookmarkEnd w:id="4"/>
      <w:r/>
      <w:bookmarkEnd w:id="5"/>
      <w:r/>
      <w:bookmarkEnd w:id="42"/>
      <w:r>
        <w:rPr>
          <w:rFonts w:hint="eastAsia"/>
        </w:rPr>
        <w:t xml:space="preserve">供应商须知</w:t>
      </w:r>
      <w:r/>
    </w:p>
    <w:p>
      <w:pPr>
        <w:pStyle w:val="942"/>
        <w:ind w:firstLine="465"/>
        <w:spacing w:before="145" w:after="145" w:line="360" w:lineRule="auto"/>
        <w:rPr>
          <w:rFonts w:hint="eastAsia" w:ascii="宋体" w:hAnsi="宋体" w:cs="宋体"/>
          <w:b w:val="0"/>
          <w:bCs w:val="0"/>
          <w:color w:val="000000"/>
          <w:sz w:val="24"/>
          <w:szCs w:val="24"/>
        </w:rPr>
      </w:pPr>
      <w:r/>
      <w:bookmarkStart w:id="43" w:name="_Hlt26954852"/>
      <w:r/>
      <w:bookmarkEnd w:id="43"/>
      <w:r/>
      <w:bookmarkStart w:id="44" w:name="_Hlt26954739"/>
      <w:r/>
      <w:bookmarkEnd w:id="44"/>
      <w:r/>
      <w:bookmarkStart w:id="45" w:name="_Toc513029203"/>
      <w:r/>
      <w:bookmarkStart w:id="46" w:name="_Toc16938519"/>
      <w:r/>
      <w:bookmarkStart w:id="47" w:name="_Toc120614214"/>
      <w:r/>
      <w:bookmarkStart w:id="48" w:name="_Toc20823275"/>
      <w:r/>
      <w:bookmarkStart w:id="49" w:name="_Toc16938558"/>
      <w:r/>
      <w:bookmarkStart w:id="50" w:name="_Toc120614221"/>
      <w:r/>
      <w:bookmarkStart w:id="51" w:name="_Toc513029242"/>
      <w:r/>
      <w:bookmarkStart w:id="52" w:name="_Toc20823314"/>
      <w:r/>
      <w:bookmarkStart w:id="53" w:name="_Toc479757207"/>
      <w:r>
        <w:rPr>
          <w:rFonts w:hint="eastAsia" w:ascii="宋体" w:hAnsi="宋体" w:cs="宋体"/>
          <w:b w:val="0"/>
          <w:bCs w:val="0"/>
          <w:color w:val="000000"/>
          <w:sz w:val="24"/>
          <w:szCs w:val="24"/>
        </w:rPr>
        <w:t xml:space="preserve">一、总则</w:t>
      </w:r>
      <w:bookmarkEnd w:id="45"/>
      <w:r/>
      <w:bookmarkEnd w:id="46"/>
      <w:r/>
      <w:bookmarkEnd w:id="47"/>
      <w:r/>
      <w:bookmarkEnd w:id="48"/>
      <w:r/>
      <w:r/>
    </w:p>
    <w:p>
      <w:pPr>
        <w:pStyle w:val="943"/>
        <w:ind w:firstLine="422"/>
        <w:spacing w:before="0" w:after="0" w:line="360" w:lineRule="auto"/>
        <w:rPr>
          <w:rFonts w:hint="eastAsia" w:ascii="宋体" w:hAnsi="宋体" w:eastAsia="宋体" w:cs="宋体"/>
          <w:sz w:val="24"/>
          <w:szCs w:val="24"/>
        </w:rPr>
      </w:pPr>
      <w:r/>
      <w:bookmarkStart w:id="54" w:name="_Hlt16619475"/>
      <w:r/>
      <w:bookmarkEnd w:id="54"/>
      <w:r/>
      <w:bookmarkStart w:id="55" w:name="_Toc458694821"/>
      <w:r/>
      <w:bookmarkStart w:id="56" w:name="_Toc20823276"/>
      <w:r/>
      <w:bookmarkStart w:id="57" w:name="_Toc16938520"/>
      <w:r/>
      <w:bookmarkStart w:id="58" w:name="_Toc513029204"/>
      <w:r>
        <w:rPr>
          <w:rFonts w:hint="eastAsia" w:ascii="宋体" w:hAnsi="宋体" w:eastAsia="宋体" w:cs="宋体"/>
          <w:sz w:val="24"/>
          <w:szCs w:val="24"/>
        </w:rPr>
        <w:t xml:space="preserve">1</w:t>
      </w:r>
      <w:bookmarkEnd w:id="55"/>
      <w:r>
        <w:rPr>
          <w:rFonts w:hint="eastAsia" w:ascii="宋体" w:hAnsi="宋体" w:eastAsia="宋体" w:cs="宋体"/>
          <w:sz w:val="24"/>
          <w:szCs w:val="24"/>
        </w:rPr>
        <w:t xml:space="preserve">.采购方式</w:t>
      </w:r>
      <w:bookmarkEnd w:id="56"/>
      <w:r/>
      <w:bookmarkEnd w:id="57"/>
      <w:r/>
      <w:bookmarkEnd w:id="58"/>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1.1本次政府采购活动采取竞争性磋商(以下简称“磋商”)方式，本磋商文件仅适用于磋商公告中所述项目。</w:t>
      </w:r>
      <w:r/>
    </w:p>
    <w:p>
      <w:pPr>
        <w:pStyle w:val="943"/>
        <w:ind w:firstLine="422"/>
        <w:spacing w:before="0" w:after="0" w:line="360" w:lineRule="auto"/>
        <w:rPr>
          <w:rFonts w:hint="eastAsia" w:ascii="宋体" w:hAnsi="宋体" w:eastAsia="宋体" w:cs="宋体"/>
          <w:sz w:val="24"/>
          <w:szCs w:val="24"/>
        </w:rPr>
      </w:pPr>
      <w:r/>
      <w:bookmarkStart w:id="59" w:name="_Toc513029205"/>
      <w:r/>
      <w:bookmarkStart w:id="60" w:name="_Toc20823277"/>
      <w:r/>
      <w:bookmarkStart w:id="61" w:name="_Toc16938521"/>
      <w:r>
        <w:rPr>
          <w:rFonts w:hint="eastAsia" w:ascii="宋体" w:hAnsi="宋体" w:eastAsia="宋体" w:cs="宋体"/>
          <w:sz w:val="24"/>
          <w:szCs w:val="24"/>
        </w:rPr>
        <w:t xml:space="preserve">2.合格的</w:t>
      </w:r>
      <w:bookmarkEnd w:id="59"/>
      <w:r/>
      <w:bookmarkEnd w:id="60"/>
      <w:r/>
      <w:bookmarkEnd w:id="61"/>
      <w:r>
        <w:rPr>
          <w:rFonts w:hint="eastAsia" w:ascii="宋体" w:hAnsi="宋体" w:eastAsia="宋体" w:cs="宋体"/>
          <w:sz w:val="24"/>
          <w:szCs w:val="24"/>
        </w:rPr>
        <w:t xml:space="preserve">供应商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2.1满足磋商公告对供应商资格要求的规定。</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2.2满足本磋商文件规定的实质性要求和条件。</w:t>
      </w:r>
      <w:r/>
    </w:p>
    <w:p>
      <w:pPr>
        <w:pStyle w:val="943"/>
        <w:ind w:firstLine="422"/>
        <w:spacing w:before="0" w:after="0" w:line="360" w:lineRule="auto"/>
        <w:rPr>
          <w:rFonts w:hint="eastAsia" w:ascii="宋体" w:hAnsi="宋体" w:eastAsia="宋体" w:cs="宋体"/>
          <w:sz w:val="24"/>
          <w:szCs w:val="24"/>
        </w:rPr>
      </w:pPr>
      <w:r/>
      <w:bookmarkStart w:id="62" w:name="_Toc16938522"/>
      <w:r/>
      <w:bookmarkStart w:id="63" w:name="_Toc513029206"/>
      <w:r/>
      <w:bookmarkStart w:id="64" w:name="_Toc20823278"/>
      <w:r>
        <w:rPr>
          <w:rFonts w:hint="eastAsia" w:ascii="宋体" w:hAnsi="宋体" w:eastAsia="宋体" w:cs="宋体"/>
          <w:sz w:val="24"/>
          <w:szCs w:val="24"/>
        </w:rPr>
        <w:t xml:space="preserve">3.适用法律</w:t>
      </w:r>
      <w:bookmarkEnd w:id="62"/>
      <w:r/>
      <w:bookmarkEnd w:id="63"/>
      <w:r/>
      <w:bookmarkEnd w:id="64"/>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3.1本次磋商及由此产生的合同受中华人民共和国有关的法律法规制约和保护。</w:t>
      </w:r>
      <w:r/>
    </w:p>
    <w:p>
      <w:pPr>
        <w:pStyle w:val="943"/>
        <w:ind w:firstLine="422"/>
        <w:spacing w:before="0" w:after="0" w:line="360" w:lineRule="auto"/>
        <w:rPr>
          <w:rFonts w:hint="eastAsia" w:ascii="宋体" w:hAnsi="宋体" w:eastAsia="宋体" w:cs="宋体"/>
          <w:sz w:val="24"/>
          <w:szCs w:val="24"/>
        </w:rPr>
      </w:pPr>
      <w:r/>
      <w:bookmarkStart w:id="65" w:name="_Toc20823279"/>
      <w:r/>
      <w:bookmarkStart w:id="66" w:name="_Toc462564067"/>
      <w:r/>
      <w:bookmarkStart w:id="67" w:name="_Toc16938523"/>
      <w:r/>
      <w:bookmarkStart w:id="68" w:name="_Toc513029207"/>
      <w:r>
        <w:rPr>
          <w:rFonts w:hint="eastAsia" w:ascii="宋体" w:hAnsi="宋体" w:eastAsia="宋体" w:cs="宋体"/>
          <w:sz w:val="24"/>
          <w:szCs w:val="24"/>
        </w:rPr>
        <w:t xml:space="preserve">4.磋商费用</w:t>
      </w:r>
      <w:bookmarkEnd w:id="65"/>
      <w:r/>
      <w:bookmarkEnd w:id="66"/>
      <w:r/>
      <w:bookmarkEnd w:id="67"/>
      <w:r/>
      <w:bookmarkEnd w:id="68"/>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4.1供应商应自行承担所有与参加磋商有关的费用，无论磋商过程中的做法和结果如何，交易中心在任何情况下均无义务和责任承担这些费用。</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4.2本次磋商交易中心和采购人不收取采购文件工本费与成交服务费。</w:t>
      </w:r>
      <w:r/>
    </w:p>
    <w:p>
      <w:pPr>
        <w:pStyle w:val="943"/>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5.磋商文件的约束力</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5.1供应商一旦参加本项目采购活动，即被认为接受了本磋商文件的规定和约束。</w:t>
      </w:r>
      <w:r/>
    </w:p>
    <w:p>
      <w:pPr>
        <w:pStyle w:val="942"/>
        <w:ind w:firstLine="465"/>
        <w:spacing w:before="145" w:after="145" w:line="360" w:lineRule="auto"/>
        <w:rPr>
          <w:rFonts w:hint="eastAsia" w:ascii="宋体" w:hAnsi="宋体" w:cs="宋体"/>
          <w:b w:val="0"/>
          <w:bCs w:val="0"/>
          <w:color w:val="000000"/>
          <w:sz w:val="24"/>
          <w:szCs w:val="24"/>
        </w:rPr>
      </w:pPr>
      <w:r/>
      <w:bookmarkStart w:id="69" w:name="_Toc513029209"/>
      <w:r/>
      <w:bookmarkStart w:id="70" w:name="_Toc120614215"/>
      <w:r/>
      <w:bookmarkStart w:id="71" w:name="_Toc16938525"/>
      <w:r/>
      <w:bookmarkStart w:id="72" w:name="_Toc20823281"/>
      <w:r>
        <w:rPr>
          <w:rFonts w:hint="eastAsia" w:ascii="宋体" w:hAnsi="宋体" w:cs="宋体"/>
          <w:b w:val="0"/>
          <w:bCs w:val="0"/>
          <w:color w:val="000000"/>
          <w:sz w:val="24"/>
          <w:szCs w:val="24"/>
        </w:rPr>
        <w:t xml:space="preserve">二、</w:t>
      </w:r>
      <w:bookmarkEnd w:id="69"/>
      <w:r/>
      <w:bookmarkEnd w:id="70"/>
      <w:r/>
      <w:bookmarkEnd w:id="71"/>
      <w:r/>
      <w:bookmarkEnd w:id="72"/>
      <w:r>
        <w:rPr>
          <w:rFonts w:hint="eastAsia" w:ascii="宋体" w:hAnsi="宋体" w:cs="宋体"/>
          <w:b w:val="0"/>
          <w:bCs w:val="0"/>
          <w:color w:val="000000"/>
          <w:sz w:val="24"/>
          <w:szCs w:val="24"/>
        </w:rPr>
        <w:t xml:space="preserve">磋商文件</w:t>
      </w:r>
      <w:r/>
    </w:p>
    <w:p>
      <w:pPr>
        <w:pStyle w:val="943"/>
        <w:ind w:firstLine="422"/>
        <w:spacing w:before="0" w:after="0" w:line="360" w:lineRule="auto"/>
        <w:rPr>
          <w:rFonts w:hint="eastAsia" w:ascii="宋体" w:hAnsi="宋体" w:eastAsia="宋体" w:cs="宋体"/>
          <w:sz w:val="24"/>
          <w:szCs w:val="24"/>
        </w:rPr>
      </w:pPr>
      <w:r/>
      <w:bookmarkStart w:id="73" w:name="_Toc20823282"/>
      <w:r/>
      <w:bookmarkStart w:id="74" w:name="_Toc16938526"/>
      <w:r/>
      <w:bookmarkStart w:id="75" w:name="_Toc513029210"/>
      <w:r>
        <w:rPr>
          <w:rFonts w:hint="eastAsia" w:ascii="宋体" w:hAnsi="宋体" w:eastAsia="宋体" w:cs="宋体"/>
          <w:sz w:val="24"/>
          <w:szCs w:val="24"/>
        </w:rPr>
        <w:t xml:space="preserve">6.磋商文件构成</w:t>
      </w:r>
      <w:bookmarkEnd w:id="73"/>
      <w:r/>
      <w:bookmarkEnd w:id="74"/>
      <w:r/>
      <w:bookmarkEnd w:id="75"/>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6.1磋商文件由以下部分组成：</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（1）磋商邀请</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（2）供应商须知</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（5）评审方法与评审标准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（6）响应文件格式</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供应商应仔细检查磋商文件是否齐全，如有缺漏请立即与交易中心联系解决。</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43"/>
        <w:ind w:firstLine="422"/>
        <w:spacing w:before="0" w:after="0" w:line="360" w:lineRule="auto"/>
        <w:rPr>
          <w:rFonts w:hint="eastAsia" w:ascii="宋体" w:hAnsi="宋体" w:eastAsia="宋体" w:cs="宋体"/>
          <w:sz w:val="24"/>
          <w:szCs w:val="24"/>
        </w:rPr>
      </w:pPr>
      <w:r/>
      <w:bookmarkStart w:id="76" w:name="_Toc16938527"/>
      <w:r/>
      <w:bookmarkStart w:id="77" w:name="_Toc20823283"/>
      <w:r/>
      <w:bookmarkStart w:id="78" w:name="_Toc462564070"/>
      <w:r/>
      <w:bookmarkStart w:id="79" w:name="_Toc513029211"/>
      <w:r>
        <w:rPr>
          <w:rFonts w:hint="eastAsia" w:ascii="宋体" w:hAnsi="宋体" w:eastAsia="宋体" w:cs="宋体"/>
          <w:sz w:val="24"/>
          <w:szCs w:val="24"/>
        </w:rPr>
        <w:t xml:space="preserve">7.磋商文件的澄清</w:t>
      </w:r>
      <w:bookmarkEnd w:id="76"/>
      <w:r/>
      <w:bookmarkEnd w:id="77"/>
      <w:r/>
      <w:bookmarkEnd w:id="78"/>
      <w:r/>
      <w:bookmarkEnd w:id="79"/>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7.1任何要求对磋商文件进行澄清的供应商，应在磋商截止期五日前按磋商公告中的通讯地址，以书面形式通知交易中心。</w:t>
      </w:r>
      <w:r/>
    </w:p>
    <w:p>
      <w:pPr>
        <w:pStyle w:val="943"/>
        <w:ind w:firstLine="422"/>
        <w:spacing w:before="0" w:after="0" w:line="360" w:lineRule="auto"/>
        <w:rPr>
          <w:rFonts w:hint="eastAsia" w:ascii="宋体" w:hAnsi="宋体" w:eastAsia="宋体" w:cs="宋体"/>
          <w:sz w:val="24"/>
          <w:szCs w:val="24"/>
        </w:rPr>
      </w:pPr>
      <w:r/>
      <w:bookmarkStart w:id="80" w:name="_Toc513029212"/>
      <w:r/>
      <w:bookmarkStart w:id="81" w:name="_Toc462564071"/>
      <w:r/>
      <w:bookmarkStart w:id="82" w:name="_Toc20823284"/>
      <w:r/>
      <w:bookmarkStart w:id="83" w:name="_Toc16938528"/>
      <w:r>
        <w:rPr>
          <w:rFonts w:hint="eastAsia" w:ascii="宋体" w:hAnsi="宋体" w:eastAsia="宋体" w:cs="宋体"/>
          <w:sz w:val="24"/>
          <w:szCs w:val="24"/>
        </w:rPr>
        <w:t xml:space="preserve">8.磋商文件的澄清和修改</w:t>
      </w:r>
      <w:bookmarkEnd w:id="80"/>
      <w:r/>
      <w:bookmarkEnd w:id="81"/>
      <w:r/>
      <w:bookmarkEnd w:id="82"/>
      <w:r/>
      <w:bookmarkEnd w:id="83"/>
      <w:r/>
      <w:r/>
    </w:p>
    <w:p>
      <w:pPr>
        <w:ind w:firstLine="420"/>
        <w:spacing w:line="360" w:lineRule="auto"/>
        <w:rPr>
          <w:rFonts w:hint="eastAsia" w:ascii="宋体" w:hAnsi="宋体" w:cs="宋体"/>
          <w:color w:val="000000"/>
          <w:sz w:val="24"/>
          <w:szCs w:val="24"/>
        </w:rPr>
      </w:pPr>
      <w:r/>
      <w:bookmarkStart w:id="84" w:name="_Toc16938529"/>
      <w:r/>
      <w:bookmarkStart w:id="85" w:name="_Toc20823285"/>
      <w:r/>
      <w:bookmarkStart w:id="86" w:name="_Toc462564072"/>
      <w:r/>
      <w:bookmarkStart w:id="87" w:name="_Toc120614216"/>
      <w:r/>
      <w:bookmarkStart w:id="88" w:name="_Toc513029213"/>
      <w:r>
        <w:rPr>
          <w:rFonts w:hint="eastAsia" w:ascii="宋体" w:hAnsi="宋体" w:cs="宋体"/>
          <w:color w:val="000000"/>
          <w:sz w:val="24"/>
          <w:szCs w:val="24"/>
        </w:rPr>
        <w:t xml:space="preserve">8.1在响应文件提交截止时间前，交易中心可以对磋商文件进行修改。磋商文件的修改将在原公告媒体发布更正公告，更正内容将作为磋商文件的组成部分，并对供应商具有约束力。</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8.2供应商应在提交响应文件截止时间前，关注原公告媒体有关本项目的更正公告，根据更正公告内容自行决定是否需要重新制作和提交响应文件，并承担由此产生的相应责任。</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8.3交易中心有权按照法定的要求推迟提交响应文件截止时间，并在原公告媒体发布更正公告。</w:t>
      </w:r>
      <w:r/>
    </w:p>
    <w:p>
      <w:pPr>
        <w:pStyle w:val="942"/>
        <w:ind w:firstLine="465"/>
        <w:spacing w:before="145" w:after="145" w:line="36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三、响应文件的编制</w:t>
      </w:r>
      <w:bookmarkEnd w:id="84"/>
      <w:r/>
      <w:bookmarkEnd w:id="85"/>
      <w:r/>
      <w:bookmarkEnd w:id="86"/>
      <w:r/>
      <w:bookmarkEnd w:id="87"/>
      <w:r/>
      <w:bookmarkEnd w:id="88"/>
      <w:r/>
      <w:r/>
    </w:p>
    <w:p>
      <w:pPr>
        <w:pStyle w:val="943"/>
        <w:ind w:firstLine="422"/>
        <w:spacing w:before="0" w:after="0" w:line="360" w:lineRule="auto"/>
        <w:rPr>
          <w:rFonts w:hint="eastAsia" w:ascii="宋体" w:hAnsi="宋体" w:eastAsia="宋体" w:cs="宋体"/>
          <w:sz w:val="24"/>
          <w:szCs w:val="24"/>
        </w:rPr>
      </w:pPr>
      <w:r/>
      <w:bookmarkStart w:id="89" w:name="_Toc20823286"/>
      <w:r/>
      <w:bookmarkStart w:id="90" w:name="_Toc16938530"/>
      <w:r/>
      <w:bookmarkStart w:id="91" w:name="_Toc462564073"/>
      <w:r/>
      <w:bookmarkStart w:id="92" w:name="_Toc513029214"/>
      <w:r>
        <w:rPr>
          <w:rFonts w:hint="eastAsia" w:ascii="宋体" w:hAnsi="宋体" w:eastAsia="宋体" w:cs="宋体"/>
          <w:sz w:val="24"/>
          <w:szCs w:val="24"/>
        </w:rPr>
        <w:t xml:space="preserve">9.响应文件的语言及度量衡单位</w:t>
      </w:r>
      <w:bookmarkEnd w:id="89"/>
      <w:r/>
      <w:bookmarkEnd w:id="90"/>
      <w:r/>
      <w:bookmarkEnd w:id="91"/>
      <w:r/>
      <w:bookmarkEnd w:id="92"/>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9.1供应商提交的响应文件以及供应商与交易中心就有关磋商的所有来往通知、函件和文件均应使用简体中文。</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9.2除技术性能另有规定外，响应文件所使用的度量衡单位，均须采用国家法定计量单位。</w:t>
      </w:r>
      <w:r/>
    </w:p>
    <w:p>
      <w:pPr>
        <w:pStyle w:val="943"/>
        <w:ind w:firstLine="422"/>
        <w:spacing w:before="0" w:after="0" w:line="360" w:lineRule="auto"/>
        <w:rPr>
          <w:rFonts w:hint="eastAsia" w:ascii="宋体" w:hAnsi="宋体" w:eastAsia="宋体" w:cs="宋体"/>
          <w:sz w:val="24"/>
          <w:szCs w:val="24"/>
        </w:rPr>
      </w:pPr>
      <w:r/>
      <w:bookmarkStart w:id="93" w:name="_Toc513029215"/>
      <w:r/>
      <w:bookmarkStart w:id="94" w:name="_Toc16938531"/>
      <w:r/>
      <w:bookmarkStart w:id="95" w:name="_Toc462564074"/>
      <w:r/>
      <w:bookmarkStart w:id="96" w:name="_Toc20823287"/>
      <w:r>
        <w:rPr>
          <w:rFonts w:hint="eastAsia" w:ascii="宋体" w:hAnsi="宋体" w:eastAsia="宋体" w:cs="宋体"/>
          <w:sz w:val="24"/>
          <w:szCs w:val="24"/>
        </w:rPr>
        <w:t xml:space="preserve">10.响应文件构成</w:t>
      </w:r>
      <w:bookmarkEnd w:id="93"/>
      <w:r/>
      <w:bookmarkEnd w:id="94"/>
      <w:r/>
      <w:bookmarkEnd w:id="95"/>
      <w:r/>
      <w:bookmarkEnd w:id="96"/>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10.1供应商编写的响应文件应包括资格证明文件、符合性证明文件、磋商报价明细表、响应及偏离表、其他证明文件、磋商响应函等部分。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10.2如标书制作工具中格式和内容与“江苏政府采购网”发布的磋商文件不一致，以“江苏政府采购网”发布的磋商文件为准。</w:t>
      </w:r>
      <w:r/>
    </w:p>
    <w:p>
      <w:pPr>
        <w:pStyle w:val="943"/>
        <w:ind w:firstLine="422"/>
        <w:spacing w:before="0" w:after="0" w:line="360" w:lineRule="auto"/>
        <w:rPr>
          <w:rFonts w:hint="eastAsia" w:ascii="宋体" w:hAnsi="宋体" w:eastAsia="宋体" w:cs="宋体"/>
          <w:sz w:val="24"/>
          <w:szCs w:val="24"/>
        </w:rPr>
      </w:pPr>
      <w:r/>
      <w:bookmarkStart w:id="97" w:name="_Hlt26954838"/>
      <w:r/>
      <w:bookmarkEnd w:id="97"/>
      <w:r/>
      <w:bookmarkStart w:id="98" w:name="_Hlt26670360"/>
      <w:r/>
      <w:bookmarkEnd w:id="98"/>
      <w:r/>
      <w:bookmarkStart w:id="99" w:name="_Hlt26668975"/>
      <w:r/>
      <w:bookmarkEnd w:id="99"/>
      <w:r/>
      <w:bookmarkStart w:id="100" w:name="_Toc513029216"/>
      <w:r/>
      <w:bookmarkStart w:id="101" w:name="_Toc513029219"/>
      <w:r/>
      <w:bookmarkStart w:id="102" w:name="_Toc14577354"/>
      <w:r/>
      <w:bookmarkStart w:id="103" w:name="_Toc49090509"/>
      <w:r/>
      <w:bookmarkStart w:id="104" w:name="_Toc49090507"/>
      <w:r/>
      <w:bookmarkStart w:id="105" w:name="_Toc14577357"/>
      <w:r/>
      <w:bookmarkStart w:id="106" w:name="_Toc49090508"/>
      <w:r/>
      <w:bookmarkStart w:id="107" w:name="_Toc14577355"/>
      <w:r>
        <w:rPr>
          <w:rFonts w:hint="eastAsia" w:ascii="宋体" w:hAnsi="宋体" w:eastAsia="宋体" w:cs="宋体"/>
          <w:sz w:val="24"/>
          <w:szCs w:val="24"/>
        </w:rPr>
        <w:t xml:space="preserve">11.证明磋商响应标的符合磋商文件规定的文件</w:t>
      </w:r>
      <w:bookmarkEnd w:id="100"/>
      <w:r/>
      <w:bookmarkEnd w:id="101"/>
      <w:r/>
      <w:bookmarkEnd w:id="102"/>
      <w:r/>
      <w:bookmarkEnd w:id="103"/>
      <w:r/>
      <w:bookmarkEnd w:id="104"/>
      <w:r/>
      <w:bookmarkEnd w:id="105"/>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11.1供应商应按照法律、法规、规章和规范性文件以及磋商文件要求提交证明文件，证明其响应标的符合磋商文件规定。</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11.2磋商文件对证明文件无明确形式要求的，证明文件可以以文字资料、图纸和数据等形式提交。</w:t>
      </w:r>
      <w:bookmarkEnd w:id="106"/>
      <w:r/>
      <w:bookmarkEnd w:id="107"/>
      <w:r/>
      <w:r/>
    </w:p>
    <w:p>
      <w:pPr>
        <w:pStyle w:val="943"/>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12.磋商报价明细表</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12.1供应商应按照磋商文件规定格式填报磋商报价明细表。</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12.2磋商货币。响应文件中的单价和总价无特殊规定的采用人民币报价，以元为单位标注。磋商文件中另有规定的按规定执行。</w:t>
      </w:r>
      <w:r/>
    </w:p>
    <w:p>
      <w:pPr>
        <w:pStyle w:val="943"/>
        <w:ind w:firstLine="422"/>
        <w:spacing w:before="0" w:after="0" w:line="360" w:lineRule="auto"/>
        <w:rPr>
          <w:rFonts w:hint="eastAsia" w:ascii="宋体" w:hAnsi="宋体" w:eastAsia="宋体" w:cs="宋体"/>
          <w:sz w:val="24"/>
          <w:szCs w:val="24"/>
        </w:rPr>
      </w:pPr>
      <w:r/>
      <w:bookmarkStart w:id="108" w:name="_Hlt26670486"/>
      <w:r/>
      <w:bookmarkEnd w:id="108"/>
      <w:r/>
      <w:bookmarkStart w:id="109" w:name="_Hlt26954731"/>
      <w:r/>
      <w:bookmarkEnd w:id="109"/>
      <w:r/>
      <w:bookmarkStart w:id="110" w:name="_Hlt26954848"/>
      <w:r/>
      <w:bookmarkEnd w:id="110"/>
      <w:r/>
      <w:bookmarkStart w:id="111" w:name="_Hlt26670482"/>
      <w:r/>
      <w:bookmarkEnd w:id="111"/>
      <w:r/>
      <w:bookmarkStart w:id="112" w:name="_Hlt26954846"/>
      <w:r/>
      <w:bookmarkEnd w:id="112"/>
      <w:r>
        <w:rPr>
          <w:rFonts w:hint="eastAsia" w:ascii="宋体" w:hAnsi="宋体" w:eastAsia="宋体" w:cs="宋体"/>
          <w:sz w:val="24"/>
          <w:szCs w:val="24"/>
        </w:rPr>
        <w:t xml:space="preserve">13.响应及偏离表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13.1供应商需对磋商文件中的技术要求与商务要求逐项作出响应或偏离说明。</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13.2供应商可在响应文件中提供认为需要的其他技术文件或说明。</w:t>
      </w:r>
      <w:r/>
    </w:p>
    <w:p>
      <w:pPr>
        <w:pStyle w:val="943"/>
        <w:ind w:firstLine="422"/>
        <w:spacing w:before="0" w:after="0" w:line="360" w:lineRule="auto"/>
        <w:rPr>
          <w:rFonts w:hint="eastAsia" w:ascii="宋体" w:hAnsi="宋体" w:eastAsia="宋体" w:cs="宋体"/>
          <w:sz w:val="24"/>
          <w:szCs w:val="24"/>
        </w:rPr>
      </w:pPr>
      <w:r/>
      <w:bookmarkStart w:id="113" w:name="_Toc14577359"/>
      <w:r/>
      <w:bookmarkStart w:id="114" w:name="_Toc49090510"/>
      <w:r>
        <w:rPr>
          <w:rFonts w:hint="eastAsia" w:ascii="宋体" w:hAnsi="宋体" w:eastAsia="宋体" w:cs="宋体"/>
          <w:sz w:val="24"/>
          <w:szCs w:val="24"/>
        </w:rPr>
        <w:t xml:space="preserve">14.磋商响应函</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.1供应商应按照磋商文件规定格式完整、正确填报磋商响应函。</w:t>
      </w:r>
      <w:bookmarkEnd w:id="113"/>
      <w:r/>
      <w:bookmarkEnd w:id="114"/>
      <w:r/>
      <w:r/>
    </w:p>
    <w:p>
      <w:pPr>
        <w:pStyle w:val="943"/>
        <w:ind w:firstLine="422"/>
        <w:spacing w:before="0" w:after="0" w:line="360" w:lineRule="auto"/>
        <w:rPr>
          <w:rFonts w:hint="eastAsia" w:ascii="宋体" w:hAnsi="宋体" w:eastAsia="宋体" w:cs="宋体"/>
          <w:sz w:val="24"/>
          <w:szCs w:val="24"/>
        </w:rPr>
      </w:pPr>
      <w:r/>
      <w:bookmarkStart w:id="115" w:name="_Toc14577360"/>
      <w:r/>
      <w:bookmarkStart w:id="116" w:name="_Toc49090511"/>
      <w:r>
        <w:rPr>
          <w:rFonts w:hint="eastAsia" w:ascii="宋体" w:hAnsi="宋体" w:eastAsia="宋体" w:cs="宋体"/>
          <w:sz w:val="24"/>
          <w:szCs w:val="24"/>
        </w:rPr>
        <w:t xml:space="preserve">15.磋商有效期</w:t>
      </w:r>
      <w:bookmarkEnd w:id="115"/>
      <w:r/>
      <w:bookmarkEnd w:id="116"/>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15.1磋商有效期为采购公告规定的提交响应文件截止之日起</w:t>
      </w:r>
      <w:r>
        <w:rPr>
          <w:rFonts w:hint="eastAsia" w:ascii="宋体" w:hAnsi="宋体" w:cs="宋体"/>
          <w:color w:val="000000"/>
          <w:sz w:val="24"/>
          <w:szCs w:val="24"/>
          <w:lang w:val="zh-CN"/>
        </w:rPr>
        <w:t xml:space="preserve">六十天</w:t>
      </w:r>
      <w:r>
        <w:rPr>
          <w:rFonts w:hint="eastAsia" w:ascii="宋体" w:hAnsi="宋体" w:cs="宋体"/>
          <w:color w:val="000000"/>
          <w:sz w:val="24"/>
          <w:szCs w:val="24"/>
        </w:rPr>
        <w:t xml:space="preserve">。磋商有效期比规定短的将被视为非实质性响应磋商文件而被拒绝。</w:t>
      </w:r>
      <w:r/>
    </w:p>
    <w:p>
      <w:pPr>
        <w:pStyle w:val="943"/>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16.磋商有效期的延长</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942"/>
        <w:ind w:firstLine="465"/>
        <w:spacing w:before="145" w:after="145" w:line="360" w:lineRule="auto"/>
        <w:rPr>
          <w:rFonts w:hint="eastAsia" w:ascii="宋体" w:hAnsi="宋体" w:cs="宋体"/>
          <w:b w:val="0"/>
          <w:bCs w:val="0"/>
          <w:color w:val="000000"/>
          <w:sz w:val="24"/>
          <w:szCs w:val="24"/>
        </w:rPr>
      </w:pPr>
      <w:r/>
      <w:bookmarkStart w:id="117" w:name="_Toc513029224"/>
      <w:r/>
      <w:bookmarkStart w:id="118" w:name="_Toc120614217"/>
      <w:r/>
      <w:bookmarkStart w:id="119" w:name="_Toc16938540"/>
      <w:r/>
      <w:bookmarkStart w:id="120" w:name="_Toc20823296"/>
      <w:r>
        <w:rPr>
          <w:rFonts w:hint="eastAsia" w:ascii="宋体" w:hAnsi="宋体" w:cs="宋体"/>
          <w:b w:val="0"/>
          <w:bCs w:val="0"/>
          <w:color w:val="000000"/>
          <w:sz w:val="24"/>
          <w:szCs w:val="24"/>
        </w:rPr>
        <w:t xml:space="preserve">四、响应文件的递交</w:t>
      </w:r>
      <w:bookmarkEnd w:id="117"/>
      <w:r/>
      <w:bookmarkEnd w:id="118"/>
      <w:r/>
      <w:bookmarkEnd w:id="119"/>
      <w:r/>
      <w:bookmarkEnd w:id="120"/>
      <w:r/>
      <w:r/>
    </w:p>
    <w:p>
      <w:pPr>
        <w:pStyle w:val="943"/>
        <w:ind w:firstLine="422"/>
        <w:spacing w:before="0" w:after="0" w:line="360" w:lineRule="auto"/>
        <w:rPr>
          <w:rFonts w:hint="eastAsia" w:ascii="宋体" w:hAnsi="宋体" w:eastAsia="宋体" w:cs="宋体"/>
          <w:sz w:val="24"/>
          <w:szCs w:val="24"/>
        </w:rPr>
      </w:pPr>
      <w:r/>
      <w:bookmarkStart w:id="121" w:name="_Toc20823297"/>
      <w:r/>
      <w:bookmarkStart w:id="122" w:name="_Toc513029225"/>
      <w:r/>
      <w:bookmarkStart w:id="123" w:name="_Toc462564084"/>
      <w:r/>
      <w:bookmarkStart w:id="124" w:name="_Toc16938541"/>
      <w:r>
        <w:rPr>
          <w:rFonts w:hint="eastAsia" w:ascii="宋体" w:hAnsi="宋体" w:eastAsia="宋体" w:cs="宋体"/>
          <w:sz w:val="24"/>
          <w:szCs w:val="24"/>
        </w:rPr>
        <w:t xml:space="preserve">17.磋商</w:t>
      </w:r>
      <w:bookmarkEnd w:id="121"/>
      <w:r/>
      <w:bookmarkEnd w:id="122"/>
      <w:r/>
      <w:bookmarkEnd w:id="123"/>
      <w:r/>
      <w:bookmarkEnd w:id="124"/>
      <w:r>
        <w:rPr>
          <w:rFonts w:hint="eastAsia" w:ascii="宋体" w:hAnsi="宋体" w:eastAsia="宋体" w:cs="宋体"/>
          <w:sz w:val="24"/>
          <w:szCs w:val="24"/>
        </w:rPr>
        <w:t xml:space="preserve">响应文件的递交</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17.1供应商应当按照《操作手册》规定，在提交响应文件截止时间前制作并上传电子响应文件。</w:t>
      </w:r>
      <w:bookmarkStart w:id="125" w:name="_Toc20823298"/>
      <w:r/>
      <w:bookmarkEnd w:id="125"/>
      <w:r/>
      <w:bookmarkStart w:id="126" w:name="_Toc16938542"/>
      <w:r/>
      <w:bookmarkEnd w:id="126"/>
      <w:r/>
      <w:bookmarkStart w:id="127" w:name="_Toc513029226"/>
      <w:r/>
      <w:bookmarkEnd w:id="127"/>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17.2供应商应充分考虑网络环境、网络带宽等因素可能对磋商产生的影响，如因供应商自身原因造成的电子响应文件上传不成功的，按照本磋商文件第二章第24.3条规定做无效响应处理。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17.3交易中心可以按照规定，通过修改磋商文件酌情延长提交响应文件截止日期，在此情况下，供应商的所有权利和义务均以延长后新的截止日期为准。</w:t>
      </w:r>
      <w:r/>
    </w:p>
    <w:p>
      <w:pPr>
        <w:pStyle w:val="943"/>
        <w:ind w:firstLine="422"/>
        <w:spacing w:before="0" w:after="0" w:line="360" w:lineRule="auto"/>
        <w:rPr>
          <w:rFonts w:hint="eastAsia" w:ascii="宋体" w:hAnsi="宋体" w:eastAsia="宋体" w:cs="宋体"/>
          <w:sz w:val="24"/>
          <w:szCs w:val="24"/>
        </w:rPr>
      </w:pPr>
      <w:r/>
      <w:bookmarkStart w:id="128" w:name="_Toc16938543"/>
      <w:r/>
      <w:bookmarkStart w:id="129" w:name="_Toc20823299"/>
      <w:r/>
      <w:bookmarkStart w:id="130" w:name="_Toc513029227"/>
      <w:r>
        <w:rPr>
          <w:rFonts w:hint="eastAsia" w:ascii="宋体" w:hAnsi="宋体" w:eastAsia="宋体" w:cs="宋体"/>
          <w:sz w:val="24"/>
          <w:szCs w:val="24"/>
        </w:rPr>
        <w:t xml:space="preserve">18.响应文件</w:t>
      </w:r>
      <w:bookmarkEnd w:id="128"/>
      <w:r/>
      <w:bookmarkEnd w:id="129"/>
      <w:r/>
      <w:bookmarkEnd w:id="130"/>
      <w:r>
        <w:rPr>
          <w:rFonts w:hint="eastAsia" w:ascii="宋体" w:hAnsi="宋体" w:eastAsia="宋体" w:cs="宋体"/>
          <w:sz w:val="24"/>
          <w:szCs w:val="24"/>
        </w:rPr>
        <w:t xml:space="preserve">的拒收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18.1交易中心拒绝接收提交响应文件截止时间后上传的任何电子响应文件。</w:t>
      </w:r>
      <w:r/>
    </w:p>
    <w:p>
      <w:pPr>
        <w:pStyle w:val="943"/>
        <w:ind w:firstLine="422"/>
        <w:spacing w:before="0" w:after="0" w:line="360" w:lineRule="auto"/>
        <w:rPr>
          <w:rFonts w:hint="eastAsia" w:ascii="宋体" w:hAnsi="宋体" w:eastAsia="宋体" w:cs="宋体"/>
          <w:sz w:val="24"/>
          <w:szCs w:val="24"/>
        </w:rPr>
      </w:pPr>
      <w:r/>
      <w:bookmarkStart w:id="131" w:name="_Toc20823300"/>
      <w:r/>
      <w:bookmarkStart w:id="132" w:name="_Toc513029228"/>
      <w:r/>
      <w:bookmarkStart w:id="133" w:name="_Toc16938544"/>
      <w:r>
        <w:rPr>
          <w:rFonts w:hint="eastAsia" w:ascii="宋体" w:hAnsi="宋体" w:eastAsia="宋体" w:cs="宋体"/>
          <w:sz w:val="24"/>
          <w:szCs w:val="24"/>
        </w:rPr>
        <w:t xml:space="preserve">19.响应文件的撤回和修改</w:t>
      </w:r>
      <w:bookmarkEnd w:id="131"/>
      <w:r/>
      <w:bookmarkEnd w:id="132"/>
      <w:r/>
      <w:bookmarkEnd w:id="133"/>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19.1响应文件的撤回</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19.1.1供应商可在提交响应文件截止时间前，撤回其电子响应文件，具体操作方法见《操作手册》。</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19.1.2供应商撤回电子响应文件，则认为其不再参与本项目磋商活动。</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19.2响应文件的修改</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19.2.1供应商可在提交响应文件截止时间前，对其电子响应文件进行修改，具体操作方法见《操作手册》。</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19.2.2在提交响应文件截止时间之后，供应商不得对其电子响应文件作任何修改。</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19.3在提交响应文件截止时间至磋商文件中规定的磋商有效期满之间的这段时间内，供应商不得撤回其响应文件。</w:t>
      </w:r>
      <w:r/>
    </w:p>
    <w:p>
      <w:pPr>
        <w:pStyle w:val="942"/>
        <w:ind w:firstLine="465"/>
        <w:spacing w:before="145" w:after="145" w:line="360" w:lineRule="auto"/>
        <w:rPr>
          <w:rFonts w:hint="eastAsia" w:ascii="宋体" w:hAnsi="宋体" w:cs="宋体"/>
          <w:b w:val="0"/>
          <w:bCs w:val="0"/>
          <w:color w:val="000000"/>
          <w:sz w:val="24"/>
          <w:szCs w:val="24"/>
        </w:rPr>
      </w:pPr>
      <w:r/>
      <w:bookmarkStart w:id="134" w:name="_Toc16938545"/>
      <w:r/>
      <w:bookmarkStart w:id="135" w:name="_Toc120614218"/>
      <w:r/>
      <w:bookmarkStart w:id="136" w:name="_Toc20823301"/>
      <w:r/>
      <w:bookmarkStart w:id="137" w:name="_Toc513029229"/>
      <w:r>
        <w:rPr>
          <w:rFonts w:hint="eastAsia" w:ascii="宋体" w:hAnsi="宋体" w:cs="宋体"/>
          <w:b w:val="0"/>
          <w:bCs w:val="0"/>
          <w:color w:val="000000"/>
          <w:sz w:val="24"/>
          <w:szCs w:val="24"/>
        </w:rPr>
        <w:t xml:space="preserve">五、响应文件的解密与评审</w:t>
      </w:r>
      <w:bookmarkEnd w:id="134"/>
      <w:r/>
      <w:bookmarkEnd w:id="135"/>
      <w:r/>
      <w:bookmarkEnd w:id="136"/>
      <w:r/>
      <w:bookmarkEnd w:id="137"/>
      <w:r/>
      <w:r/>
    </w:p>
    <w:p>
      <w:pPr>
        <w:pStyle w:val="943"/>
        <w:ind w:firstLine="422"/>
        <w:spacing w:before="0" w:after="0" w:line="360" w:lineRule="auto"/>
        <w:rPr>
          <w:rFonts w:hint="eastAsia" w:ascii="宋体" w:hAnsi="宋体" w:eastAsia="宋体" w:cs="宋体"/>
          <w:sz w:val="24"/>
          <w:szCs w:val="24"/>
        </w:rPr>
      </w:pPr>
      <w:r/>
      <w:bookmarkStart w:id="138" w:name="_Toc20823302"/>
      <w:r/>
      <w:bookmarkStart w:id="139" w:name="_Toc513029230"/>
      <w:r/>
      <w:bookmarkStart w:id="140" w:name="_Toc16938546"/>
      <w:r>
        <w:rPr>
          <w:rFonts w:hint="eastAsia" w:ascii="宋体" w:hAnsi="宋体" w:eastAsia="宋体" w:cs="宋体"/>
          <w:sz w:val="24"/>
          <w:szCs w:val="24"/>
        </w:rPr>
        <w:t xml:space="preserve">2</w:t>
      </w:r>
      <w:bookmarkEnd w:id="138"/>
      <w:r/>
      <w:bookmarkEnd w:id="139"/>
      <w:r/>
      <w:bookmarkEnd w:id="140"/>
      <w:r>
        <w:rPr>
          <w:rFonts w:hint="eastAsia" w:ascii="宋体" w:hAnsi="宋体" w:eastAsia="宋体" w:cs="宋体"/>
          <w:sz w:val="24"/>
          <w:szCs w:val="24"/>
        </w:rPr>
        <w:t xml:space="preserve">0.响应文件解密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20.1供应商应当按照《操作手册》规定，在苏采云系统规定的时间内对磋商响应文件进行解密。</w:t>
      </w:r>
      <w:r/>
    </w:p>
    <w:p>
      <w:pPr>
        <w:pStyle w:val="943"/>
        <w:ind w:firstLine="422"/>
        <w:spacing w:before="0" w:after="0" w:line="360" w:lineRule="auto"/>
        <w:rPr>
          <w:rFonts w:hint="eastAsia" w:ascii="宋体" w:hAnsi="宋体" w:eastAsia="宋体" w:cs="宋体"/>
          <w:sz w:val="24"/>
          <w:szCs w:val="24"/>
        </w:rPr>
      </w:pPr>
      <w:r/>
      <w:bookmarkStart w:id="141" w:name="_Toc16938547"/>
      <w:r/>
      <w:bookmarkStart w:id="142" w:name="_Toc20823303"/>
      <w:r/>
      <w:bookmarkStart w:id="143" w:name="_Toc513029231"/>
      <w:r>
        <w:rPr>
          <w:rFonts w:hint="eastAsia" w:ascii="宋体" w:hAnsi="宋体" w:eastAsia="宋体" w:cs="宋体"/>
          <w:sz w:val="24"/>
          <w:szCs w:val="24"/>
        </w:rPr>
        <w:t xml:space="preserve">21.磋商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21.1交易中心将组织磋商小组对响应文件进行评审。</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21.2磋商小组由采购人代表和有关技术、经济等方面的专家组成，且人员构成符合政府采购有关规定。</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21.3磋商小组独立工作，负责评审所有响应文件并推荐成交侯选人，或根据采购人授权直接确定成交供应商。</w:t>
      </w:r>
      <w:r/>
    </w:p>
    <w:p>
      <w:pPr>
        <w:pStyle w:val="943"/>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22.评审过程的保密与公正</w:t>
      </w:r>
      <w:bookmarkEnd w:id="141"/>
      <w:r/>
      <w:bookmarkEnd w:id="142"/>
      <w:r/>
      <w:bookmarkEnd w:id="143"/>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22.1磋商小组、采购人和交易中心工作人员、相关监督人员等与评审工作有关的人员，对评审情况以及在评审过程中获悉的国家秘密、商业秘密负有保密责任。</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22.2在评审过程中，供应商不得以任何行为影响磋商评审过程，否则其响应文件将被作为无效响应文件。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22.3交易中心和磋商小组不向未成交的供应商解释未成交原因，也不公布评审过程中的相关细节。</w:t>
      </w:r>
      <w:r/>
    </w:p>
    <w:p>
      <w:pPr>
        <w:pStyle w:val="943"/>
        <w:ind w:firstLine="422"/>
        <w:spacing w:before="0" w:after="0" w:line="360" w:lineRule="auto"/>
        <w:rPr>
          <w:rFonts w:hint="eastAsia" w:ascii="宋体" w:hAnsi="宋体" w:eastAsia="宋体" w:cs="宋体"/>
          <w:sz w:val="24"/>
          <w:szCs w:val="24"/>
        </w:rPr>
      </w:pPr>
      <w:r/>
      <w:bookmarkStart w:id="144" w:name="_Toc16938548"/>
      <w:r/>
      <w:bookmarkStart w:id="145" w:name="_Toc20823304"/>
      <w:r/>
      <w:bookmarkStart w:id="146" w:name="_Toc513029232"/>
      <w:r>
        <w:rPr>
          <w:rFonts w:hint="eastAsia" w:ascii="宋体" w:hAnsi="宋体" w:eastAsia="宋体" w:cs="宋体"/>
          <w:sz w:val="24"/>
          <w:szCs w:val="24"/>
        </w:rPr>
        <w:t xml:space="preserve">23.评审过程中的澄清</w:t>
      </w:r>
      <w:bookmarkEnd w:id="144"/>
      <w:r/>
      <w:bookmarkEnd w:id="145"/>
      <w:r/>
      <w:bookmarkEnd w:id="146"/>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23.1项目评审期间，磋商小组有权要求供应商对响应文件中含义不明确、同类问题表述不一致或者有明显文字和计算错误的内容等作出必要的澄清、说明或者补正。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供应商的澄清、说明或者更正不得超出响应文件的范围或者改变响应文件的实质性内容。</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磋商小组并非对每个供应商都作澄清要求。</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23.2需要供应商进行澄清、说明和补正的，磋商小组将通过苏采云系统向供应商发布</w:t>
      </w:r>
      <w:r>
        <w:rPr>
          <w:rFonts w:hint="eastAsia" w:ascii="宋体" w:hAnsi="宋体" w:cs="宋体"/>
          <w:color w:val="000000"/>
          <w:sz w:val="24"/>
          <w:szCs w:val="24"/>
          <w:lang w:val="zh-CN"/>
        </w:rPr>
        <w:t xml:space="preserve">《澄清要求函》</w:t>
      </w:r>
      <w:r>
        <w:rPr>
          <w:rFonts w:hint="eastAsia" w:ascii="宋体" w:hAnsi="宋体" w:cs="宋体"/>
          <w:color w:val="000000"/>
          <w:sz w:val="24"/>
          <w:szCs w:val="24"/>
        </w:rPr>
        <w:t xml:space="preserve">，接到</w:t>
      </w:r>
      <w:r>
        <w:rPr>
          <w:rFonts w:hint="eastAsia" w:ascii="宋体" w:hAnsi="宋体" w:cs="宋体"/>
          <w:color w:val="000000"/>
          <w:sz w:val="24"/>
          <w:szCs w:val="24"/>
          <w:lang w:val="zh-CN"/>
        </w:rPr>
        <w:t xml:space="preserve">《澄清要求函》</w:t>
      </w:r>
      <w:r>
        <w:rPr>
          <w:rFonts w:hint="eastAsia" w:ascii="宋体" w:hAnsi="宋体" w:cs="宋体"/>
          <w:color w:val="000000"/>
          <w:sz w:val="24"/>
          <w:szCs w:val="24"/>
        </w:rPr>
        <w:t xml:space="preserve">的供应商应当按照要求在苏采云系统中提交</w:t>
      </w:r>
      <w:r>
        <w:rPr>
          <w:rFonts w:hint="eastAsia" w:ascii="宋体" w:hAnsi="宋体" w:cs="宋体"/>
          <w:color w:val="000000"/>
          <w:sz w:val="24"/>
          <w:szCs w:val="24"/>
          <w:lang w:val="zh-CN"/>
        </w:rPr>
        <w:t xml:space="preserve">《澄清要求函》</w:t>
      </w:r>
      <w:r>
        <w:rPr>
          <w:rFonts w:hint="eastAsia" w:ascii="宋体" w:hAnsi="宋体" w:cs="宋体"/>
          <w:color w:val="000000"/>
          <w:sz w:val="24"/>
          <w:szCs w:val="24"/>
        </w:rPr>
        <w:t xml:space="preserve">并加盖电子公章。澄清、说明和更正的内容作为响应文件的补充部分，具体操作方式见《操作手册》。</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23.3接到磋商小组澄清、说明和更正要求的供应商如未按规定做出澄清、说明和更正，其风险由供应商自行承担。</w:t>
      </w:r>
      <w:r/>
    </w:p>
    <w:p>
      <w:pPr>
        <w:pStyle w:val="943"/>
        <w:ind w:firstLine="422"/>
        <w:spacing w:before="0" w:after="0" w:line="360" w:lineRule="auto"/>
        <w:rPr>
          <w:rFonts w:hint="eastAsia" w:ascii="宋体" w:hAnsi="宋体" w:eastAsia="宋体" w:cs="宋体"/>
          <w:sz w:val="24"/>
          <w:szCs w:val="24"/>
        </w:rPr>
      </w:pPr>
      <w:r/>
      <w:bookmarkStart w:id="147" w:name="_Toc16938549"/>
      <w:r/>
      <w:bookmarkStart w:id="148" w:name="_Toc513029233"/>
      <w:r/>
      <w:bookmarkStart w:id="149" w:name="_Toc20823305"/>
      <w:r>
        <w:rPr>
          <w:rFonts w:hint="eastAsia" w:ascii="宋体" w:hAnsi="宋体" w:eastAsia="宋体" w:cs="宋体"/>
          <w:sz w:val="24"/>
          <w:szCs w:val="24"/>
        </w:rPr>
        <w:t xml:space="preserve">24.响应文件的审</w:t>
      </w:r>
      <w:bookmarkEnd w:id="147"/>
      <w:r/>
      <w:bookmarkEnd w:id="148"/>
      <w:r/>
      <w:bookmarkEnd w:id="149"/>
      <w:r>
        <w:rPr>
          <w:rFonts w:hint="eastAsia" w:ascii="宋体" w:hAnsi="宋体" w:eastAsia="宋体" w:cs="宋体"/>
          <w:sz w:val="24"/>
          <w:szCs w:val="24"/>
        </w:rPr>
        <w:t xml:space="preserve">查</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24.1响应文件审查分为资格审查和符合性审查。</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24.1.1资格审查。依据法律法规和磋商文件的规定，对响应文件中的资格证明文件进行审查，以确定供应商是否具备参加磋商的资格。</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磋商小组在进行资格审查的同时，将在“信用中国”网站（www.creditchina.gov.cn）查询供应商的信用记录，以确定供应商是否具备磋商资格,查询结果留存并归档。</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24.1.2符合性审查。依据磋商文件的规定，由磋商小组从响应文件的有效性、完整性和对磋商文件的响应程度进行审查，以确定是否对磋商文件的实质性要求作出响应。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24.1.3未通过资格审查或符合性审查的供应商，磋商小组将在苏采云系统中告知具体原因，评审结束后磋商小组将不再告知未通过资格审查或符合性审查的原因。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24.3未实质性响应磋商文件的情形</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24.3.1供应商在苏采云系统规定的时间内未成功解密电子响应文件的。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24.3.2供应商未按照磋商文件要求上传电子响应文件的。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24.3.3同一供应商提交两个（含两个）以上不同的响应文件或者最后报价的。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24.3.4供应商不具备磋商文件中规定资格要求的。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24.3.5供应商的最后报价超过了采购预算或最高限价的。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24.3.6不符合磋商文件中规定的实质性要求和条件的（</w:t>
      </w:r>
      <w:r>
        <w:rPr>
          <w:rFonts w:hint="eastAsia" w:ascii="宋体" w:hAnsi="宋体" w:cs="宋体"/>
          <w:b/>
          <w:bCs/>
          <w:color w:val="000000"/>
          <w:sz w:val="24"/>
          <w:szCs w:val="24"/>
        </w:rPr>
        <w:t xml:space="preserve">本磋商文件中斜体且有下划线部分</w:t>
      </w:r>
      <w:r>
        <w:rPr>
          <w:rFonts w:hint="eastAsia" w:ascii="宋体" w:hAnsi="宋体" w:cs="宋体"/>
          <w:b/>
          <w:bCs/>
          <w:color w:val="000000"/>
          <w:sz w:val="24"/>
          <w:szCs w:val="24"/>
          <w:lang w:val="zh-CN"/>
        </w:rPr>
        <w:t xml:space="preserve">或者打“</w:t>
      </w:r>
      <w:r>
        <w:rPr>
          <w:rFonts w:hint="eastAsia" w:ascii="宋体" w:hAnsi="宋体" w:cs="宋体"/>
          <w:b/>
          <w:bCs/>
          <w:color w:val="000000"/>
          <w:sz w:val="24"/>
          <w:szCs w:val="24"/>
        </w:rPr>
        <w:t xml:space="preserve">★</w:t>
      </w:r>
      <w:r>
        <w:rPr>
          <w:rFonts w:hint="eastAsia" w:ascii="宋体" w:hAnsi="宋体" w:cs="宋体"/>
          <w:b/>
          <w:bCs/>
          <w:color w:val="000000"/>
          <w:sz w:val="24"/>
          <w:szCs w:val="24"/>
          <w:lang w:val="zh-CN"/>
        </w:rPr>
        <w:t xml:space="preserve">”内容，</w:t>
      </w:r>
      <w:r>
        <w:rPr>
          <w:rFonts w:hint="eastAsia" w:ascii="宋体" w:hAnsi="宋体" w:cs="宋体"/>
          <w:b/>
          <w:bCs/>
          <w:color w:val="000000"/>
          <w:sz w:val="24"/>
          <w:szCs w:val="24"/>
        </w:rPr>
        <w:t xml:space="preserve">为实质性要求和条件</w:t>
      </w:r>
      <w:r>
        <w:rPr>
          <w:rFonts w:hint="eastAsia" w:ascii="宋体" w:hAnsi="宋体" w:cs="宋体"/>
          <w:color w:val="000000"/>
          <w:sz w:val="24"/>
          <w:szCs w:val="24"/>
        </w:rPr>
        <w:t xml:space="preserve">）。</w:t>
      </w:r>
      <w:r/>
    </w:p>
    <w:p>
      <w:pPr>
        <w:ind w:firstLine="4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sz w:val="24"/>
          <w:szCs w:val="24"/>
        </w:rPr>
        <w:t xml:space="preserve">24.3.7供应商被“信用中国”网站（www.creditchina.gov.cn）列入失信被执行人或重大税收违法案件当事人名单或政府采购严重失信行为记录名单。或查询“信用中国”网站后</w:t>
      </w:r>
      <w:r>
        <w:rPr>
          <w:rFonts w:hint="eastAsia" w:ascii="宋体" w:hAnsi="宋体" w:cs="宋体"/>
          <w:color w:val="000000" w:themeColor="text1"/>
          <w:sz w:val="24"/>
          <w:szCs w:val="24"/>
          <w:highlight w:val="none"/>
          <w14:textFill>
            <w14:solidFill>
              <w14:schemeClr w14:val="tx1"/>
            </w14:solidFill>
          </w14:textFill>
        </w:rPr>
        <w:t xml:space="preserve">发现供应商存在其他不符合《中华人民共和国政府采购法》第二十二条规定条件的信用记录。</w:t>
      </w:r>
      <w:r/>
    </w:p>
    <w:p>
      <w:pPr>
        <w:ind w:firstLine="4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24.3.8响应文件含有采购人不能接受的附加条件的。</w:t>
      </w:r>
      <w:r/>
    </w:p>
    <w:p>
      <w:pPr>
        <w:ind w:firstLine="420"/>
        <w:spacing w:line="360" w:lineRule="auto"/>
        <w:rPr>
          <w:rFonts w:hint="eastAsia" w:ascii="宋体" w:hAnsi="宋体" w:cs="宋体"/>
          <w:color w:val="000000"/>
          <w:sz w:val="24"/>
          <w:szCs w:val="24"/>
        </w:rPr>
      </w:pPr>
      <w:r>
        <w:rPr>
          <w:rFonts w:hint="eastAsia" w:ascii="宋体" w:hAnsi="宋体" w:cs="宋体"/>
          <w:color w:val="000000" w:themeColor="text1"/>
          <w:sz w:val="24"/>
          <w:szCs w:val="24"/>
          <w:highlight w:val="none"/>
          <w14:textFill>
            <w14:solidFill>
              <w14:schemeClr w14:val="tx1"/>
            </w14:solidFill>
          </w14:textFill>
        </w:rPr>
        <w:t xml:space="preserve">24.3.9磋商小组认为供应商的报价明显低于其他通过符合性审查供应商的报价，有可能影响服务质量或者不能诚信履约的，将通过苏采云系统要求其在</w:t>
      </w:r>
      <w:r>
        <w:rPr>
          <w:rFonts w:hint="eastAsia" w:ascii="宋体" w:hAnsi="宋体" w:cs="宋体"/>
          <w:color w:val="000000" w:themeColor="text1"/>
          <w:sz w:val="24"/>
          <w:szCs w:val="24"/>
          <w:highlight w:val="none"/>
          <w:lang w:val="en-US" w:eastAsia="zh-CN"/>
          <w14:textFill>
            <w14:solidFill>
              <w14:schemeClr w14:val="tx1"/>
            </w14:solidFill>
          </w14:textFill>
        </w:rPr>
        <w:t xml:space="preserve">30分钟</w:t>
      </w:r>
      <w:r>
        <w:rPr>
          <w:rFonts w:hint="eastAsia" w:ascii="宋体" w:hAnsi="宋体" w:cs="宋体"/>
          <w:color w:val="000000" w:themeColor="text1"/>
          <w:sz w:val="24"/>
          <w:szCs w:val="24"/>
          <w:highlight w:val="none"/>
          <w14:textFill>
            <w14:solidFill>
              <w14:schemeClr w14:val="tx1"/>
            </w14:solidFill>
          </w14:textFill>
        </w:rPr>
        <w:t xml:space="preserve">内提供说明，必要时提交相关证明材料。供应商不能证明其报价合理性的，磋商小组应</w:t>
      </w:r>
      <w:r>
        <w:rPr>
          <w:rFonts w:hint="eastAsia" w:ascii="宋体" w:hAnsi="宋体" w:cs="宋体"/>
          <w:color w:val="000000"/>
          <w:sz w:val="24"/>
          <w:szCs w:val="24"/>
        </w:rPr>
        <w:t xml:space="preserve">当将其作为无效响应处理。关于推动解决政府采购异常低价问题相关工作的通知（苏财购〔2025〕62号），评审委员会启动异常低价投标（响应）审查的情形和具体要求，包括：</w:t>
      </w:r>
      <w:r/>
    </w:p>
    <w:p>
      <w:pPr>
        <w:numPr>
          <w:ilvl w:val="0"/>
          <w:numId w:val="5"/>
        </w:numPr>
        <w:ind w:firstLine="42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rPr>
        <w:t xml:space="preserve">评审过程中出现下列情形之一的，评审委员会应当启动异常低价投标（响应）审查程序：</w:t>
      </w:r>
      <w:r>
        <w:rPr>
          <w:rFonts w:hint="eastAsia" w:ascii="宋体" w:hAnsi="宋体" w:cs="宋体"/>
          <w:color w:val="000000"/>
          <w:sz w:val="24"/>
          <w:szCs w:val="24"/>
          <w:lang w:val="en-US" w:eastAsia="zh-CN"/>
        </w:rPr>
        <w:t xml:space="preserve">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1．投标（响应）报价低于采购项目预算50%的，即投标（响应）报价&lt;采购项目预算×50%；</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2．投标（响应）报价低于采购项目最高限价45%的，即投标（响应）报价&lt;采购项目最高限价×45%；</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 评审委员会认定的供应商报价过低、有可能影响产品质量或者不能诚信履约的其他情形。</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24.3.10响应文件未按照磋商文件要求加盖电子公章的。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24.3.11法律法规及本磋商文件规定的其他无效响应的情形。</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24.4未实质性响应磋商文件的响应文件按无效响应处理。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24.5如果响应文件实质上没有响应磋商文件的要求，磋商小组将予以拒绝，供应商不得通过修改或撤销不合要求的偏离或保留而使其成为实质性响应的文件。</w:t>
      </w:r>
      <w:r/>
    </w:p>
    <w:p>
      <w:pPr>
        <w:ind w:firstLine="420"/>
        <w:spacing w:line="360" w:lineRule="auto"/>
        <w:rPr>
          <w:rFonts w:hint="eastAsia" w:ascii="宋体" w:hAnsi="宋体" w:cs="宋体"/>
          <w:color w:val="000000"/>
          <w:sz w:val="24"/>
          <w:szCs w:val="24"/>
        </w:rPr>
      </w:pPr>
      <w:r/>
      <w:bookmarkStart w:id="150" w:name="_Toc16938550"/>
      <w:r/>
      <w:bookmarkStart w:id="151" w:name="_Toc20823306"/>
      <w:r/>
      <w:bookmarkStart w:id="152" w:name="_Toc513029234"/>
      <w:r>
        <w:rPr>
          <w:rFonts w:hint="eastAsia" w:ascii="宋体" w:hAnsi="宋体" w:cs="宋体"/>
          <w:color w:val="000000"/>
          <w:sz w:val="24"/>
          <w:szCs w:val="24"/>
        </w:rPr>
        <w:t xml:space="preserve">24.6供应商在项目评审全过程中应保持通讯畅通，并安排专人与交易中心及磋商小组联系。</w:t>
      </w:r>
      <w:r/>
    </w:p>
    <w:p>
      <w:pPr>
        <w:pStyle w:val="943"/>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bookmarkEnd w:id="150"/>
      <w:r/>
      <w:bookmarkEnd w:id="151"/>
      <w:r/>
      <w:bookmarkEnd w:id="152"/>
      <w:r>
        <w:rPr>
          <w:rFonts w:hint="eastAsia" w:ascii="宋体" w:hAnsi="宋体" w:eastAsia="宋体" w:cs="宋体"/>
          <w:sz w:val="24"/>
          <w:szCs w:val="24"/>
        </w:rPr>
        <w:t xml:space="preserve">5.磋商程序及评审方法和评审标准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25.1磋商程序</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25.1.1对于通过资格审查和符合性审查的供应商，磋商小组将集中与单一供应商分别进行磋商。磋商小组通过苏采云系统向供应商发布《磋商函》，供应商应当按照要求在苏采云系统提交《磋商响应函》并加盖电子公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退出磋商函》并加盖电子公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25.2评审方法和评审标准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25.2.2评审标准</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见本磋商文件第五章规定。</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25.3采购活动终止的情况</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出现下列情形之一的，本次竞争性磋商采购活动将被终止：</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25.3.1因情况变化，不再符合规定的竞争性磋商采购方式适用情形的。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25.3.2出现影响采购公正的违法、违规行为的。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25.3.3除本磋商文件第二章第25.1.2条第三款规定的情形外，在采购过程中符合要求的供应商或者最后报价未超过采购预算的供应商不足3家的。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25.3.4在苏采云系统规定时间内成功解密电子响应文件的供应商不足3家的。</w:t>
      </w:r>
      <w:r/>
    </w:p>
    <w:p>
      <w:pPr>
        <w:pStyle w:val="942"/>
        <w:ind w:firstLine="465"/>
        <w:spacing w:before="145" w:after="145" w:line="360" w:lineRule="auto"/>
        <w:rPr>
          <w:rFonts w:hint="eastAsia" w:ascii="宋体" w:hAnsi="宋体" w:cs="宋体"/>
          <w:b w:val="0"/>
          <w:bCs w:val="0"/>
          <w:color w:val="000000"/>
          <w:sz w:val="24"/>
          <w:szCs w:val="24"/>
        </w:rPr>
      </w:pPr>
      <w:r/>
      <w:bookmarkStart w:id="153" w:name="_Toc16938551"/>
      <w:r/>
      <w:bookmarkStart w:id="154" w:name="_Toc120614219"/>
      <w:r/>
      <w:bookmarkStart w:id="155" w:name="_Toc20823307"/>
      <w:r/>
      <w:bookmarkStart w:id="156" w:name="_Toc513029235"/>
      <w:r>
        <w:rPr>
          <w:rFonts w:hint="eastAsia" w:ascii="宋体" w:hAnsi="宋体" w:cs="宋体"/>
          <w:b w:val="0"/>
          <w:bCs w:val="0"/>
          <w:color w:val="000000"/>
          <w:sz w:val="24"/>
          <w:szCs w:val="24"/>
        </w:rPr>
        <w:t xml:space="preserve">六、</w:t>
      </w:r>
      <w:bookmarkEnd w:id="153"/>
      <w:r/>
      <w:bookmarkEnd w:id="154"/>
      <w:r/>
      <w:bookmarkEnd w:id="155"/>
      <w:r/>
      <w:bookmarkEnd w:id="156"/>
      <w:r>
        <w:rPr>
          <w:rFonts w:hint="eastAsia" w:ascii="宋体" w:hAnsi="宋体" w:cs="宋体"/>
          <w:b w:val="0"/>
          <w:bCs w:val="0"/>
          <w:color w:val="000000"/>
          <w:sz w:val="24"/>
          <w:szCs w:val="24"/>
        </w:rPr>
        <w:t xml:space="preserve">成交</w:t>
      </w:r>
      <w:r/>
    </w:p>
    <w:p>
      <w:pPr>
        <w:pStyle w:val="943"/>
        <w:ind w:firstLine="422"/>
        <w:spacing w:before="0" w:after="0" w:line="360" w:lineRule="auto"/>
        <w:rPr>
          <w:rFonts w:hint="eastAsia" w:ascii="宋体" w:hAnsi="宋体" w:eastAsia="宋体" w:cs="宋体"/>
          <w:sz w:val="24"/>
          <w:szCs w:val="24"/>
        </w:rPr>
      </w:pPr>
      <w:r/>
      <w:bookmarkStart w:id="157" w:name="_Toc513029238"/>
      <w:r/>
      <w:bookmarkStart w:id="158" w:name="_Toc16938554"/>
      <w:r/>
      <w:bookmarkStart w:id="159" w:name="_Toc20823310"/>
      <w:r>
        <w:rPr>
          <w:rFonts w:hint="eastAsia" w:ascii="宋体" w:hAnsi="宋体" w:eastAsia="宋体" w:cs="宋体"/>
          <w:sz w:val="24"/>
          <w:szCs w:val="24"/>
        </w:rPr>
        <w:t xml:space="preserve">2</w:t>
      </w:r>
      <w:bookmarkEnd w:id="157"/>
      <w:r>
        <w:rPr>
          <w:rFonts w:hint="eastAsia" w:ascii="宋体" w:hAnsi="宋体" w:eastAsia="宋体" w:cs="宋体"/>
          <w:sz w:val="24"/>
          <w:szCs w:val="24"/>
        </w:rPr>
        <w:t xml:space="preserve">6.确定</w:t>
      </w:r>
      <w:bookmarkEnd w:id="158"/>
      <w:r/>
      <w:bookmarkEnd w:id="159"/>
      <w:r>
        <w:rPr>
          <w:rFonts w:hint="eastAsia" w:ascii="宋体" w:hAnsi="宋体" w:eastAsia="宋体" w:cs="宋体"/>
          <w:sz w:val="24"/>
          <w:szCs w:val="24"/>
        </w:rPr>
        <w:t xml:space="preserve">成交单位</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26.1磋商小组根据综合评分情况，按照评审得分由高到低顺序推荐3名成交候选供应商，并编写评审报告。符合本磋商文件第二章第25.1.2条情形的，可以推荐2名成交候选供应商。评审得分相同的，按照最后报价由低到高的顺序推荐。评审得分且最后报价相同的，按照“第五章评审方法与评审标准”确定的顺序推荐。</w:t>
      </w:r>
      <w:r/>
    </w:p>
    <w:p>
      <w:pPr>
        <w:ind w:firstLine="420"/>
        <w:spacing w:line="360" w:lineRule="auto"/>
        <w:rPr>
          <w:rFonts w:hint="eastAsia" w:ascii="宋体" w:hAnsi="宋体" w:cs="宋体"/>
          <w:sz w:val="24"/>
          <w:szCs w:val="24"/>
        </w:rPr>
      </w:pPr>
      <w:r>
        <w:rPr>
          <w:rFonts w:hint="eastAsia" w:ascii="宋体" w:hAnsi="宋体" w:cs="宋体"/>
          <w:color w:val="000000"/>
          <w:sz w:val="24"/>
          <w:szCs w:val="24"/>
        </w:rPr>
        <w:t xml:space="preserve">26.2</w:t>
      </w:r>
      <w:r>
        <w:rPr>
          <w:rFonts w:hint="eastAsia" w:ascii="宋体" w:hAnsi="宋体" w:cs="宋体"/>
          <w:color w:val="000000"/>
          <w:sz w:val="24"/>
          <w:szCs w:val="24"/>
          <w:lang w:val="zh-CN"/>
        </w:rPr>
        <w:t xml:space="preserve">按以下第（</w:t>
      </w: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）种方式确定</w:t>
      </w:r>
      <w:r>
        <w:rPr>
          <w:rFonts w:hint="eastAsia" w:ascii="宋体" w:hAnsi="宋体" w:cs="宋体"/>
          <w:color w:val="000000"/>
          <w:sz w:val="24"/>
          <w:szCs w:val="24"/>
        </w:rPr>
        <w:t xml:space="preserve">成交供应商</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磋商小组</w:t>
      </w:r>
      <w:r>
        <w:rPr>
          <w:rFonts w:hint="eastAsia" w:ascii="宋体" w:hAnsi="宋体" w:cs="宋体"/>
          <w:color w:val="000000"/>
          <w:sz w:val="24"/>
          <w:szCs w:val="24"/>
          <w:lang w:val="zh-CN"/>
        </w:rPr>
        <w:t xml:space="preserve">直接确定排名第一的</w:t>
      </w:r>
      <w:r>
        <w:rPr>
          <w:rFonts w:hint="eastAsia" w:ascii="宋体" w:hAnsi="宋体" w:cs="宋体"/>
          <w:color w:val="000000"/>
          <w:sz w:val="24"/>
          <w:szCs w:val="24"/>
        </w:rPr>
        <w:t xml:space="preserve">成交候选供应商</w:t>
      </w:r>
      <w:r>
        <w:rPr>
          <w:rFonts w:hint="eastAsia" w:ascii="宋体" w:hAnsi="宋体" w:cs="宋体"/>
          <w:color w:val="000000"/>
          <w:sz w:val="24"/>
          <w:szCs w:val="24"/>
          <w:lang w:val="zh-CN"/>
        </w:rPr>
        <w:t xml:space="preserve">为</w:t>
      </w:r>
      <w:r>
        <w:rPr>
          <w:rFonts w:hint="eastAsia" w:ascii="宋体" w:hAnsi="宋体" w:cs="宋体"/>
          <w:color w:val="000000"/>
          <w:sz w:val="24"/>
          <w:szCs w:val="24"/>
        </w:rPr>
        <w:t xml:space="preserve">成交供应商</w:t>
      </w:r>
      <w:r>
        <w:rPr>
          <w:rFonts w:hint="eastAsia" w:ascii="宋体" w:hAnsi="宋体" w:cs="宋体"/>
          <w:color w:val="000000"/>
          <w:sz w:val="24"/>
          <w:szCs w:val="24"/>
          <w:lang w:val="zh-CN"/>
        </w:rPr>
        <w:t xml:space="preserve">；</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（2）采购人在</w:t>
      </w:r>
      <w:r>
        <w:rPr>
          <w:rFonts w:hint="eastAsia" w:ascii="宋体" w:hAnsi="宋体" w:cs="宋体"/>
          <w:color w:val="000000"/>
          <w:sz w:val="24"/>
          <w:szCs w:val="24"/>
        </w:rPr>
        <w:t xml:space="preserve">磋商小组</w:t>
      </w:r>
      <w:r>
        <w:rPr>
          <w:rFonts w:hint="eastAsia" w:ascii="宋体" w:hAnsi="宋体" w:cs="宋体"/>
          <w:color w:val="000000"/>
          <w:sz w:val="24"/>
          <w:szCs w:val="24"/>
          <w:lang w:val="zh-CN"/>
        </w:rPr>
        <w:t xml:space="preserve">推荐的</w:t>
      </w:r>
      <w:r>
        <w:rPr>
          <w:rFonts w:hint="eastAsia" w:ascii="宋体" w:hAnsi="宋体" w:cs="宋体"/>
          <w:color w:val="000000"/>
          <w:sz w:val="24"/>
          <w:szCs w:val="24"/>
        </w:rPr>
        <w:t xml:space="preserve">成交候选供应商</w:t>
      </w:r>
      <w:r>
        <w:rPr>
          <w:rFonts w:hint="eastAsia" w:ascii="宋体" w:hAnsi="宋体" w:cs="宋体"/>
          <w:color w:val="000000"/>
          <w:sz w:val="24"/>
          <w:szCs w:val="24"/>
          <w:lang w:val="zh-CN"/>
        </w:rPr>
        <w:t xml:space="preserve">中按顺序确定</w:t>
      </w:r>
      <w:r>
        <w:rPr>
          <w:rFonts w:hint="eastAsia" w:ascii="宋体" w:hAnsi="宋体" w:cs="宋体"/>
          <w:color w:val="000000"/>
          <w:sz w:val="24"/>
          <w:szCs w:val="24"/>
        </w:rPr>
        <w:t xml:space="preserve">成交供应商</w:t>
      </w:r>
      <w:r>
        <w:rPr>
          <w:rFonts w:hint="eastAsia" w:ascii="宋体" w:hAnsi="宋体" w:cs="宋体"/>
          <w:color w:val="000000"/>
          <w:sz w:val="24"/>
          <w:szCs w:val="24"/>
          <w:lang w:val="zh-CN"/>
        </w:rPr>
        <w:t xml:space="preserve">。</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按第二种方式确定</w:t>
      </w:r>
      <w:r>
        <w:rPr>
          <w:rFonts w:hint="eastAsia" w:ascii="宋体" w:hAnsi="宋体" w:cs="宋体"/>
          <w:color w:val="000000"/>
          <w:sz w:val="24"/>
          <w:szCs w:val="24"/>
        </w:rPr>
        <w:t xml:space="preserve">成交供应商</w:t>
      </w:r>
      <w:r>
        <w:rPr>
          <w:rFonts w:hint="eastAsia" w:ascii="宋体" w:hAnsi="宋体" w:cs="宋体"/>
          <w:color w:val="000000"/>
          <w:sz w:val="24"/>
          <w:szCs w:val="24"/>
          <w:lang w:val="zh-CN"/>
        </w:rPr>
        <w:t xml:space="preserve">的，交易中心自评审结束之日起两个工作日内将评审报告送交采购人，采购人自收到评审报告之日起五个工作日内，在评审报告推荐的</w:t>
      </w:r>
      <w:r>
        <w:rPr>
          <w:rFonts w:hint="eastAsia" w:ascii="宋体" w:hAnsi="宋体" w:cs="宋体"/>
          <w:color w:val="000000"/>
          <w:sz w:val="24"/>
          <w:szCs w:val="24"/>
        </w:rPr>
        <w:t xml:space="preserve">成交候选供应商</w:t>
      </w:r>
      <w:r>
        <w:rPr>
          <w:rFonts w:hint="eastAsia" w:ascii="宋体" w:hAnsi="宋体" w:cs="宋体"/>
          <w:color w:val="000000"/>
          <w:sz w:val="24"/>
          <w:szCs w:val="24"/>
          <w:lang w:val="zh-CN"/>
        </w:rPr>
        <w:t xml:space="preserve">中按顺序确定</w:t>
      </w:r>
      <w:r>
        <w:rPr>
          <w:rFonts w:hint="eastAsia" w:ascii="宋体" w:hAnsi="宋体" w:cs="宋体"/>
          <w:color w:val="000000"/>
          <w:sz w:val="24"/>
          <w:szCs w:val="24"/>
        </w:rPr>
        <w:t xml:space="preserve">成交供应商</w:t>
      </w:r>
      <w:r>
        <w:rPr>
          <w:rFonts w:hint="eastAsia" w:ascii="宋体" w:hAnsi="宋体" w:cs="宋体"/>
          <w:color w:val="000000"/>
          <w:sz w:val="24"/>
          <w:szCs w:val="24"/>
          <w:lang w:val="zh-CN"/>
        </w:rPr>
        <w:t xml:space="preserve">。</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26.3交易中心将在“江苏政府采购网”发布成交结果公告，公告期限为1个工作日。</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26.4</w:t>
      </w:r>
      <w:r>
        <w:rPr>
          <w:rFonts w:hint="eastAsia" w:ascii="宋体" w:hAnsi="宋体" w:cs="宋体"/>
          <w:b/>
          <w:bCs/>
          <w:color w:val="000000"/>
          <w:sz w:val="24"/>
          <w:szCs w:val="24"/>
        </w:rPr>
        <w:t xml:space="preserve">若有充分证据证明，成交供应商出现下列情况之一的，一经查实，将被取消成交资格：</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26.4.1提供虚假材料谋取成交的。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26.4.2与评审专家、采购人、其他供应商或者交易中心工作人员恶意串通的。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26.4.3向评审专家、采购人或交易中心工作人员行贿或者提供其他不正当利益的。</w:t>
      </w:r>
      <w:r/>
    </w:p>
    <w:p>
      <w:pPr>
        <w:ind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26.4.4恶意竞争，最后报价明显低于其自身合理成本且又无法提供证明的。</w:t>
      </w:r>
      <w:r/>
    </w:p>
    <w:p>
      <w:pPr>
        <w:ind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26.4.5不满足本磋商文件规定的实质性要求，但在评审过程中未被磋商小组发现的。</w:t>
      </w:r>
      <w:r/>
    </w:p>
    <w:p>
      <w:pPr>
        <w:ind w:firstLine="420"/>
        <w:spacing w:line="360" w:lineRule="auto"/>
        <w:rPr>
          <w:rFonts w:hint="eastAsia" w:ascii="宋体" w:hAnsi="宋体" w:cs="宋体"/>
          <w:color w:val="000000"/>
          <w:sz w:val="24"/>
          <w:szCs w:val="24"/>
        </w:rPr>
      </w:pPr>
      <w:r>
        <w:rPr>
          <w:rFonts w:hint="eastAsia" w:ascii="宋体" w:hAnsi="宋体" w:cs="宋体"/>
          <w:color w:val="000000" w:themeColor="text1"/>
          <w:sz w:val="24"/>
          <w:szCs w:val="24"/>
          <w14:textFill>
            <w14:solidFill>
              <w14:schemeClr w14:val="tx1"/>
            </w14:solidFill>
          </w14:textFill>
        </w:rPr>
        <w:t xml:space="preserve">26.4.6成交后无正当理由拒不与</w:t>
      </w:r>
      <w:r>
        <w:rPr>
          <w:rFonts w:hint="eastAsia" w:ascii="宋体" w:hAnsi="宋体" w:cs="宋体"/>
          <w:color w:val="000000"/>
          <w:sz w:val="24"/>
          <w:szCs w:val="24"/>
        </w:rPr>
        <w:t xml:space="preserve">采购人签订政府采购合同或者未按照磋商文件确定的事项签订政府采购合同的。</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26.3.7将政府采购合同转包的。</w:t>
      </w:r>
      <w:r/>
    </w:p>
    <w:p>
      <w:pPr>
        <w:pStyle w:val="943"/>
        <w:ind w:firstLine="422"/>
        <w:spacing w:before="0" w:after="0" w:line="360" w:lineRule="auto"/>
        <w:rPr>
          <w:rFonts w:hint="eastAsia" w:ascii="宋体" w:hAnsi="宋体" w:eastAsia="宋体" w:cs="宋体"/>
          <w:sz w:val="24"/>
          <w:szCs w:val="24"/>
        </w:rPr>
      </w:pPr>
      <w:r/>
      <w:bookmarkStart w:id="160" w:name="_Toc200451960"/>
      <w:r>
        <w:rPr>
          <w:rFonts w:hint="eastAsia" w:ascii="宋体" w:hAnsi="宋体" w:eastAsia="宋体" w:cs="宋体"/>
          <w:sz w:val="24"/>
          <w:szCs w:val="24"/>
        </w:rPr>
        <w:t xml:space="preserve">27.质疑处理</w:t>
      </w:r>
      <w:bookmarkEnd w:id="160"/>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.2供应商认为采购文件、采购过程和采购结果使自己的权益受到损害的，可以在知道或应知其权益受到损害之日起七个工作日内，根据2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.4条的规定以书面形式向交易中心或采购人提出质疑。</w:t>
      </w:r>
      <w:r>
        <w:rPr>
          <w:rFonts w:hint="eastAsia" w:ascii="宋体" w:hAnsi="宋体" w:cs="宋体"/>
          <w:b/>
          <w:bCs/>
          <w:color w:val="000000"/>
          <w:sz w:val="24"/>
          <w:szCs w:val="24"/>
          <w:lang w:val="zh-CN"/>
        </w:rPr>
        <w:t xml:space="preserve">上述应知其权益受到损害之日是指：</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.2.1对采购文件提出质疑的，为收到采购文件之日或者采购文件公告期限届满之日。</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.2.2对采购过程提出质疑的，为各采购程序环节结束之日。</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.2.3对成交结果提出质疑的，为成交结果公告期限届满之日。</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27.3</w:t>
      </w:r>
      <w:r>
        <w:rPr>
          <w:rFonts w:hint="eastAsia" w:ascii="宋体" w:hAnsi="宋体" w:cs="宋体"/>
          <w:color w:val="000000"/>
          <w:sz w:val="24"/>
          <w:szCs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s="宋体"/>
          <w:color w:val="000000"/>
          <w:sz w:val="24"/>
          <w:szCs w:val="24"/>
        </w:rPr>
        <w:t xml:space="preserve">或</w:t>
      </w:r>
      <w:r>
        <w:rPr>
          <w:rFonts w:hint="eastAsia" w:ascii="宋体" w:hAnsi="宋体" w:cs="宋体"/>
          <w:color w:val="000000"/>
          <w:sz w:val="24"/>
          <w:szCs w:val="24"/>
          <w:lang w:val="zh-CN"/>
        </w:rPr>
        <w:t xml:space="preserve">采购人将只对供应商第一次质疑作出答复。</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供应商提出质疑，应提交《质疑函》原件，且尽可能通过邮寄方式送达，交易中心和采购人不接受无运单的快件。《质疑函》应按照本采购文件中《质疑函范本》</w:t>
      </w:r>
      <w:r>
        <w:rPr>
          <w:rFonts w:hint="eastAsia" w:ascii="宋体" w:hAnsi="宋体" w:cs="宋体"/>
          <w:color w:val="000000"/>
          <w:sz w:val="24"/>
          <w:szCs w:val="24"/>
        </w:rPr>
        <w:t xml:space="preserve">的</w:t>
      </w:r>
      <w:r>
        <w:rPr>
          <w:rFonts w:hint="eastAsia" w:ascii="宋体" w:hAnsi="宋体" w:cs="宋体"/>
          <w:color w:val="000000"/>
          <w:sz w:val="24"/>
          <w:szCs w:val="24"/>
          <w:lang w:val="zh-CN"/>
        </w:rPr>
        <w:t xml:space="preserve">格式和内容填写。</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供应商如组成联合体参加磋商，《质疑函范本》中要求加盖公章之处，联合体各方均须按要求加盖公章。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b/>
          <w:bCs/>
          <w:color w:val="000000"/>
          <w:sz w:val="24"/>
          <w:szCs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cs="宋体"/>
          <w:color w:val="000000"/>
          <w:sz w:val="24"/>
          <w:szCs w:val="24"/>
          <w:lang w:val="zh-CN"/>
        </w:rPr>
        <w:t xml:space="preserve">供应商对除上述事项以外其他事项的询问、质疑向交易中心提出，由交易中心负责答复。</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交易中心和采购人只接收以纸质原件形式送达的质疑,建议供应商尽量通过邮寄方式提交质疑（交易中心和采购人不接受未填写快递运单的快件）。</w:t>
      </w:r>
      <w:r/>
    </w:p>
    <w:p>
      <w:pPr>
        <w:ind w:firstLine="422"/>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采购人《质疑</w:t>
      </w:r>
      <w:r>
        <w:rPr>
          <w:rFonts w:hint="eastAsia" w:ascii="宋体" w:hAnsi="宋体" w:cs="宋体"/>
          <w:b/>
          <w:bCs/>
          <w:color w:val="000000"/>
          <w:sz w:val="24"/>
          <w:szCs w:val="24"/>
        </w:rPr>
        <w:t xml:space="preserve">函</w:t>
      </w:r>
      <w:r>
        <w:rPr>
          <w:rFonts w:hint="eastAsia" w:ascii="宋体" w:hAnsi="宋体" w:cs="宋体"/>
          <w:b/>
          <w:bCs/>
          <w:color w:val="000000"/>
          <w:sz w:val="24"/>
          <w:szCs w:val="24"/>
          <w:lang w:val="zh-CN"/>
        </w:rPr>
        <w:t xml:space="preserve">》接收人及联系方式见采购文件第一章。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交易中心《质疑</w:t>
      </w:r>
      <w:r>
        <w:rPr>
          <w:rFonts w:hint="eastAsia" w:ascii="宋体" w:hAnsi="宋体" w:cs="宋体"/>
          <w:color w:val="000000"/>
          <w:sz w:val="24"/>
          <w:szCs w:val="24"/>
        </w:rPr>
        <w:t xml:space="preserve">函</w:t>
      </w:r>
      <w:r>
        <w:rPr>
          <w:rFonts w:hint="eastAsia" w:ascii="宋体" w:hAnsi="宋体" w:cs="宋体"/>
          <w:color w:val="000000"/>
          <w:sz w:val="24"/>
          <w:szCs w:val="24"/>
          <w:lang w:val="zh-CN"/>
        </w:rPr>
        <w:t xml:space="preserve">》接收部门为政府采购部（快递运单上的收件人填写“政府采购部”），地址：南京市浦口区象山路4号B座，南京市浦口区江浦街道象山路4号浦口市民中心B幢五楼受理大厅，联系电话：025-69659050</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以下情形的质疑不予受理：</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.1内容不符合《政府采购质疑和投诉办法》第十二条规定的质疑。</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.2超出政府采购法定期限的质疑。</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.3以传真、电子邮件等方式递交的非原件形式的质疑。</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.4未参加磋商活动的供应商或在磋商活动中自身权益未受到损害的供应商所提出的质疑。</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.5供应商组成联合体参加磋商，联合体中任何一方或多方未按要求签字、盖章、加盖公章的质疑。</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43"/>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28.成交通知书</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28.1成交结果确定后，交易中心将向成交供应商发出《成交通知书》。交供应商可在成交结果公告届满之日起三十日内，登录苏采云系统下载。</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因系统存储空间有限，自成交结果公告届满之日起三十日后，苏采云系统不再保证提供下载《成交通知书》服务,因未及时下载而造成的不利后果由成交供应商自行承担。</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28.2《成交通知书》将是合同的一个组成部分，对采购人和成交供应商均具有法律效力。《成交通知书》发出后，采购人改变成交结果的，或者成交供应商放弃成交项目的，应当依法承担法律责任。</w:t>
      </w:r>
      <w:r/>
    </w:p>
    <w:p>
      <w:pPr>
        <w:pStyle w:val="942"/>
        <w:ind w:firstLine="465"/>
        <w:spacing w:before="145" w:after="145" w:line="360" w:lineRule="auto"/>
        <w:rPr>
          <w:rFonts w:hint="eastAsia" w:ascii="宋体" w:hAnsi="宋体" w:cs="宋体"/>
          <w:b w:val="0"/>
          <w:bCs w:val="0"/>
          <w:color w:val="000000"/>
          <w:sz w:val="24"/>
          <w:szCs w:val="24"/>
        </w:rPr>
      </w:pPr>
      <w:r/>
      <w:bookmarkStart w:id="161" w:name="_Toc120614220"/>
      <w:r/>
      <w:bookmarkStart w:id="162" w:name="_Toc16938552"/>
      <w:r/>
      <w:bookmarkStart w:id="163" w:name="_Toc513029236"/>
      <w:r/>
      <w:bookmarkStart w:id="164" w:name="_Toc20823308"/>
      <w:r>
        <w:rPr>
          <w:rFonts w:hint="eastAsia" w:ascii="宋体" w:hAnsi="宋体" w:cs="宋体"/>
          <w:b w:val="0"/>
          <w:bCs w:val="0"/>
          <w:color w:val="000000"/>
          <w:sz w:val="24"/>
          <w:szCs w:val="24"/>
        </w:rPr>
        <w:t xml:space="preserve">七、授予合同</w:t>
      </w:r>
      <w:bookmarkEnd w:id="161"/>
      <w:r/>
      <w:bookmarkEnd w:id="162"/>
      <w:r/>
      <w:bookmarkEnd w:id="163"/>
      <w:r/>
      <w:bookmarkEnd w:id="164"/>
      <w:r/>
      <w:r/>
    </w:p>
    <w:p>
      <w:pPr>
        <w:pStyle w:val="943"/>
        <w:ind w:firstLine="422"/>
        <w:spacing w:before="0" w:after="0" w:line="360" w:lineRule="auto"/>
        <w:rPr>
          <w:rFonts w:hint="eastAsia" w:ascii="宋体" w:hAnsi="宋体" w:eastAsia="宋体" w:cs="宋体"/>
          <w:sz w:val="24"/>
          <w:szCs w:val="24"/>
        </w:rPr>
      </w:pPr>
      <w:r/>
      <w:bookmarkStart w:id="165" w:name="_Toc513029237"/>
      <w:r/>
      <w:bookmarkStart w:id="166" w:name="_Toc16938553"/>
      <w:r/>
      <w:bookmarkStart w:id="167" w:name="_Toc20823309"/>
      <w:r>
        <w:rPr>
          <w:rFonts w:hint="eastAsia" w:ascii="宋体" w:hAnsi="宋体" w:eastAsia="宋体" w:cs="宋体"/>
          <w:sz w:val="24"/>
          <w:szCs w:val="24"/>
        </w:rPr>
        <w:t xml:space="preserve">29.签订合同</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29.l成交供应商应当在《成交通知书》发出之日起三十日内，按照磋商文件确定的事项与采购人签订政府采购合同。</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29.2磋商文件、成交供应商的响应文件及磋商过程中有关澄清、承诺文件均作为合同附件。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29.4成交供应商因自身原因拒绝与采购人签订合同的，不得参加</w:t>
      </w:r>
      <w:r>
        <w:rPr>
          <w:rFonts w:hint="eastAsia" w:ascii="宋体" w:hAnsi="宋体" w:cs="宋体"/>
          <w:color w:val="000000"/>
          <w:sz w:val="24"/>
          <w:szCs w:val="24"/>
          <w:lang w:val="zh-CN"/>
        </w:rPr>
        <w:t xml:space="preserve">采购人</w:t>
      </w:r>
      <w:r>
        <w:rPr>
          <w:rFonts w:hint="eastAsia" w:ascii="宋体" w:hAnsi="宋体" w:cs="宋体"/>
          <w:color w:val="000000"/>
          <w:sz w:val="24"/>
          <w:szCs w:val="24"/>
        </w:rPr>
        <w:t xml:space="preserve">重新组织的采购活动</w:t>
      </w:r>
      <w:r>
        <w:rPr>
          <w:rFonts w:hint="eastAsia" w:ascii="宋体" w:hAnsi="宋体" w:cs="宋体"/>
          <w:color w:val="000000"/>
          <w:sz w:val="24"/>
          <w:szCs w:val="24"/>
          <w:lang w:val="zh-CN"/>
        </w:rPr>
        <w:t xml:space="preserve">。</w:t>
      </w:r>
      <w:r/>
    </w:p>
    <w:p>
      <w:pPr>
        <w:pStyle w:val="943"/>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30.标的物的追加</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30.1政府采购合同履行中，采购人需追加与合同标的相同的服务（包含与服务相关的货物），在不改变合同其他条款的前提下，可以与成交供应商协商签订补充合同，但所有补充合同的采购金额不超过原合同金额10%。</w:t>
      </w:r>
      <w:bookmarkEnd w:id="165"/>
      <w:r/>
      <w:bookmarkEnd w:id="166"/>
      <w:r/>
      <w:bookmarkEnd w:id="167"/>
      <w:r/>
      <w:r/>
    </w:p>
    <w:p>
      <w:pPr>
        <w:pStyle w:val="943"/>
        <w:ind w:firstLine="42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31.政府采购履约资金扶持政策</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31.1成交供应商通过</w:t>
      </w:r>
      <w:r>
        <w:rPr>
          <w:rFonts w:hint="eastAsia" w:ascii="宋体" w:hAnsi="宋体" w:cs="宋体"/>
          <w:color w:val="000000"/>
          <w:sz w:val="24"/>
          <w:szCs w:val="24"/>
          <w:lang w:val="zh-CN"/>
        </w:rPr>
        <w:t xml:space="preserve">南京市公共资源交易中心浦口分中心网站“小企业融资平台”，</w:t>
      </w:r>
      <w:r>
        <w:rPr>
          <w:rFonts w:hint="eastAsia" w:ascii="宋体" w:hAnsi="宋体" w:cs="宋体"/>
          <w:color w:val="000000"/>
          <w:sz w:val="24"/>
          <w:szCs w:val="24"/>
        </w:rPr>
        <w:t xml:space="preserve">选择相应的金融机构</w:t>
      </w:r>
      <w:r>
        <w:rPr>
          <w:rFonts w:hint="eastAsia" w:ascii="宋体" w:hAnsi="宋体" w:cs="宋体"/>
          <w:color w:val="000000"/>
          <w:sz w:val="24"/>
          <w:szCs w:val="24"/>
          <w:lang w:val="zh-CN"/>
        </w:rPr>
        <w:t xml:space="preserve">办理融资贷款。</w:t>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pStyle w:val="742"/>
        <w:jc w:val="center"/>
      </w:pPr>
      <w:r>
        <w:rPr>
          <w:rFonts w:hint="eastAsia"/>
        </w:rPr>
        <w:t xml:space="preserve">第三章合同</w:t>
      </w:r>
      <w:bookmarkEnd w:id="49"/>
      <w:r/>
      <w:bookmarkEnd w:id="50"/>
      <w:r/>
      <w:bookmarkEnd w:id="51"/>
      <w:r/>
      <w:bookmarkEnd w:id="52"/>
      <w:r/>
      <w:bookmarkEnd w:id="53"/>
      <w:r>
        <w:rPr>
          <w:rFonts w:hint="eastAsia"/>
        </w:rPr>
        <w:t xml:space="preserve">文本</w:t>
      </w:r>
      <w:r/>
    </w:p>
    <w:p>
      <w:pPr>
        <w:jc w:val="center"/>
        <w:spacing w:before="145" w:after="145" w:line="288" w:lineRule="auto"/>
        <w:rPr>
          <w:rFonts w:hint="eastAsia" w:ascii="宋体" w:hAnsi="宋体"/>
          <w:b/>
          <w:bCs/>
          <w:color w:val="000000" w:themeColor="text1"/>
          <w:sz w:val="30"/>
          <w:szCs w:val="20"/>
          <w14:textFill>
            <w14:solidFill>
              <w14:schemeClr w14:val="tx1"/>
            </w14:solidFill>
          </w14:textFill>
        </w:rPr>
        <w:outlineLvl w:val="0"/>
      </w:pPr>
      <w:r>
        <w:rPr>
          <w:rFonts w:hint="eastAsia" w:ascii="宋体" w:hAnsi="宋体"/>
          <w:b/>
          <w:color w:val="000000" w:themeColor="text1"/>
          <w:sz w:val="30"/>
          <w14:textFill>
            <w14:solidFill>
              <w14:schemeClr w14:val="tx1"/>
            </w14:solidFill>
          </w14:textFill>
        </w:rPr>
        <w:t xml:space="preserve">南京市政府采购合同（服务）（合同编号）</w:t>
      </w:r>
      <w:r/>
    </w:p>
    <w:p>
      <w:pPr>
        <w:jc w:val="left"/>
        <w:spacing w:before="145" w:after="145" w:line="264" w:lineRule="auto"/>
        <w:rPr>
          <w:rFonts w:hint="eastAsia" w:ascii="宋体" w:hAnsi="宋体" w:cs="Courier New"/>
          <w:color w:val="000000" w:themeColor="text1"/>
          <w:sz w:val="24"/>
          <w:szCs w:val="24"/>
          <w14:textFill>
            <w14:solidFill>
              <w14:schemeClr w14:val="tx1"/>
            </w14:solidFill>
          </w14:textFill>
        </w:rPr>
        <w:outlineLvl w:val="0"/>
      </w:pPr>
      <w:r>
        <w:rPr>
          <w:rFonts w:ascii="宋体" w:hAnsi="宋体" w:cs="Courier New"/>
          <w:color w:val="000000" w:themeColor="text1"/>
          <w:sz w:val="24"/>
          <w:szCs w:val="24"/>
          <w14:textFill>
            <w14:solidFill>
              <w14:schemeClr w14:val="tx1"/>
            </w14:solidFill>
          </w14:textFill>
        </w:rPr>
        <w:t xml:space="preserve">合同编号：</w:t>
      </w:r>
      <w:r/>
    </w:p>
    <w:p>
      <w:pPr>
        <w:spacing w:before="145" w:after="145" w:line="264" w:lineRule="auto"/>
        <w:rPr>
          <w:rFonts w:hint="eastAsia" w:ascii="宋体" w:hAnsi="宋体" w:cs="Courier New"/>
          <w:color w:val="000000" w:themeColor="text1"/>
          <w:sz w:val="24"/>
          <w:szCs w:val="24"/>
          <w14:textFill>
            <w14:solidFill>
              <w14:schemeClr w14:val="tx1"/>
            </w14:solidFill>
          </w14:textFill>
        </w:rPr>
        <w:outlineLvl w:val="0"/>
      </w:pPr>
      <w:r>
        <w:rPr>
          <w:rFonts w:ascii="宋体" w:hAnsi="宋体" w:cs="Courier New"/>
          <w:color w:val="000000" w:themeColor="text1"/>
          <w:sz w:val="24"/>
          <w:szCs w:val="24"/>
          <w14:textFill>
            <w14:solidFill>
              <w14:schemeClr w14:val="tx1"/>
            </w14:solidFill>
          </w14:textFill>
        </w:rPr>
        <w:t xml:space="preserve">项目名称：                                       项目编号：</w:t>
      </w:r>
      <w:r/>
    </w:p>
    <w:p>
      <w:pPr>
        <w:jc w:val="left"/>
        <w:spacing w:before="145" w:after="145" w:line="264" w:lineRule="auto"/>
        <w:rPr>
          <w:rFonts w:hint="eastAsia" w:ascii="宋体" w:hAnsi="宋体" w:cs="Courier New"/>
          <w:color w:val="000000" w:themeColor="text1"/>
          <w:sz w:val="24"/>
          <w:szCs w:val="24"/>
          <w14:textFill>
            <w14:solidFill>
              <w14:schemeClr w14:val="tx1"/>
            </w14:solidFill>
          </w14:textFill>
        </w:rPr>
        <w:outlineLvl w:val="0"/>
      </w:pPr>
      <w:r>
        <w:rPr>
          <w:rFonts w:ascii="宋体" w:hAnsi="宋体" w:cs="Courier New"/>
          <w:color w:val="000000" w:themeColor="text1"/>
          <w:sz w:val="24"/>
          <w:szCs w:val="24"/>
          <w14:textFill>
            <w14:solidFill>
              <w14:schemeClr w14:val="tx1"/>
            </w14:solidFill>
          </w14:textFill>
        </w:rPr>
        <w:t xml:space="preserve">甲方：（买方）</w:t>
      </w:r>
      <w:r/>
    </w:p>
    <w:p>
      <w:pPr>
        <w:jc w:val="left"/>
        <w:spacing w:before="145" w:after="145" w:line="264" w:lineRule="auto"/>
        <w:rPr>
          <w:rFonts w:hint="eastAsia" w:ascii="宋体" w:hAnsi="宋体" w:cs="Courier New"/>
          <w:color w:val="000000" w:themeColor="text1"/>
          <w:sz w:val="24"/>
          <w:szCs w:val="24"/>
          <w14:textFill>
            <w14:solidFill>
              <w14:schemeClr w14:val="tx1"/>
            </w14:solidFill>
          </w14:textFill>
        </w:rPr>
        <w:outlineLvl w:val="0"/>
      </w:pPr>
      <w:r>
        <w:rPr>
          <w:rFonts w:ascii="宋体" w:hAnsi="宋体" w:cs="Courier New"/>
          <w:color w:val="000000" w:themeColor="text1"/>
          <w:sz w:val="24"/>
          <w:szCs w:val="24"/>
          <w14:textFill>
            <w14:solidFill>
              <w14:schemeClr w14:val="tx1"/>
            </w14:solidFill>
          </w14:textFill>
        </w:rPr>
        <w:t xml:space="preserve">乙方：（卖方）</w:t>
      </w:r>
      <w:r/>
    </w:p>
    <w:p>
      <w:pPr>
        <w:spacing w:line="264" w:lineRule="auto"/>
        <w:rPr>
          <w:rFonts w:hint="eastAsia" w:ascii="宋体" w:hAnsi="宋体" w:cs="Courier New"/>
          <w:b/>
          <w:color w:val="000000" w:themeColor="text1"/>
          <w:sz w:val="24"/>
          <w:szCs w:val="24"/>
          <w14:textFill>
            <w14:solidFill>
              <w14:schemeClr w14:val="tx1"/>
            </w14:solidFill>
          </w14:textFill>
        </w:rPr>
      </w:pPr>
      <w:r>
        <w:rPr>
          <w:rFonts w:ascii="宋体" w:hAnsi="宋体" w:cs="Courier New"/>
          <w:b/>
          <w:color w:val="000000" w:themeColor="text1"/>
          <w:sz w:val="24"/>
          <w:szCs w:val="24"/>
          <w14:textFill>
            <w14:solidFill>
              <w14:schemeClr w14:val="tx1"/>
            </w14:solidFill>
          </w14:textFill>
        </w:rPr>
        <w:t xml:space="preserve">   </w:t>
      </w:r>
      <w:r>
        <w:rPr>
          <w:rFonts w:hint="eastAsia" w:ascii="宋体" w:hAnsi="宋体" w:cs="Courier New"/>
          <w:b/>
          <w:color w:val="000000" w:themeColor="text1"/>
          <w:sz w:val="24"/>
          <w:szCs w:val="24"/>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甲、乙双方根据</w:t>
      </w:r>
      <w:r>
        <w:rPr>
          <w:rFonts w:hint="eastAsia" w:ascii="宋体" w:hAnsi="宋体" w:cs="Courier New"/>
          <w:color w:val="000000" w:themeColor="text1"/>
          <w:sz w:val="24"/>
          <w:szCs w:val="24"/>
          <w14:textFill>
            <w14:solidFill>
              <w14:schemeClr w14:val="tx1"/>
            </w14:solidFill>
          </w14:textFill>
        </w:rPr>
        <w:t xml:space="preserve">南京市公共资源交易中心组织的</w:t>
      </w:r>
      <w:r>
        <w:rPr>
          <w:rFonts w:hint="eastAsia" w:hAnsi="宋体" w:cs="Courier New"/>
          <w:color w:val="000000" w:themeColor="text1"/>
          <w:sz w:val="24"/>
          <w:szCs w:val="24"/>
          <w14:textFill>
            <w14:solidFill>
              <w14:schemeClr w14:val="tx1"/>
            </w14:solidFill>
          </w14:textFill>
        </w:rPr>
        <w:t xml:space="preserve">____________________</w:t>
      </w:r>
      <w:r>
        <w:rPr>
          <w:rFonts w:ascii="宋体" w:hAnsi="宋体" w:cs="Courier New"/>
          <w:color w:val="000000" w:themeColor="text1"/>
          <w:sz w:val="24"/>
          <w:szCs w:val="24"/>
          <w14:textFill>
            <w14:solidFill>
              <w14:schemeClr w14:val="tx1"/>
            </w14:solidFill>
          </w14:textFill>
        </w:rPr>
        <w:t xml:space="preserve">项目</w:t>
      </w:r>
      <w:r>
        <w:rPr>
          <w:rFonts w:hint="eastAsia" w:ascii="宋体" w:hAnsi="宋体" w:cs="Courier New"/>
          <w:color w:val="000000" w:themeColor="text1"/>
          <w:sz w:val="24"/>
          <w:szCs w:val="24"/>
          <w14:textFill>
            <w14:solidFill>
              <w14:schemeClr w14:val="tx1"/>
            </w14:solidFill>
          </w14:textFill>
        </w:rPr>
        <w:t xml:space="preserve">竞争性磋商</w:t>
      </w:r>
      <w:r>
        <w:rPr>
          <w:rFonts w:ascii="宋体" w:hAnsi="宋体" w:cs="Courier New"/>
          <w:color w:val="000000" w:themeColor="text1"/>
          <w:sz w:val="24"/>
          <w:szCs w:val="24"/>
          <w14:textFill>
            <w14:solidFill>
              <w14:schemeClr w14:val="tx1"/>
            </w14:solidFill>
          </w14:textFill>
        </w:rPr>
        <w:t xml:space="preserve">结果，签署本合同。</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一、合同内容</w:t>
      </w:r>
      <w:r/>
    </w:p>
    <w:p>
      <w:pPr>
        <w:spacing w:line="264" w:lineRule="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1.1 </w:t>
      </w:r>
      <w:r>
        <w:rPr>
          <w:rFonts w:hint="eastAsia" w:ascii="宋体" w:hAnsi="宋体" w:cs="Courier New"/>
          <w:color w:val="000000" w:themeColor="text1"/>
          <w:sz w:val="24"/>
          <w:szCs w:val="24"/>
          <w14:textFill>
            <w14:solidFill>
              <w14:schemeClr w14:val="tx1"/>
            </w14:solidFill>
          </w14:textFill>
        </w:rPr>
        <w:t xml:space="preserve">标的</w:t>
      </w:r>
      <w:r>
        <w:rPr>
          <w:rFonts w:ascii="宋体" w:hAnsi="宋体" w:cs="Courier New"/>
          <w:color w:val="000000" w:themeColor="text1"/>
          <w:sz w:val="24"/>
          <w:szCs w:val="24"/>
          <w14:textFill>
            <w14:solidFill>
              <w14:schemeClr w14:val="tx1"/>
            </w14:solidFill>
          </w14:textFill>
        </w:rPr>
        <w:t xml:space="preserve">名称：</w:t>
      </w:r>
      <w:r/>
    </w:p>
    <w:p>
      <w:pPr>
        <w:spacing w:line="264" w:lineRule="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1.2</w:t>
      </w:r>
      <w:r>
        <w:rPr>
          <w:rFonts w:hint="eastAsia" w:ascii="宋体" w:hAnsi="宋体" w:cs="Courier New"/>
          <w:color w:val="000000" w:themeColor="text1"/>
          <w:sz w:val="24"/>
          <w:szCs w:val="24"/>
          <w14:textFill>
            <w14:solidFill>
              <w14:schemeClr w14:val="tx1"/>
            </w14:solidFill>
          </w14:textFill>
        </w:rPr>
        <w:t xml:space="preserve"> 标的质量：</w:t>
      </w:r>
      <w:r>
        <w:rPr>
          <w:rFonts w:hint="eastAsia" w:ascii="宋体" w:hAnsi="宋体"/>
          <w:color w:val="000000" w:themeColor="text1"/>
          <w:sz w:val="24"/>
          <w:szCs w:val="24"/>
          <w14:textFill>
            <w14:solidFill>
              <w14:schemeClr w14:val="tx1"/>
            </w14:solidFill>
          </w14:textFill>
        </w:rPr>
        <w:t xml:space="preserve">按磋商文件及响应文件执行。</w:t>
      </w:r>
      <w:r/>
    </w:p>
    <w:p>
      <w:pPr>
        <w:spacing w:line="264" w:lineRule="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.3 标的数量（规模）：</w:t>
      </w:r>
      <w:r/>
    </w:p>
    <w:p>
      <w:pPr>
        <w:spacing w:line="264" w:lineRule="auto"/>
        <w:rPr>
          <w:rFonts w:hint="eastAsia" w:ascii="宋体" w:hAnsi="宋体"/>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.4 履行时间（期限）：</w:t>
      </w:r>
      <w:r/>
    </w:p>
    <w:p>
      <w:pPr>
        <w:spacing w:line="264" w:lineRule="auto"/>
        <w:rPr>
          <w:rFonts w:hint="eastAsia" w:ascii="宋体" w:hAnsi="宋体"/>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.5 履行地</w:t>
      </w:r>
      <w:r>
        <w:rPr>
          <w:rFonts w:hint="eastAsia" w:ascii="宋体" w:hAnsi="宋体"/>
          <w:color w:val="000000" w:themeColor="text1"/>
          <w:sz w:val="24"/>
          <w:szCs w:val="24"/>
          <w14:textFill>
            <w14:solidFill>
              <w14:schemeClr w14:val="tx1"/>
            </w14:solidFill>
          </w14:textFill>
        </w:rPr>
        <w:t xml:space="preserve">点：采购人指定地点。</w:t>
      </w:r>
      <w:r/>
    </w:p>
    <w:p>
      <w:pPr>
        <w:spacing w:line="264"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.6 履行方式：按磋商文件及响应文件执行。</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二、合同金额</w:t>
      </w:r>
      <w:r/>
    </w:p>
    <w:p>
      <w:pPr>
        <w:pStyle w:val="761"/>
        <w:spacing w:line="264" w:lineRule="auto"/>
        <w:rPr>
          <w:rFonts w:hint="eastAsia" w:hAnsi="宋体" w:cs="Courier New"/>
          <w:color w:val="000000" w:themeColor="text1"/>
          <w:sz w:val="24"/>
          <w:szCs w:val="24"/>
          <w14:textFill>
            <w14:solidFill>
              <w14:schemeClr w14:val="tx1"/>
            </w14:solidFill>
          </w14:textFill>
        </w:rPr>
      </w:pPr>
      <w:r>
        <w:rPr>
          <w:rFonts w:hAnsi="宋体" w:cs="Courier New"/>
          <w:color w:val="000000" w:themeColor="text1"/>
          <w:sz w:val="24"/>
          <w:szCs w:val="24"/>
          <w14:textFill>
            <w14:solidFill>
              <w14:schemeClr w14:val="tx1"/>
            </w14:solidFill>
          </w14:textFill>
        </w:rPr>
        <w:t xml:space="preserve">2.1 </w:t>
      </w:r>
      <w:r>
        <w:rPr>
          <w:rFonts w:hint="eastAsia" w:hAnsi="宋体" w:cs="Courier New"/>
          <w:color w:val="000000" w:themeColor="text1"/>
          <w:sz w:val="24"/>
          <w:szCs w:val="24"/>
          <w14:textFill>
            <w14:solidFill>
              <w14:schemeClr w14:val="tx1"/>
            </w14:solidFill>
          </w14:textFill>
        </w:rPr>
        <w:t xml:space="preserve">本合同金额为（大写）：________________圆（____________________元）人民币。</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三、技术资料</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3.1 乙方应按磋商文件规定的时间向甲方提供服务（包含与服务相关的货物）的有关技术资料。</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四、知识产权</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五、产权担保</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5.1 乙方保证所交付的服务（包含与服务相关的货物）的所有权完全属于乙方且无任何抵押、查封等产权瑕疵。</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六、履约保证金</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6.1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color w:val="000000" w:themeColor="text1"/>
          <w:sz w:val="24"/>
          <w:szCs w:val="24"/>
          <w:highlight w:val="none"/>
          <w14:textFill>
            <w14:solidFill>
              <w14:schemeClr w14:val="tx1"/>
            </w14:solidFill>
          </w14:textFill>
        </w:rPr>
        <w:t xml:space="preserve">单位在</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color w:val="000000" w:themeColor="text1"/>
          <w:sz w:val="24"/>
          <w:szCs w:val="24"/>
          <w:highlight w:val="none"/>
          <w14:textFill>
            <w14:solidFill>
              <w14:schemeClr w14:val="tx1"/>
            </w14:solidFill>
          </w14:textFill>
        </w:rPr>
        <w:t xml:space="preserve">公示期满确定</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color w:val="000000" w:themeColor="text1"/>
          <w:sz w:val="24"/>
          <w:szCs w:val="24"/>
          <w:highlight w:val="none"/>
          <w14:textFill>
            <w14:solidFill>
              <w14:schemeClr w14:val="tx1"/>
            </w14:solidFill>
          </w14:textFill>
        </w:rPr>
        <w:t xml:space="preserve">资格后3个工作日内，须采用银行转账的形式向采购单位缴纳</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color w:val="000000" w:themeColor="text1"/>
          <w:sz w:val="24"/>
          <w:szCs w:val="24"/>
          <w:highlight w:val="none"/>
          <w14:textFill>
            <w14:solidFill>
              <w14:schemeClr w14:val="tx1"/>
            </w14:solidFill>
          </w14:textFill>
        </w:rPr>
        <w:t xml:space="preserve">价款</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的</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10</w:t>
      </w: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%作为本项目的履约保证金</w:t>
      </w:r>
      <w:r>
        <w:rPr>
          <w:rFonts w:hint="eastAsia" w:ascii="宋体" w:hAnsi="宋体" w:eastAsia="宋体" w:cs="Courier New"/>
          <w:color w:val="000000" w:themeColor="text1"/>
          <w:sz w:val="24"/>
          <w:szCs w:val="24"/>
          <w:highlight w:val="none"/>
          <w14:textFill>
            <w14:solidFill>
              <w14:schemeClr w14:val="tx1"/>
            </w14:solidFill>
          </w14:textFill>
        </w:rPr>
        <w:t xml:space="preserve">，项目竣工验收合格后，采购单位退还履约保证金。若</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color w:val="000000" w:themeColor="text1"/>
          <w:sz w:val="24"/>
          <w:szCs w:val="24"/>
          <w:highlight w:val="none"/>
          <w14:textFill>
            <w14:solidFill>
              <w14:schemeClr w14:val="tx1"/>
            </w14:solidFill>
          </w14:textFill>
        </w:rPr>
        <w:t xml:space="preserve">单位未按时交纳履约保证金，视为自动放弃</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color w:val="000000" w:themeColor="text1"/>
          <w:sz w:val="24"/>
          <w:szCs w:val="24"/>
          <w:highlight w:val="none"/>
          <w14:textFill>
            <w14:solidFill>
              <w14:schemeClr w14:val="tx1"/>
            </w14:solidFill>
          </w14:textFill>
        </w:rPr>
        <w:t xml:space="preserve">资格。</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color w:val="000000" w:themeColor="text1"/>
          <w:sz w:val="24"/>
          <w:szCs w:val="24"/>
          <w:highlight w:val="none"/>
          <w14:textFill>
            <w14:solidFill>
              <w14:schemeClr w14:val="tx1"/>
            </w14:solidFill>
          </w14:textFill>
        </w:rPr>
        <w:t xml:space="preserve">单位凭</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Courier New"/>
          <w:color w:val="000000" w:themeColor="text1"/>
          <w:sz w:val="24"/>
          <w:szCs w:val="24"/>
          <w:highlight w:val="none"/>
          <w14:textFill>
            <w14:solidFill>
              <w14:schemeClr w14:val="tx1"/>
            </w14:solidFill>
          </w14:textFill>
        </w:rPr>
        <w:t xml:space="preserve">通知书、采购单位财务部门出具的履约保证金收款证明与实施单位签订采购合同。(南京市浦口区人民政府</w:t>
      </w:r>
      <w:r>
        <w:rPr>
          <w:rFonts w:hint="eastAsia" w:ascii="宋体" w:hAnsi="宋体" w:cs="Courier New"/>
          <w:color w:val="000000" w:themeColor="text1"/>
          <w:sz w:val="24"/>
          <w:szCs w:val="24"/>
          <w:highlight w:val="none"/>
          <w14:textFill>
            <w14:solidFill>
              <w14:schemeClr w14:val="tx1"/>
            </w14:solidFill>
          </w14:textFill>
        </w:rPr>
        <w:t xml:space="preserve">汤泉</w:t>
      </w:r>
      <w:r>
        <w:rPr>
          <w:rFonts w:hint="eastAsia" w:ascii="宋体" w:hAnsi="宋体" w:eastAsia="宋体" w:cs="Courier New"/>
          <w:color w:val="000000" w:themeColor="text1"/>
          <w:sz w:val="24"/>
          <w:szCs w:val="24"/>
          <w:highlight w:val="none"/>
          <w14:textFill>
            <w14:solidFill>
              <w14:schemeClr w14:val="tx1"/>
            </w14:solidFill>
          </w14:textFill>
        </w:rPr>
        <w:t xml:space="preserve">街道办事处，</w:t>
      </w:r>
      <w:r>
        <w:rPr>
          <w:rFonts w:hint="eastAsia" w:ascii="宋体" w:hAnsi="宋体" w:cs="Courier New"/>
          <w:color w:val="000000" w:themeColor="text1"/>
          <w:sz w:val="24"/>
          <w:szCs w:val="24"/>
          <w:highlight w:val="none"/>
          <w14:textFill>
            <w14:solidFill>
              <w14:schemeClr w14:val="tx1"/>
            </w14:solidFill>
          </w14:textFill>
        </w:rPr>
        <w:t xml:space="preserve">中国建设银行浦口支行账户</w:t>
      </w:r>
      <w:r>
        <w:rPr>
          <w:rFonts w:hint="eastAsia" w:ascii="宋体" w:hAnsi="宋体" w:eastAsia="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32050159536700000254</w:t>
      </w:r>
      <w:r>
        <w:rPr>
          <w:rFonts w:hint="eastAsia" w:ascii="宋体" w:hAnsi="宋体" w:eastAsia="宋体" w:cs="Courier New"/>
          <w:color w:val="000000" w:themeColor="text1"/>
          <w:sz w:val="24"/>
          <w:szCs w:val="24"/>
          <w:highlight w:val="none"/>
          <w14:textFill>
            <w14:solidFill>
              <w14:schemeClr w14:val="tx1"/>
            </w14:solidFill>
          </w14:textFill>
        </w:rPr>
        <w:t xml:space="preserve">)。</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七、合同转包或分包</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7.1 乙方不得将合同标的转包给他人履行。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7.2 除磋商文件接受分包并经甲方同意，乙方可按分包意向协议分包情况外，乙方不得将合同标的分包给他人履行。</w:t>
      </w:r>
      <w:r/>
    </w:p>
    <w:p>
      <w:pPr>
        <w:spacing w:line="264"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八、合同款项支付</w:t>
      </w:r>
      <w:r/>
    </w:p>
    <w:p>
      <w:pPr>
        <w:pStyle w:val="761"/>
        <w:spacing w:line="264" w:lineRule="auto"/>
        <w:rPr>
          <w:rFonts w:hint="eastAsia" w:hAnsi="宋体" w:cs="Courier New"/>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8.1 合同款项的支付方式及时间</w:t>
      </w:r>
      <w:r/>
    </w:p>
    <w:p>
      <w:pPr>
        <w:pStyle w:val="761"/>
        <w:ind w:firstLine="480"/>
        <w:spacing w:line="264" w:lineRule="auto"/>
        <w:rPr>
          <w:rFonts w:hint="eastAsia" w:hAnsi="宋体" w:cs="Courier New"/>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8.1.1 （1）(一)合同经费按照约定期限和方式支付。成交供应商在采购人支付合同款前应当根据付款数额开具相应的发票（发票税金由成交供应商自付），采购人在收到发票后通过银行用转账方式向成交供应商支付款项；对因成交供应商违约而需向采购人缴纳的违约金，采购人有权在支付款项中扣除。</w:t>
      </w:r>
      <w:r/>
    </w:p>
    <w:p>
      <w:pPr>
        <w:numPr>
          <w:ilvl w:val="255"/>
          <w:numId w:val="0"/>
        </w:numPr>
        <w:ind w:firstLine="480"/>
        <w:spacing w:line="360" w:lineRule="auto"/>
        <w:rPr>
          <w:rFonts w:hint="eastAsia" w:hAnsi="宋体" w:cs="Courier New"/>
          <w:color w:val="000000" w:themeColor="text1"/>
          <w:sz w:val="24"/>
          <w:szCs w:val="24"/>
          <w:highlight w:val="none"/>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(二)分期付款的具体约定为：</w:t>
      </w:r>
      <w:r>
        <w:rPr>
          <w:rFonts w:hint="eastAsia" w:ascii="宋体" w:hAnsi="宋体" w:cs="宋体"/>
          <w:sz w:val="24"/>
          <w:szCs w:val="24"/>
          <w:highlight w:val="none"/>
        </w:rPr>
        <w:t xml:space="preserve">为约束成交供应商严格执行相关要求，服务费支付采用考核评价办法。每半年结束后七个工作日内，由采购人对成交供应商考核合格后，支付半年涉及人员的费用（如人员工资、社保、福利等），原则上合同服务期内结清相关人员费用；剩余其他费用下一年度内支付完毕。若有扣款事项，在剩余尾款中扣除。</w:t>
      </w:r>
      <w:r/>
    </w:p>
    <w:p>
      <w:pPr>
        <w:pStyle w:val="761"/>
        <w:ind w:firstLine="480"/>
        <w:spacing w:line="264" w:lineRule="auto"/>
        <w:rPr>
          <w:rFonts w:hint="eastAsia" w:hAnsi="宋体" w:cs="Courier New"/>
          <w:color w:val="000000" w:themeColor="text1"/>
          <w:sz w:val="24"/>
          <w:szCs w:val="24"/>
          <w:highlight w:val="none"/>
          <w14:textFill>
            <w14:solidFill>
              <w14:schemeClr w14:val="tx1"/>
            </w14:solidFill>
          </w14:textFill>
        </w:rPr>
      </w:pPr>
      <w:r>
        <w:rPr>
          <w:rFonts w:hint="eastAsia" w:hAnsi="宋体" w:cs="Courier New"/>
          <w:color w:val="000000" w:themeColor="text1"/>
          <w:sz w:val="24"/>
          <w:szCs w:val="24"/>
          <w:highlight w:val="none"/>
          <w14:textFill>
            <w14:solidFill>
              <w14:schemeClr w14:val="tx1"/>
            </w14:solidFill>
          </w14:textFill>
        </w:rPr>
        <w:t xml:space="preserve">（三）乙方应在甲方付款前向甲方提供正式、合规的发票。</w:t>
      </w:r>
      <w:r/>
    </w:p>
    <w:p>
      <w:pPr>
        <w:spacing w:line="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提示：根据工业和信息化部关于印发《保障中小企业款项支付投诉处理暂行办法》的通知（工信部企业〔2021〕224 号），采购人未按合同约定支付款项的，供应商可以向有关部门投诉。</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九、税费</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9.1 本合同执行中的相关税费均由乙方负担。</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十、项目验收</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10.1 甲方依法组织履约验收工作。</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10.3 对于实际使用人和甲方分离的项目，甲方邀请实际使用人参与验收。</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10.4 如有必要，甲方可邀请参加本项目磋商的其他供应商或第三方专业机构及专家参与验收，相关意见将作为验收结论的参考。</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十一、违约责任</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11.1 甲方无正当理由拒绝接受乙方提供服务的，应向乙方偿付拒绝接受服务合同总额</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 xml:space="preserve">的违约金。</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11.2 甲方无故逾期验收和办理支付手续的，应按逾期付款总额每日</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 xml:space="preserve">向乙方支付违约金。</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11.3 乙方逾期提供服务的，应按逾期提供服务合同总额每日</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 xml:space="preserve">的违约金。</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11.4 乙方所提供服务的标准不符合合同规定及磋商文件规定标准的，甲方有权拒绝接受服务，并可单方面解除合同。</w:t>
      </w:r>
      <w:r/>
    </w:p>
    <w:p>
      <w:pPr>
        <w:spacing w:line="264" w:lineRule="auto"/>
        <w:rPr>
          <w:color w:val="000000" w:themeColor="text1"/>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十二、不可抗力事件处理</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12.2 不可抗力事件发生后，应立即通知对方并寄送有关权威机构出具的证明。</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12.3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十三、解决争议的方法</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13.1 双方在签订、履行合同中所发生的一切争议，应通过友好协商解决。如协商不成的由甲方住所地人民法院管辖。</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十四、合同生效及其它</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14.1 本合同经双方加盖单位公章后生效。</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14.2 本合同未尽事宜，遵照《中华人民共和国民法典》《中华人民共和国政府采购法》有关条文执行。</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14.3 本合同正本一式两份，具有同等法律效力，甲方、乙方各执一份。</w:t>
      </w:r>
      <w:r/>
    </w:p>
    <w:p>
      <w:pPr>
        <w:pStyle w:val="761"/>
        <w:spacing w:before="120" w:after="120" w:line="264" w:lineRule="auto"/>
        <w:rPr>
          <w:rFonts w:hint="eastAsia" w:hAnsi="宋体" w:cs="Courier New"/>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  甲方：（公章）                       乙方：（公章） </w:t>
      </w:r>
      <w:r/>
    </w:p>
    <w:p>
      <w:pPr>
        <w:pStyle w:val="761"/>
        <w:spacing w:before="120" w:after="120" w:line="264" w:lineRule="auto"/>
        <w:rPr>
          <w:rFonts w:hint="eastAsia" w:hAnsi="宋体" w:cs="Courier New"/>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  地址：                               地址： </w:t>
      </w:r>
      <w:r/>
    </w:p>
    <w:p>
      <w:pPr>
        <w:pStyle w:val="761"/>
        <w:spacing w:before="120" w:after="120" w:line="264" w:lineRule="auto"/>
        <w:rPr>
          <w:rFonts w:hint="eastAsia" w:hAnsi="宋体" w:cs="Courier New"/>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  法定代表人或授权代表：               法定代表人或授权代表：</w:t>
      </w:r>
      <w:r/>
    </w:p>
    <w:p>
      <w:pPr>
        <w:pStyle w:val="761"/>
        <w:ind w:firstLine="240"/>
        <w:spacing w:before="120" w:after="120" w:line="264" w:lineRule="auto"/>
        <w:rPr>
          <w:rFonts w:hint="eastAsia" w:hAnsi="宋体" w:cs="Courier New"/>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联系电话：                           联系电话：          </w:t>
      </w:r>
      <w:r/>
    </w:p>
    <w:p>
      <w:pPr>
        <w:pStyle w:val="761"/>
        <w:spacing w:before="120" w:after="120" w:line="264" w:lineRule="auto"/>
        <w:rPr>
          <w:rFonts w:hint="eastAsia" w:hAnsi="宋体" w:cs="Courier New"/>
          <w:color w:val="000000" w:themeColor="text1"/>
          <w:sz w:val="24"/>
          <w:szCs w:val="24"/>
          <w14:textFill>
            <w14:solidFill>
              <w14:schemeClr w14:val="tx1"/>
            </w14:solidFill>
          </w14:textFill>
        </w:rPr>
      </w:pPr>
      <w:r>
        <w:rPr>
          <w:rFonts w:hint="eastAsia" w:hAnsi="宋体" w:cs="Courier New"/>
          <w:color w:val="000000" w:themeColor="text1"/>
          <w:sz w:val="24"/>
          <w:szCs w:val="24"/>
          <w14:textFill>
            <w14:solidFill>
              <w14:schemeClr w14:val="tx1"/>
            </w14:solidFill>
          </w14:textFill>
        </w:rPr>
        <w:t xml:space="preserve">                                          签订日期：      年    月   日</w:t>
      </w:r>
      <w:r/>
    </w:p>
    <w:p>
      <w:pPr>
        <w:jc w:val="center"/>
        <w:spacing w:before="145" w:after="145" w:line="264" w:lineRule="auto"/>
        <w:rPr>
          <w:rFonts w:hint="eastAsia" w:ascii="宋体" w:hAnsi="宋体"/>
          <w:b/>
          <w:sz w:val="30"/>
          <w:szCs w:val="21"/>
        </w:rPr>
        <w:outlineLvl w:val="0"/>
      </w:pPr>
      <w:r/>
      <w:bookmarkStart w:id="168" w:name="_Hlt16619369"/>
      <w:r/>
      <w:bookmarkEnd w:id="168"/>
      <w:r/>
      <w:bookmarkStart w:id="169" w:name="_Hlt16619350"/>
      <w:r/>
      <w:bookmarkStart w:id="170" w:name="_Toc16938590"/>
      <w:r/>
      <w:bookmarkStart w:id="171" w:name="_Toc120614244"/>
      <w:r/>
      <w:bookmarkStart w:id="172" w:name="_Toc20823346"/>
      <w:r/>
      <w:bookmarkStart w:id="173" w:name="_Toc479757211"/>
      <w:r/>
      <w:bookmarkStart w:id="174" w:name="_Toc462564139"/>
      <w:r>
        <w:rPr>
          <w:rFonts w:hint="eastAsia" w:ascii="宋体" w:hAnsi="宋体"/>
          <w:b/>
          <w:sz w:val="30"/>
          <w:szCs w:val="21"/>
        </w:rPr>
        <w:t xml:space="preserve">《*******合同》补充协议（合同附件）</w:t>
      </w:r>
      <w:r/>
    </w:p>
    <w:p>
      <w:pPr>
        <w:pStyle w:val="761"/>
        <w:jc w:val="left"/>
        <w:spacing w:before="120" w:after="120" w:line="264" w:lineRule="auto"/>
        <w:rPr>
          <w:rFonts w:hint="eastAsia" w:hAnsi="宋体"/>
          <w:color w:val="000000"/>
          <w:sz w:val="24"/>
          <w:szCs w:val="24"/>
        </w:rPr>
      </w:pPr>
      <w:r>
        <w:rPr>
          <w:rFonts w:hint="eastAsia" w:hAnsi="宋体"/>
          <w:color w:val="000000"/>
          <w:sz w:val="24"/>
          <w:szCs w:val="24"/>
        </w:rPr>
        <w:t xml:space="preserve">    如遇磋商文件及合同未约定事项，双方可友好协商签订补充协议。</w:t>
      </w:r>
      <w:r/>
    </w:p>
    <w:p>
      <w:pPr>
        <w:spacing w:line="360" w:lineRule="auto"/>
        <w:widowControl/>
        <w:rPr>
          <w:rFonts w:hint="eastAsia" w:ascii="宋体" w:hAnsi="宋体" w:cs="宋体"/>
          <w:bCs/>
          <w:sz w:val="24"/>
          <w:szCs w:val="24"/>
        </w:rPr>
      </w:pPr>
      <w:r>
        <w:rPr>
          <w:rFonts w:hint="eastAsia" w:ascii="宋体" w:hAnsi="宋体" w:cs="宋体"/>
          <w:bCs/>
          <w:sz w:val="24"/>
          <w:szCs w:val="24"/>
        </w:rPr>
      </w:r>
      <w:r/>
    </w:p>
    <w:p>
      <w:pPr>
        <w:spacing w:line="360" w:lineRule="auto"/>
        <w:widowControl/>
        <w:rPr>
          <w:rFonts w:hint="eastAsia" w:ascii="宋体" w:hAnsi="宋体" w:cs="宋体"/>
          <w:bCs/>
          <w:sz w:val="24"/>
          <w:szCs w:val="24"/>
        </w:rPr>
      </w:pPr>
      <w:r>
        <w:rPr>
          <w:rFonts w:hint="eastAsia" w:ascii="宋体" w:hAnsi="宋体" w:cs="宋体"/>
          <w:bCs/>
          <w:sz w:val="24"/>
          <w:szCs w:val="24"/>
        </w:rPr>
      </w:r>
      <w:r/>
    </w:p>
    <w:p>
      <w:pPr>
        <w:spacing w:line="360" w:lineRule="auto"/>
        <w:widowControl/>
        <w:rPr>
          <w:rFonts w:hint="eastAsia" w:ascii="宋体" w:hAnsi="宋体" w:cs="宋体"/>
          <w:bCs/>
          <w:sz w:val="24"/>
          <w:szCs w:val="24"/>
        </w:rPr>
      </w:pPr>
      <w:r>
        <w:rPr>
          <w:rFonts w:hint="eastAsia" w:ascii="宋体" w:hAnsi="宋体" w:cs="宋体"/>
          <w:bCs/>
          <w:sz w:val="24"/>
          <w:szCs w:val="24"/>
        </w:rPr>
      </w:r>
      <w:r/>
    </w:p>
    <w:p>
      <w:pPr>
        <w:spacing w:line="360" w:lineRule="auto"/>
        <w:widowControl/>
        <w:rPr>
          <w:rFonts w:hint="eastAsia" w:ascii="宋体" w:hAnsi="宋体" w:cs="宋体"/>
          <w:bCs/>
          <w:sz w:val="24"/>
          <w:szCs w:val="24"/>
        </w:rPr>
      </w:pPr>
      <w:r>
        <w:rPr>
          <w:rFonts w:hint="eastAsia" w:ascii="宋体" w:hAnsi="宋体" w:cs="宋体"/>
          <w:bCs/>
          <w:sz w:val="24"/>
          <w:szCs w:val="24"/>
        </w:rPr>
        <w:t xml:space="preserve">甲方:</w:t>
      </w:r>
      <w:r/>
    </w:p>
    <w:p>
      <w:pPr>
        <w:spacing w:line="360" w:lineRule="auto"/>
        <w:widowControl/>
        <w:rPr>
          <w:rFonts w:hint="eastAsia" w:ascii="宋体" w:hAnsi="宋体" w:cs="宋体"/>
          <w:bCs/>
          <w:sz w:val="24"/>
          <w:szCs w:val="24"/>
        </w:rPr>
      </w:pPr>
      <w:r>
        <w:rPr>
          <w:rFonts w:hint="eastAsia" w:ascii="宋体" w:hAnsi="宋体" w:cs="宋体"/>
          <w:bCs/>
          <w:sz w:val="24"/>
          <w:szCs w:val="24"/>
        </w:rPr>
        <w:t xml:space="preserve">乙方:</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甲乙双方根据</w:t>
      </w:r>
      <w:r>
        <w:rPr>
          <w:rFonts w:hint="eastAsia" w:ascii="宋体" w:hAnsi="宋体" w:cs="宋体"/>
          <w:bCs/>
          <w:sz w:val="24"/>
          <w:szCs w:val="24"/>
          <w:u w:val="single"/>
        </w:rPr>
        <w:t xml:space="preserve">   </w:t>
      </w:r>
      <w:r>
        <w:rPr>
          <w:rFonts w:hint="eastAsia" w:ascii="宋体" w:hAnsi="宋体" w:cs="宋体"/>
          <w:bCs/>
          <w:sz w:val="24"/>
          <w:szCs w:val="24"/>
        </w:rPr>
        <w:t xml:space="preserve">年 </w:t>
      </w:r>
      <w:r>
        <w:rPr>
          <w:rFonts w:hint="eastAsia" w:ascii="宋体" w:hAnsi="宋体" w:cs="宋体"/>
          <w:bCs/>
          <w:sz w:val="24"/>
          <w:szCs w:val="24"/>
          <w:u w:val="single"/>
        </w:rPr>
        <w:t xml:space="preserve">   </w:t>
      </w:r>
      <w:r>
        <w:rPr>
          <w:rFonts w:hint="eastAsia" w:ascii="宋体" w:hAnsi="宋体" w:cs="宋体"/>
          <w:bCs/>
          <w:sz w:val="24"/>
          <w:szCs w:val="24"/>
        </w:rPr>
        <w:t xml:space="preserve">月 </w:t>
      </w:r>
      <w:r>
        <w:rPr>
          <w:rFonts w:hint="eastAsia" w:ascii="宋体" w:hAnsi="宋体" w:cs="宋体"/>
          <w:bCs/>
          <w:sz w:val="24"/>
          <w:szCs w:val="24"/>
          <w:u w:val="single"/>
        </w:rPr>
        <w:t xml:space="preserve">  </w:t>
      </w:r>
      <w:r>
        <w:rPr>
          <w:rFonts w:hint="eastAsia" w:ascii="宋体" w:hAnsi="宋体" w:cs="宋体"/>
          <w:bCs/>
          <w:sz w:val="24"/>
          <w:szCs w:val="24"/>
        </w:rPr>
        <w:t xml:space="preserve">日的</w:t>
      </w:r>
      <w:r>
        <w:rPr>
          <w:rFonts w:hint="eastAsia" w:ascii="宋体" w:hAnsi="宋体" w:cs="宋体"/>
          <w:bCs/>
          <w:sz w:val="24"/>
          <w:szCs w:val="24"/>
          <w:u w:val="single"/>
        </w:rPr>
        <w:t xml:space="preserve">2026年汤泉街道办事处物业服务</w:t>
      </w:r>
      <w:r>
        <w:rPr>
          <w:rFonts w:hint="eastAsia" w:ascii="宋体" w:hAnsi="宋体" w:cs="宋体"/>
          <w:bCs/>
          <w:sz w:val="24"/>
          <w:szCs w:val="24"/>
        </w:rPr>
        <w:t xml:space="preserve">竞争性磋商采购结果及采购文件的要求,经协商一致,达成如下采购服务合同：</w:t>
      </w:r>
      <w:r/>
    </w:p>
    <w:p>
      <w:pPr>
        <w:spacing w:line="360" w:lineRule="auto"/>
        <w:widowControl/>
        <w:rPr>
          <w:rFonts w:hint="eastAsia" w:ascii="宋体" w:hAnsi="宋体" w:cs="宋体"/>
          <w:b/>
          <w:sz w:val="24"/>
          <w:szCs w:val="24"/>
        </w:rPr>
      </w:pPr>
      <w:r>
        <w:rPr>
          <w:rFonts w:hint="eastAsia" w:ascii="宋体" w:hAnsi="宋体" w:cs="宋体"/>
          <w:b/>
          <w:sz w:val="24"/>
          <w:szCs w:val="24"/>
        </w:rPr>
        <w:t xml:space="preserve">一、采购标的</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1.服务名称：</w:t>
      </w:r>
      <w:r>
        <w:rPr>
          <w:rFonts w:hint="eastAsia" w:ascii="宋体" w:hAnsi="宋体" w:cs="宋体"/>
          <w:bCs/>
          <w:sz w:val="24"/>
          <w:szCs w:val="24"/>
          <w:u w:val="single"/>
        </w:rPr>
        <w:t xml:space="preserve">2026年汤泉街道办事处物业服务</w:t>
      </w:r>
      <w:r>
        <w:rPr>
          <w:rFonts w:hint="eastAsia" w:ascii="宋体" w:hAnsi="宋体" w:cs="宋体"/>
          <w:bCs/>
          <w:sz w:val="24"/>
          <w:szCs w:val="24"/>
        </w:rPr>
        <w:t xml:space="preserve">。</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2.服务内容：</w:t>
      </w:r>
      <w:r>
        <w:rPr>
          <w:rFonts w:hint="eastAsia" w:ascii="宋体" w:hAnsi="宋体" w:cs="宋体"/>
          <w:bCs/>
          <w:sz w:val="24"/>
          <w:szCs w:val="24"/>
          <w:u w:val="single"/>
        </w:rPr>
        <w:t xml:space="preserve">包括但不限于汤泉街道办事处办公楼总建筑面积4733平方米，分为前后楼（前二层后三层），共有前后两大门（前面为主大门），楼体出入口3个，地面停车位30个。项目配置机房设备有配电房、监控设备、道闸系统、电话网络机房、消防（消防栓、消防泵）等进行物业管理服务</w:t>
      </w:r>
      <w:r>
        <w:rPr>
          <w:rFonts w:hint="eastAsia" w:ascii="宋体" w:hAnsi="宋体" w:cs="宋体"/>
          <w:bCs/>
          <w:sz w:val="24"/>
          <w:szCs w:val="24"/>
        </w:rPr>
        <w:t xml:space="preserve">。</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4.补充条款：</w:t>
      </w:r>
      <w:r>
        <w:rPr>
          <w:rFonts w:hint="eastAsia" w:ascii="宋体" w:hAnsi="宋体" w:cs="宋体"/>
          <w:bCs/>
          <w:sz w:val="24"/>
          <w:szCs w:val="24"/>
          <w:u w:val="single"/>
        </w:rPr>
        <w:t xml:space="preserve">/</w:t>
      </w:r>
      <w:r>
        <w:rPr>
          <w:rFonts w:hint="eastAsia" w:ascii="宋体" w:hAnsi="宋体" w:cs="宋体"/>
          <w:bCs/>
          <w:sz w:val="24"/>
          <w:szCs w:val="24"/>
        </w:rPr>
        <w:t xml:space="preserve">。</w:t>
      </w:r>
      <w:r/>
    </w:p>
    <w:p>
      <w:pPr>
        <w:spacing w:line="360" w:lineRule="auto"/>
        <w:widowControl/>
        <w:rPr>
          <w:rFonts w:hint="eastAsia" w:ascii="宋体" w:hAnsi="宋体" w:cs="宋体"/>
          <w:b/>
          <w:sz w:val="24"/>
          <w:szCs w:val="24"/>
          <w:u w:val="single"/>
        </w:rPr>
      </w:pPr>
      <w:r>
        <w:rPr>
          <w:rFonts w:hint="eastAsia" w:ascii="宋体" w:hAnsi="宋体" w:cs="宋体"/>
          <w:b/>
          <w:sz w:val="24"/>
          <w:szCs w:val="24"/>
        </w:rPr>
        <w:t xml:space="preserve">二、合同价款：本合同总价款人民币￥元，大写。</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本合同价款包含所有乙方提供合同约定的服务内容的报酬及乙方提供该项服务所支出的必要费用，甲方在上述合同价款之外不再向乙方支付其他任何费用。</w:t>
      </w:r>
      <w:r/>
    </w:p>
    <w:p>
      <w:pPr>
        <w:ind w:firstLine="480"/>
        <w:spacing w:line="360" w:lineRule="auto"/>
        <w:rPr>
          <w:rFonts w:hint="eastAsia" w:ascii="宋体" w:hAnsi="宋体" w:cs="宋体"/>
          <w:color w:val="000000"/>
          <w:sz w:val="24"/>
          <w:szCs w:val="24"/>
          <w:highlight w:val="none"/>
          <w:lang w:val="zh-CN"/>
        </w:rPr>
      </w:pPr>
      <w:r>
        <w:rPr>
          <w:rFonts w:hint="eastAsia" w:ascii="宋体" w:hAnsi="宋体" w:cs="宋体"/>
          <w:b/>
          <w:bCs/>
          <w:color w:val="000000"/>
          <w:sz w:val="24"/>
          <w:szCs w:val="24"/>
        </w:rPr>
        <w:t xml:space="preserve">合同每年总价款中的壹拾万元</w:t>
      </w: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100000.00元</w:t>
      </w:r>
      <w:r>
        <w:rPr>
          <w:rFonts w:hint="eastAsia" w:ascii="宋体" w:hAnsi="宋体" w:cs="宋体"/>
          <w:b/>
          <w:bCs/>
          <w:color w:val="000000"/>
          <w:sz w:val="24"/>
          <w:szCs w:val="24"/>
          <w:lang w:val="zh-CN"/>
        </w:rPr>
        <w:t xml:space="preserve">）为项目合同期内的工程维修费用。</w:t>
      </w:r>
      <w:r>
        <w:rPr>
          <w:rFonts w:hint="eastAsia" w:ascii="宋体" w:hAnsi="宋体" w:cs="宋体"/>
          <w:color w:val="000000"/>
          <w:sz w:val="24"/>
          <w:szCs w:val="24"/>
          <w:lang w:val="zh-CN"/>
        </w:rPr>
        <w:t xml:space="preserve">工程维修费用包括日常零星维修耗材费用和工程小型专项维修费用。维修耗材和</w:t>
      </w:r>
      <w:r>
        <w:rPr>
          <w:rFonts w:hint="eastAsia" w:ascii="宋体" w:hAnsi="宋体" w:cs="宋体"/>
          <w:color w:val="000000"/>
          <w:sz w:val="24"/>
          <w:szCs w:val="24"/>
          <w:highlight w:val="none"/>
          <w:lang w:val="zh-CN"/>
        </w:rPr>
        <w:t xml:space="preserve">相关维修费用明细每月统计报甲方审核，每年年底进行统一核算，</w:t>
      </w:r>
      <w:r>
        <w:rPr>
          <w:rFonts w:hint="eastAsia" w:ascii="宋体" w:hAnsi="宋体" w:cs="宋体"/>
          <w:color w:val="000000" w:themeColor="text1"/>
          <w:sz w:val="24"/>
          <w:szCs w:val="24"/>
          <w:highlight w:val="none"/>
          <w14:textFill>
            <w14:solidFill>
              <w14:schemeClr w14:val="tx1"/>
            </w14:solidFill>
          </w14:textFill>
        </w:rPr>
        <w:t xml:space="preserve">中标供应商应每月向甲方报送维修费用及核算清单，如未按时报送，未确定或超出合同中维修金额由中标供应商自行承担</w:t>
      </w:r>
      <w:r>
        <w:rPr>
          <w:rFonts w:hint="eastAsia" w:ascii="宋体" w:hAnsi="宋体" w:cs="宋体"/>
          <w:color w:val="000000"/>
          <w:sz w:val="24"/>
          <w:szCs w:val="24"/>
          <w:highlight w:val="none"/>
          <w:lang w:val="zh-CN"/>
        </w:rPr>
        <w:t xml:space="preserve">。</w:t>
      </w:r>
      <w:r/>
    </w:p>
    <w:p>
      <w:pPr>
        <w:numPr>
          <w:ilvl w:val="0"/>
          <w:numId w:val="6"/>
        </w:numPr>
        <w:widowControl/>
        <w:rPr>
          <w:rFonts w:hint="eastAsia"/>
          <w:highlight w:val="none"/>
        </w:rPr>
      </w:pPr>
      <w:r>
        <w:rPr>
          <w:rFonts w:hint="eastAsia" w:ascii="宋体" w:hAnsi="宋体" w:cs="宋体"/>
          <w:b/>
          <w:sz w:val="24"/>
          <w:szCs w:val="24"/>
          <w:highlight w:val="none"/>
        </w:rPr>
        <w:t xml:space="preserve">合同履行：</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highlight w:val="none"/>
        </w:rPr>
        <w:t xml:space="preserve">本合同</w:t>
      </w:r>
      <w:r>
        <w:rPr>
          <w:rFonts w:hint="eastAsia" w:ascii="宋体" w:hAnsi="宋体" w:cs="宋体"/>
          <w:bCs/>
          <w:sz w:val="24"/>
          <w:szCs w:val="24"/>
        </w:rPr>
        <w:t xml:space="preserve">项下服务的提供参照采购文件以及乙方响应文件承诺的具体要求履行，甲乙双方通过补充条款进行特殊约定的从其约定。补充条款：</w:t>
      </w:r>
      <w:r>
        <w:rPr>
          <w:rFonts w:hint="eastAsia" w:ascii="宋体" w:hAnsi="宋体" w:cs="宋体"/>
          <w:bCs/>
          <w:sz w:val="24"/>
          <w:szCs w:val="24"/>
          <w:u w:val="single"/>
        </w:rPr>
        <w:t xml:space="preserve">物业服务考核标准（附件）</w:t>
      </w:r>
      <w:r>
        <w:rPr>
          <w:rFonts w:hint="eastAsia" w:ascii="宋体" w:hAnsi="宋体" w:cs="宋体"/>
          <w:bCs/>
          <w:sz w:val="24"/>
          <w:szCs w:val="24"/>
        </w:rPr>
        <w:t xml:space="preserve">。</w:t>
      </w:r>
      <w:r/>
    </w:p>
    <w:p>
      <w:pPr>
        <w:numPr>
          <w:ilvl w:val="255"/>
          <w:numId w:val="0"/>
        </w:numPr>
        <w:widowControl/>
        <w:rPr>
          <w:rFonts w:hint="eastAsia"/>
        </w:rPr>
      </w:pPr>
      <w:r>
        <w:rPr>
          <w:rFonts w:hint="eastAsia"/>
        </w:rPr>
      </w:r>
      <w:r/>
    </w:p>
    <w:p>
      <w:pPr>
        <w:spacing w:line="360" w:lineRule="auto"/>
        <w:widowControl/>
        <w:rPr>
          <w:rFonts w:hint="eastAsia" w:ascii="宋体" w:hAnsi="宋体" w:cs="宋体"/>
          <w:b/>
          <w:sz w:val="24"/>
          <w:szCs w:val="24"/>
        </w:rPr>
      </w:pPr>
      <w:r>
        <w:rPr>
          <w:rFonts w:hint="eastAsia" w:ascii="宋体" w:hAnsi="宋体" w:cs="宋体"/>
          <w:b/>
          <w:sz w:val="24"/>
          <w:szCs w:val="24"/>
        </w:rPr>
        <w:t xml:space="preserve">四、验收：</w:t>
      </w:r>
      <w:r/>
    </w:p>
    <w:p>
      <w:pPr>
        <w:ind w:firstLine="480"/>
        <w:spacing w:line="360" w:lineRule="auto"/>
        <w:widowControl/>
        <w:tabs>
          <w:tab w:val="left" w:pos="1080" w:leader="none"/>
        </w:tabs>
        <w:rPr>
          <w:rFonts w:hint="eastAsia" w:ascii="宋体" w:hAnsi="宋体" w:cs="宋体"/>
          <w:bCs/>
          <w:sz w:val="24"/>
          <w:szCs w:val="24"/>
        </w:rPr>
      </w:pPr>
      <w:r>
        <w:rPr>
          <w:rFonts w:hint="eastAsia" w:ascii="宋体" w:hAnsi="宋体" w:cs="宋体"/>
          <w:bCs/>
          <w:sz w:val="24"/>
          <w:szCs w:val="24"/>
        </w:rPr>
        <w:t xml:space="preserve">甲方在合同履行期间，有权对乙方所提供的服务进行监督，依照采购文件相关要求以及乙方响应文件的承诺对乙方提供的相关服务或交付的工作成果按月进行阶段性验收，服务期上半年考核得分为前六个月每月考核得分平均数，下半年考核得分为后六个月每月考核得分平均数；单月考核中</w:t>
      </w:r>
      <w:r>
        <w:rPr>
          <w:rFonts w:hint="eastAsia" w:ascii="宋体" w:hAnsi="宋体" w:eastAsia="宋体" w:cs="宋体"/>
          <w:bCs/>
          <w:color w:val="auto"/>
          <w:sz w:val="24"/>
          <w:szCs w:val="24"/>
        </w:rPr>
        <w:t xml:space="preserve">考评低于70分，</w:t>
      </w:r>
      <w:r>
        <w:rPr>
          <w:rFonts w:hint="eastAsia" w:ascii="宋体" w:hAnsi="宋体" w:cs="宋体"/>
          <w:bCs/>
          <w:sz w:val="24"/>
          <w:szCs w:val="24"/>
        </w:rPr>
        <w:t xml:space="preserve">首次</w:t>
      </w:r>
      <w:r>
        <w:rPr>
          <w:rFonts w:hint="eastAsia" w:ascii="宋体" w:hAnsi="宋体" w:eastAsia="宋体" w:cs="宋体"/>
          <w:bCs/>
          <w:color w:val="auto"/>
          <w:sz w:val="24"/>
          <w:szCs w:val="24"/>
        </w:rPr>
        <w:t xml:space="preserve">书面警告中标供应商，</w:t>
      </w:r>
      <w:r>
        <w:rPr>
          <w:rFonts w:hint="eastAsia" w:ascii="宋体" w:hAnsi="宋体" w:cs="宋体"/>
          <w:bCs/>
          <w:sz w:val="24"/>
          <w:szCs w:val="24"/>
        </w:rPr>
        <w:t xml:space="preserve">半年内再次出现考评低于70分</w:t>
      </w:r>
      <w:r>
        <w:rPr>
          <w:rFonts w:hint="eastAsia" w:ascii="宋体" w:hAnsi="宋体" w:eastAsia="宋体" w:cs="宋体"/>
          <w:bCs/>
          <w:color w:val="auto"/>
          <w:sz w:val="24"/>
          <w:szCs w:val="24"/>
        </w:rPr>
        <w:t xml:space="preserve">采购人有权解除合同。</w:t>
      </w:r>
      <w:r/>
    </w:p>
    <w:p>
      <w:pPr>
        <w:spacing w:line="360" w:lineRule="auto"/>
        <w:widowControl/>
        <w:rPr>
          <w:rFonts w:hint="eastAsia" w:ascii="宋体" w:hAnsi="宋体" w:cs="宋体"/>
          <w:b/>
          <w:sz w:val="24"/>
          <w:szCs w:val="24"/>
        </w:rPr>
      </w:pPr>
      <w:r>
        <w:rPr>
          <w:rFonts w:hint="eastAsia" w:ascii="宋体" w:hAnsi="宋体" w:cs="宋体"/>
          <w:b/>
          <w:sz w:val="24"/>
          <w:szCs w:val="24"/>
        </w:rPr>
        <w:t xml:space="preserve">五、合同责任：</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1.甲方应当为乙方履行合同提供必要的支持。</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3.乙方在履行合同中产生的一切非因甲方过错导致的损失，均由乙方自行承担责任。</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4.乙方应配合甲方内部结构审计工作需求，提供相关支出材料。</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5.甲乙双方均应指定专人作为本合同履行期间双方之间的联络人，所有一方向相对方正式知会事项的通知到达相对方指定联络人即视为到达对方。</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甲方指定联络人：</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姓名：</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联系方式：</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乙方指定联络人：</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姓名：</w:t>
      </w:r>
      <w:r>
        <w:rPr>
          <w:rFonts w:hint="eastAsia" w:ascii="宋体" w:hAnsi="宋体" w:cs="宋体"/>
          <w:bCs/>
          <w:sz w:val="24"/>
          <w:szCs w:val="24"/>
        </w:rPr>
        <w:tab/>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联系方式:</w:t>
      </w:r>
      <w:r/>
    </w:p>
    <w:p>
      <w:pPr>
        <w:numPr>
          <w:ilvl w:val="0"/>
          <w:numId w:val="7"/>
        </w:numPr>
        <w:ind w:firstLine="482"/>
        <w:spacing w:line="360" w:lineRule="auto"/>
        <w:rPr>
          <w:rFonts w:hint="eastAsia" w:ascii="宋体" w:hAnsi="宋体" w:cs="宋体"/>
          <w:b/>
          <w:sz w:val="24"/>
          <w:szCs w:val="24"/>
        </w:rPr>
      </w:pPr>
      <w:r>
        <w:rPr>
          <w:rFonts w:hint="eastAsia" w:ascii="宋体" w:hAnsi="宋体" w:cs="宋体"/>
          <w:b/>
          <w:sz w:val="24"/>
          <w:szCs w:val="24"/>
        </w:rPr>
        <w:t xml:space="preserve">付款：</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为约束成交供应商严格执行相关要求，服务费支付采用考核评价办法。每半年结束后七个工作日内，由采购人对成交供应商考核合格后，支付半年涉及人员的费用（如人员工资、社保、福利等），原则上合同服务期内结清相关人员费用；剩余其他费用下一年度内支付完毕，</w:t>
      </w:r>
      <w:r>
        <w:rPr>
          <w:rFonts w:hint="eastAsia" w:ascii="宋体" w:hAnsi="宋体" w:eastAsia="宋体" w:cs="宋体"/>
          <w:color w:val="auto"/>
          <w:sz w:val="24"/>
          <w:szCs w:val="24"/>
          <w:highlight w:val="none"/>
        </w:rPr>
        <w:t xml:space="preserve">若有扣款事项，在剩余尾款中扣</w:t>
      </w:r>
      <w:r>
        <w:rPr>
          <w:rFonts w:hint="eastAsia" w:ascii="宋体" w:hAnsi="宋体" w:cs="宋体"/>
          <w:color w:val="auto"/>
          <w:sz w:val="24"/>
          <w:szCs w:val="24"/>
          <w:highlight w:val="none"/>
        </w:rPr>
        <w:t xml:space="preserve">除</w:t>
      </w:r>
      <w:r>
        <w:rPr>
          <w:rFonts w:hint="eastAsia" w:ascii="宋体" w:hAnsi="宋体" w:cs="宋体"/>
          <w:color w:val="auto"/>
          <w:sz w:val="24"/>
          <w:szCs w:val="24"/>
          <w:highlight w:val="none"/>
          <w:lang w:eastAsia="zh-CN"/>
        </w:rPr>
        <w:t xml:space="preserve">，尾款不足部分则从履约保证金中扣除</w:t>
      </w:r>
      <w:r>
        <w:rPr>
          <w:rFonts w:hint="eastAsia" w:ascii="宋体" w:hAnsi="宋体" w:cs="宋体"/>
          <w:color w:val="auto"/>
          <w:sz w:val="24"/>
          <w:szCs w:val="24"/>
          <w:highlight w:val="none"/>
        </w:rPr>
        <w:t xml:space="preserve">。</w:t>
      </w:r>
      <w:r/>
    </w:p>
    <w:p>
      <w:pPr>
        <w:numPr>
          <w:ilvl w:val="255"/>
          <w:numId w:val="0"/>
        </w:num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交供应商须为本项目配备的人员为‌直接雇佣关系‌，工资发放及社保缴纳均由乙方‌自行发放‌，不得通过第三方机构代发；相关缴费材料随每半年的付款申请一并递交采购人，如未递交，采购人有权拒付物业管理费并解除合同。</w:t>
      </w:r>
      <w:r/>
    </w:p>
    <w:p>
      <w:pPr>
        <w:numPr>
          <w:ilvl w:val="255"/>
          <w:numId w:val="0"/>
        </w:num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成交供应商</w:t>
      </w:r>
      <w:r>
        <w:rPr>
          <w:rFonts w:hint="eastAsia" w:ascii="宋体" w:hAnsi="宋体" w:eastAsia="宋体" w:cs="宋体"/>
          <w:color w:val="auto"/>
          <w:sz w:val="24"/>
          <w:szCs w:val="24"/>
          <w:highlight w:val="none"/>
        </w:rPr>
        <w:t xml:space="preserve">应按规定时间发放员工工资，有延误发放工资情况，甲方从应付款中扣除工资部分作为员工工资保</w:t>
      </w:r>
      <w:r>
        <w:rPr>
          <w:rFonts w:hint="eastAsia" w:ascii="宋体" w:hAnsi="宋体" w:cs="宋体"/>
          <w:color w:val="auto"/>
          <w:sz w:val="24"/>
          <w:szCs w:val="24"/>
          <w:highlight w:val="none"/>
        </w:rPr>
        <w:t xml:space="preserve">障金</w:t>
      </w:r>
      <w:r>
        <w:rPr>
          <w:rFonts w:hint="eastAsia" w:ascii="宋体" w:hAnsi="宋体" w:cs="宋体"/>
          <w:color w:val="auto"/>
          <w:sz w:val="24"/>
          <w:szCs w:val="24"/>
          <w:highlight w:val="none"/>
          <w:lang w:eastAsia="zh-CN"/>
        </w:rPr>
        <w:t xml:space="preserve">，不足部分则从履约保证金中扣除。</w:t>
      </w:r>
      <w:r/>
    </w:p>
    <w:p>
      <w:pPr>
        <w:ind w:firstLine="480"/>
        <w:spacing w:line="360" w:lineRule="auto"/>
        <w:rPr>
          <w:rFonts w:hint="eastAsia" w:ascii="宋体" w:hAnsi="宋体" w:cs="宋体"/>
          <w:sz w:val="24"/>
          <w:szCs w:val="24"/>
        </w:rPr>
      </w:pPr>
      <w:r>
        <w:rPr>
          <w:rFonts w:hint="eastAsia" w:ascii="宋体" w:hAnsi="宋体" w:cs="宋体"/>
          <w:color w:val="auto"/>
          <w:sz w:val="24"/>
          <w:szCs w:val="24"/>
          <w:highlight w:val="none"/>
        </w:rPr>
        <w:t xml:space="preserve">2.本项目报价为提供服务所发生的所有费用，包括但不限于成本、利润及税金等，一旦中标，成交供应商不得以任何理由</w:t>
      </w:r>
      <w:r>
        <w:rPr>
          <w:rFonts w:hint="eastAsia" w:ascii="宋体" w:hAnsi="宋体" w:cs="宋体"/>
          <w:sz w:val="24"/>
          <w:szCs w:val="24"/>
        </w:rPr>
        <w:t xml:space="preserve">提出额外补偿，或降低服务质量、缩短服务周期等要求。成交供应商的任何错漏、优惠、竞争性报价不得作为减轻责任、减少服务、增加收费、降低质量的理由。</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rPr>
        <w:t xml:space="preserve">3.在履行合同期间，物业管理费采用考核评价办法，按半年支付。采购人按月对供</w:t>
      </w:r>
      <w:r>
        <w:rPr>
          <w:rFonts w:hint="eastAsia" w:ascii="宋体" w:hAnsi="宋体" w:cs="宋体"/>
          <w:sz w:val="24"/>
          <w:szCs w:val="24"/>
          <w:highlight w:val="none"/>
        </w:rPr>
        <w:t xml:space="preserve">应商进行检查考核，采取百分制法，完全符合合同约定要求为100分。对供应商的差错要求其限期进行整改，未按期或整改不到位则按照验收规定，视情给以不同程度的经济处罚。</w:t>
      </w:r>
      <w:r>
        <w:rPr>
          <w:rFonts w:hint="eastAsia" w:ascii="宋体" w:hAnsi="宋体" w:cs="宋体"/>
          <w:sz w:val="24"/>
          <w:szCs w:val="24"/>
          <w:highlight w:val="none"/>
          <w:lang w:eastAsia="zh-CN"/>
        </w:rPr>
        <w:t xml:space="preserve">若因供应商原因导致合同终止，</w:t>
      </w:r>
      <w:r>
        <w:rPr>
          <w:rFonts w:hint="eastAsia" w:ascii="宋体" w:hAnsi="宋体" w:cs="宋体"/>
          <w:sz w:val="24"/>
          <w:szCs w:val="24"/>
          <w:highlight w:val="none"/>
        </w:rPr>
        <w:t xml:space="preserve">采购人</w:t>
      </w:r>
      <w:r>
        <w:rPr>
          <w:rFonts w:hint="eastAsia" w:ascii="宋体" w:hAnsi="宋体" w:cs="宋体"/>
          <w:sz w:val="24"/>
          <w:szCs w:val="24"/>
          <w:highlight w:val="none"/>
          <w:lang w:eastAsia="zh-CN"/>
        </w:rPr>
        <w:t xml:space="preserve">损失可由履约保证金中扣除。</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4.合同期满验收合格后，采购人无息退还剩余保证金。</w:t>
      </w:r>
      <w:r/>
    </w:p>
    <w:p>
      <w:pPr>
        <w:spacing w:line="360" w:lineRule="auto"/>
        <w:widowControl/>
        <w:rPr>
          <w:rFonts w:hint="eastAsia" w:ascii="宋体" w:hAnsi="宋体" w:cs="宋体"/>
          <w:bCs/>
          <w:sz w:val="24"/>
          <w:szCs w:val="24"/>
          <w:highlight w:val="none"/>
        </w:rPr>
      </w:pPr>
      <w:r>
        <w:rPr>
          <w:rFonts w:hint="eastAsia" w:ascii="宋体" w:hAnsi="宋体" w:cs="宋体"/>
          <w:b/>
          <w:sz w:val="24"/>
          <w:szCs w:val="24"/>
          <w:highlight w:val="none"/>
        </w:rPr>
        <w:t xml:space="preserve">七、保密条款</w:t>
      </w:r>
      <w:r>
        <w:rPr>
          <w:rFonts w:hint="eastAsia" w:ascii="宋体" w:hAnsi="宋体" w:cs="宋体"/>
          <w:bCs/>
          <w:sz w:val="24"/>
          <w:szCs w:val="24"/>
          <w:highlight w:val="none"/>
        </w:rPr>
        <w:t xml:space="preserve">：</w:t>
      </w:r>
      <w:r/>
    </w:p>
    <w:p>
      <w:pPr>
        <w:ind w:firstLine="480"/>
        <w:spacing w:line="360" w:lineRule="auto"/>
        <w:rPr>
          <w:rFonts w:hint="eastAsia" w:ascii="宋体" w:hAnsi="宋体" w:cs="宋体"/>
          <w:bCs/>
          <w:sz w:val="24"/>
          <w:szCs w:val="24"/>
        </w:rPr>
      </w:pPr>
      <w:r>
        <w:rPr>
          <w:rFonts w:hint="eastAsia" w:ascii="宋体" w:hAnsi="宋体" w:cs="宋体"/>
          <w:bCs/>
          <w:sz w:val="24"/>
          <w:szCs w:val="24"/>
          <w:highlight w:val="none"/>
        </w:rPr>
        <w:t xml:space="preserve">乙方不得将</w:t>
      </w:r>
      <w:r>
        <w:rPr>
          <w:rFonts w:hint="eastAsia" w:ascii="宋体" w:hAnsi="宋体" w:cs="宋体"/>
          <w:bCs/>
          <w:sz w:val="24"/>
          <w:szCs w:val="24"/>
        </w:rPr>
        <w:t xml:space="preserve">在履行本合同中知悉的甲方任何信息随意泄露、擅自使用。如违反本条款规定，乙方应当承担相应的法律责任。</w:t>
      </w:r>
      <w:r/>
    </w:p>
    <w:p>
      <w:pPr>
        <w:spacing w:line="360" w:lineRule="auto"/>
        <w:widowControl/>
        <w:rPr>
          <w:rFonts w:hint="eastAsia" w:ascii="宋体" w:hAnsi="宋体" w:cs="宋体"/>
          <w:bCs/>
          <w:sz w:val="24"/>
          <w:szCs w:val="24"/>
        </w:rPr>
      </w:pPr>
      <w:r>
        <w:rPr>
          <w:rFonts w:hint="eastAsia" w:ascii="宋体" w:hAnsi="宋体" w:cs="宋体"/>
          <w:b/>
          <w:sz w:val="24"/>
          <w:szCs w:val="24"/>
        </w:rPr>
        <w:t xml:space="preserve">八、产权归属</w:t>
      </w:r>
      <w:r>
        <w:rPr>
          <w:rFonts w:hint="eastAsia" w:ascii="宋体" w:hAnsi="宋体" w:cs="宋体"/>
          <w:bCs/>
          <w:sz w:val="24"/>
          <w:szCs w:val="24"/>
        </w:rPr>
        <w:t xml:space="preserve">：</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在本项目中，项目的知识成果和产权归甲方所有，甲方或最终用户在项目过程中不受第三方关于侵犯知识产权的指控。</w:t>
      </w:r>
      <w:r/>
    </w:p>
    <w:p>
      <w:pPr>
        <w:spacing w:line="360" w:lineRule="auto"/>
        <w:widowControl/>
        <w:rPr>
          <w:rFonts w:hint="eastAsia" w:ascii="宋体" w:hAnsi="宋体" w:cs="宋体"/>
          <w:b/>
          <w:sz w:val="24"/>
          <w:szCs w:val="24"/>
        </w:rPr>
      </w:pPr>
      <w:r>
        <w:rPr>
          <w:rFonts w:hint="eastAsia" w:ascii="宋体" w:hAnsi="宋体" w:cs="宋体"/>
          <w:b/>
          <w:sz w:val="24"/>
          <w:szCs w:val="24"/>
        </w:rPr>
        <w:t xml:space="preserve">九、合同纠纷处理：</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本合同执行过程中发生纠纷，由甲乙双方协商处理，若协商不成，双方一致同意作如下处理：</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1.申请仲裁。选定仲裁机构为采购人所在地仲裁委员会。</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2.提起诉讼。约定由采购人所在地法院管辖。</w:t>
      </w:r>
      <w:r/>
    </w:p>
    <w:p>
      <w:pPr>
        <w:spacing w:line="360" w:lineRule="auto"/>
        <w:widowControl/>
        <w:rPr>
          <w:rFonts w:hint="eastAsia" w:ascii="宋体" w:hAnsi="宋体" w:cs="宋体"/>
          <w:bCs/>
          <w:sz w:val="24"/>
          <w:szCs w:val="24"/>
        </w:rPr>
      </w:pPr>
      <w:r>
        <w:rPr>
          <w:rFonts w:hint="eastAsia" w:ascii="宋体" w:hAnsi="宋体" w:cs="宋体"/>
          <w:b/>
          <w:sz w:val="24"/>
          <w:szCs w:val="24"/>
        </w:rPr>
        <w:t xml:space="preserve">十、合同生效</w:t>
      </w:r>
      <w:r>
        <w:rPr>
          <w:rFonts w:hint="eastAsia" w:ascii="宋体" w:hAnsi="宋体" w:cs="宋体"/>
          <w:bCs/>
          <w:sz w:val="24"/>
          <w:szCs w:val="24"/>
        </w:rPr>
        <w:t xml:space="preserve">：</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本合同由甲乙双方签字盖章后生效。</w:t>
      </w:r>
      <w:r/>
    </w:p>
    <w:p>
      <w:pPr>
        <w:spacing w:line="360" w:lineRule="auto"/>
        <w:widowControl/>
        <w:rPr>
          <w:rFonts w:hint="eastAsia" w:ascii="宋体" w:hAnsi="宋体" w:cs="宋体"/>
          <w:bCs/>
          <w:sz w:val="24"/>
          <w:szCs w:val="24"/>
        </w:rPr>
      </w:pPr>
      <w:r>
        <w:rPr>
          <w:rFonts w:hint="eastAsia" w:ascii="宋体" w:hAnsi="宋体" w:cs="宋体"/>
          <w:b/>
          <w:sz w:val="24"/>
          <w:szCs w:val="24"/>
        </w:rPr>
        <w:t xml:space="preserve">十一、合同鉴证</w:t>
      </w:r>
      <w:r>
        <w:rPr>
          <w:rFonts w:hint="eastAsia" w:ascii="宋体" w:hAnsi="宋体" w:cs="宋体"/>
          <w:bCs/>
          <w:sz w:val="24"/>
          <w:szCs w:val="24"/>
        </w:rPr>
        <w:t xml:space="preserve">：</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代理采购机构应当在本合同上（签字或盖章），以证明本合同条款与采购文件、投标响应（响应）文件的相关要求相符并且未对采购服务和技术参数进行实质性修改。</w:t>
      </w:r>
      <w:r/>
    </w:p>
    <w:p>
      <w:pPr>
        <w:spacing w:line="360" w:lineRule="auto"/>
        <w:widowControl/>
        <w:rPr>
          <w:rFonts w:hint="eastAsia" w:ascii="宋体" w:hAnsi="宋体" w:cs="宋体"/>
          <w:b/>
          <w:sz w:val="24"/>
          <w:szCs w:val="24"/>
        </w:rPr>
      </w:pPr>
      <w:r>
        <w:rPr>
          <w:rFonts w:hint="eastAsia" w:ascii="宋体" w:hAnsi="宋体" w:cs="宋体"/>
          <w:b/>
          <w:sz w:val="24"/>
          <w:szCs w:val="24"/>
        </w:rPr>
        <w:t xml:space="preserve">十二、组成本合同的文件包括：</w:t>
      </w:r>
      <w:r/>
    </w:p>
    <w:p>
      <w:pPr>
        <w:ind w:firstLine="480"/>
        <w:spacing w:line="360" w:lineRule="auto"/>
        <w:widowControl/>
        <w:rPr>
          <w:rFonts w:hint="eastAsia" w:ascii="宋体" w:hAnsi="宋体" w:cs="宋体"/>
          <w:bCs/>
          <w:sz w:val="24"/>
          <w:szCs w:val="24"/>
        </w:rPr>
      </w:pPr>
      <w:r/>
      <w:bookmarkStart w:id="175" w:name="_Hlk56258716"/>
      <w:r>
        <w:rPr>
          <w:rFonts w:hint="eastAsia" w:ascii="宋体" w:hAnsi="宋体" w:cs="宋体"/>
          <w:bCs/>
          <w:sz w:val="24"/>
          <w:szCs w:val="24"/>
        </w:rPr>
        <w:t xml:space="preserve">1.合同通用条款和专用条款；</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2.采购文件和乙方的响应文件；</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3.成交通知书；</w:t>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4.甲乙双方商定的其他必要文件。</w:t>
      </w:r>
      <w:bookmarkEnd w:id="175"/>
      <w:r/>
      <w:r/>
    </w:p>
    <w:p>
      <w:pPr>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上述合同文件内容互为补充，如有不明确，由甲方负责解释。</w:t>
      </w:r>
      <w:r/>
    </w:p>
    <w:p>
      <w:pPr>
        <w:spacing w:line="360" w:lineRule="auto"/>
        <w:widowControl/>
        <w:rPr>
          <w:rFonts w:hint="eastAsia" w:ascii="宋体" w:hAnsi="宋体" w:cs="宋体"/>
          <w:b/>
          <w:sz w:val="24"/>
          <w:szCs w:val="24"/>
        </w:rPr>
      </w:pPr>
      <w:r>
        <w:rPr>
          <w:rFonts w:hint="eastAsia" w:ascii="宋体" w:hAnsi="宋体" w:cs="宋体"/>
          <w:b/>
          <w:sz w:val="24"/>
          <w:szCs w:val="24"/>
        </w:rPr>
        <w:t xml:space="preserve">十三、合同备案</w:t>
      </w:r>
      <w:r/>
    </w:p>
    <w:p>
      <w:pPr>
        <w:ind w:firstLine="480"/>
        <w:spacing w:line="360" w:lineRule="auto"/>
        <w:widowControl/>
        <w:rPr>
          <w:rFonts w:hint="eastAsia" w:ascii="宋体" w:hAnsi="宋体" w:cs="宋体"/>
          <w:sz w:val="24"/>
          <w:szCs w:val="24"/>
        </w:rPr>
      </w:pPr>
      <w:r>
        <w:rPr>
          <w:rFonts w:hint="eastAsia" w:ascii="宋体" w:hAnsi="宋体" w:cs="宋体"/>
          <w:bCs/>
          <w:sz w:val="24"/>
          <w:szCs w:val="24"/>
        </w:rPr>
        <w:t xml:space="preserve">本合同一式肆份，甲乙双方各执贰份。</w:t>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pStyle w:val="792"/>
        <w:ind w:firstLine="0"/>
        <w:rPr>
          <w:rFonts w:hint="eastAsia" w:cs="宋体"/>
        </w:rPr>
      </w:pPr>
      <w:r>
        <w:rPr>
          <w:rFonts w:hint="eastAsia" w:cs="宋体"/>
        </w:rPr>
        <w:t xml:space="preserve">附件：</w:t>
      </w:r>
      <w:r/>
    </w:p>
    <w:tbl>
      <w:tblPr>
        <w:tblStyle w:val="752"/>
        <w:tblpPr w:horzAnchor="page" w:tblpX="1140" w:vertAnchor="text" w:tblpY="879" w:leftFromText="180" w:topFromText="0" w:rightFromText="180" w:bottomFromText="0"/>
        <w:tblW w:w="98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163"/>
        <w:gridCol w:w="1017"/>
        <w:gridCol w:w="3406"/>
        <w:gridCol w:w="735"/>
        <w:gridCol w:w="1408"/>
        <w:gridCol w:w="689"/>
        <w:gridCol w:w="604"/>
        <w:gridCol w:w="842"/>
      </w:tblGrid>
      <w:tr>
        <w:trPr>
          <w:trHeight w:val="720"/>
        </w:trPr>
        <w:tc>
          <w:tcPr>
            <w:gridSpan w:val="8"/>
            <w:tcW w:w="9864" w:type="dxa"/>
            <w:vAlign w:val="center"/>
            <w:textDirection w:val="lrTb"/>
            <w:noWrap/>
          </w:tcPr>
          <w:p>
            <w:pPr>
              <w:jc w:val="center"/>
              <w:widowControl/>
              <w:rPr>
                <w:rFonts w:hint="eastAsia" w:ascii="微软雅黑" w:hAnsi="微软雅黑" w:eastAsia="微软雅黑" w:cs="微软雅黑"/>
                <w:b/>
                <w:bCs/>
                <w:color w:val="000000"/>
                <w:sz w:val="28"/>
                <w:szCs w:val="28"/>
              </w:rPr>
            </w:pPr>
            <w:r>
              <w:rPr>
                <w:rFonts w:hint="eastAsia" w:ascii="微软雅黑" w:hAnsi="微软雅黑" w:eastAsia="微软雅黑" w:cs="微软雅黑"/>
                <w:b/>
                <w:bCs/>
                <w:color w:val="000000"/>
                <w:sz w:val="28"/>
                <w:szCs w:val="28"/>
                <w:lang w:bidi="ar"/>
              </w:rPr>
              <w:t xml:space="preserve"> </w:t>
            </w:r>
            <w:r>
              <w:rPr>
                <w:rFonts w:hint="eastAsia" w:ascii="宋体" w:hAnsi="宋体" w:cs="宋体"/>
                <w:b/>
                <w:bCs/>
                <w:sz w:val="24"/>
                <w:szCs w:val="24"/>
              </w:rPr>
              <w:t xml:space="preserve">物业服务考核标准</w:t>
            </w:r>
            <w:r/>
          </w:p>
        </w:tc>
      </w:tr>
      <w:tr>
        <w:trPr>
          <w:trHeight w:val="570"/>
        </w:trPr>
        <w:tc>
          <w:tcPr>
            <w:gridSpan w:val="2"/>
            <w:tcW w:w="2180" w:type="dxa"/>
            <w:vAlign w:val="center"/>
            <w:textDirection w:val="lrTb"/>
            <w:noWrap/>
          </w:tcPr>
          <w:p>
            <w:pPr>
              <w:jc w:val="left"/>
              <w:widowControl/>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lang w:bidi="ar"/>
              </w:rPr>
              <w:t xml:space="preserve">物业公司：</w:t>
            </w:r>
            <w:r/>
          </w:p>
        </w:tc>
        <w:tc>
          <w:tcPr>
            <w:tcW w:w="3406" w:type="dxa"/>
            <w:vAlign w:val="center"/>
            <w:textDirection w:val="lrTb"/>
            <w:noWrap/>
          </w:tcPr>
          <w:p>
            <w:pPr>
              <w:jc w:val="center"/>
              <w:rPr>
                <w:rFonts w:hint="eastAsia" w:ascii="微软雅黑" w:hAnsi="微软雅黑" w:eastAsia="微软雅黑" w:cs="微软雅黑"/>
                <w:color w:val="000000"/>
                <w:sz w:val="28"/>
                <w:szCs w:val="28"/>
              </w:rPr>
            </w:pPr>
            <w:r>
              <w:rPr>
                <w:rFonts w:hint="eastAsia" w:ascii="微软雅黑" w:hAnsi="微软雅黑" w:eastAsia="微软雅黑" w:cs="微软雅黑"/>
                <w:color w:val="000000"/>
                <w:sz w:val="28"/>
                <w:szCs w:val="28"/>
              </w:rPr>
            </w:r>
            <w:r/>
          </w:p>
        </w:tc>
        <w:tc>
          <w:tcPr>
            <w:gridSpan w:val="5"/>
            <w:tcW w:w="4278" w:type="dxa"/>
            <w:vAlign w:val="center"/>
            <w:textDirection w:val="lrTb"/>
            <w:noWrap/>
          </w:tcPr>
          <w:p>
            <w:pPr>
              <w:jc w:val="center"/>
              <w:widowControl/>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lang w:bidi="ar"/>
              </w:rPr>
              <w:t xml:space="preserve">考核周期： 年  月 日至  年 月 日</w:t>
            </w:r>
            <w:r/>
          </w:p>
        </w:tc>
      </w:tr>
      <w:tr>
        <w:trPr>
          <w:trHeight w:val="570"/>
        </w:trPr>
        <w:tc>
          <w:tcPr>
            <w:shd w:val="clear" w:color="auto" w:fill="ffcc00"/>
            <w:tcW w:w="1163" w:type="dxa"/>
            <w:vAlign w:val="center"/>
            <w:textDirection w:val="lrTb"/>
            <w:noWrap/>
          </w:tcPr>
          <w:p>
            <w:pPr>
              <w:jc w:val="center"/>
              <w:widowControl/>
              <w:rPr>
                <w:rFonts w:hint="eastAsia"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考核类别</w:t>
            </w:r>
            <w:r/>
          </w:p>
        </w:tc>
        <w:tc>
          <w:tcPr>
            <w:shd w:val="clear" w:color="auto" w:fill="ffcc00"/>
            <w:tcW w:w="101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考核内容</w:t>
            </w:r>
            <w:r/>
          </w:p>
        </w:tc>
        <w:tc>
          <w:tcPr>
            <w:shd w:val="clear" w:color="auto" w:fill="ffcc00"/>
            <w:tcW w:w="3406" w:type="dxa"/>
            <w:vAlign w:val="center"/>
            <w:textDirection w:val="lrTb"/>
            <w:noWrap/>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考核标准</w:t>
            </w:r>
            <w:r/>
          </w:p>
        </w:tc>
        <w:tc>
          <w:tcPr>
            <w:shd w:val="clear" w:color="auto" w:fill="ffcc00"/>
            <w:tcW w:w="735" w:type="dxa"/>
            <w:vAlign w:val="center"/>
            <w:textDirection w:val="lrTb"/>
            <w:noWrap/>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总分</w:t>
            </w:r>
            <w:r/>
          </w:p>
        </w:tc>
        <w:tc>
          <w:tcPr>
            <w:shd w:val="clear" w:color="auto" w:fill="ffcc00"/>
            <w:tcW w:w="1408" w:type="dxa"/>
            <w:vAlign w:val="center"/>
            <w:textDirection w:val="lrTb"/>
            <w:noWrap/>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评分标准</w:t>
            </w:r>
            <w:r/>
          </w:p>
        </w:tc>
        <w:tc>
          <w:tcPr>
            <w:shd w:val="clear" w:color="auto" w:fill="ffcc00"/>
            <w:tcW w:w="689" w:type="dxa"/>
            <w:vAlign w:val="center"/>
            <w:textDirection w:val="lrTb"/>
            <w:noWrap w:val="false"/>
          </w:tcPr>
          <w:p>
            <w:pPr>
              <w:jc w:val="center"/>
              <w:spacing w:line="4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应扣/加分值</w:t>
            </w:r>
            <w:r/>
          </w:p>
        </w:tc>
        <w:tc>
          <w:tcPr>
            <w:shd w:val="clear" w:color="auto" w:fill="ffcc00"/>
            <w:tcW w:w="604" w:type="dxa"/>
            <w:vAlign w:val="center"/>
            <w:textDirection w:val="lrTb"/>
            <w:noWrap w:val="false"/>
          </w:tcPr>
          <w:p>
            <w:pPr>
              <w:jc w:val="center"/>
              <w:spacing w:line="4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扣分说明</w:t>
            </w:r>
            <w:r/>
          </w:p>
        </w:tc>
        <w:tc>
          <w:tcPr>
            <w:shd w:val="clear" w:color="auto" w:fill="ffcc00"/>
            <w:tcW w:w="842" w:type="dxa"/>
            <w:vAlign w:val="center"/>
            <w:textDirection w:val="lrTb"/>
            <w:noWrap/>
          </w:tcPr>
          <w:p>
            <w:pPr>
              <w:jc w:val="center"/>
              <w:spacing w:line="4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备注</w:t>
            </w:r>
            <w:r/>
          </w:p>
        </w:tc>
      </w:tr>
      <w:tr>
        <w:trPr>
          <w:trHeight w:val="280"/>
        </w:trPr>
        <w:tc>
          <w:tcPr>
            <w:tcW w:w="1163" w:type="dxa"/>
            <w:vAlign w:val="center"/>
            <w:vMerge w:val="restart"/>
            <w:textDirection w:val="lrTb"/>
            <w:noWrap w:val="false"/>
          </w:tcPr>
          <w:p>
            <w:pPr>
              <w:jc w:val="center"/>
              <w:widowControl/>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安全秩序</w:t>
            </w:r>
            <w:r>
              <w:rPr>
                <w:rFonts w:hint="eastAsia" w:ascii="微软雅黑" w:hAnsi="微软雅黑" w:eastAsia="微软雅黑" w:cs="微软雅黑"/>
                <w:b/>
                <w:bCs/>
                <w:color w:val="000000"/>
                <w:sz w:val="22"/>
                <w:lang w:bidi="ar"/>
              </w:rPr>
              <w:br/>
            </w:r>
            <w:r>
              <w:rPr>
                <w:rFonts w:hint="eastAsia" w:ascii="微软雅黑" w:hAnsi="微软雅黑" w:eastAsia="微软雅黑" w:cs="微软雅黑"/>
                <w:b/>
                <w:bCs/>
                <w:color w:val="000000"/>
                <w:sz w:val="22"/>
                <w:lang w:bidi="ar"/>
              </w:rPr>
              <w:t xml:space="preserve">（21分）</w:t>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门岗      （7分）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来访人员管理：登记来访人员身份信息、车辆信息，与甲方对应人员确认后允许上楼</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形象岗：保持良好形象、着装规整、站姿标准、规范用语、按时立岗</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66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环境卫生：保持责任区域卫生环境，物品整齐摆放</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设施设备：保持岗位区域内的所有设备正常使用，损坏及时报修并跟进结果</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工作记录：24小时值班期间信息填写详细、完整</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未及时填写、明显错误、内容不完整，每项扣0.5分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巡逻岗    （2分）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车辆管理：保持停车场、车棚车辆停放有序，上下班高峰期现场引导</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巡逻：每2小时巡逻1次，并详细填写记录</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监控室    （6分）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保密制度：禁止非相关人员入内，特别人员来访有详细登记；经甲方联络人员同意后调取监控视频，禁止私自调阅</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环境卫生：保持室内卫生环境，物品整齐摆放，禁止携带食品入内</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设施设备：保持监控室内的所有设备正常使用，损坏及时报修并跟进结果</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工作记录：填写详细、完整；每周盘查监控系统运行状况并详细填写记录</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消防安全    （6分）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设施巡查：每周对消防设施设备进行巡检并详细填写记录，及时反馈安全隐患信息</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pacing w:val="0"/>
                <w:sz w:val="20"/>
                <w:szCs w:val="20"/>
                <w:lang w:bidi="ar"/>
              </w:rPr>
              <w:t xml:space="preserve">有火、水、治安应急预案，应按计划组织应急预案演练。</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设计养护：定期对消防设施管养</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消防通道：保持消防通道畅通</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消防演练：每年进行2场消防演练</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690"/>
        </w:trPr>
        <w:tc>
          <w:tcPr>
            <w:tcW w:w="1163" w:type="dxa"/>
            <w:vAlign w:val="center"/>
            <w:vMerge w:val="restart"/>
            <w:textDirection w:val="lrTb"/>
            <w:noWrap w:val="false"/>
          </w:tcPr>
          <w:p>
            <w:pPr>
              <w:jc w:val="center"/>
              <w:widowControl/>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环境卫生</w:t>
            </w:r>
            <w:r>
              <w:rPr>
                <w:rFonts w:hint="eastAsia" w:ascii="微软雅黑" w:hAnsi="微软雅黑" w:eastAsia="微软雅黑" w:cs="微软雅黑"/>
                <w:b/>
                <w:bCs/>
                <w:color w:val="000000"/>
                <w:sz w:val="22"/>
                <w:lang w:bidi="ar"/>
              </w:rPr>
              <w:br/>
            </w:r>
            <w:r>
              <w:rPr>
                <w:rFonts w:hint="eastAsia" w:ascii="微软雅黑" w:hAnsi="微软雅黑" w:eastAsia="微软雅黑" w:cs="微软雅黑"/>
                <w:b/>
                <w:bCs/>
                <w:color w:val="000000"/>
                <w:sz w:val="22"/>
                <w:lang w:bidi="ar"/>
              </w:rPr>
              <w:t xml:space="preserve">（18分）</w:t>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公共区域及食堂      （8分）                            </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地面:无灰尘、纸屑等杂物，无积水、无堆积垃圾；墙面、门窗：无明显灰尘、污迹、小广告，天花板无蛛网</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垃圾桶、纸篓:垃圾日产日清，不超过容量的三分之二</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垃圾分类：垃圾分类收集，交由有资质单位收运，按照南京市垃圾分类要求做好单位垃圾分类台账留存</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阳台、天台：无泥沙尘土、纸屑、杂草杂物等</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食堂：碗筷、地面及相关作业内容整洁、干净，操作规范</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定期除四害、地毯清洗、大楼外墙清洗、大理石镜面石材料养护</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室外环境卫生：地面无尘土、纸屑、塑料瓶、口香糖、青苔、积水等，无堆积垃圾、小广告，无过多落叶及杂草</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9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卫生间    （5分）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地面、墙面、门窗：无污渍、积水、小广告、蛛网，保持通风无异味</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1395"/>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便池、尿斗、面盆、镜面：干净、无污迹、无污垢、无异味；洗手液、手纸、卫生间按时摆放及补充；化粪池按时清掏</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纸篓、垃圾桶：垃圾日产日清，不超过容量的三分之二</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会议室、会客室、培训室 （4分）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地面、墙面、门窗：无灰尘、纸屑等杂物，无积水、蛛网</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桌椅、沙发、柜子等家具：无灰尘、杂物、垃圾</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纸篓、垃圾桶：保持整洁，垃圾及时清理，不超过容量三分之二</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开水间    （1分）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设施每日检查，保证地面、墙面、门窗、垃圾桶：无污渍、积水蛛网；垃圾日产日清，不超过容量的三分之二</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restart"/>
            <w:textDirection w:val="lrTb"/>
            <w:noWrap w:val="false"/>
          </w:tcPr>
          <w:p>
            <w:pPr>
              <w:jc w:val="center"/>
              <w:widowControl/>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工程维修</w:t>
            </w:r>
            <w:r>
              <w:rPr>
                <w:rFonts w:hint="eastAsia" w:ascii="微软雅黑" w:hAnsi="微软雅黑" w:eastAsia="微软雅黑" w:cs="微软雅黑"/>
                <w:b/>
                <w:bCs/>
                <w:color w:val="000000"/>
                <w:sz w:val="22"/>
                <w:lang w:bidi="ar"/>
              </w:rPr>
              <w:br/>
            </w:r>
            <w:r>
              <w:rPr>
                <w:rFonts w:hint="eastAsia" w:ascii="微软雅黑" w:hAnsi="微软雅黑" w:eastAsia="微软雅黑" w:cs="微软雅黑"/>
                <w:b/>
                <w:bCs/>
                <w:color w:val="000000"/>
                <w:sz w:val="22"/>
                <w:lang w:bidi="ar"/>
              </w:rPr>
              <w:t xml:space="preserve">（24分）</w:t>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日常维修 （12分）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响应度：监管部门报修30分钟内到现场，外部维修当天内到现场</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widowControl/>
              <w:rPr>
                <w:rFonts w:hint="eastAsia" w:ascii="微软雅黑" w:hAnsi="微软雅黑" w:eastAsia="微软雅黑" w:cs="微软雅黑"/>
                <w:b/>
                <w:bCs/>
                <w:color w:val="000000"/>
                <w:sz w:val="22"/>
                <w:lang w:bidi="ar"/>
              </w:rPr>
            </w:pPr>
            <w:r>
              <w:rPr>
                <w:rFonts w:hint="eastAsia" w:ascii="微软雅黑" w:hAnsi="微软雅黑" w:eastAsia="微软雅黑" w:cs="微软雅黑"/>
                <w:b/>
                <w:bCs/>
                <w:color w:val="000000"/>
                <w:sz w:val="22"/>
                <w:lang w:bidi="ar"/>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确定率：确定问题后第一时间报维修方案至监管部门，由监管部门签字确定后开展维修工作</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结单率：无特殊原因，当月结单率100%</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每单扣0.5分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规范材料采购程序，需提供凭证真实、有效</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997"/>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回访率：回访率不低于10%，并有详细记录</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无完整记录或低于10%均扣1分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及时率：内、外部普通维修当日完成；特殊情况未能完成需要及时上报维修期限至监管部门</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仿宋" w:cs="微软雅黑"/>
                <w:color w:val="000000"/>
                <w:sz w:val="20"/>
                <w:szCs w:val="20"/>
                <w:lang w:bidi="ar"/>
              </w:rPr>
            </w:pPr>
            <w:r>
              <w:rPr>
                <w:rFonts w:hint="eastAsia" w:ascii="微软雅黑" w:hAnsi="微软雅黑" w:eastAsia="微软雅黑" w:cs="微软雅黑"/>
                <w:color w:val="000000"/>
                <w:sz w:val="20"/>
                <w:szCs w:val="20"/>
                <w:lang w:bidi="ar"/>
              </w:rPr>
              <w:t xml:space="preserve">随手关灯、关水、关空调无浪费水电等现象</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每发现一起扣1分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设施设备管理        （9分）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公共电器设备：每日巡查并记录，监督跟进维保工作，按期提供巡查表及维保记录</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对楼内各设备运行状态及能耗进行监测，及时发现能耗超标的设备并做整改，确保达到较低的能耗水平。</w:t>
            </w:r>
            <w:r>
              <w:rPr>
                <w:rFonts w:hint="eastAsia" w:ascii="微软雅黑" w:hAnsi="微软雅黑" w:eastAsia="微软雅黑" w:cs="微软雅黑"/>
                <w:color w:val="000000"/>
                <w:sz w:val="20"/>
                <w:szCs w:val="20"/>
                <w:lang w:eastAsia="en-US" w:bidi="ar"/>
              </w:rPr>
              <w:t xml:space="preserve">技工抄表准确无误</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3</w:t>
            </w:r>
            <w:r/>
          </w:p>
        </w:tc>
        <w:tc>
          <w:tcPr>
            <w:tcW w:w="1408" w:type="dxa"/>
            <w:vAlign w:val="center"/>
            <w:textDirection w:val="lrTb"/>
            <w:noWrap w:val="false"/>
          </w:tcPr>
          <w:p>
            <w:pPr>
              <w:ind w:left="0" w:right="0" w:firstLine="0"/>
              <w:jc w:val="left"/>
              <w:spacing w:before="0"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pacing w:val="0"/>
                <w:sz w:val="20"/>
                <w:szCs w:val="20"/>
                <w:lang w:bidi="ar"/>
              </w:rPr>
              <w:t xml:space="preserve">无有能耗监测方案扣1分；</w:t>
            </w:r>
            <w:r>
              <w:rPr>
                <w:rFonts w:hint="eastAsia" w:ascii="微软雅黑" w:hAnsi="微软雅黑" w:eastAsia="微软雅黑" w:cs="微软雅黑"/>
                <w:color w:val="000000"/>
                <w:sz w:val="20"/>
                <w:szCs w:val="20"/>
                <w:lang w:bidi="ar"/>
              </w:rPr>
              <w:t xml:space="preserve">未能</w:t>
            </w:r>
            <w:r>
              <w:rPr>
                <w:rFonts w:hint="eastAsia" w:ascii="微软雅黑" w:hAnsi="微软雅黑" w:eastAsia="微软雅黑" w:cs="微软雅黑"/>
                <w:color w:val="000000"/>
                <w:spacing w:val="0"/>
                <w:sz w:val="20"/>
                <w:szCs w:val="20"/>
                <w:lang w:bidi="ar"/>
              </w:rPr>
              <w:t xml:space="preserve">发现超出正常能耗水平的设备并整改</w:t>
            </w:r>
            <w:r>
              <w:rPr>
                <w:rFonts w:hint="eastAsia" w:ascii="微软雅黑" w:hAnsi="微软雅黑" w:eastAsia="微软雅黑" w:cs="微软雅黑"/>
                <w:color w:val="000000"/>
                <w:sz w:val="20"/>
                <w:szCs w:val="20"/>
                <w:lang w:bidi="ar"/>
              </w:rPr>
              <w:t xml:space="preserve">扣1分</w:t>
            </w:r>
            <w:r>
              <w:rPr>
                <w:rFonts w:hint="eastAsia" w:ascii="微软雅黑" w:hAnsi="微软雅黑" w:eastAsia="微软雅黑" w:cs="微软雅黑"/>
                <w:color w:val="000000"/>
                <w:spacing w:val="0"/>
                <w:sz w:val="20"/>
                <w:szCs w:val="20"/>
                <w:lang w:bidi="ar"/>
              </w:rPr>
              <w:t xml:space="preserve">；</w:t>
            </w:r>
            <w:r/>
          </w:p>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pacing w:val="0"/>
                <w:sz w:val="20"/>
                <w:szCs w:val="20"/>
                <w:lang w:bidi="ar"/>
              </w:rPr>
              <w:t xml:space="preserve">当期能耗较去年同期</w:t>
            </w:r>
            <w:r>
              <w:rPr>
                <w:rFonts w:hint="eastAsia" w:ascii="微软雅黑" w:hAnsi="微软雅黑" w:eastAsia="微软雅黑" w:cs="微软雅黑"/>
                <w:color w:val="000000"/>
                <w:sz w:val="20"/>
                <w:szCs w:val="20"/>
                <w:lang w:bidi="ar"/>
              </w:rPr>
              <w:t xml:space="preserve">增加扣1分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消防泵、喷淋泵等不经常启动的水泵，每月启动1次，保持水泵能正常运行。消火栓、消防泵、灭火器材、喷淋泵及污水泵悬挂责任人标牌真实有效。</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配电房、箱变、水泵、强电井等水电设施：每月巡检并记录；持证上岗，按专业制度流程操作</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维修材料管理        （3分）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各类维修材料分类摆放，整齐有序；建立维修材料管理台帐，领用有记录，及时备货；材料报废按制度严格执行</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restart"/>
            <w:textDirection w:val="lrTb"/>
            <w:noWrap w:val="false"/>
          </w:tcPr>
          <w:p>
            <w:pPr>
              <w:jc w:val="center"/>
              <w:widowControl/>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客服服务</w:t>
            </w:r>
            <w:r>
              <w:rPr>
                <w:rFonts w:hint="eastAsia" w:ascii="微软雅黑" w:hAnsi="微软雅黑" w:eastAsia="微软雅黑" w:cs="微软雅黑"/>
                <w:b/>
                <w:bCs/>
                <w:color w:val="000000"/>
                <w:sz w:val="22"/>
                <w:lang w:bidi="ar"/>
              </w:rPr>
              <w:br/>
            </w:r>
            <w:r>
              <w:rPr>
                <w:rFonts w:hint="eastAsia" w:ascii="微软雅黑" w:hAnsi="微软雅黑" w:eastAsia="微软雅黑" w:cs="微软雅黑"/>
                <w:b/>
                <w:bCs/>
                <w:color w:val="000000"/>
                <w:sz w:val="22"/>
                <w:lang w:bidi="ar"/>
              </w:rPr>
              <w:t xml:space="preserve">（15分）</w:t>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会务服务 （10分）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会场环境：保持会场卫生环境，桌椅摆放整齐，设施设备完整、正常使用</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现场服务：按制度流程进行服务，做好席卡、话筒、电子设备调试准备工作；定时保障会务期间饮水，禁止做与工作无关的事情；特殊情况能够临时应变</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工作记录：认真填写会议接待服务记录；每日巡查各会议室、会客室，席卡、话筒等情况，并详细填写巡查记录</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未及时填写、明显错误、内容不完整，每项扣0.5分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接待      （5分）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素质要求：保持良好形象、热情接待、规范用语、认真填写工作表单</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环境卫生：保持岗位区域内卫生环境，物品整齐摆放</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restart"/>
            <w:textDirection w:val="lrTb"/>
            <w:noWrap w:val="false"/>
          </w:tcPr>
          <w:p>
            <w:pPr>
              <w:jc w:val="center"/>
              <w:widowControl/>
              <w:rPr>
                <w:color w:val="000000"/>
                <w:sz w:val="20"/>
                <w:szCs w:val="20"/>
              </w:rPr>
            </w:pPr>
            <w:r>
              <w:rPr>
                <w:rFonts w:hint="eastAsia" w:ascii="微软雅黑" w:hAnsi="微软雅黑" w:eastAsia="微软雅黑" w:cs="微软雅黑"/>
                <w:b/>
                <w:bCs/>
                <w:color w:val="000000"/>
                <w:sz w:val="24"/>
                <w:szCs w:val="24"/>
                <w:lang w:bidi="ar"/>
              </w:rPr>
              <w:t xml:space="preserve">综合管理</w:t>
            </w:r>
            <w:r>
              <w:rPr>
                <w:rFonts w:hint="eastAsia" w:ascii="微软雅黑" w:hAnsi="微软雅黑" w:eastAsia="微软雅黑" w:cs="微软雅黑"/>
                <w:b/>
                <w:bCs/>
                <w:color w:val="000000"/>
                <w:sz w:val="22"/>
                <w:lang w:bidi="ar"/>
              </w:rPr>
              <w:br/>
            </w:r>
            <w:r>
              <w:rPr>
                <w:rFonts w:hint="eastAsia" w:ascii="微软雅黑" w:hAnsi="微软雅黑" w:eastAsia="微软雅黑" w:cs="微软雅黑"/>
                <w:b/>
                <w:bCs/>
                <w:color w:val="000000"/>
                <w:sz w:val="20"/>
                <w:szCs w:val="20"/>
                <w:lang w:bidi="ar"/>
              </w:rPr>
              <w:t xml:space="preserve">（22分）</w:t>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职业素养    （8分）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遵守相关规章制度，上班时间段统一穿戴制服并保持良好个人形象，不做与本职工作无关的事项</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660"/>
        </w:trPr>
        <w:tc>
          <w:tcPr>
            <w:tcW w:w="1163" w:type="dxa"/>
            <w:vAlign w:val="center"/>
            <w:vMerge w:val="continue"/>
            <w:textDirection w:val="lrTb"/>
            <w:noWrap w:val="false"/>
          </w:tcPr>
          <w:p>
            <w:pPr>
              <w:jc w:val="center"/>
              <w:rPr>
                <w:rFonts w:ascii="宋体"/>
                <w:color w:val="000000"/>
                <w:sz w:val="20"/>
                <w:szCs w:val="20"/>
              </w:rPr>
            </w:pPr>
            <w:r>
              <w:rPr>
                <w:rFonts w:ascii="宋体"/>
                <w:color w:val="000000"/>
                <w:sz w:val="20"/>
                <w:szCs w:val="20"/>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无迟到早退、擅自离岗、脱岗情况</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t xml:space="preserve">3</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ascii="宋体"/>
                <w:color w:val="000000"/>
                <w:sz w:val="20"/>
                <w:szCs w:val="20"/>
              </w:rPr>
            </w:pPr>
            <w:r>
              <w:rPr>
                <w:rFonts w:ascii="宋体"/>
                <w:color w:val="000000"/>
                <w:sz w:val="20"/>
                <w:szCs w:val="20"/>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各关键岗位持证上岗</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每发现一项不合格，扣2分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ascii="宋体"/>
                <w:color w:val="000000"/>
                <w:sz w:val="20"/>
                <w:szCs w:val="20"/>
              </w:rPr>
            </w:pPr>
            <w:r>
              <w:rPr>
                <w:rFonts w:ascii="宋体"/>
                <w:color w:val="000000"/>
                <w:sz w:val="20"/>
                <w:szCs w:val="20"/>
              </w:rPr>
            </w:r>
            <w:r/>
          </w:p>
        </w:tc>
        <w:tc>
          <w:tcPr>
            <w:tcW w:w="1017" w:type="dxa"/>
            <w:vAlign w:val="center"/>
            <w:vMerge w:val="restart"/>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工作数据    （5分）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日常表单：每月汇总提供各项日常工作表单，供监管部门检查</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不能提供的扣3分，数据明显错或缺失的每项扣1分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ascii="宋体"/>
                <w:color w:val="000000"/>
                <w:sz w:val="20"/>
                <w:szCs w:val="20"/>
              </w:rPr>
            </w:pPr>
            <w:r>
              <w:rPr>
                <w:rFonts w:ascii="宋体"/>
                <w:color w:val="000000"/>
                <w:sz w:val="20"/>
                <w:szCs w:val="20"/>
              </w:rPr>
            </w:r>
            <w:r/>
          </w:p>
        </w:tc>
        <w:tc>
          <w:tcPr>
            <w:tcW w:w="1017" w:type="dxa"/>
            <w:vAlign w:val="center"/>
            <w:vMerge w:val="continue"/>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数据分析：每月根据各项日常工作数据进行汇总分析，以项目月报形式提交</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不能提供的扣2分，数据明显错或缺失的每项扣1分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ascii="宋体"/>
                <w:color w:val="000000"/>
                <w:sz w:val="20"/>
                <w:szCs w:val="20"/>
              </w:rPr>
            </w:pPr>
            <w:r>
              <w:rPr>
                <w:rFonts w:ascii="宋体"/>
                <w:color w:val="000000"/>
                <w:sz w:val="20"/>
                <w:szCs w:val="20"/>
              </w:rPr>
            </w:r>
            <w:r/>
          </w:p>
        </w:tc>
        <w:tc>
          <w:tcPr>
            <w:tcW w:w="1017"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主动巡查巡检           （6分）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每日对办公楼和园区进行巡查不低于两次，主要检查日常使用的设施设备及环境卫生情况（包括但不限于空调、灯具、插座、空开、办公桌椅、门窗、卫生设施等），建立每日检查记录表。</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6</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未及时填写、明显错误、内容不完整，每项扣1分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1335"/>
        </w:trPr>
        <w:tc>
          <w:tcPr>
            <w:tcW w:w="1163" w:type="dxa"/>
            <w:vAlign w:val="center"/>
            <w:vMerge w:val="continue"/>
            <w:textDirection w:val="lrTb"/>
            <w:noWrap w:val="false"/>
          </w:tcPr>
          <w:p>
            <w:pPr>
              <w:jc w:val="center"/>
              <w:rPr>
                <w:rFonts w:ascii="宋体"/>
                <w:color w:val="000000"/>
                <w:sz w:val="20"/>
                <w:szCs w:val="20"/>
              </w:rPr>
            </w:pPr>
            <w:r>
              <w:rPr>
                <w:rFonts w:ascii="宋体"/>
                <w:color w:val="000000"/>
                <w:sz w:val="20"/>
                <w:szCs w:val="20"/>
              </w:rPr>
            </w:r>
            <w:r/>
          </w:p>
        </w:tc>
        <w:tc>
          <w:tcPr>
            <w:tcW w:w="1017"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服务人数   （3分）</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每月提供物业项目人员花名册，供监管部门核查</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W w:w="1408"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无特殊原因，未达到合同要求人数，每少一人扣3分</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同时扣除相应的物业服务费用，全年缺编人次超过3次，可直接终止合同</w:t>
            </w:r>
            <w:r/>
          </w:p>
        </w:tc>
      </w:tr>
      <w:tr>
        <w:trPr>
          <w:trHeight w:val="495"/>
        </w:trPr>
        <w:tc>
          <w:tcPr>
            <w:gridSpan w:val="3"/>
            <w:tcW w:w="5586" w:type="dxa"/>
            <w:vAlign w:val="center"/>
            <w:textDirection w:val="lrTb"/>
            <w:noWrap/>
          </w:tcPr>
          <w:p>
            <w:pPr>
              <w:jc w:val="center"/>
              <w:spacing w:line="320" w:lineRule="exact"/>
              <w:widowControl/>
              <w:rPr>
                <w:rFonts w:hint="eastAsia"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扣分项合计</w:t>
            </w:r>
            <w:r/>
          </w:p>
        </w:tc>
        <w:tc>
          <w:tcPr>
            <w:tcW w:w="735" w:type="dxa"/>
            <w:vAlign w:val="center"/>
            <w:textDirection w:val="lrTb"/>
            <w:noWrap/>
          </w:tcPr>
          <w:p>
            <w:pPr>
              <w:jc w:val="center"/>
              <w:spacing w:line="320" w:lineRule="exact"/>
              <w:widowControl/>
              <w:rPr>
                <w:rFonts w:hint="eastAsia"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100</w:t>
            </w:r>
            <w:r/>
          </w:p>
        </w:tc>
        <w:tc>
          <w:tcPr>
            <w:tcW w:w="1408" w:type="dxa"/>
            <w:vAlign w:val="center"/>
            <w:textDirection w:val="lrTb"/>
            <w:noWrap/>
          </w:tcPr>
          <w:p>
            <w:pPr>
              <w:jc w:val="center"/>
              <w:spacing w:line="320" w:lineRule="exact"/>
              <w:widowControl/>
              <w:rPr>
                <w:rFonts w:hint="eastAsia" w:ascii="微软雅黑" w:hAnsi="微软雅黑" w:eastAsia="微软雅黑" w:cs="微软雅黑"/>
                <w:color w:val="000000"/>
                <w:sz w:val="22"/>
              </w:rPr>
            </w:pPr>
            <w:r>
              <w:rPr>
                <w:rFonts w:hint="eastAsia" w:ascii="微软雅黑" w:hAnsi="微软雅黑" w:eastAsia="微软雅黑" w:cs="微软雅黑"/>
                <w:color w:val="000000"/>
                <w:sz w:val="22"/>
              </w:rPr>
            </w:r>
            <w:r/>
          </w:p>
        </w:tc>
        <w:tc>
          <w:tcPr>
            <w:tcW w:w="689" w:type="dxa"/>
            <w:vAlign w:val="center"/>
            <w:textDirection w:val="lrTb"/>
            <w:noWrap/>
          </w:tcPr>
          <w:p>
            <w:pPr>
              <w:jc w:val="center"/>
              <w:rPr>
                <w:rFonts w:hint="eastAsia" w:ascii="微软雅黑" w:hAnsi="微软雅黑" w:eastAsia="微软雅黑" w:cs="微软雅黑"/>
                <w:color w:val="000000"/>
                <w:sz w:val="22"/>
              </w:rPr>
            </w:pPr>
            <w:r>
              <w:rPr>
                <w:rFonts w:hint="eastAsia" w:ascii="微软雅黑" w:hAnsi="微软雅黑" w:eastAsia="微软雅黑" w:cs="微软雅黑"/>
                <w:color w:val="000000"/>
                <w:sz w:val="22"/>
              </w:rPr>
            </w:r>
            <w:r/>
          </w:p>
        </w:tc>
        <w:tc>
          <w:tcPr>
            <w:tcW w:w="604" w:type="dxa"/>
            <w:vAlign w:val="center"/>
            <w:textDirection w:val="lrTb"/>
            <w:noWrap w:val="false"/>
          </w:tcPr>
          <w:p>
            <w:pPr>
              <w:rPr>
                <w:rFonts w:hint="eastAsia" w:ascii="微软雅黑" w:hAnsi="微软雅黑" w:eastAsia="微软雅黑" w:cs="微软雅黑"/>
                <w:color w:val="000000"/>
                <w:sz w:val="22"/>
              </w:rPr>
            </w:pPr>
            <w:r>
              <w:rPr>
                <w:rFonts w:hint="eastAsia" w:ascii="微软雅黑" w:hAnsi="微软雅黑" w:eastAsia="微软雅黑" w:cs="微软雅黑"/>
                <w:color w:val="000000"/>
                <w:sz w:val="22"/>
              </w:rPr>
            </w:r>
            <w:r/>
          </w:p>
        </w:tc>
        <w:tc>
          <w:tcPr>
            <w:tcW w:w="842" w:type="dxa"/>
            <w:vAlign w:val="center"/>
            <w:textDirection w:val="lrTb"/>
            <w:noWrap/>
          </w:tcPr>
          <w:p>
            <w:pPr>
              <w:rPr>
                <w:rFonts w:hint="eastAsia" w:ascii="宋体" w:hAnsi="宋体" w:cs="宋体"/>
                <w:color w:val="000000"/>
                <w:sz w:val="22"/>
              </w:rPr>
            </w:pPr>
            <w:r>
              <w:rPr>
                <w:rFonts w:hint="eastAsia" w:ascii="宋体" w:hAnsi="宋体" w:cs="宋体"/>
                <w:color w:val="000000"/>
                <w:sz w:val="22"/>
              </w:rPr>
            </w:r>
            <w:r/>
          </w:p>
        </w:tc>
      </w:tr>
      <w:tr>
        <w:trPr>
          <w:trHeight w:val="660"/>
        </w:trPr>
        <w:tc>
          <w:tcPr>
            <w:tcW w:w="1163" w:type="dxa"/>
            <w:vAlign w:val="center"/>
            <w:vMerge w:val="restart"/>
            <w:textDirection w:val="lrTb"/>
            <w:noWrap w:val="false"/>
          </w:tcPr>
          <w:p>
            <w:pPr>
              <w:jc w:val="center"/>
              <w:widowControl/>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lang w:bidi="ar"/>
              </w:rPr>
              <w:t xml:space="preserve">加分项</w:t>
            </w:r>
            <w:r/>
          </w:p>
        </w:tc>
        <w:tc>
          <w:tcPr>
            <w:tcW w:w="1017"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领导表扬</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主要领导对物业进行的口头或书面表扬</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1408"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每项1分，无上限</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66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优秀事迹</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经物业监管部门讨论，决定对物业的某项优秀事迹进行表彰</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1408"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每项1分，无上限</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80"/>
        </w:trPr>
        <w:tc>
          <w:tcPr>
            <w:tcW w:w="1163" w:type="dxa"/>
            <w:vAlign w:val="center"/>
            <w:vMerge w:val="continue"/>
            <w:textDirection w:val="lrTb"/>
            <w:noWrap w:val="false"/>
          </w:tcPr>
          <w:p>
            <w:pPr>
              <w:jc w:val="center"/>
              <w:rPr>
                <w:rFonts w:hint="eastAsia" w:ascii="微软雅黑" w:hAnsi="微软雅黑" w:eastAsia="微软雅黑" w:cs="微软雅黑"/>
                <w:b/>
                <w:bCs/>
                <w:color w:val="000000"/>
                <w:sz w:val="22"/>
              </w:rPr>
            </w:pPr>
            <w:r>
              <w:rPr>
                <w:rFonts w:hint="eastAsia" w:ascii="微软雅黑" w:hAnsi="微软雅黑" w:eastAsia="微软雅黑" w:cs="微软雅黑"/>
                <w:b/>
                <w:bCs/>
                <w:color w:val="000000"/>
                <w:sz w:val="22"/>
              </w:rPr>
            </w:r>
            <w:r/>
          </w:p>
        </w:tc>
        <w:tc>
          <w:tcPr>
            <w:tcW w:w="1017"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节约费用</w:t>
            </w:r>
            <w:r/>
          </w:p>
        </w:tc>
        <w:tc>
          <w:tcPr>
            <w:tcW w:w="3406" w:type="dxa"/>
            <w:vAlign w:val="center"/>
            <w:textDirection w:val="lrTb"/>
            <w:noWrap w:val="false"/>
          </w:tcPr>
          <w:p>
            <w:pPr>
              <w:jc w:val="left"/>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物业公司主动采取的某项手段，明显节约了某项支出费用（一般为5000元以上），并经过物业监管部门核实</w:t>
            </w:r>
            <w:r/>
          </w:p>
        </w:tc>
        <w:tc>
          <w:tcPr>
            <w:tcW w:w="735"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1408" w:type="dxa"/>
            <w:vAlign w:val="center"/>
            <w:textDirection w:val="lrTb"/>
            <w:noWrap w:val="false"/>
          </w:tcPr>
          <w:p>
            <w:pPr>
              <w:jc w:val="center"/>
              <w:spacing w:line="32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每项1分，无上限</w:t>
            </w:r>
            <w:r/>
          </w:p>
        </w:tc>
        <w:tc>
          <w:tcPr>
            <w:tcW w:w="689"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604"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W w:w="842"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495"/>
        </w:trPr>
        <w:tc>
          <w:tcPr>
            <w:gridSpan w:val="3"/>
            <w:tcW w:w="5586" w:type="dxa"/>
            <w:vAlign w:val="center"/>
            <w:textDirection w:val="lrTb"/>
            <w:noWrap/>
          </w:tcPr>
          <w:p>
            <w:pPr>
              <w:jc w:val="center"/>
              <w:widowControl/>
              <w:rPr>
                <w:rFonts w:hint="eastAsia" w:ascii="微软雅黑" w:hAnsi="微软雅黑" w:eastAsia="微软雅黑" w:cs="微软雅黑"/>
                <w:color w:val="000000"/>
                <w:sz w:val="22"/>
              </w:rPr>
            </w:pPr>
            <w:r>
              <w:rPr>
                <w:rFonts w:hint="eastAsia" w:ascii="微软雅黑" w:hAnsi="微软雅黑" w:eastAsia="微软雅黑" w:cs="微软雅黑"/>
                <w:color w:val="000000"/>
                <w:sz w:val="22"/>
                <w:lang w:bidi="ar"/>
              </w:rPr>
              <w:t xml:space="preserve">最终考核得分</w:t>
            </w:r>
            <w:r/>
          </w:p>
        </w:tc>
        <w:tc>
          <w:tcPr>
            <w:tcW w:w="735" w:type="dxa"/>
            <w:vAlign w:val="center"/>
            <w:textDirection w:val="lrTb"/>
            <w:noWrap/>
          </w:tcPr>
          <w:p>
            <w:pPr>
              <w:jc w:val="center"/>
              <w:rPr>
                <w:rFonts w:hint="eastAsia" w:ascii="微软雅黑" w:hAnsi="微软雅黑" w:eastAsia="微软雅黑" w:cs="微软雅黑"/>
                <w:color w:val="000000"/>
                <w:sz w:val="22"/>
              </w:rPr>
            </w:pPr>
            <w:r>
              <w:rPr>
                <w:rFonts w:hint="eastAsia" w:ascii="微软雅黑" w:hAnsi="微软雅黑" w:eastAsia="微软雅黑" w:cs="微软雅黑"/>
                <w:color w:val="000000"/>
                <w:sz w:val="22"/>
              </w:rPr>
            </w:r>
            <w:r/>
          </w:p>
        </w:tc>
        <w:tc>
          <w:tcPr>
            <w:tcW w:w="1408" w:type="dxa"/>
            <w:vAlign w:val="center"/>
            <w:textDirection w:val="lrTb"/>
            <w:noWrap/>
          </w:tcPr>
          <w:p>
            <w:pPr>
              <w:jc w:val="center"/>
              <w:rPr>
                <w:rFonts w:hint="eastAsia" w:ascii="微软雅黑" w:hAnsi="微软雅黑" w:eastAsia="微软雅黑" w:cs="微软雅黑"/>
                <w:color w:val="000000"/>
                <w:sz w:val="22"/>
              </w:rPr>
            </w:pPr>
            <w:r>
              <w:rPr>
                <w:rFonts w:hint="eastAsia" w:ascii="微软雅黑" w:hAnsi="微软雅黑" w:eastAsia="微软雅黑" w:cs="微软雅黑"/>
                <w:color w:val="000000"/>
                <w:sz w:val="22"/>
              </w:rPr>
            </w:r>
            <w:r/>
          </w:p>
        </w:tc>
        <w:tc>
          <w:tcPr>
            <w:tcW w:w="689" w:type="dxa"/>
            <w:vAlign w:val="center"/>
            <w:textDirection w:val="lrTb"/>
            <w:noWrap/>
          </w:tcPr>
          <w:p>
            <w:pPr>
              <w:jc w:val="center"/>
              <w:rPr>
                <w:rFonts w:hint="eastAsia" w:ascii="微软雅黑" w:hAnsi="微软雅黑" w:eastAsia="微软雅黑" w:cs="微软雅黑"/>
                <w:color w:val="000000"/>
                <w:sz w:val="22"/>
              </w:rPr>
            </w:pPr>
            <w:r>
              <w:rPr>
                <w:rFonts w:hint="eastAsia" w:ascii="微软雅黑" w:hAnsi="微软雅黑" w:eastAsia="微软雅黑" w:cs="微软雅黑"/>
                <w:color w:val="000000"/>
                <w:sz w:val="22"/>
              </w:rPr>
            </w:r>
            <w:r/>
          </w:p>
        </w:tc>
        <w:tc>
          <w:tcPr>
            <w:tcW w:w="604" w:type="dxa"/>
            <w:vAlign w:val="center"/>
            <w:textDirection w:val="lrTb"/>
            <w:noWrap w:val="false"/>
          </w:tcPr>
          <w:p>
            <w:pPr>
              <w:rPr>
                <w:rFonts w:hint="eastAsia" w:ascii="微软雅黑" w:hAnsi="微软雅黑" w:eastAsia="微软雅黑" w:cs="微软雅黑"/>
                <w:color w:val="000000"/>
                <w:sz w:val="22"/>
              </w:rPr>
            </w:pPr>
            <w:r>
              <w:rPr>
                <w:rFonts w:hint="eastAsia" w:ascii="微软雅黑" w:hAnsi="微软雅黑" w:eastAsia="微软雅黑" w:cs="微软雅黑"/>
                <w:color w:val="000000"/>
                <w:sz w:val="22"/>
              </w:rPr>
            </w:r>
            <w:r/>
          </w:p>
        </w:tc>
        <w:tc>
          <w:tcPr>
            <w:tcW w:w="842" w:type="dxa"/>
            <w:vAlign w:val="center"/>
            <w:textDirection w:val="lrTb"/>
            <w:noWrap/>
          </w:tcPr>
          <w:p>
            <w:pPr>
              <w:rPr>
                <w:rFonts w:hint="eastAsia" w:ascii="宋体" w:hAnsi="宋体" w:cs="宋体"/>
                <w:color w:val="000000"/>
                <w:sz w:val="22"/>
              </w:rPr>
            </w:pPr>
            <w:r>
              <w:rPr>
                <w:rFonts w:hint="eastAsia" w:ascii="宋体" w:hAnsi="宋体" w:cs="宋体"/>
                <w:color w:val="000000"/>
                <w:sz w:val="22"/>
              </w:rPr>
            </w:r>
            <w:r/>
          </w:p>
        </w:tc>
      </w:tr>
      <w:tr>
        <w:trPr>
          <w:trHeight w:val="280"/>
        </w:trPr>
        <w:tc>
          <w:tcPr>
            <w:tcW w:w="1163" w:type="dxa"/>
            <w:vAlign w:val="center"/>
            <w:textDirection w:val="lrTb"/>
            <w:noWrap/>
          </w:tcPr>
          <w:p>
            <w:pPr>
              <w:rPr>
                <w:rFonts w:hint="eastAsia" w:ascii="宋体" w:hAnsi="宋体" w:cs="宋体"/>
                <w:color w:val="000000"/>
                <w:sz w:val="22"/>
              </w:rPr>
            </w:pPr>
            <w:r>
              <w:rPr>
                <w:rFonts w:hint="eastAsia" w:ascii="宋体" w:hAnsi="宋体" w:cs="宋体"/>
                <w:color w:val="000000"/>
                <w:sz w:val="22"/>
              </w:rPr>
            </w:r>
            <w:r/>
          </w:p>
        </w:tc>
        <w:tc>
          <w:tcPr>
            <w:tcW w:w="1017" w:type="dxa"/>
            <w:vAlign w:val="center"/>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W w:w="3406"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c>
          <w:tcPr>
            <w:tcW w:w="735"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c>
          <w:tcPr>
            <w:tcW w:w="1408" w:type="dxa"/>
            <w:vAlign w:val="center"/>
            <w:textDirection w:val="lrTb"/>
            <w:noWrap/>
          </w:tcPr>
          <w:p>
            <w:pPr>
              <w:jc w:val="center"/>
              <w:rPr>
                <w:rFonts w:hint="eastAsia" w:ascii="宋体" w:hAnsi="宋体" w:cs="宋体"/>
                <w:color w:val="000000"/>
                <w:sz w:val="22"/>
              </w:rPr>
            </w:pPr>
            <w:r>
              <w:rPr>
                <w:rFonts w:hint="eastAsia" w:ascii="宋体" w:hAnsi="宋体" w:cs="宋体"/>
                <w:color w:val="000000"/>
                <w:sz w:val="22"/>
              </w:rPr>
            </w:r>
            <w:r/>
          </w:p>
        </w:tc>
        <w:tc>
          <w:tcPr>
            <w:tcW w:w="689" w:type="dxa"/>
            <w:vAlign w:val="center"/>
            <w:textDirection w:val="lrTb"/>
            <w:noWrap/>
          </w:tcPr>
          <w:p>
            <w:pPr>
              <w:rPr>
                <w:rFonts w:hint="eastAsia" w:ascii="宋体" w:hAnsi="宋体" w:cs="宋体"/>
                <w:color w:val="000000"/>
                <w:sz w:val="22"/>
              </w:rPr>
            </w:pPr>
            <w:r>
              <w:rPr>
                <w:rFonts w:hint="eastAsia" w:ascii="宋体" w:hAnsi="宋体" w:cs="宋体"/>
                <w:color w:val="000000"/>
                <w:sz w:val="22"/>
              </w:rPr>
            </w:r>
            <w:r/>
          </w:p>
        </w:tc>
        <w:tc>
          <w:tcPr>
            <w:tcW w:w="604" w:type="dxa"/>
            <w:vAlign w:val="center"/>
            <w:textDirection w:val="lrTb"/>
            <w:noWrap w:val="false"/>
          </w:tcPr>
          <w:p>
            <w:pPr>
              <w:rPr>
                <w:rFonts w:hint="eastAsia" w:ascii="宋体" w:hAnsi="宋体" w:cs="宋体"/>
                <w:color w:val="000000"/>
                <w:sz w:val="22"/>
              </w:rPr>
            </w:pPr>
            <w:r>
              <w:rPr>
                <w:rFonts w:hint="eastAsia" w:ascii="宋体" w:hAnsi="宋体" w:cs="宋体"/>
                <w:color w:val="000000"/>
                <w:sz w:val="22"/>
              </w:rPr>
            </w:r>
            <w:r/>
          </w:p>
        </w:tc>
        <w:tc>
          <w:tcPr>
            <w:tcW w:w="842" w:type="dxa"/>
            <w:vAlign w:val="center"/>
            <w:textDirection w:val="lrTb"/>
            <w:noWrap/>
          </w:tcPr>
          <w:p>
            <w:pPr>
              <w:rPr>
                <w:rFonts w:ascii="宋体"/>
                <w:color w:val="000000"/>
                <w:sz w:val="20"/>
                <w:szCs w:val="20"/>
              </w:rPr>
            </w:pPr>
            <w:r>
              <w:rPr>
                <w:rFonts w:ascii="宋体"/>
                <w:color w:val="000000"/>
                <w:sz w:val="20"/>
                <w:szCs w:val="20"/>
              </w:rPr>
            </w:r>
            <w:r/>
          </w:p>
        </w:tc>
      </w:tr>
      <w:tr>
        <w:trPr>
          <w:trHeight w:val="280"/>
        </w:trPr>
        <w:tc>
          <w:tcPr>
            <w:gridSpan w:val="2"/>
            <w:tcW w:w="2180" w:type="dxa"/>
            <w:vAlign w:val="center"/>
            <w:vMerge w:val="restart"/>
            <w:textDirection w:val="lrTb"/>
            <w:noWrap/>
          </w:tcPr>
          <w:p>
            <w:pPr>
              <w:jc w:val="left"/>
              <w:widowControl/>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lang w:bidi="ar"/>
              </w:rPr>
              <w:t xml:space="preserve">考核人：</w:t>
            </w:r>
            <w:r/>
          </w:p>
        </w:tc>
        <w:tc>
          <w:tcPr>
            <w:tcW w:w="3406" w:type="dxa"/>
            <w:vAlign w:val="center"/>
            <w:textDirection w:val="lrTb"/>
            <w:noWrap/>
          </w:tcPr>
          <w:p>
            <w:pPr>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tc>
        <w:tc>
          <w:tcPr>
            <w:tcW w:w="735" w:type="dxa"/>
            <w:vAlign w:val="center"/>
            <w:textDirection w:val="lrTb"/>
            <w:noWrap/>
          </w:tcPr>
          <w:p>
            <w:pPr>
              <w:jc w:val="center"/>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tc>
        <w:tc>
          <w:tcPr>
            <w:tcW w:w="1408" w:type="dxa"/>
            <w:vAlign w:val="center"/>
            <w:textDirection w:val="lrTb"/>
            <w:noWrap/>
          </w:tcPr>
          <w:p>
            <w:pPr>
              <w:jc w:val="center"/>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tc>
        <w:tc>
          <w:tcPr>
            <w:gridSpan w:val="2"/>
            <w:tcW w:w="1293" w:type="dxa"/>
            <w:vAlign w:val="center"/>
            <w:vMerge w:val="restart"/>
            <w:textDirection w:val="lrTb"/>
            <w:noWrap/>
          </w:tcPr>
          <w:p>
            <w:pPr>
              <w:jc w:val="left"/>
              <w:widowControl/>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lang w:bidi="ar"/>
              </w:rPr>
              <w:t xml:space="preserve">被考核人：</w:t>
            </w:r>
            <w:r/>
          </w:p>
        </w:tc>
        <w:tc>
          <w:tcPr>
            <w:tcW w:w="842" w:type="dxa"/>
            <w:vAlign w:val="center"/>
            <w:textDirection w:val="lrTb"/>
            <w:noWrap/>
          </w:tcPr>
          <w:p>
            <w:pPr>
              <w:rPr>
                <w:rFonts w:ascii="宋体"/>
                <w:color w:val="000000"/>
                <w:sz w:val="20"/>
                <w:szCs w:val="20"/>
              </w:rPr>
            </w:pPr>
            <w:r>
              <w:rPr>
                <w:rFonts w:ascii="宋体"/>
                <w:color w:val="000000"/>
                <w:sz w:val="20"/>
                <w:szCs w:val="20"/>
              </w:rPr>
            </w:r>
            <w:r/>
          </w:p>
        </w:tc>
      </w:tr>
      <w:tr>
        <w:trPr>
          <w:trHeight w:val="280"/>
        </w:trPr>
        <w:tc>
          <w:tcPr>
            <w:gridSpan w:val="2"/>
            <w:tcW w:w="2180" w:type="dxa"/>
            <w:vAlign w:val="center"/>
            <w:vMerge w:val="continue"/>
            <w:textDirection w:val="lrTb"/>
            <w:noWrap/>
          </w:tcPr>
          <w:p>
            <w:pPr>
              <w:jc w:val="left"/>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tc>
        <w:tc>
          <w:tcPr>
            <w:tcW w:w="3406" w:type="dxa"/>
            <w:vAlign w:val="center"/>
            <w:textDirection w:val="lrTb"/>
            <w:noWrap/>
          </w:tcPr>
          <w:p>
            <w:pPr>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tc>
        <w:tc>
          <w:tcPr>
            <w:tcW w:w="735" w:type="dxa"/>
            <w:vAlign w:val="center"/>
            <w:textDirection w:val="lrTb"/>
            <w:noWrap/>
          </w:tcPr>
          <w:p>
            <w:pPr>
              <w:jc w:val="center"/>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tc>
        <w:tc>
          <w:tcPr>
            <w:tcW w:w="1408" w:type="dxa"/>
            <w:vAlign w:val="center"/>
            <w:textDirection w:val="lrTb"/>
            <w:noWrap/>
          </w:tcPr>
          <w:p>
            <w:pPr>
              <w:jc w:val="center"/>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tc>
        <w:tc>
          <w:tcPr>
            <w:gridSpan w:val="2"/>
            <w:tcW w:w="1293" w:type="dxa"/>
            <w:vAlign w:val="center"/>
            <w:vMerge w:val="continue"/>
            <w:textDirection w:val="lrTb"/>
            <w:noWrap/>
          </w:tcPr>
          <w:p>
            <w:pPr>
              <w:jc w:val="left"/>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r>
            <w:r/>
          </w:p>
        </w:tc>
        <w:tc>
          <w:tcPr>
            <w:tcW w:w="842" w:type="dxa"/>
            <w:vAlign w:val="center"/>
            <w:textDirection w:val="lrTb"/>
            <w:noWrap/>
          </w:tcPr>
          <w:p>
            <w:pPr>
              <w:rPr>
                <w:rFonts w:ascii="宋体"/>
                <w:color w:val="000000"/>
                <w:sz w:val="20"/>
                <w:szCs w:val="20"/>
              </w:rPr>
            </w:pPr>
            <w:r>
              <w:rPr>
                <w:rFonts w:ascii="宋体"/>
                <w:color w:val="000000"/>
                <w:sz w:val="20"/>
                <w:szCs w:val="20"/>
              </w:rPr>
            </w:r>
            <w:r/>
          </w:p>
        </w:tc>
      </w:tr>
    </w:tbl>
    <w:p>
      <w:pPr>
        <w:ind w:firstLine="480"/>
        <w:spacing w:line="360" w:lineRule="auto"/>
        <w:rPr>
          <w:rFonts w:hint="eastAsia" w:ascii="宋体" w:hAnsi="宋体" w:cs="宋体"/>
          <w:b/>
          <w:sz w:val="24"/>
          <w:szCs w:val="24"/>
        </w:rPr>
      </w:pPr>
      <w:r>
        <w:rPr>
          <w:rFonts w:hint="eastAsia" w:ascii="宋体" w:hAnsi="宋体" w:cs="宋体"/>
          <w:b/>
          <w:sz w:val="24"/>
          <w:szCs w:val="24"/>
        </w:rPr>
      </w:r>
      <w:r/>
    </w:p>
    <w:p>
      <w:pPr>
        <w:ind w:firstLine="480"/>
        <w:spacing w:line="360" w:lineRule="auto"/>
        <w:rPr>
          <w:rFonts w:hint="eastAsia" w:ascii="宋体" w:hAnsi="宋体" w:cs="宋体"/>
          <w:sz w:val="24"/>
          <w:szCs w:val="24"/>
        </w:rPr>
      </w:pPr>
      <w:r>
        <w:rPr>
          <w:rFonts w:hint="eastAsia" w:ascii="宋体" w:hAnsi="宋体" w:cs="宋体"/>
          <w:b/>
          <w:sz w:val="24"/>
          <w:szCs w:val="24"/>
        </w:rPr>
        <w:t xml:space="preserve">第四条：</w:t>
      </w:r>
      <w:r>
        <w:rPr>
          <w:rFonts w:hint="eastAsia" w:ascii="宋体" w:hAnsi="宋体" w:cs="宋体"/>
          <w:sz w:val="24"/>
          <w:szCs w:val="24"/>
        </w:rPr>
        <w:t xml:space="preserve">在履行合同期间，物业管理费采用考核评价办法，按半年支付。采购人按月对供应商进行检查考核，采取百分制法，完全符合合同约定要求为100分。对供应商的差错要求其限期进行整改，未按期或整改不到位则按照验收规定，视情给以不同程度的经济处罚。</w:t>
      </w:r>
      <w:r/>
    </w:p>
    <w:tbl>
      <w:tblPr>
        <w:tblStyle w:val="777"/>
        <w:tblpPr w:horzAnchor="page" w:tblpX="1281" w:vertAnchor="text" w:tblpY="312" w:leftFromText="180" w:topFromText="0" w:rightFromText="180" w:bottomFromText="0"/>
        <w:tblW w:w="91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94"/>
        <w:gridCol w:w="2371"/>
        <w:gridCol w:w="4041"/>
      </w:tblGrid>
      <w:tr>
        <w:trPr/>
        <w:tc>
          <w:tcPr>
            <w:tcW w:w="2694"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半年度考核得分</w:t>
            </w:r>
            <w:r/>
          </w:p>
        </w:tc>
        <w:tc>
          <w:tcPr>
            <w:tcW w:w="2371"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考核等次</w:t>
            </w:r>
            <w:r/>
          </w:p>
        </w:tc>
        <w:tc>
          <w:tcPr>
            <w:tcW w:w="4041"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当期应付合同金额支付比例</w:t>
            </w:r>
            <w:r/>
          </w:p>
        </w:tc>
      </w:tr>
      <w:tr>
        <w:trPr/>
        <w:tc>
          <w:tcPr>
            <w:tcW w:w="2694"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100分</w:t>
            </w:r>
            <w:r/>
          </w:p>
        </w:tc>
        <w:tc>
          <w:tcPr>
            <w:tcW w:w="2371" w:type="dxa"/>
            <w:vAlign w:val="center"/>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1等次</w:t>
            </w:r>
            <w:r/>
          </w:p>
        </w:tc>
        <w:tc>
          <w:tcPr>
            <w:tcW w:w="4041"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100.00%</w:t>
            </w:r>
            <w:r/>
          </w:p>
        </w:tc>
      </w:tr>
      <w:tr>
        <w:trPr/>
        <w:tc>
          <w:tcPr>
            <w:tcW w:w="2694"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95分-99分</w:t>
            </w:r>
            <w:r/>
          </w:p>
        </w:tc>
        <w:tc>
          <w:tcPr>
            <w:tcW w:w="2371" w:type="dxa"/>
            <w:vAlign w:val="center"/>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2等次</w:t>
            </w:r>
            <w:r/>
          </w:p>
        </w:tc>
        <w:tc>
          <w:tcPr>
            <w:tcW w:w="4041"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99%</w:t>
            </w:r>
            <w:r/>
          </w:p>
        </w:tc>
      </w:tr>
      <w:tr>
        <w:trPr/>
        <w:tc>
          <w:tcPr>
            <w:tcW w:w="2694"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90分-94分</w:t>
            </w:r>
            <w:r/>
          </w:p>
        </w:tc>
        <w:tc>
          <w:tcPr>
            <w:tcW w:w="2371" w:type="dxa"/>
            <w:vAlign w:val="center"/>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3等次</w:t>
            </w:r>
            <w:r/>
          </w:p>
        </w:tc>
        <w:tc>
          <w:tcPr>
            <w:tcW w:w="4041"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97%</w:t>
            </w:r>
            <w:r/>
          </w:p>
        </w:tc>
      </w:tr>
      <w:tr>
        <w:trPr/>
        <w:tc>
          <w:tcPr>
            <w:tcW w:w="2694"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89分及以下</w:t>
            </w:r>
            <w:r/>
          </w:p>
        </w:tc>
        <w:tc>
          <w:tcPr>
            <w:tcW w:w="2371" w:type="dxa"/>
            <w:vAlign w:val="center"/>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4等次</w:t>
            </w:r>
            <w:r/>
          </w:p>
        </w:tc>
        <w:tc>
          <w:tcPr>
            <w:tcW w:w="4041" w:type="dxa"/>
            <w:textDirection w:val="lrTb"/>
            <w:noWrap w:val="false"/>
          </w:tcPr>
          <w:p>
            <w:pPr>
              <w:jc w:val="center"/>
              <w:spacing w:line="360" w:lineRule="auto"/>
              <w:rPr>
                <w:rFonts w:hint="eastAsia" w:ascii="微软雅黑" w:hAnsi="微软雅黑" w:eastAsia="微软雅黑" w:cs="微软雅黑"/>
                <w:sz w:val="22"/>
              </w:rPr>
            </w:pPr>
            <w:r>
              <w:rPr>
                <w:rFonts w:hint="eastAsia" w:ascii="微软雅黑" w:hAnsi="微软雅黑" w:eastAsia="微软雅黑" w:cs="微软雅黑"/>
                <w:sz w:val="22"/>
              </w:rPr>
              <w:t xml:space="preserve">90%（甲方有权解除合同）</w:t>
            </w:r>
            <w:r/>
          </w:p>
        </w:tc>
      </w:tr>
    </w:tbl>
    <w:p>
      <w:pPr>
        <w:jc w:val="center"/>
        <w:spacing w:before="145" w:after="145" w:line="360" w:lineRule="auto"/>
        <w:rPr>
          <w:rFonts w:hint="eastAsia" w:ascii="宋体" w:hAnsi="宋体" w:cs="宋体"/>
          <w:color w:val="000000"/>
          <w:sz w:val="24"/>
          <w:szCs w:val="24"/>
        </w:rPr>
        <w:outlineLvl w:val="0"/>
      </w:pPr>
      <w:r>
        <w:rPr>
          <w:rFonts w:hint="eastAsia" w:ascii="宋体" w:hAnsi="宋体" w:cs="宋体"/>
          <w:color w:val="000000"/>
          <w:sz w:val="24"/>
          <w:szCs w:val="24"/>
        </w:rPr>
        <w:br w:type="page" w:clear="all"/>
      </w:r>
      <w:r/>
    </w:p>
    <w:p>
      <w:pPr>
        <w:pStyle w:val="742"/>
        <w:jc w:val="center"/>
      </w:pPr>
      <w:r>
        <w:rPr>
          <w:rFonts w:hint="eastAsia"/>
        </w:rPr>
        <w:t xml:space="preserve">第</w:t>
      </w:r>
      <w:bookmarkEnd w:id="169"/>
      <w:r>
        <w:rPr>
          <w:rFonts w:hint="eastAsia"/>
        </w:rPr>
        <w:t xml:space="preserve">四章</w:t>
      </w:r>
      <w:r>
        <w:rPr>
          <w:rFonts w:hint="eastAsia" w:eastAsia="宋体"/>
          <w:lang w:val="en-US" w:eastAsia="zh-CN"/>
        </w:rPr>
        <w:t xml:space="preserve">  </w:t>
      </w:r>
      <w:r>
        <w:rPr>
          <w:rFonts w:hint="eastAsia"/>
        </w:rPr>
        <w:t xml:space="preserve">采购需求</w:t>
      </w:r>
      <w:bookmarkEnd w:id="170"/>
      <w:r/>
      <w:bookmarkEnd w:id="171"/>
      <w:r/>
      <w:bookmarkEnd w:id="172"/>
      <w:r/>
      <w:bookmarkStart w:id="176" w:name="_Toc49090575"/>
      <w:r/>
      <w:bookmarkStart w:id="177" w:name="_Toc26554093"/>
      <w:r/>
      <w:r/>
    </w:p>
    <w:p>
      <w:pPr>
        <w:ind w:firstLine="439"/>
        <w:jc w:val="left"/>
        <w:spacing w:before="120" w:after="120" w:line="360" w:lineRule="auto"/>
        <w:rPr>
          <w:rFonts w:hint="eastAsia" w:ascii="宋体" w:hAnsi="宋体" w:cs="宋体"/>
          <w:b/>
          <w:bCs/>
          <w:sz w:val="24"/>
          <w:szCs w:val="24"/>
        </w:rPr>
      </w:pPr>
      <w:r/>
      <w:bookmarkStart w:id="178" w:name="_Toc120614281"/>
      <w:r>
        <w:rPr>
          <w:rFonts w:hint="eastAsia" w:ascii="宋体" w:hAnsi="宋体" w:cs="宋体"/>
          <w:b/>
          <w:bCs/>
          <w:sz w:val="24"/>
          <w:szCs w:val="24"/>
        </w:rPr>
        <w:t xml:space="preserve">一、项目属性：服务类项目。</w:t>
      </w:r>
      <w:r/>
    </w:p>
    <w:p>
      <w:pPr>
        <w:ind w:firstLine="439"/>
        <w:jc w:val="left"/>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二、项目概况：</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（1）项目地点：项目位于南京市浦口区汤泉街道假日路1号；</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（2）使用面积：汤泉街道办事处办公楼总建筑面积4733平方米；</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（3）服务区域：分为前后楼（前二层后三层），共有前后两大门（前面为主大门），楼体出入口3个，地面停车位30个；</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（4）配套设施及设备：包括但不限于项目配置机房设备有配电房、监控设备、道闸系统、电话网络机房、消防（消防栓、消防泵）等；</w:t>
      </w:r>
      <w:r/>
    </w:p>
    <w:p>
      <w:pPr>
        <w:ind w:firstLine="480"/>
        <w:jc w:val="both"/>
        <w:spacing w:line="360" w:lineRule="auto"/>
        <w:rPr>
          <w:rFonts w:hint="default" w:ascii="宋体" w:hAnsi="宋体" w:eastAsia="宋体" w:cs="宋体"/>
          <w:sz w:val="24"/>
          <w:szCs w:val="24"/>
          <w:highlight w:val="green"/>
          <w:lang w:val="en-US" w:eastAsia="zh-CN"/>
        </w:rPr>
      </w:pPr>
      <w:r>
        <w:rPr>
          <w:rFonts w:hint="eastAsia" w:ascii="宋体" w:hAnsi="宋体" w:cs="宋体"/>
          <w:sz w:val="24"/>
          <w:szCs w:val="24"/>
        </w:rPr>
        <w:t xml:space="preserve">（5）服务期限</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2026年6月1日-2027年5月31日</w:t>
      </w:r>
      <w:r/>
    </w:p>
    <w:tbl>
      <w:tblPr>
        <w:tblStyle w:val="1048"/>
        <w:tblW w:w="9581"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2"/>
        <w:gridCol w:w="1836"/>
        <w:gridCol w:w="810"/>
        <w:gridCol w:w="645"/>
        <w:gridCol w:w="1230"/>
        <w:gridCol w:w="1065"/>
        <w:gridCol w:w="1011"/>
        <w:gridCol w:w="1110"/>
        <w:gridCol w:w="1102"/>
      </w:tblGrid>
      <w:tr>
        <w:trPr>
          <w:trHeight w:val="811"/>
        </w:trPr>
        <w:tc>
          <w:tcPr>
            <w:tcW w:w="772"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序号</w:t>
            </w:r>
            <w:r/>
          </w:p>
        </w:tc>
        <w:tc>
          <w:tcPr>
            <w:tcW w:w="1836"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名称</w:t>
            </w:r>
            <w:r/>
          </w:p>
        </w:tc>
        <w:tc>
          <w:tcPr>
            <w:tcW w:w="810"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数量</w:t>
            </w:r>
            <w:r/>
          </w:p>
        </w:tc>
        <w:tc>
          <w:tcPr>
            <w:tcW w:w="645"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单位</w:t>
            </w:r>
            <w:r/>
          </w:p>
        </w:tc>
        <w:tc>
          <w:tcPr>
            <w:tcW w:w="1230"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最高限价（元/年）</w:t>
            </w:r>
            <w:r/>
          </w:p>
        </w:tc>
        <w:tc>
          <w:tcPr>
            <w:tcW w:w="1065"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是否接受进口</w:t>
            </w:r>
            <w:r/>
          </w:p>
        </w:tc>
        <w:tc>
          <w:tcPr>
            <w:tcW w:w="1011"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产品类型</w:t>
            </w:r>
            <w:r/>
          </w:p>
        </w:tc>
        <w:tc>
          <w:tcPr>
            <w:tcW w:w="1110"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所属类型</w:t>
            </w:r>
            <w:r/>
          </w:p>
        </w:tc>
        <w:tc>
          <w:tcPr>
            <w:tcW w:w="1102"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类型</w:t>
            </w:r>
            <w:r/>
          </w:p>
        </w:tc>
      </w:tr>
      <w:tr>
        <w:trPr>
          <w:trHeight w:val="811"/>
        </w:trPr>
        <w:tc>
          <w:tcPr>
            <w:tcW w:w="772"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1</w:t>
            </w:r>
            <w:r/>
          </w:p>
        </w:tc>
        <w:tc>
          <w:tcPr>
            <w:tcW w:w="1836"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2026年汤泉街道办事处物业服务</w:t>
            </w:r>
            <w:r/>
          </w:p>
        </w:tc>
        <w:tc>
          <w:tcPr>
            <w:tcW w:w="810"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1</w:t>
            </w:r>
            <w:r/>
          </w:p>
        </w:tc>
        <w:tc>
          <w:tcPr>
            <w:tcW w:w="645"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项</w:t>
            </w:r>
            <w:r/>
          </w:p>
        </w:tc>
        <w:tc>
          <w:tcPr>
            <w:tcW w:w="1230"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1513000.00</w:t>
            </w:r>
            <w:r/>
          </w:p>
        </w:tc>
        <w:tc>
          <w:tcPr>
            <w:tcW w:w="1065"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否</w:t>
            </w:r>
            <w:r/>
          </w:p>
        </w:tc>
        <w:tc>
          <w:tcPr>
            <w:tcW w:w="1011" w:type="dxa"/>
            <w:vAlign w:val="center"/>
            <w:textDirection w:val="lrTb"/>
            <w:noWrap w:val="false"/>
          </w:tcPr>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r>
            <w:r/>
          </w:p>
        </w:tc>
        <w:tc>
          <w:tcPr>
            <w:tcW w:w="1110"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物业管理</w:t>
            </w:r>
            <w:r/>
          </w:p>
        </w:tc>
        <w:tc>
          <w:tcPr>
            <w:tcW w:w="1102" w:type="dxa"/>
            <w:vAlign w:val="center"/>
            <w:textDirection w:val="lrTb"/>
            <w:noWrap w:val="false"/>
          </w:tcPr>
          <w:p>
            <w:pPr>
              <w:jc w:val="both"/>
              <w:spacing w:before="120" w:after="120" w:line="360" w:lineRule="auto"/>
              <w:rPr>
                <w:rFonts w:hint="eastAsia" w:ascii="宋体" w:hAnsi="宋体" w:cs="宋体"/>
                <w:sz w:val="24"/>
                <w:szCs w:val="24"/>
              </w:rPr>
            </w:pPr>
            <w:r>
              <w:rPr>
                <w:rFonts w:hint="eastAsia" w:ascii="宋体" w:hAnsi="宋体" w:cs="宋体"/>
                <w:sz w:val="24"/>
                <w:szCs w:val="24"/>
              </w:rPr>
              <w:t xml:space="preserve">服务*</w:t>
            </w:r>
            <w:r/>
          </w:p>
        </w:tc>
      </w:tr>
    </w:tbl>
    <w:p>
      <w:pPr>
        <w:ind w:firstLine="439"/>
        <w:jc w:val="both"/>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三、项目遵循标准：</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所投服务必须符合国家标准、行业标准、地方标准或者其他标准、规范。</w:t>
      </w:r>
      <w:r/>
    </w:p>
    <w:p>
      <w:pPr>
        <w:ind w:firstLine="439"/>
        <w:jc w:val="both"/>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四、工作内容及要求：</w:t>
      </w:r>
      <w:r/>
    </w:p>
    <w:p>
      <w:pPr>
        <w:ind w:firstLine="420"/>
        <w:jc w:val="both"/>
        <w:spacing w:line="360" w:lineRule="auto"/>
        <w:rPr>
          <w:rFonts w:hint="eastAsia" w:ascii="宋体" w:hAnsi="宋体"/>
          <w:color w:val="000000"/>
          <w:sz w:val="24"/>
          <w:szCs w:val="24"/>
        </w:rPr>
      </w:pPr>
      <w:r>
        <w:rPr>
          <w:rFonts w:hint="eastAsia" w:ascii="宋体" w:hAnsi="宋体"/>
          <w:color w:val="000000"/>
          <w:sz w:val="24"/>
          <w:szCs w:val="24"/>
        </w:rPr>
        <w:t xml:space="preserve">1、房屋的使用、维修、养护。包括：屋顶、墙体等承重结构，楼梯、门厅、走廊、墙地面等。</w:t>
      </w:r>
      <w:r/>
    </w:p>
    <w:p>
      <w:pPr>
        <w:ind w:firstLine="420"/>
        <w:jc w:val="both"/>
        <w:spacing w:line="360" w:lineRule="auto"/>
        <w:rPr>
          <w:rFonts w:hint="eastAsia" w:ascii="宋体" w:hAnsi="宋体"/>
          <w:color w:val="000000"/>
          <w:sz w:val="24"/>
          <w:szCs w:val="24"/>
        </w:rPr>
      </w:pPr>
      <w:r>
        <w:rPr>
          <w:rFonts w:hint="eastAsia" w:ascii="宋体" w:hAnsi="宋体"/>
          <w:color w:val="000000"/>
          <w:sz w:val="24"/>
          <w:szCs w:val="24"/>
        </w:rPr>
        <w:t xml:space="preserve">2、区域内设备、设施维修、养护、运行和管理。包括：供水、供电、照明、消防及其他设备设施。</w:t>
      </w:r>
      <w:r/>
    </w:p>
    <w:p>
      <w:pPr>
        <w:ind w:firstLine="420"/>
        <w:jc w:val="both"/>
        <w:spacing w:line="360" w:lineRule="auto"/>
        <w:rPr>
          <w:rFonts w:hint="eastAsia" w:ascii="宋体" w:hAnsi="宋体"/>
          <w:color w:val="000000"/>
          <w:sz w:val="24"/>
          <w:szCs w:val="24"/>
        </w:rPr>
      </w:pPr>
      <w:r>
        <w:rPr>
          <w:rFonts w:hint="eastAsia" w:ascii="宋体" w:hAnsi="宋体"/>
          <w:color w:val="000000"/>
          <w:sz w:val="24"/>
          <w:szCs w:val="24"/>
        </w:rPr>
        <w:t xml:space="preserve">3、市政公用设施和附属建筑物、构筑物的维修、养护、管理。包括：道路、沟渠、自行车棚、停车场等。</w:t>
      </w:r>
      <w:r/>
    </w:p>
    <w:p>
      <w:pPr>
        <w:ind w:firstLine="420"/>
        <w:jc w:val="both"/>
        <w:spacing w:line="560" w:lineRule="exact"/>
        <w:rPr>
          <w:rFonts w:hint="eastAsia" w:ascii="宋体" w:hAnsi="宋体"/>
          <w:color w:val="000000"/>
          <w:sz w:val="24"/>
          <w:szCs w:val="24"/>
        </w:rPr>
      </w:pPr>
      <w:r>
        <w:rPr>
          <w:rFonts w:hint="eastAsia" w:ascii="宋体" w:hAnsi="宋体"/>
          <w:color w:val="000000"/>
          <w:sz w:val="24"/>
          <w:szCs w:val="24"/>
        </w:rPr>
        <w:t xml:space="preserve">4、绿化区域的常规性管护及室内领导办公室绿植养护。</w:t>
      </w:r>
      <w:r/>
    </w:p>
    <w:p>
      <w:pPr>
        <w:ind w:firstLine="420"/>
        <w:jc w:val="both"/>
        <w:spacing w:line="560" w:lineRule="exact"/>
        <w:rPr>
          <w:rFonts w:hint="eastAsia" w:ascii="宋体" w:hAnsi="宋体"/>
          <w:color w:val="000000"/>
          <w:sz w:val="24"/>
          <w:szCs w:val="24"/>
        </w:rPr>
      </w:pPr>
      <w:r>
        <w:rPr>
          <w:rFonts w:hint="eastAsia" w:ascii="宋体" w:hAnsi="宋体"/>
          <w:color w:val="000000"/>
          <w:sz w:val="24"/>
          <w:szCs w:val="24"/>
        </w:rPr>
        <w:t xml:space="preserve">5、办公区域的清洁、垃圾收集、清运。</w:t>
      </w:r>
      <w:r/>
    </w:p>
    <w:p>
      <w:pPr>
        <w:ind w:firstLine="420"/>
        <w:jc w:val="both"/>
        <w:spacing w:line="560" w:lineRule="exact"/>
        <w:rPr>
          <w:rFonts w:hint="eastAsia" w:ascii="宋体" w:hAnsi="宋体"/>
          <w:color w:val="000000"/>
          <w:sz w:val="24"/>
          <w:szCs w:val="24"/>
        </w:rPr>
      </w:pPr>
      <w:r>
        <w:rPr>
          <w:rFonts w:hint="eastAsia" w:ascii="宋体" w:hAnsi="宋体"/>
          <w:color w:val="000000"/>
          <w:sz w:val="24"/>
          <w:szCs w:val="24"/>
        </w:rPr>
        <w:t xml:space="preserve">6、交通与车辆停放秩序的管理。</w:t>
      </w:r>
      <w:r/>
    </w:p>
    <w:p>
      <w:pPr>
        <w:ind w:firstLine="420"/>
        <w:jc w:val="both"/>
        <w:spacing w:line="560" w:lineRule="exact"/>
        <w:rPr>
          <w:rFonts w:hint="eastAsia" w:ascii="宋体" w:hAnsi="宋体"/>
          <w:color w:val="000000"/>
          <w:sz w:val="24"/>
          <w:szCs w:val="24"/>
        </w:rPr>
      </w:pPr>
      <w:r>
        <w:rPr>
          <w:rFonts w:hint="eastAsia" w:ascii="宋体" w:hAnsi="宋体"/>
          <w:color w:val="000000"/>
          <w:sz w:val="24"/>
          <w:szCs w:val="24"/>
        </w:rPr>
        <w:t xml:space="preserve">7、安全巡视、门岗值勤、安全监控、人员登记、会务服务、食堂服务。</w:t>
      </w:r>
      <w:r/>
    </w:p>
    <w:p>
      <w:pPr>
        <w:ind w:firstLine="420"/>
        <w:jc w:val="both"/>
        <w:spacing w:line="560" w:lineRule="exact"/>
        <w:rPr>
          <w:rFonts w:hint="eastAsia" w:ascii="宋体" w:hAnsi="宋体"/>
          <w:color w:val="000000"/>
          <w:sz w:val="24"/>
          <w:szCs w:val="24"/>
        </w:rPr>
      </w:pPr>
      <w:r>
        <w:rPr>
          <w:rFonts w:hint="eastAsia" w:ascii="宋体" w:hAnsi="宋体"/>
          <w:color w:val="000000"/>
          <w:sz w:val="24"/>
          <w:szCs w:val="24"/>
        </w:rPr>
        <w:t xml:space="preserve">8、管理与物业相关的资料。</w:t>
      </w:r>
      <w:r/>
    </w:p>
    <w:p>
      <w:pPr>
        <w:ind w:firstLine="439"/>
        <w:jc w:val="both"/>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物业管理服务标准及考核：</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1、保洁工作：需提供具体管理服务方案和服务标准。</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（1）物业管理范围内所有公共区域(含指定的领导办公室、大会议室、楼层会议室、接待室、卫生间、楼道、走廊、楼梯、大院等)的每日卫生清洁工作；</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（2）负责卫生突发事件的处理；</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（3）定期清理隔油池、烟道、灭蟑、消鼠及捕杀其它有害昆虫，及时收集、分拣、处理及清运垃圾（垃圾必须日产日清）；</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（4）负责配合采购人做好卫生消杀及除四害工作；</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（5）大楼大厅、楼层内、外墙面、地面、窗台等清洁工作；</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（6）完成采购人赋予的其他临时性、突发性保洁工作。</w:t>
      </w:r>
      <w:r/>
    </w:p>
    <w:p>
      <w:pPr>
        <w:ind w:firstLine="439"/>
        <w:jc w:val="both"/>
        <w:spacing w:before="120" w:after="120" w:line="360" w:lineRule="auto"/>
        <w:rPr>
          <w:rFonts w:hint="eastAsia" w:ascii="宋体" w:hAnsi="宋体" w:cs="宋体"/>
          <w:sz w:val="24"/>
          <w:szCs w:val="24"/>
          <w:highlight w:val="none"/>
        </w:rPr>
      </w:pPr>
      <w:r>
        <w:rPr>
          <w:rFonts w:hint="eastAsia" w:ascii="宋体" w:hAnsi="宋体" w:cs="宋体"/>
          <w:sz w:val="24"/>
          <w:szCs w:val="24"/>
          <w:highlight w:val="none"/>
        </w:rPr>
        <w:t xml:space="preserve">（7）</w:t>
      </w: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相关要求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提供承诺函</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①上述工作项目，如产生除水电气之外的费用，均由供应商承担。</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②部分指定领导办公室需于工作日上午7点30分前完成打水、首次保洁等工作，每天晚上待领导离开后完成当日末次保洁工作；物业管理服务其他区域需于工作日上午8点前完成首次保洁工作，下午5点30分前完成当日末次保洁工作。当日中间时段保洁频次由供应商负责明确要求，务必始终保持物业管理服务区干净整洁，采购人将随时对保洁情况进行检查。</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③按照国家有关规定支付工资、缴纳社会养老保险等。供应商要充分考虑所有工作人员的值休、轮休、法定假日休息以及岗位顶班、日常机动人员的配备，以上所有费用均计入总价。</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2、会务接待服务工作：需提供具体管理服务方案和服务标准。</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（1）负责采购人通知的所有会议、文体活动、参观及接待等各项服务工作；</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（2）负责对会务服务人员定期开展培训。</w:t>
      </w:r>
      <w:r/>
    </w:p>
    <w:p>
      <w:pPr>
        <w:ind w:firstLine="439"/>
        <w:jc w:val="left"/>
        <w:spacing w:before="120" w:after="120" w:line="360" w:lineRule="auto"/>
        <w:rPr>
          <w:rFonts w:hint="eastAsia" w:ascii="宋体" w:hAnsi="宋体" w:cs="宋体"/>
          <w:sz w:val="24"/>
          <w:szCs w:val="24"/>
          <w:highlight w:val="none"/>
        </w:rPr>
      </w:pPr>
      <w:r>
        <w:rPr>
          <w:rFonts w:hint="eastAsia" w:ascii="宋体" w:hAnsi="宋体" w:cs="宋体"/>
          <w:sz w:val="24"/>
          <w:szCs w:val="24"/>
        </w:rPr>
        <w:t xml:space="preserve">（</w:t>
      </w:r>
      <w:r>
        <w:rPr>
          <w:rFonts w:hint="eastAsia" w:ascii="宋体" w:hAnsi="宋体" w:cs="宋体"/>
          <w:sz w:val="24"/>
          <w:szCs w:val="24"/>
          <w:highlight w:val="none"/>
        </w:rPr>
        <w:t xml:space="preserve">3）</w:t>
      </w: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服务要求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提供承诺函</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①会议室、接待室、礼堂、报告厅等室内所有物品摆放整齐，所需物品（资料）准备齐全；</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②参观接待时，门口场所根据采购人需要，设置告示牌，配置引导人员；</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③负责会议前的席卡打印、摆放及音响开启、调试等各项准备、会中的茶水等具体服务及会后的会场整理、清理、电器电源切断、门窗关闭等工作；</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④文明礼貌、耐心细致地为与会人员提供会务接待服务工作。</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客房服务工作质量标准：四壁无灰尘、蜘蛛网;地面无杂物、纸屑、果皮;床单、被套、枕套表面无污迹和破损;卫生间清洁，无异味;金属把手无污锈;家具无污渍;灯具无灰尘、破损;茶具、冷水具无污痕;楼面整洁，房间卫生无死角；四壁净;地面净;家具净;床上净;卫生洁具净;物品净。</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⑤按照国家有关规定支付工资、缴纳社会养老保险、住房公积金等。供应商要充分考虑所有工作人员的值休、轮休、法定假日休息以及岗位顶班、日常机动人员的配备，以上所有费用均计入总价。</w:t>
      </w:r>
      <w:r/>
    </w:p>
    <w:p>
      <w:pPr>
        <w:ind w:firstLine="439"/>
        <w:jc w:val="left"/>
        <w:spacing w:before="120" w:after="120"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除响应文件所列的服务方案、标准外，供应商还应遵守以下条款</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提供承诺函</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p>
    <w:p>
      <w:pPr>
        <w:ind w:firstLine="439"/>
        <w:jc w:val="left"/>
        <w:spacing w:before="120" w:after="120"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）综合满意率需达85％以上（含满意、较满意合计票数除以参评人数，按百分比统计）；</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2</w:t>
      </w:r>
      <w:r>
        <w:rPr>
          <w:rFonts w:hint="eastAsia" w:ascii="宋体" w:hAnsi="宋体" w:cs="宋体"/>
          <w:sz w:val="24"/>
          <w:szCs w:val="24"/>
        </w:rPr>
        <w:t xml:space="preserve">）服务合同规定的服务项目履约率100％；</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物业服务档案管理制度完善、实施规范。档案和资料的管理包括但不限于:设备设施档案、采购人投诉和意见档案、清洁卫生管理档案、物业人事管理、人员培训档案、设施设备巡查档案、会务服务保障档案，以及具体的管理制度、管理方案等。所有档案要求做到保存完整，管理完善，交接手续完备，检索方便准确。</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）服务保障稳妥、及时、有力，安全责任事故（含消防、水电气设备管理等方面）为零；设备设施故障责任事故为零。</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5</w:t>
      </w:r>
      <w:r>
        <w:rPr>
          <w:rFonts w:hint="eastAsia" w:ascii="宋体" w:hAnsi="宋体" w:cs="宋体"/>
          <w:sz w:val="24"/>
          <w:szCs w:val="24"/>
        </w:rPr>
        <w:t xml:space="preserve">）为确保队伍的相对稳定，供应商更换项目负责人或一次性更换3名以上员工时，必须征得采购人同意。供应商需要承诺3个月内不得更换项目负责人。</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）项目经理年龄在45岁以下，会务人员年龄在40岁以下。</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工具及耗材：</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除会务用抽纸、卫生间卷纸、卫生间擦手纸等由采购人负责外，其余所有保洁类工具、劳动用品、保洁类用具、清洁用具用品、耗材（耗材包括但不限于洗手液、消毒液、洁厕灵、洗衣粉、垃圾袋、洗洁精、清洁球、空气清新剂等）均由供应商负责提供，所需费用均列入响应报价之中。漏报、忘报等均视为让利，</w:t>
      </w:r>
      <w:r>
        <w:rPr>
          <w:rFonts w:hint="eastAsia" w:ascii="宋体" w:hAnsi="宋体" w:cs="宋体"/>
          <w:b/>
          <w:bCs/>
          <w:sz w:val="24"/>
          <w:szCs w:val="24"/>
        </w:rPr>
        <w:t xml:space="preserve">采购人不予承担</w:t>
      </w:r>
      <w:r>
        <w:rPr>
          <w:rFonts w:hint="eastAsia" w:ascii="宋体" w:hAnsi="宋体" w:cs="宋体"/>
          <w:sz w:val="24"/>
          <w:szCs w:val="24"/>
        </w:rPr>
        <w:t xml:space="preserve">。</w:t>
      </w:r>
      <w:r/>
    </w:p>
    <w:p>
      <w:pPr>
        <w:ind w:firstLine="439"/>
        <w:jc w:val="left"/>
        <w:spacing w:before="120" w:after="120" w:line="360" w:lineRule="auto"/>
        <w:rPr>
          <w:rFonts w:hint="eastAsia" w:ascii="宋体" w:hAnsi="宋体" w:cs="宋体"/>
          <w:b/>
          <w:bCs/>
          <w:sz w:val="24"/>
          <w:szCs w:val="24"/>
        </w:rPr>
      </w:pPr>
      <w:r>
        <w:rPr>
          <w:rFonts w:hint="eastAsia" w:ascii="宋体" w:hAnsi="宋体" w:cs="宋体"/>
          <w:sz w:val="24"/>
          <w:szCs w:val="24"/>
        </w:rPr>
        <w:t xml:space="preserve">采购人对供应商考核内容：采购人定期或不定期地对供应商进行检查，采取百分制法，完全符合合同约定要求为100分。具体的考核细则由采购人与供应商协商制定。对供应商的差错要求其限期进行整改，对严重差错的将与管理费用挂钩，视情给以不同程度的经济处罚直至责任追究。</w:t>
      </w:r>
      <w:r/>
    </w:p>
    <w:p>
      <w:pPr>
        <w:ind w:firstLine="439"/>
        <w:jc w:val="left"/>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岗位人员：</w:t>
      </w:r>
      <w:r/>
    </w:p>
    <w:tbl>
      <w:tblPr>
        <w:tblStyle w:val="7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9"/>
        <w:gridCol w:w="3526"/>
        <w:gridCol w:w="1932"/>
        <w:gridCol w:w="1932"/>
      </w:tblGrid>
      <w:tr>
        <w:trPr>
          <w:jc w:val="center"/>
          <w:trHeight w:val="535"/>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序号</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岗位名称</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人数</w:t>
            </w:r>
            <w:r/>
          </w:p>
        </w:tc>
        <w:tc>
          <w:tcPr>
            <w:tcW w:w="1932" w:type="dxa"/>
            <w:vAlign w:val="center"/>
            <w:textDirection w:val="lrTb"/>
            <w:noWrap w:val="false"/>
          </w:tcPr>
          <w:p>
            <w:pPr>
              <w:ind w:firstLine="439"/>
              <w:jc w:val="both"/>
              <w:spacing w:before="120" w:after="120" w:line="360" w:lineRule="auto"/>
              <w:rPr>
                <w:rFonts w:hint="eastAsia" w:ascii="宋体" w:hAnsi="宋体" w:cs="宋体"/>
                <w:b/>
                <w:bCs/>
                <w:sz w:val="24"/>
                <w:szCs w:val="24"/>
                <w:highlight w:val="green"/>
              </w:rPr>
            </w:pPr>
            <w:r>
              <w:rPr>
                <w:rFonts w:hint="eastAsia" w:ascii="宋体" w:hAnsi="宋体" w:cs="宋体"/>
                <w:b/>
                <w:bCs/>
                <w:sz w:val="24"/>
                <w:szCs w:val="24"/>
                <w:highlight w:val="none"/>
              </w:rPr>
              <w:t xml:space="preserve">备注</w:t>
            </w:r>
            <w:r/>
          </w:p>
        </w:tc>
      </w:tr>
      <w:tr>
        <w:trPr>
          <w:jc w:val="center"/>
          <w:trHeight w:val="535"/>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1</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项目经理</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1</w:t>
            </w:r>
            <w:r/>
          </w:p>
        </w:tc>
        <w:tc>
          <w:tcPr>
            <w:tcW w:w="1932" w:type="dxa"/>
            <w:vAlign w:val="center"/>
            <w:vMerge w:val="restart"/>
            <w:textDirection w:val="lrTb"/>
            <w:noWrap w:val="false"/>
          </w:tcPr>
          <w:p>
            <w:pPr>
              <w:numPr>
                <w:ilvl w:val="0"/>
                <w:numId w:val="8"/>
              </w:numPr>
              <w:jc w:val="both"/>
              <w:spacing w:before="120" w:after="120" w:line="360" w:lineRule="auto"/>
              <w:rPr>
                <w:rFonts w:hint="eastAsia" w:ascii="宋体" w:hAnsi="宋体" w:cs="宋体"/>
                <w:b/>
                <w:bCs/>
                <w:sz w:val="24"/>
                <w:szCs w:val="24"/>
                <w:lang w:eastAsia="zh-CN"/>
              </w:rPr>
            </w:pPr>
            <w:r>
              <w:rPr>
                <w:rFonts w:hint="eastAsia" w:ascii="宋体" w:hAnsi="宋体" w:cs="宋体"/>
                <w:b/>
                <w:bCs/>
                <w:sz w:val="24"/>
                <w:szCs w:val="24"/>
                <w:lang w:val="en-US" w:eastAsia="zh-CN"/>
              </w:rPr>
              <w:t xml:space="preserve">项目经理</w:t>
            </w:r>
            <w:r>
              <w:rPr>
                <w:rFonts w:hint="eastAsia" w:ascii="宋体" w:hAnsi="宋体" w:cs="宋体"/>
                <w:b/>
                <w:bCs/>
                <w:sz w:val="24"/>
                <w:szCs w:val="24"/>
              </w:rPr>
              <w:t xml:space="preserve">需提供</w:t>
            </w:r>
            <w:r>
              <w:rPr>
                <w:rFonts w:hint="eastAsia" w:ascii="宋体" w:hAnsi="宋体" w:cs="宋体"/>
                <w:b/>
                <w:bCs/>
                <w:sz w:val="24"/>
                <w:szCs w:val="24"/>
                <w:lang w:eastAsia="zh-CN"/>
              </w:rPr>
              <w:t xml:space="preserve">：</w:t>
            </w:r>
            <w:r>
              <w:rPr>
                <w:rFonts w:hint="eastAsia" w:ascii="宋体" w:hAnsi="宋体" w:cs="宋体"/>
                <w:b/>
                <w:bCs/>
                <w:sz w:val="24"/>
                <w:szCs w:val="24"/>
              </w:rPr>
              <w:t xml:space="preserve">有效期内的无犯罪记录证明材料</w:t>
            </w:r>
            <w:r>
              <w:rPr>
                <w:rFonts w:hint="eastAsia" w:ascii="宋体" w:hAnsi="宋体" w:cs="宋体"/>
                <w:b/>
                <w:bCs/>
                <w:sz w:val="24"/>
                <w:szCs w:val="24"/>
                <w:lang w:eastAsia="zh-CN"/>
              </w:rPr>
              <w:t xml:space="preserve">；</w:t>
            </w:r>
            <w:r/>
          </w:p>
          <w:p>
            <w:pPr>
              <w:numPr>
                <w:ilvl w:val="0"/>
                <w:numId w:val="0"/>
              </w:numPr>
              <w:jc w:val="both"/>
              <w:spacing w:before="120" w:after="120" w:line="360" w:lineRule="auto"/>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2.其他人员需提供：</w:t>
            </w:r>
            <w:r>
              <w:rPr>
                <w:rFonts w:hint="eastAsia" w:ascii="宋体" w:hAnsi="宋体" w:cs="宋体"/>
                <w:b/>
                <w:bCs/>
                <w:sz w:val="24"/>
                <w:szCs w:val="24"/>
              </w:rPr>
              <w:t xml:space="preserve">有效期内的无犯罪记录证明</w:t>
            </w:r>
            <w:r>
              <w:rPr>
                <w:rFonts w:hint="eastAsia" w:ascii="宋体" w:hAnsi="宋体" w:cs="宋体"/>
                <w:b/>
                <w:bCs/>
                <w:sz w:val="24"/>
                <w:szCs w:val="24"/>
                <w:lang w:val="en-US" w:eastAsia="zh-CN"/>
              </w:rPr>
              <w:t xml:space="preserve">的承诺函，中标后再</w:t>
            </w:r>
            <w:r>
              <w:rPr>
                <w:rFonts w:hint="eastAsia" w:ascii="宋体" w:hAnsi="宋体" w:cs="宋体"/>
                <w:b/>
                <w:bCs/>
                <w:sz w:val="24"/>
                <w:szCs w:val="24"/>
              </w:rPr>
              <w:t xml:space="preserve">提供有效期内的无犯罪记录证明材料</w:t>
            </w:r>
            <w:r>
              <w:rPr>
                <w:rFonts w:hint="eastAsia" w:ascii="宋体" w:hAnsi="宋体" w:cs="宋体"/>
                <w:b/>
                <w:bCs/>
                <w:sz w:val="24"/>
                <w:szCs w:val="24"/>
                <w:lang w:eastAsia="zh-CN"/>
              </w:rPr>
              <w:t xml:space="preserve">。</w:t>
            </w:r>
            <w:r/>
          </w:p>
          <w:p>
            <w:pPr>
              <w:jc w:val="both"/>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r>
        <w:trPr>
          <w:jc w:val="center"/>
          <w:trHeight w:val="535"/>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2</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客服领班</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1</w:t>
            </w:r>
            <w:r/>
          </w:p>
        </w:tc>
        <w:tc>
          <w:tcPr>
            <w:tcW w:w="1932" w:type="dxa"/>
            <w:vAlign w:val="center"/>
            <w:vMerge w:val="continue"/>
            <w:textDirection w:val="lrTb"/>
            <w:noWrap w:val="false"/>
          </w:tcPr>
          <w:p>
            <w:pPr>
              <w:jc w:val="both"/>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r>
        <w:trPr>
          <w:jc w:val="center"/>
          <w:trHeight w:val="535"/>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3</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客服</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4</w:t>
            </w:r>
            <w:r/>
          </w:p>
        </w:tc>
        <w:tc>
          <w:tcPr>
            <w:tcW w:w="1932" w:type="dxa"/>
            <w:vAlign w:val="center"/>
            <w:vMerge w:val="continue"/>
            <w:textDirection w:val="lrTb"/>
            <w:noWrap w:val="false"/>
          </w:tcPr>
          <w:p>
            <w:pPr>
              <w:jc w:val="both"/>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r>
        <w:trPr>
          <w:jc w:val="center"/>
          <w:trHeight w:val="535"/>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4</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安保领班</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1</w:t>
            </w:r>
            <w:r/>
          </w:p>
        </w:tc>
        <w:tc>
          <w:tcPr>
            <w:tcW w:w="1932" w:type="dxa"/>
            <w:vAlign w:val="center"/>
            <w:vMerge w:val="continue"/>
            <w:textDirection w:val="lrTb"/>
            <w:noWrap w:val="false"/>
          </w:tcPr>
          <w:p>
            <w:pPr>
              <w:ind w:firstLine="0"/>
              <w:jc w:val="both"/>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r>
        <w:trPr>
          <w:jc w:val="center"/>
          <w:trHeight w:val="682"/>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5</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安保</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4</w:t>
            </w:r>
            <w:r/>
          </w:p>
        </w:tc>
        <w:tc>
          <w:tcPr>
            <w:tcW w:w="1932" w:type="dxa"/>
            <w:vAlign w:val="center"/>
            <w:vMerge w:val="continue"/>
            <w:textDirection w:val="lrTb"/>
            <w:noWrap w:val="false"/>
          </w:tcPr>
          <w:p>
            <w:pPr>
              <w:ind w:firstLine="0"/>
              <w:jc w:val="both"/>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r>
        <w:trPr>
          <w:jc w:val="center"/>
          <w:trHeight w:val="535"/>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6</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巡逻岗</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1</w:t>
            </w:r>
            <w:r/>
          </w:p>
        </w:tc>
        <w:tc>
          <w:tcPr>
            <w:tcW w:w="1932" w:type="dxa"/>
            <w:vAlign w:val="center"/>
            <w:vMerge w:val="continue"/>
            <w:textDirection w:val="lrTb"/>
            <w:noWrap w:val="false"/>
          </w:tcPr>
          <w:p>
            <w:pPr>
              <w:jc w:val="both"/>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r>
        <w:trPr>
          <w:jc w:val="center"/>
          <w:trHeight w:val="535"/>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7</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保洁</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4</w:t>
            </w:r>
            <w:r/>
          </w:p>
        </w:tc>
        <w:tc>
          <w:tcPr>
            <w:tcW w:w="1932" w:type="dxa"/>
            <w:vAlign w:val="center"/>
            <w:vMerge w:val="continue"/>
            <w:textDirection w:val="lrTb"/>
            <w:noWrap w:val="false"/>
          </w:tcPr>
          <w:p>
            <w:pPr>
              <w:jc w:val="both"/>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r>
        <w:trPr>
          <w:jc w:val="center"/>
          <w:trHeight w:val="535"/>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8</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绿化</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1</w:t>
            </w:r>
            <w:r/>
          </w:p>
        </w:tc>
        <w:tc>
          <w:tcPr>
            <w:tcW w:w="1932" w:type="dxa"/>
            <w:vAlign w:val="center"/>
            <w:vMerge w:val="continue"/>
            <w:textDirection w:val="lrTb"/>
            <w:noWrap w:val="false"/>
          </w:tcPr>
          <w:p>
            <w:pPr>
              <w:jc w:val="both"/>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r>
        <w:trPr>
          <w:jc w:val="center"/>
          <w:trHeight w:val="564"/>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9</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食堂工作人员</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1</w:t>
            </w:r>
            <w:r/>
          </w:p>
        </w:tc>
        <w:tc>
          <w:tcPr>
            <w:tcW w:w="1932" w:type="dxa"/>
            <w:vAlign w:val="center"/>
            <w:vMerge w:val="continue"/>
            <w:textDirection w:val="lrTb"/>
            <w:noWrap w:val="false"/>
          </w:tcPr>
          <w:p>
            <w:pPr>
              <w:jc w:val="both"/>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r>
        <w:trPr>
          <w:jc w:val="center"/>
          <w:trHeight w:val="564"/>
        </w:trPr>
        <w:tc>
          <w:tcPr>
            <w:tcW w:w="1389"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10</w:t>
            </w:r>
            <w:r/>
          </w:p>
        </w:tc>
        <w:tc>
          <w:tcPr>
            <w:tcW w:w="3526"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维修工</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1</w:t>
            </w:r>
            <w:r/>
          </w:p>
        </w:tc>
        <w:tc>
          <w:tcPr>
            <w:tcW w:w="1932" w:type="dxa"/>
            <w:vAlign w:val="center"/>
            <w:vMerge w:val="continue"/>
            <w:textDirection w:val="lrTb"/>
            <w:noWrap w:val="false"/>
          </w:tcPr>
          <w:p>
            <w:pPr>
              <w:jc w:val="both"/>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r>
        <w:trPr>
          <w:jc w:val="center"/>
          <w:trHeight w:val="564"/>
        </w:trPr>
        <w:tc>
          <w:tcPr>
            <w:gridSpan w:val="2"/>
            <w:tcW w:w="4915"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合    计</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19</w:t>
            </w:r>
            <w:r/>
          </w:p>
        </w:tc>
        <w:tc>
          <w:tcPr>
            <w:tcW w:w="1932" w:type="dxa"/>
            <w:vAlign w:val="center"/>
            <w:textDirection w:val="lrTb"/>
            <w:noWrap w:val="false"/>
          </w:tcPr>
          <w:p>
            <w:pPr>
              <w:ind w:firstLine="439"/>
              <w:jc w:val="center"/>
              <w:spacing w:before="120" w:after="120" w:line="360" w:lineRule="auto"/>
              <w:rPr>
                <w:rFonts w:hint="eastAsia" w:ascii="宋体" w:hAnsi="宋体" w:cs="宋体"/>
                <w:b/>
                <w:bCs/>
                <w:sz w:val="24"/>
                <w:szCs w:val="24"/>
              </w:rPr>
            </w:pPr>
            <w:r>
              <w:rPr>
                <w:rFonts w:hint="eastAsia" w:ascii="宋体" w:hAnsi="宋体" w:cs="宋体"/>
                <w:b/>
                <w:bCs/>
                <w:sz w:val="24"/>
                <w:szCs w:val="24"/>
              </w:rPr>
            </w:r>
            <w:r/>
          </w:p>
        </w:tc>
      </w:tr>
    </w:tbl>
    <w:p>
      <w:pPr>
        <w:jc w:val="left"/>
        <w:spacing w:before="120" w:after="120" w:line="360" w:lineRule="auto"/>
        <w:rPr>
          <w:rFonts w:hint="eastAsia" w:ascii="宋体" w:hAnsi="宋体" w:cs="宋体"/>
          <w:b/>
          <w:bCs/>
          <w:sz w:val="24"/>
          <w:szCs w:val="24"/>
        </w:rPr>
      </w:pPr>
      <w:r>
        <w:rPr>
          <w:rFonts w:hint="eastAsia" w:ascii="宋体" w:hAnsi="宋体" w:cs="宋体"/>
          <w:b/>
          <w:bCs/>
          <w:sz w:val="24"/>
          <w:szCs w:val="24"/>
        </w:rPr>
      </w:r>
      <w:r/>
    </w:p>
    <w:p>
      <w:pPr>
        <w:ind w:firstLine="439"/>
        <w:jc w:val="left"/>
        <w:spacing w:before="120" w:after="120" w:line="360" w:lineRule="auto"/>
        <w:rPr>
          <w:rFonts w:hint="eastAsia" w:ascii="宋体" w:hAnsi="宋体" w:cs="宋体"/>
          <w:b/>
          <w:bCs/>
          <w:sz w:val="24"/>
          <w:szCs w:val="24"/>
        </w:rPr>
      </w:pPr>
      <w:r>
        <w:rPr>
          <w:rFonts w:hint="eastAsia" w:ascii="宋体" w:hAnsi="宋体" w:cs="宋体"/>
          <w:b/>
          <w:bCs/>
          <w:sz w:val="24"/>
          <w:szCs w:val="24"/>
        </w:rPr>
        <w:t xml:space="preserve">其他说明：</w:t>
      </w:r>
      <w:r/>
    </w:p>
    <w:p>
      <w:pPr>
        <w:numPr>
          <w:ilvl w:val="0"/>
          <w:numId w:val="9"/>
        </w:num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供应商应统一为员工提供工作服，配置工号牌，规范上岗。如成交供应商配置的工作服不符合采购人要求，采购人有权要求更换，费用由成交供应商承担。</w:t>
      </w:r>
      <w:r/>
    </w:p>
    <w:p>
      <w:pPr>
        <w:ind w:firstLine="480"/>
        <w:spacing w:line="360" w:lineRule="auto"/>
        <w:rPr>
          <w:rFonts w:hint="eastAsia" w:ascii="宋体" w:hAnsi="宋体" w:cs="宋体"/>
          <w:color w:val="000000"/>
          <w:sz w:val="24"/>
          <w:szCs w:val="24"/>
          <w:lang w:val="zh-CN"/>
        </w:rPr>
      </w:pPr>
      <w:r>
        <w:rPr>
          <w:rFonts w:hint="eastAsia" w:ascii="宋体" w:hAnsi="宋体" w:cs="宋体"/>
          <w:b/>
          <w:bCs/>
          <w:color w:val="000000"/>
          <w:sz w:val="24"/>
          <w:szCs w:val="24"/>
        </w:rPr>
        <w:t xml:space="preserve">2、合同每年总价款中的壹拾万元</w:t>
      </w: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100000.00元</w:t>
      </w:r>
      <w:r>
        <w:rPr>
          <w:rFonts w:hint="eastAsia" w:ascii="宋体" w:hAnsi="宋体" w:cs="宋体"/>
          <w:b/>
          <w:bCs/>
          <w:color w:val="000000"/>
          <w:sz w:val="24"/>
          <w:szCs w:val="24"/>
          <w:lang w:val="zh-CN"/>
        </w:rPr>
        <w:t xml:space="preserve">）为项目合同期内的工程维修费用。</w:t>
      </w:r>
      <w:r>
        <w:rPr>
          <w:rFonts w:hint="eastAsia" w:ascii="宋体" w:hAnsi="宋体" w:cs="宋体"/>
          <w:color w:val="000000"/>
          <w:sz w:val="24"/>
          <w:szCs w:val="24"/>
          <w:lang w:val="zh-CN"/>
        </w:rPr>
        <w:t xml:space="preserve">工程维修费用包括日常零星维修耗材费用和工程小型专项维修费用。维修耗材和相关维修费用明细每月统计报甲方审核，每年年底进行统一核算。</w:t>
      </w:r>
      <w:r>
        <w:rPr>
          <w:rFonts w:hint="eastAsia" w:ascii="宋体" w:hAnsi="宋体" w:cs="宋体"/>
          <w:color w:val="000000"/>
          <w:sz w:val="24"/>
          <w:szCs w:val="24"/>
        </w:rPr>
        <w:t xml:space="preserve">中标供应商在应每月向甲方报送维修费用，</w:t>
      </w:r>
      <w:r>
        <w:rPr>
          <w:rFonts w:hint="eastAsia" w:ascii="宋体" w:hAnsi="宋体" w:cs="宋体"/>
          <w:b/>
          <w:bCs/>
          <w:color w:val="000000"/>
          <w:sz w:val="24"/>
          <w:szCs w:val="24"/>
        </w:rPr>
        <w:t xml:space="preserve">如未按时报送，超出合同中维修金额由中标供应商自行承担。</w:t>
      </w:r>
      <w:r/>
    </w:p>
    <w:p>
      <w:pPr>
        <w:ind w:firstLine="439"/>
        <w:jc w:val="left"/>
        <w:spacing w:before="120" w:after="120" w:line="360" w:lineRule="auto"/>
        <w:rPr>
          <w:rFonts w:hint="eastAsia" w:ascii="宋体" w:hAnsi="宋体" w:cs="宋体"/>
          <w:sz w:val="24"/>
          <w:szCs w:val="24"/>
        </w:rPr>
      </w:pPr>
      <w:r>
        <w:rPr>
          <w:rFonts w:hint="eastAsia" w:ascii="宋体" w:hAnsi="宋体" w:cs="宋体"/>
          <w:sz w:val="24"/>
          <w:szCs w:val="24"/>
        </w:rPr>
        <w:t xml:space="preserve">3、物业管理服务期限：</w:t>
      </w:r>
      <w:r/>
    </w:p>
    <w:p>
      <w:pPr>
        <w:ind w:firstLine="480"/>
        <w:spacing w:line="360" w:lineRule="auto"/>
        <w:rPr>
          <w:rFonts w:hint="default" w:ascii="宋体" w:hAnsi="宋体" w:eastAsia="宋体" w:cs="宋体"/>
          <w:b w:val="0"/>
          <w:bCs w:val="0"/>
          <w:sz w:val="24"/>
          <w:szCs w:val="24"/>
          <w:highlight w:val="green"/>
          <w:lang w:val="en-US" w:eastAsia="zh-CN"/>
        </w:rPr>
      </w:pPr>
      <w:r>
        <w:rPr>
          <w:rFonts w:hint="eastAsia" w:ascii="宋体" w:hAnsi="宋体" w:cs="宋体"/>
          <w:b/>
          <w:bCs/>
          <w:sz w:val="24"/>
          <w:szCs w:val="24"/>
        </w:rPr>
        <w:t xml:space="preserve">服务期：</w:t>
      </w:r>
      <w:r>
        <w:rPr>
          <w:rFonts w:hint="eastAsia" w:ascii="宋体" w:hAnsi="宋体" w:cs="宋体"/>
          <w:b w:val="0"/>
          <w:bCs w:val="0"/>
          <w:sz w:val="24"/>
          <w:szCs w:val="24"/>
          <w:lang w:val="en-US" w:eastAsia="zh-CN"/>
        </w:rPr>
        <w:t xml:space="preserve">2026年6月1日-2027年5月31日</w:t>
      </w:r>
      <w:r/>
    </w:p>
    <w:p>
      <w:pPr>
        <w:ind w:firstLine="439"/>
        <w:jc w:val="left"/>
        <w:spacing w:before="120" w:after="120" w:line="360" w:lineRule="auto"/>
        <w:tabs>
          <w:tab w:val="left" w:pos="345" w:leader="none"/>
        </w:tabs>
        <w:rPr>
          <w:rFonts w:hint="eastAsia" w:ascii="宋体" w:hAnsi="宋体" w:cs="宋体"/>
          <w:sz w:val="24"/>
          <w:szCs w:val="24"/>
        </w:rPr>
      </w:pPr>
      <w:r>
        <w:rPr>
          <w:rFonts w:hint="eastAsia" w:ascii="宋体" w:hAnsi="宋体" w:cs="宋体"/>
          <w:sz w:val="24"/>
          <w:szCs w:val="24"/>
        </w:rPr>
        <w:t xml:space="preserve">4、物业管理目标：</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（1）服务标准按照《江苏省省级物业示范项目标准》执行。</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（2）分项指标：</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a服务满意率95%以上，投诉处理率100%。</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b工程维修人员到场及时率100%，维修满意率100%。</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c档案归档率达到100%；档案完整率达到100%。</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d设备完好、整洁、无污损，完好率、合格率均达到98%以上。</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e清洁服务达标率不低于98%。</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f垃圾分类收集，日产日清，清运、隔油池清掏完成及时率100%。</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g责任事故发生率0%。</w:t>
      </w:r>
      <w:r/>
    </w:p>
    <w:p>
      <w:pPr>
        <w:ind w:firstLine="439"/>
        <w:jc w:val="both"/>
        <w:spacing w:before="120" w:after="120"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人员管理要求：</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a成交供应商保证现场服务人员具备采购要求和执行本项目所必须的专业技术能力和证书，相关资料报采购人备案。</w:t>
      </w:r>
      <w:r/>
    </w:p>
    <w:p>
      <w:pPr>
        <w:ind w:firstLine="439"/>
        <w:jc w:val="both"/>
        <w:spacing w:before="120" w:after="120" w:line="360" w:lineRule="auto"/>
        <w:rPr>
          <w:rFonts w:hint="eastAsia" w:ascii="宋体" w:hAnsi="宋体" w:eastAsia="宋体" w:cs="宋体"/>
          <w:b/>
          <w:bCs/>
          <w:sz w:val="24"/>
          <w:szCs w:val="24"/>
          <w:highlight w:val="none"/>
          <w:u w:val="single"/>
        </w:rPr>
      </w:pPr>
      <w:r>
        <w:rPr>
          <w:rFonts w:hint="eastAsia" w:ascii="宋体" w:hAnsi="宋体"/>
          <w:sz w:val="24"/>
          <w:szCs w:val="24"/>
          <w:highlight w:val="none"/>
          <w:u w:val="single"/>
        </w:rPr>
        <w:t xml:space="preserve">b成交供应商应按照规定为</w:t>
      </w:r>
      <w:r>
        <w:rPr>
          <w:rFonts w:ascii="宋体" w:hAnsi="宋体"/>
          <w:sz w:val="24"/>
          <w:szCs w:val="24"/>
          <w:highlight w:val="none"/>
          <w:u w:val="single"/>
        </w:rPr>
        <w:t xml:space="preserve">所有的配置人员的工资社保待遇不得低于南京市规定的最低工资标准和社保缴费标准，</w:t>
      </w:r>
      <w:r>
        <w:rPr>
          <w:rFonts w:hint="eastAsia" w:ascii="宋体" w:hAnsi="宋体"/>
          <w:sz w:val="24"/>
          <w:szCs w:val="24"/>
          <w:highlight w:val="none"/>
          <w:u w:val="single"/>
          <w:lang w:val="en-US" w:eastAsia="zh-CN"/>
        </w:rPr>
        <w:t xml:space="preserve">按实缴纳，</w:t>
      </w:r>
      <w:r>
        <w:rPr>
          <w:rFonts w:hint="eastAsia" w:ascii="宋体" w:hAnsi="宋体" w:eastAsia="宋体" w:cs="宋体"/>
          <w:b/>
          <w:bCs/>
          <w:sz w:val="24"/>
          <w:szCs w:val="24"/>
          <w:highlight w:val="none"/>
          <w:u w:val="single"/>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highlight w:val="none"/>
        </w:rPr>
        <w:t xml:space="preserve">c主管及以上核心管理人员更换需征得采购人同意后</w:t>
      </w:r>
      <w:r>
        <w:rPr>
          <w:rFonts w:hint="eastAsia" w:ascii="宋体" w:hAnsi="宋体" w:cs="宋体"/>
          <w:sz w:val="24"/>
          <w:szCs w:val="24"/>
        </w:rPr>
        <w:t xml:space="preserve">方可执行。</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（4）成交供应商的服务接受采购人的考核。</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（5）接受采购人的监督、检查和考核，对采购人提出的问题要及时进行整改，并根据采购人工作的要求及时有效地调整其工作内容，对保障不力的人和事按照规章制度有权进行处罚。</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6）成交供应商必须严格执行南京市政府用工工资标准的有关规定，并承担其雇员的劳动报酬、福利待遇、按劳动法交纳社会保险、公积金、劳动保护、工伤抚恤等用人费用。对员工要承担未正确执行劳动用工规定所产生的法律责任。维护和保障员工的合法权益。</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7）成交供应商应按工作需要制定切实可行的内部管理规章制度，加强工作人员的业务培训和管理，并搞好物业管理处的建设（如有关工作制度、职责、工作人员照片上墙等），建立好相关的工作台账，工程、安保、保洁及设施、设备资料档案齐全，管理完善，运行记录、值班记录完整、填写规范、交接手续齐备，检索方便。</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（8）成交供应商能承诺安全责任，包括人身伤害、火灾、物品失窃等，违约承担相应责任。</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（9）成交供应商不得利用采购人房产、物业、水电等资源从事经营活动，不能改变其使用性质。</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（10）如果发生因物业管理单位工作失职造成消防事故、失窃事件或其他财产损失和人身伤害，均由成交供应商承担相关经济和法律责任。</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（11）成交供应商所用全体工作人员的岗位职责、操作规范、人身安全、医疗、工资、各项保险、内部管理、各类纠纷等各项事宜及所涉及经费均由供应商自行负责，采购人概不负责。</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12）成交供应商要正确使用采购人提供的用于物业管理服务的各类设施、设备、器材等，自行组织培训，专人管理、操作，自行负责使用过程中的维修、保养、易损零配件更换等，在使用过程中发生各类安全事故由成交供应商自负。成交供应商也可不使用采购人原有设施、设备、器材，自行解决。合同期满后，应完好交还。</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5、供应商须承诺于本项目建立合理的、完整的工作台账（包括但不限于日常保洁记录、巡检记录、人员交接班记录、垃圾分类记录、检修记录、人员培训记录等）并按时提交采购人，于本项目运用信息化管理系统。</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6、成交供应商在项目实施过程中必须严格按照磋商分项报价明细表中的人员工资、社保、公积金、法定节假日加班费、员工公休假替岗加班费、国家强制性要求缴纳的或员工必须享有的福利待遇、管理费、法定税金及其他费用缴纳落实到位。相关缴费证明材料随每半年的付款申请一并递交采购人，如未递交，采购人有权拒付物业管理费并解除合同。</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7、成交供应商须承诺其为本项目配备的人员为‌直接雇佣关系‌，工资由投标人‌自行发放‌，不得通过第三方机构代发；相关发放证明材料随每半年的付款申请一并递交采购人，如未递交，采购人有权拒付物业管理费并解除合同。</w:t>
      </w:r>
      <w:r/>
    </w:p>
    <w:p>
      <w:pPr>
        <w:ind w:firstLine="439"/>
        <w:jc w:val="both"/>
        <w:spacing w:before="120" w:after="120"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报价要求</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1）供应商在报价中需涵盖人员工资、社保、公积金、法定节假日加班费、员工公休假替岗加班费、国家强制性要求缴纳的或员工必须享有的福利待遇、管理费、法定税金及其他费用。供应商按劳动法规定规范用工，与人员签订合同，按规定时间、标准支付工资和缴纳社保、公积金等费用。具体详见《磋商报价明细表》。</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（2）根据《省人力资源社会保障厅关于调整全省最低工资标准的通知》（</w:t>
      </w:r>
      <w:r>
        <w:rPr>
          <w:rFonts w:ascii="Helvetica" w:hAnsi="Helvetica" w:eastAsia="Helvetica" w:cs="Helvetica"/>
          <w:color w:val="333333"/>
          <w:sz w:val="25"/>
          <w:szCs w:val="25"/>
        </w:rPr>
        <w:t xml:space="preserve">苏人社规</w:t>
      </w:r>
      <w:r>
        <w:rPr>
          <w:rFonts w:hint="eastAsia" w:ascii="宋体" w:hAnsi="宋体" w:cs="宋体"/>
          <w:sz w:val="24"/>
          <w:szCs w:val="24"/>
        </w:rPr>
        <w:t xml:space="preserve">〔2025〕3号）要求，供应商报价中的人员工资不得低于南京市最低工资标准，否则做无效响应处理。如聘用原缴纳农保以及下岗再就业的员工后，要求签订劳动合同并按规定在本企业缴纳五险一金。具体报价计算公式详见《磋商报价明细表》。</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（3）根据《关于发布2025年度社会保险有关基数的通知》（苏人社发〔2025〕38 号）要求，供应商报价中的社保费用不得低于南京市最低标准，否则做无效响应处理。具体报价计算公式详见《磋商报价明细表》。</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4）根据《关于调整2021年度住房公积金缴存基数的补充通知》（宁金管〔2021〕28号）要求，供应商报价中的公积金费用不得低于南京市最低标准，否则做无效响应处理。具体报价计算公式详见《磋商报价明细表》。</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（5）法定节假日在岗人数至少</w:t>
      </w:r>
      <w:r>
        <w:rPr>
          <w:rFonts w:hint="eastAsia" w:ascii="宋体" w:hAnsi="宋体" w:cs="宋体"/>
          <w:b/>
          <w:bCs/>
          <w:sz w:val="24"/>
          <w:szCs w:val="24"/>
        </w:rPr>
        <w:t xml:space="preserve">5人</w:t>
      </w:r>
      <w:r>
        <w:rPr>
          <w:rFonts w:hint="eastAsia" w:ascii="宋体" w:hAnsi="宋体" w:cs="宋体"/>
          <w:sz w:val="24"/>
          <w:szCs w:val="24"/>
        </w:rPr>
        <w:t xml:space="preserve">，供应商报价中的法定节假日人员加班费不得低于上述要求，否则作无效响应处理。具体报价计算公式详见《磋商报价明细表》。</w:t>
      </w:r>
      <w:r/>
    </w:p>
    <w:p>
      <w:pPr>
        <w:pStyle w:val="1064"/>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（6）</w:t>
      </w:r>
      <w:r>
        <w:rPr>
          <w:rFonts w:hint="eastAsia" w:ascii="宋体" w:hAnsi="宋体" w:cs="宋体"/>
          <w:sz w:val="24"/>
          <w:szCs w:val="24"/>
          <w:highlight w:val="none"/>
        </w:rPr>
        <w:t xml:space="preserve">供应商报价中的各分项报价均不得为“零”，</w:t>
      </w:r>
      <w:r>
        <w:rPr>
          <w:rFonts w:hint="eastAsia" w:ascii="宋体" w:hAnsi="宋体" w:eastAsia="宋体" w:cs="宋体"/>
          <w:b w:val="0"/>
          <w:bCs w:val="0"/>
          <w:sz w:val="24"/>
          <w:szCs w:val="24"/>
          <w:highlight w:val="none"/>
        </w:rPr>
        <w:t xml:space="preserve">供应商应依法缴纳税费，《投标报价明细表》中应明确税费费率，同时应提供能清晰反映</w:t>
      </w:r>
      <w:r>
        <w:rPr>
          <w:rFonts w:hint="eastAsia" w:ascii="宋体" w:hAnsi="宋体" w:eastAsia="宋体" w:cs="宋体"/>
          <w:b w:val="0"/>
          <w:bCs w:val="0"/>
          <w:sz w:val="24"/>
          <w:szCs w:val="24"/>
          <w:highlight w:val="none"/>
          <w:lang w:eastAsia="zh-CN"/>
        </w:rPr>
        <w:t xml:space="preserve">所</w:t>
      </w:r>
      <w:r>
        <w:rPr>
          <w:rFonts w:hint="eastAsia" w:ascii="宋体" w:hAnsi="宋体" w:eastAsia="宋体" w:cs="宋体"/>
          <w:b w:val="0"/>
          <w:bCs w:val="0"/>
          <w:sz w:val="24"/>
          <w:szCs w:val="24"/>
          <w:highlight w:val="none"/>
        </w:rPr>
        <w:t xml:space="preserve">应缴税费费率的证明材料</w:t>
      </w:r>
      <w:r>
        <w:rPr>
          <w:rFonts w:hint="eastAsia" w:ascii="宋体" w:hAnsi="宋体" w:eastAsia="宋体" w:cs="宋体"/>
          <w:b/>
          <w:bCs/>
          <w:sz w:val="24"/>
          <w:szCs w:val="24"/>
          <w:highlight w:val="none"/>
        </w:rPr>
        <w:t xml:space="preserve">（如：投标供应商</w:t>
      </w:r>
      <w:r>
        <w:rPr>
          <w:rFonts w:hint="eastAsia" w:ascii="宋体" w:hAnsi="宋体" w:eastAsia="宋体" w:cs="宋体"/>
          <w:b/>
          <w:bCs/>
          <w:sz w:val="24"/>
          <w:szCs w:val="24"/>
          <w:highlight w:val="none"/>
          <w:lang w:val="en-US" w:eastAsia="zh-CN"/>
        </w:rPr>
        <w:t xml:space="preserve">近半年</w:t>
      </w:r>
      <w:r>
        <w:rPr>
          <w:rFonts w:hint="eastAsia" w:ascii="宋体" w:hAnsi="宋体" w:eastAsia="宋体" w:cs="宋体"/>
          <w:b/>
          <w:bCs/>
          <w:sz w:val="24"/>
          <w:szCs w:val="24"/>
          <w:highlight w:val="none"/>
        </w:rPr>
        <w:t xml:space="preserve">开具的任意一份票据扫描件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查询税务系统中的税费种认定信息截图</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rPr>
        <w:t xml:space="preserve">资格信息查询截图等材料）。未明确税费税率或提供的证明材料无法清晰反映所应缴税费费率或所提供的证明材料中的税费税率和《投标报价明细表》中填写的税费费率不一致的，作无效投标处理。</w:t>
      </w:r>
      <w:r>
        <w:rPr>
          <w:rFonts w:hint="eastAsia" w:ascii="宋体" w:hAnsi="宋体" w:cs="宋体"/>
          <w:sz w:val="24"/>
          <w:szCs w:val="24"/>
          <w:highlight w:val="none"/>
        </w:rPr>
        <w:t xml:space="preserve">具体详见《磋商报价明细表》。</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highlight w:val="none"/>
        </w:rPr>
        <w:t xml:space="preserve">（7）供应商须按照《磋商报价明细表》</w:t>
      </w:r>
      <w:r>
        <w:rPr>
          <w:rFonts w:hint="eastAsia" w:ascii="宋体" w:hAnsi="宋体" w:cs="宋体"/>
          <w:sz w:val="24"/>
          <w:szCs w:val="24"/>
        </w:rPr>
        <w:t xml:space="preserve">的计算公式及要求填写，并加盖公章后扫描上传系统。因供应商疏忽、计算错误、未按计算公式或政策依据报价，导致报价表中数据错误、缺漏的，做无效响应处理。</w:t>
      </w:r>
      <w:r/>
    </w:p>
    <w:p>
      <w:pPr>
        <w:ind w:firstLine="439"/>
        <w:jc w:val="both"/>
        <w:spacing w:before="120" w:after="120" w:line="360" w:lineRule="auto"/>
        <w:rPr>
          <w:rFonts w:hint="eastAsia" w:ascii="宋体" w:hAnsi="宋体" w:cs="宋体"/>
          <w:b/>
          <w:bCs/>
          <w:sz w:val="24"/>
          <w:szCs w:val="24"/>
        </w:rPr>
      </w:pPr>
      <w:r>
        <w:rPr>
          <w:rFonts w:hint="eastAsia" w:ascii="宋体" w:hAnsi="宋体" w:cs="宋体"/>
          <w:sz w:val="24"/>
          <w:szCs w:val="24"/>
        </w:rPr>
        <w:t xml:space="preserve">（8）</w:t>
      </w:r>
      <w:r>
        <w:rPr>
          <w:rFonts w:hint="eastAsia" w:ascii="宋体" w:hAnsi="宋体" w:cs="宋体"/>
          <w:b/>
          <w:bCs/>
          <w:sz w:val="24"/>
          <w:szCs w:val="24"/>
        </w:rPr>
        <w:t xml:space="preserve">二次报价依据《磋商报价明细表》，如未依据《磋商报价明细表》进行报价视为未实质性响应磋商文件。</w:t>
      </w:r>
      <w:r/>
    </w:p>
    <w:p>
      <w:pPr>
        <w:ind w:firstLine="439"/>
        <w:jc w:val="both"/>
        <w:spacing w:before="120" w:after="120" w:line="360" w:lineRule="auto"/>
        <w:rPr>
          <w:rFonts w:hint="eastAsia" w:ascii="宋体" w:hAnsi="宋体" w:cs="宋体"/>
          <w:sz w:val="24"/>
          <w:szCs w:val="24"/>
        </w:rPr>
      </w:pPr>
      <w:r>
        <w:rPr>
          <w:rFonts w:hint="eastAsia" w:ascii="宋体" w:hAnsi="宋体" w:cs="宋体"/>
          <w:sz w:val="24"/>
          <w:szCs w:val="24"/>
        </w:rPr>
        <w:t xml:space="preserve">（9）供应商应充分考虑所有可能影响到报价的价格及政策（如最低工资标准变动）等风险因素，一旦中标，合同期总价不予调整。供应商报价除包含采购文件中列明的项目外，还应包括保障该物业服务正常运行应当具有的服务，对物业服务正常运行应当具有的物业服务，理解不一致的以采购人理解为准。供应商的任何错漏、优惠、竞争性报价不得作为减轻责任、减少服务、增加收费、降低质量的理由。 </w:t>
      </w:r>
      <w:r/>
    </w:p>
    <w:p>
      <w:pPr>
        <w:ind w:firstLine="439"/>
        <w:jc w:val="both"/>
        <w:spacing w:before="120" w:after="120" w:line="360" w:lineRule="auto"/>
        <w:rPr>
          <w:rFonts w:hint="eastAsia" w:ascii="宋体" w:hAnsi="宋体" w:cs="宋体"/>
          <w:b/>
          <w:bCs/>
          <w:sz w:val="24"/>
          <w:szCs w:val="24"/>
          <w:highlight w:val="none"/>
        </w:rPr>
      </w:pPr>
      <w:r>
        <w:rPr>
          <w:rFonts w:hint="eastAsia" w:ascii="宋体" w:hAnsi="宋体" w:eastAsia="宋体" w:cs="宋体"/>
          <w:b/>
          <w:bCs/>
          <w:sz w:val="24"/>
          <w:szCs w:val="24"/>
        </w:rPr>
        <w:t xml:space="preserve">★</w:t>
      </w:r>
      <w:r>
        <w:rPr>
          <w:rFonts w:hint="eastAsia" w:ascii="宋体" w:hAnsi="宋体" w:cs="宋体"/>
          <w:b/>
          <w:bCs/>
          <w:sz w:val="24"/>
          <w:szCs w:val="24"/>
        </w:rPr>
        <w:t xml:space="preserve">付款方</w:t>
      </w:r>
      <w:r>
        <w:rPr>
          <w:rFonts w:hint="eastAsia" w:ascii="宋体" w:hAnsi="宋体" w:cs="宋体"/>
          <w:b/>
          <w:bCs/>
          <w:sz w:val="24"/>
          <w:szCs w:val="24"/>
          <w:highlight w:val="none"/>
        </w:rPr>
        <w:t xml:space="preserve">式</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提供承诺函</w:t>
      </w:r>
      <w:r>
        <w:rPr>
          <w:rFonts w:hint="eastAsia" w:ascii="宋体" w:hAnsi="宋体" w:cs="宋体"/>
          <w:sz w:val="24"/>
          <w:szCs w:val="24"/>
          <w:highlight w:val="none"/>
          <w:lang w:eastAsia="zh-CN"/>
        </w:rPr>
        <w:t xml:space="preserve">）</w:t>
      </w:r>
      <w:r>
        <w:rPr>
          <w:rFonts w:hint="eastAsia" w:ascii="宋体" w:hAnsi="宋体" w:cs="宋体"/>
          <w:b/>
          <w:bCs/>
          <w:sz w:val="24"/>
          <w:szCs w:val="24"/>
          <w:highlight w:val="none"/>
        </w:rPr>
        <w:t xml:space="preserve">：</w:t>
      </w:r>
      <w:r/>
    </w:p>
    <w:p>
      <w:pPr>
        <w:numPr>
          <w:ilvl w:val="0"/>
          <w:numId w:val="10"/>
        </w:num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为约束成交供应商严格执行相关要求，服务费支付采用考核评价办法。每半年结束后七个工作日内，由采购人对成交供应商考核合格后，支付半年涉及人员的费用（如人员工资、社保、福利等），原则上合同服务期内结清相关人员费用；剩余其他费用下一年度内支付完毕。若有扣款事项，在剩余尾款中扣除。</w:t>
      </w:r>
      <w:r/>
    </w:p>
    <w:p>
      <w:pPr>
        <w:numPr>
          <w:ilvl w:val="0"/>
          <w:numId w:val="0"/>
        </w:numPr>
        <w:ind w:firstLine="480"/>
        <w:spacing w:line="360" w:lineRule="auto"/>
        <w:widowControl/>
        <w:rPr>
          <w:rFonts w:hint="eastAsia" w:ascii="宋体" w:hAnsi="宋体" w:cs="宋体"/>
          <w:color w:val="auto"/>
          <w:sz w:val="24"/>
          <w:szCs w:val="24"/>
          <w:highlight w:val="yellow"/>
        </w:rPr>
      </w:pPr>
      <w:r>
        <w:rPr>
          <w:rFonts w:hint="eastAsia" w:ascii="宋体" w:hAnsi="宋体" w:cs="宋体"/>
          <w:color w:val="auto"/>
          <w:sz w:val="24"/>
          <w:szCs w:val="24"/>
          <w:highlight w:val="yellow"/>
        </w:rPr>
        <w:t xml:space="preserve">成交供应商须为本项目配备的人员为‌直接雇佣关系‌，工资发放及社保缴纳均由乙方‌自行发放‌，不得通过第三方机构代发；相关缴费材料随每半年的付款申请一并递交采购人，如未递交，采购人有权拒付物业管理费并解除合同。</w:t>
      </w:r>
      <w:r/>
    </w:p>
    <w:p>
      <w:pPr>
        <w:numPr>
          <w:ilvl w:val="255"/>
          <w:numId w:val="0"/>
        </w:numPr>
        <w:ind w:firstLine="480"/>
        <w:jc w:val="both"/>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中标人应按规定时间发放员工工资，有延误发放工资情况，甲方从应付款中扣除工资部分作为员工工资保障金</w:t>
      </w:r>
      <w:r>
        <w:rPr>
          <w:rFonts w:hint="eastAsia" w:ascii="宋体" w:hAnsi="宋体" w:cs="宋体"/>
          <w:color w:val="auto"/>
          <w:sz w:val="24"/>
          <w:szCs w:val="24"/>
          <w:highlight w:val="none"/>
          <w:lang w:eastAsia="zh-CN"/>
        </w:rPr>
        <w:t xml:space="preserve">，不足部分则从履约保证金中扣除</w:t>
      </w:r>
      <w:r>
        <w:rPr>
          <w:rFonts w:hint="eastAsia" w:ascii="宋体" w:hAnsi="宋体" w:cs="宋体"/>
          <w:color w:val="auto"/>
          <w:sz w:val="24"/>
          <w:szCs w:val="24"/>
          <w:highlight w:val="none"/>
        </w:rPr>
        <w:t xml:space="preserve">。</w:t>
      </w:r>
      <w:r/>
    </w:p>
    <w:p>
      <w:pPr>
        <w:ind w:firstLine="48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报价为提供服务所发生的所有费用，包括但不限于成本、利润及税金等，一旦中标，成交供应商不得以任何理由提出额外补偿，或降低服务质量、缩短服务周期等要求。成交供应商的任何错漏、优惠、竞争性报价不得作为减轻责任、减少服务、增加收费、降低质量的理由。</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履行合同期间，物业管理费采用考核评价办法，按半年支付。采购人定期或不定期地对供应商进行检查，采取百分制法，完全符合合同约定要求为100分。具体的考核细则由采购人与供应商协商制定。对供应商的差错要求其限期进行整改，对严重差错的将与管理费用挂钩，视情给以不同程度的经济处罚。</w:t>
      </w:r>
      <w:r>
        <w:rPr>
          <w:rFonts w:hint="eastAsia"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    4.合同期满验收合格后，采购人无息退还剩余保证金。</w:t>
      </w:r>
      <w:r/>
    </w:p>
    <w:p>
      <w:pPr>
        <w:ind w:firstLine="48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.成交供应商凭以下有效文件与采购人结算：</w:t>
      </w:r>
      <w:r/>
    </w:p>
    <w:p>
      <w:pPr>
        <w:ind w:firstLine="48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（1）成交通知书；</w:t>
      </w:r>
      <w:r/>
    </w:p>
    <w:p>
      <w:pPr>
        <w:ind w:firstLine="48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w:t>
      </w:r>
      <w:r/>
    </w:p>
    <w:p>
      <w:pPr>
        <w:ind w:firstLine="48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（3）成交供应商开具的正式发票；</w:t>
      </w:r>
      <w:r/>
    </w:p>
    <w:p>
      <w:pPr>
        <w:pStyle w:val="792"/>
        <w:jc w:val="both"/>
        <w:rPr>
          <w:rFonts w:hint="eastAsia" w:cs="宋体"/>
          <w:color w:val="auto"/>
          <w:highlight w:val="none"/>
        </w:rPr>
      </w:pPr>
      <w:r>
        <w:rPr>
          <w:rFonts w:hint="eastAsia" w:cs="宋体"/>
          <w:color w:val="auto"/>
          <w:highlight w:val="none"/>
        </w:rPr>
        <w:t xml:space="preserve">（4）</w:t>
      </w:r>
      <w:r>
        <w:rPr>
          <w:rFonts w:hint="eastAsia" w:cs="宋体"/>
          <w:color w:val="auto"/>
          <w:highlight w:val="none"/>
          <w:lang w:eastAsia="zh-CN"/>
        </w:rPr>
        <w:t xml:space="preserve">工资发放、社保缴纳、响应文件中固定费用支出记录；</w:t>
      </w:r>
      <w:r/>
    </w:p>
    <w:p>
      <w:pPr>
        <w:pStyle w:val="792"/>
        <w:jc w:val="both"/>
        <w:rPr>
          <w:rFonts w:hint="eastAsia" w:eastAsia="宋体" w:cs="宋体"/>
          <w:color w:val="auto"/>
          <w:highlight w:val="none"/>
          <w:lang w:eastAsia="zh-CN"/>
        </w:rPr>
      </w:pPr>
      <w:r>
        <w:rPr>
          <w:rFonts w:hint="eastAsia" w:cs="宋体"/>
          <w:color w:val="auto"/>
          <w:highlight w:val="none"/>
          <w:lang w:eastAsia="zh-CN"/>
        </w:rPr>
        <w:t xml:space="preserve">（</w:t>
      </w:r>
      <w:r>
        <w:rPr>
          <w:rFonts w:hint="eastAsia" w:cs="宋体"/>
          <w:color w:val="auto"/>
          <w:highlight w:val="none"/>
          <w:lang w:val="en-US" w:eastAsia="zh-CN"/>
        </w:rPr>
        <w:t xml:space="preserve">5</w:t>
      </w:r>
      <w:r>
        <w:rPr>
          <w:rFonts w:hint="eastAsia" w:cs="宋体"/>
          <w:color w:val="auto"/>
          <w:highlight w:val="none"/>
          <w:lang w:eastAsia="zh-CN"/>
        </w:rPr>
        <w:t xml:space="preserve">）半年度</w:t>
      </w:r>
      <w:r>
        <w:rPr>
          <w:rFonts w:hint="eastAsia" w:cs="宋体"/>
          <w:color w:val="auto"/>
          <w:highlight w:val="none"/>
        </w:rPr>
        <w:t xml:space="preserve">物业考评报告。</w:t>
      </w:r>
      <w:r/>
    </w:p>
    <w:p>
      <w:pPr>
        <w:ind w:firstLine="880"/>
        <w:jc w:val="center"/>
        <w:spacing w:line="360" w:lineRule="auto"/>
        <w:rPr>
          <w:rFonts w:hint="eastAsia" w:ascii="宋体" w:hAnsi="宋体" w:cs="宋体"/>
          <w:bCs/>
          <w:sz w:val="24"/>
          <w:szCs w:val="24"/>
          <w:highlight w:val="none"/>
        </w:rPr>
      </w:pPr>
      <w:r>
        <w:rPr>
          <w:rFonts w:hint="eastAsia" w:ascii="宋体" w:hAnsi="宋体" w:cs="宋体"/>
          <w:bCs/>
          <w:sz w:val="24"/>
          <w:szCs w:val="24"/>
        </w:rPr>
        <w:br w:type="page" w:clear="all"/>
      </w:r>
      <w:r>
        <w:rPr>
          <w:rFonts w:hint="eastAsia" w:ascii="Arial" w:hAnsi="Arial" w:eastAsia="Arial" w:cs="Arial"/>
          <w:sz w:val="40"/>
          <w:szCs w:val="40"/>
          <w:highlight w:val="none"/>
        </w:rPr>
        <w:t xml:space="preserve">第五章评审方法与评审标准</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一、评标方法</w:t>
      </w:r>
      <w:r/>
    </w:p>
    <w:p>
      <w:pPr>
        <w:ind w:firstLine="48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项目采用综合评分法，评标结果按评审后得分由高到低顺序排列。得分相同的，按响应报价由低到高顺序排列。得分且响应报价相同的，按“三、评标标准中2.1-2.6项”得分由高到低顺序排列。在响应文件满足采购文件全部实质性要求的供应商中，按照评审得分由高到低选取3名中标候选人。</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二、政府采购政策功能落实（本项目专门面向中小企业采购，不执行价格扣除政策。）</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1、小微型企业价格扣除（价格扣除政策仅适用“不专门面向中小企业采购项目”）</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（1）本项目对小微企业提供的服务给予</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的扣除价格，用扣除后的价格参与评审。</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（2）企业按照采购文件的要求提供相应的《中小企业声明函》。</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（3）企业标准请参照《关于印发中小企业划型标准规定的通知》（工信部联企业[2011]300号）文件规定自行填写。</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2、残疾人福利单位价格扣除</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（1）本项目对残疾人福利性单位视同小型、微型企业，给予与小微企业相同的价格扣除，用扣除后的价格参与评审。</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（2）残疾人福利单位需按照采购文件的要求提供《残疾人福利性单位声明函》。</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（3）残疾人福利单位标准请参照《关于促进残疾人就业政府采购政策的通知》（财库〔2017〕141号）。</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3、监狱和戒毒企业价格扣除</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（1）本项目对监狱和戒毒企业（简称监狱企业）视同小型、微型企业，给予与小微企业相同的价格扣除，用扣除后的价格参与评审。</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（3）监狱企业标准请参照《关于政府采购支持监狱企业发展有关问题的通知》（财库[2014]68号）。</w:t>
      </w:r>
      <w:r/>
    </w:p>
    <w:p>
      <w:pPr>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4、残疾人福利单位、监狱企业属于小型、微型企业的，不重复享受政策。上述价格扣除政策仅适用“不专门面向中小企业采购项目”。</w:t>
      </w:r>
      <w:r/>
    </w:p>
    <w:p>
      <w:pPr>
        <w:numPr>
          <w:ilvl w:val="0"/>
          <w:numId w:val="11"/>
        </w:numPr>
        <w:ind w:firstLine="439"/>
        <w:jc w:val="left"/>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评审标准</w:t>
      </w:r>
      <w:r/>
    </w:p>
    <w:tbl>
      <w:tblPr>
        <w:tblStyle w:val="752"/>
        <w:tblpPr w:horzAnchor="page" w:tblpX="1000" w:vertAnchor="text" w:tblpY="8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812"/>
        <w:gridCol w:w="1421"/>
        <w:gridCol w:w="4750"/>
        <w:gridCol w:w="657"/>
        <w:gridCol w:w="876"/>
      </w:tblGrid>
      <w:tr>
        <w:trPr>
          <w:trHeight w:val="284"/>
        </w:trPr>
        <w:tc>
          <w:tcPr>
            <w:gridSpan w:val="5"/>
            <w:tcW w:w="8408" w:type="dxa"/>
            <w:vAlign w:val="bottom"/>
            <w:textDirection w:val="lrTb"/>
            <w:noWrap/>
          </w:tcPr>
          <w:p>
            <w:pPr>
              <w:pStyle w:val="1059"/>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评标标准</w:t>
            </w:r>
            <w:r/>
          </w:p>
        </w:tc>
        <w:tc>
          <w:tcPr>
            <w:tcW w:w="880" w:type="dxa"/>
            <w:vAlign w:val="bottom"/>
            <w:textDirection w:val="lrTb"/>
            <w:noWrap/>
          </w:tcPr>
          <w:p>
            <w:pPr>
              <w:pStyle w:val="1059"/>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类型</w:t>
            </w:r>
            <w:r/>
          </w:p>
        </w:tc>
      </w:tr>
      <w:tr>
        <w:trPr>
          <w:trHeight w:val="667"/>
        </w:trPr>
        <w:tc>
          <w:tcPr>
            <w:tcW w:w="731" w:type="dxa"/>
            <w:vAlign w:val="center"/>
            <w:textDirection w:val="lrTb"/>
            <w:noWrap/>
          </w:tcPr>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gridSpan w:val="2"/>
            <w:tcW w:w="2243" w:type="dxa"/>
            <w:vAlign w:val="center"/>
            <w:textDirection w:val="lrTb"/>
            <w:noWrap/>
          </w:tcPr>
          <w:p>
            <w:pPr>
              <w:pStyle w:val="1059"/>
              <w:ind w:firstLine="199"/>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评分因素</w:t>
            </w:r>
            <w:r/>
          </w:p>
        </w:tc>
        <w:tc>
          <w:tcPr>
            <w:tcW w:w="4775" w:type="dxa"/>
            <w:vAlign w:val="center"/>
            <w:textDirection w:val="lrTb"/>
            <w:noWrap/>
          </w:tcPr>
          <w:p>
            <w:pPr>
              <w:pStyle w:val="1059"/>
              <w:ind w:firstLine="199"/>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评分细则</w:t>
            </w:r>
            <w:r/>
          </w:p>
        </w:tc>
        <w:tc>
          <w:tcPr>
            <w:tcW w:w="659" w:type="dxa"/>
            <w:vAlign w:val="center"/>
            <w:textDirection w:val="lrTb"/>
            <w:noWrap/>
          </w:tcPr>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分值</w:t>
            </w:r>
            <w:r/>
          </w:p>
        </w:tc>
        <w:tc>
          <w:tcPr>
            <w:tcW w:w="880" w:type="dxa"/>
            <w:vAlign w:val="center"/>
            <w:textDirection w:val="lrTb"/>
            <w:noWrap/>
          </w:tcPr>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325"/>
        </w:trPr>
        <w:tc>
          <w:tcPr>
            <w:tcW w:w="731" w:type="dxa"/>
            <w:vAlign w:val="center"/>
            <w:textDirection w:val="lrTb"/>
            <w:noWrap/>
          </w:tcPr>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15" w:type="dxa"/>
            <w:vAlign w:val="center"/>
            <w:textDirection w:val="lrTb"/>
            <w:noWrap/>
          </w:tcPr>
          <w:p>
            <w:pPr>
              <w:pStyle w:val="1059"/>
              <w:ind w:firstLine="17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价格</w:t>
            </w:r>
            <w:r/>
          </w:p>
        </w:tc>
        <w:tc>
          <w:tcPr>
            <w:tcW w:w="1428" w:type="dxa"/>
            <w:vAlign w:val="center"/>
            <w:textDirection w:val="lrTb"/>
            <w:noWrap/>
          </w:tcPr>
          <w:p>
            <w:pPr>
              <w:pStyle w:val="1059"/>
              <w:ind w:firstLine="199"/>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响应报价</w:t>
            </w:r>
            <w:r/>
          </w:p>
        </w:tc>
        <w:tc>
          <w:tcPr>
            <w:tcW w:w="4775" w:type="dxa"/>
            <w:textDirection w:val="lrTb"/>
            <w:noWrap w:val="false"/>
          </w:tcPr>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p>
        </w:tc>
        <w:tc>
          <w:tcPr>
            <w:tcW w:w="659" w:type="dxa"/>
            <w:vAlign w:val="center"/>
            <w:textDirection w:val="lrTb"/>
            <w:noWrap/>
          </w:tcPr>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50</w:t>
            </w:r>
            <w:r/>
          </w:p>
        </w:tc>
        <w:tc>
          <w:tcPr>
            <w:tcW w:w="880" w:type="dxa"/>
            <w:vAlign w:val="center"/>
            <w:textDirection w:val="lrTb"/>
            <w:noWrap/>
          </w:tcPr>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价格分</w:t>
            </w:r>
            <w:r/>
          </w:p>
        </w:tc>
      </w:tr>
      <w:tr>
        <w:trPr>
          <w:trHeight w:val="899"/>
        </w:trPr>
        <w:tc>
          <w:tcPr>
            <w:tcW w:w="731" w:type="dxa"/>
            <w:vAlign w:val="center"/>
            <w:textDirection w:val="lrTb"/>
            <w:noWrap/>
          </w:tcPr>
          <w:p>
            <w:pPr>
              <w:pStyle w:val="1059"/>
              <w:ind w:firstLine="0"/>
              <w:jc w:val="center"/>
              <w:spacing w:line="360" w:lineRule="auto"/>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2.1</w:t>
            </w:r>
            <w:r/>
          </w:p>
        </w:tc>
        <w:tc>
          <w:tcPr>
            <w:tcW w:w="815" w:type="dxa"/>
            <w:vAlign w:val="center"/>
            <w:vMerge w:val="restart"/>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w:t>
            </w:r>
            <w:r/>
          </w:p>
          <w:p>
            <w:pPr>
              <w:jc w:val="center"/>
              <w:spacing w:line="360" w:lineRule="auto"/>
              <w:widowControl/>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方案</w:t>
            </w:r>
            <w:r/>
          </w:p>
        </w:tc>
        <w:tc>
          <w:tcPr>
            <w:tcW w:w="1428" w:type="dxa"/>
            <w:vAlign w:val="center"/>
            <w:textDirection w:val="lrTb"/>
            <w:noWrap w:val="false"/>
          </w:tcPr>
          <w:p>
            <w:pPr>
              <w:pStyle w:val="1059"/>
              <w:ind w:firstLine="199"/>
              <w:jc w:val="center"/>
              <w:spacing w:line="360" w:lineRule="auto"/>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总体设想</w:t>
            </w:r>
            <w:r/>
          </w:p>
        </w:tc>
        <w:tc>
          <w:tcPr>
            <w:tcW w:w="4775" w:type="dxa"/>
            <w:vAlign w:val="top"/>
            <w:textDirection w:val="lrTb"/>
            <w:noWrap w:val="false"/>
          </w:tcPr>
          <w:p>
            <w:pPr>
              <w:pStyle w:val="1059"/>
              <w:ind w:firstLine="42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根据供应商针对本项目的定位、服务理念、服务设想及重点、难点分析方案进行综合评分：</w:t>
            </w:r>
            <w:r/>
          </w:p>
          <w:p>
            <w:pPr>
              <w:pStyle w:val="1059"/>
              <w:ind w:firstLine="420"/>
              <w:spacing w:line="360" w:lineRule="auto"/>
              <w:rPr>
                <w:rFonts w:hint="eastAsia" w:ascii="宋体" w:hAnsi="宋体" w:cs="宋体"/>
                <w:color w:val="000000"/>
                <w:sz w:val="24"/>
                <w:szCs w:val="24"/>
              </w:rPr>
            </w:pPr>
            <w:r>
              <w:rPr>
                <w:rFonts w:hint="eastAsia" w:ascii="宋体" w:hAnsi="宋体" w:eastAsia="宋体" w:cs="宋体"/>
                <w:sz w:val="24"/>
                <w:szCs w:val="24"/>
                <w:highlight w:val="none"/>
                <w:lang w:val="en-US" w:eastAsia="zh-CN" w:bidi="ar-SA"/>
              </w:rPr>
              <w:t xml:space="preserve">（1）方案周到全面、服务起点高、定位明确、针对性强且在服务于本项目的重难点等方面，有新颖思路的得5分；（2）方案涵盖了本项目所有服务范围、定位明确、针对性较强的得3分；（3）方案服务范围、定位不明确、针对性较弱的得1分；（4）未提供不得分。</w:t>
            </w:r>
            <w:r/>
          </w:p>
        </w:tc>
        <w:tc>
          <w:tcPr>
            <w:tcW w:w="659" w:type="dxa"/>
            <w:vAlign w:val="center"/>
            <w:textDirection w:val="lrTb"/>
            <w:noWrap/>
          </w:tcPr>
          <w:p>
            <w:pPr>
              <w:pStyle w:val="1059"/>
              <w:ind w:firstLine="0"/>
              <w:jc w:val="center"/>
              <w:spacing w:line="360" w:lineRule="auto"/>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5</w:t>
            </w:r>
            <w:r/>
          </w:p>
        </w:tc>
        <w:tc>
          <w:tcPr>
            <w:tcW w:w="880" w:type="dxa"/>
            <w:vAlign w:val="center"/>
            <w:textDirection w:val="lrTb"/>
            <w:noWrap/>
          </w:tcPr>
          <w:p>
            <w:pPr>
              <w:pStyle w:val="1059"/>
              <w:ind w:firstLine="0"/>
              <w:jc w:val="center"/>
              <w:spacing w:line="360" w:lineRule="auto"/>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主观分</w:t>
            </w:r>
            <w:r/>
          </w:p>
        </w:tc>
      </w:tr>
      <w:tr>
        <w:trPr>
          <w:trHeight w:val="899"/>
        </w:trPr>
        <w:tc>
          <w:tcPr>
            <w:tcW w:w="731" w:type="dxa"/>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2.2</w:t>
            </w:r>
            <w:r/>
          </w:p>
        </w:tc>
        <w:tc>
          <w:tcPr>
            <w:tcW w:w="815"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428" w:type="dxa"/>
            <w:vAlign w:val="center"/>
            <w:textDirection w:val="lrTb"/>
            <w:noWrap w:val="false"/>
          </w:tcPr>
          <w:p>
            <w:pPr>
              <w:jc w:val="center"/>
              <w:spacing w:line="360" w:lineRule="auto"/>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安保实施</w:t>
            </w:r>
            <w:r/>
          </w:p>
          <w:p>
            <w:pPr>
              <w:jc w:val="center"/>
              <w:spacing w:line="360" w:lineRule="auto"/>
              <w:widowControl/>
              <w:rPr>
                <w:rFonts w:hint="eastAsia" w:ascii="宋体" w:hAnsi="宋体" w:cs="宋体"/>
                <w:bCs/>
                <w:sz w:val="24"/>
                <w:szCs w:val="24"/>
              </w:rPr>
            </w:pPr>
            <w:r>
              <w:rPr>
                <w:rFonts w:hint="eastAsia" w:ascii="宋体" w:hAnsi="宋体" w:eastAsia="宋体" w:cs="宋体"/>
                <w:bCs/>
                <w:sz w:val="24"/>
                <w:szCs w:val="24"/>
                <w:highlight w:val="none"/>
                <w:lang w:val="en-US" w:eastAsia="zh-CN" w:bidi="ar-SA"/>
              </w:rPr>
              <w:t xml:space="preserve">服务方案</w:t>
            </w:r>
            <w:r/>
          </w:p>
        </w:tc>
        <w:tc>
          <w:tcPr>
            <w:tcW w:w="4775" w:type="dxa"/>
            <w:vAlign w:val="center"/>
            <w:textDirection w:val="lrTb"/>
            <w:noWrap w:val="false"/>
          </w:tcPr>
          <w:p>
            <w:pPr>
              <w:ind w:firstLine="480"/>
              <w:jc w:val="left"/>
              <w:spacing w:line="360" w:lineRule="auto"/>
              <w:widowControl/>
              <w:rPr>
                <w:rFonts w:hint="eastAsia" w:ascii="宋体" w:hAnsi="宋体" w:cs="宋体"/>
                <w:bCs/>
                <w:sz w:val="24"/>
                <w:szCs w:val="24"/>
              </w:rPr>
            </w:pPr>
            <w:r>
              <w:rPr>
                <w:rFonts w:hint="eastAsia" w:ascii="宋体" w:hAnsi="宋体" w:eastAsia="宋体" w:cs="宋体"/>
                <w:bCs/>
                <w:sz w:val="24"/>
                <w:szCs w:val="24"/>
                <w:highlight w:val="none"/>
                <w:lang w:val="en-US" w:eastAsia="zh-CN" w:bidi="ar-SA"/>
              </w:rPr>
              <w:t xml:space="preserve">根据供应商针对本项目提供的安保实施服务方案（如安保服务内容、安保服务质量标准等）进行综合评分：（1）方案全面合理、质量标准具体明确、可操作性强的得3分；（2）方案较齐全、质量标准合理具体，具有实际可操作性的得2分；（3）方案不齐全、质量标准较差，可操作性较弱的得1分；（4）未提供不得分。</w:t>
            </w:r>
            <w:r/>
          </w:p>
        </w:tc>
        <w:tc>
          <w:tcPr>
            <w:tcW w:w="659" w:type="dxa"/>
            <w:vAlign w:val="center"/>
            <w:textDirection w:val="lrTb"/>
            <w:noWrap/>
          </w:tcPr>
          <w:p>
            <w:pPr>
              <w:jc w:val="center"/>
              <w:spacing w:line="360" w:lineRule="auto"/>
              <w:widowControl w:val="off"/>
              <w:rPr>
                <w:rFonts w:hint="eastAsia" w:ascii="宋体" w:hAnsi="宋体" w:cs="宋体"/>
                <w:color w:val="000000"/>
                <w:sz w:val="24"/>
                <w:szCs w:val="24"/>
              </w:rPr>
            </w:pPr>
            <w:r>
              <w:rPr>
                <w:rFonts w:hint="eastAsia" w:ascii="宋体" w:hAnsi="宋体" w:eastAsia="宋体" w:cs="宋体"/>
                <w:sz w:val="24"/>
                <w:szCs w:val="24"/>
                <w:highlight w:val="none"/>
                <w:lang w:val="en-US" w:eastAsia="zh-CN" w:bidi="ar-SA"/>
              </w:rPr>
              <w:t xml:space="preserve">3</w:t>
            </w:r>
            <w:r/>
          </w:p>
        </w:tc>
        <w:tc>
          <w:tcPr>
            <w:tcW w:w="880" w:type="dxa"/>
            <w:vAlign w:val="center"/>
            <w:textDirection w:val="lrTb"/>
            <w:noWrap/>
          </w:tcPr>
          <w:p>
            <w:pPr>
              <w:jc w:val="center"/>
              <w:spacing w:line="360" w:lineRule="auto"/>
              <w:widowControl w:val="off"/>
              <w:rPr>
                <w:rFonts w:hint="eastAsia" w:ascii="宋体" w:hAnsi="宋体" w:cs="宋体"/>
                <w:sz w:val="24"/>
                <w:szCs w:val="24"/>
              </w:rPr>
            </w:pPr>
            <w:r>
              <w:rPr>
                <w:rFonts w:hint="eastAsia" w:ascii="宋体" w:hAnsi="宋体" w:eastAsia="宋体" w:cs="宋体"/>
                <w:color w:val="000000"/>
                <w:sz w:val="24"/>
                <w:szCs w:val="24"/>
                <w:highlight w:val="none"/>
                <w:lang w:val="en-US" w:eastAsia="zh-CN" w:bidi="ar-SA"/>
              </w:rPr>
              <w:t xml:space="preserve">主观分</w:t>
            </w:r>
            <w:r/>
          </w:p>
        </w:tc>
      </w:tr>
      <w:tr>
        <w:trPr>
          <w:trHeight w:val="899"/>
        </w:trPr>
        <w:tc>
          <w:tcPr>
            <w:tcW w:w="731" w:type="dxa"/>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2.3</w:t>
            </w:r>
            <w:r/>
          </w:p>
        </w:tc>
        <w:tc>
          <w:tcPr>
            <w:tcW w:w="815"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428" w:type="dxa"/>
            <w:vAlign w:val="center"/>
            <w:textDirection w:val="lrTb"/>
            <w:noWrap w:val="false"/>
          </w:tcPr>
          <w:p>
            <w:pPr>
              <w:jc w:val="center"/>
              <w:spacing w:line="360" w:lineRule="auto"/>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保洁实施</w:t>
            </w:r>
            <w:r/>
          </w:p>
          <w:p>
            <w:pPr>
              <w:jc w:val="center"/>
              <w:spacing w:line="360" w:lineRule="auto"/>
              <w:widowControl/>
              <w:rPr>
                <w:rFonts w:hint="eastAsia" w:ascii="宋体" w:hAnsi="宋体" w:cs="宋体"/>
                <w:bCs/>
                <w:sz w:val="24"/>
                <w:szCs w:val="24"/>
              </w:rPr>
            </w:pPr>
            <w:r>
              <w:rPr>
                <w:rFonts w:hint="eastAsia" w:ascii="宋体" w:hAnsi="宋体" w:eastAsia="宋体" w:cs="宋体"/>
                <w:bCs/>
                <w:sz w:val="24"/>
                <w:szCs w:val="24"/>
                <w:highlight w:val="none"/>
                <w:lang w:val="en-US" w:eastAsia="zh-CN" w:bidi="ar-SA"/>
              </w:rPr>
              <w:t xml:space="preserve">服务方案</w:t>
            </w:r>
            <w:r/>
          </w:p>
        </w:tc>
        <w:tc>
          <w:tcPr>
            <w:tcW w:w="4775" w:type="dxa"/>
            <w:vAlign w:val="center"/>
            <w:textDirection w:val="lrTb"/>
            <w:noWrap w:val="false"/>
          </w:tcPr>
          <w:p>
            <w:pPr>
              <w:ind w:firstLine="480"/>
              <w:jc w:val="left"/>
              <w:spacing w:line="360" w:lineRule="auto"/>
              <w:widowControl/>
              <w:rPr>
                <w:rFonts w:hint="eastAsia" w:ascii="宋体" w:hAnsi="宋体" w:cs="宋体"/>
                <w:bCs/>
                <w:sz w:val="24"/>
                <w:szCs w:val="24"/>
              </w:rPr>
            </w:pPr>
            <w:r>
              <w:rPr>
                <w:rFonts w:hint="eastAsia" w:ascii="宋体" w:hAnsi="宋体" w:eastAsia="宋体" w:cs="宋体"/>
                <w:bCs/>
                <w:sz w:val="24"/>
                <w:szCs w:val="24"/>
                <w:highlight w:val="none"/>
                <w:lang w:val="en-US" w:eastAsia="zh-CN" w:bidi="ar-SA"/>
              </w:rPr>
              <w:t xml:space="preserve">根据供应商针对本项目提供的保洁实施服务方案（如保洁服务内容、保洁服务质量标准等）进行综合评分：（1）方案全面合理、质量标准具体明确、可操作性强的得3分；（2）方案较齐全、质量标准合理具体，具有实际可操作性的得2分；（3）方案不齐全，实际可操作性较弱的得1分；（4）未提供不得分。</w:t>
            </w:r>
            <w:r/>
          </w:p>
        </w:tc>
        <w:tc>
          <w:tcPr>
            <w:tcW w:w="659" w:type="dxa"/>
            <w:vAlign w:val="center"/>
            <w:textDirection w:val="lrTb"/>
            <w:noWrap/>
          </w:tcPr>
          <w:p>
            <w:pPr>
              <w:jc w:val="center"/>
              <w:spacing w:line="360" w:lineRule="auto"/>
              <w:widowControl w:val="off"/>
              <w:rPr>
                <w:rFonts w:hint="eastAsia" w:ascii="宋体" w:hAnsi="宋体" w:cs="宋体"/>
                <w:color w:val="000000"/>
                <w:sz w:val="24"/>
                <w:szCs w:val="24"/>
              </w:rPr>
            </w:pPr>
            <w:r>
              <w:rPr>
                <w:rFonts w:hint="eastAsia" w:ascii="宋体" w:hAnsi="宋体" w:eastAsia="宋体" w:cs="宋体"/>
                <w:sz w:val="24"/>
                <w:szCs w:val="24"/>
                <w:highlight w:val="none"/>
                <w:lang w:val="en-US" w:eastAsia="zh-CN" w:bidi="ar-SA"/>
              </w:rPr>
              <w:t xml:space="preserve">3</w:t>
            </w:r>
            <w:r/>
          </w:p>
        </w:tc>
        <w:tc>
          <w:tcPr>
            <w:tcW w:w="880" w:type="dxa"/>
            <w:vAlign w:val="center"/>
            <w:textDirection w:val="lrTb"/>
            <w:noWrap/>
          </w:tcPr>
          <w:p>
            <w:pPr>
              <w:jc w:val="center"/>
              <w:spacing w:line="360" w:lineRule="auto"/>
              <w:widowControl w:val="off"/>
              <w:rPr>
                <w:rFonts w:hint="eastAsia" w:ascii="宋体" w:hAnsi="宋体" w:cs="宋体"/>
                <w:sz w:val="24"/>
                <w:szCs w:val="24"/>
              </w:rPr>
            </w:pPr>
            <w:r>
              <w:rPr>
                <w:rFonts w:hint="eastAsia" w:ascii="宋体" w:hAnsi="宋体" w:eastAsia="宋体" w:cs="宋体"/>
                <w:color w:val="000000"/>
                <w:sz w:val="24"/>
                <w:szCs w:val="24"/>
                <w:highlight w:val="none"/>
                <w:lang w:val="en-US" w:eastAsia="zh-CN" w:bidi="ar-SA"/>
              </w:rPr>
              <w:t xml:space="preserve">主观分</w:t>
            </w:r>
            <w:r/>
          </w:p>
        </w:tc>
      </w:tr>
      <w:tr>
        <w:trPr>
          <w:trHeight w:val="899"/>
        </w:trPr>
        <w:tc>
          <w:tcPr>
            <w:tcW w:w="731" w:type="dxa"/>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2.4</w:t>
            </w:r>
            <w:r/>
          </w:p>
        </w:tc>
        <w:tc>
          <w:tcPr>
            <w:tcW w:w="815"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428" w:type="dxa"/>
            <w:vAlign w:val="center"/>
            <w:textDirection w:val="lrTb"/>
            <w:noWrap w:val="false"/>
          </w:tcPr>
          <w:p>
            <w:pPr>
              <w:jc w:val="center"/>
              <w:spacing w:line="360" w:lineRule="auto"/>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会务接待</w:t>
            </w:r>
            <w:r/>
          </w:p>
          <w:p>
            <w:pPr>
              <w:jc w:val="center"/>
              <w:spacing w:line="360" w:lineRule="auto"/>
              <w:widowControl/>
              <w:rPr>
                <w:rFonts w:hint="eastAsia" w:ascii="宋体" w:hAnsi="宋体" w:cs="宋体"/>
                <w:bCs/>
                <w:sz w:val="24"/>
                <w:szCs w:val="24"/>
              </w:rPr>
            </w:pPr>
            <w:r>
              <w:rPr>
                <w:rFonts w:hint="eastAsia" w:ascii="宋体" w:hAnsi="宋体" w:eastAsia="宋体" w:cs="宋体"/>
                <w:bCs/>
                <w:sz w:val="24"/>
                <w:szCs w:val="24"/>
                <w:highlight w:val="none"/>
                <w:lang w:val="en-US" w:eastAsia="zh-CN" w:bidi="ar-SA"/>
              </w:rPr>
              <w:t xml:space="preserve">服务方案</w:t>
            </w:r>
            <w:r/>
          </w:p>
        </w:tc>
        <w:tc>
          <w:tcPr>
            <w:tcW w:w="4775" w:type="dxa"/>
            <w:vAlign w:val="center"/>
            <w:textDirection w:val="lrTb"/>
            <w:noWrap w:val="false"/>
          </w:tcPr>
          <w:p>
            <w:pPr>
              <w:pStyle w:val="1059"/>
              <w:ind w:firstLine="42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根据供应商针对本项目提供的会务接待服务方案（如会务接待服务内容、会务接待服务质量标准等）进行综合评分：</w:t>
            </w:r>
            <w:r/>
          </w:p>
          <w:p>
            <w:pPr>
              <w:pStyle w:val="1059"/>
              <w:ind w:firstLine="420"/>
              <w:spacing w:line="360" w:lineRule="auto"/>
              <w:rPr>
                <w:rFonts w:hint="eastAsia" w:ascii="宋体" w:hAnsi="宋体" w:cs="宋体"/>
                <w:bCs/>
                <w:sz w:val="24"/>
                <w:szCs w:val="24"/>
              </w:rPr>
            </w:pPr>
            <w:r>
              <w:rPr>
                <w:rFonts w:hint="eastAsia" w:ascii="宋体" w:hAnsi="宋体" w:eastAsia="宋体" w:cs="宋体"/>
                <w:bCs/>
                <w:sz w:val="24"/>
                <w:szCs w:val="24"/>
                <w:highlight w:val="none"/>
                <w:lang w:val="en-US" w:eastAsia="zh-CN" w:bidi="ar-SA"/>
              </w:rPr>
              <w:t xml:space="preserve">（1）服务方案合理、全面、实施举措可行性高的得3分；（2）服务方案较合理、较全面、实施举措可行性较高的得2分；（3）服务方案合理性一般，方案不齐、实施举措可行性一般的得1分；（4）未提供不得分。</w:t>
            </w:r>
            <w:r/>
          </w:p>
        </w:tc>
        <w:tc>
          <w:tcPr>
            <w:tcW w:w="659" w:type="dxa"/>
            <w:vAlign w:val="center"/>
            <w:textDirection w:val="lrTb"/>
            <w:noWrap/>
          </w:tcPr>
          <w:p>
            <w:pPr>
              <w:jc w:val="center"/>
              <w:spacing w:line="360" w:lineRule="auto"/>
              <w:widowControl w:val="off"/>
              <w:rPr>
                <w:rFonts w:hint="eastAsia" w:ascii="宋体" w:hAnsi="宋体" w:cs="宋体"/>
                <w:sz w:val="24"/>
                <w:szCs w:val="24"/>
              </w:rPr>
            </w:pPr>
            <w:r>
              <w:rPr>
                <w:rFonts w:hint="eastAsia" w:ascii="宋体" w:hAnsi="宋体" w:eastAsia="宋体" w:cs="宋体"/>
                <w:sz w:val="24"/>
                <w:szCs w:val="24"/>
                <w:highlight w:val="none"/>
                <w:lang w:val="en-US" w:eastAsia="zh-CN" w:bidi="ar-SA"/>
              </w:rPr>
              <w:t xml:space="preserve">3</w:t>
            </w:r>
            <w:r/>
          </w:p>
        </w:tc>
        <w:tc>
          <w:tcPr>
            <w:tcW w:w="880" w:type="dxa"/>
            <w:vAlign w:val="center"/>
            <w:textDirection w:val="lrTb"/>
            <w:noWrap/>
          </w:tcPr>
          <w:p>
            <w:pPr>
              <w:jc w:val="center"/>
              <w:spacing w:line="360" w:lineRule="auto"/>
              <w:widowControl w:val="off"/>
              <w:rPr>
                <w:rFonts w:hint="eastAsia" w:ascii="宋体" w:hAnsi="宋体" w:cs="宋体"/>
                <w:sz w:val="24"/>
                <w:szCs w:val="24"/>
              </w:rPr>
            </w:pPr>
            <w:r>
              <w:rPr>
                <w:rFonts w:hint="eastAsia" w:ascii="宋体" w:hAnsi="宋体" w:eastAsia="宋体" w:cs="宋体"/>
                <w:color w:val="000000"/>
                <w:sz w:val="24"/>
                <w:szCs w:val="24"/>
                <w:highlight w:val="none"/>
                <w:lang w:val="en-US" w:eastAsia="zh-CN" w:bidi="ar-SA"/>
              </w:rPr>
              <w:t xml:space="preserve">主观分</w:t>
            </w:r>
            <w:r/>
          </w:p>
        </w:tc>
      </w:tr>
      <w:tr>
        <w:trPr>
          <w:trHeight w:val="899"/>
        </w:trPr>
        <w:tc>
          <w:tcPr>
            <w:tcW w:w="731" w:type="dxa"/>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2.5</w:t>
            </w:r>
            <w:r/>
          </w:p>
        </w:tc>
        <w:tc>
          <w:tcPr>
            <w:tcW w:w="815"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428"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人员管理</w:t>
            </w:r>
            <w:r/>
          </w:p>
          <w:p>
            <w:pPr>
              <w:jc w:val="center"/>
              <w:spacing w:line="360" w:lineRule="auto"/>
              <w:widowControl/>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及培训方案</w:t>
            </w:r>
            <w:r/>
          </w:p>
        </w:tc>
        <w:tc>
          <w:tcPr>
            <w:tcW w:w="4775" w:type="dxa"/>
            <w:vAlign w:val="center"/>
            <w:textDirection w:val="lrTb"/>
            <w:noWrap w:val="false"/>
          </w:tcPr>
          <w:p>
            <w:pPr>
              <w:ind w:firstLine="480"/>
              <w:jc w:val="left"/>
              <w:spacing w:line="360" w:lineRule="auto"/>
              <w:widowControl/>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根据供应商针对本项目提供人员管理方案及培训方案（如部门、岗位设置及职责、人员培训及考核、部门、岗位规章制度及管理规范等）进行综合评分：</w:t>
            </w:r>
            <w:r/>
          </w:p>
          <w:p>
            <w:pPr>
              <w:ind w:firstLine="480"/>
              <w:jc w:val="left"/>
              <w:spacing w:line="360" w:lineRule="auto"/>
              <w:widowControl/>
              <w:rPr>
                <w:rFonts w:hint="eastAsia" w:ascii="宋体" w:hAnsi="宋体" w:cs="宋体"/>
                <w:bCs/>
                <w:sz w:val="24"/>
                <w:szCs w:val="24"/>
              </w:rPr>
            </w:pPr>
            <w:r>
              <w:rPr>
                <w:rFonts w:hint="eastAsia" w:ascii="宋体" w:hAnsi="宋体" w:eastAsia="宋体" w:cs="宋体"/>
                <w:bCs/>
                <w:sz w:val="24"/>
                <w:szCs w:val="24"/>
                <w:highlight w:val="none"/>
                <w:lang w:val="en-US" w:eastAsia="zh-CN" w:bidi="ar-SA"/>
              </w:rPr>
              <w:t xml:space="preserve">（1）岗位设置合理，有明确的部门职责，工作流程完整、科学、可行，各类规章制度健全规范的得3分；（2）岗位设置齐全，有部门职责，工作流程完整，各类规章较为制度健全的得2分；（3）岗位设置不齐全，各类规章制度不健全的得1分；（4）未提供不得分。</w:t>
            </w:r>
            <w:r/>
          </w:p>
        </w:tc>
        <w:tc>
          <w:tcPr>
            <w:tcW w:w="659" w:type="dxa"/>
            <w:vAlign w:val="center"/>
            <w:textDirection w:val="lrTb"/>
            <w:noWrap/>
          </w:tcPr>
          <w:p>
            <w:pPr>
              <w:pStyle w:val="1059"/>
              <w:ind w:firstLine="0"/>
              <w:jc w:val="center"/>
              <w:spacing w:line="360" w:lineRule="auto"/>
              <w:rPr>
                <w:rFonts w:hint="eastAsia" w:ascii="宋体" w:hAnsi="宋体" w:cs="宋体"/>
                <w:b w:val="0"/>
                <w:bCs w:val="0"/>
                <w:sz w:val="24"/>
                <w:szCs w:val="24"/>
              </w:rPr>
            </w:pPr>
            <w:r>
              <w:rPr>
                <w:rFonts w:hint="eastAsia" w:ascii="宋体" w:hAnsi="宋体" w:eastAsia="宋体" w:cs="Times New Roman"/>
                <w:b/>
                <w:bCs/>
                <w:color w:val="000000"/>
                <w:sz w:val="21"/>
                <w:szCs w:val="21"/>
                <w:highlight w:val="none"/>
                <w:lang w:val="en-US" w:eastAsia="zh-CN" w:bidi="ar-SA"/>
              </w:rPr>
              <w:t xml:space="preserve">3</w:t>
            </w:r>
            <w:r/>
          </w:p>
        </w:tc>
        <w:tc>
          <w:tcPr>
            <w:tcW w:w="880" w:type="dxa"/>
            <w:vAlign w:val="center"/>
            <w:textDirection w:val="lrTb"/>
            <w:noWrap/>
          </w:tcPr>
          <w:p>
            <w:pPr>
              <w:pStyle w:val="1059"/>
              <w:ind w:firstLine="0"/>
              <w:jc w:val="center"/>
              <w:spacing w:line="360" w:lineRule="auto"/>
              <w:rPr>
                <w:rFonts w:hint="eastAsia" w:ascii="宋体" w:hAnsi="宋体"/>
                <w:b/>
                <w:bCs/>
                <w:color w:val="000000"/>
                <w:sz w:val="21"/>
                <w:szCs w:val="21"/>
              </w:rPr>
            </w:pPr>
            <w:r>
              <w:rPr>
                <w:rFonts w:hint="eastAsia" w:ascii="宋体" w:hAnsi="宋体" w:eastAsia="宋体" w:cs="宋体"/>
                <w:color w:val="000000"/>
                <w:sz w:val="24"/>
                <w:szCs w:val="24"/>
                <w:highlight w:val="none"/>
                <w:lang w:val="en-US" w:eastAsia="zh-CN" w:bidi="ar-SA"/>
              </w:rPr>
              <w:t xml:space="preserve">主观分</w:t>
            </w:r>
            <w:r/>
          </w:p>
        </w:tc>
      </w:tr>
      <w:tr>
        <w:trPr>
          <w:trHeight w:val="899"/>
        </w:trPr>
        <w:tc>
          <w:tcPr>
            <w:tcW w:w="731" w:type="dxa"/>
            <w:vAlign w:val="center"/>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2.6</w:t>
            </w:r>
            <w:r/>
          </w:p>
        </w:tc>
        <w:tc>
          <w:tcPr>
            <w:tcW w:w="815"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W w:w="1428" w:type="dxa"/>
            <w:vAlign w:val="center"/>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突发事件应急处理预案</w:t>
            </w:r>
            <w:r/>
          </w:p>
        </w:tc>
        <w:tc>
          <w:tcPr>
            <w:tcW w:w="4775" w:type="dxa"/>
            <w:vAlign w:val="center"/>
            <w:textDirection w:val="lrTb"/>
            <w:noWrap w:val="false"/>
          </w:tcPr>
          <w:p>
            <w:pPr>
              <w:ind w:firstLine="480"/>
              <w:jc w:val="left"/>
              <w:spacing w:line="360" w:lineRule="auto"/>
              <w:widowControl/>
              <w:rPr>
                <w:rFonts w:hint="eastAsia" w:ascii="宋体" w:hAnsi="宋体" w:cs="宋体"/>
                <w:bCs/>
                <w:sz w:val="24"/>
                <w:szCs w:val="24"/>
              </w:rPr>
            </w:pPr>
            <w:r>
              <w:rPr>
                <w:rFonts w:hint="eastAsia" w:ascii="宋体" w:hAnsi="宋体" w:eastAsia="宋体" w:cs="宋体"/>
                <w:bCs/>
                <w:sz w:val="24"/>
                <w:szCs w:val="24"/>
                <w:highlight w:val="none"/>
                <w:lang w:val="en-US" w:eastAsia="zh-CN" w:bidi="ar-SA"/>
              </w:rPr>
              <w:t xml:space="preserve">根据供应商针对本项目提供的突发事件应急处理预案（如重大活动保障、停水、停电、消防应急等情况）进行综合评分：（1）预案内容完备健全，机动性强，具有科学性、合理性、针对性强和实际可操作性的得3分；（2）预案内容较为完备健全，机动性较强的得2分；（3）预案内容机动性较弱的得1分；（4）未提供不得分。</w:t>
            </w:r>
            <w:r/>
          </w:p>
        </w:tc>
        <w:tc>
          <w:tcPr>
            <w:tcW w:w="659" w:type="dxa"/>
            <w:vAlign w:val="center"/>
            <w:textDirection w:val="lrTb"/>
            <w:noWrap/>
          </w:tcPr>
          <w:p>
            <w:pPr>
              <w:jc w:val="center"/>
              <w:spacing w:line="360" w:lineRule="auto"/>
              <w:widowControl w:val="off"/>
              <w:rPr>
                <w:rFonts w:hint="eastAsia" w:ascii="宋体" w:hAnsi="宋体" w:cs="宋体"/>
                <w:b w:val="0"/>
                <w:bCs w:val="0"/>
                <w:sz w:val="24"/>
                <w:szCs w:val="24"/>
              </w:rPr>
            </w:pPr>
            <w:r>
              <w:rPr>
                <w:rFonts w:hint="eastAsia" w:ascii="宋体" w:hAnsi="宋体" w:eastAsia="宋体" w:cs="宋体"/>
                <w:b/>
                <w:bCs/>
                <w:sz w:val="21"/>
                <w:szCs w:val="21"/>
                <w:highlight w:val="none"/>
                <w:lang w:val="en-US" w:eastAsia="zh-CN" w:bidi="ar-SA"/>
              </w:rPr>
              <w:t xml:space="preserve">3</w:t>
            </w:r>
            <w:r/>
          </w:p>
        </w:tc>
        <w:tc>
          <w:tcPr>
            <w:tcW w:w="880" w:type="dxa"/>
            <w:vAlign w:val="center"/>
            <w:textDirection w:val="lrTb"/>
            <w:noWrap/>
          </w:tcPr>
          <w:p>
            <w:pPr>
              <w:jc w:val="center"/>
              <w:spacing w:line="360" w:lineRule="auto"/>
              <w:widowControl w:val="off"/>
              <w:rPr>
                <w:rFonts w:hint="eastAsia" w:ascii="宋体" w:hAnsi="宋体" w:cs="宋体"/>
                <w:b/>
                <w:bCs/>
                <w:szCs w:val="21"/>
              </w:rPr>
            </w:pPr>
            <w:r>
              <w:rPr>
                <w:rFonts w:hint="eastAsia" w:ascii="宋体" w:hAnsi="宋体" w:eastAsia="宋体" w:cs="宋体"/>
                <w:color w:val="000000"/>
                <w:sz w:val="24"/>
                <w:szCs w:val="24"/>
                <w:highlight w:val="none"/>
                <w:lang w:val="en-US" w:eastAsia="zh-CN" w:bidi="ar-SA"/>
              </w:rPr>
              <w:t xml:space="preserve">主观分</w:t>
            </w:r>
            <w:r/>
          </w:p>
        </w:tc>
      </w:tr>
      <w:tr>
        <w:trPr>
          <w:trHeight w:val="1619"/>
        </w:trPr>
        <w:tc>
          <w:tcPr>
            <w:tcW w:w="731" w:type="dxa"/>
            <w:vAlign w:val="center"/>
            <w:textDirection w:val="lrTb"/>
            <w:noWrap/>
          </w:tcPr>
          <w:p>
            <w:pPr>
              <w:pStyle w:val="1059"/>
              <w:ind w:firstLine="19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w:t>
            </w:r>
            <w:r/>
          </w:p>
        </w:tc>
        <w:tc>
          <w:tcPr>
            <w:tcW w:w="815" w:type="dxa"/>
            <w:vAlign w:val="center"/>
            <w:vMerge w:val="restart"/>
            <w:textDirection w:val="lrTb"/>
            <w:noWrap/>
          </w:tcPr>
          <w:p>
            <w:pPr>
              <w:pStyle w:val="1059"/>
              <w:ind w:firstLine="170"/>
              <w:jc w:val="center"/>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履约能力</w:t>
            </w:r>
            <w:r/>
          </w:p>
        </w:tc>
        <w:tc>
          <w:tcPr>
            <w:tcW w:w="1428" w:type="dxa"/>
            <w:vAlign w:val="center"/>
            <w:textDirection w:val="lrTb"/>
            <w:noWrap w:val="false"/>
          </w:tcPr>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w:t>
            </w:r>
            <w:r/>
          </w:p>
          <w:p>
            <w:pPr>
              <w:pStyle w:val="1059"/>
              <w:ind w:firstLine="0"/>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highlight w:val="none"/>
                <w:lang w:val="en-US" w:eastAsia="zh-CN"/>
              </w:rPr>
              <w:t xml:space="preserve">业绩</w:t>
            </w:r>
            <w:r/>
          </w:p>
        </w:tc>
        <w:tc>
          <w:tcPr>
            <w:tcW w:w="4775" w:type="dxa"/>
            <w:textDirection w:val="lrTb"/>
            <w:noWrap w:val="false"/>
          </w:tcPr>
          <w:p>
            <w:pPr>
              <w:pStyle w:val="1059"/>
              <w:ind w:left="0"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投标人提供202</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年</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月以来，承接的物业项目（非住宅项目，以合同签订时间为准，合同服务期限不少于一年。服务内容需同时包含保安、保洁、工程维护、客户服务（或会务服务或前台接待））业绩。每提供一个得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分。本项最高得</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分。（上传物业服务合同扫描件，原件签订合同时备查。）</w:t>
            </w:r>
            <w:r/>
          </w:p>
          <w:p>
            <w:pPr>
              <w:pStyle w:val="1059"/>
              <w:ind w:firstLine="480"/>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注：多个合同中存在相同服务单位的按照1个有效业绩计算，不重复得分。提供服务合同，至少包含合同首页、合同标的页、双方签字盖章页等关键页。</w:t>
            </w:r>
            <w:r>
              <w:rPr>
                <w:rFonts w:hint="eastAsia" w:ascii="宋体" w:hAnsi="宋体" w:cs="宋体"/>
                <w:color w:val="000000"/>
                <w:sz w:val="24"/>
                <w:szCs w:val="24"/>
                <w:lang w:val="en-US" w:eastAsia="zh-CN"/>
              </w:rPr>
              <w:t xml:space="preserve">未提供或提供不全不得分。</w:t>
            </w:r>
            <w:r/>
          </w:p>
        </w:tc>
        <w:tc>
          <w:tcPr>
            <w:tcW w:w="659" w:type="dxa"/>
            <w:vAlign w:val="center"/>
            <w:textDirection w:val="lrTb"/>
            <w:noWrap/>
          </w:tcPr>
          <w:p>
            <w:pPr>
              <w:pStyle w:val="1059"/>
              <w:ind w:firstLine="0"/>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c>
          <w:tcPr>
            <w:tcW w:w="880" w:type="dxa"/>
            <w:vAlign w:val="center"/>
            <w:textDirection w:val="lrTb"/>
            <w:noWrap/>
          </w:tcPr>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p>
        </w:tc>
      </w:tr>
      <w:tr>
        <w:trPr>
          <w:trHeight w:val="1619"/>
        </w:trPr>
        <w:tc>
          <w:tcPr>
            <w:tcW w:w="731" w:type="dxa"/>
            <w:vAlign w:val="center"/>
            <w:textDirection w:val="lrTb"/>
            <w:noWrap/>
          </w:tcPr>
          <w:p>
            <w:pPr>
              <w:pStyle w:val="1059"/>
              <w:ind w:firstLine="199"/>
              <w:spacing w:line="360" w:lineRule="auto"/>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3.2</w:t>
            </w:r>
            <w:r/>
          </w:p>
        </w:tc>
        <w:tc>
          <w:tcPr>
            <w:tcW w:w="815" w:type="dxa"/>
            <w:vAlign w:val="center"/>
            <w:vMerge w:val="continue"/>
            <w:textDirection w:val="lrTb"/>
            <w:noWrap/>
          </w:tcPr>
          <w:p>
            <w:pPr>
              <w:pStyle w:val="1059"/>
              <w:ind w:firstLine="17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28" w:type="dxa"/>
            <w:vAlign w:val="center"/>
            <w:textDirection w:val="lrTb"/>
            <w:noWrap w:val="false"/>
          </w:tcPr>
          <w:p>
            <w:pPr>
              <w:pStyle w:val="1059"/>
              <w:ind w:firstLine="0"/>
              <w:jc w:val="center"/>
              <w:spacing w:line="360" w:lineRule="auto"/>
              <w:rPr>
                <w:rFonts w:hint="eastAsia" w:ascii="宋体" w:hAnsi="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bidi="ar-SA"/>
              </w:rPr>
              <w:t xml:space="preserve">业绩评价</w:t>
            </w:r>
            <w:r/>
          </w:p>
        </w:tc>
        <w:tc>
          <w:tcPr>
            <w:tcW w:w="4775" w:type="dxa"/>
            <w:vAlign w:val="top"/>
            <w:textDirection w:val="lrTb"/>
            <w:noWrap w:val="false"/>
          </w:tcPr>
          <w:p>
            <w:pPr>
              <w:pStyle w:val="1059"/>
              <w:ind w:firstLine="480"/>
              <w:spacing w:line="360" w:lineRule="auto"/>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供应商提供自202</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年</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月以来（以合同签订时间为准）管理的不同单位的类似物业项目案例（非住宅类）被服务方评价为优或优秀或满意，一个得1分，满分</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分。（提供加盖业主单位公章的评价为优或优秀或满意的证明材料，同一服务单位只认一份，不重复得分）。</w:t>
            </w:r>
            <w:r/>
          </w:p>
        </w:tc>
        <w:tc>
          <w:tcPr>
            <w:tcW w:w="659" w:type="dxa"/>
            <w:vAlign w:val="center"/>
            <w:textDirection w:val="lrTb"/>
            <w:noWrap/>
          </w:tcPr>
          <w:p>
            <w:pPr>
              <w:pStyle w:val="1059"/>
              <w:ind w:left="0" w:firstLine="0"/>
              <w:jc w:val="center"/>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highlight w:val="none"/>
                <w:lang w:val="en-US" w:eastAsia="zh-CN" w:bidi="ar-SA"/>
              </w:rPr>
              <w:t xml:space="preserve">3</w:t>
            </w:r>
            <w:r/>
          </w:p>
        </w:tc>
        <w:tc>
          <w:tcPr>
            <w:tcW w:w="880" w:type="dxa"/>
            <w:vAlign w:val="center"/>
            <w:textDirection w:val="lrTb"/>
            <w:noWrap/>
          </w:tcPr>
          <w:p>
            <w:pPr>
              <w:pStyle w:val="1059"/>
              <w:ind w:left="0" w:firstLine="0"/>
              <w:jc w:val="center"/>
              <w:spacing w:line="360" w:lineRule="auto"/>
              <w:rPr>
                <w:rFonts w:hint="eastAsia" w:ascii="宋体" w:hAnsi="宋体" w:cs="宋体"/>
                <w:color w:val="000000"/>
                <w:sz w:val="24"/>
                <w:szCs w:val="24"/>
              </w:rPr>
            </w:pPr>
            <w:r>
              <w:rPr>
                <w:rFonts w:hint="eastAsia" w:ascii="宋体" w:hAnsi="宋体" w:eastAsia="宋体" w:cs="宋体"/>
                <w:color w:val="000000"/>
                <w:sz w:val="24"/>
                <w:szCs w:val="24"/>
                <w:highlight w:val="none"/>
                <w:lang w:val="en-US" w:eastAsia="zh-CN" w:bidi="ar-SA"/>
              </w:rPr>
              <w:t xml:space="preserve">客观分</w:t>
            </w:r>
            <w:r/>
          </w:p>
        </w:tc>
      </w:tr>
      <w:tr>
        <w:trPr>
          <w:trHeight w:val="1619"/>
        </w:trPr>
        <w:tc>
          <w:tcPr>
            <w:tcW w:w="731" w:type="dxa"/>
            <w:vAlign w:val="center"/>
            <w:textDirection w:val="lrTb"/>
            <w:noWrap/>
          </w:tcPr>
          <w:p>
            <w:pPr>
              <w:pStyle w:val="1059"/>
              <w:ind w:firstLine="199"/>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4</w:t>
            </w:r>
            <w:r>
              <w:rPr>
                <w:rFonts w:hint="eastAsia" w:ascii="宋体" w:hAnsi="宋体" w:cs="宋体"/>
                <w:color w:val="000000"/>
                <w:sz w:val="24"/>
                <w:szCs w:val="24"/>
                <w:lang w:val="en-US" w:eastAsia="zh-CN"/>
              </w:rPr>
              <w:t xml:space="preserve">.1</w:t>
            </w:r>
            <w:r/>
          </w:p>
        </w:tc>
        <w:tc>
          <w:tcPr>
            <w:tcW w:w="815" w:type="dxa"/>
            <w:vAlign w:val="center"/>
            <w:vMerge w:val="restart"/>
            <w:textDirection w:val="lrTb"/>
            <w:noWrap/>
          </w:tcPr>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w:t>
            </w:r>
            <w:r/>
          </w:p>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团队</w:t>
            </w:r>
            <w:r/>
          </w:p>
        </w:tc>
        <w:tc>
          <w:tcPr>
            <w:tcW w:w="1428" w:type="dxa"/>
            <w:vAlign w:val="center"/>
            <w:textDirection w:val="lrTb"/>
            <w:noWrap w:val="false"/>
          </w:tcPr>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项目经理</w:t>
            </w:r>
            <w:r/>
          </w:p>
        </w:tc>
        <w:tc>
          <w:tcPr>
            <w:tcW w:w="4775" w:type="dxa"/>
            <w:textDirection w:val="lrTb"/>
            <w:noWrap w:val="false"/>
          </w:tcPr>
          <w:p>
            <w:pPr>
              <w:pStyle w:val="105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供应商拟派项目经理具有类似项目从业经验2年(含2年)以上的，同时需持有大专及以上学历，持有物业经理证书或物业管理从业人员(项目负责人)培训证书或物业管理师证书，全部满足上述条件的得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w:t>
            </w:r>
            <w:r/>
          </w:p>
          <w:p>
            <w:pPr>
              <w:pStyle w:val="1059"/>
              <w:ind w:firstLine="48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注：</w:t>
            </w:r>
            <w:r>
              <w:rPr>
                <w:rFonts w:hint="eastAsia" w:ascii="宋体" w:hAnsi="宋体" w:cs="宋体"/>
                <w:color w:val="000000"/>
                <w:sz w:val="24"/>
                <w:szCs w:val="24"/>
              </w:rPr>
              <w:t xml:space="preserve">需提供学历证书</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业主单位工作经验证明</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相关从业证书</w:t>
            </w:r>
            <w:r>
              <w:rPr>
                <w:rFonts w:hint="eastAsia" w:ascii="宋体" w:hAnsi="宋体" w:cs="宋体"/>
                <w:color w:val="000000"/>
                <w:sz w:val="24"/>
                <w:szCs w:val="24"/>
              </w:rPr>
              <w:t xml:space="preserve">以及本单位为该人员交纳的最近3个月中任意1个月社会保险的证明材料，并能清晰反映相关数据，提供不全或不提供不得分）</w:t>
            </w:r>
            <w:r>
              <w:rPr>
                <w:rFonts w:hint="eastAsia" w:ascii="宋体" w:hAnsi="宋体" w:cs="宋体"/>
                <w:color w:val="000000"/>
                <w:sz w:val="24"/>
                <w:szCs w:val="24"/>
                <w:lang w:eastAsia="zh-CN"/>
              </w:rPr>
              <w:t xml:space="preserve">。</w:t>
            </w:r>
            <w:r/>
          </w:p>
        </w:tc>
        <w:tc>
          <w:tcPr>
            <w:tcW w:w="659" w:type="dxa"/>
            <w:vAlign w:val="center"/>
            <w:textDirection w:val="lrTb"/>
            <w:noWrap/>
          </w:tcPr>
          <w:p>
            <w:pPr>
              <w:pStyle w:val="1059"/>
              <w:ind w:firstLine="0"/>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p>
        </w:tc>
        <w:tc>
          <w:tcPr>
            <w:tcW w:w="880" w:type="dxa"/>
            <w:vAlign w:val="center"/>
            <w:textDirection w:val="lrTb"/>
            <w:noWrap/>
          </w:tcPr>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p>
        </w:tc>
      </w:tr>
      <w:tr>
        <w:trPr>
          <w:trHeight w:val="1619"/>
        </w:trPr>
        <w:tc>
          <w:tcPr>
            <w:tcW w:w="731" w:type="dxa"/>
            <w:vAlign w:val="center"/>
            <w:textDirection w:val="lrTb"/>
            <w:noWrap/>
          </w:tcPr>
          <w:p>
            <w:pPr>
              <w:pStyle w:val="1059"/>
              <w:ind w:firstLine="199"/>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4.2</w:t>
            </w:r>
            <w:r/>
          </w:p>
        </w:tc>
        <w:tc>
          <w:tcPr>
            <w:tcW w:w="815" w:type="dxa"/>
            <w:vAlign w:val="center"/>
            <w:vMerge w:val="continue"/>
            <w:textDirection w:val="lrTb"/>
            <w:noWrap/>
          </w:tcPr>
          <w:p>
            <w:pPr>
              <w:pStyle w:val="1059"/>
              <w:ind w:firstLine="17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28" w:type="dxa"/>
            <w:vAlign w:val="center"/>
            <w:textDirection w:val="lrTb"/>
            <w:noWrap w:val="false"/>
          </w:tcPr>
          <w:p>
            <w:pPr>
              <w:pStyle w:val="1059"/>
              <w:ind w:firstLine="0"/>
              <w:jc w:val="center"/>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工程</w:t>
            </w:r>
            <w:r>
              <w:rPr>
                <w:rFonts w:hint="eastAsia" w:ascii="宋体" w:hAnsi="宋体" w:cs="宋体"/>
                <w:color w:val="000000"/>
                <w:sz w:val="24"/>
                <w:szCs w:val="24"/>
                <w:lang w:val="en-US" w:eastAsia="zh-CN"/>
              </w:rPr>
              <w:t xml:space="preserve">维修人员</w:t>
            </w:r>
            <w:r/>
          </w:p>
        </w:tc>
        <w:tc>
          <w:tcPr>
            <w:tcW w:w="4775" w:type="dxa"/>
            <w:textDirection w:val="lrTb"/>
            <w:noWrap w:val="false"/>
          </w:tcPr>
          <w:p>
            <w:pPr>
              <w:pStyle w:val="105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供应商拟派工程</w:t>
            </w:r>
            <w:r>
              <w:rPr>
                <w:rFonts w:hint="eastAsia" w:ascii="宋体" w:hAnsi="宋体" w:cs="宋体"/>
                <w:color w:val="000000"/>
                <w:sz w:val="24"/>
                <w:szCs w:val="24"/>
                <w:highlight w:val="none"/>
                <w:lang w:val="en-US" w:eastAsia="zh-CN"/>
              </w:rPr>
              <w:t xml:space="preserve">维修人员</w:t>
            </w:r>
            <w:r>
              <w:rPr>
                <w:rFonts w:hint="eastAsia" w:ascii="宋体" w:hAnsi="宋体" w:cs="宋体"/>
                <w:color w:val="000000"/>
                <w:sz w:val="24"/>
                <w:szCs w:val="24"/>
                <w:highlight w:val="none"/>
              </w:rPr>
              <w:t xml:space="preserve">具有</w:t>
            </w:r>
            <w:r>
              <w:rPr>
                <w:rFonts w:hint="eastAsia" w:ascii="宋体" w:hAnsi="宋体" w:cs="宋体"/>
                <w:color w:val="000000"/>
                <w:sz w:val="24"/>
                <w:szCs w:val="24"/>
                <w:highlight w:val="none"/>
                <w:lang w:val="en-US" w:eastAsia="zh-CN"/>
              </w:rPr>
              <w:t xml:space="preserve">类似项目从业经验2年（含2年）以上的；同时具有应急管理局或住建厅的高压或低压电工证书</w:t>
            </w:r>
            <w:r>
              <w:rPr>
                <w:rFonts w:hint="eastAsia" w:ascii="宋体" w:hAnsi="宋体" w:cs="宋体"/>
                <w:color w:val="000000"/>
                <w:sz w:val="24"/>
                <w:szCs w:val="24"/>
                <w:highlight w:val="none"/>
              </w:rPr>
              <w:t xml:space="preserve">（有效期内）。满足上述条件的得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p>
          <w:p>
            <w:pPr>
              <w:pStyle w:val="1059"/>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注：</w:t>
            </w:r>
            <w:r>
              <w:rPr>
                <w:rFonts w:hint="eastAsia" w:ascii="宋体" w:hAnsi="宋体" w:cs="宋体"/>
                <w:color w:val="000000"/>
                <w:sz w:val="24"/>
                <w:szCs w:val="24"/>
              </w:rPr>
              <w:t xml:space="preserve">需提供所有证书</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业主单位工作经验证明以及本单位为该人员交纳的最近3个月中任意1个月社会保险的证明材料，并能清晰反映相关数据，提供不全或不提供不得分。</w:t>
            </w:r>
            <w:r/>
          </w:p>
        </w:tc>
        <w:tc>
          <w:tcPr>
            <w:tcW w:w="659" w:type="dxa"/>
            <w:vAlign w:val="center"/>
            <w:textDirection w:val="lrTb"/>
            <w:noWrap/>
          </w:tcPr>
          <w:p>
            <w:pPr>
              <w:pStyle w:val="1059"/>
              <w:ind w:firstLine="0"/>
              <w:jc w:val="center"/>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tcW w:w="880" w:type="dxa"/>
            <w:vAlign w:val="center"/>
            <w:textDirection w:val="lrTb"/>
            <w:noWrap/>
          </w:tcPr>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p>
        </w:tc>
      </w:tr>
      <w:tr>
        <w:trPr>
          <w:trHeight w:val="1619"/>
        </w:trPr>
        <w:tc>
          <w:tcPr>
            <w:tcW w:w="731" w:type="dxa"/>
            <w:vAlign w:val="center"/>
            <w:textDirection w:val="lrTb"/>
            <w:noWrap/>
          </w:tcPr>
          <w:p>
            <w:pPr>
              <w:pStyle w:val="1059"/>
              <w:ind w:firstLine="199"/>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4.3</w:t>
            </w:r>
            <w:r/>
          </w:p>
        </w:tc>
        <w:tc>
          <w:tcPr>
            <w:tcW w:w="815" w:type="dxa"/>
            <w:vAlign w:val="center"/>
            <w:vMerge w:val="continue"/>
            <w:textDirection w:val="lrTb"/>
            <w:noWrap/>
          </w:tcPr>
          <w:p>
            <w:pPr>
              <w:pStyle w:val="1059"/>
              <w:ind w:firstLine="17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28" w:type="dxa"/>
            <w:vAlign w:val="center"/>
            <w:textDirection w:val="lrTb"/>
            <w:noWrap w:val="false"/>
          </w:tcPr>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安保人员</w:t>
            </w:r>
            <w:r/>
          </w:p>
        </w:tc>
        <w:tc>
          <w:tcPr>
            <w:tcW w:w="4775" w:type="dxa"/>
            <w:textDirection w:val="lrTb"/>
            <w:noWrap w:val="false"/>
          </w:tcPr>
          <w:p>
            <w:pPr>
              <w:pStyle w:val="105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highlight w:val="none"/>
              </w:rPr>
              <w:t xml:space="preserve">供应商拟派安保负责人</w:t>
            </w:r>
            <w:r>
              <w:rPr>
                <w:rFonts w:hint="eastAsia" w:ascii="宋体" w:hAnsi="宋体" w:cs="宋体"/>
                <w:color w:val="000000"/>
                <w:sz w:val="24"/>
                <w:szCs w:val="24"/>
                <w:highlight w:val="none"/>
                <w:lang w:val="en-US" w:eastAsia="zh-CN"/>
              </w:rPr>
              <w:t xml:space="preserve">具有大专以上学历或为退伍军人，且</w:t>
            </w:r>
            <w:r>
              <w:rPr>
                <w:rFonts w:hint="eastAsia" w:ascii="宋体" w:hAnsi="宋体" w:cs="宋体"/>
                <w:color w:val="000000"/>
                <w:sz w:val="24"/>
                <w:szCs w:val="24"/>
                <w:highlight w:val="none"/>
              </w:rPr>
              <w:t xml:space="preserve">具有保安员证</w:t>
            </w:r>
            <w:r>
              <w:rPr>
                <w:rFonts w:hint="eastAsia" w:ascii="宋体" w:hAnsi="宋体" w:cs="宋体"/>
                <w:color w:val="000000"/>
                <w:sz w:val="24"/>
                <w:szCs w:val="24"/>
                <w:highlight w:val="none"/>
                <w:lang w:val="en-US" w:eastAsia="zh-CN"/>
              </w:rPr>
              <w:t xml:space="preserve">书</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p>
          <w:p>
            <w:pPr>
              <w:pStyle w:val="1059"/>
              <w:ind w:firstLine="48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供应商拟派安保员具有保安员证，有一个得</w:t>
            </w:r>
            <w:r>
              <w:rPr>
                <w:rFonts w:hint="eastAsia" w:ascii="宋体" w:hAnsi="宋体" w:cs="宋体"/>
                <w:color w:val="000000"/>
                <w:sz w:val="24"/>
                <w:szCs w:val="24"/>
                <w:lang w:val="en-US" w:eastAsia="zh-CN"/>
              </w:rPr>
              <w:t xml:space="preserve">0.5</w:t>
            </w:r>
            <w:r>
              <w:rPr>
                <w:rFonts w:hint="eastAsia" w:ascii="宋体" w:hAnsi="宋体" w:cs="宋体"/>
                <w:color w:val="000000"/>
                <w:sz w:val="24"/>
                <w:szCs w:val="24"/>
              </w:rPr>
              <w:t xml:space="preserve">分，最高</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w:t>
            </w:r>
            <w:r>
              <w:rPr>
                <w:rFonts w:hint="eastAsia" w:ascii="宋体" w:hAnsi="宋体" w:cs="宋体"/>
                <w:color w:val="000000"/>
                <w:sz w:val="24"/>
                <w:szCs w:val="24"/>
                <w:lang w:val="en-US" w:eastAsia="zh-CN"/>
              </w:rPr>
              <w:t xml:space="preserve">.</w:t>
            </w:r>
            <w:r/>
          </w:p>
          <w:p>
            <w:pPr>
              <w:pStyle w:val="1059"/>
              <w:ind w:firstLine="480"/>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本项最高得4分。</w:t>
            </w:r>
            <w:r/>
          </w:p>
          <w:p>
            <w:pPr>
              <w:pStyle w:val="1059"/>
              <w:ind w:firstLine="48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注：</w:t>
            </w:r>
            <w:r>
              <w:rPr>
                <w:rFonts w:hint="eastAsia" w:ascii="宋体" w:hAnsi="宋体" w:cs="宋体"/>
                <w:color w:val="000000"/>
                <w:sz w:val="24"/>
                <w:szCs w:val="24"/>
              </w:rPr>
              <w:t xml:space="preserve">需提供所有证书以及本单位为该人员交纳的最近3个月中任意1个月社会保险的证明材料，并能清晰反映相关数据，提供不全或不提供不得分</w:t>
            </w:r>
            <w:r>
              <w:rPr>
                <w:rFonts w:hint="eastAsia" w:ascii="宋体" w:hAnsi="宋体" w:cs="宋体"/>
                <w:color w:val="000000"/>
                <w:sz w:val="24"/>
                <w:szCs w:val="24"/>
                <w:lang w:eastAsia="zh-CN"/>
              </w:rPr>
              <w:t xml:space="preserve">。</w:t>
            </w:r>
            <w:r/>
          </w:p>
        </w:tc>
        <w:tc>
          <w:tcPr>
            <w:tcW w:w="659" w:type="dxa"/>
            <w:vAlign w:val="center"/>
            <w:textDirection w:val="lrTb"/>
            <w:noWrap/>
          </w:tcPr>
          <w:p>
            <w:pPr>
              <w:pStyle w:val="1059"/>
              <w:ind w:firstLine="0"/>
              <w:jc w:val="center"/>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highlight w:val="none"/>
                <w:lang w:val="en-US" w:eastAsia="zh-CN"/>
              </w:rPr>
              <w:t xml:space="preserve">4</w:t>
            </w:r>
            <w:r/>
          </w:p>
        </w:tc>
        <w:tc>
          <w:tcPr>
            <w:tcW w:w="880" w:type="dxa"/>
            <w:vAlign w:val="center"/>
            <w:textDirection w:val="lrTb"/>
            <w:noWrap/>
          </w:tcPr>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p>
        </w:tc>
      </w:tr>
      <w:tr>
        <w:trPr>
          <w:trHeight w:val="1619"/>
        </w:trPr>
        <w:tc>
          <w:tcPr>
            <w:tcW w:w="731" w:type="dxa"/>
            <w:vAlign w:val="center"/>
            <w:textDirection w:val="lrTb"/>
            <w:noWrap/>
          </w:tcPr>
          <w:p>
            <w:pPr>
              <w:pStyle w:val="1059"/>
              <w:ind w:firstLine="199"/>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4.4</w:t>
            </w:r>
            <w:r/>
          </w:p>
        </w:tc>
        <w:tc>
          <w:tcPr>
            <w:tcW w:w="815" w:type="dxa"/>
            <w:vAlign w:val="center"/>
            <w:vMerge w:val="continue"/>
            <w:textDirection w:val="lrTb"/>
            <w:noWrap/>
          </w:tcPr>
          <w:p>
            <w:pPr>
              <w:pStyle w:val="1059"/>
              <w:ind w:firstLine="170"/>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28" w:type="dxa"/>
            <w:vAlign w:val="center"/>
            <w:textDirection w:val="lrTb"/>
            <w:noWrap w:val="false"/>
          </w:tcPr>
          <w:p>
            <w:pPr>
              <w:pStyle w:val="1059"/>
              <w:ind w:firstLine="0"/>
              <w:jc w:val="center"/>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客服领班</w:t>
            </w:r>
            <w:r/>
          </w:p>
        </w:tc>
        <w:tc>
          <w:tcPr>
            <w:tcW w:w="4775" w:type="dxa"/>
            <w:textDirection w:val="lrTb"/>
            <w:noWrap w:val="false"/>
          </w:tcPr>
          <w:p>
            <w:pPr>
              <w:pStyle w:val="105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供应商拟派</w:t>
            </w:r>
            <w:r>
              <w:rPr>
                <w:rFonts w:hint="eastAsia" w:ascii="宋体" w:hAnsi="宋体" w:cs="宋体"/>
                <w:color w:val="000000"/>
                <w:sz w:val="24"/>
                <w:szCs w:val="24"/>
                <w:lang w:val="en-US" w:eastAsia="zh-CN"/>
              </w:rPr>
              <w:t xml:space="preserve">客服领班</w:t>
            </w:r>
            <w:r>
              <w:rPr>
                <w:rFonts w:hint="eastAsia" w:ascii="宋体" w:hAnsi="宋体" w:cs="宋体"/>
                <w:color w:val="000000"/>
                <w:sz w:val="24"/>
                <w:szCs w:val="24"/>
              </w:rPr>
              <w:t xml:space="preserve">具有大专及以上学历，具有三年及以上</w:t>
            </w:r>
            <w:r>
              <w:rPr>
                <w:rFonts w:hint="eastAsia" w:ascii="宋体" w:hAnsi="宋体" w:cs="宋体"/>
                <w:color w:val="000000"/>
                <w:sz w:val="24"/>
                <w:szCs w:val="24"/>
                <w:lang w:val="en-US" w:eastAsia="zh-CN"/>
              </w:rPr>
              <w:t xml:space="preserve">客服</w:t>
            </w:r>
            <w:r>
              <w:rPr>
                <w:rFonts w:hint="eastAsia" w:ascii="宋体" w:hAnsi="宋体" w:cs="宋体"/>
                <w:color w:val="000000"/>
                <w:sz w:val="24"/>
                <w:szCs w:val="24"/>
              </w:rPr>
              <w:t xml:space="preserve">相关岗位经验。（需提供学历证、业主单位工作经验证明以及本单位为该人员交纳的最近3个月中任意1个月社会保险的证明材料，提供不全或不提供不得分）全部满足上述条件的得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w:t>
            </w:r>
            <w:r/>
          </w:p>
        </w:tc>
        <w:tc>
          <w:tcPr>
            <w:tcW w:w="659" w:type="dxa"/>
            <w:vAlign w:val="center"/>
            <w:textDirection w:val="lrTb"/>
            <w:noWrap/>
          </w:tcPr>
          <w:p>
            <w:pPr>
              <w:pStyle w:val="1059"/>
              <w:ind w:firstLine="0"/>
              <w:jc w:val="cente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p>
        </w:tc>
        <w:tc>
          <w:tcPr>
            <w:tcW w:w="880" w:type="dxa"/>
            <w:vAlign w:val="center"/>
            <w:textDirection w:val="lrTb"/>
            <w:noWrap/>
          </w:tcPr>
          <w:p>
            <w:pPr>
              <w:pStyle w:val="1059"/>
              <w:ind w:firstLine="0"/>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p>
        </w:tc>
      </w:tr>
      <w:tr>
        <w:trPr>
          <w:trHeight w:val="1619"/>
        </w:trPr>
        <w:tc>
          <w:tcPr>
            <w:tcW w:w="731" w:type="dxa"/>
            <w:vAlign w:val="center"/>
            <w:textDirection w:val="lrTb"/>
            <w:noWrap/>
          </w:tcPr>
          <w:p>
            <w:pPr>
              <w:pStyle w:val="1059"/>
              <w:ind w:firstLine="199"/>
              <w:spacing w:line="360" w:lineRule="auto"/>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4.5</w:t>
            </w:r>
            <w:r/>
          </w:p>
        </w:tc>
        <w:tc>
          <w:tcPr>
            <w:tcW w:w="815" w:type="dxa"/>
            <w:vAlign w:val="center"/>
            <w:vMerge w:val="continue"/>
            <w:textDirection w:val="lrTb"/>
            <w:noWrap/>
          </w:tcPr>
          <w:p>
            <w:pPr>
              <w:pStyle w:val="1059"/>
              <w:ind w:firstLine="17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28" w:type="dxa"/>
            <w:vAlign w:val="center"/>
            <w:textDirection w:val="lrTb"/>
            <w:noWrap w:val="false"/>
          </w:tcPr>
          <w:p>
            <w:pPr>
              <w:pStyle w:val="1059"/>
              <w:ind w:firstLine="0"/>
              <w:jc w:val="center"/>
              <w:spacing w:line="360" w:lineRule="auto"/>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绿化人员</w:t>
            </w:r>
            <w:r/>
          </w:p>
        </w:tc>
        <w:tc>
          <w:tcPr>
            <w:tcW w:w="4775" w:type="dxa"/>
            <w:textDirection w:val="lrTb"/>
            <w:noWrap w:val="false"/>
          </w:tcPr>
          <w:p>
            <w:pPr>
              <w:pStyle w:val="105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供应商拟派</w:t>
            </w:r>
            <w:r>
              <w:rPr>
                <w:rFonts w:hint="eastAsia" w:ascii="宋体" w:hAnsi="宋体" w:cs="宋体"/>
                <w:color w:val="000000"/>
                <w:sz w:val="24"/>
                <w:szCs w:val="24"/>
                <w:highlight w:val="none"/>
                <w:lang w:val="en-US" w:eastAsia="zh-CN"/>
              </w:rPr>
              <w:t xml:space="preserve">绿化人员</w:t>
            </w:r>
            <w:r>
              <w:rPr>
                <w:rFonts w:hint="eastAsia" w:ascii="宋体" w:hAnsi="宋体" w:cs="宋体"/>
                <w:color w:val="000000"/>
                <w:sz w:val="24"/>
                <w:szCs w:val="24"/>
                <w:highlight w:val="none"/>
              </w:rPr>
              <w:t xml:space="preserve">具有大专及以上学历，具有三年及以上</w:t>
            </w:r>
            <w:r>
              <w:rPr>
                <w:rFonts w:hint="eastAsia" w:ascii="宋体" w:hAnsi="宋体" w:cs="宋体"/>
                <w:color w:val="000000"/>
                <w:sz w:val="24"/>
                <w:szCs w:val="24"/>
                <w:highlight w:val="none"/>
                <w:lang w:val="en-US" w:eastAsia="zh-CN"/>
              </w:rPr>
              <w:t xml:space="preserve">绿化</w:t>
            </w:r>
            <w:r>
              <w:rPr>
                <w:rFonts w:hint="eastAsia" w:ascii="宋体" w:hAnsi="宋体" w:cs="宋体"/>
                <w:color w:val="000000"/>
                <w:sz w:val="24"/>
                <w:szCs w:val="24"/>
                <w:highlight w:val="none"/>
              </w:rPr>
              <w:t xml:space="preserve">相关岗位经验。（需提供学历证、业主单位工作经验证明以及本单位为该人员交纳的最近3个月中任意1个月社会保险的证明材料，提供不全或不提供不得分）全部满足上述条件的得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p>
        </w:tc>
        <w:tc>
          <w:tcPr>
            <w:tcW w:w="659" w:type="dxa"/>
            <w:vAlign w:val="center"/>
            <w:textDirection w:val="lrTb"/>
            <w:noWrap/>
          </w:tcPr>
          <w:p>
            <w:pPr>
              <w:pStyle w:val="1059"/>
              <w:ind w:firstLine="0"/>
              <w:jc w:val="center"/>
              <w:spacing w:line="360" w:lineRule="auto"/>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p>
        </w:tc>
        <w:tc>
          <w:tcPr>
            <w:tcW w:w="880" w:type="dxa"/>
            <w:vAlign w:val="center"/>
            <w:textDirection w:val="lrTb"/>
            <w:noWrap/>
          </w:tcPr>
          <w:p>
            <w:pPr>
              <w:pStyle w:val="1059"/>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客观分</w:t>
            </w:r>
            <w:r/>
          </w:p>
        </w:tc>
      </w:tr>
      <w:tr>
        <w:trPr>
          <w:trHeight w:val="1619"/>
        </w:trPr>
        <w:tc>
          <w:tcPr>
            <w:tcW w:w="731" w:type="dxa"/>
            <w:vAlign w:val="center"/>
            <w:textDirection w:val="lrTb"/>
            <w:noWrap/>
          </w:tcPr>
          <w:p>
            <w:pPr>
              <w:pStyle w:val="1059"/>
              <w:ind w:firstLine="199"/>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cs="宋体"/>
                <w:color w:val="000000"/>
                <w:sz w:val="24"/>
                <w:szCs w:val="24"/>
                <w:lang w:val="en-US" w:eastAsia="zh-CN"/>
              </w:rPr>
              <w:t xml:space="preserve">6</w:t>
            </w:r>
            <w:r/>
          </w:p>
        </w:tc>
        <w:tc>
          <w:tcPr>
            <w:tcW w:w="815" w:type="dxa"/>
            <w:vAlign w:val="center"/>
            <w:vMerge w:val="continue"/>
            <w:textDirection w:val="lrTb"/>
            <w:noWrap/>
          </w:tcPr>
          <w:p>
            <w:pPr>
              <w:pStyle w:val="1059"/>
              <w:ind w:firstLine="17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28" w:type="dxa"/>
            <w:vAlign w:val="center"/>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highlight w:val="none"/>
              </w:rPr>
              <w:t xml:space="preserve">人员待遇保 障</w:t>
            </w:r>
            <w:r/>
          </w:p>
        </w:tc>
        <w:tc>
          <w:tcPr>
            <w:tcW w:w="4775" w:type="dxa"/>
            <w:vAlign w:val="center"/>
            <w:textDirection w:val="lrTb"/>
            <w:noWrap w:val="false"/>
          </w:tcPr>
          <w:p>
            <w:pPr>
              <w:jc w:val="both"/>
              <w:spacing w:line="360" w:lineRule="auto"/>
              <w:tabs>
                <w:tab w:val="left" w:pos="1026" w:leader="none"/>
              </w:tabs>
              <w:rPr>
                <w:rFonts w:hint="eastAsia" w:ascii="宋体" w:hAnsi="宋体" w:eastAsia="宋体" w:cs="宋体"/>
                <w:color w:val="000000"/>
                <w:sz w:val="24"/>
                <w:szCs w:val="24"/>
              </w:rPr>
            </w:pPr>
            <w:r>
              <w:rPr>
                <w:rFonts w:hint="eastAsia" w:ascii="宋体" w:hAnsi="宋体" w:eastAsia="宋体" w:cs="宋体"/>
                <w:sz w:val="24"/>
                <w:szCs w:val="24"/>
                <w:highlight w:val="none"/>
              </w:rPr>
              <w:t xml:space="preserve">供应商提供本项目的报价组成明细表后，</w:t>
            </w:r>
            <w:r>
              <w:rPr>
                <w:rFonts w:hint="eastAsia" w:ascii="宋体" w:hAnsi="宋体" w:eastAsia="宋体" w:cs="宋体"/>
                <w:sz w:val="24"/>
                <w:szCs w:val="24"/>
                <w:highlight w:val="none"/>
                <w:lang w:val="en-US" w:eastAsia="zh-CN"/>
              </w:rPr>
              <w:t xml:space="preserve">人员工资、社保公积金及法定节假日加班费、行政办公费、清洁耗材费、管理费、其他费用等</w:t>
            </w: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lang w:val="en-US" w:eastAsia="zh-CN"/>
              </w:rPr>
              <w:t xml:space="preserve">人均月费用</w:t>
            </w:r>
            <w:r>
              <w:rPr>
                <w:rFonts w:hint="eastAsia" w:ascii="宋体" w:hAnsi="宋体" w:eastAsia="宋体" w:cs="宋体"/>
                <w:sz w:val="24"/>
                <w:szCs w:val="24"/>
                <w:highlight w:val="none"/>
              </w:rPr>
              <w:t xml:space="preserve">达到</w:t>
            </w:r>
            <w:r>
              <w:rPr>
                <w:rFonts w:hint="eastAsia" w:ascii="宋体" w:hAnsi="宋体" w:eastAsia="宋体" w:cs="宋体"/>
                <w:sz w:val="24"/>
                <w:szCs w:val="24"/>
                <w:highlight w:val="none"/>
                <w:lang w:val="en-US" w:eastAsia="zh-CN"/>
              </w:rPr>
              <w:t xml:space="preserve">或超过</w:t>
            </w:r>
            <w:r>
              <w:rPr>
                <w:rFonts w:hint="eastAsia" w:ascii="宋体" w:hAnsi="宋体" w:eastAsia="宋体" w:cs="宋体"/>
                <w:sz w:val="24"/>
                <w:szCs w:val="24"/>
                <w:highlight w:val="none"/>
              </w:rPr>
              <w:t xml:space="preserve">收入参考标准（</w:t>
            </w:r>
            <w:r>
              <w:rPr>
                <w:rFonts w:hint="eastAsia" w:ascii="宋体" w:hAnsi="宋体" w:eastAsia="宋体" w:cs="宋体"/>
                <w:sz w:val="24"/>
                <w:szCs w:val="24"/>
                <w:highlight w:val="none"/>
                <w:lang w:val="en-US" w:eastAsia="zh-CN"/>
              </w:rPr>
              <w:t xml:space="preserve">人均5500元/月（含）</w:t>
            </w:r>
            <w:r>
              <w:rPr>
                <w:rFonts w:hint="eastAsia" w:ascii="宋体" w:hAnsi="宋体" w:eastAsia="宋体" w:cs="宋体"/>
                <w:sz w:val="24"/>
                <w:szCs w:val="24"/>
                <w:highlight w:val="none"/>
              </w:rPr>
              <w:t xml:space="preserve">）的得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分；报价组成明细表中</w:t>
            </w:r>
            <w:r>
              <w:rPr>
                <w:rFonts w:hint="eastAsia" w:ascii="宋体" w:hAnsi="宋体" w:eastAsia="宋体" w:cs="宋体"/>
                <w:sz w:val="24"/>
                <w:szCs w:val="24"/>
                <w:highlight w:val="none"/>
                <w:lang w:val="en-US" w:eastAsia="zh-CN"/>
              </w:rPr>
              <w:t xml:space="preserve">人员工资、社保公积金及法定节假日加班费、行政办公费、清洁耗材费、管理费、其他费用等</w:t>
            </w: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lang w:val="en-US" w:eastAsia="zh-CN"/>
              </w:rPr>
              <w:t xml:space="preserve">月均费用未</w:t>
            </w:r>
            <w:r>
              <w:rPr>
                <w:rFonts w:hint="eastAsia" w:ascii="宋体" w:hAnsi="宋体" w:eastAsia="宋体" w:cs="宋体"/>
                <w:sz w:val="24"/>
                <w:szCs w:val="24"/>
                <w:highlight w:val="none"/>
              </w:rPr>
              <w:t xml:space="preserve">达到岗位收入参考标准（</w:t>
            </w:r>
            <w:r>
              <w:rPr>
                <w:rFonts w:hint="eastAsia" w:ascii="宋体" w:hAnsi="宋体" w:eastAsia="宋体" w:cs="宋体"/>
                <w:sz w:val="24"/>
                <w:szCs w:val="24"/>
                <w:highlight w:val="none"/>
                <w:lang w:val="en-US" w:eastAsia="zh-CN"/>
              </w:rPr>
              <w:t xml:space="preserve">人均5500元/月（不含）--4</w:t>
            </w:r>
            <w:r>
              <w:rPr>
                <w:rFonts w:hint="eastAsia" w:ascii="宋体" w:hAnsi="宋体" w:cs="宋体"/>
                <w:sz w:val="24"/>
                <w:szCs w:val="24"/>
                <w:highlight w:val="none"/>
                <w:lang w:val="en-US" w:eastAsia="zh-CN"/>
              </w:rPr>
              <w:t xml:space="preserve">500</w:t>
            </w:r>
            <w:r>
              <w:rPr>
                <w:rFonts w:hint="eastAsia" w:ascii="宋体" w:hAnsi="宋体" w:eastAsia="宋体" w:cs="宋体"/>
                <w:sz w:val="24"/>
                <w:szCs w:val="24"/>
                <w:highlight w:val="none"/>
                <w:lang w:val="en-US" w:eastAsia="zh-CN"/>
              </w:rPr>
              <w:t xml:space="preserve">元/月（含）</w:t>
            </w:r>
            <w:r>
              <w:rPr>
                <w:rFonts w:hint="eastAsia" w:ascii="宋体" w:hAnsi="宋体" w:eastAsia="宋体" w:cs="宋体"/>
                <w:sz w:val="24"/>
                <w:szCs w:val="24"/>
                <w:highlight w:val="none"/>
              </w:rPr>
              <w:t xml:space="preserve">）的得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分；报价组成明细表中</w:t>
            </w:r>
            <w:r>
              <w:rPr>
                <w:rFonts w:hint="eastAsia" w:ascii="宋体" w:hAnsi="宋体" w:eastAsia="宋体" w:cs="宋体"/>
                <w:sz w:val="24"/>
                <w:szCs w:val="24"/>
                <w:highlight w:val="none"/>
                <w:lang w:val="en-US" w:eastAsia="zh-CN"/>
              </w:rPr>
              <w:t xml:space="preserve">人员工资、社保公积金及法定节假日加班费、行政办公费、清洁耗材费、管理费、其他费用等</w:t>
            </w: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lang w:val="en-US" w:eastAsia="zh-CN"/>
              </w:rPr>
              <w:t xml:space="preserve">月均费用未</w:t>
            </w:r>
            <w:r>
              <w:rPr>
                <w:rFonts w:hint="eastAsia" w:ascii="宋体" w:hAnsi="宋体" w:eastAsia="宋体" w:cs="宋体"/>
                <w:sz w:val="24"/>
                <w:szCs w:val="24"/>
                <w:highlight w:val="none"/>
              </w:rPr>
              <w:t xml:space="preserve">达到岗位收入参考标准（</w:t>
            </w:r>
            <w:r>
              <w:rPr>
                <w:rFonts w:hint="eastAsia" w:ascii="宋体" w:hAnsi="宋体" w:eastAsia="宋体" w:cs="宋体"/>
                <w:sz w:val="24"/>
                <w:szCs w:val="24"/>
                <w:highlight w:val="none"/>
                <w:lang w:val="en-US" w:eastAsia="zh-CN"/>
              </w:rPr>
              <w:t xml:space="preserve">人均4</w:t>
            </w:r>
            <w:r>
              <w:rPr>
                <w:rFonts w:hint="eastAsia" w:ascii="宋体" w:hAnsi="宋体" w:cs="宋体"/>
                <w:sz w:val="24"/>
                <w:szCs w:val="24"/>
                <w:highlight w:val="none"/>
                <w:lang w:val="en-US" w:eastAsia="zh-CN"/>
              </w:rPr>
              <w:t xml:space="preserve">500</w:t>
            </w:r>
            <w:r>
              <w:rPr>
                <w:rFonts w:hint="eastAsia" w:ascii="宋体" w:hAnsi="宋体" w:eastAsia="宋体" w:cs="宋体"/>
                <w:sz w:val="24"/>
                <w:szCs w:val="24"/>
                <w:highlight w:val="none"/>
                <w:lang w:val="en-US" w:eastAsia="zh-CN"/>
              </w:rPr>
              <w:t xml:space="preserve">元/月（不含）</w:t>
            </w:r>
            <w:r>
              <w:rPr>
                <w:rFonts w:hint="eastAsia"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分项报价明细表中应标明人均月收入</w:t>
            </w:r>
            <w:r>
              <w:rPr>
                <w:rFonts w:hint="eastAsia" w:ascii="宋体" w:hAnsi="宋体" w:eastAsia="宋体" w:cs="宋体"/>
                <w:sz w:val="24"/>
                <w:szCs w:val="24"/>
                <w:highlight w:val="none"/>
                <w:lang w:eastAsia="zh-CN"/>
              </w:rPr>
              <w:t xml:space="preserve">）</w:t>
            </w:r>
            <w:r/>
          </w:p>
        </w:tc>
        <w:tc>
          <w:tcPr>
            <w:tcW w:w="659" w:type="dxa"/>
            <w:vAlign w:val="center"/>
            <w:textDirection w:val="lrTb"/>
            <w:noWrap/>
          </w:tcPr>
          <w:p>
            <w:pPr>
              <w:jc w:val="center"/>
              <w:spacing w:line="36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highlight w:val="none"/>
                <w:lang w:val="en-US" w:eastAsia="zh-CN"/>
              </w:rPr>
              <w:t xml:space="preserve">6</w:t>
            </w:r>
            <w:r/>
          </w:p>
        </w:tc>
        <w:tc>
          <w:tcPr>
            <w:tcW w:w="88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highlight w:val="none"/>
                <w:lang w:val="en-US" w:eastAsia="zh-CN"/>
              </w:rPr>
              <w:t xml:space="preserve">客观分</w:t>
            </w:r>
            <w:r/>
          </w:p>
        </w:tc>
      </w:tr>
      <w:tr>
        <w:trPr>
          <w:trHeight w:val="300"/>
        </w:trPr>
        <w:tc>
          <w:tcPr>
            <w:gridSpan w:val="5"/>
            <w:tcW w:w="8408" w:type="dxa"/>
            <w:vAlign w:val="bottom"/>
            <w:textDirection w:val="lrTb"/>
            <w:noWrap/>
          </w:tcPr>
          <w:p>
            <w:pPr>
              <w:pStyle w:val="1059"/>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合计：100分</w:t>
            </w:r>
            <w:r/>
          </w:p>
        </w:tc>
        <w:tc>
          <w:tcPr>
            <w:tcW w:w="880" w:type="dxa"/>
            <w:vAlign w:val="bottom"/>
            <w:textDirection w:val="lrTb"/>
            <w:noWrap/>
          </w:tcPr>
          <w:p>
            <w:pPr>
              <w:pStyle w:val="1059"/>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spacing w:line="360" w:lineRule="auto"/>
        <w:rPr>
          <w:rFonts w:hint="eastAsia" w:ascii="宋体" w:hAnsi="宋体" w:cs="宋体"/>
          <w:color w:val="000000"/>
          <w:sz w:val="24"/>
          <w:szCs w:val="24"/>
        </w:rPr>
      </w:pPr>
      <w:r>
        <w:rPr>
          <w:rFonts w:hint="eastAsia" w:ascii="宋体" w:hAnsi="宋体" w:cs="宋体"/>
          <w:color w:val="000000"/>
          <w:sz w:val="24"/>
          <w:szCs w:val="24"/>
        </w:rPr>
        <w:br w:type="page" w:clear="all"/>
      </w:r>
      <w:r/>
    </w:p>
    <w:p>
      <w:pPr>
        <w:pStyle w:val="774"/>
      </w:pPr>
      <w:r/>
      <w:r/>
    </w:p>
    <w:p>
      <w:pPr>
        <w:ind w:firstLine="880"/>
        <w:jc w:val="center"/>
        <w:spacing w:line="360" w:lineRule="auto"/>
        <w:rPr>
          <w:rFonts w:ascii="Arial" w:hAnsi="Arial" w:eastAsia="Arial" w:cs="Arial"/>
          <w:sz w:val="40"/>
          <w:szCs w:val="40"/>
        </w:rPr>
      </w:pPr>
      <w:r>
        <w:rPr>
          <w:rFonts w:hint="eastAsia" w:ascii="Arial" w:hAnsi="Arial" w:eastAsia="Arial" w:cs="Arial"/>
          <w:sz w:val="40"/>
          <w:szCs w:val="40"/>
        </w:rPr>
        <w:t xml:space="preserve">第六章</w:t>
      </w:r>
      <w:bookmarkEnd w:id="176"/>
      <w:r/>
      <w:bookmarkEnd w:id="177"/>
      <w:r/>
      <w:bookmarkEnd w:id="178"/>
      <w:r>
        <w:rPr>
          <w:rFonts w:hint="eastAsia" w:ascii="Arial" w:hAnsi="Arial" w:eastAsia="Arial" w:cs="Arial"/>
          <w:sz w:val="40"/>
          <w:szCs w:val="40"/>
        </w:rPr>
        <w:t xml:space="preserve">响应文件格式</w:t>
      </w:r>
      <w:r/>
    </w:p>
    <w:p>
      <w:pPr>
        <w:jc w:val="center"/>
        <w:rPr>
          <w:rFonts w:hint="eastAsia" w:ascii="宋体" w:hAnsi="宋体"/>
          <w:b/>
          <w:color w:val="000000" w:themeColor="text1"/>
          <w:sz w:val="72"/>
          <w:szCs w:val="21"/>
          <w14:textFill>
            <w14:solidFill>
              <w14:schemeClr w14:val="tx1"/>
            </w14:solidFill>
          </w14:textFill>
        </w:rPr>
      </w:pPr>
      <w:r/>
      <w:bookmarkStart w:id="179" w:name="_Hlt26671244"/>
      <w:r/>
      <w:bookmarkEnd w:id="179"/>
      <w:r/>
      <w:bookmarkStart w:id="180" w:name="_Hlt26955039"/>
      <w:r/>
      <w:bookmarkEnd w:id="180"/>
      <w:r/>
      <w:bookmarkStart w:id="181" w:name="_Toc120614282"/>
      <w:r/>
      <w:bookmarkStart w:id="182" w:name="_Toc49090576"/>
      <w:r/>
      <w:bookmarkStart w:id="183" w:name="_Toc26554094"/>
      <w:r/>
      <w:r/>
    </w:p>
    <w:p>
      <w:pPr>
        <w:jc w:val="center"/>
        <w:rPr>
          <w:rFonts w:hint="eastAsia"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t xml:space="preserve">响  应  文  件</w:t>
      </w:r>
      <w:r/>
    </w:p>
    <w:p>
      <w:pPr>
        <w:jc w:val="center"/>
        <w:rPr>
          <w:rFonts w:hint="eastAsia"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r>
      <w:r/>
    </w:p>
    <w:p>
      <w:pPr>
        <w:jc w:val="center"/>
        <w:rPr>
          <w:rFonts w:hint="eastAsia"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jc w:val="center"/>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r>
      <w:r/>
    </w:p>
    <w:p>
      <w:pPr>
        <w:ind w:firstLine="1084"/>
        <w:rPr>
          <w:rFonts w:hint="eastAsia"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项 目 名 称：</w:t>
      </w:r>
      <w:r>
        <w:rPr>
          <w:rFonts w:hint="eastAsia" w:ascii="宋体" w:hAnsi="宋体"/>
          <w:b/>
          <w:color w:val="000000" w:themeColor="text1"/>
          <w:sz w:val="36"/>
          <w:szCs w:val="21"/>
          <w:u w:val="single"/>
          <w14:textFill>
            <w14:solidFill>
              <w14:schemeClr w14:val="tx1"/>
            </w14:solidFill>
          </w14:textFill>
        </w:rPr>
        <w:t xml:space="preserve">                   </w:t>
      </w:r>
      <w:r/>
    </w:p>
    <w:p>
      <w:pPr>
        <w:ind w:firstLine="1084"/>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项 目 编 号：</w:t>
      </w:r>
      <w:r>
        <w:rPr>
          <w:rFonts w:hint="eastAsia" w:ascii="宋体" w:hAnsi="宋体"/>
          <w:b/>
          <w:color w:val="000000" w:themeColor="text1"/>
          <w:sz w:val="36"/>
          <w:szCs w:val="21"/>
          <w:u w:val="single"/>
          <w14:textFill>
            <w14:solidFill>
              <w14:schemeClr w14:val="tx1"/>
            </w14:solidFill>
          </w14:textFill>
        </w:rPr>
        <w:t xml:space="preserve">                   </w:t>
      </w:r>
      <w:r/>
    </w:p>
    <w:p>
      <w:pPr>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      供应商名称 ：</w:t>
      </w:r>
      <w:r>
        <w:rPr>
          <w:rFonts w:hint="eastAsia" w:ascii="宋体" w:hAnsi="宋体"/>
          <w:b/>
          <w:color w:val="000000" w:themeColor="text1"/>
          <w:sz w:val="36"/>
          <w:szCs w:val="21"/>
          <w:u w:val="single"/>
          <w14:textFill>
            <w14:solidFill>
              <w14:schemeClr w14:val="tx1"/>
            </w14:solidFill>
          </w14:textFill>
        </w:rPr>
        <w:t xml:space="preserve">（加盖电子公章）   </w:t>
      </w:r>
      <w:r/>
    </w:p>
    <w:p>
      <w:pPr>
        <w:rPr>
          <w:rFonts w:hint="eastAsia"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      日      期 ：</w:t>
      </w:r>
      <w:r>
        <w:rPr>
          <w:rFonts w:hint="eastAsia" w:ascii="宋体" w:hAnsi="宋体"/>
          <w:b/>
          <w:color w:val="000000" w:themeColor="text1"/>
          <w:sz w:val="36"/>
          <w:szCs w:val="21"/>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center"/>
        <w:rPr>
          <w:rFonts w:hint="eastAsia" w:ascii="宋体" w:hAnsi="宋体"/>
          <w:b/>
          <w:bCs/>
          <w:color w:val="000000" w:themeColor="text1"/>
          <w:sz w:val="32"/>
          <w:szCs w:val="32"/>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br w:type="page" w:clear="all"/>
      </w:r>
      <w:r>
        <w:rPr>
          <w:rFonts w:hint="eastAsia" w:ascii="宋体" w:hAnsi="宋体"/>
          <w:b/>
          <w:bCs/>
          <w:color w:val="000000" w:themeColor="text1"/>
          <w:sz w:val="32"/>
          <w:szCs w:val="32"/>
          <w14:textFill>
            <w14:solidFill>
              <w14:schemeClr w14:val="tx1"/>
            </w14:solidFill>
          </w14:textFill>
        </w:rPr>
        <w:t xml:space="preserve">响应文件目录</w:t>
      </w:r>
      <w:r/>
    </w:p>
    <w:p>
      <w:pPr>
        <w:jc w:val="center"/>
        <w:spacing w:line="44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一、供应商信用承诺函</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二、满足特定资格要求的证明文件（如有特定资格要求）</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三、法人授权书</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四、磋商响应函</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五、磋商报价表</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六、磋商报价明细表</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七、技术要求响应及偏离表</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八、商务要求响应及偏离表</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九、中小企业声明函（如有）</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十、残疾人福利性单位声明函（如有）</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十一、联合体协议（如有）</w:t>
      </w:r>
      <w:r/>
    </w:p>
    <w:p>
      <w:pPr>
        <w:ind w:firstLine="480"/>
        <w:spacing w:line="440" w:lineRule="exact"/>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r>
      <w:r/>
    </w:p>
    <w:p>
      <w:pPr>
        <w:ind w:firstLine="480"/>
        <w:spacing w:line="440" w:lineRule="exact"/>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r>
      <w:r/>
    </w:p>
    <w:p>
      <w:pPr>
        <w:ind w:firstLine="480"/>
        <w:spacing w:line="440" w:lineRule="exact"/>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r>
      <w:r/>
    </w:p>
    <w:p>
      <w:pPr>
        <w:ind w:firstLine="480"/>
        <w:spacing w:line="440" w:lineRule="exact"/>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br w:type="page" w:clear="all"/>
      </w:r>
      <w:r>
        <w:rPr>
          <w:rFonts w:hint="eastAsia" w:ascii="黑体" w:hAnsi="黑体" w:eastAsia="黑体"/>
          <w:color w:val="000000" w:themeColor="text1"/>
          <w:sz w:val="32"/>
          <w:szCs w:val="32"/>
          <w14:textFill>
            <w14:solidFill>
              <w14:schemeClr w14:val="tx1"/>
            </w14:solidFill>
          </w14:textFill>
        </w:rPr>
        <w:t xml:space="preserve">一、供应商信用承诺函</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供应商信用承诺函</w:t>
      </w:r>
      <w:r/>
    </w:p>
    <w:p>
      <w:pPr>
        <w:jc w:val="left"/>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南京市公共资源交易中心浦口分中心：</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我公司</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（供应商名称）郑重承诺：</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我公司符合下列要求：</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(一)具有独立承担民事责任的能力；</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(二)具有良好的商业信誉和健全的财务会计制度；</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(三)具有履行合同所必需的设备和专业技术能力；</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(四)有依法缴纳税收和社会保障资金的良好记录；</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(五)参加政府采购活动前三年内，在经营活动中没有重大违法记录。</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如果我公司成交，将在成交结果公示后七个工作日内向采购人提供下列材料核验：</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（1）营业执照副本或事业单位法人登记证书或其他证明材料；</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（3）履行合同所必需的设备和专业技术能力证明材料；</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（4）参加本次政府采购活动前一年内至少一个月依法缴纳税收和社会保障资金的证明材料。</w:t>
      </w:r>
      <w:r/>
    </w:p>
    <w:p>
      <w:pPr>
        <w:ind w:firstLine="492"/>
        <w:spacing w:line="4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本公司对上述承诺内容的真实性、合法性、有效性负责，如有虚假，将依法承担相应责任。</w:t>
      </w:r>
      <w:r/>
    </w:p>
    <w:p>
      <w:pPr>
        <w:ind w:firstLine="492"/>
        <w:spacing w:line="4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1049"/>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right="180" w:firstLine="360"/>
        <w:jc w:val="righ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供应商名称：（加盖电子公章）</w:t>
      </w:r>
      <w:r/>
    </w:p>
    <w:p>
      <w:pPr>
        <w:ind w:firstLine="6240"/>
        <w:spacing w:line="560" w:lineRule="exact"/>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82"/>
        <w:rPr>
          <w:color w:val="000000" w:themeColor="text1"/>
          <w14:textFill>
            <w14:solidFill>
              <w14:schemeClr w14:val="tx1"/>
            </w14:solidFill>
          </w14:textFill>
        </w:rPr>
      </w:pPr>
      <w:r>
        <w:rPr>
          <w:color w:val="000000" w:themeColor="text1"/>
          <w14:textFill>
            <w14:solidFill>
              <w14:schemeClr w14:val="tx1"/>
            </w14:solidFill>
          </w14:textFill>
        </w:rPr>
      </w:r>
      <w:r/>
    </w:p>
    <w:p>
      <w:pPr>
        <w:pStyle w:val="782"/>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br w:type="page" w:clear="all"/>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二、特定资格要求的证明文件</w:t>
      </w:r>
      <w:r/>
    </w:p>
    <w:p>
      <w:pPr>
        <w:pStyle w:val="1020"/>
        <w:spacing w:line="48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本项目申请人的特定资格要求中要求提供的材料。</w:t>
      </w:r>
      <w:r/>
    </w:p>
    <w:p>
      <w:pPr>
        <w:spacing w:line="460" w:lineRule="exact"/>
        <w:rPr>
          <w:rFonts w:hint="eastAsia" w:ascii="宋体" w:hAnsi="宋体"/>
          <w:bCs/>
          <w:color w:val="000000" w:themeColor="text1"/>
          <w:sz w:val="24"/>
          <w:szCs w:val="21"/>
          <w14:textFill>
            <w14:solidFill>
              <w14:schemeClr w14:val="tx1"/>
            </w14:solidFill>
          </w14:textFill>
        </w:rPr>
      </w:pPr>
      <w:r>
        <w:rPr>
          <w:rFonts w:hint="eastAsia" w:ascii="宋体" w:hAnsi="宋体"/>
          <w:bCs/>
          <w:color w:val="000000" w:themeColor="text1"/>
          <w:sz w:val="24"/>
          <w:szCs w:val="21"/>
          <w14:textFill>
            <w14:solidFill>
              <w14:schemeClr w14:val="tx1"/>
            </w14:solidFill>
          </w14:textFill>
        </w:rPr>
      </w:r>
      <w:r/>
    </w:p>
    <w:p>
      <w:pPr>
        <w:jc w:val="left"/>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jc w:val="left"/>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jc w:val="left"/>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三、法人授权书</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lang w:val="zh-CN"/>
          <w14:textFill>
            <w14:solidFill>
              <w14:schemeClr w14:val="tx1"/>
            </w14:solidFill>
          </w14:textFill>
        </w:rPr>
        <w:t xml:space="preserve">法人授权书</w:t>
      </w:r>
      <w:r/>
    </w:p>
    <w:p>
      <w:pPr>
        <w:pStyle w:val="1020"/>
        <w:ind w:firstLine="480"/>
        <w:spacing w:line="48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本授权书声明：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（供应商名称）授权</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（被授权人的姓名）作为我方就编号为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的</w:t>
      </w:r>
      <w:r>
        <w:rPr>
          <w:rFonts w:hint="eastAsia"/>
          <w:color w:val="000000" w:themeColor="text1"/>
          <w:sz w:val="24"/>
          <w:szCs w:val="24"/>
          <w14:textFill>
            <w14:solidFill>
              <w14:schemeClr w14:val="tx1"/>
            </w14:solidFill>
          </w14:textFill>
        </w:rPr>
        <w:t xml:space="preserve">项目采购活动的合法代理人，以本单位名义全权处理一切与该项目采购有关的事务。</w:t>
      </w:r>
      <w:r/>
    </w:p>
    <w:p>
      <w:pPr>
        <w:pStyle w:val="1020"/>
        <w:ind w:firstLine="480"/>
        <w:spacing w:line="48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本授权书于______年____月____日起生效，特此声明。</w:t>
      </w:r>
      <w:r/>
    </w:p>
    <w:p>
      <w:pPr>
        <w:pStyle w:val="1020"/>
        <w:ind w:firstLine="0"/>
        <w:spacing w:line="48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    被授权人身份证号码：</w:t>
      </w:r>
      <w:r/>
    </w:p>
    <w:p>
      <w:pPr>
        <w:pStyle w:val="1020"/>
        <w:ind w:firstLine="480"/>
        <w:spacing w:line="480" w:lineRule="auto"/>
        <w:rPr>
          <w:rFonts w:hint="eastAsia" w:ascii="宋体" w:hAnsi="宋体" w:cs="宋体"/>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被授权人联系电话：（手机）</w:t>
      </w:r>
      <w:r/>
    </w:p>
    <w:p>
      <w:pPr>
        <w:pStyle w:val="1020"/>
        <w:ind w:firstLine="480"/>
        <w:spacing w:line="48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授权单位名称：</w:t>
      </w:r>
      <w:r>
        <w:rPr>
          <w:rFonts w:hint="eastAsia" w:ascii="宋体" w:hAnsi="宋体" w:cs="宋体"/>
          <w:color w:val="000000" w:themeColor="text1"/>
          <w:sz w:val="24"/>
          <w:szCs w:val="24"/>
          <w14:textFill>
            <w14:solidFill>
              <w14:schemeClr w14:val="tx1"/>
            </w14:solidFill>
          </w14:textFill>
        </w:rPr>
        <w:t xml:space="preserve">（加盖电子公章）</w:t>
      </w:r>
      <w:r/>
    </w:p>
    <w:p>
      <w:pPr>
        <w:pStyle w:val="1020"/>
        <w:ind w:firstLine="480"/>
        <w:spacing w:line="480" w:lineRule="auto"/>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单位地址：</w:t>
      </w:r>
      <w:r/>
    </w:p>
    <w:p>
      <w:pPr>
        <w:pStyle w:val="1020"/>
        <w:ind w:firstLine="480"/>
        <w:spacing w:line="48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ind w:firstLine="480"/>
        <w:tabs>
          <w:tab w:val="left" w:pos="360" w:leader="none"/>
        </w:tabs>
        <w:rPr>
          <w:color w:val="000000" w:themeColor="text1"/>
          <w:sz w:val="24"/>
          <w:szCs w:val="24"/>
          <w:u w:val="single"/>
          <w14:textFill>
            <w14:solidFill>
              <w14:schemeClr w14:val="tx1"/>
            </w14:solidFill>
          </w14:textFill>
        </w:rPr>
      </w:pPr>
      <w:r>
        <w:rPr>
          <w:color w:val="000000" w:themeColor="text1"/>
          <w:sz w:val="24"/>
          <w:szCs w:val="24"/>
          <w:u w:val="single"/>
          <w14:textFill>
            <w14:solidFill>
              <w14:schemeClr w14:val="tx1"/>
            </w14:solidFill>
          </w14:textFill>
        </w:rPr>
      </w:r>
      <w:r/>
    </w:p>
    <w:p>
      <w:pPr>
        <w:ind w:firstLine="480"/>
        <w:tabs>
          <w:tab w:val="left" w:pos="360" w:leader="none"/>
        </w:tabs>
        <w:rPr>
          <w:color w:val="000000" w:themeColor="text1"/>
          <w:sz w:val="24"/>
          <w:szCs w:val="24"/>
          <w:u w:val="single"/>
          <w14:textFill>
            <w14:solidFill>
              <w14:schemeClr w14:val="tx1"/>
            </w14:solidFill>
          </w14:textFill>
        </w:rPr>
      </w:pPr>
      <w:r>
        <w:rPr>
          <w:color w:val="000000" w:themeColor="text1"/>
          <w:sz w:val="24"/>
          <w:szCs w:val="24"/>
          <w:u w:val="single"/>
          <w14:textFill>
            <w14:solidFill>
              <w14:schemeClr w14:val="tx1"/>
            </w14:solidFill>
          </w14:textFill>
        </w:rPr>
      </w:r>
      <w:r/>
    </w:p>
    <w:p>
      <w:pPr>
        <w:ind w:firstLine="480"/>
        <w:tabs>
          <w:tab w:val="left" w:pos="360" w:leader="none"/>
        </w:tabs>
        <w:rPr>
          <w:color w:val="000000" w:themeColor="text1"/>
          <w:sz w:val="24"/>
          <w:szCs w:val="24"/>
          <w:u w:val="single"/>
          <w14:textFill>
            <w14:solidFill>
              <w14:schemeClr w14:val="tx1"/>
            </w14:solidFill>
          </w14:textFill>
        </w:rPr>
      </w:pPr>
      <w:r>
        <w:rPr>
          <w:color w:val="000000" w:themeColor="text1"/>
          <w:sz w:val="24"/>
          <w:szCs w:val="24"/>
          <w:u w:val="single"/>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br w:type="page" w:clear="all"/>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四、磋商响应函</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磋商响应函</w:t>
      </w:r>
      <w:r/>
    </w:p>
    <w:p>
      <w:pPr>
        <w:jc w:val="left"/>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致：南京市公共资源交易中心浦口分中心</w:t>
      </w:r>
      <w:r/>
    </w:p>
    <w:p>
      <w:pPr>
        <w:pStyle w:val="1022"/>
        <w:spacing w:before="0" w:after="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根据贵方编号为</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的</w:t>
      </w:r>
      <w:r>
        <w:rPr>
          <w:rFonts w:hint="eastAsia" w:ascii="宋体" w:hAnsi="宋体"/>
          <w:color w:val="000000" w:themeColor="text1"/>
          <w:szCs w:val="21"/>
          <w14:textFill>
            <w14:solidFill>
              <w14:schemeClr w14:val="tx1"/>
            </w14:solidFill>
          </w14:textFill>
        </w:rPr>
        <w:t xml:space="preserve">项目磋商文件，我方正式提</w:t>
      </w:r>
      <w:r>
        <w:rPr>
          <w:rFonts w:hint="eastAsia" w:ascii="宋体" w:hAnsi="宋体" w:cs="宋体"/>
          <w:color w:val="000000" w:themeColor="text1"/>
          <w14:textFill>
            <w14:solidFill>
              <w14:schemeClr w14:val="tx1"/>
            </w14:solidFill>
          </w14:textFill>
        </w:rPr>
        <w:t xml:space="preserve">交磋商响应函，</w:t>
      </w:r>
      <w:r>
        <w:rPr>
          <w:rFonts w:hint="eastAsia" w:ascii="宋体" w:hAnsi="宋体"/>
          <w:color w:val="000000" w:themeColor="text1"/>
          <w:szCs w:val="21"/>
          <w14:textFill>
            <w14:solidFill>
              <w14:schemeClr w14:val="tx1"/>
            </w14:solidFill>
          </w14:textFill>
        </w:rPr>
        <w:t xml:space="preserve">并宣布同意如下内容：</w:t>
      </w:r>
      <w:r/>
    </w:p>
    <w:p>
      <w:pPr>
        <w:ind w:firstLine="480"/>
        <w:jc w:val="left"/>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1.按磋商文件规定的各项要求，向买方提供所需服务（包含与货物相关的服务及与服务相关的货物）。</w:t>
      </w:r>
      <w:r/>
    </w:p>
    <w:p>
      <w:pPr>
        <w:ind w:firstLine="480"/>
        <w:jc w:val="left"/>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2.我们完全理解贵方不一定将合同授予最低报价的供应商。</w:t>
      </w:r>
      <w:r/>
    </w:p>
    <w:p>
      <w:pPr>
        <w:ind w:firstLine="480"/>
        <w:jc w:val="left"/>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4.我们同意从规定的磋商日期起遵循本响应文件，并在规定的磋商有效期期满之前均具有约束力。</w:t>
      </w:r>
      <w:r/>
    </w:p>
    <w:p>
      <w:pPr>
        <w:ind w:firstLine="480"/>
        <w:jc w:val="left"/>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7.我方承诺为本项目配备的人员为‌直接雇佣关系‌，工资由我方‌自行发放‌，不通过第三方机构代发；违反该要求视为无效响应或合同违约。</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7.我方为：</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大型企业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中型企业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小型企业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微型企业（在对应</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内</w:t>
      </w:r>
      <w:r>
        <w:rPr>
          <w:rFonts w:hint="eastAsia" w:ascii="宋体" w:hAnsi="宋体"/>
          <w:color w:val="000000" w:themeColor="text1"/>
          <w:sz w:val="24"/>
          <w:szCs w:val="24"/>
          <w:lang w:val="zh-CN"/>
          <w14:textFill>
            <w14:solidFill>
              <w14:schemeClr w14:val="tx1"/>
            </w14:solidFill>
          </w14:textFill>
        </w:rPr>
        <w:t xml:space="preserve">打</w:t>
      </w:r>
      <w:r>
        <w:rPr>
          <w:rFonts w:hint="eastAsia" w:ascii="宋体" w:hAnsi="宋体" w:cs="Verdana"/>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8.我方与本磋商有关的正式通讯地址为：</w:t>
      </w:r>
      <w:r/>
    </w:p>
    <w:p>
      <w:pPr>
        <w:pStyle w:val="1022"/>
        <w:spacing w:before="0" w:after="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  址：</w:t>
      </w:r>
      <w:r/>
    </w:p>
    <w:p>
      <w:pPr>
        <w:pStyle w:val="1022"/>
        <w:spacing w:before="0" w:after="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邮  编：</w:t>
      </w:r>
      <w:r/>
    </w:p>
    <w:p>
      <w:pPr>
        <w:pStyle w:val="1022"/>
        <w:spacing w:before="0" w:after="0"/>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w:t>
      </w:r>
      <w:r/>
    </w:p>
    <w:p>
      <w:pPr>
        <w:pStyle w:val="1022"/>
        <w:spacing w:before="0" w:after="0"/>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传  真：</w:t>
      </w:r>
      <w:r/>
    </w:p>
    <w:p>
      <w:pPr>
        <w:pStyle w:val="1022"/>
        <w:spacing w:before="0" w:after="0"/>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开户行：</w:t>
      </w:r>
      <w:r/>
    </w:p>
    <w:p>
      <w:pPr>
        <w:pStyle w:val="1022"/>
        <w:spacing w:before="0" w:after="0"/>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  号：</w:t>
      </w:r>
      <w:r/>
    </w:p>
    <w:p>
      <w:pPr>
        <w:ind w:right="18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供应商名称：（加盖电子公章）</w:t>
      </w:r>
      <w:r/>
    </w:p>
    <w:p>
      <w:pPr>
        <w:pStyle w:val="1022"/>
        <w:spacing w:before="0" w:after="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w:t>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五、磋商报价表</w:t>
      </w:r>
      <w:r/>
    </w:p>
    <w:p>
      <w:pPr>
        <w:jc w:val="center"/>
        <w:spacing w:line="48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磋商报价表</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供应商名称：（加盖电子公章） </w:t>
      </w:r>
      <w:r/>
    </w:p>
    <w:p>
      <w:pPr>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                                   采购包号：                                 </w:t>
      </w:r>
      <w:r/>
    </w:p>
    <w:tbl>
      <w:tblPr>
        <w:tblStyle w:val="752"/>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总报价</w:t>
            </w:r>
            <w:r/>
          </w:p>
        </w:tc>
      </w:tr>
      <w:tr>
        <w:trPr>
          <w:cantSplit/>
          <w:trHeight w:val="780"/>
        </w:trPr>
        <w:tc>
          <w:tcPr>
            <w:tcW w:w="9748" w:type="dxa"/>
            <w:vAlign w:val="center"/>
            <w:textDirection w:val="lrTb"/>
            <w:noWrap w:val="false"/>
          </w:tcPr>
          <w:p>
            <w:pPr>
              <w:pStyle w:val="1022"/>
              <w:ind w:firstLine="0"/>
              <w:spacing w:before="0" w:after="0" w:line="48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小写（元）：                             </w:t>
            </w:r>
            <w:r/>
          </w:p>
        </w:tc>
      </w:tr>
    </w:tbl>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480" w:lineRule="auto"/>
        <w:rPr>
          <w:rFonts w:hint="eastAsia" w:ascii="黑体" w:hAnsi="黑体" w:eastAsia="黑体"/>
          <w:b/>
          <w:i/>
          <w:color w:val="000000" w:themeColor="text1"/>
          <w:sz w:val="32"/>
          <w:szCs w:val="32"/>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日  期：</w:t>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ind w:firstLine="482"/>
        <w:spacing w:line="48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备注：</w:t>
      </w:r>
      <w:r/>
    </w:p>
    <w:p>
      <w:pPr>
        <w:numPr>
          <w:ilvl w:val="0"/>
          <w:numId w:val="12"/>
        </w:numPr>
        <w:ind w:firstLine="482"/>
        <w:spacing w:line="480" w:lineRule="exact"/>
        <w:rPr>
          <w:rFonts w:hint="eastAsia" w:ascii="仿宋" w:hAnsi="仿宋" w:eastAsia="仿宋" w:cs="仿宋"/>
          <w:b/>
          <w:bCs/>
          <w:color w:val="000000" w:themeColor="text1"/>
          <w:sz w:val="24"/>
          <w:szCs w:val="24"/>
          <w:lang w:val="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供应商报价低于采购项目预算50%，或者低于采购项目最高限价45%，或者</w:t>
      </w:r>
      <w:r>
        <w:rPr>
          <w:rFonts w:hint="eastAsia" w:ascii="仿宋" w:hAnsi="仿宋" w:eastAsia="仿宋" w:cs="仿宋"/>
          <w:b/>
          <w:bCs/>
          <w:color w:val="000000" w:themeColor="text1"/>
          <w:sz w:val="24"/>
          <w:szCs w:val="24"/>
          <w:lang w:val="zh-CN"/>
          <w14:textFill>
            <w14:solidFill>
              <w14:schemeClr w14:val="tx1"/>
            </w14:solidFill>
          </w14:textFill>
        </w:rPr>
        <w:t xml:space="preserve">报价</w:t>
      </w:r>
      <w:r>
        <w:rPr>
          <w:rFonts w:hint="eastAsia" w:ascii="仿宋" w:hAnsi="仿宋" w:eastAsia="仿宋" w:cs="仿宋"/>
          <w:b/>
          <w:bCs/>
          <w:color w:val="000000" w:themeColor="text1"/>
          <w:sz w:val="24"/>
          <w:szCs w:val="24"/>
          <w14:textFill>
            <w14:solidFill>
              <w14:schemeClr w14:val="tx1"/>
            </w14:solidFill>
          </w14:textFill>
        </w:rPr>
        <w:t xml:space="preserve">过低</w:t>
      </w:r>
      <w:r>
        <w:rPr>
          <w:rFonts w:hint="eastAsia" w:ascii="仿宋" w:hAnsi="仿宋" w:eastAsia="仿宋" w:cs="仿宋"/>
          <w:b/>
          <w:bCs/>
          <w:color w:val="000000" w:themeColor="text1"/>
          <w:sz w:val="24"/>
          <w:szCs w:val="24"/>
          <w:lang w:val="zh-CN"/>
          <w14:textFill>
            <w14:solidFill>
              <w14:schemeClr w14:val="tx1"/>
            </w14:solidFill>
          </w14:textFill>
        </w:rPr>
        <w:t xml:space="preserve">，有可能影响</w:t>
      </w:r>
      <w:r>
        <w:rPr>
          <w:rFonts w:hint="eastAsia" w:ascii="仿宋" w:hAnsi="仿宋" w:eastAsia="仿宋" w:cs="仿宋"/>
          <w:b/>
          <w:bCs/>
          <w:color w:val="000000" w:themeColor="text1"/>
          <w:sz w:val="24"/>
          <w:szCs w:val="24"/>
          <w14:textFill>
            <w14:solidFill>
              <w14:schemeClr w14:val="tx1"/>
            </w14:solidFill>
          </w14:textFill>
        </w:rPr>
        <w:t xml:space="preserve">产品或服务</w:t>
      </w:r>
      <w:r>
        <w:rPr>
          <w:rFonts w:hint="eastAsia" w:ascii="仿宋" w:hAnsi="仿宋" w:eastAsia="仿宋" w:cs="仿宋"/>
          <w:b/>
          <w:bCs/>
          <w:color w:val="000000" w:themeColor="text1"/>
          <w:sz w:val="24"/>
          <w:szCs w:val="24"/>
          <w:lang w:val="zh-CN"/>
          <w14:textFill>
            <w14:solidFill>
              <w14:schemeClr w14:val="tx1"/>
            </w14:solidFill>
          </w14:textFill>
        </w:rPr>
        <w:t xml:space="preserve">质量或不能诚信履约的，</w:t>
      </w:r>
      <w:r>
        <w:rPr>
          <w:rFonts w:hint="eastAsia" w:ascii="仿宋" w:hAnsi="仿宋" w:eastAsia="仿宋" w:cs="仿宋"/>
          <w:b/>
          <w:bCs/>
          <w:color w:val="000000" w:themeColor="text1"/>
          <w:sz w:val="24"/>
          <w:szCs w:val="24"/>
          <w14:textFill>
            <w14:solidFill>
              <w14:schemeClr w14:val="tx1"/>
            </w14:solidFill>
          </w14:textFill>
        </w:rPr>
        <w:t xml:space="preserve">磋商小组将启动异常低价响应审查机制，供应商应</w:t>
      </w:r>
      <w:r>
        <w:rPr>
          <w:rFonts w:hint="eastAsia" w:ascii="仿宋" w:hAnsi="仿宋" w:eastAsia="仿宋" w:cs="仿宋"/>
          <w:b/>
          <w:bCs/>
          <w:color w:val="000000" w:themeColor="text1"/>
          <w:sz w:val="24"/>
          <w:szCs w:val="24"/>
          <w:lang w:val="zh-CN"/>
          <w14:textFill>
            <w14:solidFill>
              <w14:schemeClr w14:val="tx1"/>
            </w14:solidFill>
          </w14:textFill>
        </w:rPr>
        <w:t xml:space="preserve">在</w:t>
      </w:r>
      <w:r>
        <w:rPr>
          <w:rFonts w:hint="eastAsia" w:ascii="仿宋" w:hAnsi="仿宋" w:eastAsia="仿宋" w:cs="仿宋"/>
          <w:b/>
          <w:bCs/>
          <w:color w:val="000000" w:themeColor="text1"/>
          <w:sz w:val="24"/>
          <w:szCs w:val="24"/>
          <w14:textFill>
            <w14:solidFill>
              <w14:schemeClr w14:val="tx1"/>
            </w14:solidFill>
          </w14:textFill>
        </w:rPr>
        <w:t xml:space="preserve">磋商小组规定的合理</w:t>
      </w:r>
      <w:r>
        <w:rPr>
          <w:rFonts w:hint="eastAsia" w:ascii="仿宋" w:hAnsi="仿宋" w:eastAsia="仿宋" w:cs="仿宋"/>
          <w:b/>
          <w:bCs/>
          <w:color w:val="000000" w:themeColor="text1"/>
          <w:sz w:val="24"/>
          <w:szCs w:val="24"/>
          <w:lang w:val="zh-CN"/>
          <w14:textFill>
            <w14:solidFill>
              <w14:schemeClr w14:val="tx1"/>
            </w14:solidFill>
          </w14:textFill>
        </w:rPr>
        <w:t xml:space="preserve">时间内</w:t>
      </w:r>
      <w:r>
        <w:rPr>
          <w:rFonts w:hint="eastAsia" w:ascii="仿宋" w:hAnsi="仿宋" w:eastAsia="仿宋" w:cs="仿宋"/>
          <w:b/>
          <w:bCs/>
          <w:color w:val="000000" w:themeColor="text1"/>
          <w:sz w:val="24"/>
          <w:szCs w:val="24"/>
          <w14:textFill>
            <w14:solidFill>
              <w14:schemeClr w14:val="tx1"/>
            </w14:solidFill>
          </w14:textFill>
        </w:rPr>
        <w:t xml:space="preserve">通过苏采云系统</w:t>
      </w:r>
      <w:r>
        <w:rPr>
          <w:rFonts w:hint="eastAsia" w:ascii="仿宋" w:hAnsi="仿宋" w:eastAsia="仿宋" w:cs="仿宋"/>
          <w:b/>
          <w:bCs/>
          <w:color w:val="000000" w:themeColor="text1"/>
          <w:sz w:val="24"/>
          <w:szCs w:val="24"/>
          <w:lang w:val="zh-CN"/>
          <w14:textFill>
            <w14:solidFill>
              <w14:schemeClr w14:val="tx1"/>
            </w14:solidFill>
          </w14:textFill>
        </w:rPr>
        <w:t xml:space="preserve">提供</w:t>
      </w:r>
      <w:r>
        <w:rPr>
          <w:rFonts w:hint="eastAsia" w:ascii="仿宋" w:hAnsi="仿宋" w:eastAsia="仿宋" w:cs="仿宋"/>
          <w:b/>
          <w:bCs/>
          <w:color w:val="000000" w:themeColor="text1"/>
          <w:sz w:val="24"/>
          <w:szCs w:val="24"/>
          <w14:textFill>
            <w14:solidFill>
              <w14:schemeClr w14:val="tx1"/>
            </w14:solidFill>
          </w14:textFill>
        </w:rPr>
        <w:t xml:space="preserve">项目具体成本测算等与报价合理性相关的书面</w:t>
      </w:r>
      <w:r>
        <w:rPr>
          <w:rFonts w:hint="eastAsia" w:ascii="仿宋" w:hAnsi="仿宋" w:eastAsia="仿宋" w:cs="仿宋"/>
          <w:b/>
          <w:bCs/>
          <w:color w:val="000000" w:themeColor="text1"/>
          <w:sz w:val="24"/>
          <w:szCs w:val="24"/>
          <w:lang w:val="zh-CN"/>
          <w14:textFill>
            <w14:solidFill>
              <w14:schemeClr w14:val="tx1"/>
            </w14:solidFill>
          </w14:textFill>
        </w:rPr>
        <w:t xml:space="preserve">说明</w:t>
      </w:r>
      <w:r>
        <w:rPr>
          <w:rFonts w:hint="eastAsia" w:ascii="仿宋" w:hAnsi="仿宋" w:eastAsia="仿宋" w:cs="仿宋"/>
          <w:b/>
          <w:bCs/>
          <w:color w:val="000000" w:themeColor="text1"/>
          <w:sz w:val="24"/>
          <w:szCs w:val="24"/>
          <w14:textFill>
            <w14:solidFill>
              <w14:schemeClr w14:val="tx1"/>
            </w14:solidFill>
          </w14:textFill>
        </w:rPr>
        <w:t xml:space="preserve">及相关证明材料</w:t>
      </w:r>
      <w:r>
        <w:rPr>
          <w:rFonts w:hint="eastAsia" w:ascii="仿宋" w:hAnsi="仿宋" w:eastAsia="仿宋" w:cs="仿宋"/>
          <w:b/>
          <w:bCs/>
          <w:color w:val="000000" w:themeColor="text1"/>
          <w:sz w:val="24"/>
          <w:szCs w:val="24"/>
          <w:lang w:val="zh-CN"/>
          <w14:textFill>
            <w14:solidFill>
              <w14:schemeClr w14:val="tx1"/>
            </w14:solidFill>
          </w14:textFill>
        </w:rPr>
        <w:t xml:space="preserve">。</w:t>
      </w:r>
      <w:r>
        <w:rPr>
          <w:rFonts w:hint="eastAsia" w:ascii="仿宋" w:hAnsi="仿宋" w:eastAsia="仿宋" w:cs="仿宋"/>
          <w:b/>
          <w:bCs/>
          <w:color w:val="000000" w:themeColor="text1"/>
          <w:sz w:val="24"/>
          <w:szCs w:val="24"/>
          <w14:textFill>
            <w14:solidFill>
              <w14:schemeClr w14:val="tx1"/>
            </w14:solidFill>
          </w14:textFill>
        </w:rPr>
        <w:t xml:space="preserve">供应商不提供书面说明及证明材料，或者书面说明、证明材料</w:t>
      </w:r>
      <w:r>
        <w:rPr>
          <w:rFonts w:hint="eastAsia" w:ascii="仿宋" w:hAnsi="仿宋" w:eastAsia="仿宋" w:cs="仿宋"/>
          <w:b/>
          <w:bCs/>
          <w:color w:val="000000" w:themeColor="text1"/>
          <w:sz w:val="24"/>
          <w:szCs w:val="24"/>
          <w:lang w:val="zh-CN"/>
          <w14:textFill>
            <w14:solidFill>
              <w14:schemeClr w14:val="tx1"/>
            </w14:solidFill>
          </w14:textFill>
        </w:rPr>
        <w:t xml:space="preserve">不能证明其报价合理性的，将作为无效</w:t>
      </w:r>
      <w:r>
        <w:rPr>
          <w:rFonts w:hint="eastAsia" w:ascii="仿宋" w:hAnsi="仿宋" w:eastAsia="仿宋" w:cs="仿宋"/>
          <w:b/>
          <w:bCs/>
          <w:color w:val="000000" w:themeColor="text1"/>
          <w:sz w:val="24"/>
          <w:szCs w:val="24"/>
          <w14:textFill>
            <w14:solidFill>
              <w14:schemeClr w14:val="tx1"/>
            </w14:solidFill>
          </w14:textFill>
        </w:rPr>
        <w:t xml:space="preserve">响应</w:t>
      </w:r>
      <w:r>
        <w:rPr>
          <w:rFonts w:hint="eastAsia" w:ascii="仿宋" w:hAnsi="仿宋" w:eastAsia="仿宋" w:cs="仿宋"/>
          <w:b/>
          <w:bCs/>
          <w:color w:val="000000" w:themeColor="text1"/>
          <w:sz w:val="24"/>
          <w:szCs w:val="24"/>
          <w:lang w:val="zh-CN"/>
          <w14:textFill>
            <w14:solidFill>
              <w14:schemeClr w14:val="tx1"/>
            </w14:solidFill>
          </w14:textFill>
        </w:rPr>
        <w:t xml:space="preserve">处理。</w:t>
      </w:r>
      <w:r/>
    </w:p>
    <w:p>
      <w:pPr>
        <w:numPr>
          <w:ilvl w:val="0"/>
          <w:numId w:val="12"/>
        </w:numPr>
        <w:ind w:firstLine="482"/>
        <w:spacing w:line="480" w:lineRule="exact"/>
        <w:rPr>
          <w:rFonts w:hint="eastAsia" w:ascii="仿宋" w:hAnsi="仿宋" w:eastAsia="仿宋" w:cs="仿宋"/>
          <w:b/>
          <w:bCs/>
          <w:color w:val="000000" w:themeColor="text1"/>
          <w:sz w:val="24"/>
          <w:szCs w:val="24"/>
          <w:highlight w:val="none"/>
          <w:lang w:val="zh-CN"/>
          <w14:textFill>
            <w14:solidFill>
              <w14:schemeClr w14:val="tx1"/>
            </w14:solidFill>
          </w14:textFill>
        </w:rPr>
      </w:pPr>
      <w:r>
        <w:rPr>
          <w:rFonts w:hint="eastAsia" w:ascii="仿宋" w:hAnsi="仿宋" w:eastAsia="仿宋" w:cs="仿宋"/>
          <w:b/>
          <w:bCs/>
          <w:i w:val="0"/>
          <w:iCs w:val="0"/>
          <w:color w:val="auto"/>
          <w:sz w:val="24"/>
          <w:szCs w:val="24"/>
          <w:highlight w:val="none"/>
        </w:rPr>
        <w:t xml:space="preserve">二轮报价</w:t>
      </w:r>
      <w:r>
        <w:rPr>
          <w:rFonts w:hint="eastAsia" w:ascii="仿宋" w:hAnsi="仿宋" w:eastAsia="仿宋" w:cs="仿宋"/>
          <w:b/>
          <w:bCs/>
          <w:i w:val="0"/>
          <w:iCs w:val="0"/>
          <w:color w:val="auto"/>
          <w:sz w:val="24"/>
          <w:szCs w:val="24"/>
          <w:highlight w:val="none"/>
          <w:lang w:val="en-US" w:eastAsia="zh-CN"/>
        </w:rPr>
        <w:t xml:space="preserve">时</w:t>
      </w:r>
      <w:r>
        <w:rPr>
          <w:rFonts w:hint="eastAsia" w:ascii="仿宋" w:hAnsi="仿宋" w:eastAsia="仿宋" w:cs="仿宋"/>
          <w:b/>
          <w:bCs/>
          <w:i w:val="0"/>
          <w:iCs w:val="0"/>
          <w:color w:val="auto"/>
          <w:sz w:val="24"/>
          <w:szCs w:val="24"/>
          <w:highlight w:val="none"/>
        </w:rPr>
        <w:t xml:space="preserve">需同时提供投标</w:t>
      </w:r>
      <w:r>
        <w:rPr>
          <w:rFonts w:hint="eastAsia" w:ascii="仿宋" w:hAnsi="仿宋" w:eastAsia="仿宋" w:cs="仿宋"/>
          <w:b/>
          <w:bCs/>
          <w:i w:val="0"/>
          <w:iCs w:val="0"/>
          <w:color w:val="auto"/>
          <w:sz w:val="24"/>
          <w:szCs w:val="24"/>
          <w:highlight w:val="none"/>
          <w:lang w:val="en-US" w:eastAsia="zh-CN"/>
        </w:rPr>
        <w:t xml:space="preserve">磋商报价表</w:t>
      </w:r>
      <w:r>
        <w:rPr>
          <w:rFonts w:hint="eastAsia" w:ascii="仿宋" w:hAnsi="仿宋" w:eastAsia="仿宋" w:cs="仿宋"/>
          <w:b/>
          <w:bCs/>
          <w:i w:val="0"/>
          <w:iCs w:val="0"/>
          <w:color w:val="auto"/>
          <w:sz w:val="24"/>
          <w:szCs w:val="24"/>
          <w:highlight w:val="none"/>
        </w:rPr>
        <w:t xml:space="preserve">和</w:t>
      </w:r>
      <w:r>
        <w:rPr>
          <w:rFonts w:hint="eastAsia" w:ascii="仿宋" w:hAnsi="仿宋" w:eastAsia="仿宋" w:cs="仿宋"/>
          <w:b/>
          <w:bCs/>
          <w:i w:val="0"/>
          <w:iCs w:val="0"/>
          <w:color w:val="auto"/>
          <w:sz w:val="24"/>
          <w:szCs w:val="24"/>
          <w:highlight w:val="none"/>
          <w:lang w:val="en-US" w:eastAsia="zh-CN"/>
        </w:rPr>
        <w:t xml:space="preserve">磋商报价明细表。</w:t>
      </w:r>
      <w:r/>
    </w:p>
    <w:p>
      <w:pPr>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br w:type="page" w:clear="all"/>
      </w:r>
      <w:r/>
    </w:p>
    <w:p>
      <w:pPr>
        <w:jc w:val="left"/>
        <w:spacing w:line="360" w:lineRule="auto"/>
        <w:rPr>
          <w:rFonts w:hint="eastAsia"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w:t>
      </w:r>
      <w:r>
        <w:rPr>
          <w:rFonts w:hint="eastAsia" w:ascii="黑体" w:hAnsi="黑体" w:eastAsia="黑体"/>
          <w:color w:val="000000" w:themeColor="text1"/>
          <w:sz w:val="32"/>
          <w:szCs w:val="32"/>
          <w:highlight w:val="none"/>
          <w14:textFill>
            <w14:solidFill>
              <w14:schemeClr w14:val="tx1"/>
            </w14:solidFill>
          </w14:textFill>
        </w:rPr>
        <w:t xml:space="preserve">磋商报价明细表</w:t>
      </w:r>
      <w:r/>
    </w:p>
    <w:p>
      <w:pPr>
        <w:jc w:val="center"/>
        <w:spacing w:line="360" w:lineRule="auto"/>
        <w:rPr>
          <w:rFonts w:hint="default" w:ascii="方正小标宋简体" w:hAnsi="方正小标宋简体" w:eastAsia="方正小标宋简体" w:cs="方正小标宋简体"/>
          <w:color w:val="000000" w:themeColor="text1"/>
          <w:sz w:val="32"/>
          <w:szCs w:val="32"/>
          <w:lang w:val="en-US" w:eastAsia="zh-CN"/>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磋商报价明细表</w:t>
      </w:r>
      <w:r>
        <w:rPr>
          <w:rFonts w:hint="eastAsia" w:ascii="方正小标宋简体" w:hAnsi="方正小标宋简体" w:eastAsia="方正小标宋简体" w:cs="方正小标宋简体"/>
          <w:color w:val="000000" w:themeColor="text1"/>
          <w:sz w:val="32"/>
          <w:szCs w:val="32"/>
          <w:lang w:eastAsia="zh-CN"/>
          <w14:textFill>
            <w14:solidFill>
              <w14:schemeClr w14:val="tx1"/>
            </w14:solidFill>
          </w14:textFill>
        </w:rPr>
        <w:t xml:space="preserve">（</w:t>
      </w:r>
      <w:r>
        <w:rPr>
          <w:rFonts w:hint="eastAsia" w:ascii="方正小标宋简体" w:hAnsi="方正小标宋简体" w:eastAsia="方正小标宋简体" w:cs="方正小标宋简体"/>
          <w:i w:val="0"/>
          <w:iCs w:val="0"/>
          <w:color w:val="000000" w:themeColor="text1"/>
          <w:sz w:val="32"/>
          <w:szCs w:val="32"/>
          <w:u w:val="single"/>
          <w:lang w:val="en-US" w:eastAsia="zh-CN"/>
          <w14:textFill>
            <w14:solidFill>
              <w14:schemeClr w14:val="tx1"/>
            </w14:solidFill>
          </w14:textFill>
        </w:rPr>
        <w:t xml:space="preserve">  </w:t>
      </w:r>
      <w:r>
        <w:rPr>
          <w:rFonts w:hint="eastAsia" w:ascii="方正小标宋简体" w:hAnsi="方正小标宋简体" w:eastAsia="方正小标宋简体" w:cs="方正小标宋简体"/>
          <w:color w:val="000000" w:themeColor="text1"/>
          <w:sz w:val="32"/>
          <w:szCs w:val="32"/>
          <w:lang w:val="en-US" w:eastAsia="zh-CN"/>
          <w14:textFill>
            <w14:solidFill>
              <w14:schemeClr w14:val="tx1"/>
            </w14:solidFill>
          </w14:textFill>
        </w:rPr>
        <w:t xml:space="preserve">轮）</w:t>
      </w:r>
      <w:r/>
    </w:p>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供应商名称：（加盖电子公章）</w:t>
      </w:r>
      <w:r/>
    </w:p>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项目名称：</w:t>
      </w:r>
      <w:r/>
    </w:p>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项目编号：</w:t>
      </w:r>
      <w:r/>
    </w:p>
    <w:tbl>
      <w:tblPr>
        <w:tblStyle w:val="752"/>
        <w:tblW w:w="51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2"/>
        <w:gridCol w:w="1470"/>
        <w:gridCol w:w="585"/>
        <w:gridCol w:w="935"/>
        <w:gridCol w:w="908"/>
        <w:gridCol w:w="946"/>
        <w:gridCol w:w="1241"/>
        <w:gridCol w:w="2926"/>
      </w:tblGrid>
      <w:tr>
        <w:trPr>
          <w:jc w:val="center"/>
          <w:trHeight w:val="819"/>
        </w:trPr>
        <w:tc>
          <w:tcPr>
            <w:tcW w:w="689"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序号</w:t>
            </w:r>
            <w:r/>
          </w:p>
        </w:tc>
        <w:tc>
          <w:tcPr>
            <w:tcW w:w="1577"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分项名称</w:t>
            </w:r>
            <w:r/>
          </w:p>
        </w:tc>
        <w:tc>
          <w:tcPr>
            <w:tcW w:w="628"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人数</w:t>
            </w:r>
            <w:r/>
          </w:p>
        </w:tc>
        <w:tc>
          <w:tcPr>
            <w:tcW w:w="1002"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单价</w:t>
            </w:r>
            <w:r>
              <w:rPr>
                <w:rFonts w:hint="eastAsia" w:ascii="宋体" w:hAnsi="宋体" w:cs="宋体"/>
                <w:b/>
                <w:bCs/>
                <w:color w:val="000000" w:themeColor="text1"/>
                <w:sz w:val="18"/>
                <w:szCs w:val="18"/>
                <w14:textFill>
                  <w14:solidFill>
                    <w14:schemeClr w14:val="tx1"/>
                  </w14:solidFill>
                </w14:textFill>
              </w:rPr>
              <w:br w:type="textWrapping" w:clear="all"/>
            </w:r>
            <w:r>
              <w:rPr>
                <w:rFonts w:hint="eastAsia" w:ascii="宋体" w:hAnsi="宋体" w:cs="宋体"/>
                <w:b/>
                <w:bCs/>
                <w:color w:val="000000" w:themeColor="text1"/>
                <w:sz w:val="18"/>
                <w:szCs w:val="18"/>
                <w14:textFill>
                  <w14:solidFill>
                    <w14:schemeClr w14:val="tx1"/>
                  </w14:solidFill>
                </w14:textFill>
              </w:rPr>
              <w:t xml:space="preserve">（元/人*月）</w:t>
            </w:r>
            <w:r/>
          </w:p>
        </w:tc>
        <w:tc>
          <w:tcPr>
            <w:tcW w:w="974" w:type="dxa"/>
            <w:vAlign w:val="center"/>
            <w:textDirection w:val="lrTb"/>
            <w:noWrap w:val="false"/>
          </w:tcPr>
          <w:p>
            <w:pPr>
              <w:jc w:val="center"/>
              <w:widowControl/>
              <w:rPr>
                <w:color w:val="000000" w:themeColor="text1"/>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月数</w:t>
            </w:r>
            <w:r/>
          </w:p>
        </w:tc>
        <w:tc>
          <w:tcPr>
            <w:tcW w:w="1015"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分项小计</w:t>
            </w:r>
            <w:r>
              <w:rPr>
                <w:rFonts w:hint="eastAsia" w:ascii="宋体" w:hAnsi="宋体" w:cs="宋体"/>
                <w:b/>
                <w:bCs/>
                <w:color w:val="000000" w:themeColor="text1"/>
                <w:sz w:val="18"/>
                <w:szCs w:val="18"/>
                <w14:textFill>
                  <w14:solidFill>
                    <w14:schemeClr w14:val="tx1"/>
                  </w14:solidFill>
                </w14:textFill>
              </w:rPr>
              <w:br w:type="textWrapping" w:clear="all"/>
            </w:r>
            <w:r>
              <w:rPr>
                <w:rFonts w:hint="eastAsia" w:ascii="宋体" w:hAnsi="宋体" w:cs="宋体"/>
                <w:b/>
                <w:bCs/>
                <w:color w:val="000000" w:themeColor="text1"/>
                <w:sz w:val="18"/>
                <w:szCs w:val="18"/>
                <w14:textFill>
                  <w14:solidFill>
                    <w14:schemeClr w14:val="tx1"/>
                  </w14:solidFill>
                </w14:textFill>
              </w:rPr>
              <w:t xml:space="preserve">（元）</w:t>
            </w:r>
            <w:r/>
          </w:p>
        </w:tc>
        <w:tc>
          <w:tcPr>
            <w:tcW w:w="1330" w:type="dxa"/>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费用计算公式</w:t>
            </w:r>
            <w:r/>
          </w:p>
        </w:tc>
        <w:tc>
          <w:tcPr>
            <w:tcW w:w="3138"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备注</w:t>
            </w:r>
            <w:r/>
          </w:p>
        </w:tc>
      </w:tr>
      <w:tr>
        <w:trPr>
          <w:jc w:val="center"/>
          <w:trHeight w:val="382"/>
        </w:trPr>
        <w:tc>
          <w:tcPr>
            <w:tcW w:w="689"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1</w:t>
            </w:r>
            <w:r/>
          </w:p>
        </w:tc>
        <w:tc>
          <w:tcPr>
            <w:gridSpan w:val="6"/>
            <w:tcW w:w="6526"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人员工资</w:t>
            </w:r>
            <w:r/>
          </w:p>
        </w:tc>
        <w:tc>
          <w:tcPr>
            <w:tcW w:w="3138" w:type="dxa"/>
            <w:vAlign w:val="center"/>
            <w:vMerge w:val="restart"/>
            <w:textDirection w:val="lrTb"/>
            <w:noWrap w:val="false"/>
          </w:tcPr>
          <w:p>
            <w:pPr>
              <w:jc w:val="left"/>
              <w:widowControl/>
              <w:rPr>
                <w:rStyle w:val="949"/>
                <w:color w:val="000000" w:themeColor="text1"/>
                <w:szCs w:val="21"/>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拟投入的人员不得低于</w:t>
            </w:r>
            <w:r>
              <w:rPr>
                <w:rFonts w:hint="eastAsia" w:ascii="宋体" w:hAnsi="宋体" w:cs="宋体"/>
                <w:b/>
                <w:bCs/>
                <w:color w:val="000000" w:themeColor="text1"/>
                <w:sz w:val="18"/>
                <w:szCs w:val="18"/>
                <w14:textFill>
                  <w14:solidFill>
                    <w14:schemeClr w14:val="tx1"/>
                  </w14:solidFill>
                </w14:textFill>
              </w:rPr>
              <w:t xml:space="preserve">19人</w:t>
            </w:r>
            <w:r>
              <w:rPr>
                <w:rFonts w:hint="eastAsia" w:ascii="宋体" w:hAnsi="宋体" w:cs="宋体"/>
                <w:color w:val="000000" w:themeColor="text1"/>
                <w:sz w:val="18"/>
                <w:szCs w:val="18"/>
                <w14:textFill>
                  <w14:solidFill>
                    <w14:schemeClr w14:val="tx1"/>
                  </w14:solidFill>
                </w14:textFill>
              </w:rPr>
              <w:t xml:space="preserve">，人员工资不得低于南京市最低工资标准，供应商须在《磋商报价明细表》中按照采购需求中物业服务人员岗位分别填报员工工资，否则做无效响应处理。</w:t>
            </w:r>
            <w:r/>
          </w:p>
        </w:tc>
      </w:tr>
      <w:tr>
        <w:trPr>
          <w:jc w:val="center"/>
          <w:trHeight w:val="499"/>
        </w:trPr>
        <w:tc>
          <w:tcPr>
            <w:tcW w:w="689"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w:t>
            </w:r>
            <w:r/>
          </w:p>
        </w:tc>
        <w:tc>
          <w:tcPr>
            <w:tcW w:w="1577"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628" w:type="dxa"/>
            <w:vAlign w:val="center"/>
            <w:textDirection w:val="lrTb"/>
            <w:noWrap w:val="false"/>
          </w:tcPr>
          <w:p>
            <w:pPr>
              <w:jc w:val="center"/>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1002" w:type="dxa"/>
            <w:vAlign w:val="center"/>
            <w:textDirection w:val="lrTb"/>
            <w:noWrap w:val="false"/>
          </w:tcPr>
          <w:p>
            <w:pPr>
              <w:jc w:val="center"/>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974" w:type="dxa"/>
            <w:vAlign w:val="center"/>
            <w:textDirection w:val="lrTb"/>
            <w:noWrap w:val="false"/>
          </w:tcPr>
          <w:p>
            <w:pPr>
              <w:jc w:val="center"/>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1015" w:type="dxa"/>
            <w:vAlign w:val="center"/>
            <w:textDirection w:val="lrTb"/>
            <w:noWrap w:val="false"/>
          </w:tcPr>
          <w:p>
            <w:pPr>
              <w:jc w:val="center"/>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1330" w:type="dxa"/>
            <w:vAlign w:val="center"/>
            <w:textDirection w:val="lrTb"/>
            <w:noWrap w:val="false"/>
          </w:tcPr>
          <w:p>
            <w:pPr>
              <w:jc w:val="left"/>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3138" w:type="dxa"/>
            <w:vAlign w:val="center"/>
            <w:vMerge w:val="continue"/>
            <w:textDirection w:val="lrTb"/>
            <w:noWrap w:val="false"/>
          </w:tcPr>
          <w:p>
            <w:pPr>
              <w:jc w:val="left"/>
              <w:rPr>
                <w:rStyle w:val="94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99"/>
        </w:trPr>
        <w:tc>
          <w:tcPr>
            <w:tcW w:w="689"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w:t>
            </w:r>
            <w:r/>
          </w:p>
        </w:tc>
        <w:tc>
          <w:tcPr>
            <w:tcW w:w="1577"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628" w:type="dxa"/>
            <w:vAlign w:val="center"/>
            <w:textDirection w:val="lrTb"/>
            <w:noWrap w:val="false"/>
          </w:tcPr>
          <w:p>
            <w:pPr>
              <w:jc w:val="center"/>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1002" w:type="dxa"/>
            <w:vAlign w:val="center"/>
            <w:textDirection w:val="lrTb"/>
            <w:noWrap w:val="false"/>
          </w:tcPr>
          <w:p>
            <w:pPr>
              <w:jc w:val="center"/>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974" w:type="dxa"/>
            <w:vAlign w:val="center"/>
            <w:textDirection w:val="lrTb"/>
            <w:noWrap w:val="false"/>
          </w:tcPr>
          <w:p>
            <w:pPr>
              <w:jc w:val="center"/>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1015" w:type="dxa"/>
            <w:vAlign w:val="center"/>
            <w:textDirection w:val="lrTb"/>
            <w:noWrap w:val="false"/>
          </w:tcPr>
          <w:p>
            <w:pPr>
              <w:jc w:val="center"/>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1330" w:type="dxa"/>
            <w:vAlign w:val="center"/>
            <w:textDirection w:val="lrTb"/>
            <w:noWrap w:val="false"/>
          </w:tcPr>
          <w:p>
            <w:pPr>
              <w:jc w:val="left"/>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3138" w:type="dxa"/>
            <w:vAlign w:val="center"/>
            <w:vMerge w:val="continue"/>
            <w:textDirection w:val="lrTb"/>
            <w:noWrap w:val="false"/>
          </w:tcPr>
          <w:p>
            <w:pPr>
              <w:jc w:val="left"/>
              <w:rPr>
                <w:rStyle w:val="94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99"/>
        </w:trPr>
        <w:tc>
          <w:tcPr>
            <w:tcW w:w="689"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w:t>
            </w:r>
            <w:r/>
          </w:p>
        </w:tc>
        <w:tc>
          <w:tcPr>
            <w:tcW w:w="1577"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628" w:type="dxa"/>
            <w:vAlign w:val="center"/>
            <w:textDirection w:val="lrTb"/>
            <w:noWrap w:val="false"/>
          </w:tcPr>
          <w:p>
            <w:pPr>
              <w:jc w:val="center"/>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1002" w:type="dxa"/>
            <w:vAlign w:val="center"/>
            <w:textDirection w:val="lrTb"/>
            <w:noWrap w:val="false"/>
          </w:tcPr>
          <w:p>
            <w:pPr>
              <w:jc w:val="center"/>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974" w:type="dxa"/>
            <w:vAlign w:val="center"/>
            <w:textDirection w:val="lrTb"/>
            <w:noWrap w:val="false"/>
          </w:tcPr>
          <w:p>
            <w:pPr>
              <w:jc w:val="center"/>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1015" w:type="dxa"/>
            <w:vAlign w:val="center"/>
            <w:textDirection w:val="lrTb"/>
            <w:noWrap w:val="false"/>
          </w:tcPr>
          <w:p>
            <w:pPr>
              <w:jc w:val="center"/>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1330" w:type="dxa"/>
            <w:vAlign w:val="center"/>
            <w:textDirection w:val="lrTb"/>
            <w:noWrap w:val="false"/>
          </w:tcPr>
          <w:p>
            <w:pPr>
              <w:jc w:val="left"/>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3138" w:type="dxa"/>
            <w:vAlign w:val="center"/>
            <w:vMerge w:val="continue"/>
            <w:textDirection w:val="lrTb"/>
            <w:noWrap w:val="false"/>
          </w:tcPr>
          <w:p>
            <w:pPr>
              <w:jc w:val="left"/>
              <w:rPr>
                <w:rStyle w:val="94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W w:w="689"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w:t>
            </w:r>
            <w:r/>
          </w:p>
        </w:tc>
        <w:tc>
          <w:tcPr>
            <w:tcW w:w="1577"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628" w:type="dxa"/>
            <w:vAlign w:val="center"/>
            <w:textDirection w:val="lrTb"/>
            <w:noWrap w:val="false"/>
          </w:tcPr>
          <w:p>
            <w:pPr>
              <w:jc w:val="center"/>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1002" w:type="dxa"/>
            <w:vAlign w:val="center"/>
            <w:textDirection w:val="lrTb"/>
            <w:noWrap w:val="false"/>
          </w:tcPr>
          <w:p>
            <w:pPr>
              <w:jc w:val="center"/>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974" w:type="dxa"/>
            <w:vAlign w:val="center"/>
            <w:textDirection w:val="lrTb"/>
            <w:noWrap w:val="false"/>
          </w:tcPr>
          <w:p>
            <w:pPr>
              <w:jc w:val="center"/>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1015" w:type="dxa"/>
            <w:vAlign w:val="center"/>
            <w:textDirection w:val="lrTb"/>
            <w:noWrap w:val="false"/>
          </w:tcPr>
          <w:p>
            <w:pPr>
              <w:jc w:val="center"/>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1330" w:type="dxa"/>
            <w:vAlign w:val="center"/>
            <w:textDirection w:val="lrTb"/>
            <w:noWrap w:val="false"/>
          </w:tcPr>
          <w:p>
            <w:pPr>
              <w:jc w:val="left"/>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3138" w:type="dxa"/>
            <w:vAlign w:val="center"/>
            <w:vMerge w:val="continue"/>
            <w:textDirection w:val="lrTb"/>
            <w:noWrap w:val="false"/>
          </w:tcPr>
          <w:p>
            <w:pPr>
              <w:jc w:val="left"/>
              <w:rPr>
                <w:rStyle w:val="949"/>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1347"/>
        </w:trPr>
        <w:tc>
          <w:tcPr>
            <w:tcW w:w="689"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2</w:t>
            </w:r>
            <w:r/>
          </w:p>
        </w:tc>
        <w:tc>
          <w:tcPr>
            <w:gridSpan w:val="6"/>
            <w:tcW w:w="6526" w:type="dxa"/>
            <w:vAlign w:val="center"/>
            <w:textDirection w:val="lrTb"/>
            <w:noWrap w:val="false"/>
          </w:tcPr>
          <w:p>
            <w:pPr>
              <w:jc w:val="left"/>
              <w:rPr>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社保公积金</w:t>
            </w:r>
            <w:r/>
          </w:p>
        </w:tc>
        <w:tc>
          <w:tcPr>
            <w:tcW w:w="3138" w:type="dxa"/>
            <w:vAlign w:val="center"/>
            <w:textDirection w:val="lrTb"/>
            <w:noWrap w:val="false"/>
          </w:tcPr>
          <w:p>
            <w:pPr>
              <w:jc w:val="left"/>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lang w:bidi="ar"/>
                <w14:textFill>
                  <w14:solidFill>
                    <w14:schemeClr w14:val="tx1"/>
                  </w14:solidFill>
                </w14:textFill>
              </w:rPr>
              <w:t xml:space="preserve">如供应商拟投入本项目的服务人员中有依法享受社保、住房公积金等缴纳减免政策的，该表后须</w:t>
            </w:r>
            <w:r>
              <w:rPr>
                <w:rFonts w:hint="eastAsia" w:ascii="宋体" w:hAnsi="宋体" w:cs="宋体"/>
                <w:b/>
                <w:bCs/>
                <w:color w:val="000000" w:themeColor="text1"/>
                <w:sz w:val="18"/>
                <w:szCs w:val="18"/>
                <w:lang w:bidi="ar"/>
                <w14:textFill>
                  <w14:solidFill>
                    <w14:schemeClr w14:val="tx1"/>
                  </w14:solidFill>
                </w14:textFill>
              </w:rPr>
              <w:t xml:space="preserve">附说明材料</w:t>
            </w:r>
            <w:r>
              <w:rPr>
                <w:rFonts w:hint="eastAsia" w:ascii="宋体" w:hAnsi="宋体" w:cs="宋体"/>
                <w:color w:val="000000" w:themeColor="text1"/>
                <w:sz w:val="18"/>
                <w:szCs w:val="18"/>
                <w:lang w:bidi="ar"/>
                <w14:textFill>
                  <w14:solidFill>
                    <w14:schemeClr w14:val="tx1"/>
                  </w14:solidFill>
                </w14:textFill>
              </w:rPr>
              <w:t xml:space="preserve">，未提供说明材料或说明材料内容不符合政策规定的将被视为未实质性响应磋商文件。成交结果发布后签订合同前成交供应商向采购人提供符合减免政策的证明材料，无法提供或证明材料与该表后所附说明不符的将被视为虚假响应，取消成交资格。</w:t>
            </w:r>
            <w:r/>
          </w:p>
        </w:tc>
      </w:tr>
      <w:tr>
        <w:trPr>
          <w:jc w:val="center"/>
          <w:trHeight w:val="415"/>
        </w:trPr>
        <w:tc>
          <w:tcPr>
            <w:tcW w:w="689"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2.1</w:t>
            </w:r>
            <w:r/>
          </w:p>
        </w:tc>
        <w:tc>
          <w:tcPr>
            <w:gridSpan w:val="6"/>
            <w:tcW w:w="6526"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社会保险</w:t>
            </w:r>
            <w:r/>
          </w:p>
        </w:tc>
        <w:tc>
          <w:tcPr>
            <w:tcW w:w="3138" w:type="dxa"/>
            <w:vAlign w:val="center"/>
            <w:vMerge w:val="restart"/>
            <w:textDirection w:val="lrTb"/>
            <w:noWrap w:val="false"/>
          </w:tcPr>
          <w:p>
            <w:pPr>
              <w:jc w:val="left"/>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社保费用不得低于南京市最低标准，否则做无效响应处理。</w:t>
            </w:r>
            <w:r/>
          </w:p>
        </w:tc>
      </w:tr>
      <w:tr>
        <w:trPr>
          <w:jc w:val="center"/>
          <w:trHeight w:val="499"/>
        </w:trPr>
        <w:tc>
          <w:tcPr>
            <w:tcW w:w="689"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w:t>
            </w:r>
            <w:r/>
          </w:p>
        </w:tc>
        <w:tc>
          <w:tcPr>
            <w:tcW w:w="1577"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628"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002"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74"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015"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330"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3138"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67"/>
        </w:trPr>
        <w:tc>
          <w:tcPr>
            <w:tcW w:w="689"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w:t>
            </w:r>
            <w:r/>
          </w:p>
        </w:tc>
        <w:tc>
          <w:tcPr>
            <w:tcW w:w="1577"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628"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002"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74"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015"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330"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3138"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36"/>
        </w:trPr>
        <w:tc>
          <w:tcPr>
            <w:tcW w:w="689"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w:t>
            </w:r>
            <w:r/>
          </w:p>
        </w:tc>
        <w:tc>
          <w:tcPr>
            <w:tcW w:w="1577"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628"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002"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74"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015"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330"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3138"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05"/>
        </w:trPr>
        <w:tc>
          <w:tcPr>
            <w:tcW w:w="689"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w:t>
            </w:r>
            <w:r/>
          </w:p>
        </w:tc>
        <w:tc>
          <w:tcPr>
            <w:tcW w:w="1577"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628"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002"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74"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015"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330"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3138"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383"/>
        </w:trPr>
        <w:tc>
          <w:tcPr>
            <w:tcW w:w="689"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Style w:val="949"/>
                <w:rFonts w:hint="eastAsia" w:ascii="宋体" w:hAnsi="宋体" w:cs="宋体"/>
                <w:b/>
                <w:bCs/>
                <w:color w:val="000000" w:themeColor="text1"/>
                <w:sz w:val="18"/>
                <w:szCs w:val="18"/>
                <w14:textFill>
                  <w14:solidFill>
                    <w14:schemeClr w14:val="tx1"/>
                  </w14:solidFill>
                </w14:textFill>
              </w:rPr>
              <w:t xml:space="preserve">2.2</w:t>
            </w:r>
            <w:r/>
          </w:p>
        </w:tc>
        <w:tc>
          <w:tcPr>
            <w:gridSpan w:val="6"/>
            <w:tcW w:w="6526"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公积金</w:t>
            </w:r>
            <w:r/>
          </w:p>
        </w:tc>
        <w:tc>
          <w:tcPr>
            <w:tcW w:w="3138" w:type="dxa"/>
            <w:vAlign w:val="center"/>
            <w:vMerge w:val="restart"/>
            <w:textDirection w:val="lrTb"/>
            <w:noWrap w:val="false"/>
          </w:tcPr>
          <w:p>
            <w:pPr>
              <w:jc w:val="left"/>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公积金不得低于南京市最低标准，且最低工资不包含劳动者按下限缴存的住房公积金，由用人单位按规定另行支付，须测算在公积金报价中，否则做无效响应处理。</w:t>
            </w:r>
            <w:r/>
          </w:p>
        </w:tc>
      </w:tr>
      <w:tr>
        <w:trPr>
          <w:jc w:val="center"/>
          <w:trHeight w:val="426"/>
        </w:trPr>
        <w:tc>
          <w:tcPr>
            <w:tcW w:w="689"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w:t>
            </w:r>
            <w:r/>
          </w:p>
        </w:tc>
        <w:tc>
          <w:tcPr>
            <w:tcW w:w="1577" w:type="dxa"/>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628"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002"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74"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015"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330"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3138"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16"/>
        </w:trPr>
        <w:tc>
          <w:tcPr>
            <w:tcW w:w="689"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w:t>
            </w:r>
            <w:r/>
          </w:p>
        </w:tc>
        <w:tc>
          <w:tcPr>
            <w:tcW w:w="1577" w:type="dxa"/>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628"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002"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74"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015"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330"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3138"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47"/>
        </w:trPr>
        <w:tc>
          <w:tcPr>
            <w:tcW w:w="689"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w:t>
            </w:r>
            <w:r/>
          </w:p>
        </w:tc>
        <w:tc>
          <w:tcPr>
            <w:tcW w:w="1577" w:type="dxa"/>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628"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002"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74"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015"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330"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3138"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24"/>
        </w:trPr>
        <w:tc>
          <w:tcPr>
            <w:tcW w:w="689"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w:t>
            </w:r>
            <w:r/>
          </w:p>
        </w:tc>
        <w:tc>
          <w:tcPr>
            <w:tcW w:w="1577" w:type="dxa"/>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W w:w="628"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002"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74"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015"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330"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3138" w:type="dxa"/>
            <w:vAlign w:val="center"/>
            <w:vMerge w:val="continue"/>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239"/>
        </w:trPr>
        <w:tc>
          <w:tcPr>
            <w:tcW w:w="689" w:type="dxa"/>
            <w:vAlign w:val="center"/>
            <w:vMerge w:val="restart"/>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3</w:t>
            </w:r>
            <w:r/>
          </w:p>
        </w:tc>
        <w:tc>
          <w:tcPr>
            <w:tcW w:w="1577" w:type="dxa"/>
            <w:vAlign w:val="center"/>
            <w:vMerge w:val="restart"/>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法定节假日人员加班费</w:t>
            </w:r>
            <w:r/>
          </w:p>
        </w:tc>
        <w:tc>
          <w:tcPr>
            <w:tcW w:w="628"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Style w:val="949"/>
                <w:rFonts w:hint="eastAsia" w:ascii="宋体" w:hAnsi="宋体" w:cs="宋体"/>
                <w:color w:val="000000" w:themeColor="text1"/>
                <w:sz w:val="18"/>
                <w:szCs w:val="18"/>
                <w14:textFill>
                  <w14:solidFill>
                    <w14:schemeClr w14:val="tx1"/>
                  </w14:solidFill>
                </w14:textFill>
              </w:rPr>
              <w:t xml:space="preserve">人数</w:t>
            </w:r>
            <w:r/>
          </w:p>
        </w:tc>
        <w:tc>
          <w:tcPr>
            <w:tcW w:w="1002"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人员工资</w:t>
            </w:r>
            <w:r>
              <w:rPr>
                <w:rFonts w:hint="eastAsia" w:ascii="宋体" w:hAnsi="宋体" w:cs="宋体"/>
                <w:color w:val="000000" w:themeColor="text1"/>
                <w:sz w:val="18"/>
                <w:szCs w:val="18"/>
                <w14:textFill>
                  <w14:solidFill>
                    <w14:schemeClr w14:val="tx1"/>
                  </w14:solidFill>
                </w14:textFill>
              </w:rPr>
              <w:br w:type="textWrapping" w:clear="all"/>
            </w:r>
            <w:r>
              <w:rPr>
                <w:rFonts w:hint="eastAsia" w:ascii="宋体" w:hAnsi="宋体" w:cs="宋体"/>
                <w:color w:val="000000" w:themeColor="text1"/>
                <w:sz w:val="18"/>
                <w:szCs w:val="18"/>
                <w14:textFill>
                  <w14:solidFill>
                    <w14:schemeClr w14:val="tx1"/>
                  </w14:solidFill>
                </w14:textFill>
              </w:rPr>
              <w:t xml:space="preserve">（元/人*月）</w:t>
            </w:r>
            <w:r/>
          </w:p>
        </w:tc>
        <w:tc>
          <w:tcPr>
            <w:tcW w:w="974"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法定节假日天数</w:t>
            </w:r>
            <w:r/>
          </w:p>
        </w:tc>
        <w:tc>
          <w:tcPr>
            <w:tcW w:w="1015"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Style w:val="949"/>
                <w:rFonts w:hint="eastAsia" w:ascii="宋体" w:hAnsi="宋体" w:cs="宋体"/>
                <w:color w:val="000000" w:themeColor="text1"/>
                <w:sz w:val="18"/>
                <w:szCs w:val="18"/>
                <w14:textFill>
                  <w14:solidFill>
                    <w14:schemeClr w14:val="tx1"/>
                  </w14:solidFill>
                </w14:textFill>
              </w:rPr>
              <w:t xml:space="preserve">分项小计（元）</w:t>
            </w:r>
            <w:r/>
          </w:p>
        </w:tc>
        <w:tc>
          <w:tcPr>
            <w:tcW w:w="1330"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费用计算公式</w:t>
            </w:r>
            <w:r/>
          </w:p>
        </w:tc>
        <w:tc>
          <w:tcPr>
            <w:tcW w:w="3138" w:type="dxa"/>
            <w:vAlign w:val="center"/>
            <w:textDirection w:val="lrTb"/>
            <w:noWrap w:val="false"/>
          </w:tcPr>
          <w:p>
            <w:pPr>
              <w:jc w:val="left"/>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法定节假日安排劳动者工作的，支付不低于正常工资的百分之三百的工资报酬。本项目物业管理服务法定节假日在岗人数不少于</w:t>
            </w:r>
            <w:r>
              <w:rPr>
                <w:rFonts w:hint="eastAsia" w:ascii="宋体" w:hAnsi="宋体" w:cs="宋体"/>
                <w:b/>
                <w:bCs/>
                <w:color w:val="000000" w:themeColor="text1"/>
                <w:sz w:val="18"/>
                <w:szCs w:val="18"/>
                <w14:textFill>
                  <w14:solidFill>
                    <w14:schemeClr w14:val="tx1"/>
                  </w14:solidFill>
                </w14:textFill>
              </w:rPr>
              <w:t xml:space="preserve">5人</w:t>
            </w:r>
            <w:r>
              <w:rPr>
                <w:rFonts w:hint="eastAsia" w:ascii="宋体" w:hAnsi="宋体" w:cs="宋体"/>
                <w:color w:val="000000" w:themeColor="text1"/>
                <w:sz w:val="18"/>
                <w:szCs w:val="18"/>
                <w14:textFill>
                  <w14:solidFill>
                    <w14:schemeClr w14:val="tx1"/>
                  </w14:solidFill>
                </w14:textFill>
              </w:rPr>
              <w:t xml:space="preserve">，报价中的“法定节假日人员加班费”不得低于上述要求，并按照本项目合同履行期内的法定节假日天数进行测算，否则做无效响应处理。</w:t>
            </w:r>
            <w:r/>
          </w:p>
        </w:tc>
      </w:tr>
      <w:tr>
        <w:trPr>
          <w:jc w:val="center"/>
          <w:trHeight w:val="517"/>
        </w:trPr>
        <w:tc>
          <w:tcPr>
            <w:tcW w:w="689" w:type="dxa"/>
            <w:vAlign w:val="center"/>
            <w:vMerge w:val="continue"/>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W w:w="1577" w:type="dxa"/>
            <w:vAlign w:val="center"/>
            <w:vMerge w:val="continue"/>
            <w:textDirection w:val="lrTb"/>
            <w:noWrap w:val="false"/>
          </w:tcPr>
          <w:p>
            <w:pPr>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W w:w="628"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002"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974"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015"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1330"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3138"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参考计算公式：人员工资÷21.75天（平均月计薪天数）×3×人数×合同履行期内的法定节假日天数</w:t>
            </w:r>
            <w:r>
              <w:rPr>
                <w:rFonts w:hint="eastAsia" w:ascii="宋体" w:hAnsi="宋体" w:cs="宋体"/>
                <w:b/>
                <w:bCs/>
                <w:color w:val="000000" w:themeColor="text1"/>
                <w:sz w:val="18"/>
                <w:szCs w:val="18"/>
                <w14:textFill>
                  <w14:solidFill>
                    <w14:schemeClr w14:val="tx1"/>
                  </w14:solidFill>
                </w14:textFill>
              </w:rPr>
              <w:t xml:space="preserve">(13天）</w:t>
            </w:r>
            <w:r/>
          </w:p>
        </w:tc>
      </w:tr>
      <w:tr>
        <w:trPr>
          <w:jc w:val="center"/>
          <w:trHeight w:val="424"/>
        </w:trPr>
        <w:tc>
          <w:tcPr>
            <w:tcW w:w="689"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4</w:t>
            </w:r>
            <w:r/>
          </w:p>
        </w:tc>
        <w:tc>
          <w:tcPr>
            <w:gridSpan w:val="7"/>
            <w:tcW w:w="9664" w:type="dxa"/>
            <w:vAlign w:val="center"/>
            <w:textDirection w:val="lrTb"/>
            <w:noWrap w:val="false"/>
          </w:tcPr>
          <w:p>
            <w:pPr>
              <w:jc w:val="left"/>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其他待遇费用</w:t>
            </w:r>
            <w:r/>
          </w:p>
        </w:tc>
      </w:tr>
      <w:tr>
        <w:trPr>
          <w:jc w:val="center"/>
          <w:trHeight w:val="499"/>
        </w:trPr>
        <w:tc>
          <w:tcPr>
            <w:tcW w:w="689"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w:t>
            </w:r>
            <w:r/>
          </w:p>
        </w:tc>
        <w:tc>
          <w:tcPr>
            <w:tcW w:w="1577"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人员福利</w:t>
            </w:r>
            <w:r/>
          </w:p>
        </w:tc>
        <w:tc>
          <w:tcPr>
            <w:gridSpan w:val="5"/>
            <w:tcW w:w="4949"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7600元</w:t>
            </w:r>
            <w:r/>
          </w:p>
        </w:tc>
        <w:tc>
          <w:tcPr>
            <w:tcW w:w="3138" w:type="dxa"/>
            <w:vAlign w:val="center"/>
            <w:textDirection w:val="lrTb"/>
            <w:noWrap w:val="false"/>
          </w:tcPr>
          <w:p>
            <w:pPr>
              <w:jc w:val="left"/>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19人*400元/人/年（春节200元/人、中秋节200元/人）本项为固定费用，投标方不得对该费用进行调整，报价需完全响应此固定金额，否则投标文件视为无效。</w:t>
            </w:r>
            <w:r/>
          </w:p>
        </w:tc>
      </w:tr>
      <w:tr>
        <w:trPr>
          <w:jc w:val="center"/>
          <w:trHeight w:val="499"/>
        </w:trPr>
        <w:tc>
          <w:tcPr>
            <w:tcW w:w="689"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w:t>
            </w:r>
            <w:r/>
          </w:p>
        </w:tc>
        <w:tc>
          <w:tcPr>
            <w:tcW w:w="1577"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体检费</w:t>
            </w:r>
            <w:r/>
          </w:p>
        </w:tc>
        <w:tc>
          <w:tcPr>
            <w:gridSpan w:val="5"/>
            <w:tcW w:w="4949"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6650元</w:t>
            </w:r>
            <w:r/>
          </w:p>
        </w:tc>
        <w:tc>
          <w:tcPr>
            <w:tcW w:w="3138" w:type="dxa"/>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一年一检。本项为固定费用，投标方不得对该费用进行调整，报价需完全响应此固定金额，否则投标文件视为无效。</w:t>
            </w:r>
            <w:r/>
          </w:p>
        </w:tc>
      </w:tr>
      <w:tr>
        <w:trPr>
          <w:jc w:val="center"/>
          <w:trHeight w:val="424"/>
        </w:trPr>
        <w:tc>
          <w:tcPr>
            <w:tcW w:w="689"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5</w:t>
            </w:r>
            <w:r/>
          </w:p>
        </w:tc>
        <w:tc>
          <w:tcPr>
            <w:gridSpan w:val="7"/>
            <w:tcW w:w="9664" w:type="dxa"/>
            <w:vAlign w:val="center"/>
            <w:textDirection w:val="lrTb"/>
            <w:noWrap w:val="false"/>
          </w:tcPr>
          <w:p>
            <w:pPr>
              <w:jc w:val="left"/>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行政办公费</w:t>
            </w:r>
            <w:r/>
          </w:p>
        </w:tc>
      </w:tr>
      <w:tr>
        <w:trPr>
          <w:jc w:val="center"/>
          <w:trHeight w:val="499"/>
        </w:trPr>
        <w:tc>
          <w:tcPr>
            <w:tcW w:w="689"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w:t>
            </w:r>
            <w:r/>
          </w:p>
        </w:tc>
        <w:tc>
          <w:tcPr>
            <w:tcW w:w="1577"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办公费</w:t>
            </w:r>
            <w:r/>
          </w:p>
        </w:tc>
        <w:tc>
          <w:tcPr>
            <w:gridSpan w:val="5"/>
            <w:tcW w:w="4949" w:type="dxa"/>
            <w:vAlign w:val="center"/>
            <w:textDirection w:val="lrTb"/>
            <w:noWrap w:val="false"/>
          </w:tcPr>
          <w:p>
            <w:pPr>
              <w:jc w:val="center"/>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3138" w:type="dxa"/>
            <w:vAlign w:val="center"/>
            <w:textDirection w:val="lrTb"/>
            <w:noWrap w:val="false"/>
          </w:tcPr>
          <w:p>
            <w:pPr>
              <w:jc w:val="center"/>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499"/>
        </w:trPr>
        <w:tc>
          <w:tcPr>
            <w:tcW w:w="689"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w:t>
            </w:r>
            <w:r/>
          </w:p>
        </w:tc>
        <w:tc>
          <w:tcPr>
            <w:tcW w:w="1577"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gridSpan w:val="5"/>
            <w:tcW w:w="4949" w:type="dxa"/>
            <w:vAlign w:val="center"/>
            <w:textDirection w:val="lrTb"/>
            <w:noWrap w:val="false"/>
          </w:tcPr>
          <w:p>
            <w:pP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3138" w:type="dxa"/>
            <w:vAlign w:val="center"/>
            <w:textDirection w:val="lrTb"/>
            <w:noWrap/>
          </w:tcPr>
          <w:p>
            <w:pP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499"/>
        </w:trPr>
        <w:tc>
          <w:tcPr>
            <w:tcW w:w="689"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w:t>
            </w:r>
            <w:r/>
          </w:p>
        </w:tc>
        <w:tc>
          <w:tcPr>
            <w:tcW w:w="1577" w:type="dxa"/>
            <w:vAlign w:val="center"/>
            <w:textDirection w:val="lrTb"/>
            <w:noWrap w:val="false"/>
          </w:tcPr>
          <w:p>
            <w:pPr>
              <w:jc w:val="cente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gridSpan w:val="5"/>
            <w:tcW w:w="4949" w:type="dxa"/>
            <w:vAlign w:val="center"/>
            <w:textDirection w:val="lrTb"/>
            <w:noWrap w:val="false"/>
          </w:tcPr>
          <w:p>
            <w:pPr>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3138" w:type="dxa"/>
            <w:vAlign w:val="center"/>
            <w:textDirection w:val="lrTb"/>
            <w:noWrap/>
          </w:tcPr>
          <w:p>
            <w:pPr>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499"/>
        </w:trPr>
        <w:tc>
          <w:tcPr>
            <w:tcW w:w="689"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6</w:t>
            </w:r>
            <w:r/>
          </w:p>
        </w:tc>
        <w:tc>
          <w:tcPr>
            <w:tcW w:w="1577"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设备维护费</w:t>
            </w:r>
            <w:r/>
          </w:p>
        </w:tc>
        <w:tc>
          <w:tcPr>
            <w:gridSpan w:val="5"/>
            <w:tcW w:w="4949" w:type="dxa"/>
            <w:vAlign w:val="center"/>
            <w:textDirection w:val="lrTb"/>
            <w:noWrap w:val="false"/>
          </w:tcPr>
          <w:p>
            <w:pPr>
              <w:jc w:val="center"/>
              <w:rPr>
                <w:rFonts w:hint="eastAsia" w:ascii="宋体" w:hAnsi="宋体" w:cs="宋体"/>
                <w:color w:val="000000" w:themeColor="text1"/>
                <w:sz w:val="18"/>
                <w:szCs w:val="18"/>
                <w14:textFill>
                  <w14:solidFill>
                    <w14:schemeClr w14:val="tx1"/>
                  </w14:solidFill>
                </w14:textFill>
              </w:rPr>
            </w:pPr>
            <w:r>
              <w:rPr>
                <w:rStyle w:val="949"/>
                <w:rFonts w:hint="eastAsia" w:ascii="宋体" w:hAnsi="宋体" w:cs="宋体"/>
                <w:color w:val="000000" w:themeColor="text1"/>
                <w:sz w:val="18"/>
                <w:szCs w:val="18"/>
                <w14:textFill>
                  <w14:solidFill>
                    <w14:schemeClr w14:val="tx1"/>
                  </w14:solidFill>
                </w14:textFill>
              </w:rPr>
              <w:t xml:space="preserve">100000元</w:t>
            </w:r>
            <w:r/>
          </w:p>
        </w:tc>
        <w:tc>
          <w:tcPr>
            <w:tcW w:w="3138" w:type="dxa"/>
            <w:vAlign w:val="center"/>
            <w:textDirection w:val="lrTb"/>
            <w:noWrap w:val="false"/>
          </w:tcPr>
          <w:p>
            <w:pPr>
              <w:rPr>
                <w:rFonts w:hint="eastAsia" w:ascii="宋体" w:hAnsi="宋体" w:cs="宋体"/>
                <w:color w:val="000000" w:themeColor="text1"/>
                <w:sz w:val="18"/>
                <w:szCs w:val="18"/>
                <w14:textFill>
                  <w14:solidFill>
                    <w14:schemeClr w14:val="tx1"/>
                  </w14:solidFill>
                </w14:textFill>
              </w:rPr>
            </w:pPr>
            <w:r>
              <w:rPr>
                <w:rStyle w:val="949"/>
                <w:rFonts w:hint="eastAsia" w:ascii="宋体" w:hAnsi="宋体" w:cs="宋体"/>
                <w:color w:val="000000" w:themeColor="text1"/>
                <w:sz w:val="18"/>
                <w:szCs w:val="18"/>
                <w14:textFill>
                  <w14:solidFill>
                    <w14:schemeClr w14:val="tx1"/>
                  </w14:solidFill>
                </w14:textFill>
              </w:rPr>
              <w:t xml:space="preserve">本项为固定费用，投标方不得对该费用进行调整，报价需完全响应此固定金额，否则投标文件视为无效，费用结算以实际产生为准。</w:t>
            </w:r>
            <w:r/>
          </w:p>
        </w:tc>
      </w:tr>
      <w:tr>
        <w:trPr>
          <w:jc w:val="center"/>
          <w:trHeight w:val="499"/>
        </w:trPr>
        <w:tc>
          <w:tcPr>
            <w:tcW w:w="689" w:type="dxa"/>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7</w:t>
            </w:r>
            <w:r/>
          </w:p>
        </w:tc>
        <w:tc>
          <w:tcPr>
            <w:tcW w:w="1577" w:type="dxa"/>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b/>
                <w:bCs/>
                <w:sz w:val="18"/>
                <w:szCs w:val="18"/>
                <w:lang w:bidi="ar"/>
              </w:rPr>
              <w:t xml:space="preserve">清洁耗材费</w:t>
            </w:r>
            <w:r/>
          </w:p>
        </w:tc>
        <w:tc>
          <w:tcPr>
            <w:gridSpan w:val="5"/>
            <w:tcW w:w="4949" w:type="dxa"/>
            <w:vAlign w:val="center"/>
            <w:textDirection w:val="lrTb"/>
            <w:noWrap w:val="false"/>
          </w:tcPr>
          <w:p>
            <w:pPr>
              <w:jc w:val="center"/>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3138" w:type="dxa"/>
            <w:vAlign w:val="center"/>
            <w:textDirection w:val="lrTb"/>
            <w:noWrap w:val="false"/>
          </w:tcPr>
          <w:p>
            <w:pPr>
              <w:jc w:val="center"/>
              <w:rPr>
                <w:rStyle w:val="949"/>
                <w:rFonts w:hint="eastAsia" w:ascii="宋体" w:hAnsi="宋体" w:cs="宋体"/>
                <w:color w:val="000000" w:themeColor="text1"/>
                <w:sz w:val="18"/>
                <w:szCs w:val="18"/>
                <w14:textFill>
                  <w14:solidFill>
                    <w14:schemeClr w14:val="tx1"/>
                  </w14:solidFill>
                </w14:textFill>
              </w:rPr>
            </w:pPr>
            <w:r>
              <w:rPr>
                <w:rStyle w:val="949"/>
                <w:rFonts w:hint="eastAsia" w:ascii="宋体" w:hAnsi="宋体" w:cs="宋体"/>
                <w:color w:val="000000" w:themeColor="text1"/>
                <w:sz w:val="18"/>
                <w:szCs w:val="18"/>
                <w14:textFill>
                  <w14:solidFill>
                    <w14:schemeClr w14:val="tx1"/>
                  </w14:solidFill>
                </w14:textFill>
              </w:rPr>
              <w:t xml:space="preserve">除会务用抽纸、卫生间卷纸、卫生间擦手纸等由采购人负责外，其余所有保洁类工具、劳动用品、保洁类用具、清洁用具用品、耗材（耗材包括但不限于洗手液、消毒液、洁厕灵、洗衣粉、垃圾袋、洗洁精、清洁球、空气清新剂等）均由供应商负责提供，所需费用均列入响应报价之中。漏报、忘报等均视为让利，采购人不予承担。</w:t>
            </w:r>
            <w:r/>
          </w:p>
        </w:tc>
      </w:tr>
      <w:tr>
        <w:trPr>
          <w:jc w:val="center"/>
          <w:trHeight w:val="424"/>
        </w:trPr>
        <w:tc>
          <w:tcPr>
            <w:tcW w:w="689"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Style w:val="949"/>
                <w:rFonts w:hint="eastAsia" w:ascii="宋体" w:hAnsi="宋体" w:cs="宋体"/>
                <w:b/>
                <w:bCs/>
                <w:color w:val="000000" w:themeColor="text1"/>
                <w:sz w:val="18"/>
                <w:szCs w:val="18"/>
                <w14:textFill>
                  <w14:solidFill>
                    <w14:schemeClr w14:val="tx1"/>
                  </w14:solidFill>
                </w14:textFill>
              </w:rPr>
              <w:t xml:space="preserve">8</w:t>
            </w:r>
            <w:r/>
          </w:p>
        </w:tc>
        <w:tc>
          <w:tcPr>
            <w:tcW w:w="1577"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管理费</w:t>
            </w:r>
            <w:r/>
          </w:p>
        </w:tc>
        <w:tc>
          <w:tcPr>
            <w:gridSpan w:val="5"/>
            <w:tcW w:w="4949" w:type="dxa"/>
            <w:vAlign w:val="center"/>
            <w:textDirection w:val="lrTb"/>
            <w:noWrap w:val="false"/>
          </w:tcPr>
          <w:p>
            <w:pP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3138" w:type="dxa"/>
            <w:vAlign w:val="center"/>
            <w:textDirection w:val="lrTb"/>
            <w:noWrap w:val="false"/>
          </w:tcPr>
          <w:p>
            <w:pPr>
              <w:widowControl/>
              <w:rPr>
                <w:rStyle w:val="949"/>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970"/>
        </w:trPr>
        <w:tc>
          <w:tcPr>
            <w:tcW w:w="689"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Style w:val="949"/>
                <w:rFonts w:hint="eastAsia" w:ascii="宋体" w:hAnsi="宋体" w:cs="宋体"/>
                <w:b/>
                <w:bCs/>
                <w:color w:val="000000" w:themeColor="text1"/>
                <w:sz w:val="18"/>
                <w:szCs w:val="18"/>
                <w14:textFill>
                  <w14:solidFill>
                    <w14:schemeClr w14:val="tx1"/>
                  </w14:solidFill>
                </w14:textFill>
              </w:rPr>
              <w:t xml:space="preserve">9</w:t>
            </w:r>
            <w:r/>
          </w:p>
        </w:tc>
        <w:tc>
          <w:tcPr>
            <w:tcW w:w="1577"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法定税费</w:t>
            </w:r>
            <w:r/>
          </w:p>
        </w:tc>
        <w:tc>
          <w:tcPr>
            <w:gridSpan w:val="5"/>
            <w:tcW w:w="4949" w:type="dxa"/>
            <w:vAlign w:val="center"/>
            <w:textDirection w:val="lrTb"/>
            <w:noWrap/>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eastAsia="宋体" w:cs="宋体"/>
                <w:sz w:val="24"/>
                <w:szCs w:val="24"/>
              </w:rPr>
              <w:t xml:space="preserve">（须填报税费费率、计算公式，否则作无效投标处理。）</w:t>
            </w:r>
            <w:r/>
          </w:p>
        </w:tc>
        <w:tc>
          <w:tcPr>
            <w:tcW w:w="3138" w:type="dxa"/>
            <w:vAlign w:val="center"/>
            <w:textDirection w:val="lrTb"/>
            <w:noWrap/>
          </w:tcPr>
          <w:p>
            <w:pPr>
              <w:pStyle w:val="1064"/>
              <w:rPr>
                <w:rStyle w:val="949"/>
                <w:rFonts w:hint="eastAsia" w:ascii="宋体" w:hAnsi="宋体" w:cs="宋体"/>
                <w:color w:val="000000" w:themeColor="text1"/>
                <w:sz w:val="18"/>
                <w:szCs w:val="18"/>
                <w14:textFill>
                  <w14:solidFill>
                    <w14:schemeClr w14:val="tx1"/>
                  </w14:solidFill>
                </w14:textFill>
              </w:rPr>
            </w:pPr>
            <w:r>
              <w:rPr>
                <w:rFonts w:hint="eastAsia" w:ascii="宋体" w:hAnsi="宋体" w:eastAsia="宋体" w:cs="宋体"/>
                <w:b/>
                <w:bCs/>
                <w:sz w:val="24"/>
                <w:szCs w:val="24"/>
                <w:lang w:val="en-US" w:eastAsia="zh-CN" w:bidi="ar-SA"/>
              </w:rPr>
              <w:t xml:space="preserve">法定税费：供应商应依法缴纳税费，《投标报价明细表》中应明确税费费率，同时应提供能清晰反映所应缴税费费率的证明材料（如：投标供应商本年度开具的任意一份票据扫描件、查询税务系统中的税费种认定信息截图、资格信息查询截图等材料）。未明确税费税率或提供的证明材料无法清晰反映所应缴税费费率或所提供的证明材料中的税费税率和《投标报价明细表》中填写的税费费率不一致的，作无效投标处理。</w:t>
            </w:r>
            <w:r/>
          </w:p>
        </w:tc>
      </w:tr>
      <w:tr>
        <w:trPr>
          <w:jc w:val="center"/>
          <w:trHeight w:val="424"/>
        </w:trPr>
        <w:tc>
          <w:tcPr>
            <w:tcW w:w="689"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10</w:t>
            </w:r>
            <w:r/>
          </w:p>
        </w:tc>
        <w:tc>
          <w:tcPr>
            <w:tcW w:w="1577" w:type="dxa"/>
            <w:vAlign w:val="center"/>
            <w:textDirection w:val="lrTb"/>
            <w:noWrap w:val="false"/>
          </w:tcPr>
          <w:p>
            <w:pPr>
              <w:jc w:val="center"/>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其他费用</w:t>
            </w:r>
            <w:r/>
          </w:p>
        </w:tc>
        <w:tc>
          <w:tcPr>
            <w:gridSpan w:val="5"/>
            <w:tcW w:w="4949" w:type="dxa"/>
            <w:vAlign w:val="center"/>
            <w:textDirection w:val="lrTb"/>
            <w:noWrap/>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W w:w="3138" w:type="dxa"/>
            <w:vAlign w:val="center"/>
            <w:textDirection w:val="lrTb"/>
            <w:noWrap/>
          </w:tcPr>
          <w:p>
            <w:pPr>
              <w:jc w:val="left"/>
              <w:widowControl/>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供应商认为可能发生的其他费用。</w:t>
            </w:r>
            <w:r/>
          </w:p>
        </w:tc>
      </w:tr>
      <w:tr>
        <w:trPr>
          <w:jc w:val="center"/>
          <w:trHeight w:val="549"/>
        </w:trPr>
        <w:tc>
          <w:tcPr>
            <w:tcW w:w="689" w:type="dxa"/>
            <w:vAlign w:val="center"/>
            <w:textDirection w:val="lrTb"/>
            <w:noWrap w:val="false"/>
          </w:tcPr>
          <w:p>
            <w:pPr>
              <w:jc w:val="center"/>
              <w:rPr>
                <w:rFonts w:hint="default" w:ascii="宋体" w:hAnsi="宋体" w:cs="宋体"/>
                <w:b/>
                <w:bCs/>
                <w:color w:val="000000" w:themeColor="text1"/>
                <w:sz w:val="18"/>
                <w:szCs w:val="18"/>
                <w:lang w:val="en-US" w:eastAsia="zh-CN"/>
                <w14:textFill>
                  <w14:solidFill>
                    <w14:schemeClr w14:val="tx1"/>
                  </w14:solidFill>
                </w14:textFill>
              </w:rPr>
            </w:pPr>
            <w:r>
              <w:rPr>
                <w:rFonts w:hint="eastAsia" w:ascii="宋体" w:hAnsi="宋体" w:cs="宋体"/>
                <w:b/>
                <w:bCs/>
                <w:color w:val="000000" w:themeColor="text1"/>
                <w:sz w:val="18"/>
                <w:szCs w:val="18"/>
                <w:lang w:val="en-US" w:eastAsia="zh-CN"/>
                <w14:textFill>
                  <w14:solidFill>
                    <w14:schemeClr w14:val="tx1"/>
                  </w14:solidFill>
                </w14:textFill>
              </w:rPr>
              <w:t xml:space="preserve">11</w:t>
            </w:r>
            <w:r/>
          </w:p>
        </w:tc>
        <w:tc>
          <w:tcPr>
            <w:tcW w:w="1577" w:type="dxa"/>
            <w:vAlign w:val="center"/>
            <w:textDirection w:val="lrTb"/>
            <w:noWrap w:val="false"/>
          </w:tcPr>
          <w:p>
            <w:pPr>
              <w:jc w:val="center"/>
              <w:widowControl/>
              <w:rPr>
                <w:rFonts w:hint="eastAsia" w:ascii="宋体" w:hAnsi="宋体" w:cs="宋体"/>
                <w:b/>
                <w:bCs/>
                <w:color w:val="000000" w:themeColor="text1"/>
                <w:sz w:val="18"/>
                <w:szCs w:val="18"/>
                <w:lang w:val="en-US" w:eastAsia="zh-CN"/>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总价（元</w:t>
            </w:r>
            <w:r/>
          </w:p>
        </w:tc>
        <w:tc>
          <w:tcPr>
            <w:gridSpan w:val="6"/>
            <w:tcW w:w="8087" w:type="dxa"/>
            <w:vAlign w:val="center"/>
            <w:textDirection w:val="lrTb"/>
            <w:noWrap w:val="false"/>
          </w:tcPr>
          <w:p>
            <w:pPr>
              <w:jc w:val="center"/>
              <w:rPr>
                <w:rStyle w:val="949"/>
                <w:rFonts w:hint="eastAsia" w:ascii="宋体" w:hAnsi="宋体" w:cs="宋体"/>
                <w:b/>
                <w:bCs/>
                <w:color w:val="000000" w:themeColor="text1"/>
                <w:sz w:val="18"/>
                <w:szCs w:val="18"/>
                <w:lang w:val="en-US" w:eastAsia="zh-CN"/>
                <w14:textFill>
                  <w14:solidFill>
                    <w14:schemeClr w14:val="tx1"/>
                  </w14:solidFill>
                </w14:textFill>
              </w:rPr>
            </w:pPr>
            <w:r>
              <w:rPr>
                <w:rFonts w:hint="eastAsia" w:ascii="宋体" w:hAnsi="宋体" w:cs="宋体"/>
                <w:b/>
                <w:bCs/>
                <w:color w:val="000000" w:themeColor="text1"/>
                <w:sz w:val="18"/>
                <w:szCs w:val="18"/>
                <w:lang w:val="en-US" w:eastAsia="zh-CN"/>
                <w14:textFill>
                  <w14:solidFill>
                    <w14:schemeClr w14:val="tx1"/>
                  </w14:solidFill>
                </w14:textFill>
              </w:rPr>
            </w:r>
            <w:r/>
          </w:p>
        </w:tc>
      </w:tr>
      <w:tr>
        <w:trPr>
          <w:jc w:val="center"/>
          <w:trHeight w:val="549"/>
        </w:trPr>
        <w:tc>
          <w:tcPr>
            <w:tcW w:w="689" w:type="dxa"/>
            <w:vAlign w:val="center"/>
            <w:textDirection w:val="lrTb"/>
            <w:noWrap w:val="false"/>
          </w:tcPr>
          <w:p>
            <w:pPr>
              <w:jc w:val="center"/>
              <w:rPr>
                <w:rFonts w:hint="default" w:ascii="宋体" w:hAnsi="宋体" w:eastAsia="宋体" w:cs="宋体"/>
                <w:b/>
                <w:bCs/>
                <w:color w:val="000000" w:themeColor="text1"/>
                <w:sz w:val="18"/>
                <w:szCs w:val="18"/>
                <w:lang w:val="en-US" w:eastAsia="zh-CN"/>
                <w14:textFill>
                  <w14:solidFill>
                    <w14:schemeClr w14:val="tx1"/>
                  </w14:solidFill>
                </w14:textFill>
              </w:rPr>
            </w:pPr>
            <w:r>
              <w:rPr>
                <w:rFonts w:hint="eastAsia" w:ascii="宋体" w:hAnsi="宋体" w:cs="宋体"/>
                <w:b/>
                <w:bCs/>
                <w:color w:val="000000" w:themeColor="text1"/>
                <w:sz w:val="18"/>
                <w:szCs w:val="18"/>
                <w:lang w:val="en-US" w:eastAsia="zh-CN"/>
                <w14:textFill>
                  <w14:solidFill>
                    <w14:schemeClr w14:val="tx1"/>
                  </w14:solidFill>
                </w14:textFill>
              </w:rPr>
              <w:t xml:space="preserve">其中：</w:t>
            </w:r>
            <w:r/>
          </w:p>
        </w:tc>
        <w:tc>
          <w:tcPr>
            <w:tcW w:w="1577" w:type="dxa"/>
            <w:vAlign w:val="center"/>
            <w:textDirection w:val="lrTb"/>
            <w:noWrap w:val="false"/>
          </w:tcPr>
          <w:p>
            <w:pPr>
              <w:jc w:val="center"/>
              <w:widowControl/>
              <w:rPr>
                <w:rFonts w:hint="default" w:ascii="宋体" w:hAnsi="宋体" w:eastAsia="宋体" w:cs="宋体"/>
                <w:b/>
                <w:bCs/>
                <w:color w:val="000000" w:themeColor="text1"/>
                <w:sz w:val="18"/>
                <w:szCs w:val="18"/>
                <w:lang w:val="en-US" w:eastAsia="zh-CN"/>
                <w14:textFill>
                  <w14:solidFill>
                    <w14:schemeClr w14:val="tx1"/>
                  </w14:solidFill>
                </w14:textFill>
              </w:rPr>
            </w:pPr>
            <w:r>
              <w:rPr>
                <w:rFonts w:hint="eastAsia" w:ascii="宋体" w:hAnsi="宋体" w:cs="宋体"/>
                <w:b/>
                <w:bCs/>
                <w:color w:val="000000" w:themeColor="text1"/>
                <w:sz w:val="18"/>
                <w:szCs w:val="18"/>
                <w:lang w:val="en-US" w:eastAsia="zh-CN"/>
                <w14:textFill>
                  <w14:solidFill>
                    <w14:schemeClr w14:val="tx1"/>
                  </w14:solidFill>
                </w14:textFill>
              </w:rPr>
              <w:t xml:space="preserve">人均月费用</w:t>
            </w:r>
            <w:r/>
          </w:p>
        </w:tc>
        <w:tc>
          <w:tcPr>
            <w:gridSpan w:val="6"/>
            <w:tcW w:w="8087" w:type="dxa"/>
            <w:vAlign w:val="center"/>
            <w:textDirection w:val="lrTb"/>
            <w:noWrap w:val="false"/>
          </w:tcPr>
          <w:p>
            <w:pPr>
              <w:jc w:val="center"/>
              <w:rPr>
                <w:rStyle w:val="949"/>
                <w:rFonts w:hint="default" w:ascii="宋体" w:hAnsi="宋体" w:eastAsia="宋体" w:cs="宋体"/>
                <w:b/>
                <w:bCs/>
                <w:color w:val="000000" w:themeColor="text1"/>
                <w:sz w:val="18"/>
                <w:szCs w:val="18"/>
                <w:lang w:val="en-US" w:eastAsia="zh-CN"/>
                <w14:textFill>
                  <w14:solidFill>
                    <w14:schemeClr w14:val="tx1"/>
                  </w14:solidFill>
                </w14:textFill>
              </w:rPr>
            </w:pPr>
            <w:r>
              <w:rPr>
                <w:rStyle w:val="949"/>
                <w:rFonts w:hint="eastAsia" w:ascii="宋体" w:hAnsi="宋体" w:cs="宋体"/>
                <w:b/>
                <w:bCs/>
                <w:color w:val="000000" w:themeColor="text1"/>
                <w:sz w:val="18"/>
                <w:szCs w:val="18"/>
                <w:lang w:val="en-US" w:eastAsia="zh-CN"/>
                <w14:textFill>
                  <w14:solidFill>
                    <w14:schemeClr w14:val="tx1"/>
                  </w14:solidFill>
                </w14:textFill>
              </w:rPr>
              <w:t xml:space="preserve">（总价-4--6-9）/12/19</w:t>
            </w:r>
            <w:r/>
          </w:p>
        </w:tc>
      </w:tr>
      <w:tr>
        <w:trPr>
          <w:jc w:val="center"/>
          <w:trHeight w:val="881"/>
        </w:trPr>
        <w:tc>
          <w:tcPr>
            <w:gridSpan w:val="8"/>
            <w:tcW w:w="10353" w:type="dxa"/>
            <w:vAlign w:val="center"/>
            <w:textDirection w:val="lrTb"/>
            <w:noWrap w:val="false"/>
          </w:tcPr>
          <w:p>
            <w:pPr>
              <w:jc w:val="left"/>
              <w:rPr>
                <w:rStyle w:val="949"/>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注：（1）此表为样表，行数可自行添加，但表式不变。如有其他费用，供应商自行计算填列。（2）报价中的各分项报价均不得为“零”或负数（其他费用可以为“零”但不得为负数），否则做无效响应处理。（3）服务时间不足一年的，按照采购文件规定服务时间测算。（4）《磋商报价明细表》“总</w:t>
            </w:r>
            <w:r>
              <w:rPr>
                <w:rFonts w:hint="eastAsia" w:ascii="宋体" w:hAnsi="宋体" w:cs="宋体"/>
                <w:b/>
                <w:bCs/>
                <w:color w:val="000000" w:themeColor="text1"/>
                <w:sz w:val="18"/>
                <w:szCs w:val="18"/>
                <w:lang w:bidi="ar"/>
                <w14:textFill>
                  <w14:solidFill>
                    <w14:schemeClr w14:val="tx1"/>
                  </w14:solidFill>
                </w14:textFill>
              </w:rPr>
              <w:t xml:space="preserve">价</w:t>
            </w:r>
            <w:r>
              <w:rPr>
                <w:rFonts w:hint="eastAsia" w:ascii="宋体" w:hAnsi="宋体" w:cs="宋体"/>
                <w:b/>
                <w:bCs/>
                <w:color w:val="000000" w:themeColor="text1"/>
                <w:sz w:val="18"/>
                <w:szCs w:val="18"/>
                <w14:textFill>
                  <w14:solidFill>
                    <w14:schemeClr w14:val="tx1"/>
                  </w14:solidFill>
                </w14:textFill>
              </w:rPr>
              <w:t xml:space="preserve">”应当与《磋商报价表》中“总报价”一致。</w:t>
            </w:r>
            <w:r/>
          </w:p>
        </w:tc>
      </w:tr>
    </w:tbl>
    <w:p>
      <w:pPr>
        <w:jc w:val="center"/>
        <w:spacing w:line="360" w:lineRule="auto"/>
        <w:rPr>
          <w:rFonts w:hint="eastAsia" w:ascii="宋体" w:hAnsi="宋体" w:cs="宋体"/>
          <w:b/>
          <w:sz w:val="24"/>
          <w:szCs w:val="24"/>
        </w:rPr>
      </w:pPr>
      <w:r>
        <w:rPr>
          <w:rFonts w:hint="eastAsia" w:ascii="宋体" w:hAnsi="宋体" w:cs="宋体"/>
          <w:b/>
          <w:sz w:val="24"/>
          <w:szCs w:val="24"/>
        </w:rPr>
      </w:r>
      <w:r/>
    </w:p>
    <w:p>
      <w:pPr>
        <w:jc w:val="center"/>
        <w:spacing w:line="360" w:lineRule="auto"/>
        <w:rPr>
          <w:rFonts w:hint="eastAsia" w:ascii="宋体" w:hAnsi="宋体" w:cs="宋体"/>
          <w:b/>
          <w:sz w:val="24"/>
          <w:szCs w:val="24"/>
        </w:rPr>
      </w:pPr>
      <w:r>
        <w:rPr>
          <w:rFonts w:hint="eastAsia" w:ascii="宋体" w:hAnsi="宋体" w:cs="宋体"/>
          <w:b/>
          <w:sz w:val="24"/>
          <w:szCs w:val="24"/>
        </w:rPr>
      </w:r>
      <w:bookmarkEnd w:id="181"/>
      <w:r/>
      <w:bookmarkEnd w:id="182"/>
      <w:r/>
      <w:bookmarkEnd w:id="183"/>
      <w:r/>
      <w:r/>
    </w:p>
    <w:p>
      <w:pPr>
        <w:pStyle w:val="774"/>
        <w:rPr>
          <w:rFonts w:hint="eastAsia" w:ascii="宋体" w:hAnsi="宋体" w:cs="宋体"/>
          <w:b/>
          <w:bCs/>
          <w:sz w:val="24"/>
          <w:szCs w:val="24"/>
        </w:rPr>
      </w:pPr>
      <w:r/>
      <w:bookmarkStart w:id="184" w:name="_Toc120614284"/>
      <w:r/>
      <w:r/>
    </w:p>
    <w:p>
      <w:pPr>
        <w:jc w:val="left"/>
        <w:spacing w:line="360" w:lineRule="auto"/>
        <w:rPr>
          <w:rFonts w:hint="eastAsia" w:ascii="宋体" w:hAnsi="宋体" w:cs="宋体"/>
          <w:b/>
          <w:bCs/>
          <w:sz w:val="24"/>
          <w:szCs w:val="24"/>
        </w:rPr>
      </w:pPr>
      <w:r>
        <w:rPr>
          <w:rFonts w:hint="eastAsia" w:ascii="宋体" w:hAnsi="宋体" w:cs="宋体"/>
          <w:b/>
          <w:bCs/>
          <w:sz w:val="24"/>
          <w:szCs w:val="24"/>
        </w:rPr>
        <w:t xml:space="preserve">附：最低工资标准、社保及公积金相关规定</w:t>
      </w:r>
      <w:r/>
    </w:p>
    <w:p>
      <w:pPr>
        <w:ind w:firstLine="422"/>
        <w:jc w:val="left"/>
        <w:spacing w:line="360" w:lineRule="auto"/>
        <w:rPr>
          <w:rFonts w:hint="eastAsia" w:ascii="宋体" w:hAnsi="宋体" w:cs="宋体"/>
          <w:sz w:val="24"/>
          <w:szCs w:val="24"/>
        </w:rPr>
      </w:pPr>
      <w:r>
        <w:rPr>
          <w:rFonts w:hint="eastAsia" w:ascii="宋体" w:hAnsi="宋体" w:cs="宋体"/>
          <w:b/>
          <w:bCs/>
          <w:color w:val="000000" w:themeColor="text1"/>
          <w:szCs w:val="21"/>
          <w14:textFill>
            <w14:solidFill>
              <w14:schemeClr w14:val="tx1"/>
            </w14:solidFill>
          </w14:textFill>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表1：最低工资标准、社会保险及公积金（参考）</w:t>
      </w:r>
      <w:r/>
    </w:p>
    <w:tbl>
      <w:tblPr>
        <w:tblStyle w:val="752"/>
        <w:tblpPr w:horzAnchor="page" w:tblpX="1178" w:vertAnchor="text" w:tblpY="338" w:leftFromText="180" w:topFromText="0" w:rightFromText="180" w:bottomFromText="0"/>
        <w:tblW w:w="97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3214"/>
        <w:gridCol w:w="2070"/>
        <w:gridCol w:w="2014"/>
      </w:tblGrid>
      <w:tr>
        <w:trPr>
          <w:trHeight w:val="453" w:hRule="exact"/>
        </w:trPr>
        <w:tc>
          <w:tcPr>
            <w:tcW w:w="736" w:type="dxa"/>
            <w:vAlign w:val="center"/>
            <w:textDirection w:val="lrTb"/>
            <w:noWrap/>
          </w:tcPr>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序号</w:t>
            </w:r>
            <w:r/>
          </w:p>
        </w:tc>
        <w:tc>
          <w:tcPr>
            <w:tcW w:w="1748" w:type="dxa"/>
            <w:vAlign w:val="center"/>
            <w:textDirection w:val="lrTb"/>
            <w:noWrap/>
          </w:tcPr>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名称</w:t>
            </w:r>
            <w:r/>
          </w:p>
        </w:tc>
        <w:tc>
          <w:tcPr>
            <w:tcW w:w="3214" w:type="dxa"/>
            <w:vAlign w:val="center"/>
            <w:textDirection w:val="lrTb"/>
            <w:noWrap/>
          </w:tcPr>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计算公式</w:t>
            </w:r>
            <w:r/>
          </w:p>
        </w:tc>
        <w:tc>
          <w:tcPr>
            <w:tcW w:w="2070" w:type="dxa"/>
            <w:vAlign w:val="center"/>
            <w:textDirection w:val="lrTb"/>
            <w:noWrap/>
          </w:tcPr>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金额（元/月）</w:t>
            </w:r>
            <w:r/>
          </w:p>
        </w:tc>
        <w:tc>
          <w:tcPr>
            <w:tcW w:w="2014" w:type="dxa"/>
            <w:vAlign w:val="center"/>
            <w:textDirection w:val="lrTb"/>
            <w:noWrap/>
          </w:tcPr>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备注</w:t>
            </w:r>
            <w:r/>
          </w:p>
        </w:tc>
      </w:tr>
      <w:tr>
        <w:trPr>
          <w:trHeight w:val="417" w:hRule="exact"/>
        </w:trPr>
        <w:tc>
          <w:tcPr>
            <w:tcW w:w="73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174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最低工资标准</w:t>
            </w:r>
            <w:r/>
          </w:p>
        </w:tc>
        <w:tc>
          <w:tcPr>
            <w:tcW w:w="321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W w:w="207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Cs w:val="21"/>
              </w:rPr>
              <w:t xml:space="preserve">2660</w:t>
            </w:r>
            <w:r/>
          </w:p>
        </w:tc>
        <w:tc>
          <w:tcPr>
            <w:tcW w:w="201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1025" w:hRule="exact"/>
        </w:trPr>
        <w:tc>
          <w:tcPr>
            <w:tcW w:w="73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W w:w="174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社保单位计提费用</w:t>
            </w:r>
            <w:r/>
          </w:p>
        </w:tc>
        <w:tc>
          <w:tcPr>
            <w:tcW w:w="321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缴费基数（≥4952）*缴费比例（≥24.7%）</w:t>
            </w:r>
            <w:r/>
          </w:p>
        </w:tc>
        <w:tc>
          <w:tcPr>
            <w:tcW w:w="207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≥1223.144</w:t>
            </w:r>
            <w:r/>
          </w:p>
        </w:tc>
        <w:tc>
          <w:tcPr>
            <w:tcW w:w="2014" w:type="dxa"/>
            <w:vAlign w:val="center"/>
            <w:textDirection w:val="lrTb"/>
            <w:noWrap/>
          </w:tcPr>
          <w:p>
            <w:pPr>
              <w:jc w:val="left"/>
              <w:rPr>
                <w:rFonts w:hint="eastAsia" w:ascii="宋体" w:hAnsi="宋体" w:cs="宋体"/>
                <w:sz w:val="24"/>
                <w:szCs w:val="24"/>
              </w:rPr>
            </w:pPr>
            <w:r>
              <w:rPr>
                <w:rFonts w:hint="eastAsia" w:ascii="宋体" w:hAnsi="宋体" w:cs="宋体"/>
                <w:b/>
                <w:bCs/>
                <w:szCs w:val="21"/>
              </w:rPr>
              <w:t xml:space="preserve">如保留小数点后两位测算，金额≥1223.15</w:t>
            </w:r>
            <w:r/>
          </w:p>
        </w:tc>
      </w:tr>
      <w:tr>
        <w:trPr>
          <w:trHeight w:val="732" w:hRule="exact"/>
        </w:trPr>
        <w:tc>
          <w:tcPr>
            <w:tcW w:w="73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W w:w="174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公积金单位计提费用</w:t>
            </w:r>
            <w:r/>
          </w:p>
        </w:tc>
        <w:tc>
          <w:tcPr>
            <w:tcW w:w="3214" w:type="dxa"/>
            <w:vAlign w:val="center"/>
            <w:textDirection w:val="lrTb"/>
            <w:noWrap/>
          </w:tcPr>
          <w:p>
            <w:pPr>
              <w:jc w:val="center"/>
              <w:rPr>
                <w:rFonts w:hint="eastAsia" w:ascii="宋体" w:hAnsi="宋体" w:cs="宋体"/>
                <w:sz w:val="24"/>
                <w:szCs w:val="24"/>
              </w:rPr>
            </w:pPr>
            <w:r>
              <w:rPr>
                <w:rFonts w:hint="eastAsia" w:ascii="宋体" w:hAnsi="宋体" w:cs="宋体"/>
                <w:szCs w:val="21"/>
              </w:rPr>
              <w:t xml:space="preserve">缴存基数（≥2660）*缴存比例（≥5%）</w:t>
            </w:r>
            <w:r/>
          </w:p>
        </w:tc>
        <w:tc>
          <w:tcPr>
            <w:tcW w:w="2070" w:type="dxa"/>
            <w:vAlign w:val="center"/>
            <w:textDirection w:val="lrTb"/>
            <w:noWrap/>
          </w:tcPr>
          <w:p>
            <w:pPr>
              <w:jc w:val="center"/>
              <w:rPr>
                <w:rFonts w:hint="eastAsia" w:ascii="宋体" w:hAnsi="宋体" w:cs="宋体"/>
                <w:sz w:val="24"/>
                <w:szCs w:val="24"/>
              </w:rPr>
            </w:pPr>
            <w:r>
              <w:rPr>
                <w:rFonts w:hint="eastAsia" w:ascii="宋体" w:hAnsi="宋体" w:cs="宋体"/>
                <w:szCs w:val="21"/>
              </w:rPr>
              <w:t xml:space="preserve">≥133</w:t>
            </w:r>
            <w:r/>
          </w:p>
        </w:tc>
        <w:tc>
          <w:tcPr>
            <w:tcW w:w="201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1408" w:hRule="exact"/>
        </w:trPr>
        <w:tc>
          <w:tcPr>
            <w:tcW w:w="73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W w:w="174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公积金个人计提费用</w:t>
            </w:r>
            <w:r/>
          </w:p>
        </w:tc>
        <w:tc>
          <w:tcPr>
            <w:tcW w:w="3214" w:type="dxa"/>
            <w:vAlign w:val="center"/>
            <w:textDirection w:val="lrTb"/>
            <w:noWrap/>
          </w:tcPr>
          <w:p>
            <w:pPr>
              <w:jc w:val="center"/>
              <w:rPr>
                <w:rFonts w:hint="eastAsia" w:ascii="宋体" w:hAnsi="宋体" w:cs="宋体"/>
                <w:sz w:val="24"/>
                <w:szCs w:val="24"/>
              </w:rPr>
            </w:pPr>
            <w:r>
              <w:rPr>
                <w:rFonts w:hint="eastAsia" w:ascii="宋体" w:hAnsi="宋体" w:cs="宋体"/>
                <w:szCs w:val="21"/>
              </w:rPr>
              <w:t xml:space="preserve">缴存基数（≥2660）*缴存比例（≥5%）</w:t>
            </w:r>
            <w:r/>
          </w:p>
        </w:tc>
        <w:tc>
          <w:tcPr>
            <w:tcW w:w="2070" w:type="dxa"/>
            <w:vAlign w:val="center"/>
            <w:textDirection w:val="lrTb"/>
            <w:noWrap/>
          </w:tcPr>
          <w:p>
            <w:pPr>
              <w:jc w:val="center"/>
              <w:rPr>
                <w:rFonts w:hint="eastAsia" w:ascii="宋体" w:hAnsi="宋体" w:cs="宋体"/>
                <w:sz w:val="24"/>
                <w:szCs w:val="24"/>
              </w:rPr>
            </w:pPr>
            <w:r>
              <w:rPr>
                <w:rFonts w:hint="eastAsia" w:ascii="宋体" w:hAnsi="宋体" w:cs="宋体"/>
                <w:szCs w:val="21"/>
              </w:rPr>
              <w:t xml:space="preserve">≥133</w:t>
            </w:r>
            <w:r/>
          </w:p>
        </w:tc>
        <w:tc>
          <w:tcPr>
            <w:tcW w:w="2014" w:type="dxa"/>
            <w:vAlign w:val="center"/>
            <w:textDirection w:val="lrTb"/>
            <w:noWrap/>
          </w:tcPr>
          <w:p>
            <w:pPr>
              <w:jc w:val="left"/>
              <w:spacing w:line="360" w:lineRule="auto"/>
              <w:rPr>
                <w:rFonts w:hint="eastAsia" w:ascii="宋体" w:hAnsi="宋体" w:cs="宋体"/>
                <w:sz w:val="24"/>
                <w:szCs w:val="24"/>
              </w:rPr>
            </w:pPr>
            <w:r>
              <w:rPr>
                <w:rFonts w:hint="eastAsia" w:ascii="宋体" w:hAnsi="宋体" w:cs="宋体"/>
                <w:color w:val="000000"/>
                <w:sz w:val="24"/>
                <w:szCs w:val="24"/>
                <w:lang w:bidi="ar"/>
              </w:rPr>
              <w:t xml:space="preserve">最低工资不包含劳动者按下限缴存的住房公积金，由用人单位按规定另行支付。</w:t>
            </w:r>
            <w:r/>
          </w:p>
        </w:tc>
      </w:tr>
      <w:tr>
        <w:trPr>
          <w:trHeight w:val="1408" w:hRule="exact"/>
        </w:trPr>
        <w:tc>
          <w:tcPr>
            <w:tcW w:w="73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748"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企业用人成本1</w:t>
            </w:r>
            <w:r/>
          </w:p>
        </w:tc>
        <w:tc>
          <w:tcPr>
            <w:tcW w:w="3214"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szCs w:val="21"/>
              </w:rPr>
              <w:t xml:space="preserve">序号1+2+3+4</w:t>
            </w:r>
            <w:r/>
          </w:p>
        </w:tc>
        <w:tc>
          <w:tcPr>
            <w:tcW w:w="2070"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szCs w:val="21"/>
              </w:rPr>
              <w:t xml:space="preserve">≥4149.144</w:t>
            </w:r>
            <w:r/>
          </w:p>
        </w:tc>
        <w:tc>
          <w:tcPr>
            <w:tcW w:w="2014" w:type="dxa"/>
            <w:vAlign w:val="center"/>
            <w:textDirection w:val="lrTb"/>
            <w:noWrap/>
          </w:tcPr>
          <w:p>
            <w:pPr>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普通人员</w:t>
            </w:r>
            <w:r/>
          </w:p>
        </w:tc>
      </w:tr>
      <w:tr>
        <w:trPr>
          <w:trHeight w:val="1408" w:hRule="exact"/>
        </w:trPr>
        <w:tc>
          <w:tcPr>
            <w:tcW w:w="73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748"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企业用人成本2</w:t>
            </w:r>
            <w:r/>
          </w:p>
        </w:tc>
        <w:tc>
          <w:tcPr>
            <w:tcW w:w="3214"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szCs w:val="21"/>
              </w:rPr>
              <w:t xml:space="preserve">序号1</w:t>
            </w:r>
            <w:r/>
          </w:p>
        </w:tc>
        <w:tc>
          <w:tcPr>
            <w:tcW w:w="2070" w:type="dxa"/>
            <w:vAlign w:val="center"/>
            <w:textDirection w:val="lrTb"/>
            <w:noWrap/>
          </w:tcPr>
          <w:p>
            <w:pPr>
              <w:ind w:firstLine="210"/>
              <w:rPr>
                <w:rFonts w:hint="eastAsia" w:ascii="宋体" w:hAnsi="宋体" w:cs="宋体"/>
                <w:color w:val="000000" w:themeColor="text1"/>
                <w14:textFill>
                  <w14:solidFill>
                    <w14:schemeClr w14:val="tx1"/>
                  </w14:solidFill>
                </w14:textFill>
              </w:rPr>
            </w:pPr>
            <w:r>
              <w:rPr>
                <w:rFonts w:hint="eastAsia" w:ascii="宋体" w:hAnsi="宋体" w:cs="宋体"/>
                <w:szCs w:val="21"/>
              </w:rPr>
              <w:t xml:space="preserve">≥2660</w:t>
            </w:r>
            <w:r/>
          </w:p>
        </w:tc>
        <w:tc>
          <w:tcPr>
            <w:tcW w:w="2014" w:type="dxa"/>
            <w:vAlign w:val="center"/>
            <w:textDirection w:val="lrTb"/>
            <w:noWrap/>
          </w:tcPr>
          <w:p>
            <w:pPr>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享受社保公积金减免政策人员、退休返聘人员</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pStyle w:val="787"/>
        <w:rPr>
          <w:rFonts w:hint="eastAsia"/>
        </w:rPr>
      </w:pPr>
      <w:r>
        <w:rPr>
          <w:rFonts w:hint="eastAsia"/>
        </w:rPr>
      </w:r>
      <w:r/>
    </w:p>
    <w:p>
      <w:pPr>
        <w:ind w:firstLine="420"/>
        <w:jc w:val="left"/>
        <w:spacing w:line="360" w:lineRule="auto"/>
        <w:rPr>
          <w:rFonts w:hint="eastAsia" w:ascii="宋体" w:hAnsi="宋体" w:cs="宋体"/>
          <w:sz w:val="24"/>
          <w:szCs w:val="24"/>
        </w:rPr>
      </w:pPr>
      <w:r>
        <w:rPr>
          <w:rFonts w:hint="eastAsia" w:ascii="宋体" w:hAnsi="宋体" w:cs="宋体"/>
          <w:sz w:val="24"/>
          <w:szCs w:val="24"/>
        </w:rPr>
        <w:t xml:space="preserve">表2：南京物业服务单位及职工社会保险最低缴费比例（参考）</w:t>
      </w:r>
      <w:r/>
    </w:p>
    <w:tbl>
      <w:tblPr>
        <w:tblStyle w:val="1006"/>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2453"/>
        <w:gridCol w:w="2437"/>
        <w:gridCol w:w="3688"/>
      </w:tblGrid>
      <w:tr>
        <w:trPr/>
        <w:tc>
          <w:tcPr>
            <w:tcW w:w="773" w:type="dxa"/>
            <w:textDirection w:val="lrTb"/>
            <w:noWrap w:val="false"/>
          </w:tcPr>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序号</w:t>
            </w:r>
            <w:r/>
          </w:p>
        </w:tc>
        <w:tc>
          <w:tcPr>
            <w:tcW w:w="2595" w:type="dxa"/>
            <w:textDirection w:val="lrTb"/>
            <w:noWrap w:val="false"/>
          </w:tcPr>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险种</w:t>
            </w:r>
            <w:r/>
          </w:p>
        </w:tc>
        <w:tc>
          <w:tcPr>
            <w:tcW w:w="2552" w:type="dxa"/>
            <w:textDirection w:val="lrTb"/>
            <w:noWrap w:val="false"/>
          </w:tcPr>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单位缴纳比例</w:t>
            </w:r>
            <w:r/>
          </w:p>
        </w:tc>
        <w:tc>
          <w:tcPr>
            <w:tcW w:w="3875" w:type="dxa"/>
            <w:textDirection w:val="lrTb"/>
            <w:noWrap w:val="false"/>
          </w:tcPr>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个人缴纳比例及金额</w:t>
            </w:r>
            <w:r/>
          </w:p>
        </w:tc>
      </w:tr>
      <w:tr>
        <w:trPr/>
        <w:tc>
          <w:tcPr>
            <w:tcW w:w="7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259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养老保险</w:t>
            </w:r>
            <w:r/>
          </w:p>
        </w:tc>
        <w:tc>
          <w:tcPr>
            <w:tcW w:w="25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16%</w:t>
            </w:r>
            <w:r/>
          </w:p>
        </w:tc>
        <w:tc>
          <w:tcPr>
            <w:tcW w:w="387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8%</w:t>
            </w:r>
            <w:r/>
          </w:p>
        </w:tc>
      </w:tr>
      <w:tr>
        <w:trPr/>
        <w:tc>
          <w:tcPr>
            <w:tcW w:w="7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W w:w="259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医疗保险</w:t>
            </w:r>
            <w:r/>
          </w:p>
        </w:tc>
        <w:tc>
          <w:tcPr>
            <w:tcW w:w="25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7%</w:t>
            </w:r>
            <w:r/>
          </w:p>
        </w:tc>
        <w:tc>
          <w:tcPr>
            <w:tcW w:w="387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r>
      <w:tr>
        <w:trPr/>
        <w:tc>
          <w:tcPr>
            <w:tcW w:w="7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W w:w="259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工伤保险</w:t>
            </w:r>
            <w:r/>
          </w:p>
        </w:tc>
        <w:tc>
          <w:tcPr>
            <w:tcW w:w="25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0.4%</w:t>
            </w:r>
            <w:r/>
          </w:p>
        </w:tc>
        <w:tc>
          <w:tcPr>
            <w:tcW w:w="387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tc>
          <w:tcPr>
            <w:tcW w:w="7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W w:w="259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失业保险</w:t>
            </w:r>
            <w:r/>
          </w:p>
        </w:tc>
        <w:tc>
          <w:tcPr>
            <w:tcW w:w="25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0.5%</w:t>
            </w:r>
            <w:r/>
          </w:p>
        </w:tc>
        <w:tc>
          <w:tcPr>
            <w:tcW w:w="387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0.5%</w:t>
            </w:r>
            <w:r/>
          </w:p>
        </w:tc>
      </w:tr>
      <w:tr>
        <w:trPr/>
        <w:tc>
          <w:tcPr>
            <w:tcW w:w="7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W w:w="259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生育保险</w:t>
            </w:r>
            <w:r/>
          </w:p>
        </w:tc>
        <w:tc>
          <w:tcPr>
            <w:tcW w:w="25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0.8%</w:t>
            </w:r>
            <w:r/>
          </w:p>
        </w:tc>
        <w:tc>
          <w:tcPr>
            <w:tcW w:w="387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r>
      <w:tr>
        <w:trPr/>
        <w:tc>
          <w:tcPr>
            <w:tcW w:w="7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w:t>
            </w:r>
            <w:r/>
          </w:p>
        </w:tc>
        <w:tc>
          <w:tcPr>
            <w:tcW w:w="259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大病医疗救助</w:t>
            </w:r>
            <w:r/>
          </w:p>
        </w:tc>
        <w:tc>
          <w:tcPr>
            <w:tcW w:w="25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W w:w="387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10元/月</w:t>
            </w:r>
            <w:r/>
          </w:p>
        </w:tc>
      </w:tr>
      <w:tr>
        <w:trPr/>
        <w:tc>
          <w:tcPr>
            <w:tcW w:w="773"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59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2552"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24.7%</w:t>
            </w:r>
            <w:r/>
          </w:p>
        </w:tc>
        <w:tc>
          <w:tcPr>
            <w:tcW w:w="3875" w:type="dxa"/>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10.5%、10元/月</w:t>
            </w:r>
            <w:r/>
          </w:p>
        </w:tc>
      </w:tr>
    </w:tbl>
    <w:p>
      <w:pPr>
        <w:pStyle w:val="782"/>
        <w:ind w:left="0"/>
        <w:spacing w:line="360" w:lineRule="auto"/>
        <w:rPr>
          <w:rFonts w:hint="eastAsia" w:ascii="宋体" w:hAnsi="宋体" w:eastAsia="宋体"/>
          <w:sz w:val="24"/>
          <w:szCs w:val="24"/>
          <w:lang w:val="en-US"/>
        </w:rPr>
      </w:pPr>
      <w:r>
        <w:rPr>
          <w:rFonts w:hint="eastAsia" w:ascii="宋体" w:hAnsi="宋体" w:eastAsia="宋体"/>
          <w:sz w:val="24"/>
          <w:szCs w:val="24"/>
          <w:lang w:val="en-US"/>
        </w:rPr>
      </w:r>
      <w:r/>
    </w:p>
    <w:p>
      <w:pPr>
        <w:jc w:val="left"/>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相关说明、证明材料（供应商自报）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1.供应商拟投入本项目的服务人员中，依法享受社保、住房公积金等缴纳减免政策的说明材料。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2.供应商享受税费优惠政策的证明材料。</w:t>
      </w:r>
      <w:r/>
    </w:p>
    <w:p>
      <w:pPr>
        <w:jc w:val="left"/>
        <w:rPr>
          <w:rFonts w:hint="eastAsia" w:ascii="方正小标宋简体" w:hAnsi="方正小标宋简体" w:eastAsia="方正小标宋简体" w:cs="方正小标宋简体"/>
          <w:color w:val="000000" w:themeColor="text1"/>
          <w:sz w:val="28"/>
          <w:szCs w:val="28"/>
          <w14:textFill>
            <w14:solidFill>
              <w14:schemeClr w14:val="tx1"/>
            </w14:solidFill>
          </w14:textFill>
        </w:rPr>
      </w:pPr>
      <w:r>
        <w:rPr>
          <w:rFonts w:hint="eastAsia" w:ascii="方正小标宋简体" w:hAnsi="方正小标宋简体" w:eastAsia="方正小标宋简体" w:cs="方正小标宋简体"/>
          <w:color w:val="000000" w:themeColor="text1"/>
          <w:sz w:val="28"/>
          <w:szCs w:val="28"/>
          <w14:textFill>
            <w14:solidFill>
              <w14:schemeClr w14:val="tx1"/>
            </w14:solidFill>
          </w14:textFill>
        </w:rPr>
      </w:r>
      <w:r/>
    </w:p>
    <w:p>
      <w:pPr>
        <w:jc w:val="left"/>
        <w:rPr>
          <w:rFonts w:hint="eastAsia" w:ascii="方正小标宋简体" w:hAnsi="方正小标宋简体" w:eastAsia="方正小标宋简体" w:cs="方正小标宋简体"/>
          <w:color w:val="000000" w:themeColor="text1"/>
          <w:sz w:val="28"/>
          <w:szCs w:val="28"/>
          <w14:textFill>
            <w14:solidFill>
              <w14:schemeClr w14:val="tx1"/>
            </w14:solidFill>
          </w14:textFill>
        </w:rPr>
      </w:pPr>
      <w:r>
        <w:rPr>
          <w:rFonts w:hint="eastAsia" w:ascii="方正小标宋简体" w:hAnsi="方正小标宋简体" w:eastAsia="方正小标宋简体" w:cs="方正小标宋简体"/>
          <w:color w:val="000000" w:themeColor="text1"/>
          <w:sz w:val="28"/>
          <w:szCs w:val="28"/>
          <w14:textFill>
            <w14:solidFill>
              <w14:schemeClr w14:val="tx1"/>
            </w14:solidFill>
          </w14:textFill>
        </w:rPr>
        <w:t xml:space="preserve">相关说明、证明材料（供应商自行提供）</w:t>
      </w:r>
      <w:r/>
    </w:p>
    <w:p>
      <w:pPr>
        <w:ind w:firstLine="480"/>
        <w:spacing w:line="480" w:lineRule="exact"/>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1.供应商拟投入本项目的服务人员中，依法享受社保、住房公积金等缴纳减免政策的说明材料。</w:t>
      </w:r>
      <w:r/>
    </w:p>
    <w:p>
      <w:pPr>
        <w:pStyle w:val="782"/>
        <w:rPr>
          <w:lang w:val="en-US"/>
        </w:rPr>
      </w:pPr>
      <w:r>
        <w:rPr>
          <w:lang w:val="en-US"/>
        </w:rPr>
      </w:r>
      <w:bookmarkEnd w:id="173"/>
      <w:r/>
      <w:bookmarkEnd w:id="174"/>
      <w:r/>
      <w:bookmarkEnd w:id="184"/>
      <w:r/>
      <w:r/>
    </w:p>
    <w:p>
      <w:pPr>
        <w:spacing w:line="480" w:lineRule="exact"/>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spacing w:line="480" w:lineRule="exact"/>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br w:type="page" w:clear="all"/>
      </w:r>
      <w:r/>
    </w:p>
    <w:p>
      <w:pPr>
        <w:spacing w:line="480" w:lineRule="exact"/>
        <w:rPr>
          <w:rFonts w:hint="eastAsia" w:ascii="黑体" w:hAnsi="黑体" w:eastAsia="黑体"/>
          <w:iCs/>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七、</w:t>
      </w:r>
      <w:r>
        <w:rPr>
          <w:rFonts w:hint="eastAsia" w:ascii="黑体" w:hAnsi="黑体" w:eastAsia="黑体"/>
          <w:iCs/>
          <w:color w:val="000000" w:themeColor="text1"/>
          <w:sz w:val="32"/>
          <w:szCs w:val="32"/>
          <w14:textFill>
            <w14:solidFill>
              <w14:schemeClr w14:val="tx1"/>
            </w14:solidFill>
          </w14:textFill>
        </w:rPr>
        <w:t xml:space="preserve">技术要求响应及偏离表</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技术要求响应及偏离表</w:t>
      </w:r>
      <w:r/>
    </w:p>
    <w:tbl>
      <w:tblPr>
        <w:tblStyle w:val="75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292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磋商文件要求</w:t>
            </w:r>
            <w:r/>
          </w:p>
        </w:tc>
        <w:tc>
          <w:tcPr>
            <w:tcW w:w="2832"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响应情况</w:t>
            </w:r>
            <w:r/>
          </w:p>
        </w:tc>
        <w:tc>
          <w:tcPr>
            <w:tcW w:w="337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正偏离、无偏离或负偏离</w:t>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7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pStyle w:val="999"/>
        <w:jc w:val="both"/>
        <w:spacing w:before="0" w:beforeAutospacing="0" w:after="0" w:afterAutospacing="0"/>
        <w:rPr>
          <w:rFonts w:hint="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14:textFill>
            <w14:solidFill>
              <w14:schemeClr w14:val="tx1"/>
            </w14:solidFill>
          </w14:textFill>
        </w:rPr>
      </w:r>
      <w:r/>
    </w:p>
    <w:p>
      <w:pPr>
        <w:ind w:right="18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供应商名称：（加盖电子公章）</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999"/>
        <w:ind w:firstLine="480"/>
        <w:jc w:val="both"/>
        <w:spacing w:before="0" w:beforeAutospacing="0" w:after="0" w:afterAutospacing="0" w:line="360" w:lineRule="auto"/>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备注： </w:t>
      </w:r>
      <w:r/>
    </w:p>
    <w:p>
      <w:pPr>
        <w:pStyle w:val="999"/>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1.供应商须对磋商文件技术要求中的实质性要求（斜体下划线内容或打“★”内容）做出明确响应，否则视为无效响应。</w:t>
      </w:r>
      <w:r/>
    </w:p>
    <w:p>
      <w:pPr>
        <w:pStyle w:val="999"/>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99"/>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3.行数不够，可自行添加。</w:t>
      </w:r>
      <w:r/>
    </w:p>
    <w:p>
      <w:pPr>
        <w:jc w:val="center"/>
        <w:rPr>
          <w:rFonts w:ascii="黑体" w:hAnsi="Arial" w:eastAsia="黑体"/>
          <w:b/>
          <w:color w:val="000000" w:themeColor="text1"/>
          <w:sz w:val="36"/>
          <w:szCs w:val="21"/>
          <w14:textFill>
            <w14:solidFill>
              <w14:schemeClr w14:val="tx1"/>
            </w14:solidFill>
          </w14:textFill>
        </w:rPr>
      </w:pPr>
      <w:r>
        <w:rPr>
          <w:rFonts w:ascii="黑体" w:hAnsi="Arial" w:eastAsia="黑体"/>
          <w:b/>
          <w:color w:val="000000" w:themeColor="text1"/>
          <w:sz w:val="36"/>
          <w:szCs w:val="21"/>
          <w14:textFill>
            <w14:solidFill>
              <w14:schemeClr w14:val="tx1"/>
            </w14:solidFill>
          </w14:textFill>
        </w:rPr>
      </w:r>
      <w:r/>
    </w:p>
    <w:p>
      <w:pPr>
        <w:rPr>
          <w:rFonts w:hint="eastAsia" w:ascii="黑体" w:hAnsi="黑体" w:eastAsia="黑体"/>
          <w:iCs/>
          <w:color w:val="000000" w:themeColor="text1"/>
          <w:sz w:val="32"/>
          <w:szCs w:val="32"/>
          <w14:textFill>
            <w14:solidFill>
              <w14:schemeClr w14:val="tx1"/>
            </w14:solidFill>
          </w14:textFill>
        </w:rPr>
      </w:pPr>
      <w:r/>
      <w:bookmarkStart w:id="185" w:name="_Hlt26955054"/>
      <w:r/>
      <w:bookmarkEnd w:id="185"/>
      <w:r/>
      <w:r/>
    </w:p>
    <w:p>
      <w:pPr>
        <w:rPr>
          <w:rFonts w:hint="eastAsia" w:ascii="黑体" w:hAnsi="黑体" w:eastAsia="黑体"/>
          <w:iCs/>
          <w:color w:val="000000" w:themeColor="text1"/>
          <w:sz w:val="32"/>
          <w:szCs w:val="32"/>
          <w14:textFill>
            <w14:solidFill>
              <w14:schemeClr w14:val="tx1"/>
            </w14:solidFill>
          </w14:textFill>
        </w:rPr>
      </w:pPr>
      <w:r>
        <w:rPr>
          <w:rFonts w:hint="eastAsia" w:ascii="黑体" w:hAnsi="黑体" w:eastAsia="黑体"/>
          <w:iCs/>
          <w:color w:val="000000" w:themeColor="text1"/>
          <w:sz w:val="32"/>
          <w:szCs w:val="32"/>
          <w14:textFill>
            <w14:solidFill>
              <w14:schemeClr w14:val="tx1"/>
            </w14:solidFill>
          </w14:textFill>
        </w:rPr>
        <w:br w:type="page" w:clear="all"/>
      </w:r>
      <w:r/>
    </w:p>
    <w:p>
      <w:pPr>
        <w:rPr>
          <w:rFonts w:hint="eastAsia" w:ascii="黑体" w:hAnsi="黑体" w:eastAsia="黑体"/>
          <w:iCs/>
          <w:color w:val="000000" w:themeColor="text1"/>
          <w:sz w:val="32"/>
          <w:szCs w:val="32"/>
          <w14:textFill>
            <w14:solidFill>
              <w14:schemeClr w14:val="tx1"/>
            </w14:solidFill>
          </w14:textFill>
        </w:rPr>
      </w:pPr>
      <w:r>
        <w:rPr>
          <w:rFonts w:hint="eastAsia" w:ascii="黑体" w:hAnsi="黑体" w:eastAsia="黑体"/>
          <w:iCs/>
          <w:color w:val="000000" w:themeColor="text1"/>
          <w:sz w:val="32"/>
          <w:szCs w:val="32"/>
          <w14:textFill>
            <w14:solidFill>
              <w14:schemeClr w14:val="tx1"/>
            </w14:solidFill>
          </w14:textFill>
        </w:rPr>
        <w:t xml:space="preserve">八、商务要求响应及偏离表</w:t>
      </w:r>
      <w:r/>
    </w:p>
    <w:p>
      <w:pPr>
        <w:jc w:val="center"/>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商务要求响应及偏离表</w:t>
      </w:r>
      <w:r/>
    </w:p>
    <w:tbl>
      <w:tblPr>
        <w:tblStyle w:val="75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2878"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磋商文件要求</w:t>
            </w:r>
            <w:r/>
          </w:p>
        </w:tc>
        <w:tc>
          <w:tcPr>
            <w:tcW w:w="2832"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响应情况</w:t>
            </w:r>
            <w:r/>
          </w:p>
        </w:tc>
        <w:tc>
          <w:tcPr>
            <w:tcW w:w="3346" w:type="dxa"/>
            <w:vAlign w:val="center"/>
            <w:textDirection w:val="lrTb"/>
            <w:noWrap w:val="false"/>
          </w:tcPr>
          <w:p>
            <w:pPr>
              <w:jc w:val="center"/>
              <w:spacing w:line="480" w:lineRule="exact"/>
              <w:rPr>
                <w:rFonts w:hint="eastAsia" w:ascii="宋体" w:hAnsi="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9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7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pStyle w:val="999"/>
        <w:jc w:val="both"/>
        <w:spacing w:before="0" w:beforeAutospacing="0" w:after="0" w:afterAutospacing="0"/>
        <w:rPr>
          <w:rFonts w:hint="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14:textFill>
            <w14:solidFill>
              <w14:schemeClr w14:val="tx1"/>
            </w14:solidFill>
          </w14:textFill>
        </w:rPr>
      </w:r>
      <w:r/>
    </w:p>
    <w:p>
      <w:pPr>
        <w:ind w:right="18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供应商名称：（加盖电子公章）</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999"/>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备注： </w:t>
      </w:r>
      <w:r/>
    </w:p>
    <w:p>
      <w:pPr>
        <w:pStyle w:val="999"/>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1.供应商须对磋商文件商务要求中的实质性要求（斜体下划线内容或打“★”内容）做出明确响应，否则视为无效响应。</w:t>
      </w:r>
      <w:r/>
    </w:p>
    <w:p>
      <w:pPr>
        <w:pStyle w:val="999"/>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2.行数不够，可自行添加。</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黑体" w:hAnsi="黑体" w:eastAsia="黑体"/>
          <w:iCs/>
          <w:color w:val="000000" w:themeColor="text1"/>
          <w:sz w:val="32"/>
          <w:szCs w:val="32"/>
          <w14:textFill>
            <w14:solidFill>
              <w14:schemeClr w14:val="tx1"/>
            </w14:solidFill>
          </w14:textFill>
        </w:rPr>
      </w:pPr>
      <w:r>
        <w:rPr>
          <w:rFonts w:hint="eastAsia" w:ascii="黑体" w:hAnsi="黑体" w:eastAsia="黑体"/>
          <w:iCs/>
          <w:color w:val="000000" w:themeColor="text1"/>
          <w:sz w:val="32"/>
          <w:szCs w:val="32"/>
          <w14:textFill>
            <w14:solidFill>
              <w14:schemeClr w14:val="tx1"/>
            </w14:solidFill>
          </w14:textFill>
        </w:rPr>
        <w:br w:type="page" w:clear="all"/>
      </w:r>
      <w:r/>
    </w:p>
    <w:p>
      <w:pPr>
        <w:rPr>
          <w:rFonts w:hint="eastAsia" w:ascii="黑体" w:hAnsi="黑体" w:eastAsia="黑体"/>
          <w:iCs/>
          <w:color w:val="000000" w:themeColor="text1"/>
          <w:sz w:val="32"/>
          <w:szCs w:val="32"/>
          <w14:textFill>
            <w14:solidFill>
              <w14:schemeClr w14:val="tx1"/>
            </w14:solidFill>
          </w14:textFill>
        </w:rPr>
      </w:pPr>
      <w:r>
        <w:rPr>
          <w:rFonts w:hint="eastAsia" w:ascii="黑体" w:hAnsi="黑体" w:eastAsia="黑体"/>
          <w:iCs/>
          <w:color w:val="000000" w:themeColor="text1"/>
          <w:sz w:val="32"/>
          <w:szCs w:val="32"/>
          <w14:textFill>
            <w14:solidFill>
              <w14:schemeClr w14:val="tx1"/>
            </w14:solidFill>
          </w14:textFill>
        </w:rPr>
        <w:t xml:space="preserve">九、中小企业声明函</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中小企业声明函（服务）</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（单位名称）采购编号为</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项目（采购包号：</w:t>
      </w:r>
      <w:r>
        <w:rPr>
          <w:rFonts w:hint="eastAsia" w:ascii="宋体" w:hAnsi="宋体"/>
          <w:color w:val="000000" w:themeColor="text1"/>
          <w:sz w:val="24"/>
          <w:szCs w:val="24"/>
          <w:u w:val="single"/>
          <w14:textFill>
            <w14:solidFill>
              <w14:schemeClr w14:val="tx1"/>
            </w14:solidFill>
          </w14:textFill>
        </w:rPr>
        <w:t xml:space="preserve">XXX</w:t>
      </w:r>
      <w:r>
        <w:rPr>
          <w:rFonts w:hint="eastAsia" w:ascii="宋体" w:hAnsi="宋体"/>
          <w:color w:val="000000" w:themeColor="text1"/>
          <w:sz w:val="24"/>
          <w:szCs w:val="24"/>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2011</w:t>
      </w:r>
      <w:r>
        <w:rPr>
          <w:rFonts w:hint="eastAsia" w:ascii="仿宋_GB2312" w:hAnsi="仿宋_GB2312" w:eastAsia="仿宋_GB2312" w:cs="仿宋_GB2312"/>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300号)的规定，相关企业（含联合体中的小微企业、签订分包意向协议的中小企业）的具体情况如下：</w:t>
      </w:r>
      <w:r/>
    </w:p>
    <w:p>
      <w:pPr>
        <w:ind w:firstLine="480"/>
        <w:spacing w:line="360" w:lineRule="auto"/>
        <w:rPr>
          <w:rFonts w:hint="eastAsia" w:ascii="宋体" w:hAnsi="宋体"/>
          <w:i/>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（标的名称）属于</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行业（磋商文件中明确的所属行业）；承接企业为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（企业名称），从业人员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人，营业收入为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万元，资产总额为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w:t>
      </w:r>
      <w:r>
        <w:rPr>
          <w:rFonts w:hint="eastAsia" w:ascii="宋体" w:hAnsi="宋体"/>
          <w:color w:val="000000" w:themeColor="text1"/>
          <w:sz w:val="24"/>
          <w:szCs w:val="24"/>
          <w:vertAlign w:val="superscript"/>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，属于</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中型企业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小型企业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微型企业。</w:t>
      </w:r>
      <w:r/>
    </w:p>
    <w:p>
      <w:pPr>
        <w:ind w:firstLine="480"/>
        <w:spacing w:line="360" w:lineRule="auto"/>
        <w:rPr>
          <w:rFonts w:hint="eastAsia" w:ascii="宋体" w:hAnsi="宋体"/>
          <w:i/>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（标的名称）属于</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行业（磋商文件中明确的所属行业）；承接企业为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（企业名称），从业人员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人，营业收入为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万元，资产总额为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w:t>
      </w:r>
      <w:r>
        <w:rPr>
          <w:rFonts w:hint="eastAsia" w:ascii="宋体" w:hAnsi="宋体"/>
          <w:color w:val="000000" w:themeColor="text1"/>
          <w:sz w:val="24"/>
          <w:szCs w:val="24"/>
          <w:vertAlign w:val="superscript"/>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，属于</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中型企业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小型企业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微型企业。</w:t>
      </w:r>
      <w:r/>
    </w:p>
    <w:p>
      <w:pPr>
        <w:ind w:firstLine="36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本企业对上述声明内容的真实性负责，如有虚假，将依法承担相应责任。</w:t>
      </w:r>
      <w:r/>
    </w:p>
    <w:p>
      <w:pPr>
        <w:pStyle w:val="782"/>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right="180" w:firstLine="360"/>
        <w:jc w:val="cente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企业名称：（加盖电子公章）</w:t>
      </w:r>
      <w:r/>
    </w:p>
    <w:p>
      <w:pPr>
        <w:ind w:firstLine="6000"/>
        <w:spacing w:line="360" w:lineRule="auto"/>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ind w:firstLine="480"/>
        <w:spacing w:line="36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内打“</w:t>
      </w:r>
      <w:r>
        <w:rPr>
          <w:rFonts w:ascii="Arial" w:hAnsi="Arial" w:cs="Arial"/>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iCs/>
          <w:color w:val="000000" w:themeColor="text1"/>
          <w:sz w:val="32"/>
          <w:szCs w:val="32"/>
          <w14:textFill>
            <w14:solidFill>
              <w14:schemeClr w14:val="tx1"/>
            </w14:solidFill>
          </w14:textFill>
        </w:rPr>
        <w:t xml:space="preserve">十、</w:t>
      </w:r>
      <w:r>
        <w:rPr>
          <w:rFonts w:hint="eastAsia" w:ascii="黑体" w:hAnsi="黑体" w:eastAsia="黑体"/>
          <w:color w:val="000000" w:themeColor="text1"/>
          <w:sz w:val="32"/>
          <w:szCs w:val="32"/>
          <w14:textFill>
            <w14:solidFill>
              <w14:schemeClr w14:val="tx1"/>
            </w14:solidFill>
          </w14:textFill>
        </w:rPr>
        <w:t xml:space="preserve">残疾人福利性单位声明函</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残疾人福利性单位声明函</w:t>
      </w:r>
      <w:r/>
    </w:p>
    <w:p>
      <w:pPr>
        <w:ind w:firstLine="480"/>
        <w:spacing w:line="360" w:lineRule="auto"/>
        <w:rPr>
          <w:rFonts w:hint="eastAsia" w:ascii="宋体" w:hAnsi="宋体"/>
          <w:color w:val="000000" w:themeColor="text1"/>
          <w:sz w:val="24"/>
          <w:szCs w:val="2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14:textFill>
            <w14:solidFill>
              <w14:schemeClr w14:val="tx1"/>
            </w14:solidFill>
          </w14:textFill>
        </w:rPr>
        <w:t xml:space="preserve">参加</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（单位名称）采购编号为</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项目（采购包号：</w:t>
      </w:r>
      <w:r>
        <w:rPr>
          <w:rFonts w:hint="eastAsia" w:ascii="宋体" w:hAnsi="宋体"/>
          <w:color w:val="000000" w:themeColor="text1"/>
          <w:sz w:val="24"/>
          <w:szCs w:val="24"/>
          <w:u w:val="single"/>
          <w14:textFill>
            <w14:solidFill>
              <w14:schemeClr w14:val="tx1"/>
            </w14:solidFill>
          </w14:textFill>
        </w:rPr>
        <w:t xml:space="preserve">XXX</w:t>
      </w:r>
      <w:r>
        <w:rPr>
          <w:rFonts w:hint="eastAsia" w:ascii="宋体" w:hAnsi="宋体"/>
          <w:color w:val="000000" w:themeColor="text1"/>
          <w:sz w:val="24"/>
          <w:szCs w:val="24"/>
          <w14:textFill>
            <w14:solidFill>
              <w14:schemeClr w14:val="tx1"/>
            </w14:solidFill>
          </w14:textFill>
        </w:rPr>
        <w:t xml:space="preserve">）的采购活动</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服务全部由本单位提供</w:t>
      </w:r>
      <w:r>
        <w:rPr>
          <w:rFonts w:hint="eastAsia" w:ascii="宋体" w:hAnsi="宋体"/>
          <w:color w:val="000000" w:themeColor="text1"/>
          <w:sz w:val="24"/>
          <w:szCs w:val="21"/>
          <w14:textFill>
            <w14:solidFill>
              <w14:schemeClr w14:val="tx1"/>
            </w14:solidFill>
          </w14:textFill>
        </w:rPr>
        <w:t xml:space="preserve">。</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本单位对上述声明的真实性负责，如有虚假，将依法承担相应责任。</w:t>
      </w:r>
      <w:r/>
    </w:p>
    <w:p>
      <w:pPr>
        <w:pStyle w:val="782"/>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right="180" w:firstLine="360"/>
        <w:jc w:val="cente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企业名称：（加盖电子公章）</w:t>
      </w:r>
      <w:r/>
    </w:p>
    <w:p>
      <w:pPr>
        <w:ind w:firstLine="6000"/>
        <w:spacing w:line="360" w:lineRule="auto"/>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1.供应商如不提供此声明函，价格将不做相应扣除。</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2.成交供应商为残疾人福利性单位的，此声明函将随成交结果同时公告，接受社会监督。</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rPr>
          <w:rFonts w:hint="eastAsia" w:ascii="黑体" w:hAnsi="黑体" w:eastAsia="黑体"/>
          <w:iCs/>
          <w:color w:val="000000" w:themeColor="text1"/>
          <w:sz w:val="32"/>
          <w:szCs w:val="32"/>
          <w14:textFill>
            <w14:solidFill>
              <w14:schemeClr w14:val="tx1"/>
            </w14:solidFill>
          </w14:textFill>
        </w:rPr>
      </w:pPr>
      <w:r>
        <w:rPr>
          <w:rFonts w:hint="eastAsia" w:ascii="黑体" w:hAnsi="黑体" w:eastAsia="黑体"/>
          <w:iCs/>
          <w:color w:val="000000" w:themeColor="text1"/>
          <w:sz w:val="32"/>
          <w:szCs w:val="32"/>
          <w14:textFill>
            <w14:solidFill>
              <w14:schemeClr w14:val="tx1"/>
            </w14:solidFill>
          </w14:textFill>
        </w:rPr>
        <w:br w:type="page" w:clear="all"/>
      </w:r>
      <w:r/>
    </w:p>
    <w:p>
      <w:pPr>
        <w:jc w:val="left"/>
        <w:spacing w:line="360" w:lineRule="auto"/>
        <w:rPr>
          <w:rFonts w:hint="eastAsia" w:ascii="黑体" w:hAnsi="黑体" w:eastAsia="黑体"/>
          <w:iCs/>
          <w:color w:val="000000" w:themeColor="text1"/>
          <w:sz w:val="32"/>
          <w:szCs w:val="32"/>
          <w14:textFill>
            <w14:solidFill>
              <w14:schemeClr w14:val="tx1"/>
            </w14:solidFill>
          </w14:textFill>
        </w:rPr>
      </w:pPr>
      <w:r>
        <w:rPr>
          <w:rFonts w:hint="eastAsia" w:ascii="黑体" w:hAnsi="黑体" w:eastAsia="黑体"/>
          <w:iCs/>
          <w:color w:val="000000" w:themeColor="text1"/>
          <w:sz w:val="32"/>
          <w:szCs w:val="32"/>
          <w14:textFill>
            <w14:solidFill>
              <w14:schemeClr w14:val="tx1"/>
            </w14:solidFill>
          </w14:textFill>
        </w:rPr>
        <w:t xml:space="preserve">十一、联合体协议</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联合体协议</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（联合体中各供应商全称）在此达成以下协议：</w:t>
      </w:r>
      <w:r/>
    </w:p>
    <w:p>
      <w:pPr>
        <w:ind w:firstLine="480"/>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.我们</w:t>
      </w:r>
      <w:r>
        <w:rPr>
          <w:rFonts w:hint="eastAsia" w:ascii="宋体" w:hAnsi="宋体"/>
          <w:color w:val="000000" w:themeColor="text1"/>
          <w:sz w:val="24"/>
          <w:u w:val="single"/>
          <w14:textFill>
            <w14:solidFill>
              <w14:schemeClr w14:val="tx1"/>
            </w14:solidFill>
          </w14:textFill>
        </w:rPr>
        <w:t xml:space="preserve"> （供应商1），（供应商2） ，</w:t>
      </w:r>
      <w:r>
        <w:rPr>
          <w:rFonts w:ascii="宋体" w:hAnsi="宋体"/>
          <w:color w:val="000000" w:themeColor="text1"/>
          <w:sz w:val="24"/>
          <w:u w:val="single"/>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自愿组成联合体，</w:t>
      </w:r>
      <w:r>
        <w:rPr>
          <w:rFonts w:hint="eastAsia" w:ascii="宋体" w:hAnsi="宋体"/>
          <w:color w:val="000000" w:themeColor="text1"/>
          <w:sz w:val="24"/>
          <w:szCs w:val="24"/>
          <w14:textFill>
            <w14:solidFill>
              <w14:schemeClr w14:val="tx1"/>
            </w14:solidFill>
          </w14:textFill>
        </w:rPr>
        <w:t xml:space="preserve">参加</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（单位名称）采购编号为</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项目（采购包号：</w:t>
      </w:r>
      <w:r>
        <w:rPr>
          <w:rFonts w:hint="eastAsia" w:ascii="宋体" w:hAnsi="宋体"/>
          <w:color w:val="000000" w:themeColor="text1"/>
          <w:sz w:val="24"/>
          <w:szCs w:val="24"/>
          <w:u w:val="single"/>
          <w14:textFill>
            <w14:solidFill>
              <w14:schemeClr w14:val="tx1"/>
            </w14:solidFill>
          </w14:textFill>
        </w:rPr>
        <w:t xml:space="preserve">XXX</w:t>
      </w:r>
      <w:r>
        <w:rPr>
          <w:rFonts w:hint="eastAsia" w:ascii="宋体" w:hAnsi="宋体"/>
          <w:color w:val="000000" w:themeColor="text1"/>
          <w:sz w:val="24"/>
          <w:szCs w:val="24"/>
          <w14:textFill>
            <w14:solidFill>
              <w14:schemeClr w14:val="tx1"/>
            </w14:solidFill>
          </w14:textFill>
        </w:rPr>
        <w:t xml:space="preserve">）的采购活动</w:t>
      </w:r>
      <w:r>
        <w:rPr>
          <w:rFonts w:hint="eastAsia" w:ascii="宋体" w:hAnsi="宋体"/>
          <w:color w:val="000000" w:themeColor="text1"/>
          <w:sz w:val="24"/>
          <w14:textFill>
            <w14:solidFill>
              <w14:schemeClr w14:val="tx1"/>
            </w14:solidFill>
          </w14:textFill>
        </w:rPr>
        <w:t xml:space="preserve">，并指定</w:t>
      </w:r>
      <w:r>
        <w:rPr>
          <w:rFonts w:hint="eastAsia" w:ascii="宋体" w:hAnsi="宋体"/>
          <w:color w:val="000000" w:themeColor="text1"/>
          <w:sz w:val="24"/>
          <w:szCs w:val="24"/>
          <w:u w:val="single"/>
          <w14:textFill>
            <w14:solidFill>
              <w14:schemeClr w14:val="tx1"/>
            </w14:solidFill>
          </w14:textFill>
        </w:rPr>
        <w:t xml:space="preserve">XXXXXXXXXXXXXXXXXXX</w:t>
      </w:r>
      <w:r>
        <w:rPr>
          <w:rFonts w:hint="eastAsia" w:ascii="宋体" w:hAnsi="宋体"/>
          <w:color w:val="000000" w:themeColor="text1"/>
          <w:sz w:val="24"/>
          <w14:textFill>
            <w14:solidFill>
              <w14:schemeClr w14:val="tx1"/>
            </w14:solidFill>
          </w14:textFill>
        </w:rPr>
        <w:t xml:space="preserve">（供应商名称）为牵头单位。</w:t>
      </w:r>
      <w:r/>
    </w:p>
    <w:p>
      <w:pPr>
        <w:ind w:firstLine="480"/>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.若我们联合成交，</w:t>
      </w:r>
      <w:r>
        <w:rPr>
          <w:rFonts w:hint="eastAsia" w:ascii="宋体" w:hAnsi="宋体"/>
          <w:color w:val="000000" w:themeColor="text1"/>
          <w:sz w:val="24"/>
          <w:szCs w:val="24"/>
          <w:u w:val="single"/>
          <w14:textFill>
            <w14:solidFill>
              <w14:schemeClr w14:val="tx1"/>
            </w14:solidFill>
          </w14:textFill>
        </w:rPr>
        <w:t xml:space="preserve">XXXXXXXXXXXXXXXXXXX</w:t>
      </w:r>
      <w:r>
        <w:rPr>
          <w:rFonts w:hint="eastAsia" w:ascii="宋体" w:hAnsi="宋体"/>
          <w:color w:val="000000" w:themeColor="text1"/>
          <w:sz w:val="24"/>
          <w14:textFill>
            <w14:solidFill>
              <w14:schemeClr w14:val="tx1"/>
            </w14:solidFill>
          </w14:textFill>
        </w:rPr>
        <w:t xml:space="preserve">（供应商名称）实施项目中</w:t>
      </w:r>
      <w:r>
        <w:rPr>
          <w:rFonts w:hint="eastAsia" w:ascii="宋体" w:hAnsi="宋体"/>
          <w:color w:val="000000" w:themeColor="text1"/>
          <w:sz w:val="24"/>
          <w:u w:val="single"/>
          <w14:textFill>
            <w14:solidFill>
              <w14:schemeClr w14:val="tx1"/>
            </w14:solidFill>
          </w14:textFill>
        </w:rPr>
        <w:t xml:space="preserve">XXXXXXXXX</w:t>
      </w:r>
      <w:r>
        <w:rPr>
          <w:rFonts w:hint="eastAsia" w:ascii="宋体" w:hAnsi="宋体"/>
          <w:color w:val="000000" w:themeColor="text1"/>
          <w:sz w:val="24"/>
          <w14:textFill>
            <w14:solidFill>
              <w14:schemeClr w14:val="tx1"/>
            </w14:solidFill>
          </w14:textFill>
        </w:rPr>
        <w:t xml:space="preserve">（工作内容）部分工作，并承担相应的责任；</w:t>
      </w:r>
      <w:r>
        <w:rPr>
          <w:rFonts w:hint="eastAsia" w:ascii="宋体" w:hAnsi="宋体"/>
          <w:color w:val="000000" w:themeColor="text1"/>
          <w:sz w:val="24"/>
          <w:szCs w:val="24"/>
          <w:u w:val="single"/>
          <w14:textFill>
            <w14:solidFill>
              <w14:schemeClr w14:val="tx1"/>
            </w14:solidFill>
          </w14:textFill>
        </w:rPr>
        <w:t xml:space="preserve">XXXXXXXXXXXXXXXXXXX</w:t>
      </w:r>
      <w:r>
        <w:rPr>
          <w:rFonts w:hint="eastAsia" w:ascii="宋体" w:hAnsi="宋体"/>
          <w:color w:val="000000" w:themeColor="text1"/>
          <w:sz w:val="24"/>
          <w14:textFill>
            <w14:solidFill>
              <w14:schemeClr w14:val="tx1"/>
            </w14:solidFill>
          </w14:textFill>
        </w:rPr>
        <w:t xml:space="preserve">（供应商名称）实施项目中</w:t>
      </w:r>
      <w:r>
        <w:rPr>
          <w:rFonts w:hint="eastAsia" w:ascii="宋体" w:hAnsi="宋体"/>
          <w:color w:val="000000" w:themeColor="text1"/>
          <w:sz w:val="24"/>
          <w:u w:val="single"/>
          <w14:textFill>
            <w14:solidFill>
              <w14:schemeClr w14:val="tx1"/>
            </w14:solidFill>
          </w14:textFill>
        </w:rPr>
        <w:t xml:space="preserve">XXXXXXXXX</w:t>
      </w:r>
      <w:r>
        <w:rPr>
          <w:rFonts w:hint="eastAsia" w:ascii="宋体" w:hAnsi="宋体"/>
          <w:color w:val="000000" w:themeColor="text1"/>
          <w:sz w:val="24"/>
          <w14:textFill>
            <w14:solidFill>
              <w14:schemeClr w14:val="tx1"/>
            </w14:solidFill>
          </w14:textFill>
        </w:rPr>
        <w:t xml:space="preserve">（工作内容）部分工作，并承担相应的责任；……。（注：需明确联合体中各供应商所承担的工作和相应的责任）。</w:t>
      </w:r>
      <w:r/>
    </w:p>
    <w:p>
      <w:pPr>
        <w:ind w:firstLine="480"/>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.其中，</w:t>
      </w:r>
      <w:r>
        <w:rPr>
          <w:rFonts w:hint="eastAsia" w:ascii="宋体" w:hAnsi="宋体"/>
          <w:color w:val="000000" w:themeColor="text1"/>
          <w:sz w:val="24"/>
          <w:u w:val="single"/>
          <w14:textFill>
            <w14:solidFill>
              <w14:schemeClr w14:val="tx1"/>
            </w14:solidFill>
          </w14:textFill>
        </w:rPr>
        <w:t xml:space="preserve">XXXXXXXXX</w:t>
      </w:r>
      <w:r>
        <w:rPr>
          <w:rFonts w:hint="eastAsia" w:ascii="宋体" w:hAnsi="宋体"/>
          <w:color w:val="000000" w:themeColor="text1"/>
          <w:sz w:val="24"/>
          <w14:textFill>
            <w14:solidFill>
              <w14:schemeClr w14:val="tx1"/>
            </w14:solidFill>
          </w14:textFill>
        </w:rPr>
        <w:t xml:space="preserve">（企业全称）为</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小型、微型企业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残疾人福利性单位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监狱企业，且我们约定该单位所承担的合同金额将占本项目合同总金额的</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p>
    <w:p>
      <w:pPr>
        <w:ind w:firstLine="645"/>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645"/>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p>
    <w:p>
      <w:pPr>
        <w:ind w:firstLine="645"/>
        <w:jc w:val="righ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联合体中各供应商全称：</w:t>
      </w:r>
      <w:r>
        <w:rPr>
          <w:rFonts w:hint="eastAsia" w:ascii="宋体" w:hAnsi="宋体"/>
          <w:color w:val="000000" w:themeColor="text1"/>
          <w:sz w:val="24"/>
          <w:szCs w:val="24"/>
          <w14:textFill>
            <w14:solidFill>
              <w14:schemeClr w14:val="tx1"/>
            </w14:solidFill>
          </w14:textFill>
        </w:rPr>
        <w:t xml:space="preserve">（加盖电子公章）</w:t>
      </w:r>
      <w:r>
        <w:rPr>
          <w:rFonts w:ascii="宋体" w:hAnsi="宋体"/>
          <w:color w:val="000000" w:themeColor="text1"/>
          <w:sz w:val="24"/>
          <w14:textFill>
            <w14:solidFill>
              <w14:schemeClr w14:val="tx1"/>
            </w14:solidFill>
          </w14:textFill>
        </w:rPr>
        <w:t xml:space="preserve">    </w:t>
      </w:r>
      <w:r/>
    </w:p>
    <w:p>
      <w:pPr>
        <w:ind w:firstLine="5280"/>
        <w:spacing w:line="360" w:lineRule="auto"/>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1.牵头单位必须为联合体成员。</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2.在所属企业类型前的</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内打“</w:t>
      </w:r>
      <w:r>
        <w:rPr>
          <w:rFonts w:ascii="Arial" w:hAnsi="Arial" w:cs="Arial"/>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3.除另有说明外，本磋商文件要求加盖电子公章之处，加盖牵头单位的电子公章即可。</w:t>
      </w:r>
      <w:r/>
    </w:p>
    <w:p>
      <w:pPr>
        <w:pStyle w:val="783"/>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br w:type="page" w:clear="all"/>
      </w:r>
      <w:r/>
    </w:p>
    <w:p>
      <w:pPr>
        <w:jc w:val="center"/>
        <w:rPr>
          <w:rFonts w:hint="eastAsia"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质疑函范本</w:t>
      </w:r>
      <w:r/>
    </w:p>
    <w:p>
      <w:pPr>
        <w:spacing w:before="290" w:line="360"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一、质疑供应商基本信息</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供应商名称：</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地址：</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邮编：</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联系人：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联系电话：</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授权代表：</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联系电话：</w:t>
      </w:r>
      <w:r>
        <w:rPr>
          <w:rFonts w:hint="eastAsia" w:ascii="宋体" w:hAnsi="宋体" w:cs="仿宋"/>
          <w:color w:val="000000" w:themeColor="text1"/>
          <w:sz w:val="24"/>
          <w:szCs w:val="24"/>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二、质疑项目基本情况</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项目名称：</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项目编号：</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采购包号：</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采购人名称：</w:t>
      </w:r>
      <w:r>
        <w:rPr>
          <w:rFonts w:hint="eastAsia" w:ascii="宋体" w:hAnsi="宋体" w:cs="仿宋"/>
          <w:color w:val="000000" w:themeColor="text1"/>
          <w:sz w:val="24"/>
          <w:szCs w:val="24"/>
          <w:u w:val="single"/>
          <w14:textFill>
            <w14:solidFill>
              <w14:schemeClr w14:val="tx1"/>
            </w14:solidFill>
          </w14:textFill>
        </w:rPr>
        <w:t xml:space="preserve">                                                              </w:t>
      </w:r>
      <w:r/>
    </w:p>
    <w:p>
      <w:pPr>
        <w:spacing w:before="290" w:line="360"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三、质疑事项具体内容</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质疑事项1：</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事实依据：</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法律依据：</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质疑事项2：</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w:t>
      </w:r>
      <w:r/>
    </w:p>
    <w:p>
      <w:pPr>
        <w:spacing w:before="290" w:line="360"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四、质疑事项相关请求</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请求：</w:t>
      </w:r>
      <w:r>
        <w:rPr>
          <w:rFonts w:hint="eastAsia" w:ascii="宋体" w:hAnsi="宋体" w:cs="仿宋"/>
          <w:color w:val="000000" w:themeColor="text1"/>
          <w:sz w:val="24"/>
          <w:szCs w:val="24"/>
          <w:u w:val="single"/>
          <w14:textFill>
            <w14:solidFill>
              <w14:schemeClr w14:val="tx1"/>
            </w14:solidFill>
          </w14:textFill>
        </w:rPr>
        <w:t xml:space="preserve">                                                                    </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签  字(签章)：                                 公  章：                      </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  期：    </w:t>
      </w:r>
      <w:r/>
    </w:p>
    <w:p>
      <w:pPr>
        <w:ind w:firstLine="480"/>
        <w:spacing w:line="4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4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4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相关说明：</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1.供应商提出质疑，应提交《质疑函》和必要的证明材料。</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3.质疑供应商针对项目的某一采购包进行质疑的，《质疑函》中应明确采购包号。</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4.《质疑函》的质疑事项应具体、明确，并有必要的事实依据和法律依据。</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5.《质疑函》的质疑请求应与质疑事项相关。</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7.质疑</w:t>
      </w:r>
      <w:r>
        <w:rPr>
          <w:rFonts w:hint="eastAsia" w:ascii="宋体" w:hAnsi="宋体" w:cs="仿宋"/>
          <w:color w:val="000000" w:themeColor="text1"/>
          <w:sz w:val="24"/>
          <w:szCs w:val="24"/>
          <w:lang w:val="zh-CN"/>
          <w14:textFill>
            <w14:solidFill>
              <w14:schemeClr w14:val="tx1"/>
            </w14:solidFill>
          </w14:textFill>
        </w:rPr>
        <w:t xml:space="preserve">供应商</w:t>
      </w:r>
      <w:r>
        <w:rPr>
          <w:rFonts w:hint="eastAsia" w:ascii="宋体" w:hAnsi="宋体" w:cs="仿宋"/>
          <w:color w:val="000000" w:themeColor="text1"/>
          <w:sz w:val="24"/>
          <w:szCs w:val="24"/>
          <w14:textFill>
            <w14:solidFill>
              <w14:schemeClr w14:val="tx1"/>
            </w14:solidFill>
          </w14:textFill>
        </w:rPr>
        <w:t xml:space="preserve">为</w:t>
      </w:r>
      <w:r>
        <w:rPr>
          <w:rFonts w:hint="eastAsia" w:ascii="宋体" w:hAnsi="宋体" w:cs="仿宋"/>
          <w:color w:val="000000" w:themeColor="text1"/>
          <w:sz w:val="24"/>
          <w:szCs w:val="24"/>
          <w:lang w:val="zh-CN"/>
          <w14:textFill>
            <w14:solidFill>
              <w14:schemeClr w14:val="tx1"/>
            </w14:solidFill>
          </w14:textFill>
        </w:rPr>
        <w:t xml:space="preserve">联合体</w:t>
      </w:r>
      <w:r>
        <w:rPr>
          <w:rFonts w:hint="eastAsia" w:ascii="宋体" w:hAnsi="宋体" w:cs="仿宋"/>
          <w:color w:val="000000" w:themeColor="text1"/>
          <w:sz w:val="24"/>
          <w:szCs w:val="24"/>
          <w14:textFill>
            <w14:solidFill>
              <w14:schemeClr w14:val="tx1"/>
            </w14:solidFill>
          </w14:textFill>
        </w:rPr>
        <w:t xml:space="preserve">的</w:t>
      </w:r>
      <w:r>
        <w:rPr>
          <w:rFonts w:hint="eastAsia" w:ascii="宋体" w:hAnsi="宋体" w:cs="仿宋"/>
          <w:color w:val="000000" w:themeColor="text1"/>
          <w:sz w:val="24"/>
          <w:szCs w:val="24"/>
          <w:lang w:val="zh-CN"/>
          <w14:textFill>
            <w14:solidFill>
              <w14:schemeClr w14:val="tx1"/>
            </w14:solidFill>
          </w14:textFill>
        </w:rPr>
        <w:t xml:space="preserve">，则《质疑函》中要求加盖公章之处，联合体各方均须按要求加盖公章。</w:t>
      </w:r>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20"/>
        <w:spacing w:line="360" w:lineRule="auto"/>
        <w:rPr>
          <w:rFonts w:hint="eastAsia" w:ascii="宋体" w:hAnsi="宋体" w:cs="宋体"/>
          <w:sz w:val="24"/>
          <w:szCs w:val="24"/>
        </w:rPr>
      </w:pPr>
      <w:r>
        <w:rPr>
          <w:rFonts w:hint="eastAsia" w:ascii="宋体" w:hAnsi="宋体" w:cs="宋体"/>
          <w:sz w:val="24"/>
          <w:szCs w:val="24"/>
        </w:rPr>
      </w:r>
      <w:r/>
    </w:p>
    <w:sectPr>
      <w:headerReference w:type="default" r:id="rId9"/>
      <w:footerReference w:type="default" r:id="rId10"/>
      <w:footerReference w:type="even" r:id="rId11"/>
      <w:footnotePr/>
      <w:endnotePr/>
      <w:type w:val="nextPage"/>
      <w:pgSz w:w="11906" w:h="16838" w:orient="portrait"/>
      <w:pgMar w:top="1417" w:right="1417" w:bottom="1417" w:left="1417"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Helvetica">
    <w:panose1 w:val="020B0604020202020204"/>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微软雅黑">
    <w:panose1 w:val="020B0503020204020204"/>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08"/>
        <w:rFonts w:hint="eastAsia" w:ascii="宋体" w:hAnsi="宋体"/>
      </w:rPr>
      <w:framePr w:h="223" w:wrap="around" w:vAnchor="text" w:hAnchor="margin" w:xAlign="center" w:y="1" w:hRule="exact"/>
    </w:pPr>
    <w:r>
      <w:rPr>
        <w:rFonts w:ascii="宋体" w:hAnsi="宋体"/>
      </w:rPr>
      <w:fldChar w:fldCharType="begin"/>
    </w:r>
    <w:r>
      <w:rPr>
        <w:rStyle w:val="1008"/>
        <w:rFonts w:ascii="宋体" w:hAnsi="宋体"/>
      </w:rPr>
      <w:instrText xml:space="preserve">PAGE  </w:instrText>
    </w:r>
    <w:r>
      <w:rPr>
        <w:rFonts w:ascii="宋体" w:hAnsi="宋体"/>
      </w:rPr>
      <w:fldChar w:fldCharType="separate"/>
    </w:r>
    <w:r>
      <w:rPr>
        <w:rStyle w:val="1008"/>
        <w:rFonts w:ascii="宋体" w:hAnsi="宋体"/>
      </w:rPr>
      <w:t xml:space="preserve">３９</w:t>
    </w:r>
    <w:r>
      <w:rPr>
        <w:rFonts w:ascii="宋体" w:hAnsi="宋体"/>
      </w:rPr>
      <w:fldChar w:fldCharType="end"/>
    </w:r>
    <w:r/>
  </w:p>
  <w:p>
    <w:pPr>
      <w:pStyle w:val="98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08"/>
      </w:rPr>
      <w:framePr w:wrap="around" w:vAnchor="text" w:hAnchor="margin" w:xAlign="center" w:y="1"/>
    </w:pPr>
    <w:r>
      <w:fldChar w:fldCharType="begin"/>
    </w:r>
    <w:r>
      <w:rPr>
        <w:rStyle w:val="1008"/>
      </w:rPr>
      <w:instrText xml:space="preserve">PAGE  </w:instrText>
    </w:r>
    <w:r>
      <w:fldChar w:fldCharType="separate"/>
    </w:r>
    <w:r>
      <w:rPr>
        <w:rStyle w:val="1008"/>
      </w:rPr>
      <w:t xml:space="preserve">1</w:t>
    </w:r>
    <w:r>
      <w:fldChar w:fldCharType="end"/>
    </w:r>
    <w:r/>
  </w:p>
  <w:p>
    <w:pPr>
      <w:pStyle w:val="9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5"/>
      <w:isLgl w:val="false"/>
      <w:suff w:val="nothing"/>
      <w:lvlText w:val=""/>
      <w:lvlJc w:val="left"/>
      <w:pPr>
        <w:ind w:left="0" w:firstLine="0"/>
      </w:pPr>
      <w:rPr>
        <w:rFonts w:hint="eastAsia"/>
      </w:rPr>
    </w:lvl>
    <w:lvl w:ilvl="6">
      <w:start w:val="1"/>
      <w:numFmt w:val="decimal"/>
      <w:pStyle w:val="946"/>
      <w:isLgl w:val="false"/>
      <w:suff w:val="nothing"/>
      <w:lvlText w:val=""/>
      <w:lvlJc w:val="left"/>
      <w:pPr>
        <w:ind w:left="0" w:firstLine="0"/>
      </w:pPr>
      <w:rPr>
        <w:rFonts w:hint="eastAsia"/>
      </w:rPr>
    </w:lvl>
    <w:lvl w:ilvl="7">
      <w:start w:val="1"/>
      <w:numFmt w:val="decimal"/>
      <w:pStyle w:val="947"/>
      <w:isLgl w:val="false"/>
      <w:suff w:val="nothing"/>
      <w:lvlText w:val=""/>
      <w:lvlJc w:val="left"/>
      <w:pPr>
        <w:ind w:left="0" w:firstLine="0"/>
      </w:pPr>
      <w:rPr>
        <w:rFonts w:hint="eastAsia"/>
      </w:rPr>
    </w:lvl>
    <w:lvl w:ilvl="8">
      <w:start w:val="1"/>
      <w:numFmt w:val="decimal"/>
      <w:pStyle w:val="948"/>
      <w:isLgl w:val="false"/>
      <w:suff w:val="nothing"/>
      <w:lvlText w:val=""/>
      <w:lvlJc w:val="left"/>
      <w:pPr>
        <w:ind w:left="0" w:firstLine="0"/>
      </w:pPr>
      <w:rPr>
        <w:rFonts w:hint="eastAsia"/>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9"/>
  </w:num>
  <w:num w:numId="4">
    <w:abstractNumId w:val="11"/>
  </w:num>
  <w:num w:numId="5">
    <w:abstractNumId w:val="10"/>
  </w:num>
  <w:num w:numId="6">
    <w:abstractNumId w:val="6"/>
  </w:num>
  <w:num w:numId="7">
    <w:abstractNumId w:val="4"/>
  </w:num>
  <w:num w:numId="8">
    <w:abstractNumId w:val="5"/>
  </w:num>
  <w:num w:numId="9">
    <w:abstractNumId w:val="2"/>
  </w:num>
  <w:num w:numId="10">
    <w:abstractNumId w:val="0"/>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751"/>
    <w:link w:val="742"/>
    <w:uiPriority w:val="9"/>
    <w:rPr>
      <w:rFonts w:ascii="Arial" w:hAnsi="Arial" w:eastAsia="Arial" w:cs="Arial"/>
      <w:sz w:val="40"/>
      <w:szCs w:val="40"/>
    </w:rPr>
  </w:style>
  <w:style w:type="character" w:styleId="705">
    <w:name w:val="Heading 2 Char"/>
    <w:basedOn w:val="751"/>
    <w:link w:val="743"/>
    <w:uiPriority w:val="9"/>
    <w:rPr>
      <w:rFonts w:ascii="Arial" w:hAnsi="Arial" w:eastAsia="Arial" w:cs="Arial"/>
      <w:sz w:val="34"/>
    </w:rPr>
  </w:style>
  <w:style w:type="character" w:styleId="706">
    <w:name w:val="Heading 3 Char"/>
    <w:basedOn w:val="751"/>
    <w:link w:val="744"/>
    <w:uiPriority w:val="9"/>
    <w:rPr>
      <w:rFonts w:ascii="Arial" w:hAnsi="Arial" w:eastAsia="Arial" w:cs="Arial"/>
      <w:sz w:val="30"/>
      <w:szCs w:val="30"/>
    </w:rPr>
  </w:style>
  <w:style w:type="character" w:styleId="707">
    <w:name w:val="Heading 4 Char"/>
    <w:basedOn w:val="751"/>
    <w:link w:val="745"/>
    <w:uiPriority w:val="9"/>
    <w:rPr>
      <w:rFonts w:ascii="Arial" w:hAnsi="Arial" w:eastAsia="Arial" w:cs="Arial"/>
      <w:b/>
      <w:bCs/>
      <w:sz w:val="26"/>
      <w:szCs w:val="26"/>
    </w:rPr>
  </w:style>
  <w:style w:type="character" w:styleId="708">
    <w:name w:val="Heading 5 Char"/>
    <w:basedOn w:val="751"/>
    <w:link w:val="746"/>
    <w:uiPriority w:val="9"/>
    <w:rPr>
      <w:rFonts w:ascii="Arial" w:hAnsi="Arial" w:eastAsia="Arial" w:cs="Arial"/>
      <w:b/>
      <w:bCs/>
      <w:sz w:val="24"/>
      <w:szCs w:val="24"/>
    </w:rPr>
  </w:style>
  <w:style w:type="character" w:styleId="709">
    <w:name w:val="Heading 6 Char"/>
    <w:basedOn w:val="751"/>
    <w:link w:val="747"/>
    <w:uiPriority w:val="9"/>
    <w:rPr>
      <w:rFonts w:ascii="Arial" w:hAnsi="Arial" w:eastAsia="Arial" w:cs="Arial"/>
      <w:b/>
      <w:bCs/>
      <w:sz w:val="22"/>
      <w:szCs w:val="22"/>
    </w:rPr>
  </w:style>
  <w:style w:type="character" w:styleId="710">
    <w:name w:val="Heading 7 Char"/>
    <w:basedOn w:val="751"/>
    <w:link w:val="748"/>
    <w:uiPriority w:val="9"/>
    <w:rPr>
      <w:rFonts w:ascii="Arial" w:hAnsi="Arial" w:eastAsia="Arial" w:cs="Arial"/>
      <w:b/>
      <w:bCs/>
      <w:i/>
      <w:iCs/>
      <w:sz w:val="22"/>
      <w:szCs w:val="22"/>
    </w:rPr>
  </w:style>
  <w:style w:type="character" w:styleId="711">
    <w:name w:val="Heading 8 Char"/>
    <w:basedOn w:val="751"/>
    <w:link w:val="749"/>
    <w:uiPriority w:val="9"/>
    <w:rPr>
      <w:rFonts w:ascii="Arial" w:hAnsi="Arial" w:eastAsia="Arial" w:cs="Arial"/>
      <w:i/>
      <w:iCs/>
      <w:sz w:val="22"/>
      <w:szCs w:val="22"/>
    </w:rPr>
  </w:style>
  <w:style w:type="character" w:styleId="712">
    <w:name w:val="Heading 9 Char"/>
    <w:basedOn w:val="751"/>
    <w:link w:val="750"/>
    <w:uiPriority w:val="9"/>
    <w:rPr>
      <w:rFonts w:ascii="Arial" w:hAnsi="Arial" w:eastAsia="Arial" w:cs="Arial"/>
      <w:i/>
      <w:iCs/>
      <w:sz w:val="21"/>
      <w:szCs w:val="21"/>
    </w:rPr>
  </w:style>
  <w:style w:type="character" w:styleId="713">
    <w:name w:val="Title Char"/>
    <w:basedOn w:val="751"/>
    <w:link w:val="776"/>
    <w:uiPriority w:val="10"/>
    <w:rPr>
      <w:sz w:val="48"/>
      <w:szCs w:val="48"/>
    </w:rPr>
  </w:style>
  <w:style w:type="character" w:styleId="714">
    <w:name w:val="Subtitle Char"/>
    <w:basedOn w:val="751"/>
    <w:link w:val="768"/>
    <w:uiPriority w:val="11"/>
    <w:rPr>
      <w:sz w:val="24"/>
      <w:szCs w:val="24"/>
    </w:rPr>
  </w:style>
  <w:style w:type="character" w:styleId="715">
    <w:name w:val="Quote Char"/>
    <w:link w:val="806"/>
    <w:uiPriority w:val="29"/>
    <w:rPr>
      <w:i/>
    </w:rPr>
  </w:style>
  <w:style w:type="character" w:styleId="716">
    <w:name w:val="Intense Quote Char"/>
    <w:link w:val="808"/>
    <w:uiPriority w:val="30"/>
    <w:rPr>
      <w:i/>
    </w:rPr>
  </w:style>
  <w:style w:type="character" w:styleId="717">
    <w:name w:val="Header Char"/>
    <w:basedOn w:val="751"/>
    <w:link w:val="765"/>
    <w:uiPriority w:val="99"/>
  </w:style>
  <w:style w:type="character" w:styleId="718">
    <w:name w:val="Caption Char"/>
    <w:basedOn w:val="755"/>
    <w:link w:val="764"/>
    <w:uiPriority w:val="99"/>
  </w:style>
  <w:style w:type="table" w:styleId="719">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6">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7">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8">
    <w:name w:val="Footnote Text Char"/>
    <w:link w:val="769"/>
    <w:uiPriority w:val="99"/>
    <w:rPr>
      <w:sz w:val="18"/>
    </w:rPr>
  </w:style>
  <w:style w:type="character" w:styleId="739">
    <w:name w:val="Endnote Text Char"/>
    <w:link w:val="763"/>
    <w:uiPriority w:val="99"/>
    <w:rPr>
      <w:sz w:val="20"/>
    </w:rPr>
  </w:style>
  <w:style w:type="paragraph" w:styleId="740">
    <w:name w:val="TOC Heading"/>
    <w:uiPriority w:val="39"/>
    <w:unhideWhenUsed/>
  </w:style>
  <w:style w:type="paragraph" w:styleId="74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42">
    <w:name w:val="Heading 1"/>
    <w:basedOn w:val="741"/>
    <w:next w:val="741"/>
    <w:link w:val="793"/>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794"/>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link w:val="795"/>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link w:val="796"/>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797"/>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798"/>
    <w:uiPriority w:val="9"/>
    <w:unhideWhenUsed/>
    <w:qFormat/>
    <w:pPr>
      <w:keepLines/>
      <w:keepNext/>
      <w:spacing w:before="320" w:after="200"/>
      <w:outlineLvl w:val="5"/>
    </w:pPr>
    <w:rPr>
      <w:rFonts w:ascii="Arial" w:hAnsi="Arial" w:eastAsia="Arial" w:cs="Arial"/>
      <w:b/>
      <w:bCs/>
      <w:sz w:val="22"/>
    </w:rPr>
  </w:style>
  <w:style w:type="paragraph" w:styleId="748">
    <w:name w:val="Heading 7"/>
    <w:basedOn w:val="741"/>
    <w:next w:val="741"/>
    <w:link w:val="799"/>
    <w:uiPriority w:val="9"/>
    <w:unhideWhenUsed/>
    <w:qFormat/>
    <w:pPr>
      <w:keepLines/>
      <w:keepNext/>
      <w:spacing w:before="320" w:after="200"/>
      <w:outlineLvl w:val="6"/>
    </w:pPr>
    <w:rPr>
      <w:rFonts w:ascii="Arial" w:hAnsi="Arial" w:eastAsia="Arial" w:cs="Arial"/>
      <w:b/>
      <w:bCs/>
      <w:i/>
      <w:iCs/>
      <w:sz w:val="22"/>
    </w:rPr>
  </w:style>
  <w:style w:type="paragraph" w:styleId="749">
    <w:name w:val="Heading 8"/>
    <w:basedOn w:val="741"/>
    <w:next w:val="741"/>
    <w:link w:val="800"/>
    <w:uiPriority w:val="9"/>
    <w:unhideWhenUsed/>
    <w:qFormat/>
    <w:pPr>
      <w:keepLines/>
      <w:keepNext/>
      <w:spacing w:before="320" w:after="200"/>
      <w:outlineLvl w:val="7"/>
    </w:pPr>
    <w:rPr>
      <w:rFonts w:ascii="Arial" w:hAnsi="Arial" w:eastAsia="Arial" w:cs="Arial"/>
      <w:i/>
      <w:iCs/>
      <w:sz w:val="22"/>
    </w:rPr>
  </w:style>
  <w:style w:type="paragraph" w:styleId="750">
    <w:name w:val="Heading 9"/>
    <w:basedOn w:val="741"/>
    <w:next w:val="741"/>
    <w:link w:val="801"/>
    <w:uiPriority w:val="9"/>
    <w:unhideWhenUsed/>
    <w:qFormat/>
    <w:pPr>
      <w:keepLines/>
      <w:keepNext/>
      <w:spacing w:before="320" w:after="200"/>
      <w:outlineLvl w:val="8"/>
    </w:pPr>
    <w:rPr>
      <w:rFonts w:ascii="Arial" w:hAnsi="Arial" w:eastAsia="Arial" w:cs="Arial"/>
      <w:i/>
      <w:iCs/>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basedOn w:val="741"/>
    <w:next w:val="741"/>
    <w:uiPriority w:val="39"/>
    <w:unhideWhenUsed/>
    <w:qFormat/>
    <w:pPr>
      <w:ind w:left="1701"/>
      <w:spacing w:after="57"/>
    </w:pPr>
  </w:style>
  <w:style w:type="paragraph" w:styleId="754">
    <w:name w:val="Normal Indent"/>
    <w:basedOn w:val="741"/>
    <w:uiPriority w:val="0"/>
    <w:qFormat/>
    <w:pPr>
      <w:ind w:firstLine="420"/>
    </w:pPr>
  </w:style>
  <w:style w:type="paragraph" w:styleId="755">
    <w:name w:val="Caption"/>
    <w:basedOn w:val="741"/>
    <w:next w:val="7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annotation text"/>
    <w:basedOn w:val="741"/>
    <w:uiPriority w:val="0"/>
    <w:qFormat/>
    <w:pPr>
      <w:jc w:val="left"/>
    </w:pPr>
  </w:style>
  <w:style w:type="paragraph" w:styleId="757">
    <w:name w:val="Body Text"/>
    <w:basedOn w:val="741"/>
    <w:uiPriority w:val="0"/>
    <w:semiHidden/>
    <w:qFormat/>
  </w:style>
  <w:style w:type="paragraph" w:styleId="758">
    <w:name w:val="index 4"/>
    <w:next w:val="741"/>
    <w:uiPriority w:val="0"/>
    <w:qFormat/>
    <w:pPr>
      <w:ind w:left="600"/>
      <w:jc w:val="both"/>
      <w:widowControl w:val="off"/>
    </w:pPr>
    <w:rPr>
      <w:rFonts w:ascii="Times New Roman" w:hAnsi="Times New Roman" w:eastAsia="宋体" w:cs="Times New Roman"/>
      <w:sz w:val="21"/>
      <w:szCs w:val="24"/>
      <w:lang w:val="en-US" w:eastAsia="zh-CN" w:bidi="ar-SA"/>
    </w:rPr>
  </w:style>
  <w:style w:type="paragraph" w:styleId="759">
    <w:name w:val="toc 5"/>
    <w:basedOn w:val="741"/>
    <w:next w:val="741"/>
    <w:uiPriority w:val="39"/>
    <w:unhideWhenUsed/>
    <w:qFormat/>
    <w:pPr>
      <w:ind w:left="1134"/>
      <w:spacing w:after="57"/>
    </w:pPr>
  </w:style>
  <w:style w:type="paragraph" w:styleId="760">
    <w:name w:val="toc 3"/>
    <w:basedOn w:val="741"/>
    <w:next w:val="741"/>
    <w:uiPriority w:val="39"/>
    <w:unhideWhenUsed/>
    <w:qFormat/>
    <w:pPr>
      <w:ind w:left="567"/>
      <w:spacing w:after="57"/>
    </w:pPr>
  </w:style>
  <w:style w:type="paragraph" w:styleId="761">
    <w:name w:val="Plain Text"/>
    <w:basedOn w:val="741"/>
    <w:uiPriority w:val="0"/>
    <w:qFormat/>
    <w:rPr>
      <w:rFonts w:ascii="宋体" w:hAnsi="Courier New"/>
      <w:sz w:val="20"/>
    </w:rPr>
  </w:style>
  <w:style w:type="paragraph" w:styleId="762">
    <w:name w:val="toc 8"/>
    <w:basedOn w:val="741"/>
    <w:next w:val="741"/>
    <w:uiPriority w:val="39"/>
    <w:unhideWhenUsed/>
    <w:qFormat/>
    <w:pPr>
      <w:ind w:left="1984"/>
      <w:spacing w:after="57"/>
    </w:pPr>
  </w:style>
  <w:style w:type="paragraph" w:styleId="763">
    <w:name w:val="endnote text"/>
    <w:basedOn w:val="741"/>
    <w:link w:val="939"/>
    <w:uiPriority w:val="99"/>
    <w:semiHidden/>
    <w:unhideWhenUsed/>
    <w:qFormat/>
    <w:rPr>
      <w:sz w:val="20"/>
    </w:rPr>
  </w:style>
  <w:style w:type="paragraph" w:styleId="764">
    <w:name w:val="Footer"/>
    <w:basedOn w:val="741"/>
    <w:link w:val="812"/>
    <w:uiPriority w:val="99"/>
    <w:unhideWhenUsed/>
    <w:qFormat/>
    <w:pPr>
      <w:tabs>
        <w:tab w:val="center" w:pos="7143" w:leader="none"/>
        <w:tab w:val="right" w:pos="14287" w:leader="none"/>
      </w:tabs>
    </w:pPr>
  </w:style>
  <w:style w:type="paragraph" w:styleId="765">
    <w:name w:val="Header"/>
    <w:basedOn w:val="741"/>
    <w:link w:val="810"/>
    <w:uiPriority w:val="99"/>
    <w:unhideWhenUsed/>
    <w:qFormat/>
    <w:pPr>
      <w:tabs>
        <w:tab w:val="center" w:pos="7143" w:leader="none"/>
        <w:tab w:val="right" w:pos="14287" w:leader="none"/>
      </w:tabs>
    </w:pPr>
  </w:style>
  <w:style w:type="paragraph" w:styleId="766">
    <w:name w:val="toc 1"/>
    <w:basedOn w:val="741"/>
    <w:next w:val="741"/>
    <w:uiPriority w:val="39"/>
    <w:unhideWhenUsed/>
    <w:qFormat/>
    <w:pPr>
      <w:spacing w:after="57"/>
    </w:pPr>
  </w:style>
  <w:style w:type="paragraph" w:styleId="767">
    <w:name w:val="toc 4"/>
    <w:basedOn w:val="741"/>
    <w:next w:val="741"/>
    <w:uiPriority w:val="39"/>
    <w:unhideWhenUsed/>
    <w:qFormat/>
    <w:pPr>
      <w:ind w:left="850"/>
      <w:spacing w:after="57"/>
    </w:pPr>
  </w:style>
  <w:style w:type="paragraph" w:styleId="768">
    <w:name w:val="Subtitle"/>
    <w:basedOn w:val="741"/>
    <w:next w:val="741"/>
    <w:link w:val="805"/>
    <w:uiPriority w:val="11"/>
    <w:qFormat/>
    <w:pPr>
      <w:spacing w:before="200" w:after="200"/>
    </w:pPr>
    <w:rPr>
      <w:sz w:val="24"/>
      <w:szCs w:val="24"/>
    </w:rPr>
  </w:style>
  <w:style w:type="paragraph" w:styleId="769">
    <w:name w:val="footnote text"/>
    <w:basedOn w:val="741"/>
    <w:link w:val="938"/>
    <w:uiPriority w:val="99"/>
    <w:semiHidden/>
    <w:unhideWhenUsed/>
    <w:qFormat/>
    <w:pPr>
      <w:spacing w:after="40"/>
    </w:pPr>
    <w:rPr>
      <w:sz w:val="18"/>
    </w:rPr>
  </w:style>
  <w:style w:type="paragraph" w:styleId="770">
    <w:name w:val="toc 6"/>
    <w:basedOn w:val="741"/>
    <w:next w:val="741"/>
    <w:uiPriority w:val="39"/>
    <w:unhideWhenUsed/>
    <w:qFormat/>
    <w:pPr>
      <w:ind w:left="1417"/>
      <w:spacing w:after="57"/>
    </w:pPr>
  </w:style>
  <w:style w:type="paragraph" w:styleId="771">
    <w:name w:val="table of figures"/>
    <w:basedOn w:val="741"/>
    <w:next w:val="741"/>
    <w:uiPriority w:val="99"/>
    <w:unhideWhenUsed/>
    <w:qFormat/>
  </w:style>
  <w:style w:type="paragraph" w:styleId="772">
    <w:name w:val="toc 2"/>
    <w:basedOn w:val="741"/>
    <w:next w:val="741"/>
    <w:uiPriority w:val="39"/>
    <w:unhideWhenUsed/>
    <w:qFormat/>
    <w:pPr>
      <w:ind w:left="283"/>
      <w:spacing w:after="57"/>
    </w:pPr>
  </w:style>
  <w:style w:type="paragraph" w:styleId="773">
    <w:name w:val="toc 9"/>
    <w:basedOn w:val="741"/>
    <w:next w:val="741"/>
    <w:uiPriority w:val="39"/>
    <w:unhideWhenUsed/>
    <w:qFormat/>
    <w:pPr>
      <w:ind w:left="2268"/>
      <w:spacing w:after="57"/>
    </w:pPr>
  </w:style>
  <w:style w:type="paragraph" w:styleId="774">
    <w:name w:val="List Continue 2"/>
    <w:basedOn w:val="741"/>
    <w:next w:val="741"/>
    <w:uiPriority w:val="0"/>
    <w:qFormat/>
    <w:pPr>
      <w:ind w:left="840"/>
      <w:spacing w:after="120"/>
    </w:pPr>
  </w:style>
  <w:style w:type="paragraph" w:styleId="775">
    <w:name w:val="Normal (Web)"/>
    <w:basedOn w:val="741"/>
    <w:uiPriority w:val="99"/>
    <w:semiHidden/>
    <w:unhideWhenUsed/>
    <w:qFormat/>
    <w:pPr>
      <w:jc w:val="left"/>
      <w:spacing w:beforeAutospacing="1" w:afterAutospacing="1"/>
    </w:pPr>
    <w:rPr>
      <w:sz w:val="24"/>
    </w:rPr>
  </w:style>
  <w:style w:type="paragraph" w:styleId="776">
    <w:name w:val="Title"/>
    <w:basedOn w:val="741"/>
    <w:next w:val="741"/>
    <w:link w:val="804"/>
    <w:uiPriority w:val="10"/>
    <w:qFormat/>
    <w:pPr>
      <w:contextualSpacing/>
      <w:spacing w:before="300" w:after="200"/>
    </w:pPr>
    <w:rPr>
      <w:sz w:val="48"/>
      <w:szCs w:val="48"/>
    </w:rPr>
  </w:style>
  <w:style w:type="table" w:styleId="7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basedOn w:val="751"/>
    <w:uiPriority w:val="22"/>
    <w:qFormat/>
    <w:rPr>
      <w:b/>
    </w:rPr>
  </w:style>
  <w:style w:type="character" w:styleId="779">
    <w:name w:val="endnote reference"/>
    <w:uiPriority w:val="99"/>
    <w:semiHidden/>
    <w:unhideWhenUsed/>
    <w:qFormat/>
    <w:rPr>
      <w:vertAlign w:val="superscript"/>
    </w:rPr>
  </w:style>
  <w:style w:type="character" w:styleId="780">
    <w:name w:val="Hyperlink"/>
    <w:uiPriority w:val="99"/>
    <w:unhideWhenUsed/>
    <w:qFormat/>
    <w:rPr>
      <w:color w:val="0000ff" w:themeColor="hyperlink"/>
      <w:u w:val="single"/>
      <w14:textFill>
        <w14:solidFill>
          <w14:schemeClr w14:val="hlink"/>
        </w14:solidFill>
      </w14:textFill>
    </w:rPr>
  </w:style>
  <w:style w:type="character" w:styleId="781">
    <w:name w:val="footnote reference"/>
    <w:uiPriority w:val="99"/>
    <w:unhideWhenUsed/>
    <w:qFormat/>
    <w:rPr>
      <w:vertAlign w:val="superscript"/>
    </w:rPr>
  </w:style>
  <w:style w:type="paragraph" w:styleId="782" w:customStyle="1">
    <w:name w:val="索引 41"/>
    <w:basedOn w:val="741"/>
    <w:next w:val="741"/>
    <w:uiPriority w:val="0"/>
    <w:semiHidden/>
    <w:qFormat/>
    <w:pPr>
      <w:ind w:left="1260"/>
    </w:pPr>
    <w:rPr>
      <w:rFonts w:ascii="Calibri" w:hAnsi="Calibri" w:eastAsia="Calibri" w:cs="宋体"/>
      <w:sz w:val="20"/>
      <w:lang w:val="zh-CN"/>
    </w:rPr>
  </w:style>
  <w:style w:type="paragraph" w:styleId="783" w:customStyle="1">
    <w:name w:val="正文首行缩进 21"/>
    <w:basedOn w:val="784"/>
    <w:next w:val="741"/>
    <w:link w:val="1005"/>
    <w:uiPriority w:val="0"/>
    <w:qFormat/>
    <w:pPr>
      <w:ind w:left="0" w:firstLine="420"/>
      <w:spacing w:after="0" w:line="360" w:lineRule="auto"/>
    </w:pPr>
    <w:rPr>
      <w:rFonts w:ascii="宋体" w:hAnsi="宋体"/>
      <w:szCs w:val="20"/>
    </w:rPr>
  </w:style>
  <w:style w:type="paragraph" w:styleId="784" w:customStyle="1">
    <w:name w:val="正文文本缩进1"/>
    <w:basedOn w:val="741"/>
    <w:next w:val="783"/>
    <w:link w:val="970"/>
    <w:uiPriority w:val="0"/>
    <w:unhideWhenUsed/>
    <w:qFormat/>
    <w:pPr>
      <w:ind w:left="420"/>
      <w:spacing w:after="120"/>
    </w:pPr>
  </w:style>
  <w:style w:type="paragraph" w:styleId="785" w:customStyle="1">
    <w:name w:val="正文文本缩进11"/>
    <w:basedOn w:val="741"/>
    <w:next w:val="786"/>
    <w:uiPriority w:val="0"/>
    <w:unhideWhenUsed/>
    <w:qFormat/>
    <w:pPr>
      <w:ind w:left="420"/>
      <w:spacing w:after="120"/>
    </w:pPr>
  </w:style>
  <w:style w:type="paragraph" w:styleId="786" w:customStyle="1">
    <w:name w:val="寄信人地址1"/>
    <w:basedOn w:val="741"/>
    <w:uiPriority w:val="0"/>
    <w:qFormat/>
    <w:rPr>
      <w:rFonts w:ascii="Arial" w:hAnsi="Arial" w:cs="宋体"/>
    </w:rPr>
  </w:style>
  <w:style w:type="paragraph" w:styleId="787" w:customStyle="1">
    <w:name w:val="正文首行缩进 211"/>
    <w:basedOn w:val="785"/>
    <w:next w:val="741"/>
    <w:uiPriority w:val="0"/>
    <w:qFormat/>
    <w:pPr>
      <w:ind w:left="0" w:firstLine="420"/>
      <w:spacing w:after="0" w:line="360" w:lineRule="auto"/>
    </w:pPr>
    <w:rPr>
      <w:rFonts w:ascii="宋体" w:hAnsi="宋体"/>
      <w:szCs w:val="20"/>
    </w:rPr>
  </w:style>
  <w:style w:type="paragraph" w:styleId="788" w:customStyle="1">
    <w:name w:val="标题 411"/>
    <w:basedOn w:val="741"/>
    <w:next w:val="741"/>
    <w:uiPriority w:val="9"/>
    <w:unhideWhenUsed/>
    <w:qFormat/>
    <w:pPr>
      <w:ind w:firstLine="200"/>
      <w:keepLines/>
      <w:keepNext/>
      <w:spacing w:before="320" w:after="200" w:line="360" w:lineRule="auto"/>
      <w:outlineLvl w:val="3"/>
    </w:pPr>
    <w:rPr>
      <w:b/>
      <w:bCs/>
      <w:color w:val="000000"/>
      <w:sz w:val="26"/>
      <w:szCs w:val="26"/>
    </w:rPr>
  </w:style>
  <w:style w:type="character" w:styleId="789" w:customStyle="1">
    <w:name w:val="标题 2 Char"/>
    <w:link w:val="790"/>
    <w:uiPriority w:val="0"/>
    <w:qFormat/>
    <w:rPr>
      <w:rFonts w:ascii="Arial" w:hAnsi="Arial" w:eastAsia="幼圆" w:cs="Arial"/>
      <w:b/>
      <w:bCs/>
      <w:sz w:val="44"/>
      <w:szCs w:val="44"/>
    </w:rPr>
  </w:style>
  <w:style w:type="paragraph" w:styleId="790" w:customStyle="1">
    <w:name w:val="标题 21"/>
    <w:basedOn w:val="741"/>
    <w:next w:val="791"/>
    <w:link w:val="78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91" w:customStyle="1">
    <w:name w:val="正文缩进1"/>
    <w:basedOn w:val="741"/>
    <w:link w:val="952"/>
    <w:uiPriority w:val="0"/>
    <w:qFormat/>
    <w:pPr>
      <w:ind w:firstLine="420"/>
    </w:pPr>
    <w:rPr>
      <w:szCs w:val="21"/>
    </w:rPr>
  </w:style>
  <w:style w:type="paragraph" w:styleId="792" w:customStyle="1">
    <w:name w:val="首行缩进"/>
    <w:basedOn w:val="741"/>
    <w:uiPriority w:val="99"/>
    <w:qFormat/>
    <w:pPr>
      <w:ind w:firstLine="480"/>
      <w:jc w:val="left"/>
      <w:spacing w:line="360" w:lineRule="auto"/>
    </w:pPr>
    <w:rPr>
      <w:rFonts w:ascii="宋体" w:hAnsi="宋体"/>
      <w:sz w:val="24"/>
      <w:szCs w:val="24"/>
    </w:rPr>
  </w:style>
  <w:style w:type="character" w:styleId="793" w:customStyle="1">
    <w:name w:val="标题 1 字符"/>
    <w:link w:val="742"/>
    <w:uiPriority w:val="9"/>
    <w:qFormat/>
    <w:rPr>
      <w:rFonts w:ascii="Arial" w:hAnsi="Arial" w:eastAsia="Arial" w:cs="Arial"/>
      <w:sz w:val="40"/>
      <w:szCs w:val="40"/>
    </w:rPr>
  </w:style>
  <w:style w:type="character" w:styleId="794" w:customStyle="1">
    <w:name w:val="标题 2 字符"/>
    <w:link w:val="743"/>
    <w:uiPriority w:val="9"/>
    <w:qFormat/>
    <w:rPr>
      <w:rFonts w:ascii="Arial" w:hAnsi="Arial" w:eastAsia="Arial" w:cs="Arial"/>
      <w:sz w:val="34"/>
    </w:rPr>
  </w:style>
  <w:style w:type="character" w:styleId="795" w:customStyle="1">
    <w:name w:val="标题 3 字符"/>
    <w:link w:val="744"/>
    <w:uiPriority w:val="9"/>
    <w:qFormat/>
    <w:rPr>
      <w:rFonts w:ascii="Arial" w:hAnsi="Arial" w:eastAsia="Arial" w:cs="Arial"/>
      <w:sz w:val="30"/>
      <w:szCs w:val="30"/>
    </w:rPr>
  </w:style>
  <w:style w:type="character" w:styleId="796" w:customStyle="1">
    <w:name w:val="标题 4 字符"/>
    <w:link w:val="745"/>
    <w:uiPriority w:val="9"/>
    <w:qFormat/>
    <w:rPr>
      <w:rFonts w:ascii="Arial" w:hAnsi="Arial" w:eastAsia="Arial" w:cs="Arial"/>
      <w:b/>
      <w:bCs/>
      <w:sz w:val="26"/>
      <w:szCs w:val="26"/>
    </w:rPr>
  </w:style>
  <w:style w:type="character" w:styleId="797" w:customStyle="1">
    <w:name w:val="标题 5 字符"/>
    <w:link w:val="746"/>
    <w:uiPriority w:val="9"/>
    <w:qFormat/>
    <w:rPr>
      <w:rFonts w:ascii="Arial" w:hAnsi="Arial" w:eastAsia="Arial" w:cs="Arial"/>
      <w:b/>
      <w:bCs/>
      <w:sz w:val="24"/>
      <w:szCs w:val="24"/>
    </w:rPr>
  </w:style>
  <w:style w:type="character" w:styleId="798" w:customStyle="1">
    <w:name w:val="标题 6 字符"/>
    <w:link w:val="747"/>
    <w:uiPriority w:val="9"/>
    <w:qFormat/>
    <w:rPr>
      <w:rFonts w:ascii="Arial" w:hAnsi="Arial" w:eastAsia="Arial" w:cs="Arial"/>
      <w:b/>
      <w:bCs/>
      <w:sz w:val="22"/>
      <w:szCs w:val="22"/>
    </w:rPr>
  </w:style>
  <w:style w:type="character" w:styleId="799" w:customStyle="1">
    <w:name w:val="标题 7 字符"/>
    <w:link w:val="748"/>
    <w:uiPriority w:val="9"/>
    <w:qFormat/>
    <w:rPr>
      <w:rFonts w:ascii="Arial" w:hAnsi="Arial" w:eastAsia="Arial" w:cs="Arial"/>
      <w:b/>
      <w:bCs/>
      <w:i/>
      <w:iCs/>
      <w:sz w:val="22"/>
      <w:szCs w:val="22"/>
    </w:rPr>
  </w:style>
  <w:style w:type="character" w:styleId="800" w:customStyle="1">
    <w:name w:val="标题 8 字符"/>
    <w:link w:val="749"/>
    <w:uiPriority w:val="9"/>
    <w:qFormat/>
    <w:rPr>
      <w:rFonts w:ascii="Arial" w:hAnsi="Arial" w:eastAsia="Arial" w:cs="Arial"/>
      <w:i/>
      <w:iCs/>
      <w:sz w:val="22"/>
      <w:szCs w:val="22"/>
    </w:rPr>
  </w:style>
  <w:style w:type="character" w:styleId="801" w:customStyle="1">
    <w:name w:val="标题 9 字符"/>
    <w:link w:val="750"/>
    <w:uiPriority w:val="9"/>
    <w:qFormat/>
    <w:rPr>
      <w:rFonts w:ascii="Arial" w:hAnsi="Arial" w:eastAsia="Arial" w:cs="Arial"/>
      <w:i/>
      <w:iCs/>
      <w:sz w:val="21"/>
      <w:szCs w:val="21"/>
    </w:rPr>
  </w:style>
  <w:style w:type="paragraph" w:styleId="802">
    <w:name w:val="List Paragraph"/>
    <w:basedOn w:val="741"/>
    <w:uiPriority w:val="34"/>
    <w:qFormat/>
    <w:pPr>
      <w:contextualSpacing/>
      <w:ind w:left="720"/>
    </w:pPr>
  </w:style>
  <w:style w:type="paragraph" w:styleId="803">
    <w:name w:val="No Spacing"/>
    <w:uiPriority w:val="1"/>
    <w:qFormat/>
    <w:rPr>
      <w:rFonts w:ascii="Times New Roman" w:hAnsi="Times New Roman" w:eastAsia="宋体" w:cs="Times New Roman"/>
      <w:lang w:val="en-US" w:eastAsia="zh-CN" w:bidi="ar-SA"/>
    </w:rPr>
  </w:style>
  <w:style w:type="character" w:styleId="804" w:customStyle="1">
    <w:name w:val="标题 字符"/>
    <w:link w:val="776"/>
    <w:uiPriority w:val="10"/>
    <w:qFormat/>
    <w:rPr>
      <w:sz w:val="48"/>
      <w:szCs w:val="48"/>
    </w:rPr>
  </w:style>
  <w:style w:type="character" w:styleId="805" w:customStyle="1">
    <w:name w:val="副标题 字符"/>
    <w:link w:val="768"/>
    <w:uiPriority w:val="11"/>
    <w:qFormat/>
    <w:rPr>
      <w:sz w:val="24"/>
      <w:szCs w:val="24"/>
    </w:rPr>
  </w:style>
  <w:style w:type="paragraph" w:styleId="806">
    <w:name w:val="Quote"/>
    <w:basedOn w:val="741"/>
    <w:next w:val="741"/>
    <w:link w:val="807"/>
    <w:uiPriority w:val="29"/>
    <w:qFormat/>
    <w:pPr>
      <w:ind w:left="720" w:right="720"/>
    </w:pPr>
    <w:rPr>
      <w:i/>
    </w:rPr>
  </w:style>
  <w:style w:type="character" w:styleId="807" w:customStyle="1">
    <w:name w:val="引用 字符"/>
    <w:link w:val="806"/>
    <w:uiPriority w:val="29"/>
    <w:qFormat/>
    <w:rPr>
      <w:i/>
    </w:rPr>
  </w:style>
  <w:style w:type="paragraph" w:styleId="808">
    <w:name w:val="Intense Quote"/>
    <w:basedOn w:val="741"/>
    <w:next w:val="741"/>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字符"/>
    <w:link w:val="808"/>
    <w:uiPriority w:val="30"/>
    <w:qFormat/>
    <w:rPr>
      <w:i/>
    </w:rPr>
  </w:style>
  <w:style w:type="character" w:styleId="810" w:customStyle="1">
    <w:name w:val="页眉 字符"/>
    <w:link w:val="765"/>
    <w:uiPriority w:val="99"/>
    <w:qFormat/>
  </w:style>
  <w:style w:type="character" w:styleId="811" w:customStyle="1">
    <w:name w:val="Footer Char"/>
    <w:uiPriority w:val="99"/>
    <w:qFormat/>
  </w:style>
  <w:style w:type="character" w:styleId="812" w:customStyle="1">
    <w:name w:val="页脚 字符"/>
    <w:link w:val="764"/>
    <w:uiPriority w:val="99"/>
    <w:qFormat/>
  </w:style>
  <w:style w:type="table" w:styleId="81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脚注文本 字符"/>
    <w:link w:val="769"/>
    <w:uiPriority w:val="99"/>
    <w:qFormat/>
    <w:rPr>
      <w:sz w:val="18"/>
    </w:rPr>
  </w:style>
  <w:style w:type="character" w:styleId="939" w:customStyle="1">
    <w:name w:val="尾注文本 字符"/>
    <w:link w:val="763"/>
    <w:uiPriority w:val="99"/>
    <w:qFormat/>
    <w:rPr>
      <w:sz w:val="20"/>
    </w:rPr>
  </w:style>
  <w:style w:type="paragraph" w:styleId="940" w:customStyle="1">
    <w:name w:val="TOC 标题1"/>
    <w:uiPriority w:val="39"/>
    <w:unhideWhenUsed/>
    <w:qFormat/>
    <w:rPr>
      <w:rFonts w:ascii="Times New Roman" w:hAnsi="Times New Roman" w:eastAsia="宋体" w:cs="Times New Roman"/>
      <w:lang w:val="en-US" w:eastAsia="zh-CN" w:bidi="ar-SA"/>
    </w:rPr>
  </w:style>
  <w:style w:type="paragraph" w:styleId="941" w:customStyle="1">
    <w:name w:val="标题 11"/>
    <w:basedOn w:val="741"/>
    <w:next w:val="741"/>
    <w:link w:val="951"/>
    <w:uiPriority w:val="0"/>
    <w:qFormat/>
    <w:pPr>
      <w:jc w:val="center"/>
      <w:keepNext/>
      <w:outlineLvl w:val="0"/>
    </w:pPr>
    <w:rPr>
      <w:rFonts w:ascii="楷体_GB2312" w:eastAsia="楷体_GB2312"/>
      <w:sz w:val="28"/>
      <w:szCs w:val="28"/>
    </w:rPr>
  </w:style>
  <w:style w:type="paragraph" w:styleId="942" w:customStyle="1">
    <w:name w:val="标题 31"/>
    <w:basedOn w:val="741"/>
    <w:next w:val="791"/>
    <w:link w:val="953"/>
    <w:uiPriority w:val="0"/>
    <w:qFormat/>
    <w:pPr>
      <w:keepLines/>
      <w:keepNext/>
      <w:spacing w:before="260" w:after="260" w:line="416" w:lineRule="auto"/>
      <w:outlineLvl w:val="2"/>
    </w:pPr>
    <w:rPr>
      <w:b/>
      <w:bCs/>
      <w:sz w:val="32"/>
      <w:szCs w:val="32"/>
    </w:rPr>
  </w:style>
  <w:style w:type="paragraph" w:styleId="943" w:customStyle="1">
    <w:name w:val="标题 41"/>
    <w:basedOn w:val="741"/>
    <w:next w:val="791"/>
    <w:link w:val="954"/>
    <w:uiPriority w:val="0"/>
    <w:qFormat/>
    <w:pPr>
      <w:keepLines/>
      <w:keepNext/>
      <w:spacing w:before="280" w:after="290" w:line="376" w:lineRule="auto"/>
      <w:outlineLvl w:val="3"/>
    </w:pPr>
    <w:rPr>
      <w:rFonts w:ascii="Arial" w:hAnsi="Arial" w:eastAsia="黑体" w:cs="Arial"/>
      <w:b/>
      <w:bCs/>
      <w:sz w:val="28"/>
      <w:szCs w:val="28"/>
    </w:rPr>
  </w:style>
  <w:style w:type="paragraph" w:styleId="944" w:customStyle="1">
    <w:name w:val="标题 51"/>
    <w:basedOn w:val="741"/>
    <w:next w:val="791"/>
    <w:link w:val="955"/>
    <w:uiPriority w:val="0"/>
    <w:qFormat/>
    <w:pPr>
      <w:keepNext/>
      <w:outlineLvl w:val="4"/>
    </w:pPr>
    <w:rPr>
      <w:rFonts w:ascii="宋体"/>
      <w:color w:val="000000"/>
      <w:sz w:val="28"/>
      <w:szCs w:val="28"/>
    </w:rPr>
  </w:style>
  <w:style w:type="paragraph" w:styleId="945" w:customStyle="1">
    <w:name w:val="标题 61"/>
    <w:basedOn w:val="741"/>
    <w:next w:val="741"/>
    <w:link w:val="95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6" w:customStyle="1">
    <w:name w:val="标题 71"/>
    <w:basedOn w:val="741"/>
    <w:next w:val="741"/>
    <w:link w:val="957"/>
    <w:uiPriority w:val="0"/>
    <w:qFormat/>
    <w:pPr>
      <w:numPr>
        <w:ilvl w:val="6"/>
        <w:numId w:val="1"/>
      </w:numPr>
      <w:keepLines/>
      <w:keepNext/>
      <w:spacing w:before="240" w:after="64" w:line="320" w:lineRule="auto"/>
      <w:outlineLvl w:val="6"/>
    </w:pPr>
    <w:rPr>
      <w:b/>
      <w:bCs/>
      <w:sz w:val="24"/>
      <w:szCs w:val="24"/>
    </w:rPr>
  </w:style>
  <w:style w:type="paragraph" w:styleId="947" w:customStyle="1">
    <w:name w:val="标题 81"/>
    <w:basedOn w:val="741"/>
    <w:next w:val="741"/>
    <w:link w:val="95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8" w:customStyle="1">
    <w:name w:val="标题 91"/>
    <w:basedOn w:val="741"/>
    <w:next w:val="741"/>
    <w:link w:val="959"/>
    <w:uiPriority w:val="0"/>
    <w:qFormat/>
    <w:pPr>
      <w:numPr>
        <w:ilvl w:val="8"/>
        <w:numId w:val="1"/>
      </w:numPr>
      <w:keepLines/>
      <w:keepNext/>
      <w:spacing w:before="240" w:after="64" w:line="320" w:lineRule="auto"/>
      <w:outlineLvl w:val="8"/>
    </w:pPr>
    <w:rPr>
      <w:rFonts w:ascii="Arial" w:hAnsi="Arial" w:eastAsia="黑体"/>
      <w:szCs w:val="21"/>
    </w:rPr>
  </w:style>
  <w:style w:type="character" w:styleId="949" w:customStyle="1">
    <w:name w:val="默认段落字体1"/>
    <w:uiPriority w:val="1"/>
    <w:unhideWhenUsed/>
    <w:qFormat/>
  </w:style>
  <w:style w:type="table" w:styleId="950" w:customStyle="1">
    <w:name w:val="普通表格11"/>
    <w:uiPriority w:val="99"/>
    <w:unhideWhenUsed/>
    <w:qFormat/>
    <w:tblPr>
      <w:tblCellMar>
        <w:left w:w="0" w:type="dxa"/>
        <w:top w:w="0" w:type="dxa"/>
        <w:right w:w="0" w:type="dxa"/>
        <w:bottom w:w="0" w:type="dxa"/>
      </w:tblCellMar>
    </w:tblPr>
  </w:style>
  <w:style w:type="character" w:styleId="951" w:customStyle="1">
    <w:name w:val="标题 1 Char"/>
    <w:link w:val="941"/>
    <w:uiPriority w:val="0"/>
    <w:qFormat/>
    <w:rPr>
      <w:rFonts w:ascii="楷体_GB2312" w:hAnsi="Times New Roman" w:eastAsia="楷体_GB2312" w:cs="Times New Roman"/>
      <w:sz w:val="28"/>
      <w:szCs w:val="28"/>
    </w:rPr>
  </w:style>
  <w:style w:type="character" w:styleId="952" w:customStyle="1">
    <w:name w:val="正文缩进 Char"/>
    <w:link w:val="791"/>
    <w:uiPriority w:val="0"/>
    <w:qFormat/>
    <w:rPr>
      <w:szCs w:val="21"/>
    </w:rPr>
  </w:style>
  <w:style w:type="character" w:styleId="953" w:customStyle="1">
    <w:name w:val="标题 3 Char"/>
    <w:link w:val="942"/>
    <w:uiPriority w:val="0"/>
    <w:qFormat/>
    <w:rPr>
      <w:rFonts w:ascii="Times New Roman" w:hAnsi="Times New Roman" w:eastAsia="宋体" w:cs="Times New Roman"/>
      <w:b/>
      <w:bCs/>
      <w:sz w:val="32"/>
      <w:szCs w:val="32"/>
    </w:rPr>
  </w:style>
  <w:style w:type="character" w:styleId="954" w:customStyle="1">
    <w:name w:val="标题 4 Char"/>
    <w:link w:val="943"/>
    <w:uiPriority w:val="0"/>
    <w:qFormat/>
    <w:rPr>
      <w:rFonts w:ascii="Arial" w:hAnsi="Arial" w:eastAsia="黑体" w:cs="Arial"/>
      <w:b/>
      <w:bCs/>
      <w:sz w:val="28"/>
      <w:szCs w:val="28"/>
    </w:rPr>
  </w:style>
  <w:style w:type="character" w:styleId="955" w:customStyle="1">
    <w:name w:val="标题 5 Char"/>
    <w:link w:val="944"/>
    <w:uiPriority w:val="0"/>
    <w:qFormat/>
    <w:rPr>
      <w:rFonts w:ascii="宋体" w:hAnsi="Times New Roman" w:eastAsia="宋体" w:cs="Times New Roman"/>
      <w:color w:val="000000"/>
      <w:sz w:val="28"/>
      <w:szCs w:val="28"/>
    </w:rPr>
  </w:style>
  <w:style w:type="character" w:styleId="956" w:customStyle="1">
    <w:name w:val="标题 6 Char"/>
    <w:link w:val="945"/>
    <w:uiPriority w:val="0"/>
    <w:qFormat/>
    <w:rPr>
      <w:rFonts w:ascii="Arial" w:hAnsi="Arial" w:eastAsia="黑体" w:cs="Times New Roman"/>
      <w:b/>
      <w:bCs/>
      <w:sz w:val="24"/>
      <w:szCs w:val="24"/>
    </w:rPr>
  </w:style>
  <w:style w:type="character" w:styleId="957" w:customStyle="1">
    <w:name w:val="标题 7 Char"/>
    <w:link w:val="946"/>
    <w:uiPriority w:val="0"/>
    <w:qFormat/>
    <w:rPr>
      <w:rFonts w:ascii="Times New Roman" w:hAnsi="Times New Roman" w:eastAsia="宋体" w:cs="Times New Roman"/>
      <w:b/>
      <w:bCs/>
      <w:sz w:val="24"/>
      <w:szCs w:val="24"/>
    </w:rPr>
  </w:style>
  <w:style w:type="character" w:styleId="958" w:customStyle="1">
    <w:name w:val="标题 8 Char"/>
    <w:link w:val="947"/>
    <w:uiPriority w:val="0"/>
    <w:qFormat/>
    <w:rPr>
      <w:rFonts w:ascii="Arial" w:hAnsi="Arial" w:eastAsia="黑体" w:cs="Times New Roman"/>
      <w:sz w:val="24"/>
      <w:szCs w:val="24"/>
    </w:rPr>
  </w:style>
  <w:style w:type="character" w:styleId="959" w:customStyle="1">
    <w:name w:val="标题 9 Char"/>
    <w:link w:val="948"/>
    <w:uiPriority w:val="0"/>
    <w:qFormat/>
    <w:rPr>
      <w:rFonts w:ascii="Arial" w:hAnsi="Arial" w:eastAsia="黑体" w:cs="Times New Roman"/>
      <w:szCs w:val="21"/>
    </w:rPr>
  </w:style>
  <w:style w:type="paragraph" w:styleId="960" w:customStyle="1">
    <w:name w:val="列表 31"/>
    <w:basedOn w:val="741"/>
    <w:uiPriority w:val="0"/>
    <w:qFormat/>
    <w:pPr>
      <w:ind w:left="100" w:hanging="200"/>
    </w:pPr>
    <w:rPr>
      <w:szCs w:val="21"/>
    </w:rPr>
  </w:style>
  <w:style w:type="paragraph" w:styleId="961" w:customStyle="1">
    <w:name w:val="目录 71"/>
    <w:basedOn w:val="741"/>
    <w:next w:val="741"/>
    <w:uiPriority w:val="0"/>
    <w:semiHidden/>
    <w:qFormat/>
    <w:pPr>
      <w:ind w:left="1260"/>
      <w:jc w:val="left"/>
    </w:pPr>
    <w:rPr>
      <w:szCs w:val="21"/>
    </w:rPr>
  </w:style>
  <w:style w:type="paragraph" w:styleId="962" w:customStyle="1">
    <w:name w:val="文档结构图1"/>
    <w:basedOn w:val="741"/>
    <w:link w:val="963"/>
    <w:uiPriority w:val="0"/>
    <w:semiHidden/>
    <w:qFormat/>
    <w:pPr>
      <w:shd w:val="clear" w:color="auto" w:fill="000080"/>
    </w:pPr>
    <w:rPr>
      <w:szCs w:val="21"/>
    </w:rPr>
  </w:style>
  <w:style w:type="character" w:styleId="963" w:customStyle="1">
    <w:name w:val="文档结构图 Char"/>
    <w:link w:val="962"/>
    <w:uiPriority w:val="0"/>
    <w:semiHidden/>
    <w:qFormat/>
    <w:rPr>
      <w:rFonts w:ascii="Times New Roman" w:hAnsi="Times New Roman" w:eastAsia="宋体" w:cs="Times New Roman"/>
      <w:szCs w:val="21"/>
      <w:shd w:val="clear" w:color="auto" w:fill="000080"/>
    </w:rPr>
  </w:style>
  <w:style w:type="paragraph" w:styleId="964" w:customStyle="1">
    <w:name w:val="批注文字1"/>
    <w:basedOn w:val="741"/>
    <w:link w:val="965"/>
    <w:uiPriority w:val="0"/>
    <w:unhideWhenUsed/>
    <w:qFormat/>
    <w:pPr>
      <w:jc w:val="left"/>
    </w:pPr>
  </w:style>
  <w:style w:type="character" w:styleId="965" w:customStyle="1">
    <w:name w:val="批注文字 Char"/>
    <w:basedOn w:val="949"/>
    <w:link w:val="964"/>
    <w:uiPriority w:val="99"/>
    <w:semiHidden/>
    <w:qFormat/>
  </w:style>
  <w:style w:type="paragraph" w:styleId="966" w:customStyle="1">
    <w:name w:val="正文文本 31"/>
    <w:basedOn w:val="741"/>
    <w:link w:val="967"/>
    <w:uiPriority w:val="0"/>
    <w:qFormat/>
    <w:rPr>
      <w:rFonts w:ascii="仿宋_GB2312" w:hAnsi="Arial" w:eastAsia="仿宋_GB2312"/>
      <w:sz w:val="32"/>
      <w:szCs w:val="32"/>
    </w:rPr>
  </w:style>
  <w:style w:type="character" w:styleId="967" w:customStyle="1">
    <w:name w:val="正文文本 3 Char"/>
    <w:link w:val="966"/>
    <w:uiPriority w:val="0"/>
    <w:qFormat/>
    <w:rPr>
      <w:rFonts w:ascii="仿宋_GB2312" w:hAnsi="Arial" w:eastAsia="仿宋_GB2312" w:cs="Times New Roman"/>
      <w:sz w:val="32"/>
      <w:szCs w:val="32"/>
    </w:rPr>
  </w:style>
  <w:style w:type="paragraph" w:styleId="968" w:customStyle="1">
    <w:name w:val="正文文本11"/>
    <w:basedOn w:val="741"/>
    <w:link w:val="969"/>
    <w:uiPriority w:val="0"/>
    <w:qFormat/>
    <w:rPr>
      <w:rFonts w:ascii="楷体_GB2312" w:hAnsi="Arial" w:eastAsia="楷体_GB2312"/>
      <w:sz w:val="28"/>
      <w:szCs w:val="28"/>
    </w:rPr>
  </w:style>
  <w:style w:type="character" w:styleId="969" w:customStyle="1">
    <w:name w:val="正文文本 Char"/>
    <w:link w:val="968"/>
    <w:uiPriority w:val="0"/>
    <w:qFormat/>
    <w:rPr>
      <w:rFonts w:ascii="楷体_GB2312" w:hAnsi="Arial" w:eastAsia="楷体_GB2312" w:cs="Times New Roman"/>
      <w:sz w:val="28"/>
      <w:szCs w:val="28"/>
    </w:rPr>
  </w:style>
  <w:style w:type="character" w:styleId="970" w:customStyle="1">
    <w:name w:val="正文文本缩进 Char"/>
    <w:basedOn w:val="949"/>
    <w:link w:val="784"/>
    <w:uiPriority w:val="99"/>
    <w:semiHidden/>
    <w:qFormat/>
  </w:style>
  <w:style w:type="paragraph" w:styleId="971" w:customStyle="1">
    <w:name w:val="列表 21"/>
    <w:basedOn w:val="741"/>
    <w:uiPriority w:val="0"/>
    <w:qFormat/>
    <w:pPr>
      <w:ind w:left="100" w:hanging="200"/>
    </w:pPr>
    <w:rPr>
      <w:szCs w:val="21"/>
    </w:rPr>
  </w:style>
  <w:style w:type="paragraph" w:styleId="972" w:customStyle="1">
    <w:name w:val="索引 42"/>
    <w:basedOn w:val="741"/>
    <w:next w:val="741"/>
    <w:uiPriority w:val="0"/>
    <w:semiHidden/>
    <w:qFormat/>
    <w:pPr>
      <w:ind w:left="1260"/>
    </w:pPr>
    <w:rPr>
      <w:rFonts w:ascii="Calibri" w:hAnsi="Calibri" w:eastAsia="Calibri" w:cs="宋体"/>
      <w:sz w:val="20"/>
      <w:lang w:val="zh-CN"/>
    </w:rPr>
  </w:style>
  <w:style w:type="paragraph" w:styleId="973" w:customStyle="1">
    <w:name w:val="目录 51"/>
    <w:basedOn w:val="741"/>
    <w:next w:val="741"/>
    <w:uiPriority w:val="0"/>
    <w:semiHidden/>
    <w:qFormat/>
    <w:pPr>
      <w:ind w:left="840"/>
      <w:jc w:val="left"/>
    </w:pPr>
    <w:rPr>
      <w:szCs w:val="21"/>
    </w:rPr>
  </w:style>
  <w:style w:type="paragraph" w:styleId="974" w:customStyle="1">
    <w:name w:val="目录 31"/>
    <w:basedOn w:val="741"/>
    <w:next w:val="741"/>
    <w:uiPriority w:val="0"/>
    <w:semiHidden/>
    <w:qFormat/>
    <w:pPr>
      <w:ind w:left="420"/>
      <w:jc w:val="left"/>
    </w:pPr>
    <w:rPr>
      <w:i/>
      <w:iCs/>
      <w:szCs w:val="24"/>
    </w:rPr>
  </w:style>
  <w:style w:type="paragraph" w:styleId="975" w:customStyle="1">
    <w:name w:val="纯文本1"/>
    <w:basedOn w:val="741"/>
    <w:link w:val="976"/>
    <w:uiPriority w:val="0"/>
    <w:qFormat/>
    <w:rPr>
      <w:rFonts w:ascii="宋体" w:hAnsi="Courier New" w:cs="Courier New"/>
      <w:szCs w:val="21"/>
    </w:rPr>
  </w:style>
  <w:style w:type="character" w:styleId="976" w:customStyle="1">
    <w:name w:val="纯文本 Char"/>
    <w:link w:val="975"/>
    <w:uiPriority w:val="0"/>
    <w:qFormat/>
    <w:rPr>
      <w:rFonts w:ascii="宋体" w:hAnsi="Courier New" w:eastAsia="宋体" w:cs="Courier New"/>
      <w:szCs w:val="21"/>
    </w:rPr>
  </w:style>
  <w:style w:type="paragraph" w:styleId="977" w:customStyle="1">
    <w:name w:val="目录 81"/>
    <w:basedOn w:val="741"/>
    <w:next w:val="741"/>
    <w:uiPriority w:val="0"/>
    <w:semiHidden/>
    <w:qFormat/>
    <w:pPr>
      <w:ind w:left="1470"/>
      <w:jc w:val="left"/>
    </w:pPr>
    <w:rPr>
      <w:szCs w:val="21"/>
    </w:rPr>
  </w:style>
  <w:style w:type="paragraph" w:styleId="978" w:customStyle="1">
    <w:name w:val="日期1"/>
    <w:basedOn w:val="741"/>
    <w:next w:val="741"/>
    <w:link w:val="979"/>
    <w:uiPriority w:val="0"/>
    <w:qFormat/>
    <w:rPr>
      <w:sz w:val="24"/>
      <w:szCs w:val="24"/>
    </w:rPr>
  </w:style>
  <w:style w:type="character" w:styleId="979" w:customStyle="1">
    <w:name w:val="日期 Char"/>
    <w:link w:val="978"/>
    <w:uiPriority w:val="0"/>
    <w:qFormat/>
    <w:rPr>
      <w:rFonts w:ascii="Times New Roman" w:hAnsi="Times New Roman" w:eastAsia="宋体" w:cs="Times New Roman"/>
      <w:sz w:val="24"/>
      <w:szCs w:val="24"/>
    </w:rPr>
  </w:style>
  <w:style w:type="paragraph" w:styleId="980" w:customStyle="1">
    <w:name w:val="正文文本缩进 21"/>
    <w:basedOn w:val="741"/>
    <w:link w:val="981"/>
    <w:uiPriority w:val="0"/>
    <w:qFormat/>
    <w:pPr>
      <w:ind w:left="630" w:firstLine="645"/>
    </w:pPr>
    <w:rPr>
      <w:rFonts w:ascii="Arial" w:hAnsi="Arial" w:eastAsia="仿宋_GB2312" w:cs="Arial"/>
      <w:sz w:val="32"/>
      <w:szCs w:val="32"/>
    </w:rPr>
  </w:style>
  <w:style w:type="character" w:styleId="981" w:customStyle="1">
    <w:name w:val="正文文本缩进 2 Char"/>
    <w:link w:val="980"/>
    <w:uiPriority w:val="0"/>
    <w:qFormat/>
    <w:rPr>
      <w:rFonts w:ascii="Arial" w:hAnsi="Arial" w:eastAsia="仿宋_GB2312" w:cs="Arial"/>
      <w:sz w:val="32"/>
      <w:szCs w:val="32"/>
    </w:rPr>
  </w:style>
  <w:style w:type="paragraph" w:styleId="982" w:customStyle="1">
    <w:name w:val="批注框文本1"/>
    <w:basedOn w:val="741"/>
    <w:link w:val="983"/>
    <w:uiPriority w:val="0"/>
    <w:semiHidden/>
    <w:qFormat/>
    <w:rPr>
      <w:sz w:val="18"/>
      <w:szCs w:val="18"/>
    </w:rPr>
  </w:style>
  <w:style w:type="character" w:styleId="983" w:customStyle="1">
    <w:name w:val="批注框文本 Char"/>
    <w:link w:val="982"/>
    <w:uiPriority w:val="0"/>
    <w:semiHidden/>
    <w:qFormat/>
    <w:rPr>
      <w:rFonts w:ascii="Times New Roman" w:hAnsi="Times New Roman" w:eastAsia="宋体" w:cs="Times New Roman"/>
      <w:sz w:val="18"/>
      <w:szCs w:val="18"/>
    </w:rPr>
  </w:style>
  <w:style w:type="paragraph" w:styleId="984" w:customStyle="1">
    <w:name w:val="页脚1"/>
    <w:basedOn w:val="741"/>
    <w:link w:val="985"/>
    <w:uiPriority w:val="0"/>
    <w:qFormat/>
    <w:pPr>
      <w:jc w:val="left"/>
      <w:tabs>
        <w:tab w:val="center" w:pos="4153" w:leader="none"/>
        <w:tab w:val="right" w:pos="8306" w:leader="none"/>
      </w:tabs>
    </w:pPr>
    <w:rPr>
      <w:sz w:val="18"/>
      <w:szCs w:val="18"/>
    </w:rPr>
  </w:style>
  <w:style w:type="character" w:styleId="985" w:customStyle="1">
    <w:name w:val="页脚 Char"/>
    <w:link w:val="984"/>
    <w:uiPriority w:val="0"/>
    <w:qFormat/>
    <w:rPr>
      <w:rFonts w:ascii="Times New Roman" w:hAnsi="Times New Roman" w:eastAsia="宋体" w:cs="Times New Roman"/>
      <w:sz w:val="18"/>
      <w:szCs w:val="18"/>
    </w:rPr>
  </w:style>
  <w:style w:type="paragraph" w:styleId="986" w:customStyle="1">
    <w:name w:val="页眉1"/>
    <w:basedOn w:val="741"/>
    <w:link w:val="987"/>
    <w:uiPriority w:val="0"/>
    <w:qFormat/>
    <w:pPr>
      <w:jc w:val="center"/>
      <w:tabs>
        <w:tab w:val="center" w:pos="4153" w:leader="none"/>
        <w:tab w:val="right" w:pos="8306" w:leader="none"/>
      </w:tabs>
      <w:pBdr>
        <w:bottom w:val="single" w:color="000000" w:sz="6" w:space="1"/>
      </w:pBdr>
    </w:pPr>
    <w:rPr>
      <w:sz w:val="18"/>
      <w:szCs w:val="18"/>
    </w:rPr>
  </w:style>
  <w:style w:type="character" w:styleId="987" w:customStyle="1">
    <w:name w:val="页眉 Char"/>
    <w:link w:val="986"/>
    <w:uiPriority w:val="0"/>
    <w:qFormat/>
    <w:rPr>
      <w:rFonts w:ascii="Times New Roman" w:hAnsi="Times New Roman" w:eastAsia="宋体" w:cs="Times New Roman"/>
      <w:sz w:val="18"/>
      <w:szCs w:val="18"/>
    </w:rPr>
  </w:style>
  <w:style w:type="paragraph" w:styleId="988" w:customStyle="1">
    <w:name w:val="目录 11"/>
    <w:basedOn w:val="741"/>
    <w:next w:val="741"/>
    <w:uiPriority w:val="0"/>
    <w:semiHidden/>
    <w:qFormat/>
    <w:pPr>
      <w:jc w:val="left"/>
      <w:spacing w:before="120" w:after="120" w:line="400" w:lineRule="exact"/>
      <w:tabs>
        <w:tab w:val="right" w:pos="8720" w:leader="dot"/>
      </w:tabs>
    </w:pPr>
    <w:rPr>
      <w:rFonts w:ascii="宋体" w:hAnsi="宋体"/>
      <w:caps/>
      <w:sz w:val="24"/>
      <w:szCs w:val="24"/>
    </w:rPr>
  </w:style>
  <w:style w:type="paragraph" w:styleId="989" w:customStyle="1">
    <w:name w:val="目录 41"/>
    <w:basedOn w:val="741"/>
    <w:next w:val="741"/>
    <w:uiPriority w:val="0"/>
    <w:semiHidden/>
    <w:qFormat/>
    <w:pPr>
      <w:ind w:left="630"/>
      <w:jc w:val="left"/>
    </w:pPr>
    <w:rPr>
      <w:szCs w:val="21"/>
    </w:rPr>
  </w:style>
  <w:style w:type="paragraph" w:styleId="990" w:customStyle="1">
    <w:name w:val="列表1"/>
    <w:basedOn w:val="741"/>
    <w:uiPriority w:val="0"/>
    <w:qFormat/>
    <w:pPr>
      <w:ind w:left="200" w:hanging="200"/>
    </w:pPr>
    <w:rPr>
      <w:szCs w:val="21"/>
    </w:rPr>
  </w:style>
  <w:style w:type="paragraph" w:styleId="991" w:customStyle="1">
    <w:name w:val="目录 61"/>
    <w:basedOn w:val="741"/>
    <w:next w:val="741"/>
    <w:uiPriority w:val="0"/>
    <w:semiHidden/>
    <w:qFormat/>
    <w:pPr>
      <w:ind w:left="1050"/>
      <w:jc w:val="left"/>
    </w:pPr>
    <w:rPr>
      <w:szCs w:val="21"/>
    </w:rPr>
  </w:style>
  <w:style w:type="paragraph" w:styleId="992" w:customStyle="1">
    <w:name w:val="正文文本缩进 31"/>
    <w:basedOn w:val="741"/>
    <w:link w:val="993"/>
    <w:uiPriority w:val="0"/>
    <w:qFormat/>
    <w:pPr>
      <w:ind w:left="645" w:firstLine="645"/>
    </w:pPr>
    <w:rPr>
      <w:rFonts w:ascii="Arial" w:hAnsi="Arial" w:eastAsia="仿宋_GB2312" w:cs="Arial"/>
      <w:color w:val="ffff00"/>
      <w:sz w:val="32"/>
      <w:szCs w:val="32"/>
    </w:rPr>
  </w:style>
  <w:style w:type="character" w:styleId="993" w:customStyle="1">
    <w:name w:val="正文文本缩进 3 Char"/>
    <w:link w:val="992"/>
    <w:uiPriority w:val="0"/>
    <w:qFormat/>
    <w:rPr>
      <w:rFonts w:ascii="Arial" w:hAnsi="Arial" w:eastAsia="仿宋_GB2312" w:cs="Arial"/>
      <w:color w:val="ffff00"/>
      <w:sz w:val="32"/>
      <w:szCs w:val="32"/>
    </w:rPr>
  </w:style>
  <w:style w:type="paragraph" w:styleId="994" w:customStyle="1">
    <w:name w:val="图表目录1"/>
    <w:basedOn w:val="741"/>
    <w:next w:val="741"/>
    <w:uiPriority w:val="0"/>
    <w:semiHidden/>
    <w:qFormat/>
    <w:pPr>
      <w:ind w:left="840" w:hanging="420"/>
    </w:pPr>
    <w:rPr>
      <w:szCs w:val="21"/>
    </w:rPr>
  </w:style>
  <w:style w:type="paragraph" w:styleId="995" w:customStyle="1">
    <w:name w:val="目录 21"/>
    <w:basedOn w:val="741"/>
    <w:next w:val="741"/>
    <w:uiPriority w:val="0"/>
    <w:semiHidden/>
    <w:qFormat/>
    <w:pPr>
      <w:ind w:left="210"/>
      <w:jc w:val="left"/>
    </w:pPr>
    <w:rPr>
      <w:smallCaps/>
      <w:szCs w:val="24"/>
    </w:rPr>
  </w:style>
  <w:style w:type="paragraph" w:styleId="996" w:customStyle="1">
    <w:name w:val="目录 91"/>
    <w:basedOn w:val="741"/>
    <w:next w:val="741"/>
    <w:uiPriority w:val="0"/>
    <w:semiHidden/>
    <w:qFormat/>
    <w:pPr>
      <w:ind w:left="1680"/>
      <w:jc w:val="left"/>
    </w:pPr>
    <w:rPr>
      <w:szCs w:val="21"/>
    </w:rPr>
  </w:style>
  <w:style w:type="paragraph" w:styleId="997" w:customStyle="1">
    <w:name w:val="正文文本 21"/>
    <w:basedOn w:val="741"/>
    <w:link w:val="998"/>
    <w:uiPriority w:val="0"/>
    <w:qFormat/>
    <w:pPr>
      <w:jc w:val="center"/>
      <w:widowControl/>
    </w:pPr>
    <w:rPr>
      <w:rFonts w:ascii="楷体_GB2312" w:eastAsia="楷体_GB2312"/>
      <w:sz w:val="28"/>
      <w:szCs w:val="28"/>
    </w:rPr>
  </w:style>
  <w:style w:type="character" w:styleId="998" w:customStyle="1">
    <w:name w:val="正文文本 2 Char"/>
    <w:link w:val="997"/>
    <w:uiPriority w:val="0"/>
    <w:qFormat/>
    <w:rPr>
      <w:rFonts w:ascii="楷体_GB2312" w:hAnsi="Times New Roman" w:eastAsia="楷体_GB2312" w:cs="Times New Roman"/>
      <w:sz w:val="28"/>
      <w:szCs w:val="28"/>
    </w:rPr>
  </w:style>
  <w:style w:type="paragraph" w:styleId="999" w:customStyle="1">
    <w:name w:val="普通(网站)1"/>
    <w:basedOn w:val="741"/>
    <w:uiPriority w:val="99"/>
    <w:qFormat/>
    <w:pPr>
      <w:jc w:val="left"/>
      <w:spacing w:before="100" w:beforeAutospacing="1" w:after="100" w:afterAutospacing="1"/>
      <w:widowControl/>
    </w:pPr>
    <w:rPr>
      <w:rFonts w:ascii="宋体" w:hAnsi="宋体" w:cs="宋体"/>
      <w:sz w:val="24"/>
      <w:szCs w:val="24"/>
    </w:rPr>
  </w:style>
  <w:style w:type="paragraph" w:styleId="1000" w:customStyle="1">
    <w:name w:val="索引 11"/>
    <w:basedOn w:val="741"/>
    <w:next w:val="741"/>
    <w:uiPriority w:val="0"/>
    <w:semiHidden/>
    <w:qFormat/>
    <w:pPr>
      <w:spacing w:line="240" w:lineRule="atLeast"/>
    </w:pPr>
    <w:rPr>
      <w:b/>
      <w:bCs/>
      <w:szCs w:val="21"/>
    </w:rPr>
  </w:style>
  <w:style w:type="paragraph" w:styleId="1001" w:customStyle="1">
    <w:name w:val="批注主题1"/>
    <w:basedOn w:val="964"/>
    <w:next w:val="964"/>
    <w:link w:val="1002"/>
    <w:uiPriority w:val="0"/>
    <w:semiHidden/>
    <w:qFormat/>
    <w:rPr>
      <w:b/>
      <w:bCs/>
      <w:szCs w:val="21"/>
    </w:rPr>
  </w:style>
  <w:style w:type="character" w:styleId="1002" w:customStyle="1">
    <w:name w:val="批注主题 Char"/>
    <w:link w:val="1001"/>
    <w:uiPriority w:val="0"/>
    <w:semiHidden/>
    <w:qFormat/>
    <w:rPr>
      <w:rFonts w:ascii="Times New Roman" w:hAnsi="Times New Roman" w:eastAsia="宋体" w:cs="Times New Roman"/>
      <w:b/>
      <w:bCs/>
      <w:szCs w:val="21"/>
    </w:rPr>
  </w:style>
  <w:style w:type="paragraph" w:styleId="1003" w:customStyle="1">
    <w:name w:val="正文首行缩进1"/>
    <w:basedOn w:val="741"/>
    <w:link w:val="1004"/>
    <w:uiPriority w:val="0"/>
    <w:qFormat/>
    <w:pPr>
      <w:ind w:firstLine="200"/>
      <w:spacing w:line="360" w:lineRule="auto"/>
    </w:pPr>
    <w:rPr>
      <w:rFonts w:ascii="仿宋_GB2312" w:eastAsia="仿宋_GB2312"/>
      <w:sz w:val="30"/>
      <w:szCs w:val="30"/>
    </w:rPr>
  </w:style>
  <w:style w:type="character" w:styleId="1004" w:customStyle="1">
    <w:name w:val="正文首行缩进 Char"/>
    <w:link w:val="1003"/>
    <w:uiPriority w:val="0"/>
    <w:qFormat/>
    <w:rPr>
      <w:rFonts w:ascii="仿宋_GB2312" w:hAnsi="Times New Roman" w:eastAsia="仿宋_GB2312" w:cs="Times New Roman"/>
      <w:sz w:val="30"/>
      <w:szCs w:val="30"/>
    </w:rPr>
  </w:style>
  <w:style w:type="character" w:styleId="1005" w:customStyle="1">
    <w:name w:val="正文首行缩进 2 Char"/>
    <w:link w:val="783"/>
    <w:uiPriority w:val="0"/>
    <w:qFormat/>
    <w:rPr>
      <w:rFonts w:ascii="宋体" w:hAnsi="宋体" w:eastAsia="宋体" w:cs="Times New Roman"/>
      <w:szCs w:val="20"/>
    </w:rPr>
  </w:style>
  <w:style w:type="table" w:styleId="1006" w:customStyle="1">
    <w:name w:val="网格型11"/>
    <w:basedOn w:val="950"/>
    <w:uiPriority w:val="0"/>
    <w:qFormat/>
    <w:pPr>
      <w:jc w:val="both"/>
      <w:widowControl w:val="off"/>
    </w:pPr>
    <w:tblPr>
      <w:tblCellMar>
        <w:left w:w="0" w:type="dxa"/>
        <w:top w:w="0" w:type="dxa"/>
        <w:right w:w="0" w:type="dxa"/>
        <w:bottom w:w="0" w:type="dxa"/>
      </w:tblCellMar>
    </w:tblPr>
  </w:style>
  <w:style w:type="character" w:styleId="1007" w:customStyle="1">
    <w:name w:val="要点1"/>
    <w:uiPriority w:val="0"/>
    <w:qFormat/>
    <w:rPr>
      <w:b/>
      <w:bCs/>
    </w:rPr>
  </w:style>
  <w:style w:type="character" w:styleId="1008" w:customStyle="1">
    <w:name w:val="页码1"/>
    <w:uiPriority w:val="0"/>
    <w:qFormat/>
  </w:style>
  <w:style w:type="character" w:styleId="1009" w:customStyle="1">
    <w:name w:val="已访问的超链接1"/>
    <w:uiPriority w:val="0"/>
    <w:qFormat/>
    <w:rPr>
      <w:color w:val="800080"/>
      <w:u w:val="single"/>
    </w:rPr>
  </w:style>
  <w:style w:type="character" w:styleId="1010" w:customStyle="1">
    <w:name w:val="超链接1"/>
    <w:uiPriority w:val="0"/>
    <w:qFormat/>
    <w:rPr>
      <w:color w:val="0000ff"/>
      <w:u w:val="single"/>
    </w:rPr>
  </w:style>
  <w:style w:type="character" w:styleId="1011" w:customStyle="1">
    <w:name w:val="批注引用1"/>
    <w:uiPriority w:val="0"/>
    <w:semiHidden/>
    <w:qFormat/>
    <w:rPr>
      <w:sz w:val="21"/>
      <w:szCs w:val="21"/>
    </w:rPr>
  </w:style>
  <w:style w:type="character" w:styleId="1012" w:customStyle="1">
    <w:name w:val="font5 Char"/>
    <w:uiPriority w:val="0"/>
    <w:qFormat/>
    <w:rPr>
      <w:rFonts w:ascii="宋体" w:hAnsi="宋体" w:eastAsia="宋体"/>
      <w:sz w:val="28"/>
      <w:szCs w:val="28"/>
      <w:lang w:val="en-US" w:eastAsia="zh-CN" w:bidi="ar-SA"/>
    </w:rPr>
  </w:style>
  <w:style w:type="character" w:styleId="1013" w:customStyle="1">
    <w:name w:val="二级目录 Char"/>
    <w:link w:val="1014"/>
    <w:uiPriority w:val="0"/>
    <w:qFormat/>
    <w:rPr>
      <w:b/>
      <w:sz w:val="30"/>
      <w:szCs w:val="28"/>
    </w:rPr>
  </w:style>
  <w:style w:type="paragraph" w:styleId="1014" w:customStyle="1">
    <w:name w:val="二级目录"/>
    <w:next w:val="741"/>
    <w:link w:val="101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15" w:customStyle="1">
    <w:name w:val="列出段落 Char"/>
    <w:link w:val="1016"/>
    <w:uiPriority w:val="0"/>
    <w:qFormat/>
    <w:rPr>
      <w:rFonts w:ascii="Calibri" w:hAnsi="Calibri"/>
      <w:sz w:val="24"/>
      <w:szCs w:val="24"/>
      <w:lang w:eastAsia="en-US" w:bidi="en-US"/>
    </w:rPr>
  </w:style>
  <w:style w:type="paragraph" w:styleId="1016" w:customStyle="1">
    <w:name w:val="列出段落1"/>
    <w:basedOn w:val="741"/>
    <w:link w:val="1015"/>
    <w:uiPriority w:val="0"/>
    <w:qFormat/>
    <w:pPr>
      <w:contextualSpacing/>
      <w:ind w:left="720"/>
      <w:jc w:val="left"/>
      <w:widowControl/>
    </w:pPr>
    <w:rPr>
      <w:rFonts w:ascii="Calibri" w:hAnsi="Calibri"/>
      <w:sz w:val="24"/>
      <w:szCs w:val="24"/>
      <w:lang w:eastAsia="en-US" w:bidi="en-US"/>
    </w:rPr>
  </w:style>
  <w:style w:type="paragraph" w:styleId="1017" w:customStyle="1">
    <w:name w:val="Body Text(ch)"/>
    <w:basedOn w:val="741"/>
    <w:next w:val="968"/>
    <w:uiPriority w:val="0"/>
    <w:qFormat/>
    <w:pPr>
      <w:spacing w:after="120"/>
    </w:pPr>
    <w:rPr>
      <w:rFonts w:ascii="宋体" w:hAnsi="Arial"/>
      <w:bCs/>
      <w:iCs/>
      <w:szCs w:val="24"/>
    </w:rPr>
  </w:style>
  <w:style w:type="paragraph" w:styleId="1018" w:customStyle="1">
    <w:name w:val="xl27"/>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customStyle="1">
    <w:name w:val="xl2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0" w:customStyle="1">
    <w:name w:val="Char"/>
    <w:basedOn w:val="741"/>
    <w:uiPriority w:val="0"/>
    <w:qFormat/>
    <w:pPr>
      <w:ind w:firstLine="200"/>
      <w:tabs>
        <w:tab w:val="left" w:pos="360" w:leader="none"/>
      </w:tabs>
    </w:pPr>
    <w:rPr>
      <w:sz w:val="28"/>
      <w:szCs w:val="30"/>
    </w:rPr>
  </w:style>
  <w:style w:type="paragraph" w:styleId="1021" w:customStyle="1">
    <w:name w:val="Char1"/>
    <w:basedOn w:val="962"/>
    <w:uiPriority w:val="0"/>
    <w:qFormat/>
    <w:rPr>
      <w:rFonts w:ascii="Tahoma" w:hAnsi="Tahoma"/>
      <w:sz w:val="24"/>
      <w:szCs w:val="24"/>
    </w:rPr>
  </w:style>
  <w:style w:type="paragraph" w:styleId="1022" w:customStyle="1">
    <w:name w:val="普通正文"/>
    <w:basedOn w:val="741"/>
    <w:uiPriority w:val="0"/>
    <w:qFormat/>
    <w:pPr>
      <w:ind w:firstLine="480"/>
      <w:jc w:val="left"/>
      <w:spacing w:before="120" w:after="120" w:line="360" w:lineRule="auto"/>
    </w:pPr>
    <w:rPr>
      <w:rFonts w:ascii="Arial" w:hAnsi="Arial"/>
      <w:sz w:val="24"/>
      <w:szCs w:val="24"/>
    </w:rPr>
  </w:style>
  <w:style w:type="paragraph" w:styleId="1023" w:customStyle="1">
    <w:name w:val="table_lines"/>
    <w:basedOn w:val="741"/>
    <w:uiPriority w:val="0"/>
    <w:qFormat/>
    <w:pPr>
      <w:jc w:val="left"/>
      <w:widowControl/>
    </w:pPr>
    <w:rPr>
      <w:sz w:val="20"/>
      <w:szCs w:val="20"/>
      <w:lang w:val="de-DE" w:eastAsia="de-DE"/>
    </w:rPr>
  </w:style>
  <w:style w:type="paragraph" w:styleId="102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25" w:customStyle="1">
    <w:name w:val="font7"/>
    <w:basedOn w:val="741"/>
    <w:uiPriority w:val="0"/>
    <w:qFormat/>
    <w:pPr>
      <w:jc w:val="left"/>
      <w:spacing w:before="100" w:beforeAutospacing="1" w:after="100" w:afterAutospacing="1"/>
      <w:widowControl/>
    </w:pPr>
    <w:rPr>
      <w:rFonts w:hint="eastAsia" w:ascii="宋体" w:hAnsi="宋体"/>
      <w:sz w:val="18"/>
      <w:szCs w:val="18"/>
    </w:rPr>
  </w:style>
  <w:style w:type="paragraph" w:styleId="1026" w:customStyle="1">
    <w:name w:val="Char Char Char Char"/>
    <w:basedOn w:val="962"/>
    <w:uiPriority w:val="0"/>
    <w:qFormat/>
    <w:pPr>
      <w:spacing w:line="360" w:lineRule="auto"/>
    </w:pPr>
    <w:rPr>
      <w:rFonts w:ascii="Tahoma" w:hAnsi="Tahoma"/>
      <w:sz w:val="24"/>
      <w:szCs w:val="24"/>
    </w:rPr>
  </w:style>
  <w:style w:type="paragraph" w:styleId="1027" w:customStyle="1">
    <w:name w:val="列出段落"/>
    <w:basedOn w:val="741"/>
    <w:uiPriority w:val="0"/>
    <w:qFormat/>
    <w:pPr>
      <w:contextualSpacing/>
      <w:ind w:left="720"/>
      <w:jc w:val="left"/>
      <w:widowControl/>
    </w:pPr>
    <w:rPr>
      <w:rFonts w:ascii="Calibri" w:hAnsi="Calibri"/>
      <w:sz w:val="24"/>
      <w:szCs w:val="24"/>
      <w:lang w:eastAsia="en-US" w:bidi="en-US"/>
    </w:rPr>
  </w:style>
  <w:style w:type="paragraph" w:styleId="1028" w:customStyle="1">
    <w:name w:val="4"/>
    <w:basedOn w:val="741"/>
    <w:next w:val="992"/>
    <w:uiPriority w:val="0"/>
    <w:qFormat/>
    <w:pPr>
      <w:ind w:firstLine="420"/>
      <w:spacing w:line="360" w:lineRule="auto"/>
    </w:pPr>
    <w:rPr>
      <w:color w:val="ff0000"/>
      <w:sz w:val="24"/>
      <w:szCs w:val="24"/>
    </w:rPr>
  </w:style>
  <w:style w:type="paragraph" w:styleId="1029" w:customStyle="1">
    <w:name w:val="普通 (Web)"/>
    <w:basedOn w:val="741"/>
    <w:uiPriority w:val="0"/>
    <w:qFormat/>
    <w:pPr>
      <w:jc w:val="left"/>
      <w:spacing w:before="100" w:beforeAutospacing="1" w:after="100" w:afterAutospacing="1"/>
      <w:widowControl/>
    </w:pPr>
    <w:rPr>
      <w:rFonts w:ascii="宋体" w:hAnsi="宋体"/>
      <w:sz w:val="24"/>
      <w:szCs w:val="24"/>
    </w:rPr>
  </w:style>
  <w:style w:type="paragraph" w:styleId="1030" w:customStyle="1">
    <w:name w:val="Char Char Char Char Char Char Char Char Char Char"/>
    <w:basedOn w:val="741"/>
    <w:uiPriority w:val="0"/>
    <w:qFormat/>
    <w:pPr>
      <w:spacing w:line="360" w:lineRule="auto"/>
    </w:pPr>
    <w:rPr>
      <w:sz w:val="24"/>
      <w:szCs w:val="20"/>
    </w:rPr>
  </w:style>
  <w:style w:type="paragraph" w:styleId="1031" w:customStyle="1">
    <w:name w:val="样式1"/>
    <w:basedOn w:val="741"/>
    <w:uiPriority w:val="0"/>
    <w:qFormat/>
    <w:pPr>
      <w:numPr>
        <w:ilvl w:val="0"/>
        <w:numId w:val="3"/>
      </w:numPr>
    </w:pPr>
    <w:rPr>
      <w:rFonts w:ascii="宋体" w:hAnsi="宋体"/>
      <w:szCs w:val="21"/>
    </w:rPr>
  </w:style>
  <w:style w:type="paragraph" w:styleId="1032" w:customStyle="1">
    <w:name w:val="font6"/>
    <w:basedOn w:val="741"/>
    <w:uiPriority w:val="0"/>
    <w:qFormat/>
    <w:pPr>
      <w:jc w:val="left"/>
      <w:spacing w:before="100" w:beforeAutospacing="1" w:after="100" w:afterAutospacing="1"/>
      <w:widowControl/>
    </w:pPr>
    <w:rPr>
      <w:rFonts w:hint="eastAsia" w:ascii="宋体" w:hAnsi="宋体"/>
      <w:sz w:val="28"/>
      <w:szCs w:val="28"/>
      <w:u w:val="single"/>
    </w:rPr>
  </w:style>
  <w:style w:type="paragraph" w:styleId="1033" w:customStyle="1">
    <w:name w:val="xl25"/>
    <w:basedOn w:val="7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4" w:customStyle="1">
    <w:name w:val="图标"/>
    <w:basedOn w:val="741"/>
    <w:next w:val="7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5" w:customStyle="1">
    <w:name w:val="标题3"/>
    <w:basedOn w:val="741"/>
    <w:next w:val="741"/>
    <w:uiPriority w:val="0"/>
    <w:qFormat/>
    <w:pPr>
      <w:ind w:firstLine="624"/>
      <w:spacing w:line="590" w:lineRule="atLeast"/>
    </w:pPr>
    <w:rPr>
      <w:rFonts w:ascii="方正黑体_GBK" w:eastAsia="方正黑体_GBK"/>
      <w:sz w:val="32"/>
      <w:szCs w:val="32"/>
    </w:rPr>
  </w:style>
  <w:style w:type="paragraph" w:styleId="1036" w:customStyle="1">
    <w:name w:val="xl24"/>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7" w:customStyle="1">
    <w:name w:val="xl29"/>
    <w:basedOn w:val="74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8" w:customStyle="1">
    <w:name w:val="Char Char Char Char Char Char Char Char"/>
    <w:basedOn w:val="741"/>
    <w:uiPriority w:val="0"/>
    <w:qFormat/>
    <w:pPr>
      <w:jc w:val="left"/>
      <w:spacing w:after="160" w:line="240" w:lineRule="exact"/>
      <w:widowControl/>
    </w:pPr>
    <w:rPr>
      <w:rFonts w:ascii="Verdana" w:hAnsi="Verdana"/>
      <w:sz w:val="20"/>
      <w:szCs w:val="20"/>
      <w:lang w:eastAsia="en-US"/>
    </w:rPr>
  </w:style>
  <w:style w:type="paragraph" w:styleId="1039" w:customStyle="1">
    <w:name w:val="xl2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0" w:customStyle="1">
    <w:name w:val="Char Char Char Char Char Char Char Char1"/>
    <w:basedOn w:val="741"/>
    <w:uiPriority w:val="0"/>
    <w:qFormat/>
    <w:pPr>
      <w:jc w:val="left"/>
      <w:spacing w:after="160" w:line="240" w:lineRule="exact"/>
      <w:widowControl/>
    </w:pPr>
    <w:rPr>
      <w:rFonts w:ascii="Verdana" w:hAnsi="Verdana"/>
      <w:sz w:val="20"/>
      <w:szCs w:val="20"/>
      <w:lang w:eastAsia="en-US"/>
    </w:rPr>
  </w:style>
  <w:style w:type="paragraph" w:styleId="1041" w:customStyle="1">
    <w:name w:val="xl30"/>
    <w:basedOn w:val="741"/>
    <w:uiPriority w:val="0"/>
    <w:qFormat/>
    <w:pPr>
      <w:jc w:val="center"/>
      <w:spacing w:before="100" w:beforeAutospacing="1" w:after="100" w:afterAutospacing="1"/>
      <w:widowControl/>
    </w:pPr>
    <w:rPr>
      <w:rFonts w:ascii="宋体" w:hAnsi="宋体"/>
      <w:b/>
      <w:bCs/>
      <w:sz w:val="36"/>
      <w:szCs w:val="36"/>
    </w:rPr>
  </w:style>
  <w:style w:type="paragraph" w:styleId="1042" w:customStyle="1">
    <w:name w:val="Char Char Char Char1"/>
    <w:basedOn w:val="962"/>
    <w:uiPriority w:val="0"/>
    <w:qFormat/>
    <w:pPr>
      <w:spacing w:line="360" w:lineRule="auto"/>
    </w:pPr>
    <w:rPr>
      <w:rFonts w:ascii="Tahoma" w:hAnsi="Tahoma"/>
      <w:sz w:val="24"/>
      <w:szCs w:val="24"/>
    </w:rPr>
  </w:style>
  <w:style w:type="paragraph" w:styleId="1043" w:customStyle="1">
    <w:name w:val="table_1stline"/>
    <w:basedOn w:val="741"/>
    <w:uiPriority w:val="0"/>
    <w:qFormat/>
    <w:pPr>
      <w:jc w:val="left"/>
      <w:spacing w:before="120"/>
      <w:widowControl/>
    </w:pPr>
    <w:rPr>
      <w:bCs/>
      <w:sz w:val="20"/>
      <w:szCs w:val="20"/>
      <w:lang w:val="de-DE" w:eastAsia="de-DE"/>
    </w:rPr>
  </w:style>
  <w:style w:type="paragraph" w:styleId="1044" w:customStyle="1">
    <w:name w:val="font5"/>
    <w:basedOn w:val="741"/>
    <w:uiPriority w:val="0"/>
    <w:qFormat/>
    <w:pPr>
      <w:jc w:val="left"/>
      <w:spacing w:before="100" w:beforeAutospacing="1" w:after="100" w:afterAutospacing="1"/>
      <w:widowControl/>
    </w:pPr>
    <w:rPr>
      <w:rFonts w:hint="eastAsia" w:ascii="宋体" w:hAnsi="宋体"/>
      <w:sz w:val="28"/>
      <w:szCs w:val="28"/>
    </w:rPr>
  </w:style>
  <w:style w:type="paragraph" w:styleId="1045" w:customStyle="1">
    <w:name w:val="标题1"/>
    <w:basedOn w:val="741"/>
    <w:next w:val="7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6" w:customStyle="1">
    <w:name w:val="修订1"/>
    <w:uiPriority w:val="99"/>
    <w:semiHidden/>
    <w:qFormat/>
    <w:rPr>
      <w:rFonts w:ascii="Times New Roman" w:hAnsi="Times New Roman" w:eastAsia="宋体" w:cs="Times New Roman"/>
      <w:sz w:val="21"/>
      <w:szCs w:val="21"/>
      <w:lang w:val="en-US" w:eastAsia="zh-CN" w:bidi="ar-SA"/>
    </w:rPr>
  </w:style>
  <w:style w:type="paragraph" w:styleId="104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48" w:customStyle="1">
    <w:name w:val="Table Normal"/>
    <w:uiPriority w:val="0"/>
    <w:qFormat/>
    <w:tblPr>
      <w:tblCellMar>
        <w:left w:w="0" w:type="dxa"/>
        <w:top w:w="0" w:type="dxa"/>
        <w:right w:w="0" w:type="dxa"/>
        <w:bottom w:w="0" w:type="dxa"/>
      </w:tblCellMar>
    </w:tblPr>
  </w:style>
  <w:style w:type="paragraph" w:styleId="1049" w:customStyle="1">
    <w:name w:val="正文文本 211"/>
    <w:basedOn w:val="741"/>
    <w:uiPriority w:val="99"/>
    <w:qFormat/>
    <w:pPr>
      <w:jc w:val="center"/>
    </w:pPr>
    <w:rPr>
      <w:b/>
      <w:bCs/>
      <w:sz w:val="20"/>
      <w:szCs w:val="20"/>
    </w:rPr>
  </w:style>
  <w:style w:type="paragraph" w:styleId="1050" w:customStyle="1">
    <w:name w:val="正文文本1"/>
    <w:basedOn w:val="741"/>
    <w:next w:val="741"/>
    <w:uiPriority w:val="0"/>
    <w:semiHidden/>
    <w:qFormat/>
    <w:rPr>
      <w:rFonts w:ascii="Arial" w:hAnsi="Arial" w:eastAsia="Arial" w:cs="Arial"/>
      <w:szCs w:val="21"/>
      <w:lang w:eastAsia="en-US"/>
    </w:rPr>
  </w:style>
  <w:style w:type="paragraph" w:styleId="1051" w:customStyle="1">
    <w:name w:val="正文文本12"/>
    <w:basedOn w:val="741"/>
    <w:uiPriority w:val="1"/>
    <w:qFormat/>
    <w:pPr>
      <w:ind w:left="120"/>
    </w:pPr>
    <w:rPr>
      <w:rFonts w:ascii="宋体" w:hAnsi="宋体" w:cs="宋体"/>
      <w:szCs w:val="21"/>
      <w:lang w:val="zh-CN" w:bidi="zh-CN"/>
    </w:rPr>
  </w:style>
  <w:style w:type="paragraph" w:styleId="1052" w:customStyle="1">
    <w:name w:val="Table Text"/>
    <w:basedOn w:val="741"/>
    <w:uiPriority w:val="0"/>
    <w:semiHidden/>
    <w:qFormat/>
    <w:rPr>
      <w:rFonts w:ascii="宋体" w:hAnsi="宋体" w:cs="宋体"/>
      <w:szCs w:val="21"/>
      <w:lang w:eastAsia="en-US"/>
    </w:rPr>
  </w:style>
  <w:style w:type="table" w:styleId="1053" w:customStyle="1">
    <w:name w:val="网格型1"/>
    <w:basedOn w:val="1054"/>
    <w:uiPriority w:val="0"/>
    <w:qFormat/>
    <w:pPr>
      <w:jc w:val="both"/>
      <w:widowControl w:val="off"/>
    </w:pPr>
    <w:tblPr>
      <w:tblCellMar>
        <w:left w:w="0" w:type="dxa"/>
        <w:top w:w="0" w:type="dxa"/>
        <w:right w:w="0" w:type="dxa"/>
        <w:bottom w:w="0" w:type="dxa"/>
      </w:tblCellMar>
    </w:tblPr>
  </w:style>
  <w:style w:type="table" w:styleId="1054" w:customStyle="1">
    <w:name w:val="普通表格1"/>
    <w:uiPriority w:val="99"/>
    <w:unhideWhenUsed/>
    <w:qFormat/>
    <w:tblPr>
      <w:tblCellMar>
        <w:left w:w="0" w:type="dxa"/>
        <w:top w:w="0" w:type="dxa"/>
        <w:right w:w="0" w:type="dxa"/>
        <w:bottom w:w="0" w:type="dxa"/>
      </w:tblCellMar>
    </w:tblPr>
  </w:style>
  <w:style w:type="character" w:styleId="1055" w:customStyle="1">
    <w:name w:val="font31"/>
    <w:basedOn w:val="949"/>
    <w:uiPriority w:val="0"/>
    <w:qFormat/>
    <w:rPr>
      <w:rFonts w:hint="eastAsia" w:ascii="宋体" w:hAnsi="宋体" w:eastAsia="宋体" w:cs="宋体"/>
      <w:b/>
      <w:bCs/>
      <w:color w:val="000000"/>
      <w:sz w:val="21"/>
      <w:szCs w:val="21"/>
      <w:u w:val="none"/>
    </w:rPr>
  </w:style>
  <w:style w:type="character" w:styleId="1056" w:customStyle="1">
    <w:name w:val="font21"/>
    <w:basedOn w:val="949"/>
    <w:uiPriority w:val="0"/>
    <w:qFormat/>
    <w:rPr>
      <w:rFonts w:hint="eastAsia" w:ascii="宋体" w:hAnsi="宋体" w:eastAsia="宋体" w:cs="宋体"/>
      <w:b/>
      <w:bCs/>
      <w:color w:val="000000"/>
      <w:sz w:val="21"/>
      <w:szCs w:val="21"/>
      <w:u w:val="single"/>
    </w:rPr>
  </w:style>
  <w:style w:type="paragraph" w:styleId="1057" w:customStyle="1">
    <w:name w:val="Table Paragraph"/>
    <w:basedOn w:val="741"/>
    <w:uiPriority w:val="1"/>
    <w:qFormat/>
  </w:style>
  <w:style w:type="paragraph" w:styleId="105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59"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060" w:customStyle="1">
    <w:name w:val="正文文本首行缩进 21"/>
    <w:basedOn w:val="1061"/>
    <w:next w:val="741"/>
    <w:uiPriority w:val="99"/>
    <w:qFormat/>
    <w:pPr>
      <w:ind w:left="0" w:firstLine="420"/>
      <w:spacing w:after="0" w:line="360" w:lineRule="auto"/>
    </w:pPr>
    <w:rPr>
      <w:rFonts w:ascii="宋体" w:hAnsi="宋体"/>
      <w:szCs w:val="20"/>
    </w:rPr>
  </w:style>
  <w:style w:type="paragraph" w:styleId="1061" w:customStyle="1">
    <w:name w:val="正文文本缩进111"/>
    <w:basedOn w:val="741"/>
    <w:next w:val="1062"/>
    <w:uiPriority w:val="99"/>
    <w:unhideWhenUsed/>
    <w:qFormat/>
    <w:pPr>
      <w:ind w:left="420"/>
      <w:spacing w:after="120"/>
    </w:pPr>
  </w:style>
  <w:style w:type="paragraph" w:styleId="1062" w:customStyle="1">
    <w:name w:val="寄信人地址11"/>
    <w:basedOn w:val="741"/>
    <w:uiPriority w:val="0"/>
    <w:qFormat/>
    <w:rPr>
      <w:rFonts w:ascii="Arial" w:hAnsi="Arial" w:cs="宋体"/>
    </w:rPr>
  </w:style>
  <w:style w:type="table" w:styleId="1063" w:customStyle="1">
    <w:name w:val="Table Normal_0"/>
    <w:uiPriority w:val="0"/>
    <w:qFormat/>
    <w:tblPr>
      <w:tblCellMar>
        <w:left w:w="0" w:type="dxa"/>
        <w:top w:w="0" w:type="dxa"/>
        <w:right w:w="0" w:type="dxa"/>
        <w:bottom w:w="0" w:type="dxa"/>
      </w:tblCellMar>
    </w:tblPr>
  </w:style>
  <w:style w:type="paragraph" w:styleId="1064" w:customStyle="1">
    <w:name w:val="批注文字11"/>
    <w:basedOn w:val="741"/>
    <w:uiPriority w:val="99"/>
    <w:unhideWhenUsed/>
    <w:qFormat/>
    <w:pPr>
      <w:jc w:val="left"/>
    </w:p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陈文婷</cp:lastModifiedBy>
  <cp:revision>5</cp:revision>
  <dcterms:created xsi:type="dcterms:W3CDTF">2026-04-07T01:15:00Z</dcterms:created>
  <dcterms:modified xsi:type="dcterms:W3CDTF">2026-05-12T03:51:12Z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030C3560E2ED4FA38FC42B102488BCF3_13</vt:lpwstr>
  </property>
  <property fmtid="{D5CDD505-2E9C-101B-9397-08002B2CF9AE}" pid="4" name="KSOTemplateDocerSaveRecord">
    <vt:lpwstr>eyJoZGlkIjoiYzVkOGY5MWQ0YTQ3MGZmYjVkMjc5MzkwZWMwZGQ4ZDgiLCJ1c2VySWQiOiIxMDExMjcyNjY5In0=</vt:lpwstr>
  </property>
</Properties>
</file>