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2"/>
        <w:ind w:firstLine="0"/>
        <w:rPr>
          <w:rFonts w:hint="eastAsia" w:ascii="宋体" w:hAnsi="宋体" w:cs="宋体"/>
          <w:b w:val="0"/>
          <w:bCs/>
          <w:color w:val="auto"/>
          <w:sz w:val="72"/>
          <w:szCs w:val="72"/>
          <w:highlight w:val="none"/>
        </w:rPr>
      </w:pPr>
      <w:r/>
      <w:bookmarkStart w:id="132" w:name="_GoBack"/>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南京鼓楼医院 </w:t>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本部和江北食堂肉类采购</w:t>
      </w:r>
      <w:r>
        <w:rPr>
          <w:rFonts w:hint="eastAsia" w:ascii="宋体" w:hAnsi="宋体" w:cs="宋体"/>
          <w:b/>
          <w:bCs/>
          <w:color w:val="auto"/>
          <w:sz w:val="72"/>
          <w:szCs w:val="72"/>
          <w:highlight w:val="none"/>
        </w:rPr>
        <w:t xml:space="preserve"> </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JSZC-320100-SMDG-G2026-0030</w:t>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0pt;height:22.8pt;mso-wrap-distance-left:0.0pt;mso-wrap-distance-top:0.0pt;mso-wrap-distance-right:0.0pt;mso-wrap-distance-bottom:0.0pt;" filled="f" stroked="f">
            <v:path textboxrect="0,0,0,0"/>
            <v:imagedata r:id="rId20" o:title=""/>
          </v:shape>
          <o:OLEObject DrawAspect="Content" r:id="rId21" ObjectID="_1525044" ProgID="PBrush" ShapeID="_x0000_i4" Type="Embed"/>
        </w:objec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lang w:val="en-US" w:eastAsia="zh-CN"/>
        </w:rPr>
        <w:t xml:space="preserve">2026</w:t>
      </w:r>
      <w:r>
        <w:rPr>
          <w:rFonts w:hint="eastAsia" w:ascii="宋体" w:hAnsi="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04</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hint="default" w:ascii="Arial" w:hAnsi="Arial"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pStyle w:val="1141"/>
        <w:spacing w:line="480" w:lineRule="auto"/>
        <w:tabs>
          <w:tab w:val="right" w:pos="9638" w:leader="dot"/>
        </w:tabs>
        <w:rPr>
          <w:color w:val="auto"/>
          <w:highlight w:val="none"/>
        </w:rPr>
      </w:pPr>
      <w:r>
        <w:rPr>
          <w:color w:val="auto"/>
          <w:highlight w:val="none"/>
        </w:rPr>
      </w:r>
      <w:r/>
    </w:p>
    <w:p>
      <w:pPr>
        <w:pStyle w:val="1128"/>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141"/>
        <w:spacing w:line="480" w:lineRule="auto"/>
        <w:tabs>
          <w:tab w:val="right" w:pos="9638" w:leader="dot"/>
        </w:tabs>
        <w:rPr>
          <w:color w:val="auto"/>
          <w:highlight w:val="none"/>
        </w:rPr>
      </w:pPr>
      <w:r>
        <w:rPr>
          <w:color w:val="auto"/>
          <w:highlight w:val="none"/>
        </w:rPr>
      </w:r>
      <w:r/>
    </w:p>
    <w:p>
      <w:pPr>
        <w:pStyle w:val="1128"/>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144"/>
        <w:ind w:right="420" w:firstLine="321"/>
        <w:jc w:val="center"/>
        <w:spacing w:line="360" w:lineRule="auto"/>
        <w:rPr>
          <w:color w:val="auto"/>
          <w:szCs w:val="24"/>
          <w:highlight w:val="none"/>
        </w:rPr>
      </w:pPr>
      <w:r>
        <w:rPr>
          <w:rFonts w:hint="eastAsia" w:ascii="黑体" w:hAnsi="宋体" w:eastAsia="黑体"/>
          <w:color w:val="auto"/>
          <w:sz w:val="32"/>
          <w:szCs w:val="32"/>
          <w:highlight w:val="none"/>
        </w:rPr>
        <w:t xml:space="preserve">第一章   投标邀请</w:t>
      </w:r>
      <w:r/>
    </w:p>
    <w:p>
      <w:pPr>
        <w:ind w:right="-159" w:firstLine="420"/>
        <w:spacing w:line="400" w:lineRule="exact"/>
        <w:rPr>
          <w:color w:val="auto"/>
          <w:highlight w:val="none"/>
        </w:rPr>
      </w:pPr>
      <w:r>
        <w:rPr>
          <w:color w:val="auto"/>
          <w:highlight w:val="none"/>
        </w:rPr>
      </w:r>
      <w:r/>
    </w:p>
    <w:p>
      <w:pPr>
        <w:pStyle w:val="1149"/>
        <w:ind w:firstLine="420"/>
        <w:spacing w:before="0" w:beforeAutospacing="0" w:after="0" w:afterAutospacing="0" w:line="48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苏美达国际技术贸易有限公司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rPr>
        <w:t xml:space="preserve">南京鼓楼医院</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食堂肉类采购</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480" w:lineRule="auto"/>
        <w:rPr>
          <w:b/>
          <w:bCs/>
          <w:color w:val="auto"/>
          <w:highlight w:val="none"/>
        </w:rPr>
      </w:pPr>
      <w:r/>
      <w:bookmarkStart w:id="0" w:name="_Toc28359002"/>
      <w:r/>
      <w:bookmarkStart w:id="1" w:name="_Toc35393621"/>
      <w:r/>
      <w:bookmarkStart w:id="2" w:name="_Toc28359079"/>
      <w:r/>
      <w:bookmarkStart w:id="3" w:name="_Toc35393790"/>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spacing w:line="48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JSZC-320100-SMDG-G2026-0030</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南京鼓楼医院本部和江北食堂肉类采购</w:t>
      </w:r>
      <w:r>
        <w:rPr>
          <w:rFonts w:hint="eastAsia" w:ascii="Arial" w:hAnsi="Arial" w:cs="Arial"/>
          <w:color w:val="auto"/>
          <w:szCs w:val="21"/>
          <w:highlight w:val="none"/>
        </w:rPr>
        <w:t xml:space="preserve">项目</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 xml:space="preserve">采购预算：RMB</w:t>
      </w:r>
      <w:r>
        <w:rPr>
          <w:rFonts w:hint="eastAsia" w:ascii="Arial" w:hAnsi="Arial" w:cs="Arial"/>
          <w:color w:val="auto"/>
          <w:szCs w:val="21"/>
          <w:highlight w:val="none"/>
          <w:lang w:val="en-US" w:eastAsia="zh-CN"/>
        </w:rPr>
        <w:t xml:space="preserve">1368</w:t>
      </w:r>
      <w:r>
        <w:rPr>
          <w:rFonts w:hint="eastAsia" w:ascii="Arial" w:hAnsi="Arial" w:cs="Arial"/>
          <w:color w:val="auto"/>
          <w:szCs w:val="21"/>
          <w:highlight w:val="none"/>
        </w:rPr>
        <w:t xml:space="preserve">万元</w:t>
      </w:r>
      <w:r/>
    </w:p>
    <w:p>
      <w:pPr>
        <w:spacing w:line="480" w:lineRule="auto"/>
        <w:tabs>
          <w:tab w:val="left" w:pos="3990" w:leader="none"/>
        </w:tabs>
        <w:rPr>
          <w:rFonts w:hint="eastAsia" w:ascii="Arial" w:hAnsi="Arial" w:cs="Arial"/>
          <w:color w:val="auto"/>
          <w:szCs w:val="21"/>
          <w:highlight w:val="none"/>
        </w:rPr>
      </w:pPr>
      <w:r>
        <w:rPr>
          <w:rFonts w:hint="eastAsia" w:ascii="Arial" w:hAnsi="Arial" w:cs="Arial"/>
          <w:color w:val="auto"/>
          <w:szCs w:val="21"/>
          <w:highlight w:val="none"/>
          <w:lang w:val="en-US" w:eastAsia="zh-CN"/>
        </w:rPr>
        <w:t xml:space="preserve">最高限价：</w:t>
      </w:r>
      <w:r>
        <w:rPr>
          <w:rFonts w:hint="eastAsia" w:ascii="Arial" w:hAnsi="Arial" w:cs="Arial"/>
          <w:color w:val="auto"/>
          <w:szCs w:val="21"/>
          <w:highlight w:val="none"/>
        </w:rPr>
        <w:t xml:space="preserve">RMB</w:t>
      </w:r>
      <w:r>
        <w:rPr>
          <w:rFonts w:hint="eastAsia" w:ascii="Arial" w:hAnsi="Arial" w:cs="Arial"/>
          <w:color w:val="auto"/>
          <w:szCs w:val="21"/>
          <w:highlight w:val="none"/>
          <w:lang w:val="en-US" w:eastAsia="zh-CN"/>
        </w:rPr>
        <w:t xml:space="preserve">1368</w:t>
      </w:r>
      <w:r>
        <w:rPr>
          <w:rFonts w:hint="eastAsia" w:ascii="Arial" w:hAnsi="Arial" w:cs="Arial"/>
          <w:color w:val="auto"/>
          <w:szCs w:val="21"/>
          <w:highlight w:val="none"/>
        </w:rPr>
        <w:t xml:space="preserve">万元</w:t>
      </w:r>
      <w:r/>
    </w:p>
    <w:tbl>
      <w:tblPr>
        <w:tblStyle w:val="927"/>
        <w:tblpPr w:horzAnchor="page" w:tblpX="1933" w:vertAnchor="text" w:tblpY="196" w:leftFromText="180" w:topFromText="0" w:rightFromText="180" w:bottomFromText="0"/>
        <w:tblW w:w="82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638"/>
        <w:gridCol w:w="2875"/>
        <w:gridCol w:w="1825"/>
      </w:tblGrid>
      <w:tr>
        <w:trPr>
          <w:jc w:val="center"/>
          <w:trHeight w:val="541"/>
        </w:trPr>
        <w:tc>
          <w:tcPr>
            <w:tcW w:w="937"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品目号</w:t>
            </w:r>
            <w:r/>
          </w:p>
        </w:tc>
        <w:tc>
          <w:tcPr>
            <w:tcW w:w="2638"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名称</w:t>
            </w:r>
            <w:r/>
          </w:p>
        </w:tc>
        <w:tc>
          <w:tcPr>
            <w:tcW w:w="2875"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采购需求概况</w:t>
            </w:r>
            <w:r/>
          </w:p>
        </w:tc>
        <w:tc>
          <w:tcPr>
            <w:tcW w:w="1825"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预计采购预算</w:t>
            </w:r>
            <w:r/>
          </w:p>
          <w:p>
            <w:pPr>
              <w:jc w:val="center"/>
              <w:widowControl/>
              <w:rPr>
                <w:highlight w:val="none"/>
              </w:rPr>
            </w:pPr>
            <w:r>
              <w:rPr>
                <w:rFonts w:hint="eastAsia" w:ascii="宋体" w:hAnsi="宋体" w:cs="宋体"/>
                <w:szCs w:val="21"/>
                <w:highlight w:val="none"/>
              </w:rPr>
              <w:t xml:space="preserve">（万元人民币）</w:t>
            </w:r>
            <w:r/>
          </w:p>
        </w:tc>
      </w:tr>
      <w:tr>
        <w:trPr>
          <w:jc w:val="center"/>
          <w:trHeight w:val="90"/>
        </w:trPr>
        <w:tc>
          <w:tcPr>
            <w:tcW w:w="937"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01-1</w:t>
            </w:r>
            <w:r/>
          </w:p>
        </w:tc>
        <w:tc>
          <w:tcPr>
            <w:tcW w:w="2638"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本部食堂</w:t>
            </w:r>
            <w:r>
              <w:rPr>
                <w:rFonts w:hint="eastAsia" w:ascii="宋体" w:hAnsi="宋体" w:cs="宋体"/>
                <w:szCs w:val="21"/>
                <w:highlight w:val="none"/>
                <w:lang w:eastAsia="zh-CN"/>
              </w:rPr>
              <w:t xml:space="preserve">肉类</w:t>
            </w:r>
            <w:r>
              <w:rPr>
                <w:rFonts w:hint="eastAsia" w:ascii="宋体" w:hAnsi="宋体" w:cs="宋体"/>
                <w:szCs w:val="21"/>
                <w:highlight w:val="none"/>
              </w:rPr>
              <w:t xml:space="preserve">采购项目</w:t>
            </w:r>
            <w:r/>
          </w:p>
        </w:tc>
        <w:tc>
          <w:tcPr>
            <w:tcW w:w="2875"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满足本部食堂的日常供应需求 </w:t>
            </w:r>
            <w:r/>
          </w:p>
        </w:tc>
        <w:tc>
          <w:tcPr>
            <w:tcW w:w="1825" w:type="dxa"/>
            <w:vAlign w:val="center"/>
            <w:textDirection w:val="lrTb"/>
            <w:noWrap/>
          </w:tcPr>
          <w:p>
            <w:pPr>
              <w:jc w:val="center"/>
              <w:widowControl/>
              <w:rPr>
                <w:rFonts w:hint="default" w:ascii="宋体" w:hAnsi="宋体" w:cs="宋体" w:eastAsiaTheme="minorEastAsia"/>
                <w:szCs w:val="21"/>
                <w:highlight w:val="none"/>
                <w:lang w:val="en-US" w:eastAsia="zh-CN"/>
              </w:rPr>
            </w:pPr>
            <w:r>
              <w:rPr>
                <w:rFonts w:hint="eastAsia" w:ascii="宋体" w:hAnsi="宋体" w:cs="宋体"/>
                <w:szCs w:val="21"/>
                <w:highlight w:val="none"/>
                <w:lang w:val="en-US" w:eastAsia="zh-CN"/>
              </w:rPr>
              <w:t xml:space="preserve">1200</w:t>
            </w:r>
            <w:r/>
          </w:p>
        </w:tc>
      </w:tr>
      <w:tr>
        <w:trPr>
          <w:jc w:val="center"/>
          <w:trHeight w:val="466"/>
        </w:trPr>
        <w:tc>
          <w:tcPr>
            <w:tcW w:w="937"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01-2</w:t>
            </w:r>
            <w:r/>
          </w:p>
        </w:tc>
        <w:tc>
          <w:tcPr>
            <w:tcW w:w="2638"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江北院区食堂</w:t>
            </w:r>
            <w:r>
              <w:rPr>
                <w:rFonts w:hint="eastAsia" w:ascii="宋体" w:hAnsi="宋体" w:cs="宋体"/>
                <w:szCs w:val="21"/>
                <w:highlight w:val="none"/>
                <w:lang w:eastAsia="zh-CN"/>
              </w:rPr>
              <w:t xml:space="preserve">肉类</w:t>
            </w:r>
            <w:r>
              <w:rPr>
                <w:rFonts w:hint="eastAsia" w:ascii="宋体" w:hAnsi="宋体" w:cs="宋体"/>
                <w:szCs w:val="21"/>
                <w:highlight w:val="none"/>
              </w:rPr>
              <w:t xml:space="preserve">采购项目</w:t>
            </w:r>
            <w:r/>
          </w:p>
        </w:tc>
        <w:tc>
          <w:tcPr>
            <w:tcW w:w="2875"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满足江北院区食堂的日常供应需求</w:t>
            </w:r>
            <w:r/>
          </w:p>
        </w:tc>
        <w:tc>
          <w:tcPr>
            <w:tcW w:w="1825" w:type="dxa"/>
            <w:vAlign w:val="center"/>
            <w:textDirection w:val="lrTb"/>
            <w:noWrap/>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168</w:t>
            </w:r>
            <w:r/>
          </w:p>
        </w:tc>
      </w:tr>
    </w:tbl>
    <w:p>
      <w:pPr>
        <w:spacing w:line="480" w:lineRule="auto"/>
        <w:tabs>
          <w:tab w:val="left" w:pos="3990" w:leader="none"/>
        </w:tabs>
        <w:rPr>
          <w:rFonts w:hint="default" w:ascii="Arial" w:hAnsi="Arial" w:cs="Arial"/>
          <w:color w:val="auto"/>
          <w:szCs w:val="21"/>
          <w:highlight w:val="none"/>
          <w:lang w:val="en-US" w:eastAsia="zh-CN"/>
        </w:rPr>
      </w:pPr>
      <w:r>
        <w:rPr>
          <w:rFonts w:hint="default" w:ascii="Arial" w:hAnsi="Arial" w:cs="Arial"/>
          <w:color w:val="auto"/>
          <w:szCs w:val="21"/>
          <w:highlight w:val="none"/>
          <w:lang w:val="en-US" w:eastAsia="zh-CN"/>
        </w:rPr>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本项目所属行业：批发业</w:t>
      </w:r>
      <w:r/>
    </w:p>
    <w:p>
      <w:pPr>
        <w:spacing w:line="480" w:lineRule="auto"/>
        <w:rPr>
          <w:rFonts w:hint="eastAsia" w:ascii="Arial" w:hAnsi="Arial" w:cs="Arial"/>
          <w:color w:val="auto"/>
          <w:szCs w:val="21"/>
          <w:highlight w:val="none"/>
        </w:rPr>
      </w:pPr>
      <w:r>
        <w:rPr>
          <w:rFonts w:hint="eastAsia" w:ascii="Arial" w:hAnsi="Arial" w:cs="Arial"/>
          <w:b/>
          <w:bCs/>
          <w:color w:val="auto"/>
          <w:szCs w:val="21"/>
          <w:highlight w:val="none"/>
        </w:rPr>
        <w:t xml:space="preserve">合同履行期限：</w:t>
      </w:r>
      <w:r>
        <w:rPr>
          <w:rFonts w:hint="eastAsia" w:ascii="Arial" w:hAnsi="Arial" w:cs="Arial"/>
          <w:color w:val="auto"/>
          <w:szCs w:val="21"/>
          <w:highlight w:val="none"/>
          <w:lang w:eastAsia="zh-CN"/>
        </w:rPr>
        <w:t xml:space="preserve">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Arial" w:hAnsi="Arial" w:cs="Arial"/>
          <w:color w:val="auto"/>
          <w:szCs w:val="21"/>
          <w:highlight w:val="none"/>
        </w:rPr>
        <w:t xml:space="preserve">。</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spacing w:line="480" w:lineRule="auto"/>
        <w:rPr>
          <w:b/>
          <w:bCs/>
          <w:color w:val="auto"/>
          <w:highlight w:val="none"/>
        </w:rPr>
      </w:pPr>
      <w:r>
        <w:rPr>
          <w:rFonts w:hint="eastAsia"/>
          <w:b/>
          <w:bCs/>
          <w:color w:val="auto"/>
          <w:highlight w:val="none"/>
        </w:rPr>
        <w:t xml:space="preserve">二、申请人的资格要求：</w:t>
      </w:r>
      <w:r/>
    </w:p>
    <w:p>
      <w:pPr>
        <w:spacing w:line="480" w:lineRule="auto"/>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spacing w:line="480" w:lineRule="auto"/>
        <w:rPr>
          <w:rFonts w:hint="eastAsia" w:ascii="宋体" w:hAnsi="宋体"/>
          <w:color w:val="auto"/>
          <w:highlight w:val="none"/>
        </w:rPr>
      </w:pPr>
      <w:r>
        <w:rPr>
          <w:rFonts w:hint="eastAsia" w:ascii="宋体" w:hAnsi="宋体"/>
          <w:color w:val="auto"/>
          <w:highlight w:val="none"/>
        </w:rPr>
        <w:t xml:space="preserve">1.1具有独立承担民事责任的能力。投标人提供在有效经营期内的营业执照、法人授权书（法人直接参与投标的可不提供）、法人身份证扫描件、投标人代表身份证扫描件；</w:t>
      </w:r>
      <w:r/>
    </w:p>
    <w:p>
      <w:pPr>
        <w:spacing w:line="480" w:lineRule="auto"/>
        <w:rPr>
          <w:rFonts w:hint="eastAsia" w:ascii="宋体" w:hAnsi="宋体"/>
          <w:color w:val="auto"/>
          <w:highlight w:val="none"/>
        </w:rPr>
      </w:pPr>
      <w:r>
        <w:rPr>
          <w:rFonts w:hint="eastAsia" w:ascii="宋体" w:hAnsi="宋体"/>
          <w:color w:val="auto"/>
          <w:highlight w:val="none"/>
        </w:rPr>
        <w:t xml:space="preserve">1.2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p>
    <w:p>
      <w:pPr>
        <w:spacing w:line="480" w:lineRule="auto"/>
        <w:rPr>
          <w:rFonts w:hint="eastAsia" w:ascii="宋体" w:hAnsi="宋体"/>
          <w:color w:val="auto"/>
          <w:highlight w:val="none"/>
        </w:rPr>
      </w:pPr>
      <w:r>
        <w:rPr>
          <w:rFonts w:hint="eastAsia" w:ascii="宋体" w:hAnsi="宋体"/>
          <w:color w:val="auto"/>
          <w:highlight w:val="none"/>
        </w:rPr>
        <w:t xml:space="preserve">其中不适用信用承诺的情形：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1）供应商被列入严重失信主体名单；</w:t>
      </w:r>
      <w:r/>
    </w:p>
    <w:p>
      <w:pPr>
        <w:spacing w:line="480" w:lineRule="auto"/>
        <w:rPr>
          <w:rFonts w:hint="eastAsia" w:ascii="宋体" w:hAnsi="宋体"/>
          <w:color w:val="auto"/>
          <w:highlight w:val="none"/>
        </w:rPr>
      </w:pPr>
      <w:r>
        <w:rPr>
          <w:rFonts w:hint="eastAsia" w:ascii="宋体" w:hAnsi="宋体"/>
          <w:color w:val="auto"/>
          <w:highlight w:val="none"/>
        </w:rPr>
        <w:t xml:space="preserve">2）被相关监督部门作出行政处罚且尚处在处罚有效期内；</w:t>
      </w:r>
      <w:r/>
    </w:p>
    <w:p>
      <w:pPr>
        <w:spacing w:line="480" w:lineRule="auto"/>
        <w:rPr>
          <w:rFonts w:hint="eastAsia" w:ascii="宋体" w:hAnsi="宋体"/>
          <w:color w:val="auto"/>
          <w:highlight w:val="none"/>
        </w:rPr>
      </w:pPr>
      <w:r>
        <w:rPr>
          <w:rFonts w:hint="eastAsia" w:ascii="宋体" w:hAnsi="宋体"/>
          <w:color w:val="auto"/>
          <w:highlight w:val="none"/>
        </w:rPr>
        <w:t xml:space="preserve">3）其他法律、行政法规规定的不适用信用承诺的情形。</w:t>
      </w:r>
      <w:r/>
    </w:p>
    <w:p>
      <w:pPr>
        <w:spacing w:line="480" w:lineRule="auto"/>
        <w:rPr>
          <w:rFonts w:hint="eastAsia" w:ascii="宋体" w:hAnsi="宋体"/>
          <w:color w:val="auto"/>
          <w:highlight w:val="none"/>
        </w:rPr>
      </w:pPr>
      <w:r>
        <w:rPr>
          <w:rFonts w:hint="eastAsia" w:ascii="宋体" w:hAnsi="宋体"/>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p>
    <w:p>
      <w:pPr>
        <w:spacing w:line="480" w:lineRule="auto"/>
        <w:rPr>
          <w:rFonts w:hint="eastAsia" w:ascii="宋体" w:hAnsi="宋体"/>
          <w:color w:val="auto"/>
          <w:highlight w:val="none"/>
        </w:rPr>
      </w:pPr>
      <w:r>
        <w:rPr>
          <w:rFonts w:hint="eastAsia" w:ascii="宋体" w:hAnsi="宋体"/>
          <w:color w:val="auto"/>
          <w:highlight w:val="none"/>
        </w:rPr>
        <w:t xml:space="preserve">1.3具有履行合同所必需的设备和专业技术能力。投标人提供具备履行合同所必需的设备和专业技术能力的书面声明（由供应商根据项目需求提供材料）； </w:t>
      </w:r>
      <w:r/>
    </w:p>
    <w:p>
      <w:pPr>
        <w:spacing w:line="480" w:lineRule="auto"/>
        <w:rPr>
          <w:rFonts w:hint="eastAsia" w:ascii="宋体" w:hAnsi="宋体"/>
          <w:color w:val="auto"/>
          <w:highlight w:val="none"/>
        </w:rPr>
      </w:pPr>
      <w:r>
        <w:rPr>
          <w:rFonts w:hint="eastAsia" w:ascii="宋体" w:hAnsi="宋体"/>
          <w:color w:val="auto"/>
          <w:highlight w:val="none"/>
        </w:rPr>
        <w:t xml:space="preserve">1.4有依法缴纳税收和社会保障资金的良好记录。投标人提供提交投标文件截止时间前六个月内至少一个月依法缴纳税收及缴纳社会保障资金的证明材料。投标人依法享受缓缴、免缴的，提供证明材料；</w:t>
      </w:r>
      <w:r/>
    </w:p>
    <w:p>
      <w:pPr>
        <w:spacing w:line="480" w:lineRule="auto"/>
        <w:rPr>
          <w:rFonts w:hint="eastAsia" w:ascii="宋体" w:hAnsi="宋体"/>
          <w:color w:val="auto"/>
          <w:highlight w:val="none"/>
        </w:rPr>
      </w:pPr>
      <w:r>
        <w:rPr>
          <w:rFonts w:hint="eastAsia" w:ascii="宋体" w:hAnsi="宋体"/>
          <w:color w:val="auto"/>
          <w:highlight w:val="none"/>
        </w:rPr>
        <w:t xml:space="preserve">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spacing w:line="360" w:lineRule="auto"/>
        <w:rPr>
          <w:rFonts w:hint="eastAsia" w:ascii="宋体" w:hAnsi="宋体"/>
          <w:b/>
          <w:bCs/>
          <w:color w:val="auto"/>
          <w:highlight w:val="none"/>
        </w:rPr>
      </w:pPr>
      <w:r>
        <w:rPr>
          <w:rFonts w:hint="eastAsia" w:ascii="宋体" w:hAnsi="宋体"/>
          <w:color w:val="auto"/>
          <w:highlight w:val="none"/>
        </w:rPr>
        <w:t xml:space="preserve">1.6法律、行政法规规定的其他条件。</w:t>
      </w:r>
      <w:r/>
    </w:p>
    <w:p>
      <w:pPr>
        <w:spacing w:line="360" w:lineRule="auto"/>
        <w:rPr>
          <w:rFonts w:hint="eastAsia" w:ascii="宋体" w:hAnsi="宋体"/>
          <w:color w:val="auto"/>
          <w:highlight w:val="none"/>
        </w:rPr>
      </w:pPr>
      <w:r>
        <w:rPr>
          <w:rFonts w:hint="eastAsia" w:ascii="宋体" w:hAnsi="宋体"/>
          <w:b/>
          <w:bCs/>
          <w:color w:val="auto"/>
          <w:highlight w:val="none"/>
        </w:rPr>
        <w:t xml:space="preserve">2、落实政府采购政策需满足的资格要求：</w:t>
      </w:r>
      <w:r>
        <w:rPr>
          <w:rFonts w:hint="eastAsia" w:ascii="宋体" w:hAnsi="宋体"/>
          <w:color w:val="auto"/>
          <w:highlight w:val="none"/>
        </w:rPr>
        <w:t xml:space="preserve">本项目不专门面向中小微企业或监狱企业或残疾人福利性单位采购。 </w:t>
      </w:r>
      <w:r/>
    </w:p>
    <w:p>
      <w:pPr>
        <w:spacing w:line="360" w:lineRule="auto"/>
        <w:rPr>
          <w:rFonts w:hint="eastAsia" w:ascii="宋体" w:hAnsi="宋体"/>
          <w:color w:val="auto"/>
          <w:highlight w:val="none"/>
        </w:rPr>
      </w:pPr>
      <w:r>
        <w:rPr>
          <w:rFonts w:hint="eastAsia" w:ascii="宋体" w:hAnsi="宋体"/>
          <w:color w:val="auto"/>
          <w:highlight w:val="none"/>
        </w:rPr>
        <w:t xml:space="preserve">3、本项目的特定资格要求：</w:t>
      </w:r>
      <w:bookmarkStart w:id="4" w:name="_Toc35393623"/>
      <w:r/>
      <w:bookmarkStart w:id="5" w:name="_Toc35393792"/>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若投标人为</w:t>
      </w:r>
      <w:r>
        <w:rPr>
          <w:rFonts w:hint="eastAsia" w:ascii="宋体" w:hAnsi="宋体" w:cs="宋体"/>
          <w:bCs/>
          <w:color w:val="000000" w:themeColor="text1"/>
          <w:szCs w:val="21"/>
          <w:highlight w:val="none"/>
          <w:lang w:val="en-US" w:eastAsia="zh-CN"/>
          <w14:textFill>
            <w14:solidFill>
              <w14:schemeClr w14:val="tx1"/>
            </w14:solidFill>
          </w14:textFill>
        </w:rPr>
        <w:t xml:space="preserve">食品销售企业</w:t>
      </w:r>
      <w:r>
        <w:rPr>
          <w:rFonts w:hint="eastAsia" w:ascii="宋体" w:hAnsi="宋体" w:cs="宋体"/>
          <w:bCs/>
          <w:color w:val="000000" w:themeColor="text1"/>
          <w:szCs w:val="21"/>
          <w:highlight w:val="none"/>
          <w14:textFill>
            <w14:solidFill>
              <w14:schemeClr w14:val="tx1"/>
            </w14:solidFill>
          </w14:textFill>
        </w:rPr>
        <w:t xml:space="preserve">的须具有行业主管部门颁发的《食品经营许可证》</w:t>
      </w:r>
      <w:r>
        <w:rPr>
          <w:rFonts w:hint="eastAsia" w:ascii="宋体" w:hAnsi="宋体" w:cs="宋体"/>
          <w:bCs/>
          <w:color w:val="000000" w:themeColor="text1"/>
          <w:szCs w:val="21"/>
          <w:highlight w:val="none"/>
          <w:lang w:val="en-US" w:eastAsia="zh-CN"/>
          <w14:textFill>
            <w14:solidFill>
              <w14:schemeClr w14:val="tx1"/>
            </w14:solidFill>
          </w14:textFill>
        </w:rPr>
        <w:t xml:space="preserve">或仅销售预包装食品备案凭证</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提供证书扫描件</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）若投标人为</w:t>
      </w:r>
      <w:r>
        <w:rPr>
          <w:rFonts w:hint="eastAsia" w:ascii="宋体" w:hAnsi="宋体" w:cs="宋体"/>
          <w:bCs/>
          <w:color w:val="000000" w:themeColor="text1"/>
          <w:szCs w:val="21"/>
          <w:highlight w:val="none"/>
          <w:lang w:val="en-US" w:eastAsia="zh-CN"/>
          <w14:textFill>
            <w14:solidFill>
              <w14:schemeClr w14:val="tx1"/>
            </w14:solidFill>
          </w14:textFill>
        </w:rPr>
        <w:t xml:space="preserve">食品生产企业</w:t>
      </w:r>
      <w:r>
        <w:rPr>
          <w:rFonts w:hint="eastAsia" w:ascii="宋体" w:hAnsi="宋体" w:cs="宋体"/>
          <w:bCs/>
          <w:color w:val="000000" w:themeColor="text1"/>
          <w:szCs w:val="21"/>
          <w:highlight w:val="none"/>
          <w:lang w:eastAsia="zh-CN"/>
          <w14:textFill>
            <w14:solidFill>
              <w14:schemeClr w14:val="tx1"/>
            </w14:solidFill>
          </w14:textFill>
        </w:rPr>
        <w:t xml:space="preserve">须提供《食品生产许可证》（</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提供证书扫描件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spacing w:line="480" w:lineRule="auto"/>
        <w:rPr>
          <w:rFonts w:hint="eastAsia" w:ascii="宋体" w:hAnsi="宋体"/>
          <w:color w:val="auto"/>
          <w:highlight w:val="none"/>
        </w:rPr>
      </w:pPr>
      <w:r>
        <w:rPr>
          <w:rFonts w:hint="eastAsia" w:ascii="宋体" w:hAnsi="宋体"/>
          <w:color w:val="auto"/>
          <w:highlight w:val="none"/>
        </w:rPr>
        <w:t xml:space="preserve">4、拒绝下述供应商参加本次采购活动的情形：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spacing w:line="48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r/>
    </w:p>
    <w:p>
      <w:pPr>
        <w:spacing w:line="480" w:lineRule="auto"/>
        <w:rPr>
          <w:rFonts w:hint="eastAsia" w:eastAsia="宋体"/>
          <w:color w:val="auto"/>
          <w:highlight w:val="none"/>
          <w:lang w:eastAsia="zh-CN"/>
        </w:rPr>
      </w:pPr>
      <w:r>
        <w:rPr>
          <w:rFonts w:hint="eastAsia"/>
          <w:color w:val="auto"/>
          <w:highlight w:val="none"/>
        </w:rPr>
        <w:t xml:space="preserve">（3）被“信用中国”（</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color w:val="auto"/>
          <w:highlight w:val="none"/>
        </w:rPr>
        <w:t xml:space="preserve">www.creditchina.gov.cn</w:t>
      </w:r>
      <w:r>
        <w:rPr>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HYPERLINK "http://www.ccgp.gov.cn/"</w:instrText>
      </w:r>
      <w:r>
        <w:rPr>
          <w:color w:val="auto"/>
          <w:highlight w:val="none"/>
        </w:rPr>
        <w:fldChar w:fldCharType="separate"/>
      </w:r>
      <w:r>
        <w:rPr>
          <w:rFonts w:hint="eastAsia"/>
          <w:color w:val="auto"/>
          <w:highlight w:val="none"/>
        </w:rPr>
        <w:t xml:space="preserve">www.ccgp.gov.cn</w:t>
      </w:r>
      <w:r>
        <w:rPr>
          <w:color w:val="auto"/>
          <w:highlight w:val="none"/>
        </w:rPr>
        <w:fldChar w:fldCharType="end"/>
      </w:r>
      <w:r>
        <w:rPr>
          <w:rFonts w:hint="eastAsia"/>
          <w:color w:val="auto"/>
          <w:highlight w:val="none"/>
        </w:rPr>
        <w:t xml:space="preserve">）列入失信被执行人、重大税收违法案件当事人名单、政府采购严重违法失信行为记录名单</w:t>
      </w:r>
      <w:r>
        <w:rPr>
          <w:rFonts w:hint="eastAsia"/>
          <w:color w:val="auto"/>
          <w:highlight w:val="none"/>
          <w:lang w:eastAsia="zh-CN"/>
        </w:rPr>
        <w:t xml:space="preserve">。</w:t>
      </w:r>
      <w:bookmarkEnd w:id="4"/>
      <w:r/>
      <w:bookmarkEnd w:id="5"/>
      <w:r/>
      <w:r/>
    </w:p>
    <w:p>
      <w:pPr>
        <w:pStyle w:val="1112"/>
        <w:ind w:firstLine="0"/>
        <w:spacing w:line="480" w:lineRule="auto"/>
        <w:rPr>
          <w:bCs/>
          <w:color w:val="auto"/>
          <w:sz w:val="21"/>
          <w:highlight w:val="none"/>
        </w:rPr>
      </w:pPr>
      <w:r/>
      <w:bookmarkStart w:id="6" w:name="_Toc28359007"/>
      <w:r/>
      <w:bookmarkStart w:id="7" w:name="_Toc28359084"/>
      <w:r/>
      <w:bookmarkStart w:id="8" w:name="_Toc35393625"/>
      <w:r/>
      <w:bookmarkStart w:id="9" w:name="_Toc35393794"/>
      <w:r>
        <w:rPr>
          <w:rFonts w:hint="eastAsia"/>
          <w:bCs/>
          <w:color w:val="auto"/>
          <w:sz w:val="21"/>
          <w:highlight w:val="none"/>
        </w:rPr>
        <w:t xml:space="preserve">三、获取招标文件</w:t>
      </w:r>
      <w:r/>
    </w:p>
    <w:p>
      <w:pPr>
        <w:pStyle w:val="1154"/>
        <w:ind w:firstLine="0"/>
        <w:spacing w:line="480" w:lineRule="auto"/>
        <w:rPr>
          <w:rFonts w:hint="eastAsia" w:ascii="宋体" w:hAnsi="宋体"/>
          <w:color w:val="auto"/>
          <w:sz w:val="21"/>
          <w:szCs w:val="20"/>
          <w:highlight w:val="none"/>
        </w:rPr>
      </w:pPr>
      <w:r/>
      <w:bookmarkStart w:id="10" w:name="_Toc28359005"/>
      <w:r/>
      <w:bookmarkStart w:id="11" w:name="_Toc28359082"/>
      <w:r/>
      <w:bookmarkStart w:id="12" w:name="_Toc35393624"/>
      <w:r/>
      <w:bookmarkStart w:id="13" w:name="_Toc35393793"/>
      <w:r>
        <w:rPr>
          <w:rFonts w:hint="eastAsia" w:ascii="宋体" w:hAnsi="宋体"/>
          <w:color w:val="auto"/>
          <w:sz w:val="21"/>
          <w:szCs w:val="20"/>
          <w:highlight w:val="none"/>
        </w:rPr>
        <w:t xml:space="preserve">1、获取时间：自招标文件公告发布之日起5个工作日</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2、地点：网上注册登记成功后系统内免费下载</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3、获取方式：本项目采用网上注册登记方式。</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3.1潜在供应商访问电子招标响应交易平台的网络地址和方法：</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54"/>
        <w:ind w:firstLine="0"/>
        <w:jc w:val="left"/>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3.2潜在供应商访问“苏采云”系统的网络地址和方法：“苏采云”系统的网址：http://jszfcg.jsczt.cn/。</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3.3“CA数字证书”的获取：</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3.4采购文件（后缀名为“.kedt”）、供应商操作手册及政府采购客户端工具可通过“苏采云”系统--已报名项目--报名详情页面内相应链接进行下载。</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3.5招标代理机构（采购代理机构）将数据电文形式的采购文件加载至“苏采云”系统，供潜在供应商下载或者查阅。</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480" w:lineRule="auto"/>
        <w:rPr>
          <w:b/>
          <w:bCs/>
          <w:color w:val="auto"/>
          <w:highlight w:val="none"/>
        </w:rPr>
      </w:pPr>
      <w:r>
        <w:rPr>
          <w:rFonts w:hint="eastAsia"/>
          <w:b/>
          <w:bCs/>
          <w:color w:val="auto"/>
          <w:highlight w:val="none"/>
        </w:rPr>
        <w:t xml:space="preserve">四、投标</w:t>
      </w:r>
      <w:bookmarkEnd w:id="10"/>
      <w:r/>
      <w:bookmarkEnd w:id="11"/>
      <w:r>
        <w:rPr>
          <w:rFonts w:hint="eastAsia"/>
          <w:b/>
          <w:bCs/>
          <w:color w:val="auto"/>
          <w:highlight w:val="none"/>
        </w:rPr>
        <w:t xml:space="preserve">截止时间、开标时间和地点</w:t>
      </w:r>
      <w:bookmarkEnd w:id="12"/>
      <w:r/>
      <w:bookmarkEnd w:id="13"/>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1、投标截止时间：2026年</w:t>
      </w:r>
      <w:r>
        <w:rPr>
          <w:rFonts w:hint="eastAsia" w:ascii="宋体" w:hAnsi="宋体"/>
          <w:color w:val="auto"/>
          <w:sz w:val="21"/>
          <w:szCs w:val="20"/>
          <w:highlight w:val="none"/>
          <w:lang w:val="en-US" w:eastAsia="zh-CN"/>
        </w:rPr>
        <w:t xml:space="preserve">5月14日下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：30（北京时间）</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2、开标时间：2026年</w:t>
      </w:r>
      <w:r>
        <w:rPr>
          <w:rFonts w:hint="eastAsia" w:ascii="宋体" w:hAnsi="宋体"/>
          <w:color w:val="auto"/>
          <w:sz w:val="21"/>
          <w:szCs w:val="20"/>
          <w:highlight w:val="none"/>
          <w:lang w:val="en-US" w:eastAsia="zh-CN"/>
        </w:rPr>
        <w:t xml:space="preserve">5月14日下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：30（北京时间）</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3、开标地点：“苏采云”系统（网址： http://jszfcg.jsczt.cn/）“开标大厅”，点击“苏采云”进入系统“开标大厅”。</w:t>
      </w:r>
      <w:r/>
    </w:p>
    <w:p>
      <w:pPr>
        <w:spacing w:line="480" w:lineRule="auto"/>
        <w:rPr>
          <w:color w:val="auto"/>
          <w:highlight w:val="none"/>
        </w:rPr>
      </w:pPr>
      <w:r>
        <w:rPr>
          <w:rFonts w:hint="eastAsia"/>
          <w:color w:val="auto"/>
          <w:highlight w:val="none"/>
        </w:rPr>
        <w:t xml:space="preserve">注：各供应商请关注开标大厅交流区，在开标结束后，请勿离开开标大厅。</w:t>
      </w:r>
      <w:r/>
    </w:p>
    <w:p>
      <w:pPr>
        <w:spacing w:line="480" w:lineRule="auto"/>
        <w:rPr>
          <w:color w:val="auto"/>
          <w:highlight w:val="none"/>
        </w:rPr>
      </w:pPr>
      <w:r>
        <w:rPr>
          <w:rFonts w:hint="eastAsia"/>
          <w:color w:val="auto"/>
          <w:highlight w:val="none"/>
        </w:rPr>
        <w:t xml:space="preserve">4、投标文件的解密：开标当天各供应商及时登录不见面开标大厅，响应文件递交截止时间后，采购人将在系统内公布投标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480" w:lineRule="auto"/>
        <w:rPr>
          <w:b/>
          <w:bCs/>
          <w:color w:val="auto"/>
          <w:highlight w:val="none"/>
        </w:rPr>
      </w:pPr>
      <w:r>
        <w:rPr>
          <w:rFonts w:hint="eastAsia"/>
          <w:b/>
          <w:bCs/>
          <w:color w:val="auto"/>
          <w:highlight w:val="none"/>
        </w:rPr>
        <w:t xml:space="preserve">五、公告期限</w:t>
      </w:r>
      <w:bookmarkEnd w:id="6"/>
      <w:r/>
      <w:bookmarkEnd w:id="7"/>
      <w:r/>
      <w:bookmarkEnd w:id="8"/>
      <w:r/>
      <w:bookmarkEnd w:id="9"/>
      <w:r/>
      <w:r/>
    </w:p>
    <w:p>
      <w:pPr>
        <w:spacing w:line="480" w:lineRule="auto"/>
        <w:rPr>
          <w:color w:val="auto"/>
          <w:highlight w:val="none"/>
        </w:rPr>
      </w:pPr>
      <w:r>
        <w:rPr>
          <w:rFonts w:hint="eastAsia"/>
          <w:color w:val="auto"/>
          <w:highlight w:val="none"/>
        </w:rPr>
        <w:t xml:space="preserve">自本公告发布之日起5个工作日。</w:t>
      </w:r>
      <w:r/>
    </w:p>
    <w:p>
      <w:pPr>
        <w:numPr>
          <w:ilvl w:val="0"/>
          <w:numId w:val="2"/>
        </w:numPr>
        <w:spacing w:line="480" w:lineRule="auto"/>
        <w:rPr>
          <w:b/>
          <w:bCs/>
          <w:color w:val="auto"/>
          <w:highlight w:val="none"/>
        </w:rPr>
      </w:pPr>
      <w:r/>
      <w:bookmarkStart w:id="14" w:name="_Toc35393626"/>
      <w:r/>
      <w:bookmarkStart w:id="15" w:name="_Toc35393795"/>
      <w:r>
        <w:rPr>
          <w:rFonts w:hint="eastAsia"/>
          <w:b/>
          <w:bCs/>
          <w:color w:val="auto"/>
          <w:highlight w:val="none"/>
        </w:rPr>
        <w:t xml:space="preserve">其他补充事宜</w:t>
      </w:r>
      <w:bookmarkEnd w:id="14"/>
      <w:r/>
      <w:bookmarkEnd w:id="15"/>
      <w:r/>
      <w:r/>
    </w:p>
    <w:p>
      <w:pPr>
        <w:pStyle w:val="1112"/>
        <w:ind w:firstLine="0"/>
        <w:spacing w:line="480" w:lineRule="auto"/>
        <w:rPr>
          <w:rFonts w:hint="eastAsia" w:ascii="宋体" w:hAnsi="宋体" w:cs="宋体"/>
          <w:b w:val="0"/>
          <w:color w:val="auto"/>
          <w:sz w:val="21"/>
          <w:highlight w:val="none"/>
        </w:rPr>
      </w:pPr>
      <w:r>
        <w:rPr>
          <w:rFonts w:hint="eastAsia" w:ascii="宋体" w:hAnsi="宋体" w:cs="宋体"/>
          <w:b w:val="0"/>
          <w:color w:val="auto"/>
          <w:sz w:val="21"/>
          <w:highlight w:val="none"/>
        </w:rPr>
        <w:t xml:space="preserve">1、本项目公告媒体：江苏政府采购网（http://www.ccgp-jiangsu.gov.cn/）、南京公共采购信息网（https://njgc.jfh.com/）</w:t>
      </w:r>
      <w:r/>
    </w:p>
    <w:p>
      <w:pPr>
        <w:spacing w:line="480" w:lineRule="auto"/>
        <w:rPr>
          <w:bCs/>
          <w:color w:val="auto"/>
          <w:highlight w:val="none"/>
        </w:rPr>
      </w:pPr>
      <w:r>
        <w:rPr>
          <w:rFonts w:hint="eastAsia"/>
          <w:bCs/>
          <w:color w:val="auto"/>
          <w:highlight w:val="none"/>
          <w:lang w:val="en-US" w:eastAsia="zh-CN"/>
        </w:rPr>
        <w:t xml:space="preserve">2</w:t>
      </w:r>
      <w:r>
        <w:rPr>
          <w:rFonts w:hint="eastAsia"/>
          <w:bCs/>
          <w:color w:val="auto"/>
          <w:highlight w:val="none"/>
        </w:rPr>
        <w:t xml:space="preserve">、供应商诚信档案管理</w:t>
      </w:r>
      <w:r/>
    </w:p>
    <w:p>
      <w:pPr>
        <w:spacing w:line="480" w:lineRule="auto"/>
        <w:rPr>
          <w:color w:val="auto"/>
          <w:highlight w:val="none"/>
        </w:rPr>
      </w:pPr>
      <w:r>
        <w:rPr>
          <w:rFonts w:hint="eastAsia"/>
          <w:color w:val="auto"/>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spacing w:line="480" w:lineRule="auto"/>
        <w:rPr>
          <w:color w:val="auto"/>
          <w:highlight w:val="none"/>
        </w:rPr>
      </w:pPr>
      <w:r>
        <w:rPr>
          <w:rFonts w:hint="eastAsia"/>
          <w:color w:val="auto"/>
          <w:highlight w:val="none"/>
        </w:rPr>
        <w:t xml:space="preserve">供应商申请网上注册的，应当按以下程序进行：</w:t>
      </w:r>
      <w:r/>
    </w:p>
    <w:p>
      <w:pPr>
        <w:spacing w:line="480" w:lineRule="auto"/>
        <w:rPr>
          <w:color w:val="auto"/>
          <w:highlight w:val="none"/>
        </w:rPr>
      </w:pPr>
      <w:r>
        <w:rPr>
          <w:rFonts w:hint="eastAsia"/>
          <w:color w:val="auto"/>
          <w:highlight w:val="none"/>
        </w:rPr>
        <w:t xml:space="preserve">（1）登陆“南京公共采购信息网”（https://njgc.jfh.com）网站，点击“政府采购供应商诚信档案”图标，在弹出的用户登录界面，点击“新用户注册”；</w:t>
      </w:r>
      <w:r/>
    </w:p>
    <w:p>
      <w:pPr>
        <w:spacing w:line="480" w:lineRule="auto"/>
        <w:rPr>
          <w:color w:val="auto"/>
          <w:highlight w:val="none"/>
        </w:rPr>
      </w:pPr>
      <w:r>
        <w:rPr>
          <w:rFonts w:hint="eastAsia"/>
          <w:color w:val="auto"/>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480" w:lineRule="auto"/>
        <w:rPr>
          <w:color w:val="auto"/>
          <w:highlight w:val="none"/>
        </w:rPr>
      </w:pPr>
      <w:r>
        <w:rPr>
          <w:rFonts w:hint="eastAsia"/>
          <w:color w:val="auto"/>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olor w:val="auto"/>
          <w:szCs w:val="21"/>
          <w:highlight w:val="none"/>
        </w:rPr>
        <w:t xml:space="preserve">，如未提供，投标被否决。</w:t>
      </w:r>
      <w:r/>
    </w:p>
    <w:p>
      <w:pPr>
        <w:spacing w:line="480" w:lineRule="auto"/>
        <w:rPr>
          <w:color w:val="auto"/>
          <w:highlight w:val="none"/>
        </w:rPr>
      </w:pPr>
      <w:r>
        <w:rPr>
          <w:rFonts w:hint="eastAsia"/>
          <w:color w:val="auto"/>
          <w:highlight w:val="none"/>
          <w:lang w:val="en-US" w:eastAsia="zh-CN"/>
        </w:rPr>
        <w:t xml:space="preserve">3</w:t>
      </w:r>
      <w:r>
        <w:rPr>
          <w:color w:val="auto"/>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80" w:lineRule="auto"/>
        <w:rPr>
          <w:color w:val="auto"/>
          <w:highlight w:val="none"/>
        </w:rPr>
      </w:pPr>
      <w:r>
        <w:rPr>
          <w:rFonts w:hint="eastAsia"/>
          <w:color w:val="auto"/>
          <w:highlight w:val="none"/>
          <w:lang w:val="en-US" w:eastAsia="zh-CN"/>
        </w:rPr>
        <w:t xml:space="preserve">4</w:t>
      </w:r>
      <w:r>
        <w:rPr>
          <w:color w:val="auto"/>
          <w:highlight w:val="none"/>
        </w:rPr>
        <w:t xml:space="preserve">、</w:t>
      </w:r>
      <w:r>
        <w:rPr>
          <w:rFonts w:hint="eastAsia"/>
          <w:color w:val="auto"/>
          <w:highlight w:val="none"/>
        </w:rPr>
        <w:t xml:space="preserve">有关本次招标的事项若存在变动或修改，敬请及时关注在“江苏政府采购网”、“南京公共采购信息网”发布的更正公告。</w:t>
      </w:r>
      <w:r/>
    </w:p>
    <w:p>
      <w:pPr>
        <w:spacing w:line="480" w:lineRule="auto"/>
        <w:rPr>
          <w:b/>
          <w:bCs/>
          <w:color w:val="auto"/>
          <w:highlight w:val="none"/>
        </w:rPr>
      </w:pPr>
      <w:r/>
      <w:bookmarkStart w:id="16" w:name="_Toc35393627"/>
      <w:r/>
      <w:bookmarkStart w:id="17" w:name="_Toc28359008"/>
      <w:r/>
      <w:bookmarkStart w:id="18" w:name="_Toc35393796"/>
      <w:r/>
      <w:bookmarkStart w:id="19" w:name="_Toc28359085"/>
      <w:r>
        <w:rPr>
          <w:rFonts w:hint="eastAsia"/>
          <w:b/>
          <w:bCs/>
          <w:color w:val="auto"/>
          <w:highlight w:val="none"/>
        </w:rPr>
        <w:t xml:space="preserve">七、对本次招标提出询问，请按以下方式联系</w:t>
      </w:r>
      <w:bookmarkEnd w:id="16"/>
      <w:r/>
      <w:bookmarkEnd w:id="17"/>
      <w:r/>
      <w:bookmarkEnd w:id="18"/>
      <w:r/>
      <w:bookmarkEnd w:id="19"/>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称：南京鼓楼医院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地址：南京市鼓楼区中山路321号　</w:t>
      </w:r>
      <w:r/>
    </w:p>
    <w:p>
      <w:pPr>
        <w:spacing w:line="480" w:lineRule="auto"/>
        <w:rPr>
          <w:rFonts w:hint="default" w:ascii="宋体" w:hAnsi="宋体" w:eastAsia="宋体" w:cs="宋体"/>
          <w:color w:val="auto"/>
          <w:szCs w:val="21"/>
          <w:highlight w:val="none"/>
          <w:lang w:val="en-US" w:eastAsia="zh-CN"/>
        </w:rPr>
      </w:pPr>
      <w:r/>
      <w:bookmarkStart w:id="20" w:name="_Toc28359086"/>
      <w:r/>
      <w:bookmarkStart w:id="21" w:name="_Toc28359009"/>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鲁老师</w:t>
      </w:r>
      <w:r/>
    </w:p>
    <w:p>
      <w:pPr>
        <w:spacing w:line="48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 025-83106666转66762</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0"/>
      <w:r/>
      <w:bookmarkEnd w:id="21"/>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址：南京市长江路198号苏美达大厦9F</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bookmarkStart w:id="22" w:name="_Toc28359087"/>
      <w:r/>
      <w:bookmarkStart w:id="23" w:name="_Toc28359010"/>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2"/>
      <w:r/>
      <w:bookmarkEnd w:id="23"/>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Style w:val="1162"/>
          <w:rFonts w:hint="eastAsia" w:ascii="宋体" w:hAnsi="宋体" w:cs="宋体"/>
          <w:color w:val="auto"/>
          <w:sz w:val="21"/>
          <w:szCs w:val="21"/>
          <w:highlight w:val="none"/>
          <w:lang w:eastAsia="zh-CN"/>
        </w:rPr>
        <w:t xml:space="preserve">dms@sumec.com.cn</w:t>
      </w:r>
      <w:r>
        <w:rPr>
          <w:rStyle w:val="1162"/>
          <w:rFonts w:hint="eastAsia" w:ascii="宋体" w:hAnsi="宋体" w:cs="宋体"/>
          <w:color w:val="auto"/>
          <w:sz w:val="21"/>
          <w:szCs w:val="21"/>
          <w:highlight w:val="none"/>
        </w:rPr>
        <w:fldChar w:fldCharType="end"/>
      </w:r>
      <w:r/>
    </w:p>
    <w:p>
      <w:pPr>
        <w:rPr>
          <w:rFonts w:eastAsia="仿宋_GB2312"/>
          <w:color w:val="auto"/>
          <w:highlight w:val="none"/>
        </w:rPr>
      </w:pPr>
      <w:r>
        <w:rPr>
          <w:rFonts w:eastAsia="仿宋_GB2312"/>
          <w:color w:val="auto"/>
          <w:highlight w:val="none"/>
        </w:rPr>
      </w:r>
      <w:r/>
    </w:p>
    <w:p>
      <w:pPr>
        <w:jc w:val="right"/>
        <w:rPr>
          <w:rFonts w:eastAsia="仿宋_GB2312"/>
          <w:color w:val="auto"/>
          <w:highlight w:val="none"/>
        </w:rPr>
      </w:pPr>
      <w:r>
        <w:rPr>
          <w:rFonts w:eastAsia="仿宋_GB2312"/>
          <w:color w:val="auto"/>
          <w:highlight w:val="none"/>
        </w:rPr>
      </w:r>
      <w:r/>
    </w:p>
    <w:p>
      <w:pPr>
        <w:pStyle w:val="932"/>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32"/>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32"/>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40" w:lineRule="exact"/>
        <w:rPr>
          <w:rFonts w:ascii="Arial" w:hAnsi="Arial" w:eastAsia="黑体" w:cs="Arial"/>
          <w:b/>
          <w:color w:val="auto"/>
          <w:sz w:val="28"/>
          <w:szCs w:val="28"/>
          <w:highlight w:val="none"/>
        </w:rPr>
        <w:outlineLvl w:val="0"/>
      </w:pPr>
      <w:r/>
      <w:bookmarkStart w:id="24" w:name="_Toc16975"/>
      <w:r/>
      <w:bookmarkStart w:id="25" w:name="_Toc28996"/>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9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pStyle w:val="114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采购人</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南京鼓楼医院 </w:t>
            </w:r>
            <w:r/>
          </w:p>
          <w:p>
            <w:pPr>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w:t>
            </w:r>
            <w:r>
              <w:rPr>
                <w:rFonts w:hint="eastAsia" w:ascii="Arial" w:hAnsi="Arial" w:cs="Arial"/>
                <w:color w:val="auto"/>
                <w:sz w:val="21"/>
                <w:szCs w:val="21"/>
                <w:highlight w:val="none"/>
                <w:lang w:val="en-US" w:eastAsia="zh-CN"/>
              </w:rPr>
              <w:t xml:space="preserve"> </w:t>
            </w:r>
            <w:r>
              <w:rPr>
                <w:rFonts w:hint="eastAsia" w:ascii="Arial" w:hAnsi="Arial" w:eastAsia="宋体" w:cs="Arial"/>
                <w:color w:val="auto"/>
                <w:sz w:val="21"/>
                <w:szCs w:val="21"/>
                <w:highlight w:val="none"/>
              </w:rPr>
              <w:t xml:space="preserve">  </w:t>
            </w:r>
            <w:r>
              <w:rPr>
                <w:rFonts w:hint="eastAsia" w:ascii="宋体" w:hAnsi="宋体" w:cs="宋体"/>
                <w:color w:val="auto"/>
                <w:szCs w:val="21"/>
                <w:highlight w:val="none"/>
                <w:lang w:val="en-US" w:eastAsia="zh-CN"/>
              </w:rPr>
              <w:t xml:space="preserve">鲁老师</w:t>
            </w:r>
            <w:r/>
          </w:p>
          <w:p>
            <w:pPr>
              <w:spacing w:line="360" w:lineRule="auto"/>
              <w:rPr>
                <w:rFonts w:hint="default" w:ascii="Arial" w:hAnsi="Arial" w:eastAsia="宋体" w:cs="Arial"/>
                <w:color w:val="auto"/>
                <w:sz w:val="21"/>
                <w:szCs w:val="21"/>
                <w:highlight w:val="none"/>
                <w:lang w:val="en-US"/>
              </w:rPr>
            </w:pPr>
            <w:r>
              <w:rPr>
                <w:rFonts w:hint="eastAsia" w:ascii="Arial" w:hAnsi="Arial" w:eastAsia="宋体" w:cs="Arial"/>
                <w:color w:val="auto"/>
                <w:sz w:val="21"/>
                <w:szCs w:val="21"/>
                <w:highlight w:val="none"/>
              </w:rPr>
              <w:t xml:space="preserve">联系方式：</w:t>
            </w:r>
            <w:r>
              <w:rPr>
                <w:rFonts w:hint="eastAsia" w:ascii="Arial" w:hAnsi="Arial" w:cs="Arial"/>
                <w:color w:val="auto"/>
                <w:sz w:val="21"/>
                <w:szCs w:val="21"/>
                <w:highlight w:val="none"/>
                <w:lang w:val="en-US" w:eastAsia="zh-CN"/>
              </w:rPr>
              <w:t xml:space="preserve"> </w:t>
            </w:r>
            <w:r>
              <w:rPr>
                <w:rFonts w:hint="eastAsia" w:ascii="宋体" w:hAnsi="宋体" w:cs="宋体"/>
                <w:color w:val="auto"/>
                <w:szCs w:val="21"/>
                <w:highlight w:val="none"/>
                <w:lang w:val="en-US" w:eastAsia="zh-CN"/>
              </w:rPr>
              <w:t xml:space="preserve">025-83106666转66762</w:t>
            </w:r>
            <w:r/>
          </w:p>
          <w:p>
            <w:pPr>
              <w:spacing w:line="360" w:lineRule="auto"/>
              <w:rPr>
                <w:rFonts w:ascii="Arial" w:hAnsi="Arial" w:cs="Arial"/>
                <w:b/>
                <w:color w:val="auto"/>
                <w:sz w:val="24"/>
                <w:highlight w:val="none"/>
              </w:rPr>
            </w:pPr>
            <w:r>
              <w:rPr>
                <w:rFonts w:ascii="Arial" w:hAnsi="Arial" w:cs="Arial"/>
                <w:color w:val="auto"/>
                <w:szCs w:val="21"/>
                <w:highlight w:val="none"/>
              </w:rPr>
              <w:t xml:space="preserve">地址：</w:t>
            </w:r>
            <w:r>
              <w:rPr>
                <w:rFonts w:hint="eastAsia" w:ascii="宋体" w:hAnsi="宋体" w:cs="宋体"/>
                <w:color w:val="auto"/>
                <w:szCs w:val="21"/>
                <w:highlight w:val="none"/>
              </w:rPr>
              <w:t xml:space="preserve">南京市鼓楼区中山路321号</w:t>
            </w:r>
            <w:r>
              <w:rPr>
                <w:rFonts w:hint="eastAsia" w:ascii="Arial" w:hAnsi="Arial" w:cs="Arial"/>
                <w:color w:val="auto"/>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pStyle w:val="114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采购代理机构</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苏美达国际技术贸易有限公司</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联系人：</w:t>
            </w:r>
            <w:r>
              <w:rPr>
                <w:rFonts w:hint="eastAsia" w:ascii="Arial" w:hAnsi="Arial" w:cs="Arial"/>
                <w:color w:val="auto"/>
                <w:szCs w:val="21"/>
                <w:highlight w:val="none"/>
                <w:lang w:eastAsia="zh-CN"/>
              </w:rPr>
              <w:t xml:space="preserve">邓梦诗</w:t>
            </w:r>
            <w:r>
              <w:rPr>
                <w:rFonts w:ascii="Arial" w:hAnsi="Arial" w:cs="Arial"/>
                <w:color w:val="auto"/>
                <w:szCs w:val="21"/>
                <w:highlight w:val="none"/>
              </w:rPr>
              <w:t xml:space="preserve">   </w:t>
            </w:r>
            <w:r/>
          </w:p>
          <w:p>
            <w:pPr>
              <w:spacing w:line="360" w:lineRule="auto"/>
              <w:rPr>
                <w:rFonts w:hint="eastAsia" w:ascii="Arial" w:hAnsi="Arial" w:eastAsia="宋体" w:cs="Arial"/>
                <w:color w:val="auto"/>
                <w:szCs w:val="21"/>
                <w:highlight w:val="none"/>
                <w:lang w:eastAsia="zh-CN"/>
              </w:rPr>
            </w:pPr>
            <w:r>
              <w:rPr>
                <w:rFonts w:ascii="Arial" w:hAnsi="Arial" w:cs="Arial"/>
                <w:color w:val="auto"/>
                <w:szCs w:val="21"/>
                <w:highlight w:val="none"/>
              </w:rPr>
              <w:t xml:space="preserve">联系电话：</w:t>
            </w:r>
            <w:r>
              <w:rPr>
                <w:rFonts w:hint="eastAsia" w:ascii="Arial" w:hAnsi="Arial" w:cs="Arial"/>
                <w:color w:val="auto"/>
                <w:szCs w:val="21"/>
                <w:highlight w:val="none"/>
              </w:rPr>
              <w:t xml:space="preserve">025-</w:t>
            </w:r>
            <w:r>
              <w:rPr>
                <w:rFonts w:hint="eastAsia" w:ascii="Arial" w:hAnsi="Arial" w:cs="Arial"/>
                <w:color w:val="auto"/>
                <w:szCs w:val="21"/>
                <w:highlight w:val="none"/>
                <w:lang w:eastAsia="zh-CN"/>
              </w:rPr>
              <w:t xml:space="preserve">84531619</w:t>
            </w:r>
            <w:r/>
          </w:p>
          <w:p>
            <w:pPr>
              <w:pStyle w:val="1149"/>
              <w:spacing w:before="0" w:beforeAutospacing="0" w:after="0" w:afterAutospacing="0" w:line="440" w:lineRule="exact"/>
              <w:rPr>
                <w:rFonts w:ascii="Arial" w:hAnsi="Arial" w:eastAsia="宋体" w:cs="Arial"/>
                <w:color w:val="auto"/>
                <w:szCs w:val="21"/>
                <w:highlight w:val="none"/>
              </w:rPr>
            </w:pPr>
            <w:r>
              <w:rPr>
                <w:rFonts w:ascii="Arial" w:hAnsi="Arial" w:eastAsia="宋体" w:cs="Arial"/>
                <w:color w:val="auto"/>
                <w:sz w:val="21"/>
                <w:szCs w:val="21"/>
                <w:highlight w:val="none"/>
              </w:rPr>
              <w:t xml:space="preserve">联系地址：南京市长江路198号</w:t>
            </w:r>
            <w:r>
              <w:rPr>
                <w:rFonts w:hint="eastAsia" w:ascii="Arial" w:hAnsi="Arial" w:eastAsia="宋体" w:cs="Arial"/>
                <w:color w:val="auto"/>
                <w:sz w:val="21"/>
                <w:szCs w:val="21"/>
                <w:highlight w:val="none"/>
              </w:rPr>
              <w:t xml:space="preserve">9F</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南京鼓楼医院本部和江北食堂肉类采购</w:t>
            </w:r>
            <w:r>
              <w:rPr>
                <w:rFonts w:hint="eastAsia" w:ascii="Arial" w:hAnsi="Arial" w:cs="Arial"/>
                <w:color w:val="auto"/>
                <w:szCs w:val="21"/>
                <w:highlight w:val="none"/>
              </w:rPr>
              <w:t xml:space="preserve">项目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JSZC-320100-SMDG-G2026-0030</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宋体" w:hAnsi="宋体"/>
                <w:color w:val="auto"/>
                <w:highlight w:val="none"/>
              </w:rPr>
              <w:t xml:space="preserve">2026年</w:t>
            </w:r>
            <w:r>
              <w:rPr>
                <w:rFonts w:hint="eastAsia" w:ascii="宋体" w:hAnsi="宋体"/>
                <w:color w:val="auto"/>
                <w:sz w:val="21"/>
                <w:szCs w:val="20"/>
                <w:highlight w:val="none"/>
                <w:lang w:val="en-US" w:eastAsia="zh-CN"/>
              </w:rPr>
              <w:t xml:space="preserve">5月14日下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宋体" w:hAnsi="宋体"/>
                <w:color w:val="auto"/>
                <w:highlight w:val="none"/>
              </w:rPr>
              <w:t xml:space="preserve">2026年</w:t>
            </w:r>
            <w:r>
              <w:rPr>
                <w:rFonts w:hint="eastAsia" w:ascii="宋体" w:hAnsi="宋体"/>
                <w:color w:val="auto"/>
                <w:sz w:val="21"/>
                <w:szCs w:val="20"/>
                <w:highlight w:val="none"/>
                <w:lang w:val="en-US" w:eastAsia="zh-CN"/>
              </w:rPr>
              <w:t xml:space="preserve">5月14日下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w:t>
            </w:r>
            <w:r>
              <w:rPr>
                <w:rFonts w:hint="eastAsia" w:ascii="宋体" w:hAnsi="宋体" w:eastAsia="宋体" w:cs="宋体"/>
                <w:color w:val="000000"/>
                <w:sz w:val="21"/>
                <w:szCs w:val="21"/>
                <w:highlight w:val="none"/>
                <w:lang w:eastAsia="zh-CN"/>
              </w:rPr>
              <w:t xml:space="preserve">本次报价包含：商品价、运输费（含装卸费）、人工费、保险费、税费、培训费、货物送到甲方指定地点等的所有费用。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auto"/>
                <w:highlight w:val="none"/>
              </w:rPr>
            </w:pPr>
            <w:r>
              <w:rPr>
                <w:rFonts w:hint="eastAsia" w:ascii="Arial" w:hAnsi="Arial" w:cs="Arial"/>
                <w:b/>
                <w:color w:val="auto"/>
                <w:highlight w:val="none"/>
              </w:rPr>
              <w:t xml:space="preserve">现场勘查要求：本项目不组织</w:t>
            </w:r>
            <w:r>
              <w:rPr>
                <w:rFonts w:ascii="Arial" w:hAnsi="Arial" w:cs="Arial"/>
                <w:color w:val="auto"/>
                <w:highlight w:val="none"/>
              </w:rPr>
              <w:t xml:space="preserve">。</w:t>
            </w:r>
            <w:r>
              <w:rPr>
                <w:rFonts w:hint="eastAsia" w:ascii="Arial" w:hAnsi="Arial" w:cs="Arial"/>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w:t>
            </w:r>
            <w:r>
              <w:rPr>
                <w:rFonts w:hint="eastAsia" w:ascii="Arial" w:hAnsi="Arial" w:cs="Arial"/>
                <w:b/>
                <w:bCs/>
                <w:color w:val="auto"/>
                <w:szCs w:val="21"/>
                <w:highlight w:val="none"/>
                <w:lang w:val="en-US" w:eastAsia="zh-CN"/>
              </w:rPr>
              <w:t xml:space="preserve">最高限价</w:t>
            </w:r>
            <w:r>
              <w:rPr>
                <w:rFonts w:ascii="Arial" w:hAnsi="Arial" w:cs="Arial"/>
                <w:b/>
                <w:bCs/>
                <w:color w:val="auto"/>
                <w:szCs w:val="21"/>
                <w:highlight w:val="none"/>
              </w:rPr>
              <w:t xml:space="preserve">，超过规定的</w:t>
            </w:r>
            <w:r>
              <w:rPr>
                <w:rFonts w:hint="eastAsia" w:ascii="Arial" w:hAnsi="Arial" w:cs="Arial"/>
                <w:b/>
                <w:bCs/>
                <w:color w:val="auto"/>
                <w:szCs w:val="21"/>
                <w:highlight w:val="none"/>
                <w:lang w:val="en-US" w:eastAsia="zh-CN"/>
              </w:rPr>
              <w:t xml:space="preserve">最高限价</w:t>
            </w:r>
            <w:r>
              <w:rPr>
                <w:rFonts w:ascii="Arial" w:hAnsi="Arial" w:cs="Arial"/>
                <w:b/>
                <w:bCs/>
                <w:color w:val="auto"/>
                <w:szCs w:val="21"/>
                <w:highlight w:val="none"/>
              </w:rPr>
              <w:t xml:space="preserve">的投标文件，按无效投标处理。 </w:t>
            </w:r>
            <w:r/>
          </w:p>
        </w:tc>
      </w:tr>
    </w:tbl>
    <w:p>
      <w:pPr>
        <w:ind w:firstLine="420"/>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 </w:t>
      </w:r>
      <w:r/>
    </w:p>
    <w:p>
      <w:pPr>
        <w:ind w:firstLine="420"/>
        <w:spacing w:line="440" w:lineRule="exact"/>
        <w:shd w:val="clear" w:color="auto" w:fill="ffffff"/>
        <w:widowControl/>
        <w:rPr>
          <w:rFonts w:ascii="Arial" w:hAnsi="Arial" w:cs="Arial"/>
          <w:b/>
          <w:bCs/>
          <w:color w:val="auto"/>
          <w:sz w:val="24"/>
          <w:highlight w:val="none"/>
        </w:rPr>
        <w:sectPr>
          <w:headerReference w:type="default" r:id="rId11"/>
          <w:footerReference w:type="default" r:id="rId16"/>
          <w:footnotePr/>
          <w:endnotePr/>
          <w:type w:val="nextPage"/>
          <w:pgSz w:w="11906" w:h="16838" w:orient="portrait"/>
          <w:pgMar w:top="1560" w:right="851" w:bottom="567" w:left="1134" w:header="1247" w:footer="567" w:gutter="0"/>
          <w:cols w:num="1" w:sep="0" w:space="720" w:equalWidth="1"/>
          <w:docGrid w:linePitch="360"/>
        </w:sectPr>
        <w:outlineLvl w:val="1"/>
      </w:pPr>
      <w:r/>
      <w:bookmarkStart w:id="26" w:name="_Toc19726"/>
      <w:r/>
      <w:bookmarkStart w:id="27" w:name="_Toc8539"/>
      <w:r/>
      <w:r/>
    </w:p>
    <w:p>
      <w:pPr>
        <w:ind w:firstLine="420"/>
        <w:spacing w:line="440" w:lineRule="exact"/>
        <w:shd w:val="clear" w:color="auto" w:fill="ffffff"/>
        <w:widowControl/>
        <w:rPr>
          <w:rFonts w:ascii="Arial" w:hAnsi="Arial" w:cs="Arial"/>
          <w:color w:val="auto"/>
          <w:sz w:val="24"/>
          <w:highlight w:val="none"/>
        </w:rPr>
        <w:outlineLvl w:val="1"/>
      </w:pPr>
      <w:r>
        <w:rPr>
          <w:rFonts w:ascii="Arial" w:hAnsi="Arial" w:cs="Arial"/>
          <w:b/>
          <w:bCs/>
          <w:color w:val="auto"/>
          <w:sz w:val="24"/>
          <w:highlight w:val="none"/>
        </w:rPr>
        <w:t xml:space="preserve">一、总 则</w:t>
      </w:r>
      <w:bookmarkEnd w:id="26"/>
      <w:r/>
      <w:bookmarkEnd w:id="27"/>
      <w:r/>
      <w:r/>
    </w:p>
    <w:p>
      <w:pPr>
        <w:ind w:firstLine="420"/>
        <w:spacing w:line="360" w:lineRule="auto"/>
        <w:rPr>
          <w:rFonts w:hint="eastAsia" w:ascii="宋体" w:hAnsi="宋体" w:cs="宋体"/>
          <w:b/>
          <w:color w:val="auto"/>
          <w:szCs w:val="21"/>
          <w:highlight w:val="none"/>
          <w:lang w:val="zh-CN"/>
        </w:rPr>
        <w:outlineLvl w:val="2"/>
      </w:pPr>
      <w:r/>
      <w:bookmarkStart w:id="28" w:name="_Toc30044"/>
      <w:r/>
      <w:bookmarkStart w:id="29" w:name="_Toc3951"/>
      <w:r/>
      <w:bookmarkStart w:id="30" w:name="_Toc513029204"/>
      <w:r/>
      <w:bookmarkStart w:id="31" w:name="_Toc16938520"/>
      <w:r/>
      <w:bookmarkStart w:id="32" w:name="_Toc24947"/>
      <w:r/>
      <w:bookmarkStart w:id="33" w:name="_Toc458694821"/>
      <w:r/>
      <w:bookmarkStart w:id="34" w:name="_Toc20823276"/>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8"/>
      <w:r/>
      <w:bookmarkEnd w:id="29"/>
      <w:r/>
      <w:r/>
    </w:p>
    <w:p>
      <w:pPr>
        <w:ind w:firstLine="420"/>
        <w:spacing w:line="360" w:lineRule="auto"/>
        <w:rPr>
          <w:rFonts w:hint="eastAsia"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ascii="Arial" w:hAnsi="Arial" w:cs="Arial"/>
          <w:color w:val="auto"/>
          <w:szCs w:val="21"/>
          <w:highlight w:val="none"/>
        </w:rPr>
        <w:t xml:space="preserve">《中华人民共和国招标投标法》</w:t>
      </w:r>
      <w:r>
        <w:rPr>
          <w:rFonts w:hint="eastAsia" w:ascii="Arial" w:hAnsi="Arial" w:cs="Arial"/>
          <w:color w:val="auto"/>
          <w:szCs w:val="21"/>
          <w:highlight w:val="none"/>
        </w:rPr>
        <w:t xml:space="preserve">、</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35" w:name="_Toc17176"/>
      <w:r/>
      <w:bookmarkStart w:id="36" w:name="_Toc10994"/>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440" w:lineRule="exact"/>
        <w:rPr>
          <w:rFonts w:ascii="Arial" w:hAnsi="Arial" w:cs="Arial"/>
          <w:bCs/>
          <w:color w:val="auto"/>
          <w:highlight w:val="none"/>
        </w:rPr>
      </w:pPr>
      <w:r>
        <w:rPr>
          <w:rFonts w:ascii="Arial" w:hAnsi="Arial" w:cs="Arial"/>
          <w:color w:val="auto"/>
          <w:szCs w:val="21"/>
          <w:highlight w:val="none"/>
        </w:rPr>
        <w:t xml:space="preserve">2.1本文件</w:t>
      </w:r>
      <w:r>
        <w:rPr>
          <w:rFonts w:ascii="Arial" w:hAnsi="Arial" w:cs="Arial"/>
          <w:bCs/>
          <w:color w:val="auto"/>
          <w:highlight w:val="none"/>
        </w:rPr>
        <w:t xml:space="preserve">中</w:t>
      </w:r>
      <w:r>
        <w:rPr>
          <w:rFonts w:hint="eastAsia" w:ascii="Arial" w:hAnsi="Arial" w:cs="Arial"/>
          <w:bCs/>
          <w:color w:val="auto"/>
          <w:highlight w:val="none"/>
        </w:rPr>
        <w:t xml:space="preserve">采购代理机构</w:t>
      </w:r>
      <w:r>
        <w:rPr>
          <w:rFonts w:ascii="Arial" w:hAnsi="Arial" w:cs="Arial"/>
          <w:bCs/>
          <w:color w:val="auto"/>
          <w:highlight w:val="none"/>
        </w:rPr>
        <w:t xml:space="preserve">为 </w:t>
      </w:r>
      <w:r>
        <w:rPr>
          <w:rFonts w:hint="eastAsia" w:ascii="Arial" w:hAnsi="Arial" w:cs="Arial"/>
          <w:b/>
          <w:color w:val="auto"/>
          <w:highlight w:val="none"/>
          <w:u w:val="single"/>
        </w:rPr>
        <w:t xml:space="preserve">苏美达国际技术贸易有限公司</w:t>
      </w:r>
      <w:r>
        <w:rPr>
          <w:rFonts w:ascii="Arial" w:hAnsi="Arial" w:cs="Arial"/>
          <w:bCs/>
          <w:color w:val="auto"/>
          <w:highlight w:val="none"/>
        </w:rPr>
        <w:t xml:space="preserve">；</w:t>
      </w:r>
      <w:r>
        <w:rPr>
          <w:rFonts w:hint="eastAsia" w:ascii="Arial" w:hAnsi="Arial" w:cs="Arial"/>
          <w:bCs/>
          <w:color w:val="auto"/>
          <w:highlight w:val="none"/>
        </w:rPr>
        <w:t xml:space="preserve">采购人</w:t>
      </w:r>
      <w:r>
        <w:rPr>
          <w:rFonts w:ascii="Arial" w:hAnsi="Arial" w:cs="Arial"/>
          <w:bCs/>
          <w:color w:val="auto"/>
          <w:highlight w:val="none"/>
        </w:rPr>
        <w:t xml:space="preserve">为</w:t>
      </w:r>
      <w:r>
        <w:rPr>
          <w:rFonts w:hint="eastAsia" w:ascii="Arial" w:hAnsi="Arial" w:cs="Arial"/>
          <w:b/>
          <w:color w:val="auto"/>
          <w:highlight w:val="none"/>
          <w:u w:val="single"/>
        </w:rPr>
        <w:t xml:space="preserve">南京鼓楼医院 </w:t>
      </w:r>
      <w:r>
        <w:rPr>
          <w:rFonts w:ascii="Arial" w:hAnsi="Arial" w:cs="Arial"/>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2.2“货物和服务”指本文件中所述产品及相关货物和服务。</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highlight w:val="none"/>
        </w:rPr>
        <w:t xml:space="preserve">单位。</w:t>
      </w:r>
      <w:r/>
    </w:p>
    <w:p>
      <w:pPr>
        <w:ind w:firstLine="422"/>
        <w:spacing w:line="360" w:lineRule="auto"/>
        <w:rPr>
          <w:rFonts w:hint="eastAsia" w:ascii="宋体" w:hAnsi="宋体" w:cs="宋体"/>
          <w:b/>
          <w:color w:val="auto"/>
          <w:szCs w:val="21"/>
          <w:highlight w:val="none"/>
          <w:lang w:val="zh-CN"/>
        </w:rPr>
        <w:outlineLvl w:val="2"/>
      </w:pPr>
      <w:r/>
      <w:bookmarkStart w:id="37" w:name="_Toc25880"/>
      <w:r/>
      <w:bookmarkStart w:id="38" w:name="_Toc18001"/>
      <w:r/>
      <w:bookmarkStart w:id="39" w:name="_Toc20823279"/>
      <w:r/>
      <w:bookmarkStart w:id="40" w:name="_Toc16938523"/>
      <w:r/>
      <w:bookmarkStart w:id="41" w:name="_Toc462564067"/>
      <w:r/>
      <w:bookmarkStart w:id="42" w:name="_Toc25651"/>
      <w:r/>
      <w:bookmarkStart w:id="43" w:name="_Toc4759"/>
      <w:r/>
      <w:bookmarkStart w:id="44" w:name="_Toc513029207"/>
      <w:r/>
      <w:bookmarkStart w:id="45" w:name="_Toc17711"/>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7"/>
      <w:r/>
      <w:bookmarkEnd w:id="3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3.1线上融资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3.2中小企业、监狱和戒毒企业及残疾人福利性单位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3.3节能产品、信息安全产品、环境标志产品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3.4进口产品政策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3.5绿色采购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3.5.2涉及</w:t>
      </w:r>
      <w:r>
        <w:rPr>
          <w:rFonts w:hint="eastAsia" w:ascii="宋体" w:hAnsi="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3.6创新产品采购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3.7网络产品、市场准入类产品采购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本</w:t>
      </w:r>
      <w:r>
        <w:rPr>
          <w:rFonts w:hint="eastAsia" w:ascii="宋体" w:hAnsi="宋体" w:cs="宋体"/>
          <w:color w:val="auto"/>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3.11落实政府采购领域数字人民币政策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46" w:name="_Toc344"/>
      <w:r/>
      <w:bookmarkStart w:id="47" w:name="_Toc2547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6"/>
      <w:r/>
      <w:bookmarkEnd w:id="47"/>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Arial" w:hAnsi="Arial" w:cs="Arial"/>
          <w:b/>
          <w:bCs/>
          <w:color w:val="auto"/>
          <w:sz w:val="24"/>
          <w:highlight w:val="none"/>
        </w:rPr>
        <w:outlineLvl w:val="1"/>
      </w:pPr>
      <w:r/>
      <w:bookmarkStart w:id="48" w:name="_Toc16938525"/>
      <w:r/>
      <w:bookmarkStart w:id="49" w:name="_Toc513029209"/>
      <w:r/>
      <w:bookmarkStart w:id="50" w:name="_Toc11232"/>
      <w:r/>
      <w:bookmarkStart w:id="51" w:name="_Toc20823281"/>
      <w:r/>
      <w:bookmarkStart w:id="52" w:name="_Toc15035"/>
      <w:r/>
      <w:bookmarkStart w:id="53" w:name="_Toc120614215"/>
      <w:r>
        <w:rPr>
          <w:rFonts w:ascii="Arial" w:hAnsi="Arial" w:cs="Arial"/>
          <w:b/>
          <w:bCs/>
          <w:color w:val="auto"/>
          <w:sz w:val="24"/>
          <w:highlight w:val="none"/>
        </w:rPr>
        <w:t xml:space="preserve">二、招标文件</w:t>
      </w:r>
      <w:bookmarkEnd w:id="48"/>
      <w:r/>
      <w:bookmarkEnd w:id="49"/>
      <w:r/>
      <w:bookmarkEnd w:id="50"/>
      <w:r/>
      <w:bookmarkEnd w:id="51"/>
      <w:r/>
      <w:bookmarkEnd w:id="52"/>
      <w:r/>
      <w:bookmarkEnd w:id="53"/>
      <w:r/>
      <w:r/>
    </w:p>
    <w:p>
      <w:pPr>
        <w:ind w:firstLine="420"/>
        <w:spacing w:line="360" w:lineRule="auto"/>
        <w:rPr>
          <w:rFonts w:hint="eastAsia" w:ascii="宋体" w:hAnsi="宋体" w:cs="宋体"/>
          <w:b/>
          <w:color w:val="auto"/>
          <w:szCs w:val="21"/>
          <w:highlight w:val="none"/>
          <w:lang w:val="zh-CN"/>
        </w:rPr>
        <w:outlineLvl w:val="2"/>
      </w:pPr>
      <w:r/>
      <w:bookmarkStart w:id="54" w:name="_Toc31631"/>
      <w:r/>
      <w:bookmarkStart w:id="55" w:name="_Toc2899"/>
      <w:r/>
      <w:bookmarkStart w:id="56" w:name="_Toc20823282"/>
      <w:r/>
      <w:bookmarkStart w:id="57" w:name="_Toc513029210"/>
      <w:r/>
      <w:bookmarkStart w:id="58" w:name="_Toc16938526"/>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440" w:lineRule="exact"/>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840"/>
        <w:spacing w:line="440" w:lineRule="exact"/>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w:t>
      </w:r>
      <w:r>
        <w:rPr>
          <w:rFonts w:hint="eastAsia" w:ascii="Arial" w:hAnsi="Arial" w:cs="Arial"/>
          <w:b/>
          <w:bCs/>
          <w:color w:val="auto"/>
          <w:szCs w:val="21"/>
          <w:highlight w:val="none"/>
          <w:lang w:val="en-US" w:eastAsia="zh-CN"/>
        </w:rPr>
        <w:t xml:space="preserve">采购需求</w:t>
      </w:r>
      <w:r>
        <w:rPr>
          <w:rFonts w:hint="eastAsia" w:ascii="Arial" w:hAnsi="Arial" w:cs="Arial"/>
          <w:b/>
          <w:bCs/>
          <w:color w:val="auto"/>
          <w:szCs w:val="21"/>
          <w:highlight w:val="none"/>
        </w:rPr>
        <w:t xml:space="preserve">中未分包的，供应商对要求提供的服务不得部分投标；</w:t>
      </w:r>
      <w:r>
        <w:rPr>
          <w:rFonts w:hint="eastAsia" w:ascii="Arial" w:hAnsi="Arial" w:cs="Arial"/>
          <w:b/>
          <w:bCs/>
          <w:color w:val="auto"/>
          <w:szCs w:val="21"/>
          <w:highlight w:val="none"/>
          <w:lang w:val="en-US" w:eastAsia="zh-CN"/>
        </w:rPr>
        <w:t xml:space="preserve">采购需求</w:t>
      </w:r>
      <w:r>
        <w:rPr>
          <w:rFonts w:hint="eastAsia" w:ascii="Arial" w:hAnsi="Arial" w:cs="Arial"/>
          <w:b/>
          <w:bCs/>
          <w:color w:val="auto"/>
          <w:szCs w:val="21"/>
          <w:highlight w:val="none"/>
        </w:rPr>
        <w:t xml:space="preserve">中已经分包的，以包为单位投标</w:t>
      </w:r>
      <w:r>
        <w:rPr>
          <w:rFonts w:hint="eastAsia" w:ascii="Arial" w:hAnsi="Arial" w:cs="Arial"/>
          <w:color w:val="auto"/>
          <w:szCs w:val="21"/>
          <w:highlight w:val="none"/>
        </w:rPr>
        <w:t xml:space="preserve">。</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1111"/>
        <w:ind w:left="0" w:firstLine="422"/>
        <w:jc w:val="both"/>
        <w:spacing w:line="440" w:lineRule="exact"/>
        <w:rPr>
          <w:rFonts w:ascii="Arial" w:hAnsi="Arial" w:eastAsia="宋体" w:cs="Arial"/>
          <w:b/>
          <w:bCs/>
          <w:color w:val="auto"/>
          <w:sz w:val="21"/>
          <w:szCs w:val="21"/>
          <w:highlight w:val="none"/>
        </w:rPr>
      </w:pPr>
      <w:r/>
      <w:bookmarkStart w:id="59" w:name="_Toc24838"/>
      <w:r/>
      <w:bookmarkStart w:id="60" w:name="_Toc14415"/>
      <w:r>
        <w:rPr>
          <w:rFonts w:ascii="Arial" w:hAnsi="Arial" w:eastAsia="宋体" w:cs="Arial"/>
          <w:b/>
          <w:bCs/>
          <w:color w:val="auto"/>
          <w:sz w:val="21"/>
          <w:szCs w:val="21"/>
          <w:highlight w:val="none"/>
        </w:rPr>
        <w:t xml:space="preserve">7.招标文件的澄清、补充或修改</w:t>
      </w:r>
      <w:bookmarkEnd w:id="59"/>
      <w:r/>
      <w:bookmarkEnd w:id="60"/>
      <w:r/>
      <w:r/>
    </w:p>
    <w:p>
      <w:pPr>
        <w:ind w:firstLine="441"/>
        <w:spacing w:line="440" w:lineRule="exact"/>
        <w:rPr>
          <w:color w:val="auto"/>
          <w:highlight w:val="none"/>
        </w:rPr>
      </w:pPr>
      <w:r/>
      <w:bookmarkStart w:id="61" w:name="_Toc29128"/>
      <w:r>
        <w:rPr>
          <w:rFonts w:ascii="Arial" w:hAnsi="Arial" w:cs="Arial"/>
          <w:color w:val="auto"/>
          <w:szCs w:val="21"/>
          <w:highlight w:val="none"/>
        </w:rPr>
        <w:t xml:space="preserve">7.1</w:t>
      </w:r>
      <w:r>
        <w:rPr>
          <w:rFonts w:hint="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highlight w:val="none"/>
        </w:rPr>
      </w:pPr>
      <w:r>
        <w:rPr>
          <w:rFonts w:hint="eastAsia" w:ascii="Arial" w:hAnsi="Arial" w:cs="Arial"/>
          <w:color w:val="auto"/>
          <w:szCs w:val="21"/>
          <w:highlight w:val="none"/>
        </w:rPr>
        <w:t xml:space="preserve">7.2 </w:t>
      </w:r>
      <w:r>
        <w:rPr>
          <w:rFonts w:hint="eastAsia"/>
          <w:color w:val="auto"/>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440" w:lineRule="exact"/>
        <w:rPr>
          <w:color w:val="auto"/>
          <w:highlight w:val="none"/>
        </w:rPr>
      </w:pPr>
      <w:r>
        <w:rPr>
          <w:rFonts w:hint="eastAsia" w:ascii="Arial" w:hAnsi="Arial" w:cs="Arial"/>
          <w:color w:val="auto"/>
          <w:szCs w:val="21"/>
          <w:highlight w:val="none"/>
        </w:rPr>
        <w:t xml:space="preserve">7.3 </w:t>
      </w:r>
      <w:r>
        <w:rPr>
          <w:rFonts w:hint="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color w:val="auto"/>
          <w:highlight w:val="none"/>
        </w:rPr>
      </w:pPr>
      <w:r>
        <w:rPr>
          <w:rFonts w:hint="eastAsia" w:ascii="Arial" w:hAnsi="Arial" w:cs="Arial"/>
          <w:color w:val="auto"/>
          <w:szCs w:val="21"/>
          <w:highlight w:val="none"/>
        </w:rPr>
        <w:t xml:space="preserve">7.4</w:t>
      </w:r>
      <w:r>
        <w:rPr>
          <w:rFonts w:hint="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ascii="Arial" w:hAnsi="Arial" w:cs="Arial"/>
          <w:bCs/>
          <w:color w:val="auto"/>
          <w:highlight w:val="none"/>
        </w:rPr>
      </w:pPr>
      <w:r>
        <w:rPr>
          <w:rFonts w:hint="eastAsia" w:ascii="Arial" w:hAnsi="Arial" w:cs="Arial"/>
          <w:color w:val="auto"/>
          <w:szCs w:val="21"/>
          <w:highlight w:val="none"/>
        </w:rPr>
        <w:t xml:space="preserve">7.5 </w:t>
      </w:r>
      <w:r>
        <w:rPr>
          <w:rFonts w:hint="eastAsia"/>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ascii="Arial" w:hAnsi="Arial" w:cs="Arial"/>
          <w:b/>
          <w:bCs/>
          <w:color w:val="auto"/>
          <w:sz w:val="24"/>
          <w:highlight w:val="none"/>
        </w:rPr>
        <w:outlineLvl w:val="1"/>
      </w:pPr>
      <w:r/>
      <w:bookmarkStart w:id="62" w:name="_Toc27318"/>
      <w:r>
        <w:rPr>
          <w:rFonts w:ascii="Arial" w:hAnsi="Arial" w:cs="Arial"/>
          <w:b/>
          <w:bCs/>
          <w:color w:val="auto"/>
          <w:sz w:val="24"/>
          <w:highlight w:val="none"/>
        </w:rPr>
        <w:t xml:space="preserve">三、投标文件的编制</w:t>
      </w:r>
      <w:bookmarkEnd w:id="61"/>
      <w:r/>
      <w:bookmarkEnd w:id="62"/>
      <w:r/>
      <w:r/>
    </w:p>
    <w:p>
      <w:pPr>
        <w:pStyle w:val="1111"/>
        <w:ind w:left="0" w:firstLine="422"/>
        <w:jc w:val="both"/>
        <w:spacing w:line="440" w:lineRule="exact"/>
        <w:rPr>
          <w:rFonts w:ascii="Arial" w:hAnsi="Arial" w:eastAsia="宋体" w:cs="Arial"/>
          <w:b/>
          <w:bCs/>
          <w:color w:val="auto"/>
          <w:sz w:val="21"/>
          <w:szCs w:val="21"/>
          <w:highlight w:val="none"/>
        </w:rPr>
      </w:pPr>
      <w:r/>
      <w:bookmarkStart w:id="63" w:name="_Toc28127"/>
      <w:r/>
      <w:bookmarkStart w:id="64" w:name="_Toc14460"/>
      <w:r>
        <w:rPr>
          <w:rFonts w:ascii="Arial" w:hAnsi="Arial" w:eastAsia="宋体" w:cs="Arial"/>
          <w:b/>
          <w:bCs/>
          <w:color w:val="auto"/>
          <w:sz w:val="21"/>
          <w:szCs w:val="21"/>
          <w:highlight w:val="none"/>
        </w:rPr>
        <w:t xml:space="preserve">8.</w:t>
      </w:r>
      <w:bookmarkEnd w:id="63"/>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4"/>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440" w:lineRule="exact"/>
        <w:shd w:val="clear" w:color="auto" w:fill="ffffff"/>
        <w:widowControl/>
        <w:rPr>
          <w:rFonts w:ascii="Arial" w:hAnsi="Arial" w:cs="Arial"/>
          <w:color w:val="auto"/>
          <w:szCs w:val="21"/>
          <w:highlight w:val="none"/>
        </w:rPr>
      </w:pPr>
      <w:r/>
      <w:bookmarkStart w:id="65"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8.5 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66" w:name="_Toc11547"/>
      <w:r/>
      <w:bookmarkStart w:id="67" w:name="_Toc30894"/>
      <w:r>
        <w:rPr>
          <w:rFonts w:hint="eastAsia" w:ascii="Arial" w:hAnsi="Arial" w:cs="Arial"/>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9.3</w:t>
      </w:r>
      <w:r>
        <w:rPr>
          <w:rFonts w:hint="eastAsia" w:ascii="宋体" w:hAnsi="宋体" w:cs="宋体"/>
          <w:color w:val="auto"/>
          <w:szCs w:val="21"/>
          <w:highlight w:val="none"/>
        </w:rPr>
        <w:t xml:space="preserve">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Arial" w:hAnsi="Arial" w:cs="Arial"/>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5"/>
      <w:r/>
      <w:r/>
    </w:p>
    <w:p>
      <w:pPr>
        <w:pStyle w:val="1111"/>
        <w:ind w:left="0" w:firstLine="422"/>
        <w:jc w:val="both"/>
        <w:spacing w:line="440" w:lineRule="exact"/>
        <w:rPr>
          <w:rFonts w:hint="eastAsia" w:ascii="宋体" w:hAnsi="宋体" w:eastAsia="宋体" w:cs="宋体"/>
          <w:b/>
          <w:color w:val="auto"/>
          <w:sz w:val="24"/>
          <w:szCs w:val="24"/>
          <w:highlight w:val="none"/>
        </w:rPr>
      </w:pPr>
      <w:r/>
      <w:bookmarkStart w:id="68" w:name="_Toc22790"/>
      <w:r/>
      <w:bookmarkStart w:id="69" w:name="_Toc6681"/>
      <w:r>
        <w:rPr>
          <w:rFonts w:hint="eastAsia" w:ascii="Arial" w:hAnsi="Arial" w:eastAsia="宋体" w:cs="Arial"/>
          <w:b/>
          <w:bCs/>
          <w:color w:val="auto"/>
          <w:sz w:val="21"/>
          <w:szCs w:val="21"/>
          <w:highlight w:val="none"/>
        </w:rPr>
        <w:t xml:space="preserve">10</w:t>
      </w:r>
      <w:r>
        <w:rPr>
          <w:rFonts w:ascii="Arial" w:hAnsi="Arial" w:eastAsia="宋体" w:cs="Arial"/>
          <w:b/>
          <w:bCs/>
          <w:color w:val="auto"/>
          <w:sz w:val="21"/>
          <w:szCs w:val="21"/>
          <w:highlight w:val="none"/>
        </w:rPr>
        <w:t xml:space="preserve">.投标文件</w:t>
      </w:r>
      <w:r>
        <w:rPr>
          <w:rFonts w:hint="eastAsia" w:ascii="宋体" w:hAnsi="宋体" w:eastAsia="宋体" w:cs="宋体"/>
          <w:b/>
          <w:color w:val="auto"/>
          <w:sz w:val="21"/>
          <w:highlight w:val="none"/>
        </w:rPr>
        <w:t xml:space="preserve">的</w:t>
      </w:r>
      <w:bookmarkEnd w:id="68"/>
      <w:r>
        <w:rPr>
          <w:rFonts w:hint="eastAsia" w:ascii="宋体" w:hAnsi="宋体" w:eastAsia="宋体" w:cs="宋体"/>
          <w:b/>
          <w:color w:val="auto"/>
          <w:sz w:val="21"/>
          <w:highlight w:val="none"/>
        </w:rPr>
        <w:t xml:space="preserve">组成</w:t>
      </w:r>
      <w:bookmarkEnd w:id="69"/>
      <w:r>
        <w:rPr>
          <w:rFonts w:hint="eastAsia" w:ascii="宋体" w:hAnsi="宋体" w:eastAsia="宋体" w:cs="宋体"/>
          <w:b/>
          <w:color w:val="auto"/>
          <w:sz w:val="21"/>
          <w:highlight w:val="none"/>
        </w:rPr>
        <w:t xml:space="preserve">（相应内容上传至投标客户端，并签电子公章）：</w:t>
      </w:r>
      <w:r/>
    </w:p>
    <w:p>
      <w:pPr>
        <w:ind w:firstLine="420"/>
        <w:spacing w:line="360" w:lineRule="auto"/>
        <w:rPr>
          <w:rFonts w:hint="eastAsia" w:ascii="宋体" w:hAnsi="宋体" w:cs="宋体"/>
          <w:color w:val="auto"/>
          <w:highlight w:val="none"/>
        </w:rPr>
      </w:pPr>
      <w:r/>
      <w:bookmarkStart w:id="70" w:name="_Hlk529436144"/>
      <w:r/>
      <w:bookmarkStart w:id="71" w:name="_Hlk525992732"/>
      <w:r/>
      <w:bookmarkStart w:id="72" w:name="_Hlk6917373"/>
      <w:r>
        <w:rPr>
          <w:rFonts w:hint="eastAsia" w:ascii="宋体" w:hAnsi="宋体" w:cs="宋体"/>
          <w:color w:val="auto"/>
          <w:highlight w:val="none"/>
        </w:rPr>
        <w:t xml:space="preserve">1.投标函（格式见附件）；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2.资格证明文件：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eastAsia="zh-CN"/>
        </w:rPr>
        <w:t xml:space="preserve">）</w:t>
      </w:r>
      <w:r>
        <w:rPr>
          <w:rFonts w:hint="eastAsia" w:ascii="Arial" w:hAnsi="Arial" w:cs="Arial"/>
          <w:color w:val="auto"/>
          <w:szCs w:val="21"/>
          <w:highlight w:val="none"/>
        </w:rPr>
        <w:t xml:space="preserve">具有独立承担民事责任的能力。投标人提供在有效经营期内的营业执照、法人授权书（法人直接参与投标的可不提供）、法人身份证扫描件、投标人代表身份证扫描件；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其中不适用信用承诺的情形：</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1）供应商被列入严重失信主体名单；</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2）被相关监督部门作出行政处罚且尚处在处罚有效期内；</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3）其他法律、行政法规规定的不适用信用承诺的情形。</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rPr>
        <w:t xml:space="preserve">）具有履行合同所必需的设备和专业技术能力。投标人提供具备履行合同所必需的设备和专业技术能力的书面声明（由供应商根据项目需求提供材料）； </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rPr>
        <w:t xml:space="preserve">）有依法缴纳税收和社会保障资金的良好记录。投标人提供提交投标文件截止时间前六个月内至少一个月依法缴纳税收及缴纳社会保障资金的证明材料。投标人依法享受缓缴、免缴的，提供证明材料；</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rPr>
        <w:t xml:space="preserve">）法律、行政法规规定的其他条件。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rPr>
        <w:t xml:space="preserve">）若投标人为食品销售企业的须具有行业主管部门颁发的《食品经营许可证》或仅销售预包装食品备案凭证（提供证书扫描件）；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rPr>
        <w:t xml:space="preserve">）若投标人为食品生产企业须提供《食品生产许可证》（提供证书扫描件）。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.开标一览表（格式系统生成）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.细目报价表（格式见附件）</w:t>
      </w:r>
      <w:bookmarkEnd w:id="70"/>
      <w:r/>
      <w:bookmarkEnd w:id="71"/>
      <w:r/>
      <w:bookmarkEnd w:id="72"/>
      <w:r/>
      <w:r/>
    </w:p>
    <w:p>
      <w:pPr>
        <w:ind w:firstLine="420"/>
        <w:spacing w:line="360" w:lineRule="auto"/>
        <w:rPr>
          <w:color w:val="auto"/>
          <w:highlight w:val="none"/>
        </w:rPr>
      </w:pPr>
      <w:r/>
      <w:bookmarkStart w:id="73" w:name="_Toc15215"/>
      <w:r/>
      <w:bookmarkStart w:id="74" w:name="_Toc31206"/>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Arial" w:hAnsi="Arial" w:eastAsia="宋体" w:cs="Arial"/>
          <w:szCs w:val="21"/>
          <w:highlight w:val="none"/>
        </w:rPr>
        <w:t xml:space="preserve">采购需求响应</w:t>
      </w:r>
      <w:r>
        <w:rPr>
          <w:rFonts w:hint="eastAsia" w:ascii="宋体" w:hAnsi="宋体" w:cs="宋体"/>
          <w:color w:val="auto"/>
          <w:highlight w:val="none"/>
        </w:rPr>
        <w:t xml:space="preserve">偏离表（格式见附件）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w:t>
      </w:r>
      <w:r>
        <w:rPr>
          <w:rFonts w:hint="eastAsia" w:ascii="宋体" w:hAnsi="宋体" w:cs="宋体"/>
          <w:color w:val="auto"/>
          <w:highlight w:val="none"/>
          <w:lang w:val="zh-CN"/>
        </w:rPr>
        <w:t xml:space="preserve">设备主要性能的</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资料</w:t>
      </w:r>
      <w:r>
        <w:rPr>
          <w:rFonts w:hint="eastAsia" w:ascii="宋体" w:hAnsi="宋体" w:cs="宋体"/>
          <w:color w:val="auto"/>
          <w:highlight w:val="none"/>
        </w:rPr>
        <w:t xml:space="preserve">以及</w:t>
      </w:r>
      <w:r>
        <w:rPr>
          <w:rFonts w:hint="eastAsia" w:ascii="宋体" w:hAnsi="宋体" w:cs="宋体"/>
          <w:color w:val="auto"/>
          <w:highlight w:val="none"/>
          <w:lang w:val="zh-CN"/>
        </w:rPr>
        <w:t xml:space="preserve">供应商认为需要提供的其他技术资料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.售后服务实施方案等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.评分标准中对应的所需证明材料（如有自行添加）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.要求采购人提供的配合（如有自拟并自行添加）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.其它（投标人认为有必要提供的声明和文件，如有自拟并自行添加）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（1）投标供应商简介和经营情况说明；（格式见附件）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（2）如是小微企业的，提供《中小企业声明函》；（格式见附件）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（3）残疾人福利性单位声明函；（供应商为残疾人福利性单位的提供，格式见附件）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（4）由省级以上监狱管理局、戒毒管理局出具的属于监狱企业的证明文件；（如适用）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auto"/>
          <w:szCs w:val="21"/>
          <w:highlight w:val="none"/>
        </w:rPr>
      </w:pPr>
      <w:r>
        <w:rPr>
          <w:rFonts w:hint="eastAsia" w:ascii="宋体" w:hAnsi="宋体" w:cs="宋体"/>
          <w:color w:val="auto"/>
          <w:highlight w:val="none"/>
        </w:rPr>
        <w:t xml:space="preserve">上述1-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111"/>
        <w:ind w:left="0" w:firstLine="422"/>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73"/>
      <w:r/>
      <w:bookmarkEnd w:id="74"/>
      <w:r/>
      <w:r/>
    </w:p>
    <w:p>
      <w:pPr>
        <w:ind w:firstLine="420"/>
        <w:jc w:val="left"/>
        <w:spacing w:line="360" w:lineRule="auto"/>
        <w:rPr>
          <w:rFonts w:hint="eastAsia" w:ascii="宋体" w:hAnsi="宋体" w:cs="Arial"/>
          <w:bCs/>
          <w:color w:val="auto"/>
          <w:szCs w:val="21"/>
          <w:highlight w:val="none"/>
        </w:rPr>
      </w:pPr>
      <w:r/>
      <w:bookmarkStart w:id="75"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76" w:name="_Toc21944"/>
      <w:r>
        <w:rPr>
          <w:rFonts w:hint="eastAsia" w:ascii="宋体" w:hAnsi="宋体" w:eastAsia="宋体" w:cs="Arial"/>
          <w:b/>
          <w:bCs/>
          <w:color w:val="auto"/>
          <w:sz w:val="21"/>
          <w:szCs w:val="21"/>
          <w:highlight w:val="none"/>
        </w:rPr>
        <w:t xml:space="preserve">12.</w:t>
      </w:r>
      <w:bookmarkEnd w:id="75"/>
      <w:r/>
      <w:bookmarkEnd w:id="76"/>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hint="eastAsia" w:ascii="宋体" w:hAnsi="宋体" w:cs="Arial"/>
          <w:bCs/>
          <w:color w:val="auto"/>
          <w:szCs w:val="21"/>
          <w:highlight w:val="none"/>
        </w:rPr>
      </w:pPr>
      <w:r/>
      <w:bookmarkStart w:id="77" w:name="_Toc27455"/>
      <w:r>
        <w:rPr>
          <w:rFonts w:hint="eastAsia" w:ascii="宋体" w:hAnsi="宋体" w:cs="Arial"/>
          <w:bCs/>
          <w:color w:val="auto"/>
          <w:szCs w:val="21"/>
          <w:highlight w:val="none"/>
        </w:rPr>
        <w:t xml:space="preserve">12.1投标人应由其法定代表人或法定代表人授权代表在规定的网上投标时间，凭 CA 证书</w:t>
      </w:r>
      <w:r>
        <w:rPr>
          <w:rFonts w:hint="eastAsia" w:ascii="宋体" w:hAnsi="宋体" w:cs="Arial"/>
          <w:bCs/>
          <w:color w:val="auto"/>
          <w:szCs w:val="21"/>
          <w:highlight w:val="none"/>
          <w:lang w:val="en-US" w:eastAsia="zh-CN"/>
        </w:rPr>
        <w:t xml:space="preserve">登录</w:t>
      </w:r>
      <w:r>
        <w:rPr>
          <w:rFonts w:hint="eastAsia" w:ascii="宋体" w:hAnsi="宋体" w:cs="Arial"/>
          <w:bCs/>
          <w:color w:val="auto"/>
          <w:szCs w:val="21"/>
          <w:highlight w:val="none"/>
        </w:rPr>
        <w:t xml:space="preserve">“苏采云”系统在线编制投标文件（电子数据），并在投标截止时间之前上传投标文件。</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证书妥善保管，如被他人盗用投标，因此带来的</w:t>
      </w:r>
      <w:r>
        <w:rPr>
          <w:rFonts w:hint="eastAsia" w:ascii="宋体" w:hAnsi="宋体" w:cs="Arial"/>
          <w:bCs/>
          <w:color w:val="auto"/>
          <w:szCs w:val="21"/>
          <w:highlight w:val="none"/>
          <w:lang w:val="en-US" w:eastAsia="zh-CN"/>
        </w:rPr>
        <w:t xml:space="preserve">后果</w:t>
      </w:r>
      <w:r>
        <w:rPr>
          <w:rFonts w:hint="eastAsia" w:ascii="宋体" w:hAnsi="宋体" w:cs="Arial"/>
          <w:bCs/>
          <w:color w:val="auto"/>
          <w:szCs w:val="21"/>
          <w:highlight w:val="none"/>
        </w:rPr>
        <w:t xml:space="preserve">均由投标人自行承担。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8" w:name="_Toc9506"/>
      <w:r>
        <w:rPr>
          <w:rFonts w:ascii="宋体" w:hAnsi="宋体" w:cs="Arial"/>
          <w:b/>
          <w:bCs/>
          <w:color w:val="auto"/>
          <w:szCs w:val="21"/>
          <w:highlight w:val="none"/>
        </w:rPr>
        <w:t xml:space="preserve">四、投标文件的递交</w:t>
      </w:r>
      <w:bookmarkEnd w:id="77"/>
      <w:r/>
      <w:bookmarkEnd w:id="78"/>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9" w:name="_Toc20823297"/>
      <w:r/>
      <w:bookmarkStart w:id="80" w:name="_Toc462564084"/>
      <w:r/>
      <w:bookmarkStart w:id="81" w:name="_Toc513029225"/>
      <w:r/>
      <w:bookmarkStart w:id="82" w:name="_Toc16938541"/>
      <w:r/>
      <w:bookmarkStart w:id="83" w:name="_Toc15509"/>
      <w:r/>
      <w:bookmarkStart w:id="84" w:name="_Toc415"/>
      <w:r>
        <w:rPr>
          <w:rFonts w:hint="eastAsia" w:ascii="宋体" w:hAnsi="宋体" w:cs="Arial"/>
          <w:b/>
          <w:bCs/>
          <w:color w:val="auto"/>
          <w:szCs w:val="21"/>
          <w:highlight w:val="none"/>
        </w:rPr>
        <w:t xml:space="preserve">13.电子投标文件</w:t>
      </w:r>
      <w:bookmarkEnd w:id="79"/>
      <w:r/>
      <w:bookmarkEnd w:id="80"/>
      <w:r/>
      <w:bookmarkEnd w:id="81"/>
      <w:r/>
      <w:bookmarkEnd w:id="82"/>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13.1投标人应当按照规定，在投标截止时间前制作并上传电子投标文件。</w:t>
      </w:r>
      <w:bookmarkStart w:id="85" w:name="_Toc16938542"/>
      <w:r/>
      <w:bookmarkEnd w:id="85"/>
      <w:r/>
      <w:bookmarkStart w:id="86" w:name="_Toc20823298"/>
      <w:r/>
      <w:bookmarkEnd w:id="86"/>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7" w:name="_Toc20823299"/>
      <w:r/>
      <w:bookmarkStart w:id="88" w:name="_Toc16938543"/>
      <w:r/>
      <w:bookmarkStart w:id="89" w:name="_Toc513029227"/>
      <w:r>
        <w:rPr>
          <w:rFonts w:hint="eastAsia" w:ascii="宋体" w:hAnsi="宋体" w:cs="Arial"/>
          <w:b/>
          <w:bCs/>
          <w:color w:val="auto"/>
          <w:szCs w:val="21"/>
          <w:highlight w:val="none"/>
        </w:rPr>
        <w:t xml:space="preserve">15.投标文件</w:t>
      </w:r>
      <w:bookmarkEnd w:id="87"/>
      <w:r/>
      <w:bookmarkEnd w:id="88"/>
      <w:r/>
      <w:bookmarkEnd w:id="89"/>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90" w:name="_Toc20823300"/>
      <w:r/>
      <w:bookmarkStart w:id="91" w:name="_Toc16938544"/>
      <w:r/>
      <w:bookmarkStart w:id="92" w:name="_Toc513029228"/>
      <w:r>
        <w:rPr>
          <w:rFonts w:hint="eastAsia" w:ascii="宋体" w:hAnsi="宋体" w:cs="Arial"/>
          <w:b/>
          <w:bCs/>
          <w:color w:val="auto"/>
          <w:szCs w:val="21"/>
          <w:highlight w:val="none"/>
        </w:rPr>
        <w:t xml:space="preserve">16.投标文件的撤回和修改</w:t>
      </w:r>
      <w:bookmarkEnd w:id="90"/>
      <w:r/>
      <w:bookmarkEnd w:id="91"/>
      <w:r/>
      <w:bookmarkEnd w:id="92"/>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93" w:name="_Toc20683"/>
      <w:r/>
      <w:bookmarkStart w:id="94" w:name="_Toc13829"/>
      <w:r/>
      <w:bookmarkStart w:id="95" w:name="_Toc15345"/>
      <w:r/>
      <w:bookmarkStart w:id="96" w:name="_Toc3679"/>
      <w:r/>
      <w:bookmarkStart w:id="97" w:name="OLE_LINK3"/>
      <w:r/>
      <w:bookmarkStart w:id="98" w:name="OLE_LINK7"/>
      <w:r/>
      <w:bookmarkStart w:id="99" w:name="_Toc6944"/>
      <w:r>
        <w:rPr>
          <w:rFonts w:hint="eastAsia" w:ascii="宋体" w:hAnsi="宋体" w:eastAsia="宋体" w:cs="Arial"/>
          <w:b/>
          <w:bCs/>
          <w:color w:val="auto"/>
          <w:sz w:val="21"/>
          <w:szCs w:val="21"/>
          <w:highlight w:val="none"/>
        </w:rPr>
        <w:t xml:space="preserve">17.开标</w:t>
      </w:r>
      <w:bookmarkEnd w:id="93"/>
      <w:r/>
      <w:bookmarkEnd w:id="94"/>
      <w:r/>
      <w:bookmarkEnd w:id="95"/>
      <w:r/>
      <w:bookmarkEnd w:id="96"/>
      <w:r/>
      <w:bookmarkEnd w:id="97"/>
      <w:r/>
      <w:bookmarkEnd w:id="98"/>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color w:val="auto"/>
          <w:highlight w:val="none"/>
        </w:rPr>
      </w:pPr>
      <w:r>
        <w:rPr>
          <w:rFonts w:hint="eastAsia" w:ascii="宋体" w:hAnsi="宋体" w:cs="Arial"/>
          <w:b/>
          <w:bCs/>
          <w:color w:val="auto"/>
          <w:szCs w:val="21"/>
          <w:highlight w:val="none"/>
        </w:rPr>
        <w:t xml:space="preserve">18.资格性审查：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18.3</w:t>
      </w:r>
      <w:bookmarkEnd w:id="99"/>
      <w:r/>
      <w:bookmarkStart w:id="100" w:name="_Toc30296"/>
      <w:r/>
      <w:bookmarkStart w:id="101" w:name="_Toc29284"/>
      <w:r/>
      <w:bookmarkStart w:id="102" w:name="_Toc20823303"/>
      <w:r/>
      <w:bookmarkStart w:id="103" w:name="_Toc513029231"/>
      <w:r/>
      <w:bookmarkStart w:id="104" w:name="_Toc16938547"/>
      <w:r>
        <w:rPr>
          <w:rFonts w:hint="eastAsia" w:ascii="宋体" w:hAnsi="宋体" w:cs="Arial"/>
          <w:bCs/>
          <w:color w:val="auto"/>
          <w:szCs w:val="21"/>
          <w:highlight w:val="none"/>
        </w:rPr>
        <w:t xml:space="preserve">通过资格性审查合格的投标人不足3家的，不得评标。</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440" w:lineRule="exact"/>
        <w:rPr>
          <w:rFonts w:ascii="Arial" w:hAnsi="Arial" w:cs="Arial"/>
          <w:bCs/>
          <w:color w:val="auto"/>
          <w:highlight w:val="none"/>
        </w:rPr>
      </w:pPr>
      <w:r>
        <w:rPr>
          <w:rFonts w:hint="eastAsia" w:ascii="宋体" w:hAnsi="宋体" w:cs="Arial"/>
          <w:bCs/>
          <w:color w:val="auto"/>
          <w:szCs w:val="21"/>
          <w:highlight w:val="none"/>
        </w:rPr>
        <w:t xml:space="preserve">19.1评</w:t>
      </w:r>
      <w:r>
        <w:rPr>
          <w:rFonts w:hint="eastAsia" w:ascii="Arial" w:hAnsi="Arial" w:cs="Arial"/>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440" w:lineRule="exact"/>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cs="Arial"/>
          <w:b/>
          <w:color w:val="auto"/>
          <w:szCs w:val="21"/>
          <w:highlight w:val="none"/>
        </w:rPr>
      </w:pPr>
      <w:r/>
      <w:bookmarkStart w:id="105" w:name="_Toc16288"/>
      <w:r>
        <w:rPr>
          <w:rFonts w:hint="eastAsia" w:ascii="宋体" w:hAnsi="宋体" w:cs="Arial"/>
          <w:b/>
          <w:color w:val="auto"/>
          <w:szCs w:val="21"/>
          <w:highlight w:val="none"/>
        </w:rPr>
        <w:t xml:space="preserve">19.3 对投标文件的符合性审查</w:t>
      </w:r>
      <w:bookmarkEnd w:id="105"/>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auto"/>
          <w:szCs w:val="21"/>
          <w:highlight w:val="none"/>
        </w:rPr>
        <w:t xml:space="preserve">实质性要求是指本招标文件中用带星号（“★”）说明的商务和技术要求。</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19.3.3.1投标文件正本与副本不符的，以正本为准。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19.3.3.2投标文件报价出现前后不一致的，按照下列规定修正：</w:t>
      </w:r>
      <w:r/>
    </w:p>
    <w:p>
      <w:pPr>
        <w:ind w:firstLine="420"/>
        <w:spacing w:line="360" w:lineRule="auto"/>
        <w:rPr>
          <w:rFonts w:hint="eastAsia"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19.3.4</w:t>
      </w:r>
      <w:r>
        <w:rPr>
          <w:rFonts w:hint="eastAsia" w:hAnsi="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19.3.6评审过程中出现下列情形之一的，评审委员会应当启动异常低价投标（响应）审查程序：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cs="Arial"/>
          <w:bCs/>
          <w:color w:val="auto"/>
          <w:szCs w:val="21"/>
          <w:highlight w:val="none"/>
          <w:lang w:eastAsia="zh-CN"/>
        </w:rPr>
      </w:pPr>
      <w:r>
        <w:rPr>
          <w:rFonts w:hint="eastAsia" w:ascii="宋体" w:hAnsi="宋体" w:cs="Arial"/>
          <w:bCs/>
          <w:color w:val="auto"/>
          <w:szCs w:val="21"/>
          <w:highlight w:val="none"/>
        </w:rPr>
        <w:t xml:space="preserve">19.3.6.3投标（响应）报价低于采购项目最高限价45%的，即投标（响应）报价&lt;采购项目最高限价×45%</w:t>
      </w:r>
      <w:r>
        <w:rPr>
          <w:rFonts w:hint="eastAsia" w:ascii="宋体" w:hAnsi="宋体" w:cs="Arial"/>
          <w:bCs/>
          <w:color w:val="auto"/>
          <w:szCs w:val="21"/>
          <w:highlight w:val="none"/>
          <w:lang w:eastAsia="zh-CN"/>
        </w:rPr>
        <w:t xml:space="preserve">；</w:t>
      </w:r>
      <w:r/>
    </w:p>
    <w:p>
      <w:pPr>
        <w:ind w:firstLine="420"/>
        <w:spacing w:line="360" w:lineRule="auto"/>
        <w:rPr>
          <w:rFonts w:hint="eastAsia" w:ascii="宋体" w:hAnsi="宋体" w:cs="Arial"/>
          <w:bCs/>
          <w:color w:val="auto"/>
          <w:szCs w:val="21"/>
          <w:highlight w:val="none"/>
          <w:lang w:val="en-US" w:eastAsia="zh-CN"/>
        </w:rPr>
      </w:pPr>
      <w:r>
        <w:rPr>
          <w:rFonts w:hint="eastAsia" w:ascii="宋体" w:hAnsi="宋体" w:cs="Arial"/>
          <w:bCs/>
          <w:color w:val="auto"/>
          <w:szCs w:val="21"/>
          <w:highlight w:val="none"/>
          <w:lang w:val="en-US" w:eastAsia="zh-CN"/>
        </w:rPr>
        <w:t xml:space="preserve">19.3.6.4评审委员会基于专业判断，认为供应商报价过低，有可能影响产品质量或者不能诚信履约的其他情形。</w:t>
      </w:r>
      <w:r/>
    </w:p>
    <w:p>
      <w:pPr>
        <w:ind w:firstLine="420"/>
        <w:spacing w:line="360" w:lineRule="auto"/>
        <w:rPr>
          <w:color w:val="auto"/>
          <w:highlight w:val="none"/>
        </w:rPr>
      </w:pPr>
      <w:r>
        <w:rPr>
          <w:rFonts w:hint="eastAsia" w:ascii="宋体" w:hAnsi="宋体" w:cs="Arial"/>
          <w:bCs/>
          <w:color w:val="auto"/>
          <w:szCs w:val="21"/>
          <w:highlight w:val="none"/>
        </w:rPr>
        <w:t xml:space="preserve">启动异常低价投标（响应）审查后，评审委员会应当要求相关供应商在评标现场合理的时间内</w:t>
      </w:r>
      <w:r>
        <w:rPr>
          <w:rFonts w:hint="eastAsia" w:ascii="宋体" w:hAnsi="宋体" w:cs="Arial"/>
          <w:bCs/>
          <w:color w:val="auto"/>
          <w:szCs w:val="21"/>
          <w:highlight w:val="none"/>
          <w:lang w:eastAsia="zh-CN"/>
        </w:rPr>
        <w:t xml:space="preserve">（30分钟）</w:t>
      </w:r>
      <w:r>
        <w:rPr>
          <w:rFonts w:hint="eastAsia" w:ascii="宋体" w:hAnsi="宋体" w:cs="Arial"/>
          <w:bCs/>
          <w:color w:val="auto"/>
          <w:szCs w:val="21"/>
          <w:highlight w:val="none"/>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 应当在评审报告中进行记录。</w:t>
      </w:r>
      <w:bookmarkEnd w:id="100"/>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106" w:name="_Toc26857"/>
      <w:r/>
      <w:bookmarkStart w:id="107" w:name="_Toc13685"/>
      <w:r>
        <w:rPr>
          <w:rFonts w:hint="eastAsia" w:ascii="宋体" w:hAnsi="宋体" w:eastAsia="宋体" w:cs="Arial"/>
          <w:b/>
          <w:bCs/>
          <w:color w:val="auto"/>
          <w:sz w:val="21"/>
          <w:szCs w:val="21"/>
          <w:highlight w:val="none"/>
        </w:rPr>
        <w:t xml:space="preserve">19.4投标文件的澄清</w:t>
      </w:r>
      <w:bookmarkEnd w:id="106"/>
      <w:r>
        <w:rPr>
          <w:rFonts w:hint="eastAsia" w:ascii="宋体" w:hAnsi="宋体" w:eastAsia="宋体" w:cs="Arial"/>
          <w:b/>
          <w:bCs/>
          <w:color w:val="auto"/>
          <w:sz w:val="21"/>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7"/>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15</w:t>
      </w:r>
      <w:r>
        <w:rPr>
          <w:rFonts w:hAnsi="宋体"/>
          <w:color w:val="auto"/>
          <w:szCs w:val="21"/>
          <w:highlight w:val="none"/>
        </w:rPr>
        <w:t xml:space="preserve">）提供虚假材料的（包括工商营业执照、财务报表、资格证明文件等）；</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16</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19</w:t>
      </w:r>
      <w:r>
        <w:rPr>
          <w:rFonts w:hAnsi="宋体"/>
          <w:color w:val="auto"/>
          <w:szCs w:val="21"/>
          <w:highlight w:val="none"/>
        </w:rPr>
        <w:t xml:space="preserve">）</w:t>
      </w:r>
      <w:r>
        <w:rPr>
          <w:rFonts w:hint="eastAsia" w:hAnsi="宋体"/>
          <w:color w:val="auto"/>
          <w:szCs w:val="21"/>
          <w:highlight w:val="none"/>
        </w:rPr>
        <w:t xml:space="preserve">投标人所投标产品不符合招标文件中所列国家强制性标准的；</w:t>
      </w:r>
      <w:r/>
    </w:p>
    <w:p>
      <w:pPr>
        <w:ind w:firstLine="420"/>
        <w:jc w:val="left"/>
        <w:spacing w:line="360" w:lineRule="auto"/>
        <w:shd w:val="clear" w:color="auto" w:fill="ffffff"/>
        <w:widowControl/>
        <w:rPr>
          <w:color w:val="auto"/>
          <w:szCs w:val="21"/>
          <w:highlight w:val="none"/>
        </w:rPr>
      </w:pPr>
      <w:r>
        <w:rPr>
          <w:rFonts w:hint="eastAsia" w:hAnsi="宋体"/>
          <w:color w:val="auto"/>
          <w:szCs w:val="21"/>
          <w:highlight w:val="none"/>
        </w:rPr>
        <w:t xml:space="preserve">（20）</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440" w:lineRule="exact"/>
        <w:rPr>
          <w:color w:val="auto"/>
          <w:highlight w:val="none"/>
        </w:rPr>
      </w:pPr>
      <w:r>
        <w:rPr>
          <w:rFonts w:ascii="Arial" w:hAnsi="Arial" w:cs="Arial"/>
          <w:bCs/>
          <w:color w:val="auto"/>
          <w:highlight w:val="none"/>
        </w:rPr>
        <w:t xml:space="preserve">（4）</w:t>
      </w:r>
      <w:r>
        <w:rPr>
          <w:rFonts w:hint="eastAsia" w:ascii="Arial" w:hAnsi="Arial" w:cs="Arial"/>
          <w:bCs/>
          <w:color w:val="auto"/>
          <w:highlight w:val="none"/>
        </w:rPr>
        <w:t xml:space="preserve">评标委员会认定</w:t>
      </w:r>
      <w:r>
        <w:rPr>
          <w:rFonts w:hint="eastAsia" w:ascii="Arial" w:hAnsi="Arial" w:cs="Arial"/>
          <w:bCs/>
          <w:color w:val="auto"/>
          <w:highlight w:val="none"/>
          <w:lang w:val="en-US" w:eastAsia="zh-CN"/>
        </w:rPr>
        <w:t xml:space="preserve">招</w:t>
      </w:r>
      <w:r>
        <w:rPr>
          <w:rFonts w:hint="eastAsia" w:ascii="Arial" w:hAnsi="Arial" w:cs="Arial"/>
          <w:bCs/>
          <w:color w:val="auto"/>
          <w:highlight w:val="none"/>
        </w:rPr>
        <w:t xml:space="preserve">文件存在歧义、重大缺陷</w:t>
      </w:r>
      <w:r>
        <w:rPr>
          <w:rFonts w:ascii="Arial" w:hAnsi="Arial" w:cs="Arial"/>
          <w:bCs/>
          <w:color w:val="auto"/>
          <w:highlight w:val="none"/>
        </w:rPr>
        <w:t xml:space="preserve">导致评审工作无法进行的</w:t>
      </w:r>
      <w:r>
        <w:rPr>
          <w:rFonts w:hint="eastAsia" w:ascii="Arial" w:hAnsi="Arial" w:cs="Arial"/>
          <w:bCs/>
          <w:color w:val="auto"/>
          <w:highlight w:val="none"/>
        </w:rPr>
        <w:t xml:space="preserve">，或者招标文件内容违反国家有关强制性规定的</w:t>
      </w:r>
      <w:r>
        <w:rPr>
          <w:rFonts w:ascii="Arial" w:hAnsi="Arial" w:cs="Arial"/>
          <w:bCs/>
          <w:color w:val="auto"/>
          <w:highlight w:val="none"/>
        </w:rPr>
        <w:t xml:space="preserve">。</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01"/>
      <w:r/>
      <w:bookmarkEnd w:id="102"/>
      <w:r/>
      <w:bookmarkEnd w:id="103"/>
      <w:r/>
      <w:bookmarkEnd w:id="104"/>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08" w:name="_Toc12294"/>
      <w:r/>
      <w:bookmarkStart w:id="109" w:name="_Toc18327"/>
      <w:r>
        <w:rPr>
          <w:rFonts w:ascii="宋体" w:hAnsi="宋体" w:cs="Arial"/>
          <w:b/>
          <w:bCs/>
          <w:color w:val="auto"/>
          <w:szCs w:val="21"/>
          <w:highlight w:val="none"/>
        </w:rPr>
        <w:t xml:space="preserve">六、授标</w:t>
      </w:r>
      <w:bookmarkEnd w:id="108"/>
      <w:r/>
      <w:bookmarkEnd w:id="109"/>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110" w:name="_Toc28693"/>
      <w:r/>
      <w:bookmarkStart w:id="111" w:name="_Toc27522"/>
      <w:r>
        <w:rPr>
          <w:rFonts w:hint="eastAsia" w:ascii="宋体" w:hAnsi="宋体" w:eastAsia="宋体" w:cs="Arial"/>
          <w:b/>
          <w:bCs/>
          <w:color w:val="auto"/>
          <w:sz w:val="21"/>
          <w:szCs w:val="21"/>
          <w:highlight w:val="none"/>
        </w:rPr>
        <w:t xml:space="preserve">20.确定中标</w:t>
      </w:r>
      <w:bookmarkEnd w:id="110"/>
      <w:r>
        <w:rPr>
          <w:rFonts w:hint="eastAsia" w:ascii="宋体" w:hAnsi="宋体" w:eastAsia="宋体" w:cs="Arial"/>
          <w:b/>
          <w:bCs/>
          <w:color w:val="auto"/>
          <w:sz w:val="21"/>
          <w:szCs w:val="21"/>
          <w:highlight w:val="none"/>
        </w:rPr>
        <w:t xml:space="preserve">供应商</w:t>
      </w:r>
      <w:bookmarkEnd w:id="111"/>
      <w:r/>
      <w:bookmarkStart w:id="112" w:name="_Toc7377"/>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在南京公共采购信息网</w:t>
      </w:r>
      <w:r>
        <w:rPr>
          <w:rStyle w:val="1158"/>
          <w:rFonts w:hint="eastAsia" w:cs="Arial"/>
          <w:b w:val="0"/>
          <w:color w:val="auto"/>
          <w:highlight w:val="none"/>
        </w:rPr>
        <w:t xml:space="preserve">、</w:t>
      </w:r>
      <w:r>
        <w:rPr>
          <w:rFonts w:hint="eastAsia" w:hAnsi="宋体"/>
          <w:color w:val="auto"/>
          <w:szCs w:val="21"/>
          <w:highlight w:val="none"/>
        </w:rPr>
        <w:t xml:space="preserve">江苏政府采购网</w:t>
      </w:r>
      <w:r>
        <w:rPr>
          <w:rFonts w:hAnsi="宋体"/>
          <w:color w:val="auto"/>
          <w:szCs w:val="21"/>
          <w:highlight w:val="none"/>
        </w:rPr>
        <w:t xml:space="preserve">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int="eastAsia"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12"/>
      <w:r/>
      <w:r/>
    </w:p>
    <w:p>
      <w:pPr>
        <w:pStyle w:val="1111"/>
        <w:ind w:left="420" w:firstLine="0"/>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23.招标代理服务费</w:t>
      </w:r>
      <w:bookmarkEnd w:id="83"/>
      <w:r/>
      <w:bookmarkEnd w:id="84"/>
      <w:r/>
      <w:r/>
    </w:p>
    <w:p>
      <w:pPr>
        <w:spacing w:line="360" w:lineRule="auto"/>
        <w:rPr>
          <w:rFonts w:hint="eastAsia"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color w:val="auto"/>
          <w:szCs w:val="21"/>
          <w:highlight w:val="none"/>
          <w:lang w:val="zh-CN"/>
        </w:rPr>
        <w:t xml:space="preserve">领取中标通知时，中标人向采购代理机构一次性付清。</w:t>
      </w:r>
      <w:r/>
    </w:p>
    <w:p>
      <w:pPr>
        <w:pStyle w:val="938"/>
        <w:ind w:firstLine="420"/>
        <w:spacing w:line="360" w:lineRule="auto"/>
        <w:rPr>
          <w:rFonts w:hint="eastAsia" w:hAnsi="宋体"/>
          <w:color w:val="auto"/>
          <w:szCs w:val="21"/>
          <w:highlight w:val="none"/>
        </w:rPr>
      </w:pP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2</w:t>
      </w:r>
      <w:r>
        <w:rPr>
          <w:rFonts w:hAnsi="宋体"/>
          <w:color w:val="auto"/>
          <w:szCs w:val="21"/>
          <w:highlight w:val="none"/>
        </w:rPr>
        <w:t xml:space="preserve">招标代理服务费：本次招标，中标人</w:t>
      </w:r>
      <w:r>
        <w:rPr>
          <w:rFonts w:hint="eastAsia" w:hAnsi="宋体"/>
          <w:color w:val="auto"/>
          <w:szCs w:val="21"/>
          <w:highlight w:val="none"/>
        </w:rPr>
        <w:t xml:space="preserve">按照本项目</w:t>
      </w:r>
      <w:r>
        <w:rPr>
          <w:rFonts w:hint="eastAsia" w:hAnsi="宋体"/>
          <w:color w:val="auto"/>
          <w:szCs w:val="21"/>
          <w:highlight w:val="none"/>
          <w:lang w:val="en-US" w:eastAsia="zh-CN"/>
        </w:rPr>
        <w:t xml:space="preserve">中标金额</w:t>
      </w:r>
      <w:r>
        <w:rPr>
          <w:rFonts w:hAnsi="宋体"/>
          <w:color w:val="auto"/>
          <w:szCs w:val="21"/>
          <w:highlight w:val="none"/>
        </w:rPr>
        <w:t xml:space="preserve">参照</w:t>
      </w:r>
      <w:r>
        <w:rPr>
          <w:rFonts w:hint="eastAsia" w:hAnsi="宋体"/>
          <w:color w:val="auto"/>
          <w:szCs w:val="21"/>
          <w:highlight w:val="none"/>
        </w:rPr>
        <w:t xml:space="preserve">如下收费标准，</w:t>
      </w:r>
      <w:r>
        <w:rPr>
          <w:rFonts w:hAnsi="宋体"/>
          <w:color w:val="auto"/>
          <w:szCs w:val="21"/>
          <w:highlight w:val="none"/>
        </w:rPr>
        <w:t xml:space="preserve">各投标供应商应将招标代理服务费自行考虑包含在投标报价中，本项费用无需在投标报价表中单列。</w:t>
      </w:r>
      <w:r/>
    </w:p>
    <w:tbl>
      <w:tblPr>
        <w:tblStyle w:val="927"/>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b/>
                <w:bCs/>
                <w:color w:val="auto"/>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ascii="宋体" w:hAnsi="宋体" w:cs="Arial"/>
                <w:b/>
                <w:bCs/>
                <w:color w:val="auto"/>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ascii="宋体" w:hAnsi="宋体" w:cs="Arial"/>
                <w:b/>
                <w:bCs/>
                <w:color w:val="auto"/>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b/>
                <w:bCs/>
                <w:color w:val="auto"/>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b/>
                <w:bCs/>
                <w:color w:val="auto"/>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0.004%</w:t>
            </w:r>
            <w:r/>
          </w:p>
        </w:tc>
      </w:tr>
    </w:tbl>
    <w:p>
      <w:pPr>
        <w:pStyle w:val="938"/>
        <w:spacing w:line="360" w:lineRule="auto"/>
        <w:rPr>
          <w:rFonts w:hint="eastAsia" w:hAnsi="宋体"/>
          <w:color w:val="auto"/>
          <w:szCs w:val="21"/>
          <w:highlight w:val="none"/>
        </w:rPr>
      </w:pPr>
      <w:r>
        <w:rPr>
          <w:rFonts w:hint="eastAsia" w:hAnsi="宋体" w:cs="Arial"/>
          <w:bCs/>
          <w:color w:val="auto"/>
          <w:szCs w:val="21"/>
          <w:highlight w:val="none"/>
        </w:rPr>
        <w:t xml:space="preserve">       </w:t>
      </w: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3</w:t>
      </w:r>
      <w:r>
        <w:rPr>
          <w:rFonts w:hAnsi="宋体"/>
          <w:color w:val="auto"/>
          <w:szCs w:val="21"/>
          <w:highlight w:val="none"/>
        </w:rPr>
        <w:t xml:space="preserve">服务费交纳账户：</w:t>
      </w:r>
      <w:r>
        <w:rPr>
          <w:rFonts w:hint="eastAsia" w:hAnsi="宋体"/>
          <w:color w:val="auto"/>
          <w:szCs w:val="21"/>
          <w:highlight w:val="none"/>
        </w:rPr>
        <w:t xml:space="preserve">苏美达国际技术贸易有限公司</w:t>
      </w:r>
      <w:r/>
    </w:p>
    <w:p>
      <w:pPr>
        <w:pStyle w:val="938"/>
        <w:ind w:firstLine="840"/>
        <w:spacing w:line="360" w:lineRule="auto"/>
        <w:rPr>
          <w:rFonts w:hint="eastAsia" w:hAnsi="宋体"/>
          <w:color w:val="auto"/>
          <w:szCs w:val="21"/>
          <w:highlight w:val="none"/>
        </w:rPr>
      </w:pPr>
      <w:r>
        <w:rPr>
          <w:rFonts w:hAnsi="宋体"/>
          <w:color w:val="auto"/>
          <w:szCs w:val="21"/>
          <w:highlight w:val="none"/>
        </w:rPr>
        <w:t xml:space="preserve">账号：</w:t>
      </w:r>
      <w:r>
        <w:rPr>
          <w:rFonts w:hint="eastAsia" w:hAnsi="宋体"/>
          <w:color w:val="auto"/>
          <w:szCs w:val="21"/>
          <w:highlight w:val="none"/>
        </w:rPr>
        <w:t xml:space="preserve">7321010182300013675　　　</w:t>
      </w:r>
      <w:r/>
    </w:p>
    <w:p>
      <w:pPr>
        <w:pStyle w:val="1154"/>
        <w:ind w:firstLine="840"/>
        <w:rPr>
          <w:rFonts w:hint="eastAsia" w:ascii="宋体" w:hAnsi="宋体"/>
          <w:color w:val="auto"/>
          <w:sz w:val="21"/>
          <w:highlight w:val="none"/>
        </w:rPr>
      </w:pPr>
      <w:r>
        <w:rPr>
          <w:rFonts w:ascii="宋体" w:hAnsi="宋体"/>
          <w:color w:val="auto"/>
          <w:sz w:val="21"/>
          <w:highlight w:val="none"/>
        </w:rPr>
        <w:t xml:space="preserve">开户银行：</w:t>
      </w:r>
      <w:r>
        <w:rPr>
          <w:rFonts w:hint="eastAsia" w:ascii="宋体" w:hAnsi="宋体"/>
          <w:color w:val="auto"/>
          <w:sz w:val="21"/>
          <w:highlight w:val="none"/>
        </w:rPr>
        <w:t xml:space="preserve">中信南京分行营业部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13" w:name="_Toc5784"/>
      <w:r>
        <w:rPr>
          <w:rFonts w:ascii="宋体" w:hAnsi="宋体" w:cs="Arial"/>
          <w:b/>
          <w:bCs/>
          <w:color w:val="auto"/>
          <w:szCs w:val="21"/>
          <w:highlight w:val="none"/>
        </w:rPr>
        <w:t xml:space="preserve">七、质疑</w:t>
      </w:r>
      <w:bookmarkEnd w:id="113"/>
      <w:r>
        <w:rPr>
          <w:rFonts w:ascii="宋体" w:hAnsi="宋体" w:cs="Arial"/>
          <w:b/>
          <w:bCs/>
          <w:color w:val="auto"/>
          <w:szCs w:val="21"/>
          <w:highlight w:val="none"/>
        </w:rPr>
        <w:t xml:space="preserve">和投诉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.1供应商对招标活动事项有疑问的，可以向采购代理机构提出询问，采购代理机构将依法作出答复，但答复的内容不涉及商业秘密</w:t>
      </w:r>
      <w:r>
        <w:rPr>
          <w:rFonts w:ascii="宋体" w:hAnsi="宋体"/>
          <w:b/>
          <w:bCs/>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auto"/>
          <w:szCs w:val="21"/>
          <w:highlight w:val="none"/>
        </w:rPr>
        <w:t xml:space="preserve">，质疑一次性提出</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auto"/>
          <w:szCs w:val="21"/>
          <w:highlight w:val="none"/>
        </w:rPr>
        <w:t xml:space="preserve">修改理由</w:t>
      </w:r>
      <w:r>
        <w:rPr>
          <w:rFonts w:ascii="宋体" w:hAnsi="宋体"/>
          <w:color w:val="auto"/>
          <w:szCs w:val="21"/>
          <w:highlight w:val="none"/>
        </w:rPr>
        <w:t xml:space="preserve">和</w:t>
      </w:r>
      <w:r>
        <w:rPr>
          <w:rFonts w:ascii="宋体" w:hAnsi="宋体"/>
          <w:b/>
          <w:bCs/>
          <w:color w:val="auto"/>
          <w:szCs w:val="21"/>
          <w:highlight w:val="none"/>
        </w:rPr>
        <w:t xml:space="preserve">修改建议</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.6采购代理机构在收到投标商的书面质疑后将及时组织调查核实，在</w:t>
      </w:r>
      <w:r>
        <w:rPr>
          <w:rFonts w:ascii="宋体" w:hAnsi="宋体"/>
          <w:b/>
          <w:bCs/>
          <w:color w:val="auto"/>
          <w:szCs w:val="21"/>
          <w:highlight w:val="none"/>
        </w:rPr>
        <w:t xml:space="preserve">七个工作日内</w:t>
      </w:r>
      <w:r>
        <w:rPr>
          <w:rFonts w:ascii="宋体" w:hAnsi="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hint="eastAsia"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jc w:val="center"/>
        <w:spacing w:line="360" w:lineRule="auto"/>
        <w:shd w:val="clear" w:color="auto" w:fill="ffffff"/>
        <w:widowControl/>
        <w:rPr>
          <w:rFonts w:ascii="Arial" w:hAnsi="Arial" w:eastAsia="黑体" w:cs="Arial"/>
          <w:b/>
          <w:color w:val="auto"/>
          <w:sz w:val="28"/>
          <w:szCs w:val="28"/>
          <w:highlight w:val="none"/>
        </w:rPr>
      </w:pPr>
      <w:r/>
      <w:bookmarkStart w:id="114" w:name="_Toc668"/>
      <w:r/>
      <w:r/>
    </w:p>
    <w:p>
      <w:pPr>
        <w:ind w:firstLine="420"/>
        <w:jc w:val="center"/>
        <w:spacing w:line="360" w:lineRule="auto"/>
        <w:shd w:val="clear" w:color="auto" w:fill="ffffff"/>
        <w:widowControl/>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420"/>
        <w:jc w:val="center"/>
        <w:spacing w:line="360" w:lineRule="auto"/>
        <w:shd w:val="clear" w:color="auto" w:fill="ffffff"/>
        <w:widowControl/>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420"/>
        <w:jc w:val="center"/>
        <w:spacing w:line="360" w:lineRule="auto"/>
        <w:shd w:val="clear" w:color="auto" w:fill="ffffff"/>
        <w:widowControl/>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4"/>
      <w:r>
        <w:rPr>
          <w:rFonts w:eastAsia="黑体"/>
          <w:b/>
          <w:bCs/>
          <w:color w:val="auto"/>
          <w:sz w:val="32"/>
          <w:szCs w:val="32"/>
          <w:highlight w:val="none"/>
        </w:rPr>
        <w:t xml:space="preserve">评标方法、评分标准</w:t>
      </w:r>
      <w:bookmarkStart w:id="115" w:name="_Toc11059"/>
      <w:r/>
      <w:r/>
    </w:p>
    <w:p>
      <w:pPr>
        <w:pStyle w:val="938"/>
        <w:ind w:firstLine="420"/>
        <w:spacing w:line="480" w:lineRule="auto"/>
        <w:rPr>
          <w:rFonts w:hint="eastAsia" w:hAnsi="宋体"/>
          <w:color w:val="auto"/>
          <w:szCs w:val="21"/>
          <w:highlight w:val="none"/>
        </w:rPr>
      </w:pPr>
      <w:r>
        <w:rPr>
          <w:rFonts w:hAnsi="宋体"/>
          <w:color w:val="auto"/>
          <w:szCs w:val="21"/>
          <w:highlight w:val="none"/>
        </w:rPr>
        <w:t xml:space="preserve">一、评标办法：</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lang w:val="en-US" w:eastAsia="zh-CN"/>
        </w:rPr>
        <w:t xml:space="preserve">30</w:t>
      </w:r>
      <w:r>
        <w:rPr>
          <w:rFonts w:hAnsi="宋体"/>
          <w:color w:val="auto"/>
          <w:szCs w:val="21"/>
          <w:highlight w:val="none"/>
        </w:rPr>
        <w:t xml:space="preserve">%（权重），技术与质量及其它占</w:t>
      </w:r>
      <w:r>
        <w:rPr>
          <w:rFonts w:hint="eastAsia" w:hAnsi="宋体"/>
          <w:color w:val="auto"/>
          <w:szCs w:val="21"/>
          <w:highlight w:val="none"/>
          <w:lang w:val="en-US" w:eastAsia="zh-CN"/>
        </w:rPr>
        <w:t xml:space="preserve">70</w:t>
      </w:r>
      <w:r>
        <w:rPr>
          <w:rFonts w:hAnsi="宋体"/>
          <w:color w:val="auto"/>
          <w:szCs w:val="21"/>
          <w:highlight w:val="none"/>
        </w:rPr>
        <w:t xml:space="preserve">%（权重）。（保留小数点后2位）</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①对小型和微型企业</w:t>
      </w:r>
      <w:r>
        <w:rPr>
          <w:rFonts w:hint="eastAsia" w:hAnsi="宋体"/>
          <w:color w:val="auto"/>
          <w:szCs w:val="21"/>
          <w:highlight w:val="none"/>
          <w:lang w:val="en-US" w:eastAsia="zh-CN"/>
        </w:rPr>
        <w:t xml:space="preserve">服务</w:t>
      </w:r>
      <w:r>
        <w:rPr>
          <w:rFonts w:hint="eastAsia" w:hAnsi="宋体"/>
          <w:color w:val="auto"/>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②监狱企业视同小型、微型企业，对其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③残疾人福利性单位视同小型、微型企业，对其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38"/>
        <w:ind w:firstLine="420"/>
        <w:spacing w:line="360" w:lineRule="auto"/>
        <w:rPr>
          <w:rFonts w:hint="eastAsia" w:hAnsi="宋体"/>
          <w:color w:val="auto"/>
          <w:szCs w:val="21"/>
          <w:highlight w:val="none"/>
        </w:rPr>
      </w:pPr>
      <w:r>
        <w:rPr>
          <w:rFonts w:hint="eastAsia" w:hAnsi="宋体"/>
          <w:color w:val="auto"/>
          <w:szCs w:val="21"/>
          <w:highlight w:val="none"/>
        </w:rPr>
        <w:t xml:space="preserve">同一投标人，上述三项价格扣除优惠不得重复享受。</w:t>
      </w:r>
      <w:r/>
    </w:p>
    <w:p>
      <w:pPr>
        <w:pStyle w:val="938"/>
        <w:ind w:firstLine="420"/>
        <w:spacing w:line="360" w:lineRule="auto"/>
        <w:rPr>
          <w:rFonts w:hint="eastAsia"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tbl>
      <w:tblPr>
        <w:tblStyle w:val="927"/>
        <w:tblW w:w="9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after="0"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tc>
        <w:tc>
          <w:tcPr>
            <w:tcBorders>
              <w:top w:val="single" w:color="auto" w:sz="4" w:space="0"/>
              <w:bottom w:val="single" w:color="auto" w:sz="4" w:space="0"/>
              <w:right w:val="single" w:color="auto" w:sz="4" w:space="0"/>
            </w:tcBorders>
            <w:tcW w:w="6874" w:type="dxa"/>
            <w:vAlign w:val="center"/>
            <w:textDirection w:val="lrTb"/>
            <w:noWrap w:val="false"/>
          </w:tcPr>
          <w:p>
            <w:pPr>
              <w:jc w:val="center"/>
              <w:spacing w:after="0"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价格分</w:t>
            </w:r>
            <w:r/>
          </w:p>
        </w:tc>
        <w:tc>
          <w:tcPr>
            <w:tcBorders>
              <w:top w:val="single" w:color="auto" w:sz="4" w:space="0"/>
              <w:bottom w:val="single" w:color="auto" w:sz="4" w:space="0"/>
              <w:right w:val="single" w:color="auto" w:sz="4" w:space="0"/>
            </w:tcBorders>
            <w:tcW w:w="6874" w:type="dxa"/>
            <w:vAlign w:val="center"/>
            <w:textDirection w:val="lrTb"/>
            <w:noWrap w:val="false"/>
          </w:tcPr>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采用低价优先法计算，即满足采购文件要求且优惠率最高的，作为评标基准优惠率，其价格分为满分30分。</w:t>
            </w:r>
            <w:r/>
          </w:p>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其他投标人的价格分统一按照下列公式计算:价格得分=【（1-评标基准优惠率）/（1-评审优惠率）】×30（小数点保留两位）</w:t>
            </w:r>
            <w:r/>
          </w:p>
          <w:p>
            <w:pPr>
              <w:contextualSpacing/>
              <w:spacing w:after="0" w:line="320" w:lineRule="exac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说明:1、本项目将使用供应商填报的网上价格优惠率和线下价格优惠率计算评审优惠率（其中网上价格占比30%，线下价格占比70%）。评审优惠率=网上价格优惠率</w:t>
            </w:r>
            <w:r>
              <w:rPr>
                <w:rFonts w:hint="default" w:ascii="Arial" w:hAnsi="Arial" w:eastAsia="宋体" w:cs="Arial"/>
                <w:b/>
                <w:bCs/>
                <w:sz w:val="21"/>
                <w:szCs w:val="21"/>
                <w:highlight w:val="none"/>
                <w:lang w:eastAsia="zh-CN"/>
              </w:rPr>
              <w:t xml:space="preserve">×</w:t>
            </w:r>
            <w:r>
              <w:rPr>
                <w:rFonts w:hint="eastAsia" w:ascii="宋体" w:hAnsi="宋体" w:eastAsia="宋体" w:cs="宋体"/>
                <w:b/>
                <w:bCs/>
                <w:sz w:val="21"/>
                <w:szCs w:val="21"/>
                <w:highlight w:val="none"/>
                <w:lang w:eastAsia="zh-CN"/>
              </w:rPr>
              <w:t xml:space="preserve">30%+线下价格优惠率</w:t>
            </w:r>
            <w:r>
              <w:rPr>
                <w:rFonts w:hint="default" w:ascii="Arial" w:hAnsi="Arial" w:eastAsia="宋体" w:cs="Arial"/>
                <w:b/>
                <w:bCs/>
                <w:sz w:val="21"/>
                <w:szCs w:val="21"/>
                <w:highlight w:val="none"/>
                <w:lang w:eastAsia="zh-CN"/>
              </w:rPr>
              <w:t xml:space="preserve">×</w:t>
            </w:r>
            <w:r>
              <w:rPr>
                <w:rFonts w:hint="eastAsia" w:ascii="宋体" w:hAnsi="宋体" w:eastAsia="宋体" w:cs="宋体"/>
                <w:b/>
                <w:bCs/>
                <w:sz w:val="21"/>
                <w:szCs w:val="21"/>
                <w:highlight w:val="none"/>
                <w:lang w:eastAsia="zh-CN"/>
              </w:rPr>
              <w:t xml:space="preserve">70%</w:t>
            </w:r>
            <w:r/>
          </w:p>
          <w:p>
            <w:pPr>
              <w:contextualSpacing/>
              <w:spacing w:after="0" w:line="320" w:lineRule="exac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2、例如:供应商在本次项目中网上结算价格优惠率为20%（即8折），线下价格优惠率40%（即6折），则评审优惠率=20%</w:t>
            </w:r>
            <w:r>
              <w:rPr>
                <w:rFonts w:hint="default" w:ascii="Arial" w:hAnsi="Arial" w:eastAsia="宋体" w:cs="Arial"/>
                <w:b/>
                <w:bCs/>
                <w:sz w:val="21"/>
                <w:szCs w:val="21"/>
                <w:highlight w:val="none"/>
                <w:lang w:eastAsia="zh-CN"/>
              </w:rPr>
              <w:t xml:space="preserve">×</w:t>
            </w:r>
            <w:r>
              <w:rPr>
                <w:rFonts w:hint="eastAsia" w:ascii="宋体" w:hAnsi="宋体" w:eastAsia="宋体" w:cs="宋体"/>
                <w:b/>
                <w:bCs/>
                <w:sz w:val="21"/>
                <w:szCs w:val="21"/>
                <w:highlight w:val="none"/>
                <w:lang w:eastAsia="zh-CN"/>
              </w:rPr>
              <w:t xml:space="preserve">30%+40%</w:t>
            </w:r>
            <w:r>
              <w:rPr>
                <w:rFonts w:hint="default" w:ascii="Arial" w:hAnsi="Arial" w:eastAsia="宋体" w:cs="Arial"/>
                <w:b/>
                <w:bCs/>
                <w:sz w:val="21"/>
                <w:szCs w:val="21"/>
                <w:highlight w:val="none"/>
                <w:lang w:eastAsia="zh-CN"/>
              </w:rPr>
              <w:t xml:space="preserve">×</w:t>
            </w:r>
            <w:r>
              <w:rPr>
                <w:rFonts w:hint="eastAsia" w:ascii="宋体" w:hAnsi="宋体" w:eastAsia="宋体" w:cs="宋体"/>
                <w:b/>
                <w:bCs/>
                <w:sz w:val="21"/>
                <w:szCs w:val="21"/>
                <w:highlight w:val="none"/>
                <w:lang w:eastAsia="zh-CN"/>
              </w:rPr>
              <w:t xml:space="preserve">70%=6%+28%=34%。在政府采购系统中优惠率应填写 34%。</w:t>
            </w:r>
            <w:r/>
          </w:p>
          <w:p>
            <w:pPr>
              <w:spacing w:after="0" w:line="320" w:lineRule="exac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3、供应商应按公式要求认真测算，避免填报错误，否则评委会有权按照本评分办法规定的计算公式及供应商分项报价表填报的网上价格优惠率和线下价格优惠率对评审优惠率进行修正。★修正后的优惠率经投标人确认后产生约束力，投标人不确认的，其投标无效。</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（3分）</w:t>
            </w:r>
            <w:r/>
          </w:p>
        </w:tc>
        <w:tc>
          <w:tcPr>
            <w:tcBorders>
              <w:top w:val="single" w:color="auto" w:sz="4" w:space="0"/>
              <w:bottom w:val="single" w:color="auto" w:sz="4" w:space="0"/>
              <w:right w:val="single" w:color="auto" w:sz="4" w:space="0"/>
            </w:tcBorders>
            <w:tcW w:w="6874" w:type="dxa"/>
            <w:vAlign w:val="center"/>
            <w:textDirection w:val="lrTb"/>
            <w:noWrap w:val="false"/>
          </w:tcPr>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提供自2023年1月1日（以合同签订时间为准）起，投标人签订的同类</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肉类)</w:t>
            </w:r>
            <w:r>
              <w:rPr>
                <w:rFonts w:hint="eastAsia" w:ascii="宋体" w:hAnsi="宋体" w:eastAsia="宋体" w:cs="宋体"/>
                <w:sz w:val="21"/>
                <w:szCs w:val="21"/>
                <w:highlight w:val="none"/>
                <w:lang w:eastAsia="zh-CN"/>
              </w:rPr>
              <w:t xml:space="preserve">项目食材配送合同，提供合同</w:t>
            </w:r>
            <w:r>
              <w:rPr>
                <w:rFonts w:hint="eastAsia" w:ascii="宋体" w:hAnsi="宋体" w:cs="宋体"/>
                <w:sz w:val="21"/>
                <w:szCs w:val="21"/>
                <w:highlight w:val="none"/>
                <w:lang w:val="en-US" w:eastAsia="zh-CN"/>
              </w:rPr>
              <w:t xml:space="preserve">扫描件</w:t>
            </w:r>
            <w:r>
              <w:rPr>
                <w:rFonts w:hint="eastAsia" w:ascii="宋体" w:hAnsi="宋体" w:eastAsia="宋体" w:cs="宋体"/>
                <w:sz w:val="21"/>
                <w:szCs w:val="21"/>
                <w:highlight w:val="none"/>
                <w:lang w:eastAsia="zh-CN"/>
              </w:rPr>
              <w:t xml:space="preserve">（合同中购销双方名称、公章，合同内容等关键信息必须清晰可见，否则为无效合同），每提供一份得1分，最多得3分。</w:t>
            </w:r>
            <w:r/>
          </w:p>
        </w:tc>
        <w:tc>
          <w:tcPr>
            <w:tcBorders>
              <w:top w:val="single" w:color="auto" w:sz="4" w:space="0"/>
              <w:bottom w:val="single" w:color="auto" w:sz="4" w:space="0"/>
              <w:right w:val="single" w:color="auto" w:sz="4" w:space="0"/>
            </w:tcBorders>
            <w:tcW w:w="766" w:type="dxa"/>
            <w:vAlign w:val="center"/>
            <w:textDirection w:val="lrTb"/>
            <w:noWrap w:val="false"/>
          </w:tcPr>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p>
        </w:tc>
      </w:tr>
      <w:tr>
        <w:trPr>
          <w:trHeight w:val="49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技术响应</w:t>
            </w:r>
            <w:r/>
          </w:p>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c>
          <w:tcPr>
            <w:tcBorders>
              <w:top w:val="single" w:color="auto" w:sz="4" w:space="0"/>
              <w:bottom w:val="single" w:color="auto" w:sz="4" w:space="0"/>
              <w:right w:val="single" w:color="auto" w:sz="4" w:space="0"/>
            </w:tcBorders>
            <w:tcW w:w="6874" w:type="dxa"/>
            <w:vAlign w:val="center"/>
            <w:textDirection w:val="lrTb"/>
            <w:noWrap w:val="false"/>
          </w:tcPr>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招标文件第四章《采购需求》中采购清单序号为83、84、85、90、91、95、96、97、98、99需按要求提供相关佐证材料，每少提供一份佐证材料的，扣1分。扣完为止。</w:t>
            </w:r>
            <w:r/>
          </w:p>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相关佐证材料：包括实物照片、外包装照片等；材料中必须能够清晰显示食品名称、配料表、净含量和规格、生产者和（或）经销者的名称、地址和联系方式、生产日期和保质期、贮存条件、食品生产许可证编号、产品标准代号及其他需要标示的内容等关键信息，否则不得分。</w:t>
            </w:r>
            <w:r/>
          </w:p>
        </w:tc>
        <w:tc>
          <w:tcPr>
            <w:tcBorders>
              <w:top w:val="single" w:color="auto" w:sz="4" w:space="0"/>
              <w:bottom w:val="single" w:color="auto" w:sz="4" w:space="0"/>
              <w:right w:val="single" w:color="auto" w:sz="4" w:space="0"/>
            </w:tcBorders>
            <w:tcW w:w="766" w:type="dxa"/>
            <w:vAlign w:val="center"/>
            <w:textDirection w:val="lrTb"/>
            <w:noWrap w:val="false"/>
          </w:tcPr>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10</w:t>
            </w:r>
            <w:r/>
          </w:p>
        </w:tc>
      </w:tr>
      <w:tr>
        <w:trPr>
          <w:trHeight w:val="69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食品安全责任险</w:t>
            </w:r>
            <w:r/>
          </w:p>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p>
        </w:tc>
        <w:tc>
          <w:tcPr>
            <w:tcBorders>
              <w:top w:val="single" w:color="auto" w:sz="4" w:space="0"/>
              <w:bottom w:val="single" w:color="auto" w:sz="4" w:space="0"/>
              <w:right w:val="single" w:color="auto" w:sz="4" w:space="0"/>
            </w:tcBorders>
            <w:tcW w:w="6874" w:type="dxa"/>
            <w:vAlign w:val="center"/>
            <w:textDirection w:val="lrTb"/>
            <w:noWrap w:val="false"/>
          </w:tcPr>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投标人承诺如中标，中标后购买保险保额如下食品安全责任险：</w:t>
            </w:r>
            <w:r/>
          </w:p>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1、保险保额小于800万得1分；</w:t>
            </w:r>
            <w:r/>
          </w:p>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2、保险保额≥800万且＜1200万得1.5分；</w:t>
            </w:r>
            <w:r/>
          </w:p>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3、保险保额≥1200万得2分。</w:t>
            </w:r>
            <w:r/>
          </w:p>
          <w:p>
            <w:pPr>
              <w:contextualSpacing/>
              <w:spacing w:after="0" w:line="3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本项最多得2分，投标文件中须提供承诺函，格式自拟，未提供不得分。</w:t>
            </w:r>
            <w:r/>
          </w:p>
        </w:tc>
        <w:tc>
          <w:tcPr>
            <w:tcBorders>
              <w:top w:val="single" w:color="auto" w:sz="4" w:space="0"/>
              <w:bottom w:val="single" w:color="auto" w:sz="4" w:space="0"/>
              <w:right w:val="single" w:color="auto" w:sz="4" w:space="0"/>
            </w:tcBorders>
            <w:tcW w:w="766" w:type="dxa"/>
            <w:vAlign w:val="center"/>
            <w:textDirection w:val="lrTb"/>
            <w:noWrap w:val="false"/>
          </w:tcPr>
          <w:p>
            <w:pPr>
              <w:contextualSpacing/>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企业认证</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投标人具有有效期内的食品安全管理体系认证(IS022000)，须提供证书</w:t>
            </w:r>
            <w:r>
              <w:rPr>
                <w:rFonts w:hint="eastAsia" w:ascii="宋体" w:hAnsi="宋体" w:cs="宋体"/>
                <w:sz w:val="21"/>
                <w:szCs w:val="21"/>
                <w:highlight w:val="none"/>
                <w:lang w:val="en-US" w:eastAsia="zh-CN"/>
              </w:rPr>
              <w:t xml:space="preserve">扫描件</w:t>
            </w:r>
            <w:r>
              <w:rPr>
                <w:rFonts w:hint="eastAsia" w:ascii="宋体" w:hAnsi="宋体" w:eastAsia="宋体" w:cs="宋体"/>
                <w:bCs/>
                <w:sz w:val="21"/>
                <w:szCs w:val="21"/>
                <w:highlight w:val="none"/>
                <w:lang w:eastAsia="zh-CN"/>
              </w:rPr>
              <w:t xml:space="preserve">，未按要求提供的不得分。</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eastAsia="zh-CN" w:bidi="ar"/>
              </w:rPr>
              <w:t xml:space="preserve">1</w:t>
            </w:r>
            <w:r/>
          </w:p>
        </w:tc>
      </w:tr>
      <w:tr>
        <w:trPr>
          <w:trHeight w:val="149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采购渠道的多样性</w:t>
            </w:r>
            <w:r/>
          </w:p>
          <w:p>
            <w:pPr>
              <w:jc w:val="cente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（6分）</w:t>
            </w:r>
            <w:r/>
          </w:p>
        </w:tc>
        <w:tc>
          <w:tcPr>
            <w:tcBorders>
              <w:top w:val="single" w:color="auto" w:sz="4" w:space="0"/>
              <w:bottom w:val="single" w:color="auto" w:sz="4" w:space="0"/>
              <w:right w:val="single" w:color="auto" w:sz="4" w:space="0"/>
            </w:tcBorders>
            <w:tcW w:w="6874" w:type="dxa"/>
            <w:vAlign w:val="top"/>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投标人具有以下三种商品（冷鲜猪肉、冷鲜牛肉、冷鲜羊肉）</w:t>
            </w:r>
            <w:r>
              <w:rPr>
                <w:rFonts w:hint="eastAsia" w:ascii="宋体" w:hAnsi="宋体" w:cs="宋体"/>
                <w:bCs/>
                <w:sz w:val="21"/>
                <w:szCs w:val="21"/>
                <w:highlight w:val="none"/>
                <w:lang w:val="en-US" w:eastAsia="zh-CN"/>
              </w:rPr>
              <w:t xml:space="preserve">正规采购渠道</w:t>
            </w:r>
            <w:r>
              <w:rPr>
                <w:rFonts w:hint="eastAsia" w:ascii="宋体" w:hAnsi="宋体" w:eastAsia="宋体" w:cs="宋体"/>
                <w:bCs/>
                <w:sz w:val="21"/>
                <w:szCs w:val="21"/>
                <w:highlight w:val="none"/>
                <w:lang w:eastAsia="zh-CN"/>
              </w:rPr>
              <w:t xml:space="preserve">证明材料，每</w:t>
            </w:r>
            <w:r>
              <w:rPr>
                <w:rFonts w:hint="eastAsia" w:ascii="宋体" w:hAnsi="宋体" w:cs="宋体"/>
                <w:bCs/>
                <w:sz w:val="21"/>
                <w:szCs w:val="21"/>
                <w:highlight w:val="none"/>
                <w:lang w:val="en-US" w:eastAsia="zh-CN"/>
              </w:rPr>
              <w:t xml:space="preserve">种商品</w:t>
            </w:r>
            <w:r>
              <w:rPr>
                <w:rFonts w:hint="eastAsia" w:ascii="宋体" w:hAnsi="宋体" w:eastAsia="宋体" w:cs="宋体"/>
                <w:bCs/>
                <w:sz w:val="21"/>
                <w:szCs w:val="21"/>
                <w:highlight w:val="none"/>
                <w:lang w:eastAsia="zh-CN"/>
              </w:rPr>
              <w:t xml:space="preserve">得2分，最多6分(提供证明材料</w:t>
            </w:r>
            <w:r>
              <w:rPr>
                <w:rFonts w:hint="eastAsia" w:ascii="宋体" w:hAnsi="宋体" w:cs="宋体"/>
                <w:sz w:val="21"/>
                <w:szCs w:val="21"/>
                <w:highlight w:val="none"/>
                <w:lang w:val="en-US" w:eastAsia="zh-CN"/>
              </w:rPr>
              <w:t xml:space="preserve">扫描件</w:t>
            </w:r>
            <w:r>
              <w:rPr>
                <w:rFonts w:hint="eastAsia" w:ascii="宋体" w:hAnsi="宋体" w:eastAsia="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且在</w:t>
            </w:r>
            <w:r>
              <w:rPr>
                <w:rFonts w:hint="eastAsia" w:ascii="宋体" w:hAnsi="宋体" w:eastAsia="宋体" w:cs="宋体"/>
                <w:bCs/>
                <w:sz w:val="21"/>
                <w:szCs w:val="21"/>
                <w:highlight w:val="none"/>
                <w:lang w:eastAsia="zh-CN"/>
              </w:rPr>
              <w:t xml:space="preserve">本项目服务期</w:t>
            </w:r>
            <w:r>
              <w:rPr>
                <w:rFonts w:hint="eastAsia" w:ascii="宋体" w:hAnsi="宋体" w:cs="宋体"/>
                <w:bCs/>
                <w:sz w:val="21"/>
                <w:szCs w:val="21"/>
                <w:highlight w:val="none"/>
                <w:lang w:val="en-US" w:eastAsia="zh-CN"/>
              </w:rPr>
              <w:t xml:space="preserve">内，不能完全涵盖本项目服务期，须提供续签承诺函）</w:t>
            </w:r>
            <w:r>
              <w:rPr>
                <w:rFonts w:hint="eastAsia" w:ascii="宋体" w:hAnsi="宋体" w:eastAsia="宋体" w:cs="宋体"/>
                <w:bCs/>
                <w:sz w:val="21"/>
                <w:szCs w:val="21"/>
                <w:highlight w:val="none"/>
                <w:lang w:eastAsia="zh-CN"/>
              </w:rPr>
              <w:t xml:space="preserve">。</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eastAsia="zh-CN" w:bidi="ar"/>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配送方案</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7</w:t>
            </w:r>
            <w:r>
              <w:rPr>
                <w:rFonts w:hint="eastAsia" w:ascii="宋体" w:hAnsi="宋体" w:eastAsia="宋体" w:cs="宋体"/>
                <w:bCs/>
                <w:sz w:val="21"/>
                <w:szCs w:val="21"/>
                <w:highlight w:val="none"/>
              </w:rPr>
              <w:t xml:space="preserve">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投标人须有配送服务方案，响应招标文件要求，有合理有效供货计划和物流配送方案，包括但不限于供货时间、配送设备器具配置、进场送货、以及配送物流交接各环节处置内容等，根据应答情况评审打分。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1.方案内容完整、科学合理、切实可行的，得7分；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2.方案科学合理、切实可行、但内容不完整有欠缺的，得5分；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3.方案内容不完整、方案科学合理及可行性欠缺的，得3分；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4.内容不完整、不科学合理且没有可行性的，得1分。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color w:val="000000"/>
                <w:sz w:val="21"/>
                <w:szCs w:val="21"/>
                <w:highlight w:val="none"/>
                <w:lang w:eastAsia="zh-CN"/>
              </w:rPr>
              <w:t xml:space="preserve">5.未提供服务方案的不得分。</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应急预案</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6</w:t>
            </w:r>
            <w:r>
              <w:rPr>
                <w:rFonts w:hint="eastAsia" w:ascii="宋体" w:hAnsi="宋体" w:eastAsia="宋体" w:cs="宋体"/>
                <w:bCs/>
                <w:sz w:val="21"/>
                <w:szCs w:val="21"/>
                <w:highlight w:val="none"/>
              </w:rPr>
              <w:t xml:space="preserve">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投标人须有能力应对突发事件应急预案，包括但不仅限于针对类似市场断货供应保障措施、节假日或非工作时间配送的方案、采购人临时加货要求的配送方案等，根据应答情况评审打分。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1.方案内容完整、科学合理、切实可行的，得6分；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2.方案科学合理、切实可行、但内容不完整有欠缺的，得4.5分；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3.方案内容不完整、方案科学合理及可行性欠缺的，得3分；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4.内容不完整、不科学合理且没有可行性的，得1.5分。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color w:val="000000"/>
                <w:sz w:val="21"/>
                <w:szCs w:val="21"/>
                <w:highlight w:val="none"/>
                <w:lang w:eastAsia="zh-CN"/>
              </w:rPr>
              <w:t xml:space="preserve">5.未提供服务方案的不得分。</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bottom w:val="single" w:color="auto" w:sz="4" w:space="0"/>
              <w:right w:val="single" w:color="auto" w:sz="4" w:space="0"/>
            </w:tcBorders>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质量管控方案</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为保证服务质量以及安全、提供投标人关于保证食品安全的内部管理制度（如生产、仓储、物流各环节的管理规定）、从业人员健康管理制度、以及为保证服务质量的内部考核办法等，根据应答情况评审打分。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1.方案内容完整、科学合理、切实可行的得7分；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2.方案科学合理、切实可行、但内容不完整有欠缺的得5分；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3.方案内容不完整、方案科学合理及可行性欠缺的得3分；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4.内容不完整、不科学合理且没有可行性的得1分。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color w:val="000000"/>
                <w:sz w:val="21"/>
                <w:szCs w:val="21"/>
                <w:highlight w:val="none"/>
                <w:lang w:eastAsia="zh-CN"/>
              </w:rPr>
              <w:t xml:space="preserve">5.未提供服务方案的不得分。</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售后服务</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（7分）</w:t>
            </w:r>
            <w:r/>
          </w:p>
        </w:tc>
        <w:tc>
          <w:tcPr>
            <w:tcBorders>
              <w:top w:val="single" w:color="auto" w:sz="4" w:space="0"/>
              <w:bottom w:val="single" w:color="auto" w:sz="4" w:space="0"/>
              <w:right w:val="single" w:color="auto" w:sz="4" w:space="0"/>
            </w:tcBorders>
            <w:tcW w:w="6874" w:type="dxa"/>
            <w:vAlign w:val="top"/>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投标人须有售后服务方案，包括：投标人自行列举可能出现的质量相关问题，以及对应的解决方案与措施、针对食材售后回访方案等，根据投标人提供的具体服务方案进行评分。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1.方案内容完整、科学合理、切实可行的得7分；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2.方案科学合理、切实可行、但内容不完整有欠缺的得5分；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3.方案内容不完整、方案科学合理及可行性欠缺的得3分；</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4.内容不完整、不科学合理且没有可行性的得1分。</w:t>
            </w:r>
            <w:r/>
          </w:p>
          <w:p>
            <w:pPr>
              <w:pStyle w:val="932"/>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5.未提供服务方案的不得分。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冷链车辆（</w:t>
            </w:r>
            <w:r>
              <w:rPr>
                <w:rFonts w:hint="eastAsia" w:ascii="宋体" w:hAnsi="宋体" w:eastAsia="宋体" w:cs="宋体"/>
                <w:bCs/>
                <w:sz w:val="21"/>
                <w:szCs w:val="21"/>
                <w:highlight w:val="none"/>
                <w:lang w:eastAsia="zh-CN"/>
              </w:rPr>
              <w:t xml:space="preserve">4</w:t>
            </w:r>
            <w:r>
              <w:rPr>
                <w:rFonts w:hint="eastAsia" w:ascii="宋体" w:hAnsi="宋体" w:eastAsia="宋体" w:cs="宋体"/>
                <w:bCs/>
                <w:sz w:val="21"/>
                <w:szCs w:val="21"/>
                <w:highlight w:val="none"/>
              </w:rPr>
              <w:t xml:space="preserve">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根据投标人拟投入本项目运输车辆进行打分，每投入一辆，得1分，最高得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p>
          <w:p>
            <w:pP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）若为自有车辆，投标文件中必须提供</w:t>
            </w:r>
            <w:r>
              <w:rPr>
                <w:rFonts w:hint="eastAsia" w:ascii="宋体" w:hAnsi="宋体" w:cs="宋体"/>
                <w:color w:val="000000"/>
                <w:sz w:val="21"/>
                <w:szCs w:val="21"/>
                <w:highlight w:val="none"/>
                <w:lang w:val="en-US" w:eastAsia="zh-CN"/>
              </w:rPr>
              <w:t xml:space="preserve">有效期内的</w:t>
            </w:r>
            <w:r>
              <w:rPr>
                <w:rFonts w:hint="eastAsia" w:ascii="宋体" w:hAnsi="宋体" w:eastAsia="宋体" w:cs="宋体"/>
                <w:color w:val="000000"/>
                <w:sz w:val="21"/>
                <w:szCs w:val="21"/>
                <w:highlight w:val="none"/>
                <w:lang w:eastAsia="zh-CN"/>
              </w:rPr>
              <w:t xml:space="preserve">车辆行驶证；若为租赁车辆，投标文件中必须提供</w:t>
            </w:r>
            <w:r>
              <w:rPr>
                <w:rFonts w:hint="eastAsia" w:ascii="宋体" w:hAnsi="宋体" w:cs="宋体"/>
                <w:color w:val="000000"/>
                <w:sz w:val="21"/>
                <w:szCs w:val="21"/>
                <w:highlight w:val="none"/>
                <w:lang w:val="en-US" w:eastAsia="zh-CN"/>
              </w:rPr>
              <w:t xml:space="preserve">有效期内的</w:t>
            </w:r>
            <w:r>
              <w:rPr>
                <w:rFonts w:hint="eastAsia" w:ascii="宋体" w:hAnsi="宋体" w:eastAsia="宋体" w:cs="宋体"/>
                <w:color w:val="000000"/>
                <w:sz w:val="21"/>
                <w:szCs w:val="21"/>
                <w:highlight w:val="none"/>
                <w:lang w:eastAsia="zh-CN"/>
              </w:rPr>
              <w:t xml:space="preserve">车辆行驶证及租赁合同；</w:t>
            </w:r>
            <w:r/>
          </w:p>
          <w:p>
            <w:pP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（2）投标人同时需提供对应车辆车身正面、侧面、车尾照片，车辆有“冷藏”字样否则不予认可；</w:t>
            </w:r>
            <w:r/>
          </w:p>
          <w:p>
            <w:pP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）投标人须承诺上述车辆为本项目固定送货车辆，项目服务期内不得随意更换。</w:t>
            </w:r>
            <w:r/>
          </w:p>
          <w:p>
            <w:pP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）因地库限高2.2米，</w:t>
            </w:r>
            <w:r>
              <w:rPr>
                <w:rFonts w:hint="eastAsia" w:ascii="宋体" w:hAnsi="宋体" w:cs="宋体"/>
                <w:color w:val="000000"/>
                <w:sz w:val="21"/>
                <w:szCs w:val="21"/>
                <w:highlight w:val="none"/>
                <w:lang w:val="en-US" w:eastAsia="zh-CN"/>
              </w:rPr>
              <w:t xml:space="preserve">送货</w:t>
            </w:r>
            <w:r>
              <w:rPr>
                <w:rFonts w:hint="eastAsia" w:ascii="宋体" w:hAnsi="宋体" w:eastAsia="宋体" w:cs="宋体"/>
                <w:color w:val="000000"/>
                <w:sz w:val="21"/>
                <w:szCs w:val="21"/>
                <w:highlight w:val="none"/>
                <w:lang w:eastAsia="zh-CN"/>
              </w:rPr>
              <w:t xml:space="preserve">车辆高度不要超过2.2米（提供车辆行驶证，具体尺寸以车辆行驶证的尺寸为准），或承诺中标后提供上述车辆；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）上述证明材料有效期须涵盖履约期限（如有效期涵盖开标当日但不涵盖履约期限的，须同时提供承诺书：承诺到期后，原车辆使用至与采购人合同履约结束，格式自拟），未提供或有缺漏的，不得分。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增值服务</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根据医院现状和本项目服务的特点，投标人提供有利于项目开展的增值服务，每提供一条切实可行的增值服务得1分，最多的2分。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注：提供工作培训、职工团购打折、职工生日礼、应急配送、优质项目管理、免费检测等不得分。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right w:val="single" w:color="auto" w:sz="4" w:space="0"/>
            </w:tcBorders>
            <w:tcW w:w="1217" w:type="dxa"/>
            <w:vAlign w:val="center"/>
            <w:vMerge w:val="restart"/>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履约能力</w:t>
            </w:r>
            <w:r/>
          </w:p>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(15分)</w:t>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（1）投标人拟为</w:t>
            </w:r>
            <w:r>
              <w:rPr>
                <w:rFonts w:hint="eastAsia" w:ascii="宋体" w:hAnsi="宋体" w:eastAsia="宋体" w:cs="宋体"/>
                <w:bCs/>
                <w:sz w:val="21"/>
                <w:szCs w:val="21"/>
                <w:highlight w:val="none"/>
                <w:lang w:eastAsia="zh-CN"/>
              </w:rPr>
              <w:t xml:space="preserve">本项目配备</w:t>
            </w:r>
            <w:r>
              <w:rPr>
                <w:rFonts w:hint="eastAsia" w:ascii="宋体" w:hAnsi="宋体" w:cs="宋体"/>
                <w:bCs/>
                <w:sz w:val="21"/>
                <w:szCs w:val="21"/>
                <w:highlight w:val="none"/>
                <w:lang w:val="en-US" w:eastAsia="zh-CN"/>
              </w:rPr>
              <w:t xml:space="preserve">的</w:t>
            </w:r>
            <w:r>
              <w:rPr>
                <w:rFonts w:hint="eastAsia" w:ascii="宋体" w:hAnsi="宋体" w:eastAsia="宋体" w:cs="宋体"/>
                <w:bCs/>
                <w:sz w:val="21"/>
                <w:szCs w:val="21"/>
                <w:highlight w:val="none"/>
                <w:lang w:eastAsia="zh-CN"/>
              </w:rPr>
              <w:t xml:space="preserve">人员具有</w:t>
            </w:r>
            <w:r>
              <w:rPr>
                <w:rFonts w:hint="eastAsia" w:ascii="宋体" w:hAnsi="宋体" w:cs="宋体"/>
                <w:bCs/>
                <w:sz w:val="21"/>
                <w:szCs w:val="21"/>
                <w:highlight w:val="none"/>
                <w:lang w:val="en-US" w:eastAsia="zh-CN"/>
              </w:rPr>
              <w:t xml:space="preserve">相关</w:t>
            </w:r>
            <w:r>
              <w:rPr>
                <w:rFonts w:hint="eastAsia" w:ascii="宋体" w:hAnsi="宋体" w:eastAsia="宋体" w:cs="宋体"/>
                <w:bCs/>
                <w:sz w:val="21"/>
                <w:szCs w:val="21"/>
                <w:highlight w:val="none"/>
                <w:lang w:eastAsia="zh-CN"/>
              </w:rPr>
              <w:t xml:space="preserve">食品安全管理</w:t>
            </w:r>
            <w:r>
              <w:rPr>
                <w:rFonts w:hint="eastAsia" w:ascii="宋体" w:hAnsi="宋体" w:cs="宋体"/>
                <w:bCs/>
                <w:sz w:val="21"/>
                <w:szCs w:val="21"/>
                <w:highlight w:val="none"/>
                <w:lang w:val="en-US" w:eastAsia="zh-CN"/>
              </w:rPr>
              <w:t xml:space="preserve">人员</w:t>
            </w:r>
            <w:r>
              <w:rPr>
                <w:rFonts w:hint="eastAsia" w:ascii="宋体" w:hAnsi="宋体" w:eastAsia="宋体" w:cs="宋体"/>
                <w:bCs/>
                <w:sz w:val="21"/>
                <w:szCs w:val="21"/>
                <w:highlight w:val="none"/>
                <w:lang w:eastAsia="zh-CN"/>
              </w:rPr>
              <w:t xml:space="preserve">证书</w:t>
            </w:r>
            <w:r>
              <w:rPr>
                <w:rFonts w:hint="eastAsia" w:ascii="宋体" w:hAnsi="宋体" w:eastAsia="宋体" w:cs="宋体"/>
                <w:bCs/>
                <w:sz w:val="21"/>
                <w:szCs w:val="21"/>
                <w:highlight w:val="none"/>
                <w:lang w:eastAsia="zh-CN"/>
              </w:rPr>
              <w:t xml:space="preserve">的，每有一人得1.5分，最多得3分。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（2）投标人拟为</w:t>
            </w:r>
            <w:r>
              <w:rPr>
                <w:rFonts w:hint="eastAsia" w:ascii="宋体" w:hAnsi="宋体" w:eastAsia="宋体" w:cs="宋体"/>
                <w:bCs/>
                <w:sz w:val="21"/>
                <w:szCs w:val="21"/>
                <w:highlight w:val="none"/>
                <w:lang w:eastAsia="zh-CN"/>
              </w:rPr>
              <w:t xml:space="preserve">本项目配备</w:t>
            </w:r>
            <w:r>
              <w:rPr>
                <w:rFonts w:hint="eastAsia" w:ascii="宋体" w:hAnsi="宋体" w:cs="宋体"/>
                <w:bCs/>
                <w:sz w:val="21"/>
                <w:szCs w:val="21"/>
                <w:highlight w:val="none"/>
                <w:lang w:val="en-US" w:eastAsia="zh-CN"/>
              </w:rPr>
              <w:t xml:space="preserve">的人员</w:t>
            </w:r>
            <w:r>
              <w:rPr>
                <w:rFonts w:hint="eastAsia" w:ascii="宋体" w:hAnsi="宋体" w:eastAsia="宋体" w:cs="宋体"/>
                <w:bCs/>
                <w:sz w:val="21"/>
                <w:szCs w:val="21"/>
                <w:highlight w:val="none"/>
                <w:lang w:eastAsia="zh-CN"/>
              </w:rPr>
              <w:t xml:space="preserve">具有</w:t>
            </w:r>
            <w:r>
              <w:rPr>
                <w:rFonts w:hint="eastAsia" w:ascii="宋体" w:hAnsi="宋体" w:cs="宋体"/>
                <w:bCs/>
                <w:sz w:val="21"/>
                <w:szCs w:val="21"/>
                <w:highlight w:val="none"/>
                <w:lang w:val="en-US" w:eastAsia="zh-CN"/>
              </w:rPr>
              <w:t xml:space="preserve">相关</w:t>
            </w:r>
            <w:r>
              <w:rPr>
                <w:rFonts w:hint="eastAsia" w:ascii="宋体" w:hAnsi="宋体" w:eastAsia="宋体" w:cs="宋体"/>
                <w:bCs/>
                <w:sz w:val="21"/>
                <w:szCs w:val="21"/>
                <w:highlight w:val="none"/>
                <w:lang w:eastAsia="zh-CN"/>
              </w:rPr>
              <w:t xml:space="preserve">食品检验</w:t>
            </w:r>
            <w:r>
              <w:rPr>
                <w:rFonts w:hint="eastAsia" w:ascii="宋体" w:hAnsi="宋体" w:cs="宋体"/>
                <w:bCs/>
                <w:sz w:val="21"/>
                <w:szCs w:val="21"/>
                <w:highlight w:val="none"/>
                <w:lang w:val="en-US" w:eastAsia="zh-CN"/>
              </w:rPr>
              <w:t xml:space="preserve">人员</w:t>
            </w:r>
            <w:r>
              <w:rPr>
                <w:rFonts w:hint="eastAsia" w:ascii="宋体" w:hAnsi="宋体" w:eastAsia="宋体" w:cs="宋体"/>
                <w:bCs/>
                <w:sz w:val="21"/>
                <w:szCs w:val="21"/>
                <w:highlight w:val="none"/>
                <w:lang w:eastAsia="zh-CN"/>
              </w:rPr>
              <w:t xml:space="preserve">证书</w:t>
            </w:r>
            <w:r>
              <w:rPr>
                <w:rFonts w:hint="eastAsia" w:ascii="宋体" w:hAnsi="宋体" w:eastAsia="宋体" w:cs="宋体"/>
                <w:bCs/>
                <w:sz w:val="21"/>
                <w:szCs w:val="21"/>
                <w:highlight w:val="none"/>
                <w:lang w:eastAsia="zh-CN"/>
              </w:rPr>
              <w:t xml:space="preserve">的，每有一人得1.5分，最多得3分。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（提供上述人员的证书</w:t>
            </w:r>
            <w:r>
              <w:rPr>
                <w:rFonts w:hint="eastAsia" w:ascii="宋体" w:hAnsi="宋体" w:cs="宋体"/>
                <w:sz w:val="21"/>
                <w:szCs w:val="21"/>
                <w:highlight w:val="none"/>
                <w:lang w:val="en-US" w:eastAsia="zh-CN"/>
              </w:rPr>
              <w:t xml:space="preserve">扫描件</w:t>
            </w:r>
            <w:r>
              <w:rPr>
                <w:rFonts w:hint="eastAsia" w:ascii="宋体" w:hAnsi="宋体" w:eastAsia="宋体" w:cs="宋体"/>
                <w:bCs/>
                <w:sz w:val="21"/>
                <w:szCs w:val="21"/>
                <w:highlight w:val="none"/>
                <w:lang w:eastAsia="zh-CN"/>
              </w:rPr>
              <w:t xml:space="preserve">以及投标人为其在近6个月内（2025年10月（含）-2026年3月（含））任意一个月缴纳社保的证明材料，未提供上述材料的不得分，如果委托第三方公司代为缴纳社保，需提供投标人和第三方公司委托缴纳社保的证明）。</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right w:val="single" w:color="auto" w:sz="4" w:space="0"/>
            </w:tcBorders>
            <w:tcW w:w="1217" w:type="dxa"/>
            <w:vAlign w:val="center"/>
            <w:vMerge w:val="continue"/>
            <w:textDirection w:val="lrTb"/>
            <w:noWrap w:val="false"/>
          </w:tcPr>
          <w:p>
            <w:pPr>
              <w:jc w:val="center"/>
              <w:spacing w:after="0" w:line="3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auto" w:sz="4" w:space="0"/>
              <w:bottom w:val="single" w:color="auto" w:sz="4" w:space="0"/>
              <w:right w:val="single" w:color="auto" w:sz="4" w:space="0"/>
            </w:tcBorders>
            <w:tcW w:w="6874" w:type="dxa"/>
            <w:vAlign w:val="center"/>
            <w:textDirection w:val="lrTb"/>
            <w:noWrap w:val="false"/>
          </w:tcPr>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提供自有或租赁食材检验室、检验人员及检测设备证明材料：</w:t>
            </w:r>
            <w:r/>
          </w:p>
          <w:p>
            <w:pP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（1）提供检验人员信息得1分（提供上述人员的证书</w:t>
            </w:r>
            <w:r>
              <w:rPr>
                <w:rFonts w:hint="eastAsia" w:ascii="宋体" w:hAnsi="宋体" w:cs="宋体"/>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t xml:space="preserve">以及供应商为其在近6个月内（2025年</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eastAsia="zh-CN"/>
              </w:rPr>
              <w:t xml:space="preserve">月（含）以来）任意一个月缴纳社保的证明材料，未提供上述材料的不得分，如果委托第三方公司代为缴纳社保，需提供供应商和第三方公司委托缴纳社保的证明）；</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color w:val="000000"/>
                <w:sz w:val="21"/>
                <w:szCs w:val="21"/>
                <w:highlight w:val="none"/>
                <w:lang w:eastAsia="zh-CN"/>
              </w:rPr>
              <w:t xml:space="preserve">（2）同时提供以下三项证明材料，得2分（缺一不得分）：①现场实验室照片；②检测设备清单及设备照片（检测设备中需包括但不限于可对</w:t>
            </w:r>
            <w:r>
              <w:rPr>
                <w:rFonts w:hint="eastAsia" w:ascii="宋体" w:hAnsi="宋体" w:eastAsia="宋体" w:cs="宋体"/>
                <w:bCs/>
                <w:sz w:val="21"/>
                <w:szCs w:val="21"/>
                <w:highlight w:val="none"/>
                <w:lang w:eastAsia="zh-CN"/>
              </w:rPr>
              <w:t xml:space="preserve">兽药残留</w:t>
            </w:r>
            <w:r>
              <w:rPr>
                <w:rFonts w:hint="eastAsia" w:ascii="宋体" w:hAnsi="宋体" w:eastAsia="宋体" w:cs="宋体"/>
                <w:bCs/>
                <w:color w:val="000000"/>
                <w:sz w:val="21"/>
                <w:szCs w:val="21"/>
                <w:highlight w:val="none"/>
                <w:lang w:eastAsia="zh-CN"/>
              </w:rPr>
              <w:t xml:space="preserve">、微生物污染、化学残留物等进行检测的设备）；③近一个月内（即开标之日前1个月内）出具的检测报告</w:t>
            </w:r>
            <w:r>
              <w:rPr>
                <w:rFonts w:hint="eastAsia" w:ascii="宋体" w:hAnsi="宋体" w:cs="宋体"/>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t xml:space="preserve">。</w:t>
            </w:r>
            <w:r/>
          </w:p>
        </w:tc>
        <w:tc>
          <w:tcPr>
            <w:tcBorders>
              <w:top w:val="single" w:color="auto" w:sz="4" w:space="0"/>
              <w:bottom w:val="single" w:color="auto" w:sz="4" w:space="0"/>
              <w:right w:val="single" w:color="auto" w:sz="4" w:space="0"/>
            </w:tcBorders>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w:t>
            </w:r>
            <w:r/>
          </w:p>
        </w:tc>
      </w:tr>
      <w:tr>
        <w:trPr>
          <w:trHeight w:val="567"/>
        </w:trPr>
        <w:tc>
          <w:tcPr>
            <w:tcW w:w="703" w:type="dxa"/>
            <w:vAlign w:val="top"/>
            <w:textDirection w:val="lrTb"/>
            <w:noWrap w:val="false"/>
          </w:tcPr>
          <w:p>
            <w:pPr>
              <w:numPr>
                <w:ilvl w:val="0"/>
                <w:numId w:val="3"/>
              </w:numPr>
              <w:jc w:val="center"/>
              <w:spacing w:after="0" w:line="32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Borders>
              <w:right w:val="single" w:color="auto" w:sz="4" w:space="0"/>
            </w:tcBorders>
            <w:tcW w:w="1217" w:type="dxa"/>
            <w:vAlign w:val="top"/>
            <w:vMerge w:val="continue"/>
            <w:textDirection w:val="lrTb"/>
            <w:noWrap w:val="false"/>
          </w:tcPr>
          <w:p>
            <w:pPr>
              <w:jc w:val="cente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6874" w:type="dxa"/>
            <w:vAlign w:val="center"/>
            <w:textDirection w:val="lrTb"/>
            <w:noWrap w:val="false"/>
          </w:tcPr>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1.仓库配备（2分）：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提供或承诺中标后提供不低于300平米的仓库</w:t>
            </w:r>
            <w:r>
              <w:rPr>
                <w:rFonts w:hint="eastAsia" w:ascii="宋体" w:hAnsi="宋体" w:eastAsia="宋体" w:cs="宋体"/>
                <w:bCs/>
                <w:sz w:val="21"/>
                <w:szCs w:val="21"/>
                <w:highlight w:val="none"/>
                <w:lang w:eastAsia="zh-CN"/>
              </w:rPr>
              <w:t xml:space="preserve">，得2分。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2.</w:t>
            </w:r>
            <w:r>
              <w:rPr>
                <w:rFonts w:hint="eastAsia" w:ascii="宋体" w:hAnsi="宋体" w:cs="宋体"/>
                <w:bCs/>
                <w:sz w:val="21"/>
                <w:szCs w:val="21"/>
                <w:highlight w:val="none"/>
                <w:lang w:val="en-US" w:eastAsia="zh-CN"/>
              </w:rPr>
              <w:t xml:space="preserve">冷藏</w:t>
            </w:r>
            <w:r>
              <w:rPr>
                <w:rFonts w:hint="eastAsia" w:ascii="宋体" w:hAnsi="宋体" w:eastAsia="宋体" w:cs="宋体"/>
                <w:bCs/>
                <w:sz w:val="21"/>
                <w:szCs w:val="21"/>
                <w:highlight w:val="none"/>
                <w:lang w:eastAsia="zh-CN"/>
              </w:rPr>
              <w:t xml:space="preserve">、冷冻库配备（2分）: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根据各供应商配备</w:t>
            </w:r>
            <w:r>
              <w:rPr>
                <w:rFonts w:hint="eastAsia" w:ascii="宋体" w:hAnsi="宋体" w:cs="宋体"/>
                <w:bCs/>
                <w:sz w:val="21"/>
                <w:szCs w:val="21"/>
                <w:highlight w:val="none"/>
                <w:lang w:val="en-US" w:eastAsia="zh-CN"/>
              </w:rPr>
              <w:t xml:space="preserve">冷藏</w:t>
            </w:r>
            <w:r>
              <w:rPr>
                <w:rFonts w:hint="eastAsia" w:ascii="宋体" w:hAnsi="宋体" w:eastAsia="宋体" w:cs="宋体"/>
                <w:bCs/>
                <w:sz w:val="21"/>
                <w:szCs w:val="21"/>
                <w:highlight w:val="none"/>
                <w:lang w:eastAsia="zh-CN"/>
              </w:rPr>
              <w:t xml:space="preserve">和冷冻库情况进行打分，如仅具备其中之一的得1分，同时具备</w:t>
            </w:r>
            <w:r>
              <w:rPr>
                <w:rFonts w:hint="eastAsia" w:ascii="宋体" w:hAnsi="宋体" w:cs="宋体"/>
                <w:bCs/>
                <w:sz w:val="21"/>
                <w:szCs w:val="21"/>
                <w:highlight w:val="none"/>
                <w:lang w:val="en-US" w:eastAsia="zh-CN"/>
              </w:rPr>
              <w:t xml:space="preserve">冷藏</w:t>
            </w:r>
            <w:r>
              <w:rPr>
                <w:rFonts w:hint="eastAsia" w:ascii="宋体" w:hAnsi="宋体" w:eastAsia="宋体" w:cs="宋体"/>
                <w:bCs/>
                <w:sz w:val="21"/>
                <w:szCs w:val="21"/>
                <w:highlight w:val="none"/>
                <w:lang w:eastAsia="zh-CN"/>
              </w:rPr>
              <w:t xml:space="preserve">和冷冻库的得2分，最多得2分。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3.加工车间（2分）：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根据各供应商配备的与本次投标食品品种、数量相适应的食品原料处理和</w:t>
            </w:r>
            <w:bookmarkStart w:id="116" w:name="OLE_LINK12"/>
            <w:r>
              <w:rPr>
                <w:rFonts w:hint="eastAsia" w:ascii="宋体" w:hAnsi="宋体" w:eastAsia="宋体" w:cs="宋体"/>
                <w:bCs/>
                <w:sz w:val="21"/>
                <w:szCs w:val="21"/>
                <w:highlight w:val="none"/>
                <w:lang w:eastAsia="zh-CN"/>
              </w:rPr>
              <w:t xml:space="preserve">食品加工、包装、贮存</w:t>
            </w:r>
            <w:bookmarkEnd w:id="116"/>
            <w:r>
              <w:rPr>
                <w:rFonts w:hint="eastAsia" w:ascii="宋体" w:hAnsi="宋体" w:eastAsia="宋体" w:cs="宋体"/>
                <w:bCs/>
                <w:sz w:val="21"/>
                <w:szCs w:val="21"/>
                <w:highlight w:val="none"/>
                <w:lang w:eastAsia="zh-CN"/>
              </w:rPr>
              <w:t xml:space="preserve">等场所情况打分（场所须符合食品安全相关规定），有1个得2分，最多得2分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说明：须提供如下证明材料，否则不得分：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（1）自有场所的，须提供产权证明的</w:t>
            </w:r>
            <w:r>
              <w:rPr>
                <w:rFonts w:hint="eastAsia" w:ascii="宋体" w:hAnsi="宋体" w:cs="宋体"/>
                <w:sz w:val="21"/>
                <w:szCs w:val="21"/>
                <w:highlight w:val="none"/>
                <w:lang w:val="en-US" w:eastAsia="zh-CN"/>
              </w:rPr>
              <w:t xml:space="preserve">扫描件</w:t>
            </w:r>
            <w:r>
              <w:rPr>
                <w:rFonts w:hint="eastAsia" w:ascii="宋体" w:hAnsi="宋体" w:eastAsia="宋体" w:cs="宋体"/>
                <w:bCs/>
                <w:sz w:val="21"/>
                <w:szCs w:val="21"/>
                <w:highlight w:val="none"/>
                <w:lang w:eastAsia="zh-CN"/>
              </w:rPr>
              <w:t xml:space="preserve">（须体现面积信息）、</w:t>
            </w:r>
            <w:bookmarkStart w:id="117" w:name="OLE_LINK16"/>
            <w:r/>
            <w:bookmarkStart w:id="118" w:name="OLE_LINK15"/>
            <w:r/>
            <w:bookmarkStart w:id="119" w:name="OLE_LINK17"/>
            <w:r>
              <w:rPr>
                <w:rFonts w:hint="eastAsia" w:ascii="宋体" w:hAnsi="宋体" w:eastAsia="宋体" w:cs="宋体"/>
                <w:bCs/>
                <w:sz w:val="21"/>
                <w:szCs w:val="21"/>
                <w:highlight w:val="none"/>
                <w:lang w:eastAsia="zh-CN"/>
              </w:rPr>
              <w:t xml:space="preserve">并附上符合</w:t>
            </w:r>
            <w:r>
              <w:rPr>
                <w:rFonts w:hint="eastAsia" w:ascii="宋体" w:hAnsi="宋体" w:cs="宋体"/>
                <w:bCs/>
                <w:sz w:val="21"/>
                <w:szCs w:val="21"/>
                <w:highlight w:val="none"/>
                <w:lang w:val="en-US" w:eastAsia="zh-CN"/>
              </w:rPr>
              <w:t xml:space="preserve">肉类</w:t>
            </w:r>
            <w:r>
              <w:rPr>
                <w:rFonts w:hint="eastAsia" w:ascii="宋体" w:hAnsi="宋体" w:eastAsia="宋体" w:cs="宋体"/>
                <w:bCs/>
                <w:sz w:val="21"/>
                <w:szCs w:val="21"/>
                <w:highlight w:val="none"/>
                <w:lang w:eastAsia="zh-CN"/>
              </w:rPr>
              <w:t xml:space="preserve">加工、包装、贮存的设备设施，</w:t>
            </w:r>
            <w:bookmarkEnd w:id="117"/>
            <w:r/>
            <w:bookmarkEnd w:id="118"/>
            <w:r>
              <w:rPr>
                <w:rFonts w:hint="eastAsia" w:ascii="宋体" w:hAnsi="宋体" w:eastAsia="宋体" w:cs="宋体"/>
                <w:bCs/>
                <w:sz w:val="21"/>
                <w:szCs w:val="21"/>
                <w:highlight w:val="none"/>
                <w:lang w:eastAsia="zh-CN"/>
              </w:rPr>
              <w:t xml:space="preserve">现场照片等相关证明资料；</w:t>
            </w:r>
            <w:bookmarkEnd w:id="119"/>
            <w:r>
              <w:rPr>
                <w:rFonts w:hint="eastAsia" w:ascii="宋体" w:hAnsi="宋体" w:eastAsia="宋体" w:cs="宋体"/>
                <w:bCs/>
                <w:sz w:val="21"/>
                <w:szCs w:val="21"/>
                <w:highlight w:val="none"/>
                <w:lang w:eastAsia="zh-CN"/>
              </w:rPr>
              <w:t xml:space="preserve">相关证明资料加盖公章；未提供相关证明资料或资料不全或资料不满足招标文件要求的，不得分。</w:t>
            </w:r>
            <w:r/>
          </w:p>
          <w:p>
            <w:pPr>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（2）租赁场所的，须提供由投标人签订的在有效期内的场所租赁合同的</w:t>
            </w:r>
            <w:r>
              <w:rPr>
                <w:rFonts w:hint="eastAsia" w:ascii="宋体" w:hAnsi="宋体" w:cs="宋体"/>
                <w:sz w:val="21"/>
                <w:szCs w:val="21"/>
                <w:highlight w:val="none"/>
                <w:lang w:val="en-US" w:eastAsia="zh-CN"/>
              </w:rPr>
              <w:t xml:space="preserve">扫描件</w:t>
            </w:r>
            <w:r>
              <w:rPr>
                <w:rFonts w:hint="eastAsia" w:ascii="宋体" w:hAnsi="宋体" w:eastAsia="宋体" w:cs="宋体"/>
                <w:bCs/>
                <w:sz w:val="21"/>
                <w:szCs w:val="21"/>
                <w:highlight w:val="none"/>
                <w:lang w:eastAsia="zh-CN"/>
              </w:rPr>
              <w:t xml:space="preserve">（须体现面积信息）、并附上符合</w:t>
            </w:r>
            <w:r>
              <w:rPr>
                <w:rFonts w:hint="eastAsia" w:ascii="宋体" w:hAnsi="宋体" w:cs="宋体"/>
                <w:bCs/>
                <w:sz w:val="21"/>
                <w:szCs w:val="21"/>
                <w:highlight w:val="none"/>
                <w:lang w:val="en-US" w:eastAsia="zh-CN"/>
              </w:rPr>
              <w:t xml:space="preserve">肉类</w:t>
            </w:r>
            <w:r>
              <w:rPr>
                <w:rFonts w:hint="eastAsia" w:ascii="宋体" w:hAnsi="宋体" w:eastAsia="宋体" w:cs="宋体"/>
                <w:bCs/>
                <w:sz w:val="21"/>
                <w:szCs w:val="21"/>
                <w:highlight w:val="none"/>
                <w:lang w:eastAsia="zh-CN"/>
              </w:rPr>
              <w:t xml:space="preserve">加工、包装、贮存的设备设施，现场照片等相关证明资料；租赁合同剩余有效期须不少于一年（自开标日计算）；未提供相关证明资料或资料不全或资料不满足招标文件要求的，不得分</w:t>
            </w:r>
            <w:r>
              <w:rPr>
                <w:rFonts w:hint="eastAsia" w:ascii="宋体" w:hAnsi="宋体" w:cs="宋体"/>
                <w:bCs/>
                <w:sz w:val="21"/>
                <w:szCs w:val="21"/>
                <w:highlight w:val="none"/>
                <w:lang w:eastAsia="zh-CN"/>
              </w:rPr>
              <w:t xml:space="preserve">。</w:t>
            </w:r>
            <w:r/>
          </w:p>
          <w:p>
            <w:pPr>
              <w:spacing w:after="0" w:line="320" w:lineRule="exact"/>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（3）</w:t>
            </w:r>
            <w:r>
              <w:rPr>
                <w:rFonts w:hint="eastAsia" w:ascii="宋体" w:hAnsi="宋体" w:cs="宋体"/>
                <w:bCs/>
                <w:sz w:val="21"/>
                <w:szCs w:val="21"/>
                <w:highlight w:val="none"/>
                <w:lang w:val="en-US" w:eastAsia="zh-CN"/>
              </w:rPr>
              <w:t xml:space="preserve">仓库若不具备上述条件，提供承诺函，承诺如中标后可提供满足要求的仓库，格式自拟。</w:t>
            </w:r>
            <w:r/>
          </w:p>
          <w:p>
            <w:pPr>
              <w:spacing w:after="0" w:line="320" w:lineRule="exact"/>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 （4）</w:t>
            </w:r>
            <w:r>
              <w:rPr>
                <w:rFonts w:hint="eastAsia" w:ascii="宋体" w:hAnsi="宋体" w:eastAsia="宋体" w:cs="宋体"/>
                <w:bCs/>
                <w:sz w:val="21"/>
                <w:szCs w:val="21"/>
                <w:highlight w:val="none"/>
                <w:lang w:eastAsia="zh-CN"/>
              </w:rPr>
              <w:t xml:space="preserve">仓库、保鲜冷冻库、加工车间不重复计分。</w:t>
            </w:r>
            <w:r/>
          </w:p>
        </w:tc>
        <w:tc>
          <w:tcPr>
            <w:tcW w:w="766" w:type="dxa"/>
            <w:vAlign w:val="center"/>
            <w:textDirection w:val="lrTb"/>
            <w:noWrap w:val="false"/>
          </w:tcPr>
          <w:p>
            <w:pPr>
              <w:jc w:val="center"/>
              <w:spacing w:after="0" w:line="3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6</w:t>
            </w:r>
            <w:r/>
          </w:p>
        </w:tc>
      </w:tr>
    </w:tbl>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bookmarkEnd w:id="115"/>
      <w:r/>
      <w:r/>
    </w:p>
    <w:p>
      <w:pPr>
        <w:numPr>
          <w:ilvl w:val="0"/>
          <w:numId w:val="0"/>
        </w:numPr>
        <w:jc w:val="center"/>
        <w:spacing w:line="360" w:lineRule="auto"/>
        <w:rPr>
          <w:rFonts w:hint="eastAsia" w:ascii="黑体" w:hAnsi="黑体" w:eastAsia="黑体" w:cs="黑体"/>
          <w:b/>
          <w:color w:val="auto"/>
          <w:sz w:val="32"/>
          <w:szCs w:val="32"/>
          <w:highlight w:val="none"/>
        </w:rPr>
      </w:pPr>
      <w:r>
        <w:rPr>
          <w:rFonts w:hint="eastAsia" w:ascii="宋体" w:hAnsi="宋体" w:eastAsia="宋体" w:cs="宋体"/>
          <w:b/>
          <w:color w:val="000000"/>
          <w:sz w:val="32"/>
          <w:szCs w:val="32"/>
          <w:highlight w:val="none"/>
        </w:rPr>
        <w:t xml:space="preserve">★</w:t>
      </w:r>
      <w:r>
        <w:rPr>
          <w:rFonts w:hint="eastAsia" w:ascii="黑体" w:hAnsi="黑体" w:eastAsia="黑体" w:cs="黑体"/>
          <w:b/>
          <w:color w:val="auto"/>
          <w:sz w:val="32"/>
          <w:szCs w:val="32"/>
          <w:highlight w:val="none"/>
          <w:lang w:val="en-US" w:eastAsia="zh-CN" w:bidi="ar-SA"/>
        </w:rPr>
        <w:t xml:space="preserve">第四章 </w:t>
      </w:r>
      <w:r>
        <w:rPr>
          <w:rFonts w:hint="eastAsia" w:ascii="黑体" w:hAnsi="黑体" w:eastAsia="黑体" w:cs="黑体"/>
          <w:b/>
          <w:color w:val="000000"/>
          <w:sz w:val="32"/>
          <w:szCs w:val="32"/>
          <w:highlight w:val="none"/>
        </w:rPr>
        <w:t xml:space="preserve">采购需求</w:t>
      </w:r>
      <w:r/>
    </w:p>
    <w:p>
      <w:pPr>
        <w:ind w:firstLine="482"/>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bookmarkStart w:id="120" w:name="_Toc11219"/>
      <w:r/>
      <w:bookmarkStart w:id="121" w:name="_Toc19"/>
      <w:r/>
      <w:bookmarkStart w:id="122" w:name="_Toc11326"/>
      <w:r>
        <w:rPr>
          <w:rFonts w:hint="eastAsia" w:ascii="宋体" w:hAnsi="宋体" w:eastAsia="宋体" w:cs="宋体"/>
          <w:b/>
          <w:color w:val="000000"/>
          <w:sz w:val="21"/>
          <w:szCs w:val="21"/>
          <w:highlight w:val="none"/>
          <w:lang w:eastAsia="zh-CN"/>
        </w:rPr>
        <w:t xml:space="preserve">一、项目名称：</w:t>
      </w:r>
      <w:r>
        <w:rPr>
          <w:rFonts w:hint="eastAsia" w:ascii="宋体" w:hAnsi="宋体" w:eastAsia="宋体" w:cs="宋体"/>
          <w:color w:val="000000"/>
          <w:sz w:val="21"/>
          <w:szCs w:val="21"/>
          <w:highlight w:val="none"/>
          <w:lang w:eastAsia="zh-CN"/>
        </w:rPr>
        <w:t xml:space="preserve">鼓楼医院食堂肉类采购</w:t>
      </w:r>
      <w:r/>
    </w:p>
    <w:p>
      <w:pPr>
        <w:ind w:firstLine="482"/>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二、项目概况</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为建立南京鼓楼医院食堂标准化、规范化的食材采购供应管理体系，加强成本核算，维护广大病员、职工的利益，根据《中华人民共和国食品安全法》、《食品安全法实施条例》等相关文件要求，现采购人拟通过公开招标的方式确定关于肉类的供应商。</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3.本项目所对应的中小企业划分标准所属行业：批发业。</w:t>
      </w:r>
      <w:r/>
    </w:p>
    <w:p>
      <w:pPr>
        <w:ind w:firstLine="480"/>
        <w:jc w:val="both"/>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4.采购清单</w:t>
      </w:r>
      <w:r/>
    </w:p>
    <w:tbl>
      <w:tblPr>
        <w:tblStyle w:val="927"/>
        <w:tblpPr w:horzAnchor="page" w:tblpX="1320" w:vertAnchor="text" w:tblpY="381" w:leftFromText="180" w:topFromText="0" w:rightFromText="180" w:bottomFromText="0"/>
        <w:tblW w:w="10552"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1060"/>
        <w:gridCol w:w="1105"/>
        <w:gridCol w:w="457"/>
        <w:gridCol w:w="4926"/>
        <w:gridCol w:w="2547"/>
      </w:tblGrid>
      <w:tr>
        <w:trPr>
          <w:trHeight w:val="1017"/>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0"/>
              <w:widowControl w:val="off"/>
              <w:rPr>
                <w:rFonts w:hint="eastAsia" w:ascii="宋体" w:hAnsi="宋体" w:eastAsia="宋体" w:cs="宋体"/>
                <w:b/>
                <w:sz w:val="21"/>
                <w:szCs w:val="21"/>
                <w:highlight w:val="none"/>
              </w:rPr>
            </w:pPr>
            <w:r>
              <w:rPr>
                <w:rFonts w:hint="eastAsia" w:ascii="宋体" w:hAnsi="宋体" w:eastAsia="宋体" w:cs="宋体"/>
                <w:b/>
                <w:position w:val="-10"/>
                <w:sz w:val="21"/>
                <w:szCs w:val="21"/>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after="0"/>
              <w:widowControl w:val="off"/>
              <w:rPr>
                <w:rFonts w:hint="eastAsia" w:ascii="宋体" w:hAnsi="宋体" w:eastAsia="宋体" w:cs="宋体"/>
                <w:b/>
                <w:sz w:val="21"/>
                <w:szCs w:val="21"/>
                <w:highlight w:val="none"/>
              </w:rPr>
            </w:pPr>
            <w:r>
              <w:rPr>
                <w:rFonts w:hint="eastAsia" w:ascii="宋体" w:hAnsi="宋体" w:eastAsia="宋体" w:cs="宋体"/>
                <w:b/>
                <w:position w:val="-10"/>
                <w:sz w:val="21"/>
                <w:szCs w:val="21"/>
                <w:highlight w:val="none"/>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after="0"/>
              <w:widowControl w:val="off"/>
              <w:rPr>
                <w:rFonts w:hint="eastAsia" w:ascii="宋体" w:hAnsi="宋体" w:eastAsia="宋体" w:cs="宋体"/>
                <w:b/>
                <w:sz w:val="21"/>
                <w:szCs w:val="21"/>
                <w:highlight w:val="none"/>
              </w:rPr>
            </w:pPr>
            <w:r>
              <w:rPr>
                <w:rFonts w:hint="eastAsia" w:ascii="宋体" w:hAnsi="宋体" w:eastAsia="宋体" w:cs="宋体"/>
                <w:b/>
                <w:position w:val="-10"/>
                <w:sz w:val="21"/>
                <w:szCs w:val="21"/>
                <w:highlight w:val="none"/>
                <w:lang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0"/>
              <w:widowControl w:val="off"/>
              <w:rPr>
                <w:rFonts w:hint="eastAsia" w:ascii="宋体" w:hAnsi="宋体" w:eastAsia="宋体" w:cs="宋体"/>
                <w:b/>
                <w:sz w:val="21"/>
                <w:szCs w:val="21"/>
                <w:highlight w:val="none"/>
              </w:rPr>
            </w:pPr>
            <w:r>
              <w:rPr>
                <w:rFonts w:hint="eastAsia" w:ascii="宋体" w:hAnsi="宋体" w:eastAsia="宋体" w:cs="宋体"/>
                <w:b/>
                <w:position w:val="-10"/>
                <w:sz w:val="21"/>
                <w:szCs w:val="21"/>
                <w:highlight w:val="none"/>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center"/>
              <w:spacing w:after="0"/>
              <w:widowControl w:val="off"/>
              <w:rPr>
                <w:rFonts w:hint="eastAsia" w:ascii="宋体" w:hAnsi="宋体" w:eastAsia="宋体" w:cs="宋体"/>
                <w:b/>
                <w:position w:val="-10"/>
                <w:sz w:val="21"/>
                <w:szCs w:val="21"/>
                <w:highlight w:val="none"/>
                <w:lang w:eastAsia="zh-CN" w:bidi="ar"/>
              </w:rPr>
            </w:pPr>
            <w:r>
              <w:rPr>
                <w:rFonts w:hint="eastAsia" w:ascii="宋体" w:hAnsi="宋体" w:eastAsia="宋体" w:cs="宋体"/>
                <w:b/>
                <w:position w:val="-10"/>
                <w:sz w:val="21"/>
                <w:szCs w:val="21"/>
                <w:highlight w:val="none"/>
                <w:lang w:eastAsia="zh-CN" w:bidi="ar"/>
              </w:rPr>
              <w:t xml:space="preserve">质量参数与验收要求</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spacing w:after="0"/>
              <w:widowControl w:val="off"/>
              <w:rPr>
                <w:rFonts w:hint="eastAsia" w:ascii="宋体" w:hAnsi="宋体" w:eastAsia="宋体" w:cs="宋体"/>
                <w:b/>
                <w:position w:val="-10"/>
                <w:sz w:val="21"/>
                <w:szCs w:val="21"/>
                <w:highlight w:val="none"/>
                <w:lang w:eastAsia="zh-CN" w:bidi="ar"/>
              </w:rPr>
            </w:pPr>
            <w:r>
              <w:rPr>
                <w:rFonts w:hint="eastAsia" w:ascii="宋体" w:hAnsi="宋体" w:eastAsia="宋体" w:cs="宋体"/>
                <w:b/>
                <w:position w:val="-10"/>
                <w:sz w:val="21"/>
                <w:szCs w:val="21"/>
                <w:highlight w:val="none"/>
                <w:lang w:eastAsia="zh-CN" w:bidi="ar"/>
              </w:rPr>
              <w:t xml:space="preserve">参考照片</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猪肉皮</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呈乳白色，有光泽，脂肪洁白，肉皮的外表微干，不粘手，具有新鲜猪肉的正常气味。无血污，肉边整齐，无多余油脂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无寄生虫、无病变结节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水分 ≤ 70%</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挥发性盐基氮 ≤ 15mg/100g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4410" cy="994410"/>
                      <wp:effectExtent l="0" t="0" r="15240" b="15240"/>
                      <wp:docPr id="6" name="图片 2" descr="微信图片_20260306123036_17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微信图片_20260306123036_17_45"/>
                              <pic:cNvPicPr>
                                <a:picLocks noChangeAspect="1"/>
                              </pic:cNvPicPr>
                              <pic:nvPr/>
                            </pic:nvPicPr>
                            <pic:blipFill>
                              <a:blip r:embed="rId22"/>
                              <a:stretch/>
                            </pic:blipFill>
                            <pic:spPr bwMode="auto">
                              <a:xfrm>
                                <a:off x="0" y="0"/>
                                <a:ext cx="994410" cy="994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8.3pt;height:78.3pt;mso-wrap-distance-left:0.0pt;mso-wrap-distance-top:0.0pt;mso-wrap-distance-right:0.0pt;mso-wrap-distance-bottom:0.0pt;" stroked="f">
                      <v:path textboxrect="0,0,0,0"/>
                      <v:imagedata r:id="rId22" o:title=""/>
                    </v:shape>
                  </w:pict>
                </mc:Fallback>
              </mc:AlternateContent>
            </w:r>
            <w:r/>
          </w:p>
        </w:tc>
      </w:tr>
      <w:tr>
        <w:trPr>
          <w:trHeight w:val="165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去肉扇骨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呈淡红色、无碎肉、无异味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骨膜完整，无淤血，无碎骨渣，钙含量≥12%，重金属铅（Pb）≤0.3mg/kg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0600" cy="990600"/>
                      <wp:effectExtent l="0" t="0" r="0" b="0"/>
                      <wp:docPr id="7" name="图片 3" descr="扇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扇骨"/>
                              <pic:cNvPicPr>
                                <a:picLocks noChangeAspect="1"/>
                              </pic:cNvPicPr>
                              <pic:nvPr/>
                            </pic:nvPicPr>
                            <pic:blipFill>
                              <a:blip r:embed="rId23"/>
                              <a:stretch/>
                            </pic:blipFill>
                            <pic:spPr bwMode="auto">
                              <a:xfrm>
                                <a:off x="0" y="0"/>
                                <a:ext cx="9906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8.0pt;height:78.0pt;mso-wrap-distance-left:0.0pt;mso-wrap-distance-top:0.0pt;mso-wrap-distance-right:0.0pt;mso-wrap-distance-bottom:0.0pt;" stroked="f">
                      <v:path textboxrect="0,0,0,0"/>
                      <v:imagedata r:id="rId23" o:title=""/>
                    </v:shape>
                  </w:pict>
                </mc:Fallback>
              </mc:AlternateConten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猪肺</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整体呈淡红色，无黑斑、组织皮囊不破、无异味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无水肿、无结节，无寄生虫，水分≤80%，挥发性盐基氮≤15mg/100g，符合GB 2707-2016《食品安全国家标准 鲜（冻）畜、禽产品》标准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0600" cy="990600"/>
                      <wp:effectExtent l="0" t="0" r="0" b="0"/>
                      <wp:docPr id="8" name="图片 4" descr="猪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猪肺"/>
                              <pic:cNvPicPr>
                                <a:picLocks noChangeAspect="1"/>
                              </pic:cNvPicPr>
                              <pic:nvPr/>
                            </pic:nvPicPr>
                            <pic:blipFill>
                              <a:blip r:embed="rId24"/>
                              <a:stretch/>
                            </pic:blipFill>
                            <pic:spPr bwMode="auto">
                              <a:xfrm>
                                <a:off x="0" y="0"/>
                                <a:ext cx="9906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8.0pt;height:78.0pt;mso-wrap-distance-left:0.0pt;mso-wrap-distance-top:0.0pt;mso-wrap-distance-right:0.0pt;mso-wrap-distance-bottom:0.0pt;" stroked="f">
                      <v:path textboxrect="0,0,0,0"/>
                      <v:imagedata r:id="rId24" o:title=""/>
                    </v:shape>
                  </w:pict>
                </mc:Fallback>
              </mc:AlternateConten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猪肝</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整体呈红褐色或棕黄色，有光泽，湿润，略有弹性，组织结实，微实，肝叶完整，无脂肪，无寄生虫、炎症水疱、薄膜、无胆汁污染</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水分≤78%，挥发性盐基氮≤15mg/100g，铅（Pb）≤0.5mg/kg，镉（Cd）≤0.1mg/kg，符合GB 2707-2016《食品安全国家标准 鲜（冻）畜、禽产品》标准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9490" cy="1029335"/>
                      <wp:effectExtent l="0" t="0" r="10160" b="18415"/>
                      <wp:docPr id="9" name="图片 5" descr="猪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猪肝"/>
                              <pic:cNvPicPr>
                                <a:picLocks noChangeAspect="1"/>
                              </pic:cNvPicPr>
                              <pic:nvPr/>
                            </pic:nvPicPr>
                            <pic:blipFill>
                              <a:blip r:embed="rId25"/>
                              <a:stretch/>
                            </pic:blipFill>
                            <pic:spPr bwMode="auto">
                              <a:xfrm>
                                <a:off x="0" y="0"/>
                                <a:ext cx="999490" cy="1029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8.7pt;height:81.0pt;mso-wrap-distance-left:0.0pt;mso-wrap-distance-top:0.0pt;mso-wrap-distance-right:0.0pt;mso-wrap-distance-bottom:0.0pt;" stroked="f">
                      <v:path textboxrect="0,0,0,0"/>
                      <v:imagedata r:id="rId25"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板油</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auto"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呈乳白色、无血斑、无杂质、无异味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水分≤12%，酸价（以KOH计）≤0.3mg/g，过氧化值≤0.02g/100g，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无黄曲霉毒素B1残留，符合GB/T 8937-2008《食用猪油》标准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10" name="图片 6" descr="板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板油"/>
                              <pic:cNvPicPr>
                                <a:picLocks noChangeAspect="1"/>
                              </pic:cNvPicPr>
                              <pic:nvPr/>
                            </pic:nvPicPr>
                            <pic:blipFill>
                              <a:blip r:embed="rId26"/>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8.2pt;height:78.2pt;mso-wrap-distance-left:0.0pt;mso-wrap-distance-top:0.0pt;mso-wrap-distance-right:0.0pt;mso-wrap-distance-bottom:0.0pt;" stroked="f">
                      <v:path textboxrect="0,0,0,0"/>
                      <v:imagedata r:id="rId26" o:title=""/>
                    </v:shape>
                  </w:pict>
                </mc:Fallback>
              </mc:AlternateContent>
            </w:r>
            <w:r/>
          </w:p>
        </w:tc>
      </w:tr>
      <w:tr>
        <w:trPr>
          <w:trHeight w:val="176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鲜猪心</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auto"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auto" w:sz="4" w:space="0"/>
              <w:left w:val="single" w:color="auto" w:sz="4" w:space="0"/>
              <w:bottom w:val="single" w:color="auto" w:sz="4" w:space="0"/>
              <w:right w:val="single" w:color="000000" w:sz="4" w:space="0"/>
            </w:tcBorders>
            <w:tcW w:w="4926" w:type="dxa"/>
            <w:vAlign w:val="center"/>
            <w:textDirection w:val="lrTb"/>
            <w:noWrap w:val="false"/>
          </w:tcPr>
          <w:p>
            <w:pPr>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感官：呈红色，脂肪呈白色或乳黄色，结实，有弹性，外形完整，心腔内无淤血，无异味；理化指标：按GB/T 9959.1-2019中“鲜、冻猪心脏”的理化指标执行；微生物指标：按GB 2707-2016中“鲜、冻畜肉”的微生物限量执行；冷链要求：0 - 4℃冷藏，贮存期不超过24小时（参考同类鲜肉产品冷链标准）   鲜猪心实物照片（参考：呈红色、脂肪乳白、外形完整、无淤血）</w:t>
            </w:r>
            <w:r/>
          </w:p>
        </w:tc>
        <w:tc>
          <w:tcPr>
            <w:tcBorders>
              <w:top w:val="single" w:color="000000" w:sz="4" w:space="0"/>
              <w:left w:val="single" w:color="auto"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0600" cy="3764915"/>
                      <wp:effectExtent l="0" t="0" r="0" b="6985"/>
                      <wp:docPr id="11" name="图片 7" descr="猪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猪心"/>
                              <pic:cNvPicPr>
                                <a:picLocks noChangeAspect="1"/>
                              </pic:cNvPicPr>
                              <pic:nvPr/>
                            </pic:nvPicPr>
                            <pic:blipFill>
                              <a:blip r:embed="rId27"/>
                              <a:stretch/>
                            </pic:blipFill>
                            <pic:spPr bwMode="auto">
                              <a:xfrm>
                                <a:off x="0" y="0"/>
                                <a:ext cx="990600" cy="3764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8.0pt;height:296.4pt;mso-wrap-distance-left:0.0pt;mso-wrap-distance-top:0.0pt;mso-wrap-distance-right:0.0pt;mso-wrap-distance-bottom:0.0pt;" stroked="f">
                      <v:path textboxrect="0,0,0,0"/>
                      <v:imagedata r:id="rId27" o:title=""/>
                    </v:shape>
                  </w:pict>
                </mc:Fallback>
              </mc:AlternateConten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去皮后腿肉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斤</w:t>
            </w:r>
            <w:r/>
          </w:p>
        </w:tc>
        <w:tc>
          <w:tcPr>
            <w:shd w:val="clear" w:color="auto" w:fill="ffffff"/>
            <w:tcBorders>
              <w:top w:val="single" w:color="auto" w:sz="4" w:space="0"/>
              <w:left w:val="single" w:color="000000" w:sz="4" w:space="0"/>
              <w:bottom w:val="single" w:color="000000" w:sz="4" w:space="0"/>
              <w:right w:val="single" w:color="000000" w:sz="4" w:space="0"/>
            </w:tcBorders>
            <w:tcW w:w="4926" w:type="dxa"/>
            <w:vAlign w:val="center"/>
            <w:textDirection w:val="lrTb"/>
            <w:noWrap w:val="false"/>
          </w:tcPr>
          <w:p>
            <w:pPr>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肉体紧密有弹性、色泽红润、不粘手、无注水、新鲜非冷冻、无异味</w:t>
            </w:r>
            <w:r/>
          </w:p>
          <w:p>
            <w:pPr>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规格：猪后腿精肉，去皮、去骨、</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核心配料：新鲜生猪后腿肉，无任何添加剂、无注水、无保水剂</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宰后快速预冷；0-4℃环境排酸 24 小时去除腥味；</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2429510" cy="1478915"/>
                      <wp:effectExtent l="0" t="0" r="8890" b="698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r/>
                            </pic:nvPicPr>
                            <pic:blipFill>
                              <a:blip r:embed="rId28"/>
                              <a:stretch/>
                            </pic:blipFill>
                            <pic:spPr bwMode="auto">
                              <a:xfrm>
                                <a:off x="0" y="0"/>
                                <a:ext cx="2429509" cy="147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91.3pt;height:116.4pt;mso-wrap-distance-left:0.0pt;mso-wrap-distance-top:0.0pt;mso-wrap-distance-right:0.0pt;mso-wrap-distance-bottom:0.0pt;" stroked="f">
                      <v:path textboxrect="0,0,0,0"/>
                      <v:imagedata r:id="rId28" o:title=""/>
                    </v:shape>
                  </w:pict>
                </mc:Fallback>
              </mc:AlternateContent>
            </w:r>
            <w:r/>
          </w:p>
        </w:tc>
      </w:tr>
      <w:tr>
        <w:trPr>
          <w:trHeight w:val="116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去骨蹄髈</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肉体紧密有弹性、色泽红润、不粘手、无注水、新鲜非冷冻、无异味、净毛</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水分≤70%，挥发性盐基氮≤12mg/100g，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无残留毛根及筋膜杂质，铅（Pb）≤0.5mg/kg，符合GB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995680"/>
                      <wp:effectExtent l="0" t="0" r="13970" b="13970"/>
                      <wp:docPr id="13" name="图片 9" descr="去骨蹄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9" descr="去骨蹄髈"/>
                              <pic:cNvPicPr>
                                <a:picLocks noChangeAspect="1"/>
                              </pic:cNvPicPr>
                              <pic:nvPr/>
                            </pic:nvPicPr>
                            <pic:blipFill>
                              <a:blip r:embed="rId29"/>
                              <a:stretch/>
                            </pic:blipFill>
                            <pic:spPr bwMode="auto">
                              <a:xfrm>
                                <a:off x="0" y="0"/>
                                <a:ext cx="995680" cy="9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8.4pt;height:78.4pt;mso-wrap-distance-left:0.0pt;mso-wrap-distance-top:0.0pt;mso-wrap-distance-right:0.0pt;mso-wrap-distance-bottom:0.0pt;" stroked="f">
                      <v:path textboxrect="0,0,0,0"/>
                      <v:imagedata r:id="rId29" o:title=""/>
                    </v:shape>
                  </w:pict>
                </mc:Fallback>
              </mc:AlternateContent>
            </w:r>
            <w:r/>
          </w:p>
        </w:tc>
      </w:tr>
      <w:tr>
        <w:trPr>
          <w:trHeight w:val="1103"/>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带肉圆骨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新鲜非冷冻，肉质紧密（每个带骨髓）规格约300克/个、无异味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带肉率≥35%，骨体完整无断裂，骨髓充盈无干瘪，重金属指标符合GB 2707-2016标准，</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995680"/>
                      <wp:effectExtent l="0" t="0" r="13970" b="13970"/>
                      <wp:docPr id="14" name="图片 10" descr="圆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0" descr="圆骨"/>
                              <pic:cNvPicPr>
                                <a:picLocks noChangeAspect="1"/>
                              </pic:cNvPicPr>
                              <pic:nvPr/>
                            </pic:nvPicPr>
                            <pic:blipFill>
                              <a:blip r:embed="rId30"/>
                              <a:stretch/>
                            </pic:blipFill>
                            <pic:spPr bwMode="auto">
                              <a:xfrm>
                                <a:off x="0" y="0"/>
                                <a:ext cx="995680" cy="9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8.4pt;height:78.4pt;mso-wrap-distance-left:0.0pt;mso-wrap-distance-top:0.0pt;mso-wrap-distance-right:0.0pt;mso-wrap-distance-bottom:0.0pt;" stroked="f">
                      <v:path textboxrect="0,0,0,0"/>
                      <v:imagedata r:id="rId30" o:title=""/>
                    </v:shape>
                  </w:pict>
                </mc:Fallback>
              </mc:AlternateConten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五花肉丁</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肉体紧密有弹性、新鲜非冷冻、色泽红润、不粘手、无注水、无异味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带肉率≥35%，骨体完整无断裂，骨髓充盈无干瘪，重金属指标符合GB 2707-2016标准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327785"/>
                      <wp:effectExtent l="0" t="0" r="13970" b="5715"/>
                      <wp:docPr id="15" name="图片 11" descr="五花肉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1" descr="五花肉丁"/>
                              <pic:cNvPicPr>
                                <a:picLocks noChangeAspect="1"/>
                              </pic:cNvPicPr>
                              <pic:nvPr/>
                            </pic:nvPicPr>
                            <pic:blipFill>
                              <a:blip r:embed="rId31"/>
                              <a:stretch/>
                            </pic:blipFill>
                            <pic:spPr bwMode="auto">
                              <a:xfrm>
                                <a:off x="0" y="0"/>
                                <a:ext cx="995680" cy="132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8.4pt;height:104.5pt;mso-wrap-distance-left:0.0pt;mso-wrap-distance-top:0.0pt;mso-wrap-distance-right:0.0pt;mso-wrap-distance-bottom:0.0pt;" stroked="f">
                      <v:path textboxrect="0,0,0,0"/>
                      <v:imagedata r:id="rId31" o:title=""/>
                    </v:shape>
                  </w:pict>
                </mc:Fallback>
              </mc:AlternateContent>
            </w:r>
            <w:r/>
          </w:p>
        </w:tc>
      </w:tr>
      <w:tr>
        <w:trPr>
          <w:trHeight w:val="148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五花肉末</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规格：去皮五花肉，肥瘦比 3:7，无纯肥、纯瘦掺杂；8-10mm 颗粒肉末，无结块、无筋膜碎屑</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核心配料：新鲜生猪去皮五花肉，无注水、无添加剂、无防腐剂</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工艺要求：精选猪肋条部位去皮五花肉，手工剔除筋膜；</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1160145" cy="1096010"/>
                      <wp:effectExtent l="0" t="0" r="1905" b="8890"/>
                      <wp:docPr id="16" name="图片 12" descr="五花肉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2" descr="五花肉沫"/>
                              <pic:cNvPicPr>
                                <a:picLocks noChangeAspect="1"/>
                              </pic:cNvPicPr>
                              <pic:nvPr/>
                            </pic:nvPicPr>
                            <pic:blipFill>
                              <a:blip r:embed="rId32"/>
                              <a:stretch/>
                            </pic:blipFill>
                            <pic:spPr bwMode="auto">
                              <a:xfrm>
                                <a:off x="0" y="0"/>
                                <a:ext cx="116014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1.3pt;height:86.3pt;mso-wrap-distance-left:0.0pt;mso-wrap-distance-top:0.0pt;mso-wrap-distance-right:0.0pt;mso-wrap-distance-bottom:0.0pt;" stroked="f">
                      <v:path textboxrect="0,0,0,0"/>
                      <v:imagedata r:id="rId32" o:title=""/>
                    </v:shape>
                  </w:pict>
                </mc:Fallback>
              </mc:AlternateContent>
            </w:r>
            <w:r/>
          </w:p>
        </w:tc>
      </w:tr>
      <w:tr>
        <w:trPr>
          <w:trHeight w:val="101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带肉猪龙骨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肉体紧密、新鲜非冷冻、色泽红润、不粘手、无注水、无异味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含肉率≥40%，骨体完整无断裂，无淤血及碎骨渣，水分≤75%，挥发性盐基氮≤15mg/100g，符合GB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1079500"/>
                      <wp:effectExtent l="0" t="0" r="11430" b="6350"/>
                      <wp:docPr id="17" name="图片 13" descr="龙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3" descr="龙骨"/>
                              <pic:cNvPicPr>
                                <a:picLocks noChangeAspect="1"/>
                              </pic:cNvPicPr>
                              <pic:nvPr/>
                            </pic:nvPicPr>
                            <pic:blipFill>
                              <a:blip r:embed="rId33"/>
                              <a:stretch/>
                            </pic:blipFill>
                            <pic:spPr bwMode="auto">
                              <a:xfrm>
                                <a:off x="0" y="0"/>
                                <a:ext cx="998220" cy="107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8.6pt;height:85.0pt;mso-wrap-distance-left:0.0pt;mso-wrap-distance-top:0.0pt;mso-wrap-distance-right:0.0pt;mso-wrap-distance-bottom:0.0pt;" stroked="f">
                      <v:path textboxrect="0,0,0,0"/>
                      <v:imagedata r:id="rId33" o:title=""/>
                    </v:shape>
                  </w:pict>
                </mc:Fallback>
              </mc:AlternateContent>
            </w:r>
            <w:r/>
          </w:p>
        </w:tc>
      </w:tr>
      <w:tr>
        <w:trPr>
          <w:trHeight w:val="101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猪肋排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肉体紧密有弹性、无化冻现象、色泽红润、不粘手、无注水、含肉量≥40%、无异味</w:t>
            </w:r>
            <w:r/>
          </w:p>
          <w:p>
            <w:pPr>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规格：猪纯肋排，去除脊骨、胸骨，仅留肋排段；</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核心配料：新鲜生猪肋排，无注水、无修割废料掺杂，无添加剂</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mc:AlternateContent>
                <mc:Choice Requires="wpg">
                  <w:drawing>
                    <wp:inline xmlns:wp="http://schemas.openxmlformats.org/drawingml/2006/wordprocessingDrawing" distT="0" distB="0" distL="0" distR="0">
                      <wp:extent cx="996315" cy="746760"/>
                      <wp:effectExtent l="0" t="0" r="13335" b="15240"/>
                      <wp:docPr id="18" name="图片 14" descr="肋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4" descr="肋排"/>
                              <pic:cNvPicPr>
                                <a:picLocks noChangeAspect="1"/>
                              </pic:cNvPicPr>
                              <pic:nvPr/>
                            </pic:nvPicPr>
                            <pic:blipFill>
                              <a:blip r:embed="rId34"/>
                              <a:stretch/>
                            </pic:blipFill>
                            <pic:spPr bwMode="auto">
                              <a:xfrm>
                                <a:off x="0" y="0"/>
                                <a:ext cx="996315"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5pt;height:58.8pt;mso-wrap-distance-left:0.0pt;mso-wrap-distance-top:0.0pt;mso-wrap-distance-right:0.0pt;mso-wrap-distance-bottom:0.0pt;" stroked="f">
                      <v:path textboxrect="0,0,0,0"/>
                      <v:imagedata r:id="rId34" o:title=""/>
                    </v:shape>
                  </w:pict>
                </mc:Fallback>
              </mc:AlternateContent>
            </w:r>
            <w:r/>
          </w:p>
        </w:tc>
      </w:tr>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精肉肉沫</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选用纯新鲜腿肉、不含任何杂肉、淋巴组织</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纯瘦肉无肥膘，无淋巴、淤血及结缔组织，颗粒均匀，水分≤72%，挥发性盐基氮≤15mg/100g，符合生鲜肉馅食品安全规范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855" cy="1497965"/>
                      <wp:effectExtent l="0" t="0" r="10795" b="6985"/>
                      <wp:docPr id="19" name="图片 15" descr="肉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5" descr="肉沫"/>
                              <pic:cNvPicPr>
                                <a:picLocks noChangeAspect="1"/>
                              </pic:cNvPicPr>
                              <pic:nvPr/>
                            </pic:nvPicPr>
                            <pic:blipFill>
                              <a:blip r:embed="rId35"/>
                              <a:stretch/>
                            </pic:blipFill>
                            <pic:spPr bwMode="auto">
                              <a:xfrm>
                                <a:off x="0" y="0"/>
                                <a:ext cx="998855" cy="149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8.6pt;height:117.9pt;mso-wrap-distance-left:0.0pt;mso-wrap-distance-top:0.0pt;mso-wrap-distance-right:0.0pt;mso-wrap-distance-bottom:0.0pt;" stroked="f">
                      <v:path textboxrect="0,0,0,0"/>
                      <v:imagedata r:id="rId35" o:title=""/>
                    </v:shape>
                  </w:pict>
                </mc:Fallback>
              </mc:AlternateContent>
            </w:r>
            <w:r/>
          </w:p>
        </w:tc>
      </w:tr>
      <w:tr>
        <w:trPr>
          <w:trHeight w:val="16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混排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肉体紧密。新鲜无化冻现象、色泽红润、不粘手、无注水、（肋排：龙骨）比例约1:1</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规格：猪肋排，含少量软骨，去除多余肥油及筋膜；</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核心配料：新鲜生猪肋排、龙骨，无注水、无添加剂，无病变组织；</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理化指标：水分≤70%，挥发性盐基氮≤12mg/100g，重金属铅（Pb）≤0.5mg/kg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950" cy="747395"/>
                      <wp:effectExtent l="0" t="0" r="12700" b="14604"/>
                      <wp:docPr id="20" name="图片 16" descr="混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6" descr="混排"/>
                              <pic:cNvPicPr>
                                <a:picLocks noChangeAspect="1"/>
                              </pic:cNvPicPr>
                              <pic:nvPr/>
                            </pic:nvPicPr>
                            <pic:blipFill>
                              <a:blip r:embed="rId36"/>
                              <a:stretch/>
                            </pic:blipFill>
                            <pic:spPr bwMode="auto">
                              <a:xfrm>
                                <a:off x="0" y="0"/>
                                <a:ext cx="996950" cy="74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5pt;height:58.8pt;mso-wrap-distance-left:0.0pt;mso-wrap-distance-top:0.0pt;mso-wrap-distance-right:0.0pt;mso-wrap-distance-bottom:0.0pt;" stroked="f">
                      <v:path textboxrect="0,0,0,0"/>
                      <v:imagedata r:id="rId36" o:title=""/>
                    </v:shape>
                  </w:pict>
                </mc:Fallback>
              </mc:AlternateConten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小排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w:t>
            </w:r>
            <w:r/>
          </w:p>
          <w:p>
            <w:pPr>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规格：猪前排，含少量软骨，去除多余肥油及筋膜；</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核心配料：新鲜生猪小排，无注水、无添加剂，无病变组织</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1870" cy="838200"/>
                      <wp:effectExtent l="0" t="0" r="17780" b="0"/>
                      <wp:docPr id="21" name="图片 17" descr="小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7" descr="小排"/>
                              <pic:cNvPicPr>
                                <a:picLocks noChangeAspect="1"/>
                              </pic:cNvPicPr>
                              <pic:nvPr/>
                            </pic:nvPicPr>
                            <pic:blipFill>
                              <a:blip r:embed="rId37"/>
                              <a:stretch/>
                            </pic:blipFill>
                            <pic:spPr bwMode="auto">
                              <a:xfrm>
                                <a:off x="0" y="0"/>
                                <a:ext cx="99187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8.1pt;height:66.0pt;mso-wrap-distance-left:0.0pt;mso-wrap-distance-top:0.0pt;mso-wrap-distance-right:0.0pt;mso-wrap-distance-bottom:0.0pt;" stroked="f">
                      <v:path textboxrect="0,0,0,0"/>
                      <v:imagedata r:id="rId37" o:title=""/>
                    </v:shape>
                  </w:pict>
                </mc:Fallback>
              </mc:AlternateConten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猪头</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紧密有弹性、新鲜非冷冻、色泽红润、不粘手、无注水、净毛</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无残留毛根及淋巴组织，无淤血及病变，水分≤75%，挥发性盐基氮≤15mg/100g，符合GB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987550"/>
                      <wp:effectExtent l="0" t="0" r="15875" b="12700"/>
                      <wp:docPr id="22" name="图片 18" descr="猪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8" descr="猪头"/>
                              <pic:cNvPicPr>
                                <a:picLocks noChangeAspect="1"/>
                              </pic:cNvPicPr>
                              <pic:nvPr/>
                            </pic:nvPicPr>
                            <pic:blipFill>
                              <a:blip r:embed="rId38"/>
                              <a:stretch/>
                            </pic:blipFill>
                            <pic:spPr bwMode="auto">
                              <a:xfrm>
                                <a:off x="0" y="0"/>
                                <a:ext cx="993775" cy="198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8.2pt;height:156.5pt;mso-wrap-distance-left:0.0pt;mso-wrap-distance-top:0.0pt;mso-wrap-distance-right:0.0pt;mso-wrap-distance-bottom:0.0pt;" stroked="f">
                      <v:path textboxrect="0,0,0,0"/>
                      <v:imagedata r:id="rId38" o:title=""/>
                    </v:shape>
                  </w:pict>
                </mc:Fallback>
              </mc:AlternateContent>
            </w:r>
            <w:r/>
          </w:p>
        </w:tc>
      </w:tr>
      <w:tr>
        <w:trPr>
          <w:trHeight w:val="172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去皮五花肉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肉体紧密有弹性、新鲜非冷冻、色泽红润、不粘手、无注水、无异味要四周看见肥瘦有三层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肥瘦比例约3:7，无筋膜及碎肉，水分≤68%，酸价（以KOH计）≤0.4mg/g，符合生鲜猪肉食品安全规范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23" name="图片 19" descr="去皮五花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9" descr="去皮五花肉"/>
                              <pic:cNvPicPr>
                                <a:picLocks noChangeAspect="1"/>
                              </pic:cNvPicPr>
                              <pic:nvPr/>
                            </pic:nvPicPr>
                            <pic:blipFill>
                              <a:blip r:embed="rId39"/>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8.2pt;height:78.2pt;mso-wrap-distance-left:0.0pt;mso-wrap-distance-top:0.0pt;mso-wrap-distance-right:0.0pt;mso-wrap-distance-bottom:0.0pt;" stroked="f">
                      <v:path textboxrect="0,0,0,0"/>
                      <v:imagedata r:id="rId39" o:title=""/>
                    </v:shape>
                  </w:pict>
                </mc:Fallback>
              </mc:AlternateContent>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猪里脊</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肉体紧密、新鲜非冷冻、色泽红润、不粘手、不含筋膜</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纯瘦肉无肥膘，无筋膜及结缔组织，水分≤72%，挥发性盐基氮≤12mg/100g，重金属铅（Pb）≤0.5mg/kg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24" name="图片 20" descr="3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0" descr="3号"/>
                              <pic:cNvPicPr>
                                <a:picLocks noChangeAspect="1"/>
                              </pic:cNvPicPr>
                              <pic:nvPr/>
                            </pic:nvPicPr>
                            <pic:blipFill>
                              <a:blip r:embed="rId40"/>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8.2pt;height:78.2pt;mso-wrap-distance-left:0.0pt;mso-wrap-distance-top:0.0pt;mso-wrap-distance-right:0.0pt;mso-wrap-distance-bottom:0.0pt;" stroked="f">
                      <v:path textboxrect="0,0,0,0"/>
                      <v:imagedata r:id="rId40"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精肉肉丁</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肉体紧密、新鲜非冷冻、色泽红润、不粘手、不含筋膜</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规格为1cm×1cm标准肉丁，纯瘦肉无肥膘，无筋膜及结缔组织，水分≤72%，挥发性盐基氮≤12mg/100g，符合生鲜猪肉食品安全规范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315" cy="746760"/>
                      <wp:effectExtent l="0" t="0" r="13335" b="15240"/>
                      <wp:docPr id="25" name="图片 21" descr="肉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1" descr="肉丁"/>
                              <pic:cNvPicPr>
                                <a:picLocks noChangeAspect="1"/>
                              </pic:cNvPicPr>
                              <pic:nvPr/>
                            </pic:nvPicPr>
                            <pic:blipFill>
                              <a:blip r:embed="rId41"/>
                              <a:stretch/>
                            </pic:blipFill>
                            <pic:spPr bwMode="auto">
                              <a:xfrm>
                                <a:off x="0" y="0"/>
                                <a:ext cx="996315"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8.5pt;height:58.8pt;mso-wrap-distance-left:0.0pt;mso-wrap-distance-top:0.0pt;mso-wrap-distance-right:0.0pt;mso-wrap-distance-bottom:0.0pt;" stroked="f">
                      <v:path textboxrect="0,0,0,0"/>
                      <v:imagedata r:id="rId41"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精肉肉片</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肉体紧密、新鲜非冷冻、色泽红润、不粘手、不含筋膜</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肉片厚度均匀（约2-3mm），纯瘦肉无肥膘，无筋膜及结缔组织，水分≤72%，酸价（以KOH计）≤0.4mg/g，无注水及添加剂</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748665"/>
                      <wp:effectExtent l="0" t="0" r="11430" b="13335"/>
                      <wp:docPr id="26" name="图片 22" descr="肉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2" descr="肉片"/>
                              <pic:cNvPicPr>
                                <a:picLocks noChangeAspect="1"/>
                              </pic:cNvPicPr>
                              <pic:nvPr/>
                            </pic:nvPicPr>
                            <pic:blipFill>
                              <a:blip r:embed="rId42"/>
                              <a:stretch/>
                            </pic:blipFill>
                            <pic:spPr bwMode="auto">
                              <a:xfrm>
                                <a:off x="0" y="0"/>
                                <a:ext cx="998220" cy="748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8.6pt;height:58.9pt;mso-wrap-distance-left:0.0pt;mso-wrap-distance-top:0.0pt;mso-wrap-distance-right:0.0pt;mso-wrap-distance-bottom:0.0pt;" stroked="f">
                      <v:path textboxrect="0,0,0,0"/>
                      <v:imagedata r:id="rId4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精肉肉丝</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肉体紧密、新鲜非冷冻、色泽红润、不粘手、不含筋膜</w:t>
            </w:r>
            <w:r/>
          </w:p>
          <w:p>
            <w:pPr>
              <w:spacing w:after="240"/>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 规格：猪后腿精瘦肉，去皮、去骨、纯瘦肉制作；肉丝规格 4cm×0.5cm，粗细均匀，无碎末、无连刀</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 核心配料：新鲜生猪后腿精瘦肉，无注水、无保水剂、无嫩肉粉，无任何添加剂</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045" cy="1326515"/>
                      <wp:effectExtent l="0" t="0" r="14604" b="6985"/>
                      <wp:docPr id="27" name="图片 23" descr="微信图片_20260306172241_36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3" descr="微信图片_20260306172241_36_45"/>
                              <pic:cNvPicPr>
                                <a:picLocks noChangeAspect="1"/>
                              </pic:cNvPicPr>
                              <pic:nvPr/>
                            </pic:nvPicPr>
                            <pic:blipFill>
                              <a:blip r:embed="rId43"/>
                              <a:stretch/>
                            </pic:blipFill>
                            <pic:spPr bwMode="auto">
                              <a:xfrm>
                                <a:off x="0" y="0"/>
                                <a:ext cx="995045" cy="1326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8.3pt;height:104.4pt;mso-wrap-distance-left:0.0pt;mso-wrap-distance-top:0.0pt;mso-wrap-distance-right:0.0pt;mso-wrap-distance-bottom:0.0pt;" stroked="f">
                      <v:path textboxrect="0,0,0,0"/>
                      <v:imagedata r:id="rId43" o:title=""/>
                    </v:shape>
                  </w:pict>
                </mc:Fallback>
              </mc:AlternateConten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精瘦肉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肉体紧密、新鲜非冷冻、色泽红润、不粘手、不含筋膜</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纯瘦肉无肥膘，无筋膜及结缔组织，无注水、无嫩肉粉，无任何添加剂，水分≤72%，挥发性盐基氮≤12mg/100g，符合GB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28" name="图片 24" descr="精瘦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4" descr="精瘦肉"/>
                              <pic:cNvPicPr>
                                <a:picLocks noChangeAspect="1"/>
                              </pic:cNvPicPr>
                              <pic:nvPr/>
                            </pic:nvPicPr>
                            <pic:blipFill>
                              <a:blip r:embed="rId44"/>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8.2pt;height:78.2pt;mso-wrap-distance-left:0.0pt;mso-wrap-distance-top:0.0pt;mso-wrap-distance-right:0.0pt;mso-wrap-distance-bottom:0.0pt;" stroked="f">
                      <v:path textboxrect="0,0,0,0"/>
                      <v:imagedata r:id="rId44" o:title=""/>
                    </v:shape>
                  </w:pict>
                </mc:Fallback>
              </mc:AlternateContent>
            </w:r>
            <w:r/>
          </w:p>
        </w:tc>
      </w:tr>
      <w:tr>
        <w:trPr>
          <w:trHeight w:val="168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猪大排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新鲜非冷冻、色泽红润、0.3-0.4斤/块，切割均匀、肉含量≥75%</w:t>
            </w:r>
            <w:r/>
          </w:p>
          <w:p>
            <w:pPr>
              <w:jc w:val="both"/>
              <w:spacing w:after="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规格：猪脊骨外侧大排，带骨带少量肥油，肉质厚实；</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核心配料：新鲜生猪大排，无注水、无病变，无添加剂</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950" cy="1329690"/>
                      <wp:effectExtent l="0" t="0" r="12700" b="3810"/>
                      <wp:docPr id="29" name="图片 25" descr="猪大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5" descr="猪大排"/>
                              <pic:cNvPicPr>
                                <a:picLocks noChangeAspect="1"/>
                              </pic:cNvPicPr>
                              <pic:nvPr/>
                            </pic:nvPicPr>
                            <pic:blipFill>
                              <a:blip r:embed="rId45"/>
                              <a:stretch/>
                            </pic:blipFill>
                            <pic:spPr bwMode="auto">
                              <a:xfrm>
                                <a:off x="0" y="0"/>
                                <a:ext cx="996950" cy="1329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8.5pt;height:104.7pt;mso-wrap-distance-left:0.0pt;mso-wrap-distance-top:0.0pt;mso-wrap-distance-right:0.0pt;mso-wrap-distance-bottom:0.0pt;" stroked="f">
                      <v:path textboxrect="0,0,0,0"/>
                      <v:imagedata r:id="rId45" o:title=""/>
                    </v:shape>
                  </w:pict>
                </mc:Fallback>
              </mc:AlternateContent>
            </w:r>
            <w:r/>
          </w:p>
        </w:tc>
      </w:tr>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猪颈肉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新鲜非冷冻、色泽红润、不粘手、无注水</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肉质紧密有弹性，无淤血及病变组织，水分≤72%，挥发性盐基氮≤12mg/100g，无任何添加剂，符合GB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299845"/>
                      <wp:effectExtent l="0" t="0" r="13970" b="14604"/>
                      <wp:docPr id="30" name="图片 26" descr="猪颈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6" descr="猪颈肉"/>
                              <pic:cNvPicPr>
                                <a:picLocks noChangeAspect="1"/>
                              </pic:cNvPicPr>
                              <pic:nvPr/>
                            </pic:nvPicPr>
                            <pic:blipFill>
                              <a:blip r:embed="rId46"/>
                              <a:stretch/>
                            </pic:blipFill>
                            <pic:spPr bwMode="auto">
                              <a:xfrm>
                                <a:off x="0" y="0"/>
                                <a:ext cx="995680" cy="1299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8.4pt;height:102.3pt;mso-wrap-distance-left:0.0pt;mso-wrap-distance-top:0.0pt;mso-wrap-distance-right:0.0pt;mso-wrap-distance-bottom:0.0pt;" stroked="f">
                      <v:path textboxrect="0,0,0,0"/>
                      <v:imagedata r:id="rId46" o:title=""/>
                    </v:shape>
                  </w:pict>
                </mc:Fallback>
              </mc:AlternateContent>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带皮五花肉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肉体紧密有弹性、新鲜非冷冻、色泽红润、不粘手、无注水、净毛、无异味要四周看见肥瘦有三层</w:t>
            </w:r>
            <w:r/>
          </w:p>
          <w:p>
            <w:pPr>
              <w:jc w:val="both"/>
              <w:spacing w:after="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规格：猪肋条带皮五花肉，肥瘦分层均匀；肥瘦比 3:7，皮厚 0.2-0.3cm，无厚皮、无纯肥层</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核心配料：新鲜生猪带皮五花肉，带皮、无注水、无添加剂，表皮干净无猪毛</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工艺要求：高温燎毛 + 人工刮洗，表皮干净无残留猪毛；去除淤血、淋巴结，肥瘦分层修整均匀；0-4℃排酸 24 小时，去除腥味肉质嫩化；</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87425" cy="1586230"/>
                      <wp:effectExtent l="0" t="0" r="3175" b="13970"/>
                      <wp:docPr id="31" name="图片 27" descr="带皮五花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7" descr="带皮五花肉"/>
                              <pic:cNvPicPr>
                                <a:picLocks noChangeAspect="1"/>
                              </pic:cNvPicPr>
                              <pic:nvPr/>
                            </pic:nvPicPr>
                            <pic:blipFill>
                              <a:blip r:embed="rId47"/>
                              <a:srcRect l="0" t="0" r="0" b="26980"/>
                              <a:stretch/>
                            </pic:blipFill>
                            <pic:spPr bwMode="auto">
                              <a:xfrm>
                                <a:off x="0" y="0"/>
                                <a:ext cx="987425" cy="1586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7.8pt;height:124.9pt;mso-wrap-distance-left:0.0pt;mso-wrap-distance-top:0.0pt;mso-wrap-distance-right:0.0pt;mso-wrap-distance-bottom:0.0pt;" stroked="f">
                      <v:path textboxrect="0,0,0,0"/>
                      <v:imagedata r:id="rId47"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冻仔排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肉体紧密、色泽红润、不粘手、- 猪毛去除干净，无淤血、无淋巴结；</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肥瘦分层修整均匀；</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- 0-4℃排酸24小时，去除腥味，肉质嫩化；</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含冰量≤5%，无注水，无添加剂，符合GB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045" cy="995045"/>
                      <wp:effectExtent l="0" t="0" r="14604" b="14604"/>
                      <wp:docPr id="32" name="图片 28" descr="冻仔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8" descr="冻仔牌"/>
                              <pic:cNvPicPr>
                                <a:picLocks noChangeAspect="1"/>
                              </pic:cNvPicPr>
                              <pic:nvPr/>
                            </pic:nvPicPr>
                            <pic:blipFill>
                              <a:blip r:embed="rId48"/>
                              <a:stretch/>
                            </pic:blipFill>
                            <pic:spPr bwMode="auto">
                              <a:xfrm>
                                <a:off x="0" y="0"/>
                                <a:ext cx="995045" cy="995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8.3pt;height:78.3pt;mso-wrap-distance-left:0.0pt;mso-wrap-distance-top:0.0pt;mso-wrap-distance-right:0.0pt;mso-wrap-distance-bottom:0.0pt;" stroked="f">
                      <v:path textboxrect="0,0,0,0"/>
                      <v:imagedata r:id="rId48" o:title=""/>
                    </v:shape>
                  </w:pict>
                </mc:Fallback>
              </mc:AlternateContent>
            </w:r>
            <w:r/>
          </w:p>
        </w:tc>
      </w:tr>
      <w:tr>
        <w:trPr>
          <w:trHeight w:val="10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梅条肉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肉体紧密有弹性、新鲜非冷冻、色泽红润、不粘手、无注水</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纯瘦肉无肥膘，无筋膜及结缔组织，水分≤72%，挥发性盐基氮≤12mg/100g，无注水及添加剂，符合生鲜猪肉食品安全规范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33" name="图片 29" descr="里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9" descr="里脊"/>
                              <pic:cNvPicPr>
                                <a:picLocks noChangeAspect="1"/>
                              </pic:cNvPicPr>
                              <pic:nvPr/>
                            </pic:nvPicPr>
                            <pic:blipFill>
                              <a:blip r:embed="rId49"/>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8.2pt;height:78.2pt;mso-wrap-distance-left:0.0pt;mso-wrap-distance-top:0.0pt;mso-wrap-distance-right:0.0pt;mso-wrap-distance-bottom:0.0pt;" stroked="f">
                      <v:path textboxrect="0,0,0,0"/>
                      <v:imagedata r:id="rId4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桥排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新鲜、无异味、3根连骨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骨体完整无断裂，带肉率≥30%，无淤血及碎骨渣，水分≤70%，挥发性盐基氮≤12mg/100g，符合GB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998220"/>
                      <wp:effectExtent l="0" t="0" r="11430" b="11430"/>
                      <wp:docPr id="34" name="图片 30" descr="桥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0" descr="桥牌"/>
                              <pic:cNvPicPr>
                                <a:picLocks noChangeAspect="1"/>
                              </pic:cNvPicPr>
                              <pic:nvPr/>
                            </pic:nvPicPr>
                            <pic:blipFill>
                              <a:blip r:embed="rId50"/>
                              <a:stretch/>
                            </pic:blipFill>
                            <pic:spPr bwMode="auto">
                              <a:xfrm>
                                <a:off x="0" y="0"/>
                                <a:ext cx="998220" cy="998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8.6pt;height:78.6pt;mso-wrap-distance-left:0.0pt;mso-wrap-distance-top:0.0pt;mso-wrap-distance-right:0.0pt;mso-wrap-distance-bottom:0.0pt;" stroked="f">
                      <v:path textboxrect="0,0,0,0"/>
                      <v:imagedata r:id="rId50" o:title=""/>
                    </v:shape>
                  </w:pict>
                </mc:Fallback>
              </mc:AlternateConten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猪爪</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品质新鲜，带蹄筋，净毛、无趾间黑垢</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无残留毛根及淤血，蹄筋完整，水分≤70%，挥发性盐基氮≤12mg/100g，无添加剂，符合生鲜猪肉食品安全规范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89965" cy="723900"/>
                      <wp:effectExtent l="0" t="0" r="635" b="0"/>
                      <wp:docPr id="35" name="图片 31" descr="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1" descr="抓"/>
                              <pic:cNvPicPr>
                                <a:picLocks noChangeAspect="1"/>
                              </pic:cNvPicPr>
                              <pic:nvPr/>
                            </pic:nvPicPr>
                            <pic:blipFill>
                              <a:blip r:embed="rId51"/>
                              <a:stretch/>
                            </pic:blipFill>
                            <pic:spPr bwMode="auto">
                              <a:xfrm>
                                <a:off x="0" y="0"/>
                                <a:ext cx="98996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8.0pt;height:57.0pt;mso-wrap-distance-left:0.0pt;mso-wrap-distance-top:0.0pt;mso-wrap-distance-right:0.0pt;mso-wrap-distance-bottom:0.0pt;" stroked="f">
                      <v:path textboxrect="0,0,0,0"/>
                      <v:imagedata r:id="rId51"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干皮肚</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无异味、净毛</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干燥无霉变，无杂质及油脂残留，水分≤15%，无添加剂，符合食品加工原料安全规范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36" name="图片 32" descr="郫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2" descr="郫都"/>
                              <pic:cNvPicPr>
                                <a:picLocks noChangeAspect="1"/>
                              </pic:cNvPicPr>
                              <pic:nvPr/>
                            </pic:nvPicPr>
                            <pic:blipFill>
                              <a:blip r:embed="rId52"/>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8.2pt;height:78.2pt;mso-wrap-distance-left:0.0pt;mso-wrap-distance-top:0.0pt;mso-wrap-distance-right:0.0pt;mso-wrap-distance-bottom:0.0pt;" stroked="f">
                      <v:path textboxrect="0,0,0,0"/>
                      <v:imagedata r:id="rId5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猪腰</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新鲜非冷冻、净毛、表面皮囊不破、无异味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-无淤血、无病变，水分≤78%，挥发性盐基氮≤15mg/100g，无注水及添加剂，符合GB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121410"/>
                      <wp:effectExtent l="0" t="0" r="15875" b="2540"/>
                      <wp:docPr id="37" name="图片 33" descr="腰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3" descr="腰子"/>
                              <pic:cNvPicPr>
                                <a:picLocks noChangeAspect="1"/>
                              </pic:cNvPicPr>
                              <pic:nvPr/>
                            </pic:nvPicPr>
                            <pic:blipFill>
                              <a:blip r:embed="rId53"/>
                              <a:stretch/>
                            </pic:blipFill>
                            <pic:spPr bwMode="auto">
                              <a:xfrm>
                                <a:off x="0" y="0"/>
                                <a:ext cx="993775" cy="1121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8.2pt;height:88.3pt;mso-wrap-distance-left:0.0pt;mso-wrap-distance-top:0.0pt;mso-wrap-distance-right:0.0pt;mso-wrap-distance-bottom:0.0pt;" stroked="f">
                      <v:path textboxrect="0,0,0,0"/>
                      <v:imagedata r:id="rId53" o:title=""/>
                    </v:shape>
                  </w:pict>
                </mc:Fallback>
              </mc:AlternateContent>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大肠</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乳白色，稍软，略带坚韧，外形完整，无变质异味，无炎症溃疡、瘀血、充血、水肿及其他病理现象，无肠头毛圈，无脂肪内容物</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清洗干净无残留粪便及杂质，水分≤80%，挥发性盐基氮≤15mg/100g，无添加剂，符合生鲜猪肉食品安全规范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2218055"/>
                      <wp:effectExtent l="0" t="0" r="15875" b="10795"/>
                      <wp:docPr id="38" name="图片 34" descr="大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4" descr="大肠"/>
                              <pic:cNvPicPr>
                                <a:picLocks noChangeAspect="1"/>
                              </pic:cNvPicPr>
                              <pic:nvPr/>
                            </pic:nvPicPr>
                            <pic:blipFill>
                              <a:blip r:embed="rId54"/>
                              <a:stretch/>
                            </pic:blipFill>
                            <pic:spPr bwMode="auto">
                              <a:xfrm>
                                <a:off x="0" y="0"/>
                                <a:ext cx="993775" cy="221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8.2pt;height:174.7pt;mso-wrap-distance-left:0.0pt;mso-wrap-distance-top:0.0pt;mso-wrap-distance-right:0.0pt;mso-wrap-distance-bottom:0.0pt;" stroked="f">
                      <v:path textboxrect="0,0,0,0"/>
                      <v:imagedata r:id="rId54" o:title=""/>
                    </v:shape>
                  </w:pict>
                </mc:Fallback>
              </mc:AlternateContent>
            </w:r>
            <w:r/>
          </w:p>
        </w:tc>
      </w:tr>
      <w:tr>
        <w:trPr>
          <w:trHeight w:val="1103"/>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无根口条</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  品质新鲜，外形完整，无根附着的肌肉、舌骨、舌苔、脂肪、无病伤</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无淤血及病变，表面洁净无舌苔，水分≤75%，挥发性盐基氮≤15mg/100g，无注水及添加剂，符合GB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7585" cy="997585"/>
                      <wp:effectExtent l="0" t="0" r="12065" b="12065"/>
                      <wp:docPr id="39" name="图片 35" descr="无根口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5" descr="无根口条"/>
                              <pic:cNvPicPr>
                                <a:picLocks noChangeAspect="1"/>
                              </pic:cNvPicPr>
                              <pic:nvPr/>
                            </pic:nvPicPr>
                            <pic:blipFill>
                              <a:blip r:embed="rId55"/>
                              <a:stretch/>
                            </pic:blipFill>
                            <pic:spPr bwMode="auto">
                              <a:xfrm>
                                <a:off x="0" y="0"/>
                                <a:ext cx="997585" cy="99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8.5pt;height:78.5pt;mso-wrap-distance-left:0.0pt;mso-wrap-distance-top:0.0pt;mso-wrap-distance-right:0.0pt;mso-wrap-distance-bottom:0.0pt;" stroked="f">
                      <v:path textboxrect="0,0,0,0"/>
                      <v:imagedata r:id="rId55" o:title=""/>
                    </v:shape>
                  </w:pict>
                </mc:Fallback>
              </mc:AlternateContent>
            </w:r>
            <w:r/>
          </w:p>
        </w:tc>
      </w:tr>
      <w:tr>
        <w:trPr>
          <w:trHeight w:val="131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净猪肚</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乳白色，组织结实，无异味，外形完整，无溃疡及其他病变现象，无内容物，黏膜，脂肪，无瘀血肠头毛圈</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无寄生虫、无病变结节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挥发性盐基氮 ≤ 15mg/100g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4410" cy="681990"/>
                      <wp:effectExtent l="0" t="0" r="15240" b="3810"/>
                      <wp:docPr id="40" name="图片 36" descr="净猪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6" descr="净猪肚"/>
                              <pic:cNvPicPr>
                                <a:picLocks noChangeAspect="1"/>
                              </pic:cNvPicPr>
                              <pic:nvPr/>
                            </pic:nvPicPr>
                            <pic:blipFill>
                              <a:blip r:embed="rId56"/>
                              <a:stretch/>
                            </pic:blipFill>
                            <pic:spPr bwMode="auto">
                              <a:xfrm>
                                <a:off x="0" y="0"/>
                                <a:ext cx="994410" cy="681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8.3pt;height:53.7pt;mso-wrap-distance-left:0.0pt;mso-wrap-distance-top:0.0pt;mso-wrap-distance-right:0.0pt;mso-wrap-distance-bottom:0.0pt;" stroked="f">
                      <v:path textboxrect="0,0,0,0"/>
                      <v:imagedata r:id="rId56" o:title=""/>
                    </v:shape>
                  </w:pict>
                </mc:Fallback>
              </mc:AlternateContent>
            </w:r>
            <w:r/>
          </w:p>
        </w:tc>
      </w:tr>
      <w:tr>
        <w:trPr>
          <w:trHeight w:val="129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熟大肠</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乳白色，稍软，略带坚韧，外形完整，无变质异味，无炎症溃疡、瘀血、充血、水肿及其他病理现象，无肠头毛圈，无脂肪内容物</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无寄生虫、无病变结节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挥发性盐基氮 ≤ 12mg/100g（熟制品更严格）</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水分 ≤ 75%</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符合 GB 2707-2016 及熟肉制品相关卫生标准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2150745"/>
                      <wp:effectExtent l="0" t="0" r="15875" b="1905"/>
                      <wp:docPr id="41" name="图片 37" descr="熟大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7" descr="熟大肠"/>
                              <pic:cNvPicPr>
                                <a:picLocks noChangeAspect="1"/>
                              </pic:cNvPicPr>
                              <pic:nvPr/>
                            </pic:nvPicPr>
                            <pic:blipFill>
                              <a:blip r:embed="rId57"/>
                              <a:stretch/>
                            </pic:blipFill>
                            <pic:spPr bwMode="auto">
                              <a:xfrm>
                                <a:off x="0" y="0"/>
                                <a:ext cx="993775" cy="215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8.2pt;height:169.3pt;mso-wrap-distance-left:0.0pt;mso-wrap-distance-top:0.0pt;mso-wrap-distance-right:0.0pt;mso-wrap-distance-bottom:0.0pt;" stroked="f">
                      <v:path textboxrect="0,0,0,0"/>
                      <v:imagedata r:id="rId57" o:title=""/>
                    </v:shape>
                  </w:pict>
                </mc:Fallback>
              </mc:AlternateContent>
            </w:r>
            <w:r/>
          </w:p>
        </w:tc>
      </w:tr>
      <w:tr>
        <w:trPr>
          <w:trHeight w:val="129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无根猪耳</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新鲜、无黑斑、净毛、不含耳后根杂肉、无添加剂浸泡漂白</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无寄生虫、无病变结节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水分 ≤ 80%</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无二氧化硫、甲醛等漂白剂残留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315" cy="1770380"/>
                      <wp:effectExtent l="0" t="0" r="13335" b="1270"/>
                      <wp:docPr id="42" name="图片 38" descr="无根猪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8" descr="无根猪耳"/>
                              <pic:cNvPicPr>
                                <a:picLocks noChangeAspect="1"/>
                              </pic:cNvPicPr>
                              <pic:nvPr/>
                            </pic:nvPicPr>
                            <pic:blipFill>
                              <a:blip r:embed="rId58"/>
                              <a:stretch/>
                            </pic:blipFill>
                            <pic:spPr bwMode="auto">
                              <a:xfrm>
                                <a:off x="0" y="0"/>
                                <a:ext cx="996315" cy="177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8.5pt;height:139.4pt;mso-wrap-distance-left:0.0pt;mso-wrap-distance-top:0.0pt;mso-wrap-distance-right:0.0pt;mso-wrap-distance-bottom:0.0pt;" stroked="f">
                      <v:path textboxrect="0,0,0,0"/>
                      <v:imagedata r:id="rId58" o:title=""/>
                    </v:shape>
                  </w:pict>
                </mc:Fallback>
              </mc:AlternateConten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猪尾巴</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新鲜、无黑斑块、无淤血、不含后根杂肉</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感官与卫生：无寄生虫、无病变结节，表皮洁净无残留毛根</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理化指标：水分 ≤ 80%，挥发性盐基氮 ≤ 15mg/100g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950" cy="2216785"/>
                      <wp:effectExtent l="0" t="0" r="12700" b="12065"/>
                      <wp:docPr id="43" name="图片 39" descr="猪尾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9" descr="猪尾巴"/>
                              <pic:cNvPicPr>
                                <a:picLocks noChangeAspect="1"/>
                              </pic:cNvPicPr>
                              <pic:nvPr/>
                            </pic:nvPicPr>
                            <pic:blipFill>
                              <a:blip r:embed="rId59"/>
                              <a:stretch/>
                            </pic:blipFill>
                            <pic:spPr bwMode="auto">
                              <a:xfrm>
                                <a:off x="0" y="0"/>
                                <a:ext cx="996950" cy="2216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8.5pt;height:174.5pt;mso-wrap-distance-left:0.0pt;mso-wrap-distance-top:0.0pt;mso-wrap-distance-right:0.0pt;mso-wrap-distance-bottom:0.0pt;" stroked="f">
                      <v:path textboxrect="0,0,0,0"/>
                      <v:imagedata r:id="rId5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肥膘</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呈乳白色、无血斑、无杂质、无异味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感官与卫生：无寄生虫、无病变结节，色泽均匀无血污</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理化指标：脂肪含量 ≥ 90%，水分 ≤ 10%</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44" name="图片 40" descr="肥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0" descr="肥膘"/>
                              <pic:cNvPicPr>
                                <a:picLocks noChangeAspect="1"/>
                              </pic:cNvPicPr>
                              <pic:nvPr/>
                            </pic:nvPicPr>
                            <pic:blipFill>
                              <a:blip r:embed="rId60"/>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8.2pt;height:104.3pt;mso-wrap-distance-left:0.0pt;mso-wrap-distance-top:0.0pt;mso-wrap-distance-right:0.0pt;mso-wrap-distance-bottom:0.0pt;" stroked="f">
                      <v:path textboxrect="0,0,0,0"/>
                      <v:imagedata r:id="rId60"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净筒子骨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猪肉类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新鲜、（每个带骨髓）规格约300克/根、无异味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感官与卫生：骨膜完整，无淤血、无碎骨渣，骨髓饱满无变质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理化指标：钙含量 ≥ 12%，重金属铅（Pb）≤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45" name="图片 41" descr="净筒子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1" descr="净筒子骨"/>
                              <pic:cNvPicPr>
                                <a:picLocks noChangeAspect="1"/>
                              </pic:cNvPicPr>
                              <pic:nvPr/>
                            </pic:nvPicPr>
                            <pic:blipFill>
                              <a:blip r:embed="rId61"/>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8.2pt;height:78.2pt;mso-wrap-distance-left:0.0pt;mso-wrap-distance-top:0.0pt;mso-wrap-distance-right:0.0pt;mso-wrap-distance-bottom:0.0pt;" stroked="f">
                      <v:path textboxrect="0,0,0,0"/>
                      <v:imagedata r:id="rId61" o:title=""/>
                    </v:shape>
                  </w:pict>
                </mc:Fallback>
              </mc:AlternateConten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牛骨</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新鲜、（每个带骨髓）约500克/根、无异味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感官与卫生：骨面洁净，无残留碎肉及杂质，骨髓色泽正常无异味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理化指标：钙含量 ≥ 15%，重金属铅（Pb）≤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鲜（冻）畜、禽产品》及牛肉制品相关标准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765935"/>
                      <wp:effectExtent l="0" t="0" r="15875" b="5715"/>
                      <wp:docPr id="46" name="图片 42" descr="牛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2" descr="牛骨"/>
                              <pic:cNvPicPr>
                                <a:picLocks noChangeAspect="1"/>
                              </pic:cNvPicPr>
                              <pic:nvPr/>
                            </pic:nvPicPr>
                            <pic:blipFill>
                              <a:blip r:embed="rId62"/>
                              <a:stretch/>
                            </pic:blipFill>
                            <pic:spPr bwMode="auto">
                              <a:xfrm>
                                <a:off x="0" y="0"/>
                                <a:ext cx="993775" cy="176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8.2pt;height:139.0pt;mso-wrap-distance-left:0.0pt;mso-wrap-distance-top:0.0pt;mso-wrap-distance-right:0.0pt;mso-wrap-distance-bottom:0.0pt;" stroked="f">
                      <v:path textboxrect="0,0,0,0"/>
                      <v:imagedata r:id="rId6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牛百叶</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感官与卫生：色泽均匀，无杂质、无异味，无残留化学处理剂</w:t>
            </w:r>
            <w:r/>
          </w:p>
          <w:p>
            <w:pPr>
              <w:jc w:val="both"/>
              <w:spacing w:after="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理化控制：水分 ≤ 82%，无甲醛、过氧化氢等漂白剂残留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sz w:val="21"/>
                <w:szCs w:val="21"/>
                <w:highlight w:val="none"/>
                <w:lang w:eastAsia="zh-CN"/>
              </w:rPr>
              <w:t xml:space="preserve">- 执行标准：符合 GB 2707-2016《食品安全国家标准 鲜（冻）畜、禽产品》及水发制品相关卫生规范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315" cy="1327785"/>
                      <wp:effectExtent l="0" t="0" r="13335" b="5715"/>
                      <wp:docPr id="47" name="图片 43" descr="牛百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3" descr="牛百叶"/>
                              <pic:cNvPicPr>
                                <a:picLocks noChangeAspect="1"/>
                              </pic:cNvPicPr>
                              <pic:nvPr/>
                            </pic:nvPicPr>
                            <pic:blipFill>
                              <a:blip r:embed="rId63"/>
                              <a:stretch/>
                            </pic:blipFill>
                            <pic:spPr bwMode="auto">
                              <a:xfrm>
                                <a:off x="0" y="0"/>
                                <a:ext cx="996315" cy="132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8.5pt;height:104.5pt;mso-wrap-distance-left:0.0pt;mso-wrap-distance-top:0.0pt;mso-wrap-distance-right:0.0pt;mso-wrap-distance-bottom:0.0pt;" stroked="f">
                      <v:path textboxrect="0,0,0,0"/>
                      <v:imagedata r:id="rId63"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牛筋</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感官与卫生：组织坚韧有弹性，无残留碎肉及杂质，无异味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理化指标：胶原蛋白含量 ≥ 30%，水分 ≤ 75%</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48" name="图片 44" descr="牛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4" descr="牛筋"/>
                              <pic:cNvPicPr>
                                <a:picLocks noChangeAspect="1"/>
                              </pic:cNvPicPr>
                              <pic:nvPr/>
                            </pic:nvPicPr>
                            <pic:blipFill>
                              <a:blip r:embed="rId64"/>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8.2pt;height:104.3pt;mso-wrap-distance-left:0.0pt;mso-wrap-distance-top:0.0pt;mso-wrap-distance-right:0.0pt;mso-wrap-distance-bottom:0.0pt;" stroked="f">
                      <v:path textboxrect="0,0,0,0"/>
                      <v:imagedata r:id="rId64"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牛板肚</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感官与卫生：组织结实，无溃疡及病变现象，无内容物残留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1870" cy="743585"/>
                      <wp:effectExtent l="0" t="0" r="17780" b="18415"/>
                      <wp:docPr id="49" name="图片 45" descr="牛板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5" descr="牛板肚"/>
                              <pic:cNvPicPr>
                                <a:picLocks noChangeAspect="1"/>
                              </pic:cNvPicPr>
                              <pic:nvPr/>
                            </pic:nvPicPr>
                            <pic:blipFill>
                              <a:blip r:embed="rId65"/>
                              <a:stretch/>
                            </pic:blipFill>
                            <pic:spPr bwMode="auto">
                              <a:xfrm>
                                <a:off x="0" y="0"/>
                                <a:ext cx="991870" cy="74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8.1pt;height:58.5pt;mso-wrap-distance-left:0.0pt;mso-wrap-distance-top:0.0pt;mso-wrap-distance-right:0.0pt;mso-wrap-distance-bottom:0.0pt;" stroked="f">
                      <v:path textboxrect="0,0,0,0"/>
                      <v:imagedata r:id="rId65"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精牛肉</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感官与卫生：色泽鲜红有光泽，无筋膜及杂质，无注水迹象</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理化指标：蛋白质含量 ≥ 18%，水分 ≤ 77%，挥发性盐基氮 ≤ 15mg/100g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855" cy="657225"/>
                      <wp:effectExtent l="0" t="0" r="10795" b="9525"/>
                      <wp:docPr id="50" name="图片 46" descr="精牛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6" descr="精牛肉"/>
                              <pic:cNvPicPr>
                                <a:picLocks noChangeAspect="1"/>
                              </pic:cNvPicPr>
                              <pic:nvPr/>
                            </pic:nvPicPr>
                            <pic:blipFill>
                              <a:blip r:embed="rId66"/>
                              <a:stretch/>
                            </pic:blipFill>
                            <pic:spPr bwMode="auto">
                              <a:xfrm>
                                <a:off x="0" y="0"/>
                                <a:ext cx="99885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8.6pt;height:51.8pt;mso-wrap-distance-left:0.0pt;mso-wrap-distance-top:0.0pt;mso-wrap-distance-right:0.0pt;mso-wrap-distance-bottom:0.0pt;" stroked="f">
                      <v:path textboxrect="0,0,0,0"/>
                      <v:imagedata r:id="rId66"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牛肉末</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感官与卫生：色泽鲜红均匀，无筋膜、无肥膘、无杂质，无异味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理化指标：蛋白质含量 ≥ 18%，水分 ≤ 77%，挥发性盐基氮 ≤ 15mg/100g，脂肪 ≤ 8%</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重金属：铅（Pb）≤ 0.3mg/kg，镉（Cd）≤ 0.1mg/kg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微生物：菌落总数 ≤ 1×10⁶ CFU/g，大肠菌群 ≤ 1×10³ MPN/100g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87425" cy="658495"/>
                      <wp:effectExtent l="0" t="0" r="3175" b="8255"/>
                      <wp:docPr id="51" name="图片 47" descr="牛肉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7" descr="牛肉末"/>
                              <pic:cNvPicPr>
                                <a:picLocks noChangeAspect="1"/>
                              </pic:cNvPicPr>
                              <pic:nvPr/>
                            </pic:nvPicPr>
                            <pic:blipFill>
                              <a:blip r:embed="rId67"/>
                              <a:stretch/>
                            </pic:blipFill>
                            <pic:spPr bwMode="auto">
                              <a:xfrm>
                                <a:off x="0" y="0"/>
                                <a:ext cx="987425" cy="658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7.8pt;height:51.8pt;mso-wrap-distance-left:0.0pt;mso-wrap-distance-top:0.0pt;mso-wrap-distance-right:0.0pt;mso-wrap-distance-bottom:0.0pt;" stroked="f">
                      <v:path textboxrect="0,0,0,0"/>
                      <v:imagedata r:id="rId67"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牛腩</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1. 规格：冷鲜牛腩，肥瘦相间，含少量筋膜，无纯肥、无碎肉；</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2. 核心配料：新鲜牛腩，无注水、无添加剂、无防腐剂</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3. 工艺要求：精选牛腩部位，剔除多余筋膜及碎骨；0-4℃排酸 48 小时，肉质嫩化去除膻味；</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831975"/>
                      <wp:effectExtent l="0" t="0" r="15875" b="15875"/>
                      <wp:docPr id="52" name="图片 48" descr="牛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8" descr="牛腩"/>
                              <pic:cNvPicPr>
                                <a:picLocks noChangeAspect="1"/>
                              </pic:cNvPicPr>
                              <pic:nvPr/>
                            </pic:nvPicPr>
                            <pic:blipFill>
                              <a:blip r:embed="rId68"/>
                              <a:stretch/>
                            </pic:blipFill>
                            <pic:spPr bwMode="auto">
                              <a:xfrm>
                                <a:off x="0" y="0"/>
                                <a:ext cx="993775" cy="183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8.2pt;height:144.2pt;mso-wrap-distance-left:0.0pt;mso-wrap-distance-top:0.0pt;mso-wrap-distance-right:0.0pt;mso-wrap-distance-bottom:0.0pt;" stroked="f">
                      <v:path textboxrect="0,0,0,0"/>
                      <v:imagedata r:id="rId68"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牛后腿</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感官与卫生：色泽鲜红均匀，肉质紧实，无筋膜及杂质，无注水迹象，无异味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理化指标：蛋白质含量 ≥ 19%，水分 ≤ 76%，挥发性盐基氮 ≤ 15mg/100g，脂肪 ≤ 7%</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重金属：铅（Pb）≤ 0.3mg/kg，镉（Cd）≤ 0.1mg/kg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微生物：菌落总数 ≤ 1×10⁶ CFU/g，大肠菌群 ≤ 1×10³ MPN/100g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53" name="图片 49" descr="牛后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9" descr="牛后腿"/>
                              <pic:cNvPicPr>
                                <a:picLocks noChangeAspect="1"/>
                              </pic:cNvPicPr>
                              <pic:nvPr/>
                            </pic:nvPicPr>
                            <pic:blipFill>
                              <a:blip r:embed="rId69"/>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8.2pt;height:104.3pt;mso-wrap-distance-left:0.0pt;mso-wrap-distance-top:0.0pt;mso-wrap-distance-right:0.0pt;mso-wrap-distance-bottom:0.0pt;" stroked="f">
                      <v:path textboxrect="0,0,0,0"/>
                      <v:imagedata r:id="rId6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牛里脊</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感官与卫生：色泽鲜红有光泽，肉质细嫩，无筋膜及杂质，无注水迹象，无异味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理化指标：蛋白质含量 ≥ 20%，水分 ≤ 75%，挥发性盐基氮 ≤ 12mg/100g，脂肪 ≤ 5%</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重金属：铅（Pb）≤ 0.3mg/kg，总砷（As）≤ 0.5mg/kg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140" cy="694690"/>
                      <wp:effectExtent l="0" t="0" r="16510" b="10160"/>
                      <wp:docPr id="54" name="图片 50" descr="牛里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0" descr="牛里脊"/>
                              <pic:cNvPicPr>
                                <a:picLocks noChangeAspect="1"/>
                              </pic:cNvPicPr>
                              <pic:nvPr/>
                            </pic:nvPicPr>
                            <pic:blipFill>
                              <a:blip r:embed="rId70"/>
                              <a:stretch/>
                            </pic:blipFill>
                            <pic:spPr bwMode="auto">
                              <a:xfrm>
                                <a:off x="0" y="0"/>
                                <a:ext cx="993140"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8.2pt;height:54.7pt;mso-wrap-distance-left:0.0pt;mso-wrap-distance-top:0.0pt;mso-wrap-distance-right:0.0pt;mso-wrap-distance-bottom:0.0pt;" stroked="f">
                      <v:path textboxrect="0,0,0,0"/>
                      <v:imagedata r:id="rId70"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牛腱肉</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规格：冷鲜牛前腱 / 后腱，纯腱子肉，带筋无肥油，肉质紧实；</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 核心配料：新鲜牛腱肉，无注水、无添加剂、无嫩肉粉，无兽药残留</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工艺要求：精选带筋腱肉，确保筋肉比例适中；人工精细修割，保留完整腱肉纹理；0-4℃排酸 48 小时，去除膻味肉质嫩化；</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045" cy="1363345"/>
                      <wp:effectExtent l="0" t="0" r="14604" b="8255"/>
                      <wp:docPr id="55" name="图片 51" descr="牛腱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1" descr="牛腱肉"/>
                              <pic:cNvPicPr>
                                <a:picLocks noChangeAspect="1"/>
                              </pic:cNvPicPr>
                              <pic:nvPr/>
                            </pic:nvPicPr>
                            <pic:blipFill>
                              <a:blip r:embed="rId71"/>
                              <a:stretch/>
                            </pic:blipFill>
                            <pic:spPr bwMode="auto">
                              <a:xfrm>
                                <a:off x="0" y="0"/>
                                <a:ext cx="995045" cy="1363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8.3pt;height:107.3pt;mso-wrap-distance-left:0.0pt;mso-wrap-distance-top:0.0pt;mso-wrap-distance-right:0.0pt;mso-wrap-distance-bottom:0.0pt;" stroked="f">
                      <v:path textboxrect="0,0,0,0"/>
                      <v:imagedata r:id="rId71"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仔牛腱</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规格与形态：冷鲜仔牛腱，单只规格约500克，带筋无肥油，筋肉相间，肉质紧实，无筋膜及杂质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原料与添加剂：核心配料为新鲜仔牛腱肉，无注水、无人工合成添加剂、无防腐剂、无保水剂残留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工艺管控：精选仔牛腱核心部位，剔除多余筋膜及碎骨；0-4℃低温排酸48小时，嫩化去腥，无腥膻异味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299845"/>
                      <wp:effectExtent l="0" t="0" r="13970" b="14604"/>
                      <wp:docPr id="56" name="图片 52" descr="仔牛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2" descr="仔牛腱"/>
                              <pic:cNvPicPr>
                                <a:picLocks noChangeAspect="1"/>
                              </pic:cNvPicPr>
                              <pic:nvPr/>
                            </pic:nvPicPr>
                            <pic:blipFill>
                              <a:blip r:embed="rId72"/>
                              <a:stretch/>
                            </pic:blipFill>
                            <pic:spPr bwMode="auto">
                              <a:xfrm>
                                <a:off x="0" y="0"/>
                                <a:ext cx="995680" cy="1299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8.4pt;height:102.3pt;mso-wrap-distance-left:0.0pt;mso-wrap-distance-top:0.0pt;mso-wrap-distance-right:0.0pt;mso-wrap-distance-bottom:0.0pt;" stroked="f">
                      <v:path textboxrect="0,0,0,0"/>
                      <v:imagedata r:id="rId7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金钱肚</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规格与形态：冷鲜金钱肚，叶片完整，呈蜂窝状结构，无杂质、无内容物残留，无病变结节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原料与添加剂：核心配料为新鲜牛肚，无化学处理剂、无人工合成添加剂、无防腐剂、无漂白剂残留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工艺管控：精选牛肚部位，彻底清洗去杂；0-4℃低温排酸48小时，无腥膻异味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理化与安全：水分 ≤ 82%，挥发性盐基氮 ≤ 12mg/100g，无甲醛、过氧化氢残留，铅（Pb）≤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鲜（冻）畜、禽产品》及水发制品相关卫生规范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327785"/>
                      <wp:effectExtent l="0" t="0" r="13970" b="5715"/>
                      <wp:docPr id="57" name="图片 53" descr="金钱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3" descr="金钱肚"/>
                              <pic:cNvPicPr>
                                <a:picLocks noChangeAspect="1"/>
                              </pic:cNvPicPr>
                              <pic:nvPr/>
                            </pic:nvPicPr>
                            <pic:blipFill>
                              <a:blip r:embed="rId73"/>
                              <a:stretch/>
                            </pic:blipFill>
                            <pic:spPr bwMode="auto">
                              <a:xfrm>
                                <a:off x="0" y="0"/>
                                <a:ext cx="995680" cy="132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8.4pt;height:104.5pt;mso-wrap-distance-left:0.0pt;mso-wrap-distance-top:0.0pt;mso-wrap-distance-right:0.0pt;mso-wrap-distance-bottom:0.0pt;" stroked="f">
                      <v:path textboxrect="0,0,0,0"/>
                      <v:imagedata r:id="rId73"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牛肠</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规格与形态：冷鲜牛肠，肠壁完整，无肥油、无内脏杂质，无内容物残留，无病变结节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原料与添加剂：核心配料为新鲜牛肠，无注水、无人工合成添加剂、无防腐剂、无保水剂残留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工艺管控：精选牛肠部位，彻底清洗去杂及肥油；0-4℃低温排酸48小时，无腥膻异味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理化与安全：水分 ≤ 80%，挥发性盐基氮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58" name="图片 54" descr="牛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4" descr="牛肠"/>
                              <pic:cNvPicPr>
                                <a:picLocks noChangeAspect="1"/>
                              </pic:cNvPicPr>
                              <pic:nvPr/>
                            </pic:nvPicPr>
                            <pic:blipFill>
                              <a:blip r:embed="rId74"/>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8.2pt;height:104.3pt;mso-wrap-distance-left:0.0pt;mso-wrap-distance-top:0.0pt;mso-wrap-distance-right:0.0pt;mso-wrap-distance-bottom:0.0pt;" stroked="f">
                      <v:path textboxrect="0,0,0,0"/>
                      <v:imagedata r:id="rId74"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牛肝</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规格与形态：冷鲜牛肝，色泽均匀呈红褐色，有光泽，触摸不粘手，无淤血块及病变结节，无异味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原料与添加剂：核心配料为新鲜牛肝，无注水、无人工合成添加剂、无防腐剂、无保水剂残留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工艺管控：精选牛肝部位，剔除筋膜及杂质；0-4℃低温排酸48小时，无腥膻异味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理化与安全：水分 ≤ 75%，挥发性盐基氮 ≤ 15mg/100g，铅（Pb）≤ 0.3mg/kg，总砷（As）≤ 0.5mg/kg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59" name="图片 55" descr="牛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5" descr="牛肝"/>
                              <pic:cNvPicPr>
                                <a:picLocks noChangeAspect="1"/>
                              </pic:cNvPicPr>
                              <pic:nvPr/>
                            </pic:nvPicPr>
                            <pic:blipFill>
                              <a:blip r:embed="rId75"/>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8.2pt;height:104.3pt;mso-wrap-distance-left:0.0pt;mso-wrap-distance-top:0.0pt;mso-wrap-distance-right:0.0pt;mso-wrap-distance-bottom:0.0pt;" stroked="f">
                      <v:path textboxrect="0,0,0,0"/>
                      <v:imagedata r:id="rId75"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牛扇骨</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规格与形态：冷鲜牛扇骨，骨面洁净，无残留碎肉及杂质，骨髓饱满无变质，无异味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原料与添加剂：核心配料为新鲜牛扇骨，无注水、无人工合成添加剂、无防腐剂、无保水剂残留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工艺管控：精选牛扇骨部位，剔除多余碎肉及筋膜；0-4℃低温排酸48小时，无腥膻异味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理化与安全：钙含量 ≥ 15%，重金属铅（Pb）≤ 0.3mg/kg，无有害物质残留</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855" cy="2072640"/>
                      <wp:effectExtent l="0" t="0" r="10795" b="3810"/>
                      <wp:docPr id="60" name="图片 56" descr="牛扇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6" descr="牛扇骨"/>
                              <pic:cNvPicPr>
                                <a:picLocks noChangeAspect="1"/>
                              </pic:cNvPicPr>
                              <pic:nvPr/>
                            </pic:nvPicPr>
                            <pic:blipFill>
                              <a:blip r:embed="rId76"/>
                              <a:stretch/>
                            </pic:blipFill>
                            <pic:spPr bwMode="auto">
                              <a:xfrm>
                                <a:off x="0" y="0"/>
                                <a:ext cx="998855" cy="2072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8.6pt;height:163.2pt;mso-wrap-distance-left:0.0pt;mso-wrap-distance-top:0.0pt;mso-wrap-distance-right:0.0pt;mso-wrap-distance-bottom:0.0pt;" stroked="f">
                      <v:path textboxrect="0,0,0,0"/>
                      <v:imagedata r:id="rId76"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牛舌</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规格与形态：冷鲜牛舌，已去除舌苔及表皮杂质，肉质紧实有弹性，无淤血块及病变结节，无异味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原料与添加剂：核心配料为新鲜牛舌，无注水、无人工合成添加剂、无防腐剂、无保水剂残留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工艺管控：精选牛舌部位，彻底去除舌苔及杂质；0-4℃低温排酸48小时，无腥膻异味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17%，水分 ≤ 78%，挥发性盐基氮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765935"/>
                      <wp:effectExtent l="0" t="0" r="15875" b="5715"/>
                      <wp:docPr id="61" name="图片 57" descr="牛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7" descr="牛舌"/>
                              <pic:cNvPicPr>
                                <a:picLocks noChangeAspect="1"/>
                              </pic:cNvPicPr>
                              <pic:nvPr/>
                            </pic:nvPicPr>
                            <pic:blipFill>
                              <a:blip r:embed="rId77"/>
                              <a:stretch/>
                            </pic:blipFill>
                            <pic:spPr bwMode="auto">
                              <a:xfrm>
                                <a:off x="0" y="0"/>
                                <a:ext cx="993775" cy="176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8.2pt;height:139.0pt;mso-wrap-distance-left:0.0pt;mso-wrap-distance-top:0.0pt;mso-wrap-distance-right:0.0pt;mso-wrap-distance-bottom:0.0pt;" stroked="f">
                      <v:path textboxrect="0,0,0,0"/>
                      <v:imagedata r:id="rId77"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牛尾</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规格与形态：冷鲜牛尾，肉含量占比≥70%，带筋无肥油，肉质紧实，无杂质及病变结节，无异味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工艺管控：精选牛尾部位，剔除多余肥油及杂质；0-4℃低温排酸48小时，无腥膻异味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18%，水分 ≤ 77%，挥发性盐基氮 ≤ 15mg/100g，铅（Pb）≤ 0.3mg/kg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752600"/>
                      <wp:effectExtent l="0" t="0" r="13970" b="0"/>
                      <wp:docPr id="62" name="图片 58" descr="牛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8" descr="牛尾"/>
                              <pic:cNvPicPr>
                                <a:picLocks noChangeAspect="1"/>
                              </pic:cNvPicPr>
                              <pic:nvPr/>
                            </pic:nvPicPr>
                            <pic:blipFill>
                              <a:blip r:embed="rId78"/>
                              <a:stretch/>
                            </pic:blipFill>
                            <pic:spPr bwMode="auto">
                              <a:xfrm>
                                <a:off x="0" y="0"/>
                                <a:ext cx="995680" cy="1752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8.4pt;height:138.0pt;mso-wrap-distance-left:0.0pt;mso-wrap-distance-top:0.0pt;mso-wrap-distance-right:0.0pt;mso-wrap-distance-bottom:0.0pt;" stroked="f">
                      <v:path textboxrect="0,0,0,0"/>
                      <v:imagedata r:id="rId78" o:title=""/>
                    </v:shape>
                  </w:pict>
                </mc:Fallback>
              </mc:AlternateContent>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牛心</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position w:val="-10"/>
                <w:sz w:val="21"/>
                <w:szCs w:val="21"/>
                <w:highlight w:val="none"/>
                <w:lang w:eastAsia="zh-CN" w:bidi="ar"/>
              </w:rPr>
              <w:t xml:space="preserve"> </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规格与形态：冷鲜牛心，淡红色，脂肪呈乳白色稍红色，结实有弹性，外形完整，心房内无瘀血及凝血块，无病变结节，气味正常</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原料与添加剂：核心配料为新鲜牛心，无注水、无人工合成添加剂、无防腐剂、无保水剂残留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工艺管控：精选牛心部位，彻底清洗去杂；0-4℃低温排酸48小时，无腥膻异味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16%，水分 ≤ 79%，挥发性盐基氮 ≤ 15mg/100g，铅（Pb）≤ 0.3mg/kg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1775460"/>
                      <wp:effectExtent l="0" t="0" r="11430" b="15240"/>
                      <wp:docPr id="63" name="图片 59" descr="牛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9" descr="牛心"/>
                              <pic:cNvPicPr>
                                <a:picLocks noChangeAspect="1"/>
                              </pic:cNvPicPr>
                              <pic:nvPr/>
                            </pic:nvPicPr>
                            <pic:blipFill>
                              <a:blip r:embed="rId79"/>
                              <a:stretch/>
                            </pic:blipFill>
                            <pic:spPr bwMode="auto">
                              <a:xfrm>
                                <a:off x="0" y="0"/>
                                <a:ext cx="998220" cy="177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8.6pt;height:139.8pt;mso-wrap-distance-left:0.0pt;mso-wrap-distance-top:0.0pt;mso-wrap-distance-right:0.0pt;mso-wrap-distance-bottom:0.0pt;" stroked="f">
                      <v:path textboxrect="0,0,0,0"/>
                      <v:imagedata r:id="rId7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牛油</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规格与形态：冷鲜牛油，呈淡黄色，色泽均匀，无黑斑杂质，无异味，无酸败迹象</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原料与添加剂：核心配料为新鲜牛油，无人工合成添加剂、无防腐剂、无抗氧化剂残留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工艺管控：精选牛脂肪部位，精炼提纯；0-4℃低温储存，无氧化变质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理化与安全：脂肪含量 ≥ 99%，水分 ≤ 1%，酸价 ≤ 0.5mg/g，过氧化值 ≤ 0.1g/100g，铅（Pb）≤ 0.3mg/kg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64" name="图片 60" descr="牛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0" descr="牛油"/>
                              <pic:cNvPicPr>
                                <a:picLocks noChangeAspect="1"/>
                              </pic:cNvPicPr>
                              <pic:nvPr/>
                            </pic:nvPicPr>
                            <pic:blipFill>
                              <a:blip r:embed="rId80"/>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8.2pt;height:104.3pt;mso-wrap-distance-left:0.0pt;mso-wrap-distance-top:0.0pt;mso-wrap-distance-right:0.0pt;mso-wrap-distance-bottom:0.0pt;" stroked="f">
                      <v:path textboxrect="0,0,0,0"/>
                      <v:imagedata r:id="rId80"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黑毛肚</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规格与形态：水发黑毛肚，叶片完整，呈深黑色，无杂质、无异味，无残留化学处理剂</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原料与添加剂：核心配料为新鲜牛肚，无甲醛、过氧化氢、火碱等漂白剂及添加剂残留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工艺管控：精选牛肚部位，水发处理后彻底清洗去杂；0-4℃低温储存，无变质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理化与安全：水分 ≤ 82%，挥发性盐基氮 ≤ 12mg/100g，无甲醛、过氧化氢残留，铅（Pb）≤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鲜（冻）畜、禽产品》及水发制品相关卫生规范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139825"/>
                      <wp:effectExtent l="0" t="0" r="13970" b="3175"/>
                      <wp:docPr id="65" name="图片 61" descr="黑毛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1" descr="黑毛肚"/>
                              <pic:cNvPicPr>
                                <a:picLocks noChangeAspect="1"/>
                              </pic:cNvPicPr>
                              <pic:nvPr/>
                            </pic:nvPicPr>
                            <pic:blipFill>
                              <a:blip r:embed="rId81"/>
                              <a:stretch/>
                            </pic:blipFill>
                            <pic:spPr bwMode="auto">
                              <a:xfrm>
                                <a:off x="0" y="0"/>
                                <a:ext cx="995680" cy="113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8.4pt;height:89.8pt;mso-wrap-distance-left:0.0pt;mso-wrap-distance-top:0.0pt;mso-wrap-distance-right:0.0pt;mso-wrap-distance-bottom:0.0pt;" stroked="f">
                      <v:path textboxrect="0,0,0,0"/>
                      <v:imagedata r:id="rId81" o:title=""/>
                    </v:shape>
                  </w:pict>
                </mc:Fallback>
              </mc:AlternateContent>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免浆牛柳</w:t>
            </w:r>
            <w:r/>
          </w:p>
        </w:tc>
        <w:tc>
          <w:tcPr>
            <w:shd w:val="clear" w:color="auto" w:fill="ffff0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规格与形态：选用牛里脊部位，经腌制处理，色泽均匀，无添加剂、无色素，水分≤5%，肉质细嫩有弹性</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原料与添加剂：核心配料为新鲜牛里脊，无人工合成添加剂、无色素、无防腐剂、无保水剂残留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工艺管控：精选牛里脊部位，腌制处理后低温锁鲜；0-4℃低温储存，无变质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19%，水分 ≤ 75%，挥发性盐基氮 ≤ 12mg/100g，铅（Pb）≤ 0.3mg/kg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带皮鲜羊腿肉</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规格与形态：冷鲜带皮羊腿肉，已净毛，无骨、无羊肥膘，肉质紧实，无杂质及病变结节，无异味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原料与添加剂：核心配料为新鲜羊腿肉，无注水、无人工合成添加剂、无防腐剂、无保水剂残留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工艺管控：精选羊腿部位，剔除骨头及肥膘，净毛处理；0-4℃低温排酸48小时，无腥膻异味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950" cy="1772285"/>
                      <wp:effectExtent l="0" t="0" r="12700" b="18415"/>
                      <wp:docPr id="66" name="图片 62" descr="带皮鲜羊腿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62" descr="带皮鲜羊腿肉"/>
                              <pic:cNvPicPr>
                                <a:picLocks noChangeAspect="1"/>
                              </pic:cNvPicPr>
                              <pic:nvPr/>
                            </pic:nvPicPr>
                            <pic:blipFill>
                              <a:blip r:embed="rId82"/>
                              <a:stretch/>
                            </pic:blipFill>
                            <pic:spPr bwMode="auto">
                              <a:xfrm>
                                <a:off x="0" y="0"/>
                                <a:ext cx="996950" cy="1772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8.5pt;height:139.5pt;mso-wrap-distance-left:0.0pt;mso-wrap-distance-top:0.0pt;mso-wrap-distance-right:0.0pt;mso-wrap-distance-bottom:0.0pt;" stroked="f">
                      <v:path textboxrect="0,0,0,0"/>
                      <v:imagedata r:id="rId8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去皮鲜羊腿肉</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规格与形态：冷鲜去皮羊腿肉，色泽鲜红均匀，肉质紧实，无注水迹象，无骨、无羊肥膘及杂质，无病变结节，无异味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原料与添加剂：核心配料为新鲜羊腿肉，无注水、无人工合成添加剂、无防腐剂、无保水剂残留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工艺管控：精选羊腿部位，剔除骨头及肥膘，去皮处理；0-4℃低温排酸48小时，无腥膻异味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2205990"/>
                      <wp:effectExtent l="0" t="0" r="15875" b="3810"/>
                      <wp:docPr id="67" name="图片 63" descr="去皮鲜羊腿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63" descr="去皮鲜羊腿肉"/>
                              <pic:cNvPicPr>
                                <a:picLocks noChangeAspect="1"/>
                              </pic:cNvPicPr>
                              <pic:nvPr/>
                            </pic:nvPicPr>
                            <pic:blipFill>
                              <a:blip r:embed="rId83"/>
                              <a:stretch/>
                            </pic:blipFill>
                            <pic:spPr bwMode="auto">
                              <a:xfrm>
                                <a:off x="0" y="0"/>
                                <a:ext cx="993775" cy="2205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8.2pt;height:173.7pt;mso-wrap-distance-left:0.0pt;mso-wrap-distance-top:0.0pt;mso-wrap-distance-right:0.0pt;mso-wrap-distance-bottom:0.0pt;" stroked="f">
                      <v:path textboxrect="0,0,0,0"/>
                      <v:imagedata r:id="rId83"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羊头</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规格与形态：冷鲜羊头，已净毛，无残留杂质，无淤血块及病变结节，无异味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原料与添加剂：核心配料为新鲜羊头，无注水、无人工合成添加剂、无防腐剂、无保水剂残留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工艺管控：精选羊头部位，彻底净毛及清洗去杂；0-4℃低温排酸48小时，无腥膻异味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理化与安全：水分 ≤ 78%，挥发性盐基氮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995680"/>
                      <wp:effectExtent l="0" t="0" r="13970" b="13970"/>
                      <wp:docPr id="68" name="图片 64" descr="羊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64" descr="羊头"/>
                              <pic:cNvPicPr>
                                <a:picLocks noChangeAspect="1"/>
                              </pic:cNvPicPr>
                              <pic:nvPr/>
                            </pic:nvPicPr>
                            <pic:blipFill>
                              <a:blip r:embed="rId84"/>
                              <a:stretch/>
                            </pic:blipFill>
                            <pic:spPr bwMode="auto">
                              <a:xfrm>
                                <a:off x="0" y="0"/>
                                <a:ext cx="995680" cy="9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8.4pt;height:78.4pt;mso-wrap-distance-left:0.0pt;mso-wrap-distance-top:0.0pt;mso-wrap-distance-right:0.0pt;mso-wrap-distance-bottom:0.0pt;" stroked="f">
                      <v:path textboxrect="0,0,0,0"/>
                      <v:imagedata r:id="rId84"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带皮羊腩</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规格与形态：鲜带皮羊腩，肥膘比例≤15%，肥瘦相间，无注水迹象，无杂质及病变结节，无异味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原料与添加剂：核心配料为新鲜羊腩，无注水、无人工合成添加剂、无防腐剂、无保水剂残留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工艺管控：精选羊腩部位，剔除多余杂质；0-4℃低温排酸48小时，无腥膻异味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17%，水分 ≤ 78%，挥发性盐基氮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770380"/>
                      <wp:effectExtent l="0" t="0" r="13970" b="1270"/>
                      <wp:docPr id="69" name="图片 65" descr="带皮羊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5" descr="带皮羊腩"/>
                              <pic:cNvPicPr>
                                <a:picLocks noChangeAspect="1"/>
                              </pic:cNvPicPr>
                              <pic:nvPr/>
                            </pic:nvPicPr>
                            <pic:blipFill>
                              <a:blip r:embed="rId85"/>
                              <a:stretch/>
                            </pic:blipFill>
                            <pic:spPr bwMode="auto">
                              <a:xfrm>
                                <a:off x="0" y="0"/>
                                <a:ext cx="995680" cy="177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8.4pt;height:139.4pt;mso-wrap-distance-left:0.0pt;mso-wrap-distance-top:0.0pt;mso-wrap-distance-right:0.0pt;mso-wrap-distance-bottom:0.0pt;" stroked="f">
                      <v:path textboxrect="0,0,0,0"/>
                      <v:imagedata r:id="rId85"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羔羊排</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规格与形态：鲜羔羊排，无肥膘，切割均匀，肉质紧实，无杂质及病变结节，无异味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原料与添加剂：核心配料为新鲜羔羊排，无注水、无人工合成添加剂、无防腐剂、无保水剂残留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工艺管控：精选羔羊排部位，剔除肥膘及杂质，均匀切割；0-4℃低温排酸48小时，无腥膻异味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045" cy="995045"/>
                      <wp:effectExtent l="0" t="0" r="14604" b="14604"/>
                      <wp:docPr id="70" name="图片 66" descr="羔羊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6" descr="羔羊排"/>
                              <pic:cNvPicPr>
                                <a:picLocks noChangeAspect="1"/>
                              </pic:cNvPicPr>
                              <pic:nvPr/>
                            </pic:nvPicPr>
                            <pic:blipFill>
                              <a:blip r:embed="rId86"/>
                              <a:stretch/>
                            </pic:blipFill>
                            <pic:spPr bwMode="auto">
                              <a:xfrm>
                                <a:off x="0" y="0"/>
                                <a:ext cx="995045" cy="995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8.3pt;height:78.3pt;mso-wrap-distance-left:0.0pt;mso-wrap-distance-top:0.0pt;mso-wrap-distance-right:0.0pt;mso-wrap-distance-bottom:0.0pt;" stroked="f">
                      <v:path textboxrect="0,0,0,0"/>
                      <v:imagedata r:id="rId86"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羊棒骨</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规格与形态：鲜羊棒骨，含约10%腿肉，无淤血，骨髓饱满，无杂质及病变结节，无异味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原料与添加剂：核心配料为新鲜羊棒骨，无注水、无人工合成添加剂、无防腐剂、无保水剂残留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工艺管控：精选羊棒骨部位，剔除多余杂质；0-4℃低温排酸48小时，无腥膻异味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理化与安全：钙含量 ≥ 12%，重金属铅（Pb）≤ 0.3mg/kg，无有害物质残留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855" cy="1332230"/>
                      <wp:effectExtent l="0" t="0" r="10795" b="1270"/>
                      <wp:docPr id="71" name="图片 67" descr="羊棒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7" descr="羊棒骨"/>
                              <pic:cNvPicPr>
                                <a:picLocks noChangeAspect="1"/>
                              </pic:cNvPicPr>
                              <pic:nvPr/>
                            </pic:nvPicPr>
                            <pic:blipFill>
                              <a:blip r:embed="rId87"/>
                              <a:stretch/>
                            </pic:blipFill>
                            <pic:spPr bwMode="auto">
                              <a:xfrm>
                                <a:off x="0" y="0"/>
                                <a:ext cx="998855" cy="1332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8.6pt;height:104.9pt;mso-wrap-distance-left:0.0pt;mso-wrap-distance-top:0.0pt;mso-wrap-distance-right:0.0pt;mso-wrap-distance-bottom:0.0pt;" stroked="f">
                      <v:path textboxrect="0,0,0,0"/>
                      <v:imagedata r:id="rId87"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羊肚</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规格与形态：鲜羊肚，叶片完整，呈蜂窝状结构，无注水迹象，无内容物残留及杂质，无病变结节，无异味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原料与添加剂：核心配料为新鲜羊肚，无注水、无人工合成添加剂、无防腐剂、无化学处理剂残留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工艺管控：精选羊肚部位，彻底清洗去杂；0-4℃低温排酸48小时，无腥膻异味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理化与安全：水分 ≤ 82%，挥发性盐基氮 ≤ 12mg/100g，铅（Pb）≤ 0.3mg/kg，无甲醛、过氧化氢残留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鲜（冻）畜、禽产品》及水发制品相关卫生规范</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2152650"/>
                      <wp:effectExtent l="0" t="0" r="15875" b="0"/>
                      <wp:docPr id="72" name="图片 68" descr="羊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8" descr="羊肚"/>
                              <pic:cNvPicPr>
                                <a:picLocks noChangeAspect="1"/>
                              </pic:cNvPicPr>
                              <pic:nvPr/>
                            </pic:nvPicPr>
                            <pic:blipFill>
                              <a:blip r:embed="rId88"/>
                              <a:stretch/>
                            </pic:blipFill>
                            <pic:spPr bwMode="auto">
                              <a:xfrm>
                                <a:off x="0" y="0"/>
                                <a:ext cx="993775" cy="2152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8.2pt;height:169.5pt;mso-wrap-distance-left:0.0pt;mso-wrap-distance-top:0.0pt;mso-wrap-distance-right:0.0pt;mso-wrap-distance-bottom:0.0pt;" stroked="f">
                      <v:path textboxrect="0,0,0,0"/>
                      <v:imagedata r:id="rId88"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羊肝</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规格与形态：冷鲜羊肝，色泽均匀呈红褐色，有光泽，触摸不粘手，无淤血块及病变结节，无异味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原料与添加剂：核心配料为新鲜羊肝，无注水、无人工合成添加剂、无防腐剂、无保水剂残留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工艺管控：精选羊肝部位，剔除筋膜及杂质；0-4℃低温排酸48小时，无腥膻异味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理化与安全：水分 ≤ 75%，挥发性盐基氮 ≤ 15mg/100g，铅（Pb）≤ 0.3mg/kg，总砷（As）≤ 0.5mg/kg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73" name="图片 69" descr="羊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9" descr="羊肝"/>
                              <pic:cNvPicPr>
                                <a:picLocks noChangeAspect="1"/>
                              </pic:cNvPicPr>
                              <pic:nvPr/>
                            </pic:nvPicPr>
                            <pic:blipFill>
                              <a:blip r:embed="rId89"/>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8.2pt;height:104.3pt;mso-wrap-distance-left:0.0pt;mso-wrap-distance-top:0.0pt;mso-wrap-distance-right:0.0pt;mso-wrap-distance-bottom:0.0pt;" stroked="f">
                      <v:path textboxrect="0,0,0,0"/>
                      <v:imagedata r:id="rId8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羊里脊</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规格与形态：鲜羊里脊，色泽鲜红有光泽，肉质细嫩，无注水迹象，无筋膜及杂质，无病变结节，无异味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原料与添加剂：核心配料为新鲜羊里脊，无注水、无人工合成添加剂、无防腐剂、无保水剂残留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工艺管控：精选羊里脊部位，剔除筋膜及杂质；0-4℃低温排酸48小时，无腥膻异味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20%，水分 ≤ 75%，挥发性盐基氮 ≤ 12mg/100g，铅（Pb）≤ 0.3mg/kg</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830705"/>
                      <wp:effectExtent l="0" t="0" r="15875" b="17145"/>
                      <wp:docPr id="74" name="图片 70" descr="羊里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70" descr="羊里脊"/>
                              <pic:cNvPicPr>
                                <a:picLocks noChangeAspect="1"/>
                              </pic:cNvPicPr>
                              <pic:nvPr/>
                            </pic:nvPicPr>
                            <pic:blipFill>
                              <a:blip r:embed="rId90"/>
                              <a:stretch/>
                            </pic:blipFill>
                            <pic:spPr bwMode="auto">
                              <a:xfrm>
                                <a:off x="0" y="0"/>
                                <a:ext cx="993775" cy="183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8.2pt;height:144.2pt;mso-wrap-distance-left:0.0pt;mso-wrap-distance-top:0.0pt;mso-wrap-distance-right:0.0pt;mso-wrap-distance-bottom:0.0pt;" stroked="f">
                      <v:path textboxrect="0,0,0,0"/>
                      <v:imagedata r:id="rId90"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羊柳</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规格与形态：鲜羊柳，选用羊里脊肉，色泽鲜红均匀，肉质紧实，无注水迹象，无筋膜及杂质，无病变结节，无异味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原料与添加剂：核心配料为新鲜羊里脊，无注水、无人工合成添加剂、无防腐剂、无保水剂残留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工艺管控：精选羊里脊部位，剔除筋膜及杂质；0-4℃低温排酸48小时，无腥膻异味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19%，水分 ≤ 76%，挥发性盐基氮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855" cy="1332230"/>
                      <wp:effectExtent l="0" t="0" r="10795" b="1270"/>
                      <wp:docPr id="75" name="图片 71" descr="羊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1" descr="羊柳"/>
                              <pic:cNvPicPr>
                                <a:picLocks noChangeAspect="1"/>
                              </pic:cNvPicPr>
                              <pic:nvPr/>
                            </pic:nvPicPr>
                            <pic:blipFill>
                              <a:blip r:embed="rId91"/>
                              <a:stretch/>
                            </pic:blipFill>
                            <pic:spPr bwMode="auto">
                              <a:xfrm>
                                <a:off x="0" y="0"/>
                                <a:ext cx="998855" cy="1332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8.6pt;height:104.9pt;mso-wrap-distance-left:0.0pt;mso-wrap-distance-top:0.0pt;mso-wrap-distance-right:0.0pt;mso-wrap-distance-bottom:0.0pt;" stroked="f">
                      <v:path textboxrect="0,0,0,0"/>
                      <v:imagedata r:id="rId91"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羊蝎子</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规格与形态：鲜羊蝎子，无边角杂质，无碎骨，肉含量≥75%，肉质紧实，无病变结节，无异味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原料与添加剂：核心配料为新鲜羊蝎子，无注水、无人工合成添加剂、无防腐剂、无保水剂残留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工艺管控：精选羊蝎子部位，剔除杂质及碎骨；0-4℃低温排酸48小时，无腥膻异味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5680" cy="1301115"/>
                      <wp:effectExtent l="0" t="0" r="13970" b="13335"/>
                      <wp:docPr id="76" name="图片 72" descr="羊蝎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2" descr="羊蝎子"/>
                              <pic:cNvPicPr>
                                <a:picLocks noChangeAspect="1"/>
                              </pic:cNvPicPr>
                              <pic:nvPr/>
                            </pic:nvPicPr>
                            <pic:blipFill>
                              <a:blip r:embed="rId92"/>
                              <a:stretch/>
                            </pic:blipFill>
                            <pic:spPr bwMode="auto">
                              <a:xfrm>
                                <a:off x="0" y="0"/>
                                <a:ext cx="995680" cy="1301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8.4pt;height:102.4pt;mso-wrap-distance-left:0.0pt;mso-wrap-distance-top:0.0pt;mso-wrap-distance-right:0.0pt;mso-wrap-distance-bottom:0.0pt;" stroked="f">
                      <v:path textboxrect="0,0,0,0"/>
                      <v:imagedata r:id="rId92" o:title=""/>
                    </v:shape>
                  </w:pict>
                </mc:Fallback>
              </mc:AlternateContent>
            </w:r>
            <w:r/>
          </w:p>
        </w:tc>
      </w:tr>
      <w:tr>
        <w:trPr>
          <w:trHeight w:val="159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羊心</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规格与形态：鲜羊心，淡红色，脂肪呈乳白色稍红色，结实有弹性，外形完整，心房内无瘀血及凝血块，无病变结节，气味正常</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原料与添加剂：核心配料为新鲜羊心，无注水、无人工合成添加剂、无防腐剂、无保水剂残留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工艺管控：精选羊心部位，彻底清洗去杂；0-4℃低温排酸48小时，无腥膻异味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16%，水分 ≤ 79%，挥发性盐基氮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2205990"/>
                      <wp:effectExtent l="0" t="0" r="15875" b="3810"/>
                      <wp:docPr id="77" name="图片 73" descr="羊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3" descr="羊心"/>
                              <pic:cNvPicPr>
                                <a:picLocks noChangeAspect="1"/>
                              </pic:cNvPicPr>
                              <pic:nvPr/>
                            </pic:nvPicPr>
                            <pic:blipFill>
                              <a:blip r:embed="rId93"/>
                              <a:stretch/>
                            </pic:blipFill>
                            <pic:spPr bwMode="auto">
                              <a:xfrm>
                                <a:off x="0" y="0"/>
                                <a:ext cx="993775" cy="2205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8.2pt;height:173.7pt;mso-wrap-distance-left:0.0pt;mso-wrap-distance-top:0.0pt;mso-wrap-distance-right:0.0pt;mso-wrap-distance-bottom:0.0pt;" stroked="f">
                      <v:path textboxrect="0,0,0,0"/>
                      <v:imagedata r:id="rId93"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羊油</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规格与形态：鲜羊油，呈淡黄色，色泽均匀，无黑斑杂质，无异味，无酸败迹象</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原料与添加剂：核心配料为新鲜羊油，无人工合成添加剂、无防腐剂、无抗氧化剂残留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工艺管控：精选羊脂肪部位，精炼提纯；0-4℃低温储存，无氧化变质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理化与安全：脂肪含量 ≥ 99%，水分 ≤ 1%，酸价 ≤ 0.5mg/g，过氧化值 ≤ 0.1g/100g，铅（Pb）≤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鲜（冻）畜、禽产品》及食用动物油脂相关标准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78" name="图片 74" descr="羊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4" descr="羊油"/>
                              <pic:cNvPicPr>
                                <a:picLocks noChangeAspect="1"/>
                              </pic:cNvPicPr>
                              <pic:nvPr/>
                            </pic:nvPicPr>
                            <pic:blipFill>
                              <a:blip r:embed="rId94"/>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8.2pt;height:104.3pt;mso-wrap-distance-left:0.0pt;mso-wrap-distance-top:0.0pt;mso-wrap-distance-right:0.0pt;mso-wrap-distance-bottom:0.0pt;" stroked="f">
                      <v:path textboxrect="0,0,0,0"/>
                      <v:imagedata r:id="rId94"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新鲜羊排</w:t>
            </w:r>
            <w:r/>
          </w:p>
        </w:tc>
        <w:tc>
          <w:tcPr>
            <w:shd w:val="clear" w:color="auto" w:fill="00b0f0"/>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羊肉类</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规格与形态：鲜羊排，无肥膘，切割均匀，肉质紧实，无杂质及病变结节，无异味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原料与添加剂：核心配料为新鲜羊排，无注水、无人工合成添加剂、无防腐剂、无保水剂残留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工艺管控：精选羊排部位，剔除肥膘及杂质，均匀切割；0-4℃低温排酸48小时，无腥膻异味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766570"/>
                      <wp:effectExtent l="0" t="0" r="15875" b="5080"/>
                      <wp:docPr id="79" name="图片 75" descr="新鲜羊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75" descr="新鲜羊排"/>
                              <pic:cNvPicPr>
                                <a:picLocks noChangeAspect="1"/>
                              </pic:cNvPicPr>
                              <pic:nvPr/>
                            </pic:nvPicPr>
                            <pic:blipFill>
                              <a:blip r:embed="rId95"/>
                              <a:stretch/>
                            </pic:blipFill>
                            <pic:spPr bwMode="auto">
                              <a:xfrm>
                                <a:off x="0" y="0"/>
                                <a:ext cx="993775" cy="1766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8.2pt;height:139.1pt;mso-wrap-distance-left:0.0pt;mso-wrap-distance-top:0.0pt;mso-wrap-distance-right:0.0pt;mso-wrap-distance-bottom:0.0pt;" stroked="f">
                      <v:path textboxrect="0,0,0,0"/>
                      <v:imagedata r:id="rId95"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咸猪手</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规格：1000g / 只，10 只 / 箱，去毛干净，无淤血；</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 配料：猪前蹄（≥95%）、食用盐、白砂糖、香辛料、料酒，无防腐剂、无人工色素；</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 工艺：腌制入味，烘烤后急速冷冻，表皮酥脆，肉质紧实；</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 储存运输：-18℃及以下冷冻储存 / 运输，保质期 12 个月；</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675005"/>
                      <wp:effectExtent l="0" t="0" r="15875" b="10795"/>
                      <wp:docPr id="80" name="图片 76" descr="咸猪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76" descr="咸猪手"/>
                              <pic:cNvPicPr>
                                <a:picLocks noChangeAspect="1"/>
                              </pic:cNvPicPr>
                              <pic:nvPr/>
                            </pic:nvPicPr>
                            <pic:blipFill>
                              <a:blip r:embed="rId96"/>
                              <a:srcRect l="0" t="37000" r="0" b="24775"/>
                              <a:stretch/>
                            </pic:blipFill>
                            <pic:spPr bwMode="auto">
                              <a:xfrm>
                                <a:off x="0" y="0"/>
                                <a:ext cx="993775" cy="675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8.2pt;height:53.1pt;mso-wrap-distance-left:0.0pt;mso-wrap-distance-top:0.0pt;mso-wrap-distance-right:0.0pt;mso-wrap-distance-bottom:0.0pt;" stroked="f">
                      <v:path textboxrect="0,0,0,0"/>
                      <v:imagedata r:id="rId96"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香肚</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规格与形态：色泽红润，肉质紧实，肉含量≥95%，选用优质淀粉，无杂质及病变结节，无异味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原料与添加剂：核心配料为新鲜猪肉及优质淀粉，无人工合成色素、无防腐剂、无保水剂残留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工艺管控：精选猪肉部位，腌制处理后成型；常温避光储存，无变质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15%，水分 ≤ 65%，盐含量 ≤ 25克/斤，铅（Pb）≤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1017905"/>
                      <wp:effectExtent l="0" t="0" r="11430" b="10795"/>
                      <wp:docPr id="81" name="图片 77" descr="香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7" descr="香肚"/>
                              <pic:cNvPicPr>
                                <a:picLocks noChangeAspect="1"/>
                              </pic:cNvPicPr>
                              <pic:nvPr/>
                            </pic:nvPicPr>
                            <pic:blipFill>
                              <a:blip r:embed="rId97"/>
                              <a:stretch/>
                            </pic:blipFill>
                            <pic:spPr bwMode="auto">
                              <a:xfrm>
                                <a:off x="0" y="0"/>
                                <a:ext cx="99822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8.6pt;height:80.1pt;mso-wrap-distance-left:0.0pt;mso-wrap-distance-top:0.0pt;mso-wrap-distance-right:0.0pt;mso-wrap-distance-bottom:0.0pt;" stroked="f">
                      <v:path textboxrect="0,0,0,0"/>
                      <v:imagedata r:id="rId97" o:title=""/>
                    </v:shape>
                  </w:pict>
                </mc:Fallback>
              </mc:AlternateConten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手工香肠</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规格与形态：肥瘦比例约3:7，表面干硬，肉质紧实，无杂质及病变结节，无异味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原料与添加剂：核心配料为新鲜猪肉，无人工合成添加剂、无防腐剂、无保水剂残留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工艺管控：精选猪肉部位，手工灌肠后腌制风干；常温避光储存，无变质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16%，水分 ≤ 60%，盐含量 ≤ 20克/斤，铅（Pb）≤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82" name="图片 78" descr="手工香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78" descr="手工香肠"/>
                              <pic:cNvPicPr>
                                <a:picLocks noChangeAspect="1"/>
                              </pic:cNvPicPr>
                              <pic:nvPr/>
                            </pic:nvPicPr>
                            <pic:blipFill>
                              <a:blip r:embed="rId98"/>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8.2pt;height:104.3pt;mso-wrap-distance-left:0.0pt;mso-wrap-distance-top:0.0pt;mso-wrap-distance-right:0.0pt;mso-wrap-distance-bottom:0.0pt;" stroked="f">
                      <v:path textboxrect="0,0,0,0"/>
                      <v:imagedata r:id="rId98"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烟熏腊肉</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规格与形态：选用五花肉腌制，色泽酱红，肉质紧实，无杂质及病变结节，无异味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原料与添加剂：核心配料为新鲜五花肉，无人工合成添加剂、无防腐剂、无保水剂残留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工艺管控：精选五花肉部位，腌制后烟熏处理；常温避光储存，无变质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55%，盐含量 ≤ 15克/斤，铅（Pb）≤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83" name="图片 79" descr="烟熏腊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79" descr="烟熏腊肉"/>
                              <pic:cNvPicPr>
                                <a:picLocks noChangeAspect="1"/>
                              </pic:cNvPicPr>
                              <pic:nvPr/>
                            </pic:nvPicPr>
                            <pic:blipFill>
                              <a:blip r:embed="rId99"/>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8.2pt;height:104.3pt;mso-wrap-distance-left:0.0pt;mso-wrap-distance-top:0.0pt;mso-wrap-distance-right:0.0pt;mso-wrap-distance-bottom:0.0pt;" stroked="f">
                      <v:path textboxrect="0,0,0,0"/>
                      <v:imagedata r:id="rId9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刀板香</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袋</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规格与形态：选用三层五花肉腌制，层次分明，肉质紧实，无杂质及病变结节，无异味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原料与添加剂：核心配料为新鲜五花肉，无人工合成添加剂、无防腐剂、无保水剂残留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工艺管控：精选五花肉部位，腌制后风干；常温避光储存，无变质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18%，水分 ≤ 55%，盐含量 ≤ 15克/斤，铅（Pb）≤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1870" cy="743585"/>
                      <wp:effectExtent l="0" t="0" r="17780" b="18415"/>
                      <wp:docPr id="84" name="图片 80" descr="刀板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0" descr="刀板香"/>
                              <pic:cNvPicPr>
                                <a:picLocks noChangeAspect="1"/>
                              </pic:cNvPicPr>
                              <pic:nvPr/>
                            </pic:nvPicPr>
                            <pic:blipFill>
                              <a:blip r:embed="rId100"/>
                              <a:stretch/>
                            </pic:blipFill>
                            <pic:spPr bwMode="auto">
                              <a:xfrm>
                                <a:off x="0" y="0"/>
                                <a:ext cx="991870" cy="74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8.1pt;height:58.5pt;mso-wrap-distance-left:0.0pt;mso-wrap-distance-top:0.0pt;mso-wrap-distance-right:0.0pt;mso-wrap-distance-bottom:0.0pt;" stroked="f">
                      <v:path textboxrect="0,0,0,0"/>
                      <v:imagedata r:id="rId100"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德国风味咸猪手</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规格与形态：肉体紧密，不粘手，不含冰，肉质紧实，无杂质及病变结节，无异味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原料与添加剂：核心配料为新鲜猪前蹄，无注水、无人工合成添加剂、无防腐剂、无保水剂残留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工艺管控：精选猪前蹄部位，腌制处理后冷冻；-18℃以下冷冻储存，无变质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16%，水分 ≤ 70%，盐含量 ≤ 20克/斤，铅（Pb）≤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7585" cy="938530"/>
                      <wp:effectExtent l="0" t="0" r="12065" b="13970"/>
                      <wp:docPr id="85" name="图片 81" descr="德国风味咸猪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81" descr="德国风味咸猪手"/>
                              <pic:cNvPicPr>
                                <a:picLocks noChangeAspect="1"/>
                              </pic:cNvPicPr>
                              <pic:nvPr/>
                            </pic:nvPicPr>
                            <pic:blipFill>
                              <a:blip r:embed="rId101"/>
                              <a:stretch/>
                            </pic:blipFill>
                            <pic:spPr bwMode="auto">
                              <a:xfrm>
                                <a:off x="0" y="0"/>
                                <a:ext cx="997585" cy="938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8.5pt;height:73.9pt;mso-wrap-distance-left:0.0pt;mso-wrap-distance-top:0.0pt;mso-wrap-distance-right:0.0pt;mso-wrap-distance-bottom:0.0pt;" stroked="f">
                      <v:path textboxrect="0,0,0,0"/>
                      <v:imagedata r:id="rId101"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咸五花肉</w:t>
            </w:r>
            <w:r/>
          </w:p>
        </w:tc>
        <w:tc>
          <w:tcPr>
            <w:shd w:val="clear" w:color="auto" w:fill="a5a5a5"/>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腌制品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规格与形态：选用五花肉腌制，肥瘦相间，肉质紧实，无杂质及病变结节，无异味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原料与添加剂：核心配料为新鲜五花肉，无人工合成添加剂、无防腐剂、无保水剂残留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工艺管控：精选五花肉部位，腌制后风干；常温避光储存，无变质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17%，水分 ≤ 60%，盐含量 ≤ 15克/斤，铅（Pb）≤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5. 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950" cy="1329055"/>
                      <wp:effectExtent l="0" t="0" r="12700" b="4445"/>
                      <wp:docPr id="86" name="图片 82" descr="咸五花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82" descr="咸五花肉"/>
                              <pic:cNvPicPr>
                                <a:picLocks noChangeAspect="1"/>
                              </pic:cNvPicPr>
                              <pic:nvPr/>
                            </pic:nvPicPr>
                            <pic:blipFill>
                              <a:blip r:embed="rId102"/>
                              <a:stretch/>
                            </pic:blipFill>
                            <pic:spPr bwMode="auto">
                              <a:xfrm>
                                <a:off x="0" y="0"/>
                                <a:ext cx="996950" cy="1329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8.5pt;height:104.6pt;mso-wrap-distance-left:0.0pt;mso-wrap-distance-top:0.0pt;mso-wrap-distance-right:0.0pt;mso-wrap-distance-bottom:0.0pt;" stroked="f">
                      <v:path textboxrect="0,0,0,0"/>
                      <v:imagedata r:id="rId10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三角牛小排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规格与形态：选用肩胛小排三角肥牛原块，含肉量≥50%，肉质紧实，无杂质及病变结节，无异味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原料与添加剂：核心配料为新鲜牛肉，无注水、无人工合成添加剂、无防腐剂、无保水剂残留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工艺管控：精选牛肉部位，切割后冷冻；-18℃以下冷冻储存，无变质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19%，水分 ≤ 76%，挥发性盐基氮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87" name="图片 83" descr="三角牛小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3" descr="三角牛小排"/>
                              <pic:cNvPicPr>
                                <a:picLocks noChangeAspect="1"/>
                              </pic:cNvPicPr>
                              <pic:nvPr/>
                            </pic:nvPicPr>
                            <pic:blipFill>
                              <a:blip r:embed="rId103"/>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8.2pt;height:104.3pt;mso-wrap-distance-left:0.0pt;mso-wrap-distance-top:0.0pt;mso-wrap-distance-right:0.0pt;mso-wrap-distance-bottom:0.0pt;" stroked="f">
                      <v:path textboxrect="0,0,0,0"/>
                      <v:imagedata r:id="rId103"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蓝标牛肋骨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规格与形态：原切谷饲牛肋骨，含肉量≥60%，肉质紧实，纹理清晰，无杂质及病变结节，无异味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原料与添加剂：核心配料为谷饲牛肉，无注水、无人工合成添加剂、无防腐剂、无保水剂残留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工艺管控：精选牛肋骨部位，原切后冷冻；-18℃以下冷冻储存，无变质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19%，水分 ≤ 76%，挥发性盐基氮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88" name="图片 84" descr="蓝标牛肋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4" descr="蓝标牛肋骨"/>
                              <pic:cNvPicPr>
                                <a:picLocks noChangeAspect="1"/>
                              </pic:cNvPicPr>
                              <pic:nvPr/>
                            </pic:nvPicPr>
                            <pic:blipFill>
                              <a:blip r:embed="rId104"/>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8.2pt;height:104.3pt;mso-wrap-distance-left:0.0pt;mso-wrap-distance-top:0.0pt;mso-wrap-distance-right:0.0pt;mso-wrap-distance-bottom:0.0pt;" stroked="f">
                      <v:path textboxrect="0,0,0,0"/>
                      <v:imagedata r:id="rId104"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大肉粒烤肠</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 规格：400g*30袋</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配料：猪瘦肉（≥90%）、饮用水、食用盐、白砂糖、淀粉、香辛料，无亚硝酸盐超标，无防腐剂；</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 储存运输：0-4℃冷藏保质期 30 天，-18℃冷冻保质期 12 个月；</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844675" cy="1223010"/>
                      <wp:effectExtent l="0" t="0" r="3175" b="15240"/>
                      <wp:docPr id="89"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5"/>
                              <pic:cNvPicPr>
                                <a:picLocks noChangeAspect="1"/>
                              </pic:cNvPicPr>
                              <pic:nvPr/>
                            </pic:nvPicPr>
                            <pic:blipFill>
                              <a:blip r:embed="rId105"/>
                              <a:srcRect l="0" t="25204" r="0" b="0"/>
                              <a:stretch/>
                            </pic:blipFill>
                            <pic:spPr bwMode="auto">
                              <a:xfrm>
                                <a:off x="0" y="0"/>
                                <a:ext cx="1844675"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45.2pt;height:96.3pt;mso-wrap-distance-left:0.0pt;mso-wrap-distance-top:0.0pt;mso-wrap-distance-right:0.0pt;mso-wrap-distance-bottom:0.0pt;" stroked="f">
                      <v:path textboxrect="0,0,0,0"/>
                      <v:imagedata r:id="rId105"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肥牛卷</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规格与形态：原切谷饲牛肉卷，肥瘦比例≤3:7，肉质紧实，纹理清晰，无杂质及病变结节，无异味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原料与添加剂：心配料为谷饲牛肉，无注水、无人工合成添加剂、无防腐剂、无保水剂残留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工艺管控：精选牛肉部位，卷制后冷冻；-18℃以下冷冻储存，无变质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90" name="图片 86" descr="肥牛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6" descr="肥牛卷"/>
                              <pic:cNvPicPr>
                                <a:picLocks noChangeAspect="1"/>
                              </pic:cNvPicPr>
                              <pic:nvPr/>
                            </pic:nvPicPr>
                            <pic:blipFill>
                              <a:blip r:embed="rId106"/>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8.2pt;height:104.3pt;mso-wrap-distance-left:0.0pt;mso-wrap-distance-top:0.0pt;mso-wrap-distance-right:0.0pt;mso-wrap-distance-bottom:0.0pt;" stroked="f">
                      <v:path textboxrect="0,0,0,0"/>
                      <v:imagedata r:id="rId106"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肥羊卷</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规格与形态：原切羊肉卷，肥瘦比例≤3:7，肉质紧实，纹理清晰，无杂质及病变结节，无异味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原料与添加剂：核心配料为新鲜羊肉，无注水、无人工合成添加剂、无防腐剂、无保水剂残留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工艺管控：精选羊肉部位，卷制后冷冻；-18℃以下冷冻储存，无变质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91" name="图片 87" descr="肥羊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87" descr="肥羊卷"/>
                              <pic:cNvPicPr>
                                <a:picLocks noChangeAspect="1"/>
                              </pic:cNvPicPr>
                              <pic:nvPr/>
                            </pic:nvPicPr>
                            <pic:blipFill>
                              <a:blip r:embed="rId107"/>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8.2pt;height:78.2pt;mso-wrap-distance-left:0.0pt;mso-wrap-distance-top:0.0pt;mso-wrap-distance-right:0.0pt;mso-wrap-distance-bottom:0.0pt;" stroked="f">
                      <v:path textboxrect="0,0,0,0"/>
                      <v:imagedata r:id="rId107" o:title=""/>
                    </v:shape>
                  </w:pict>
                </mc:Fallback>
              </mc:AlternateContent>
            </w:r>
            <w:r/>
          </w:p>
        </w:tc>
      </w:tr>
      <w:tr>
        <w:trPr>
          <w:trHeight w:val="1222"/>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咕老肉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规格与形态：选用优质五花肉腌制，裹粉均匀，淀粉含量≤10%，肉质紧实，无杂质及病变结节，无异味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原料与添加剂：核心配料为新鲜五花肉，无人工合成添加剂、无防腐剂、无保水剂残留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工艺管控：精选五花肉部位，腌制裹粉后冷冻；-18℃以下冷冻储存，无变质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15%，水分 ≤ 65%，淀粉 ≤ 10%，铅（Pb）≤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鲜（冻）畜、禽产品》及调理肉制品相关标准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牛仔骨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袋</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规格与形态：选用谷饲牛肉腌制，含调味黑椒酱汁，肉质紧实，纹理清晰，无杂质及病变结节，无异味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原料与添加剂：核心配料为谷饲牛肉及黑椒酱汁，无人工合成添加剂、无防腐剂、无保水剂残留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工艺管控：精选牛肉部位，腌制后冷冻；-18℃以下冷冻储存，无变质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鲜（冻）畜、禽产品》及调理肉制品相关标准</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参考照片：牛仔骨</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92" name="图片 88" descr="牛仔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88" descr="牛仔骨"/>
                              <pic:cNvPicPr>
                                <a:picLocks noChangeAspect="1"/>
                              </pic:cNvPicPr>
                              <pic:nvPr/>
                            </pic:nvPicPr>
                            <pic:blipFill>
                              <a:blip r:embed="rId108"/>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8.2pt;height:104.3pt;mso-wrap-distance-left:0.0pt;mso-wrap-distance-top:0.0pt;mso-wrap-distance-right:0.0pt;mso-wrap-distance-bottom:0.0pt;" stroked="f">
                      <v:path textboxrect="0,0,0,0"/>
                      <v:imagedata r:id="rId108"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黑椒肉仔粒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袋</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规格与形态：选用原切精肉腌制，牛肉含量≥90%，肉质鲜嫩，颗粒饱满，无杂质及病变结节，无异味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原料与添加剂：核心配料为牛肉（≥90%），无注水、无人工合成添加剂、无防腐剂、无保水剂残留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工艺管控：精选牛肉部位，腌制后冷冻；-18℃以下冷冻储存，无变质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鲜（冻）畜、禽产品》及调理肉制品相关标准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993775"/>
                      <wp:effectExtent l="0" t="0" r="15875" b="15875"/>
                      <wp:docPr id="93" name="图片 89" descr="黑椒肉仔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9" descr="黑椒肉仔粒"/>
                              <pic:cNvPicPr>
                                <a:picLocks noChangeAspect="1"/>
                              </pic:cNvPicPr>
                              <pic:nvPr/>
                            </pic:nvPicPr>
                            <pic:blipFill>
                              <a:blip r:embed="rId109"/>
                              <a:stretch/>
                            </pic:blipFill>
                            <pic:spPr bwMode="auto">
                              <a:xfrm>
                                <a:off x="0" y="0"/>
                                <a:ext cx="993775" cy="99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8.2pt;height:78.2pt;mso-wrap-distance-left:0.0pt;mso-wrap-distance-top:0.0pt;mso-wrap-distance-right:0.0pt;mso-wrap-distance-bottom:0.0pt;" stroked="f">
                      <v:path textboxrect="0,0,0,0"/>
                      <v:imagedata r:id="rId109"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牛肉丸</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rPr>
                <w:rFonts w:hint="eastAsia" w:ascii="宋体" w:hAnsi="宋体" w:eastAsia="宋体" w:cs="宋体"/>
                <w:color w:val="000000"/>
                <w:sz w:val="21"/>
                <w:szCs w:val="21"/>
                <w:highlight w:val="none"/>
                <w:lang w:eastAsia="zh-CN"/>
              </w:rPr>
            </w:pPr>
            <w:r>
              <w:rPr>
                <w:rFonts w:hint="eastAsia" w:ascii="宋体" w:hAnsi="宋体" w:eastAsia="宋体" w:cs="宋体"/>
                <w:bCs/>
                <w:position w:val="-10"/>
                <w:sz w:val="21"/>
                <w:szCs w:val="21"/>
                <w:highlight w:val="none"/>
                <w:lang w:eastAsia="zh-CN" w:bidi="ar"/>
              </w:rPr>
              <w:t xml:space="preserve">规格：2.5kg*4袋</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配料：牛肉（≥90%）、饮用水、淀粉、食用盐、白砂糖、香辛料，馅料含高汤冻，无防腐剂；</w:t>
            </w:r>
            <w:r>
              <w:rPr>
                <w:rFonts w:hint="eastAsia" w:ascii="宋体" w:hAnsi="宋体" w:eastAsia="宋体" w:cs="宋体"/>
                <w:bCs/>
                <w:position w:val="-10"/>
                <w:sz w:val="21"/>
                <w:szCs w:val="21"/>
                <w:highlight w:val="none"/>
                <w:lang w:eastAsia="zh-CN" w:bidi="ar"/>
              </w:rPr>
              <w:br/>
            </w:r>
            <w:r>
              <w:rPr>
                <w:rFonts w:hint="eastAsia" w:ascii="宋体" w:hAnsi="宋体" w:eastAsia="宋体" w:cs="宋体"/>
                <w:bCs/>
                <w:position w:val="-10"/>
                <w:sz w:val="21"/>
                <w:szCs w:val="21"/>
                <w:highlight w:val="none"/>
                <w:lang w:eastAsia="zh-CN" w:bidi="ar"/>
              </w:rPr>
              <w:t xml:space="preserve">储存运输：-18℃及以下冷冻储存 / 运输，保质期 12个月</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培根</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袋</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规格与形态：选用猪五花肉腌制，肥瘦相间，肉质紧实，无杂质及病变结节，无异味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原料与添加剂：核心配料为新鲜猪肉（≥90%），无注水、无人工合成添加剂、无防腐剂、无保水剂残留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工艺管控：精选五花肉部位，腌制后切片冷冻；-18℃以下冷冻储存，无变质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16%，水分 ≤ 65%，盐含量 ≤ 20克/斤，铅（Pb）≤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鲜（冻）畜、禽产品》及腌腊肉制品相关标准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6950" cy="1329055"/>
                      <wp:effectExtent l="0" t="0" r="12700" b="4445"/>
                      <wp:docPr id="94" name="图片 90" descr="培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90" descr="培根"/>
                              <pic:cNvPicPr>
                                <a:picLocks noChangeAspect="1"/>
                              </pic:cNvPicPr>
                              <pic:nvPr/>
                            </pic:nvPicPr>
                            <pic:blipFill>
                              <a:blip r:embed="rId110"/>
                              <a:stretch/>
                            </pic:blipFill>
                            <pic:spPr bwMode="auto">
                              <a:xfrm>
                                <a:off x="0" y="0"/>
                                <a:ext cx="996950" cy="1329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8.5pt;height:104.6pt;mso-wrap-distance-left:0.0pt;mso-wrap-distance-top:0.0pt;mso-wrap-distance-right:0.0pt;mso-wrap-distance-bottom:0.0pt;" stroked="f">
                      <v:path textboxrect="0,0,0,0"/>
                      <v:imagedata r:id="rId110"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亲亲肠</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规格与形态：鸡肉占比≥55%，肉质紧实，颗粒饱满，无杂质及病变结节，无异味，含冰量≤5%</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原料与添加剂：核心配料为鸡肉（≥55%）、饮用水、淀粉、食用盐、白砂糖、香辛料，无人工合成添加剂、无防腐剂、无保水剂残留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工艺管控：精选鸡肉部位，制肠后冷冻；-18℃以下冷冻储存，无变质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12%，水分 ≤ 70%，淀粉 ≤ 10%，铅（Pb）≤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鲜（冻）畜、禽产品》及速冻肉制品相关标准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998220"/>
                      <wp:effectExtent l="0" t="0" r="11430" b="11430"/>
                      <wp:docPr id="95" name="图片 91" descr="亲亲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1" descr="亲亲肠"/>
                              <pic:cNvPicPr>
                                <a:picLocks noChangeAspect="1"/>
                              </pic:cNvPicPr>
                              <pic:nvPr/>
                            </pic:nvPicPr>
                            <pic:blipFill>
                              <a:blip r:embed="rId111"/>
                              <a:stretch/>
                            </pic:blipFill>
                            <pic:spPr bwMode="auto">
                              <a:xfrm>
                                <a:off x="0" y="0"/>
                                <a:ext cx="998220" cy="998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8.6pt;height:78.6pt;mso-wrap-distance-left:0.0pt;mso-wrap-distance-top:0.0pt;mso-wrap-distance-right:0.0pt;mso-wrap-distance-bottom:0.0pt;" stroked="f">
                      <v:path textboxrect="0,0,0,0"/>
                      <v:imagedata r:id="rId111"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松板肉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包</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规格与形态：脂肪与瘦肉相间，呈大理石斑纹状，肉含量≥90%，肉质紧实，纹理清晰，无杂质及病变结节，无异味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原料与添加剂：核心配料为新鲜猪肉（≥90%），无注水、无人工合成添加剂、无防腐剂、无保水剂残留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工艺管控：精选猪颈背部位肉，切割后冷冻；-18℃以下冷冻储存，无变质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18%，水分 ≤ 77%，挥发性盐基氮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8220" cy="748665"/>
                      <wp:effectExtent l="0" t="0" r="11430" b="13335"/>
                      <wp:docPr id="96" name="图片 92" descr="松板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2" descr="松板肉"/>
                              <pic:cNvPicPr>
                                <a:picLocks noChangeAspect="1"/>
                              </pic:cNvPicPr>
                              <pic:nvPr/>
                            </pic:nvPicPr>
                            <pic:blipFill>
                              <a:blip r:embed="rId112"/>
                              <a:stretch/>
                            </pic:blipFill>
                            <pic:spPr bwMode="auto">
                              <a:xfrm>
                                <a:off x="0" y="0"/>
                                <a:ext cx="998220" cy="748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8.6pt;height:58.9pt;mso-wrap-distance-left:0.0pt;mso-wrap-distance-top:0.0pt;mso-wrap-distance-right:0.0pt;mso-wrap-distance-bottom:0.0pt;" stroked="f">
                      <v:path textboxrect="0,0,0,0"/>
                      <v:imagedata r:id="rId112" o:title=""/>
                    </v:shape>
                  </w:pict>
                </mc:Fallback>
              </mc:AlternateConten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蒜香骨</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规格与形态：选用仔排腌制，肉净含量≥80%，肉质紧实，无杂质及病变结节，无异味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原料与添加剂：核心配料为新鲜仔排（≥80%）、蒜香腌料，无人工合成添加剂、无防腐剂、无保水剂残留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工艺管控：精选仔排部位，腌制后冷冻；-18℃以下冷冻储存，无变质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17%，水分 ≤ 78%，挥发性盐基氮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鲜（冻）畜、禽产品》及调理肉制品相关标准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96</w:t>
            </w:r>
            <w:r/>
          </w:p>
        </w:tc>
        <w:tc>
          <w:tcPr>
            <w:shd w:val="clear" w:color="auto" w:fill="auto"/>
            <w:tcBorders>
              <w:top w:val="single" w:color="000000" w:sz="4" w:space="0"/>
              <w:left w:val="single" w:color="000000" w:sz="4" w:space="0"/>
              <w:bottom w:val="non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糖醋里脊</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non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袋</w:t>
            </w:r>
            <w:r/>
          </w:p>
        </w:tc>
        <w:tc>
          <w:tcPr>
            <w:tcBorders>
              <w:top w:val="single" w:color="000000" w:sz="4" w:space="0"/>
              <w:left w:val="single" w:color="000000" w:sz="4" w:space="0"/>
              <w:bottom w:val="non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规格与形态：选用猪里脊肉腌制，肉净含量≥70%，肉质紧实，无杂质及病变结节，无异味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原料与添加剂：核心配料为新鲜猪里脊肉（≥70%）、糖醋腌料，无人工合成添加剂、无防腐剂、无保水剂残留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工艺管控：精选猪里脊部位，腌制后冷冻；-18℃以下冷冻储存，无变质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17%，水分 ≤ 78%，挥发性盐基氮 ≤ 15mg/100g，铅（Pb）≤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鲜（冻）畜、禽产品》及调理肉制品相关标准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小酥肉</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tcPr>
          <w:p>
            <w:pPr>
              <w:jc w:val="both"/>
              <w:spacing w:after="0"/>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规格与形态：选用猪里脊肉腌制，肉净含量≥70%，裹粉均匀，肉质紧实，无杂质及病变结节，无异味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原料与添加剂：核心配料为新鲜猪里脊肉（≥70%）、淀粉、香辛料，无人工合成添加剂、无防腐剂、无保水剂残留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工艺管控：精选猪里脊部位，腌制裹粉后冷冻；-18℃以下冷冻储存，无变质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理化与安全：蛋白质含量 ≥ 15%，水分 ≤ 65%，淀粉 ≤ 15%，铅（Pb）≤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鲜（冻）畜、禽产品》及调理肉制品相关标准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酱牛肉粒</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袋</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规格与形态：选用谷饲原切牛肉粒，调味汁淀粉含量≤5%，肉质紧实，颗粒饱满，无杂质及病变结节，无异味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原料与添加剂：核心配料为谷饲牛肉、调味汁，无人工合成添加剂、无防腐剂、无保水剂残留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工艺管控：精选牛肉部位，腌制后冷冻；-18℃以下冷冻储存，无变质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18%，水分 ≤ 77%，淀粉 ≤ 5%，铅（Pb）≤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执行标准：符合 GB 2707-2016《食品安全国家标准 鲜（冻）畜、禽产品》及调理肉制品相关标准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mc:AlternateContent>
                <mc:Choice Requires="wpg">
                  <w:drawing>
                    <wp:inline xmlns:wp="http://schemas.openxmlformats.org/drawingml/2006/wordprocessingDrawing" distT="0" distB="0" distL="0" distR="0">
                      <wp:extent cx="993775" cy="1325245"/>
                      <wp:effectExtent l="0" t="0" r="15875" b="8255"/>
                      <wp:docPr id="97" name="图片 93" descr="酱牛肉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3" descr="酱牛肉粒"/>
                              <pic:cNvPicPr>
                                <a:picLocks noChangeAspect="1"/>
                              </pic:cNvPicPr>
                              <pic:nvPr/>
                            </pic:nvPicPr>
                            <pic:blipFill>
                              <a:blip r:embed="rId113"/>
                              <a:stretch/>
                            </pic:blipFill>
                            <pic:spPr bwMode="auto">
                              <a:xfrm>
                                <a:off x="0" y="0"/>
                                <a:ext cx="993775"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8.2pt;height:104.3pt;mso-wrap-distance-left:0.0pt;mso-wrap-distance-top:0.0pt;mso-wrap-distance-right:0.0pt;mso-wrap-distance-bottom:0.0pt;" stroked="f">
                      <v:path textboxrect="0,0,0,0"/>
                      <v:imagedata r:id="rId113" o:title=""/>
                    </v:shape>
                  </w:pict>
                </mc:Fallback>
              </mc:AlternateConten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三文治香肠</w:t>
            </w:r>
            <w:r/>
          </w:p>
        </w:tc>
        <w:tc>
          <w:tcPr>
            <w:shd w:val="clear" w:color="auto" w:fill="70ad47"/>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冷冻品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both"/>
              <w:spacing w:after="0"/>
              <w:widowControl w:val="off"/>
              <w:rPr>
                <w:rFonts w:hint="eastAsia" w:ascii="宋体" w:hAnsi="宋体" w:eastAsia="宋体" w:cs="宋体"/>
                <w:bCs/>
                <w:sz w:val="21"/>
                <w:szCs w:val="21"/>
                <w:highlight w:val="none"/>
              </w:rPr>
            </w:pPr>
            <w:r>
              <w:rPr>
                <w:rFonts w:hint="eastAsia" w:ascii="宋体" w:hAnsi="宋体" w:eastAsia="宋体" w:cs="宋体"/>
                <w:bCs/>
                <w:position w:val="-10"/>
                <w:sz w:val="21"/>
                <w:szCs w:val="21"/>
                <w:highlight w:val="none"/>
                <w:lang w:eastAsia="zh-CN" w:bidi="ar"/>
              </w:rPr>
              <w:t xml:space="preserve">根</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规格与形态：鸡肉含量25%，肉质紧实，切片均匀，无杂质及病变结节，无异味</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原料与添加剂：核心配料为鸡肉（25%）、猪肉、饮用水、淀粉、食用盐、白砂糖、香辛料，无人工合成添加剂、无防腐剂、无保水剂残留</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工艺管控：精选禽肉部位，灌肠后冷冻；-18℃以下冷冻储存，无变质</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理化与安全：蛋白质含量 ≥ 10%，水分 ≤ 70%，淀粉 ≤ 10%，铅（Pb）≤ 0.3mg/kg</w:t>
            </w:r>
            <w:r/>
          </w:p>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t xml:space="preserve"> 执行标准：符合 GB 2707-2016《食品安全国家标准 鲜（冻）畜、禽产品》及速冻肉制品相关标准</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both"/>
              <w:spacing w:after="0"/>
              <w:widowControl w:val="off"/>
              <w:rPr>
                <w:rFonts w:hint="eastAsia" w:ascii="宋体" w:hAnsi="宋体" w:eastAsia="宋体" w:cs="宋体"/>
                <w:bCs/>
                <w:position w:val="-10"/>
                <w:sz w:val="21"/>
                <w:szCs w:val="21"/>
                <w:highlight w:val="none"/>
                <w:lang w:eastAsia="zh-CN" w:bidi="ar"/>
              </w:rPr>
            </w:pPr>
            <w:r>
              <w:rPr>
                <w:rFonts w:hint="eastAsia" w:ascii="宋体" w:hAnsi="宋体" w:eastAsia="宋体" w:cs="宋体"/>
                <w:bCs/>
                <w:position w:val="-10"/>
                <w:sz w:val="21"/>
                <w:szCs w:val="21"/>
                <w:highlight w:val="none"/>
                <w:lang w:eastAsia="zh-CN" w:bidi="ar"/>
              </w:rPr>
            </w:r>
            <w:r/>
          </w:p>
        </w:tc>
      </w:tr>
    </w:tbl>
    <w:p>
      <w:pPr>
        <w:ind w:firstLine="480"/>
        <w:jc w:val="both"/>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说明：</w:t>
      </w:r>
      <w:r/>
    </w:p>
    <w:p>
      <w:pPr>
        <w:numPr>
          <w:ilvl w:val="0"/>
          <w:numId w:val="4"/>
        </w:numPr>
        <w:ind w:firstLine="422"/>
        <w:jc w:val="both"/>
        <w:spacing w:after="0" w:line="320" w:lineRule="exac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本项采购预算为医院年度预估采购量，供供应商参考，实际医院用量不做保证，按实际用量结算。</w:t>
      </w:r>
      <w:r/>
    </w:p>
    <w:p>
      <w:pPr>
        <w:ind w:firstLine="420"/>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说明：以上明细仅为采购人所采购部分产品，其他未列明以采购人需求为准，实际采购品种规格包括但可能不限于以上产品，超出的品种数量不可以超过10种（以上同类品种）。</w:t>
      </w:r>
      <w:r/>
    </w:p>
    <w:p>
      <w:pPr>
        <w:pStyle w:val="932"/>
        <w:ind w:firstLine="422"/>
        <w:spacing w:after="0"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2、投标人需按上述要求在投标文件中逐一响应应答。</w:t>
      </w:r>
      <w:r/>
    </w:p>
    <w:p>
      <w:pPr>
        <w:ind w:firstLine="422"/>
        <w:spacing w:after="0" w:line="320" w:lineRule="exact"/>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b/>
          <w:sz w:val="21"/>
          <w:szCs w:val="21"/>
          <w:highlight w:val="none"/>
          <w:lang w:eastAsia="zh-CN"/>
        </w:rPr>
        <w:t xml:space="preserve">3、供应商需在分项报价表中逐一注明能够提供的产品的品牌、制造商、包装规格等。</w:t>
      </w:r>
      <w:r/>
    </w:p>
    <w:p>
      <w:pPr>
        <w:ind w:firstLine="420"/>
        <w:spacing w:after="0"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4、投标产品质量标准需符合采购清单质量参数要求中注明的各项国家标准（相关标准有最新版本的，按最新版本执行）。</w:t>
      </w:r>
      <w:r/>
    </w:p>
    <w:p>
      <w:pPr>
        <w:ind w:firstLine="422"/>
        <w:spacing w:after="0" w:line="320" w:lineRule="exact"/>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★5、投标人须对采购清单列明的所有产品进行投标，不接受仅对表格中部分产品进行投标。</w:t>
      </w:r>
      <w:r/>
    </w:p>
    <w:p>
      <w:pPr>
        <w:ind w:firstLine="482"/>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三、食材质量要求</w:t>
      </w:r>
      <w:r/>
    </w:p>
    <w:p>
      <w:pPr>
        <w:ind w:firstLine="480"/>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见采购清单。</w:t>
      </w:r>
      <w:r/>
    </w:p>
    <w:p>
      <w:pPr>
        <w:ind w:firstLine="480"/>
        <w:spacing w:after="0"/>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bidi="ar"/>
        </w:rPr>
        <w:t xml:space="preserve">1.供应商应承诺其所供的食材均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甲方要求，并保证新鲜。同等条件下，通过认证的绿色食品、有机食品优先。</w:t>
      </w:r>
      <w:r/>
    </w:p>
    <w:p>
      <w:pPr>
        <w:ind w:firstLine="420"/>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bidi="ar"/>
        </w:rPr>
        <w:t xml:space="preserve">2.用于肉类食品养殖产地必须为无污染区域，不得含有毒有害物质，也不得被有毒有害物质污染，不得使用任何未经许可的食品添加剂。</w:t>
      </w:r>
      <w:r/>
    </w:p>
    <w:p>
      <w:pPr>
        <w:ind w:firstLine="420"/>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bidi="ar"/>
        </w:rPr>
        <w:t xml:space="preserve">3.生鲜肉类产品应保证新鲜且非冷冻，不注水，色泽鲜嫩，无异味，肥瘦比例适当。应确保是在政府规定的屠宰场所屠杀的生鲜猪肉，</w:t>
      </w:r>
      <w:r>
        <w:rPr>
          <w:rFonts w:hint="eastAsia" w:ascii="宋体" w:hAnsi="宋体" w:eastAsia="宋体" w:cs="宋体"/>
          <w:b/>
          <w:bCs/>
          <w:color w:val="000000"/>
          <w:sz w:val="21"/>
          <w:szCs w:val="21"/>
          <w:highlight w:val="none"/>
          <w:u w:val="single"/>
          <w:lang w:eastAsia="zh-CN" w:bidi="ar"/>
        </w:rPr>
        <w:t xml:space="preserve">且非病死禽畜肉和冷冻肉。</w:t>
      </w:r>
      <w:r>
        <w:rPr>
          <w:rFonts w:hint="eastAsia" w:ascii="宋体" w:hAnsi="宋体" w:eastAsia="宋体" w:cs="宋体"/>
          <w:b/>
          <w:position w:val="-1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t xml:space="preserve">采购人有权要求对中标人配送的食材送权威部门检验。取样、封样、送检过程中标人需全力配合，与采购人共同操作并签字确认。检验不合格，产生的一切费用由中标人承担，同时，采购人有权追讨由此引发的其他责任。项目执行期间，累计检测不合格两次的，采购人有权终止合同，由此产生的所有损失由中标人承担。</w:t>
      </w:r>
      <w:r/>
    </w:p>
    <w:p>
      <w:pPr>
        <w:pStyle w:val="951"/>
        <w:contextualSpacing/>
        <w:ind w:firstLine="420"/>
        <w:keepLines w:val="0"/>
        <w:keepNext w:val="0"/>
        <w:pageBreakBefore w:val="0"/>
        <w:spacing w:after="0" w:line="320" w:lineRule="exact"/>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4.必须保证活肉宰杀后为新鲜且非冷冻或预冷后的冰鲜状态，加工车间符合卫生规范要求，能严格按</w:t>
      </w:r>
      <w:r>
        <w:rPr>
          <w:rFonts w:hint="eastAsia" w:ascii="宋体" w:hAnsi="宋体" w:eastAsia="宋体" w:cs="宋体"/>
          <w:color w:val="000000"/>
          <w:sz w:val="21"/>
          <w:szCs w:val="21"/>
          <w:highlight w:val="none"/>
          <w:lang w:eastAsia="zh-CN"/>
        </w:rPr>
        <w:t xml:space="preserve">订购要求，加工规范的商品。具有较好的冷藏贮存、运输等场所和设备，能够提供及时的供货、补货、换货等良好售后服务。</w:t>
      </w:r>
      <w:r/>
    </w:p>
    <w:p>
      <w:pPr>
        <w:pStyle w:val="951"/>
        <w:contextualSpacing/>
        <w:ind w:firstLine="420"/>
        <w:spacing w:after="0"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包装与标志要求：包装要求清洁、干燥、牢固、无污染、无异味、无霉变现象；要求每件包装应标明产地、品种、净含量、生产单位及地址和生产日期和保质期等。冰冻食品应采用专用低温冷藏（冻）车运输，单件包装完整，无破损，封口严密。产品色泽均匀，形态完整，冻结坚实，无明显粗糙的冰晶，无气孔，不变形，不软塌，不收缩。品种无异味，无可见杂质。解冻后净重量不少于82%，解冻时间为4小时以内（室温20℃）。所有冷冻食品要求清晰列出产品品牌、规格、类型、包装方式、包装净重等相关参数。</w:t>
      </w:r>
      <w:r/>
    </w:p>
    <w:p>
      <w:pPr>
        <w:pStyle w:val="1225"/>
        <w:ind w:firstLine="480"/>
        <w:spacing w:line="320" w:lineRule="exac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6.</w:t>
      </w:r>
      <w:bookmarkStart w:id="123" w:name="OLE_LINK2"/>
      <w:r>
        <w:rPr>
          <w:rFonts w:hint="eastAsia" w:ascii="宋体" w:hAnsi="宋体" w:eastAsia="宋体" w:cs="宋体"/>
          <w:b w:val="0"/>
          <w:color w:val="000000"/>
          <w:position w:val="0"/>
          <w:sz w:val="21"/>
          <w:szCs w:val="21"/>
          <w:highlight w:val="none"/>
        </w:rPr>
        <w:t xml:space="preserve">要求具备运输本次采购物资所必需的冷链车等车辆。运输工具应清洁卫生无污染，食品运输必须采用符合卫生标准的外包装和运载工具，并且要保持清洁和定期消毒。冷冻食品运输必须由冷链车进行运送。</w:t>
      </w:r>
      <w:r/>
    </w:p>
    <w:p>
      <w:pPr>
        <w:pStyle w:val="1225"/>
        <w:ind w:firstLine="480"/>
        <w:spacing w:line="320" w:lineRule="exac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记录送货车辆温度，并记录存档。</w:t>
      </w:r>
      <w:bookmarkEnd w:id="123"/>
      <w:r/>
      <w:r/>
    </w:p>
    <w:p>
      <w:pPr>
        <w:ind w:firstLine="420"/>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bidi="ar"/>
        </w:rPr>
        <w:t xml:space="preserve">7.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货商应对其商品质量负责，不得提供假冒伪劣商品或已临近保质期及超过保质期的商品给采购人（交付时剩余保质期不少于原保质期的三分之二）。因供货商所供商品发生质量问题，须承担给医院造成的一切损失。</w:t>
      </w:r>
      <w:r/>
    </w:p>
    <w:p>
      <w:pPr>
        <w:ind w:firstLine="420"/>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8. 中标供应商配送的食品如不符合采购人供货要求或者货源不正确的，采购人有权利要求退换且在不影响正常保障的情况下，2小时内更换完成。一经发现供应以下食材，</w:t>
      </w:r>
      <w:bookmarkStart w:id="124" w:name="OLE_LINK11"/>
      <w:r/>
      <w:bookmarkStart w:id="125" w:name="OLE_LINK10"/>
      <w:r>
        <w:rPr>
          <w:rFonts w:hint="eastAsia" w:ascii="宋体" w:hAnsi="宋体" w:eastAsia="宋体" w:cs="宋体"/>
          <w:color w:val="000000"/>
          <w:sz w:val="21"/>
          <w:szCs w:val="21"/>
          <w:highlight w:val="none"/>
          <w:lang w:eastAsia="zh-CN" w:bidi="ar"/>
        </w:rPr>
        <w:t xml:space="preserve">中标供应商</w:t>
      </w:r>
      <w:bookmarkEnd w:id="124"/>
      <w:r/>
      <w:bookmarkEnd w:id="125"/>
      <w:r>
        <w:rPr>
          <w:rFonts w:hint="eastAsia" w:ascii="宋体" w:hAnsi="宋体" w:eastAsia="宋体" w:cs="宋体"/>
          <w:color w:val="000000"/>
          <w:sz w:val="21"/>
          <w:szCs w:val="21"/>
          <w:highlight w:val="none"/>
          <w:lang w:eastAsia="zh-CN" w:bidi="ar"/>
        </w:rPr>
        <w:t xml:space="preserve">除全部退货外并没收全部履约保证金，同时还应承担由此造成的经济责任和法律责任，中标供应商不得向采购人提供以下食品及食品原辅材料（包括但不限于）： </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①变质、油脂酸败、霉变、生虫、污秽不洁、混有异物或者其他感官性状异常，可能对人体健康有害的；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②含有毒、有害物质或者被有毒、有害物质污染，可能对人体健康有害的；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③含有致病性寄生虫、微生物的，或者微生物含量超标的：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④含有昆虫或其他感官形状异常的其他异物；</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⑤未经兽医卫生检验或检验不合格的肉类及其制品：</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⑥病死、毒死或死因不明的禽、畜、兽、水产动物及其制品；</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⑦容器包装污秽不洁， 严重破损或运输工具不洁造成污染的；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⑧掺假、掺杂、伪造，影响营养、卫生的；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⑨用非食品原料加工的，加入非食品用化学物质的或者将非食品当作食品的；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⑩超过保质期的；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⑪为防病等特殊需要，国务院卫生行政部门或省、自治区、直辖市人民政府专门规定禁止出售的；</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⑫未经检验或检验不合格出厂的食品及食品辅料；</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⑬无卫生许可证生产的食品及食品原辅材料(初级农产品除外)；</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⑭其他不符合卫生标准和要求的食品及食品原辅材料。</w:t>
      </w:r>
      <w:r/>
    </w:p>
    <w:p>
      <w:pPr>
        <w:ind w:firstLine="420"/>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9、新鲜猪肉要求：</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1）动物检验检疫证，肉体印有检疫章。</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2）肉质紧密，肌体结实，肉色淡红，肥肉洁白而细腻。</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3）表皮洁净，表皮干爽，指压反弹迅速，无粘液，切面无渗出液、脓性物，无异常斑点。膘厚适中。</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4）具有猪肉自然气味，无异味，无寄生虫、无注水。</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5）条肉：除猪头、内脏、开片（不去皮，不分割），表皮洁净，膘厚适中，色泽正常，无异味，无注水。</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6）分割（如大排、仔排等）大小、规格等需要完全符合招标人要求。</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7）猪肝：整体呈红褐色或棕黄色，有光泽，湿润，略有弹性，组织结实，微实，肝叶完整，无脂肪，无寄生虫、炎症水疱、薄膜、无胆汁污染，略有腥味。</w:t>
      </w:r>
      <w:r/>
    </w:p>
    <w:p>
      <w:pPr>
        <w:ind w:firstLine="420"/>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10、牛肉类要求</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1）牛肉的肌肉有光泽、深红、色泽均匀、脂肪洁白或淡黄色。</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2）外表微干，新切面稍湿润，无注水。</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3）指压后的凹陷能复原，具有鲜牛肉的正常气味，用手触摸弹性好，有油油的粘性。</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4）符合动物检验检疫要求。</w:t>
      </w:r>
      <w:r/>
    </w:p>
    <w:p>
      <w:pPr>
        <w:ind w:firstLine="420"/>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11、腌腊酱制类要求</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1）使用的原材料必须满足动物检验检疫要求，符合国家相关腌腊酱制类产品标准。</w:t>
      </w:r>
      <w:r/>
    </w:p>
    <w:p>
      <w:pPr>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2）腌腊酱制品保质期要在届满期的前8个月以上。</w:t>
      </w:r>
      <w:r/>
    </w:p>
    <w:p>
      <w:pPr>
        <w:ind w:firstLine="420"/>
        <w:spacing w:after="0" w:line="32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12、投标人提供的所有产品必须符合国家食品卫生标准，投标人对所配送的食材质量负有全部责任。若因食材问题导致采购人人员集体中毒等重大事件，</w:t>
      </w:r>
      <w:r>
        <w:rPr>
          <w:rFonts w:hint="eastAsia" w:ascii="宋体" w:hAnsi="宋体" w:eastAsia="宋体" w:cs="宋体"/>
          <w:color w:val="000000"/>
          <w:sz w:val="21"/>
          <w:szCs w:val="21"/>
          <w:highlight w:val="none"/>
          <w:lang w:val="zh-CN" w:eastAsia="zh-CN" w:bidi="ar"/>
        </w:rPr>
        <w:t xml:space="preserve">在事故责任明确前，</w:t>
      </w:r>
      <w:r>
        <w:rPr>
          <w:rFonts w:hint="eastAsia" w:ascii="宋体" w:hAnsi="宋体" w:eastAsia="宋体" w:cs="宋体"/>
          <w:color w:val="000000"/>
          <w:sz w:val="21"/>
          <w:szCs w:val="21"/>
          <w:highlight w:val="none"/>
          <w:lang w:eastAsia="zh-CN" w:bidi="ar"/>
        </w:rPr>
        <w:t xml:space="preserve">采购</w:t>
      </w:r>
      <w:r>
        <w:rPr>
          <w:rFonts w:hint="eastAsia" w:ascii="宋体" w:hAnsi="宋体" w:eastAsia="宋体" w:cs="宋体"/>
          <w:color w:val="000000"/>
          <w:sz w:val="21"/>
          <w:szCs w:val="21"/>
          <w:highlight w:val="none"/>
          <w:lang w:val="zh-CN" w:eastAsia="zh-CN" w:bidi="ar"/>
        </w:rPr>
        <w:t xml:space="preserve">人可暂停从</w:t>
      </w:r>
      <w:r>
        <w:rPr>
          <w:rFonts w:hint="eastAsia" w:ascii="宋体" w:hAnsi="宋体" w:eastAsia="宋体" w:cs="宋体"/>
          <w:color w:val="000000"/>
          <w:sz w:val="21"/>
          <w:szCs w:val="21"/>
          <w:highlight w:val="none"/>
          <w:lang w:eastAsia="zh-CN" w:bidi="ar"/>
        </w:rPr>
        <w:t xml:space="preserve">投</w:t>
      </w:r>
      <w:r>
        <w:rPr>
          <w:rFonts w:hint="eastAsia" w:ascii="宋体" w:hAnsi="宋体" w:eastAsia="宋体" w:cs="宋体"/>
          <w:color w:val="000000"/>
          <w:sz w:val="21"/>
          <w:szCs w:val="21"/>
          <w:highlight w:val="none"/>
          <w:lang w:val="zh-CN" w:eastAsia="zh-CN" w:bidi="ar"/>
        </w:rPr>
        <w:t xml:space="preserve">标人处采购；</w:t>
      </w:r>
      <w:r>
        <w:rPr>
          <w:rFonts w:hint="eastAsia" w:ascii="宋体" w:hAnsi="宋体" w:eastAsia="宋体" w:cs="宋体"/>
          <w:color w:val="000000"/>
          <w:sz w:val="21"/>
          <w:szCs w:val="21"/>
          <w:highlight w:val="none"/>
          <w:lang w:eastAsia="zh-CN" w:bidi="ar"/>
        </w:rPr>
        <w:t xml:space="preserve">由国家卫生执法部门予以确认，</w:t>
      </w:r>
      <w:r>
        <w:rPr>
          <w:rFonts w:hint="eastAsia" w:ascii="宋体" w:hAnsi="宋体" w:eastAsia="宋体" w:cs="宋体"/>
          <w:color w:val="000000"/>
          <w:sz w:val="21"/>
          <w:szCs w:val="21"/>
          <w:highlight w:val="none"/>
          <w:lang w:val="zh-CN" w:eastAsia="zh-CN" w:bidi="ar"/>
        </w:rPr>
        <w:t xml:space="preserve">若明确为</w:t>
      </w:r>
      <w:r>
        <w:rPr>
          <w:rFonts w:hint="eastAsia" w:ascii="宋体" w:hAnsi="宋体" w:eastAsia="宋体" w:cs="宋体"/>
          <w:color w:val="000000"/>
          <w:sz w:val="21"/>
          <w:szCs w:val="21"/>
          <w:highlight w:val="none"/>
          <w:lang w:eastAsia="zh-CN" w:bidi="ar"/>
        </w:rPr>
        <w:t xml:space="preserve">投</w:t>
      </w:r>
      <w:r>
        <w:rPr>
          <w:rFonts w:hint="eastAsia" w:ascii="宋体" w:hAnsi="宋体" w:eastAsia="宋体" w:cs="宋体"/>
          <w:color w:val="000000"/>
          <w:sz w:val="21"/>
          <w:szCs w:val="21"/>
          <w:highlight w:val="none"/>
          <w:lang w:val="zh-CN" w:eastAsia="zh-CN" w:bidi="ar"/>
        </w:rPr>
        <w:t xml:space="preserve">标人责任，</w:t>
      </w:r>
      <w:r>
        <w:rPr>
          <w:rFonts w:hint="eastAsia" w:ascii="宋体" w:hAnsi="宋体" w:eastAsia="宋体" w:cs="宋体"/>
          <w:color w:val="000000"/>
          <w:sz w:val="21"/>
          <w:szCs w:val="21"/>
          <w:highlight w:val="none"/>
          <w:lang w:eastAsia="zh-CN" w:bidi="ar"/>
        </w:rPr>
        <w:t xml:space="preserve">采购</w:t>
      </w:r>
      <w:r>
        <w:rPr>
          <w:rFonts w:hint="eastAsia" w:ascii="宋体" w:hAnsi="宋体" w:eastAsia="宋体" w:cs="宋体"/>
          <w:color w:val="000000"/>
          <w:sz w:val="21"/>
          <w:szCs w:val="21"/>
          <w:highlight w:val="none"/>
          <w:lang w:val="zh-CN" w:eastAsia="zh-CN" w:bidi="ar"/>
        </w:rPr>
        <w:t xml:space="preserve">人将无条件与</w:t>
      </w:r>
      <w:r>
        <w:rPr>
          <w:rFonts w:hint="eastAsia" w:ascii="宋体" w:hAnsi="宋体" w:eastAsia="宋体" w:cs="宋体"/>
          <w:color w:val="000000"/>
          <w:sz w:val="21"/>
          <w:szCs w:val="21"/>
          <w:highlight w:val="none"/>
          <w:lang w:eastAsia="zh-CN" w:bidi="ar"/>
        </w:rPr>
        <w:t xml:space="preserve">投</w:t>
      </w:r>
      <w:r>
        <w:rPr>
          <w:rFonts w:hint="eastAsia" w:ascii="宋体" w:hAnsi="宋体" w:eastAsia="宋体" w:cs="宋体"/>
          <w:color w:val="000000"/>
          <w:sz w:val="21"/>
          <w:szCs w:val="21"/>
          <w:highlight w:val="none"/>
          <w:lang w:val="zh-CN" w:eastAsia="zh-CN" w:bidi="ar"/>
        </w:rPr>
        <w:t xml:space="preserve">标人解除合同且不承担任何责任和赔偿，</w:t>
      </w:r>
      <w:r>
        <w:rPr>
          <w:rFonts w:hint="eastAsia" w:ascii="宋体" w:hAnsi="宋体" w:eastAsia="宋体" w:cs="宋体"/>
          <w:color w:val="000000"/>
          <w:sz w:val="21"/>
          <w:szCs w:val="21"/>
          <w:highlight w:val="none"/>
          <w:lang w:eastAsia="zh-CN" w:bidi="ar"/>
        </w:rPr>
        <w:t xml:space="preserve">中标人须承担相应法律责任并予以赔偿。</w:t>
      </w:r>
      <w:r/>
    </w:p>
    <w:p>
      <w:pPr>
        <w:ind w:firstLine="422"/>
        <w:spacing w:after="0" w:line="320" w:lineRule="exact"/>
        <w:rPr>
          <w:rFonts w:hint="eastAsia" w:ascii="宋体" w:hAnsi="宋体" w:eastAsia="宋体" w:cs="宋体"/>
          <w:b/>
          <w:sz w:val="21"/>
          <w:szCs w:val="21"/>
          <w:highlight w:val="none"/>
          <w:lang w:eastAsia="zh-CN"/>
        </w:rPr>
      </w:pPr>
      <w:r>
        <w:rPr>
          <w:rFonts w:hint="eastAsia" w:ascii="宋体" w:hAnsi="宋体" w:eastAsia="宋体" w:cs="宋体"/>
          <w:b/>
          <w:color w:val="000000"/>
          <w:sz w:val="21"/>
          <w:szCs w:val="21"/>
          <w:highlight w:val="none"/>
          <w:lang w:eastAsia="zh-CN" w:bidi="ar"/>
        </w:rPr>
        <w:t xml:space="preserve">13、食品供应链要求：所有食品的来源必须清晰可追溯。</w:t>
      </w:r>
      <w:r/>
    </w:p>
    <w:p>
      <w:pPr>
        <w:ind w:firstLine="482"/>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四、人员管理及仓储要求</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1.中标供应商应具有一定食品安全法律知识及食品管理技能的专职或者兼职食品安全管理人。</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2.中标供应商须建立健全食品安全管理制度和从业人员健康管理制度。</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3.中标供应商应与所供应配送的食材品种、数量相适应的仓储设备及相关条件；保持仓库环境整洁，同时仓库内食材应排放有序，没有任何有毒、有害场所以及其他污染源。</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4.配送人员必须取得卫生部门出具的健康证，工作时做到个人仪表整洁。且送货时必须按采购人要求进行着装。</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5.配送车辆上必须粘贴配送标识，车辆要保持清洁，在食材配送过程中不得与其他产品混装。</w:t>
      </w:r>
      <w:r/>
    </w:p>
    <w:p>
      <w:pPr>
        <w:ind w:firstLine="482"/>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五、食材配送及交货要求</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2.食材供货配送必须建立完善的质量承诺制度，并具有与该承诺相适应的财务保障。</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3.日常情况下，采购人提前1天以邮件或电话、微信等形式告知中标供应商供应的食材种类、数量及交货地点，中标供应商应对订单进行确认；中标供应商未于下单日当天明确表示不能配送的，则视为确认。</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6.交货地点：鼓楼区中山路321号、中山北路53号；江北新区浦珠中路359号。</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9.中标供应商须随时接受采购人或相关单位的随机抽样检查，检验费用由中标供应商支付。</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10.采购人对食材提出的质量异议时，保证在30分钟以内作出答复，并妥善商处。无法在30分钟内解决的，应在2个小时内提供备用产品，使采购人能够正常使用。</w:t>
      </w:r>
      <w:r/>
    </w:p>
    <w:p>
      <w:pPr>
        <w:ind w:firstLine="439"/>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11.规格包装的食材交付时，必须原包装完好无损，否则采购人有权拒收。</w:t>
      </w:r>
      <w:r/>
    </w:p>
    <w:p>
      <w:pPr>
        <w:ind w:firstLine="482"/>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六、履约及违约</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1.中标供应商应向采购人缴纳</w:t>
      </w:r>
      <w:r>
        <w:rPr>
          <w:rFonts w:hint="eastAsia" w:ascii="宋体" w:hAnsi="宋体" w:eastAsia="宋体" w:cs="宋体"/>
          <w:color w:val="000000"/>
          <w:sz w:val="21"/>
          <w:szCs w:val="21"/>
          <w:highlight w:val="none"/>
          <w:lang w:val="en-US" w:eastAsia="zh-CN"/>
        </w:rPr>
        <w:t xml:space="preserve">30万元</w:t>
      </w:r>
      <w:r>
        <w:rPr>
          <w:rFonts w:hint="eastAsia" w:ascii="宋体" w:hAnsi="宋体" w:eastAsia="宋体" w:cs="宋体"/>
          <w:color w:val="000000"/>
          <w:sz w:val="21"/>
          <w:szCs w:val="21"/>
          <w:highlight w:val="none"/>
          <w:lang w:eastAsia="zh-CN"/>
        </w:rPr>
        <w:t xml:space="preserve">履约保证金作为合同生效的前提，本项目中标供应商应缴纳履约保证金，并在合同中予以明确。</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2.因中标供应商配送不及时导致食材供应延误的，由采购人根据本单位供应商管理处罚管理规定进行处理，按规定要求扣除相应的履约保证金。</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3.采购人如临时增加用餐人员，需临时补充食材的，中标供应商应在约定时间内无条件把指定的食材送至指定的地点，否则按第2条处理。</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材的货款作为赔偿预付款。</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5.凡中标供应商向采购人提供的食材发生质量问题，影响食用，经相关部门确认，由采购人进行处罚，三次及以上扣除全部履约保证金并解除合同。</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采购人将定期或不定期地组织专人对中标供应商所供食材的质量报送质检部门抽检，若发现食材质量检测结果与招标文件或投标文件或与国家规定的质量标准不符，采购人有权对其进行罚款、扣除履约保证金、解除合同等。</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7.凡中标供应商供应的食材故意串规、定量包装批量误差超过相关规定，一经查实，均按当月食材供应额的3倍值作为支付采购人的违约金。</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8.如中标供应商延迟交货或配送货物不符合订单要求，中标供应商须按采购人要求及时补货、换货或退货。对于上述情况的发生，前两次采购人将予以警告，第三次采购人有权直接解除合同并扣除其履约保证金。</w:t>
      </w:r>
      <w:r/>
    </w:p>
    <w:p>
      <w:pPr>
        <w:ind w:firstLine="480"/>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9.如中标供应商在项目实施期间出现违背投标时的承诺，或经营异常，或丧失商业信誉，或产品被曝光不合格或被政府部门取缔相关生产经营资格的情况，采购人有权直接解除合同并扣除其履约保证金。</w:t>
      </w:r>
      <w:r/>
    </w:p>
    <w:p>
      <w:pPr>
        <w:ind w:firstLine="482"/>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七、培训服务承诺及措施</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1.中标供应商做好食材供应服务，切实做到人员到位，服务到位，切实保障采购人合法权益。</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2.中标供应商保证产品在采购人规定时间内送达指定地点，由采购人指定专人进行验收，验收合格签字认可。</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4.如采购人或相关部门对中标供应商产品质量有异议，有权提出改进意见。</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5.每年中标供应商应对相关人员进行一次培训。</w:t>
      </w:r>
      <w:r/>
    </w:p>
    <w:p>
      <w:pPr>
        <w:ind w:firstLine="482"/>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八、报价与结算要求</w:t>
      </w:r>
      <w:r/>
    </w:p>
    <w:p>
      <w:pPr>
        <w:ind w:firstLine="480"/>
        <w:spacing w:after="0"/>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bookmarkStart w:id="126" w:name="OLE_LINK8"/>
      <w:r/>
      <w:bookmarkStart w:id="127" w:name="OLE_LINK9"/>
      <w:r>
        <w:rPr>
          <w:rFonts w:hint="eastAsia" w:ascii="宋体" w:hAnsi="宋体" w:eastAsia="宋体" w:cs="宋体"/>
          <w:color w:val="000000"/>
          <w:sz w:val="21"/>
          <w:szCs w:val="21"/>
          <w:highlight w:val="none"/>
          <w:lang w:eastAsia="zh-CN"/>
        </w:rPr>
        <w:t xml:space="preserve">1、本项目采购食材清单由甲方根据每批次需要自主选定，本次报价包含：商品价、运输费（含装卸费）、人工费、保险费、税费、培训费、货物送到甲方指定地点等的所有费用。</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t xml:space="preserve">2、询价方式：询价参照《</w:t>
      </w:r>
      <w:r>
        <w:rPr>
          <w:rFonts w:hint="eastAsia" w:ascii="宋体" w:hAnsi="宋体" w:eastAsia="宋体" w:cs="宋体"/>
          <w:color w:val="000000"/>
          <w:sz w:val="21"/>
          <w:szCs w:val="21"/>
          <w:highlight w:val="none"/>
          <w:lang w:eastAsia="zh-CN"/>
        </w:rPr>
        <w:t xml:space="preserve">南京鼓楼医院食堂食材询价制度（</w:t>
      </w:r>
      <w:r>
        <w:rPr>
          <w:rFonts w:hint="eastAsia" w:ascii="宋体" w:hAnsi="宋体" w:eastAsia="宋体" w:cs="宋体"/>
          <w:color w:val="000000"/>
          <w:sz w:val="21"/>
          <w:szCs w:val="21"/>
          <w:highlight w:val="none"/>
          <w:lang w:val="en-US" w:eastAsia="zh-CN"/>
        </w:rPr>
        <w:t xml:space="preserve">试</w:t>
      </w:r>
      <w:r>
        <w:rPr>
          <w:rFonts w:hint="eastAsia" w:ascii="宋体" w:hAnsi="宋体" w:eastAsia="宋体" w:cs="宋体"/>
          <w:color w:val="000000"/>
          <w:sz w:val="21"/>
          <w:szCs w:val="21"/>
          <w:highlight w:val="none"/>
          <w:lang w:eastAsia="zh-CN"/>
        </w:rPr>
        <w:t xml:space="preserve">行版）》</w:t>
      </w:r>
      <w:r>
        <w:rPr>
          <w:rFonts w:hint="eastAsia" w:ascii="宋体" w:hAnsi="宋体" w:eastAsia="宋体" w:cs="宋体"/>
          <w:sz w:val="21"/>
          <w:szCs w:val="21"/>
          <w:highlight w:val="none"/>
          <w:lang w:eastAsia="zh-CN"/>
        </w:rPr>
        <w:t xml:space="preserve">执行。见附件《</w:t>
      </w:r>
      <w:r>
        <w:rPr>
          <w:rFonts w:hint="eastAsia" w:ascii="宋体" w:hAnsi="宋体" w:eastAsia="宋体" w:cs="宋体"/>
          <w:color w:val="000000"/>
          <w:sz w:val="21"/>
          <w:szCs w:val="21"/>
          <w:highlight w:val="none"/>
          <w:lang w:eastAsia="zh-CN"/>
        </w:rPr>
        <w:t xml:space="preserve">南京鼓楼医院食堂食材询价制度（</w:t>
      </w:r>
      <w:r>
        <w:rPr>
          <w:rFonts w:hint="eastAsia" w:ascii="宋体" w:hAnsi="宋体" w:eastAsia="宋体" w:cs="宋体"/>
          <w:color w:val="000000"/>
          <w:sz w:val="21"/>
          <w:szCs w:val="21"/>
          <w:highlight w:val="none"/>
          <w:lang w:val="en-US" w:eastAsia="zh-CN"/>
        </w:rPr>
        <w:t xml:space="preserve">试</w:t>
      </w:r>
      <w:r>
        <w:rPr>
          <w:rFonts w:hint="eastAsia" w:ascii="宋体" w:hAnsi="宋体" w:eastAsia="宋体" w:cs="宋体"/>
          <w:color w:val="000000"/>
          <w:sz w:val="21"/>
          <w:szCs w:val="21"/>
          <w:highlight w:val="none"/>
          <w:lang w:eastAsia="zh-CN"/>
        </w:rPr>
        <w:t xml:space="preserve">行版）</w:t>
      </w:r>
      <w:r>
        <w:rPr>
          <w:rFonts w:hint="eastAsia" w:ascii="宋体" w:hAnsi="宋体" w:eastAsia="宋体" w:cs="宋体"/>
          <w:sz w:val="21"/>
          <w:szCs w:val="21"/>
          <w:highlight w:val="none"/>
          <w:lang w:eastAsia="zh-CN"/>
        </w:rPr>
        <w:t xml:space="preserve">》。</w:t>
      </w:r>
      <w:bookmarkEnd w:id="126"/>
      <w:r/>
      <w:bookmarkEnd w:id="127"/>
      <w:r>
        <w:rPr>
          <w:rFonts w:hint="eastAsia" w:ascii="宋体" w:hAnsi="宋体" w:eastAsia="宋体" w:cs="宋体"/>
          <w:color w:val="000000"/>
          <w:sz w:val="21"/>
          <w:szCs w:val="21"/>
          <w:highlight w:val="none"/>
          <w:lang w:eastAsia="zh-CN"/>
        </w:rPr>
        <w:t xml:space="preserve">供应商应于规定时间将商品清单报价交于采购人，采购人自收到供应商价格后的5个工作日内进行所有清单商品的线上询价和线下询价。</w:t>
      </w:r>
      <w:r/>
    </w:p>
    <w:p>
      <w:pPr>
        <w:pStyle w:val="951"/>
        <w:spacing w:after="240" w:line="0"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（1）供应商报价：按甲方要求在规定时间内自报价；</w:t>
      </w:r>
      <w:r/>
    </w:p>
    <w:p>
      <w:pPr>
        <w:pStyle w:val="951"/>
        <w:spacing w:after="240" w:line="0"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（2）网上结算价格：在南京发展改革委员会网站（http://fgw.nanjing.gov.cn/）所询最近一次公布的价格作为基准价，供货商在基准价基础上报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color w:val="000000"/>
          <w:sz w:val="21"/>
          <w:szCs w:val="21"/>
          <w:highlight w:val="none"/>
          <w:lang w:eastAsia="zh-CN"/>
        </w:rPr>
        <w:t xml:space="preserve">，网上结算价格=基准价*（1-</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color w:val="000000"/>
          <w:sz w:val="21"/>
          <w:szCs w:val="21"/>
          <w:highlight w:val="none"/>
          <w:lang w:eastAsia="zh-CN"/>
        </w:rPr>
        <w:t xml:space="preserve">）；</w:t>
      </w:r>
      <w:r/>
    </w:p>
    <w:p>
      <w:pPr>
        <w:pStyle w:val="951"/>
        <w:spacing w:after="240" w:line="0"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（3）线下价格：对于线上未查询到的食材，到指定的专营店（如双汇专营店、雨润专营店等）作为基准价，供货商在基准价基础上报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color w:val="000000"/>
          <w:sz w:val="21"/>
          <w:szCs w:val="21"/>
          <w:highlight w:val="none"/>
          <w:lang w:eastAsia="zh-CN"/>
        </w:rPr>
        <w:t xml:space="preserve">，线下价格=基准价*（1-</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color w:val="000000"/>
          <w:sz w:val="21"/>
          <w:szCs w:val="21"/>
          <w:highlight w:val="none"/>
          <w:lang w:eastAsia="zh-CN"/>
        </w:rPr>
        <w:t xml:space="preserve">）；</w:t>
      </w:r>
      <w:r/>
    </w:p>
    <w:p>
      <w:pPr>
        <w:pStyle w:val="951"/>
        <w:spacing w:after="240" w:line="0"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以上三个价格中取最低价做为最终定价。网上线下均未能询到价的商品，以供货商自报价作为最终定价。</w:t>
      </w:r>
      <w:r/>
    </w:p>
    <w:p>
      <w:pPr>
        <w:pStyle w:val="951"/>
        <w:spacing w:after="240" w:line="0"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询价每月一次，每月20日报下月价格。询价周期内，每个月执行单价不变。</w:t>
      </w:r>
      <w:r/>
    </w:p>
    <w:p>
      <w:pPr>
        <w:ind w:firstLine="480"/>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2.结算方式：</w:t>
      </w:r>
      <w:r/>
    </w:p>
    <w:p>
      <w:pPr>
        <w:ind w:firstLine="482"/>
        <w:jc w:val="both"/>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①结算方式：按月结算，月供货金额(含税价)=月实际供货量*经医院审核后的价格。结算时开具正式发票，发票不能由第三方代开。如供货商未提供发票的，医院有权拒绝付款，产生损失的由供货商自行承担，与医院无关。</w:t>
      </w:r>
      <w:r/>
    </w:p>
    <w:p>
      <w:pPr>
        <w:ind w:firstLine="482"/>
        <w:jc w:val="both"/>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bookmarkStart w:id="128" w:name="_Hlk195438937"/>
      <w:r>
        <w:rPr>
          <w:rFonts w:hint="eastAsia" w:ascii="宋体" w:hAnsi="宋体" w:eastAsia="宋体" w:cs="宋体"/>
          <w:color w:val="000000"/>
          <w:sz w:val="21"/>
          <w:szCs w:val="21"/>
          <w:highlight w:val="none"/>
          <w:lang w:eastAsia="zh-CN"/>
        </w:rPr>
        <w:t xml:space="preserve">②甲方每月对中标供应商进行考核（本部（含北院）、江北分开考核），考核作为供货商合同期考核的重要依据，详见《考核表》。</w:t>
      </w:r>
      <w:bookmarkEnd w:id="128"/>
      <w:r/>
      <w:r/>
    </w:p>
    <w:p>
      <w:pPr>
        <w:ind w:firstLine="482"/>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九、其他要求</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1.中标供应商应建立进货查验记录制度与食材安全追溯体系，建立票、据、证档案，采购人有权定期检查。</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2.中标供应商应指定专人负责处理本项目合同涉及的所有业务与事宜，并做好相关售后服务工作。</w:t>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3.供应商应承诺，如中标后同意提供采购人要求的与其投标有关的一切数据和资料，并保证其所提供数据资料的真实性与准确性。</w:t>
      </w:r>
      <w:r/>
    </w:p>
    <w:p>
      <w:pPr>
        <w:ind w:firstLine="482"/>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十、特别说明</w:t>
      </w:r>
      <w:r/>
    </w:p>
    <w:p>
      <w:pPr>
        <w:ind w:firstLine="480"/>
        <w:jc w:val="both"/>
        <w:spacing w:after="0" w:line="320" w:lineRule="exact"/>
        <w:rPr>
          <w:rFonts w:hint="eastAsia" w:ascii="宋体" w:hAnsi="宋体" w:eastAsia="宋体" w:cs="宋体"/>
          <w:b/>
          <w:bCs/>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yellow"/>
          <w:lang w:eastAsia="zh-CN"/>
        </w:rPr>
        <w:t xml:space="preserve">1.本章“采购需求”中所有要求均为实质性要求，不可负偏离，否则作为无效投标。</w:t>
      </w:r>
      <w:r>
        <w:rPr>
          <w:b/>
          <w:bCs/>
          <w:highlight w:val="yellow"/>
        </w:rPr>
      </w:r>
      <w:r/>
    </w:p>
    <w:p>
      <w:pPr>
        <w:ind w:firstLine="480"/>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2.中标供应商在项目实施过程中应严格按照采购需求中的各项要求、合同中的各项条款、采购人要求以及投标文件中确定的事项和承诺履行本项目。</w:t>
      </w:r>
      <w:r/>
    </w:p>
    <w:p>
      <w:pPr>
        <w:ind w:firstLine="480"/>
        <w:jc w:val="both"/>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3.采购人将根据实际采购供应需求对中标供应商下单订单，同时采购人不保证年采购金额一定达到或超过项目预算。</w:t>
      </w:r>
      <w:r/>
    </w:p>
    <w:p>
      <w:pPr>
        <w:ind w:firstLine="420"/>
        <w:jc w:val="left"/>
        <w:keepLines w:val="0"/>
        <w:keepNext w:val="0"/>
        <w:pageBreakBefore w:val="0"/>
        <w:spacing w:line="360" w:lineRule="auto"/>
        <w:widowControl/>
        <w:rPr>
          <w:rFonts w:hint="eastAsia" w:ascii="宋体" w:hAnsi="宋体" w:eastAsia="宋体" w:cs="宋体"/>
          <w:bCs/>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4.</w:t>
      </w:r>
      <w:r>
        <w:rPr>
          <w:rFonts w:hint="eastAsia" w:ascii="宋体" w:hAnsi="宋体" w:eastAsia="宋体" w:cs="宋体"/>
          <w:b w:val="0"/>
          <w:color w:val="000000"/>
          <w:position w:val="0"/>
          <w:sz w:val="21"/>
          <w:szCs w:val="21"/>
          <w:highlight w:val="none"/>
        </w:rPr>
        <w:t xml:space="preserve">其他补充说明：</w:t>
      </w:r>
      <w:r>
        <w:rPr>
          <w:rFonts w:hint="eastAsia" w:ascii="宋体" w:hAnsi="宋体" w:eastAsia="宋体" w:cs="宋体"/>
          <w:bCs/>
          <w:color w:val="000000"/>
          <w:position w:val="0"/>
          <w:sz w:val="21"/>
          <w:szCs w:val="21"/>
          <w:highlight w:val="none"/>
        </w:rPr>
        <w:t xml:space="preserve">服务期内因供应商原因放弃合同的，采购人将保留对其追责的权利，同时可以按照评审报告中推荐的供应商排序，确定下一候选人为中标供应商，也可以重新开展采购活动。</w:t>
      </w:r>
      <w:r/>
    </w:p>
    <w:p>
      <w:pPr>
        <w:ind w:firstLine="482"/>
        <w:jc w:val="both"/>
        <w:spacing w:after="0" w:line="32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lang w:eastAsia="zh-CN"/>
        </w:rPr>
        <w:t xml:space="preserve">、中标供应商日常考核标准（下附考核表）</w:t>
      </w:r>
      <w:r/>
    </w:p>
    <w:p>
      <w:pPr>
        <w:ind w:firstLine="480"/>
        <w:jc w:val="both"/>
        <w:spacing w:after="0" w:line="32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采购人每月对中标供应商进行考核，考核人员由采购人方人员担任，考核作为供货商合同期考核的重要依据，每月进行通报。</w:t>
      </w:r>
      <w:r/>
    </w:p>
    <w:p>
      <w:pPr>
        <w:jc w:val="both"/>
        <w:spacing w:after="0" w:line="71" w:lineRule="atLeas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000000"/>
          <w:sz w:val="21"/>
          <w:szCs w:val="21"/>
          <w:highlight w:val="none"/>
          <w:lang w:eastAsia="zh-CN"/>
        </w:rPr>
      </w:r>
      <w:r/>
    </w:p>
    <w:tbl>
      <w:tblPr>
        <w:tblStyle w:val="927"/>
        <w:tblW w:w="15563" w:type="dxa"/>
        <w:jc w:val="right"/>
        <w:tblLayout w:type="autofit"/>
        <w:tblCellMar>
          <w:left w:w="108" w:type="dxa"/>
          <w:top w:w="0" w:type="dxa"/>
          <w:right w:w="108" w:type="dxa"/>
          <w:bottom w:w="0" w:type="dxa"/>
        </w:tblCellMar>
        <w:tblLook w:val="04A0" w:firstRow="1" w:lastRow="0" w:firstColumn="1" w:lastColumn="0" w:noHBand="0" w:noVBand="1"/>
      </w:tblPr>
      <w:tblGrid>
        <w:gridCol w:w="1134"/>
        <w:gridCol w:w="2467"/>
        <w:gridCol w:w="6379"/>
        <w:gridCol w:w="709"/>
        <w:gridCol w:w="708"/>
        <w:gridCol w:w="4166"/>
      </w:tblGrid>
      <w:tr>
        <w:trPr>
          <w:jc w:val="right"/>
          <w:trHeight w:val="270"/>
        </w:trPr>
        <w:tc>
          <w:tcPr>
            <w:gridSpan w:val="6"/>
            <w:tcBorders>
              <w:top w:val="single" w:color="auto" w:sz="4" w:space="0"/>
              <w:left w:val="single" w:color="auto" w:sz="4" w:space="0"/>
              <w:bottom w:val="single" w:color="auto" w:sz="4" w:space="0"/>
              <w:right w:val="single" w:color="auto" w:sz="4" w:space="0"/>
            </w:tcBorders>
            <w:tcW w:w="15563" w:type="dxa"/>
            <w:vAlign w:val="center"/>
            <w:textDirection w:val="lrTb"/>
            <w:noWrap/>
          </w:tcPr>
          <w:p>
            <w:pPr>
              <w:jc w:val="center"/>
              <w:spacing w:after="156"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rPr>
              <w:t xml:space="preserve">考核表</w:t>
            </w:r>
            <w:r/>
          </w:p>
        </w:tc>
      </w:tr>
      <w:tr>
        <w:trPr>
          <w:jc w:val="right"/>
          <w:trHeight w:val="270"/>
        </w:trPr>
        <w:tc>
          <w:tcPr>
            <w:gridSpan w:val="2"/>
            <w:tcBorders>
              <w:top w:val="single" w:color="auto" w:sz="4" w:space="0"/>
              <w:left w:val="single" w:color="auto" w:sz="4" w:space="0"/>
              <w:bottom w:val="single" w:color="auto" w:sz="4" w:space="0"/>
              <w:right w:val="single" w:color="000000" w:sz="4" w:space="0"/>
            </w:tcBorders>
            <w:tcW w:w="3601" w:type="dxa"/>
            <w:vAlign w:val="center"/>
            <w:textDirection w:val="lrTb"/>
            <w:noWrap/>
          </w:tcPr>
          <w:p>
            <w:pPr>
              <w:jc w:val="center"/>
              <w:spacing w:after="156"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考评项目</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spacing w:after="156"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评分、罚款标准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总分</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扣分、罚款原因</w:t>
            </w:r>
            <w:r/>
          </w:p>
        </w:tc>
      </w:tr>
      <w:tr>
        <w:trPr>
          <w:jc w:val="right"/>
          <w:trHeight w:val="352"/>
        </w:trPr>
        <w:tc>
          <w:tcPr>
            <w:gridSpan w:val="2"/>
            <w:tcBorders>
              <w:top w:val="none" w:color="000000" w:sz="4" w:space="0"/>
              <w:left w:val="single" w:color="auto" w:sz="4" w:space="0"/>
              <w:bottom w:val="single" w:color="auto" w:sz="4" w:space="0"/>
              <w:right w:val="single" w:color="auto" w:sz="4" w:space="0"/>
            </w:tcBorders>
            <w:tcW w:w="3601"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态度不好、不服从甲方安排、与甲方发生争吵等，视情况扣分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388"/>
        </w:trPr>
        <w:tc>
          <w:tcPr>
            <w:gridSpan w:val="2"/>
            <w:tcBorders>
              <w:top w:val="none" w:color="000000" w:sz="4" w:space="0"/>
              <w:left w:val="single" w:color="auto" w:sz="4" w:space="0"/>
              <w:bottom w:val="single" w:color="auto" w:sz="4" w:space="0"/>
              <w:right w:val="single" w:color="auto" w:sz="4" w:space="0"/>
            </w:tcBorders>
            <w:tcW w:w="3601"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货品质量</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发现质量问题，如肉类发臭、冻品临期等，每次扣2分。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81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安全保障</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食品安全能否得到保障（提供食品安全相关证明）</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1.溯源卡查不到信息，扣2分；</w:t>
            </w:r>
            <w:r/>
          </w:p>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2.防疫合格证、农残证明未及时提供，扣2分；</w:t>
            </w:r>
            <w:r/>
          </w:p>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3.不能提供送货车辆及理货箱清洗消毒记录，扣2分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27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准确性</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是否与订购数量一致</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发现少送量超过订货单的10%扣1分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27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是否与订购种类一致</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发现少送品种大于3种扣1分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及时性</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是否按规定时间送达</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发现一次迟到扣1分，因天气、堵车等不可控因素迟到除外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物流配送</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是否有专门的运输工具</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使用不符合规定物流车或货拉拉，发现一次扣1分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27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人员安排</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是否有专人为甲方提供服务</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发现换人频率大于每月一次扣1分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27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价格水平</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是否有涨价现象</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特色服务</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能否零星供货或满足甲方的特殊要求</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不能满足零星送货或特殊需求，一次扣1分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27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应急处理</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应急事件处理能力</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应急事件能否及时处理，视情况扣分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81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after="156"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after="156" w:line="2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90-100分：无奖惩； 80-89分：罚款4000元；70-79分：罚款10000元； 60-69分：罚款20000元；59分以下：终止合同</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jc w:val="right"/>
          <w:trHeight w:val="810"/>
        </w:trPr>
        <w:tc>
          <w:tcPr>
            <w:gridSpan w:val="2"/>
            <w:tcBorders>
              <w:top w:val="single" w:color="auto" w:sz="4" w:space="0"/>
              <w:left w:val="single" w:color="auto" w:sz="4" w:space="0"/>
              <w:bottom w:val="single" w:color="auto" w:sz="4" w:space="0"/>
              <w:right w:val="single" w:color="auto" w:sz="4" w:space="0"/>
            </w:tcBorders>
            <w:tcW w:w="3601" w:type="dxa"/>
            <w:vAlign w:val="center"/>
            <w:textDirection w:val="lrTb"/>
            <w:noWrap/>
          </w:tcPr>
          <w:p>
            <w:pPr>
              <w:jc w:val="center"/>
              <w:spacing w:after="156" w:line="2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p>
        </w:tc>
        <w:tc>
          <w:tcPr>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spacing w:after="156"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1.送临近保质期的预包装食品，罚款3000元；</w:t>
            </w:r>
            <w:r/>
          </w:p>
          <w:p>
            <w:pPr>
              <w:spacing w:after="156"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2.肉类供货商送冷冻猪牛羊肉罚款5000元；</w:t>
            </w:r>
            <w:r/>
          </w:p>
          <w:p>
            <w:pPr>
              <w:spacing w:after="156"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3.腐烂变质的食品，罚款10000元； </w:t>
            </w:r>
            <w:r/>
          </w:p>
          <w:p>
            <w:pPr>
              <w:spacing w:after="156"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4.预包装食品无生产日期和厂家的，罚款3000元；</w:t>
            </w:r>
            <w:r/>
          </w:p>
          <w:p>
            <w:pPr>
              <w:spacing w:after="156"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5.其他视严重程度罚款；</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after="156" w:line="2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after="156" w:line="2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4166" w:type="dxa"/>
            <w:vAlign w:val="center"/>
            <w:textDirection w:val="lrTb"/>
            <w:noWrap/>
          </w:tcPr>
          <w:p>
            <w:pPr>
              <w:jc w:val="center"/>
              <w:spacing w:after="156" w:line="2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spacing w:line="400" w:lineRule="exact"/>
        <w:rPr>
          <w:rFonts w:hint="eastAsia" w:ascii="宋体" w:hAnsi="宋体" w:eastAsia="宋体" w:cs="宋体"/>
          <w:sz w:val="21"/>
          <w:szCs w:val="21"/>
          <w:highlight w:val="none"/>
          <w:lang w:eastAsia="zh-CN"/>
        </w:rPr>
        <w:sectPr>
          <w:footnotePr/>
          <w:endnotePr/>
          <w:type w:val="nextPage"/>
          <w:pgSz w:w="16838" w:h="11906" w:orient="landscape"/>
          <w:pgMar w:top="720" w:right="720" w:bottom="720" w:left="720" w:header="851" w:footer="992" w:gutter="0"/>
          <w:cols w:num="1" w:sep="0" w:space="720" w:equalWidth="1"/>
          <w:docGrid w:linePitch="360"/>
        </w:sectPr>
      </w:pPr>
      <w:r>
        <w:rPr>
          <w:rFonts w:hint="eastAsia" w:ascii="宋体" w:hAnsi="宋体" w:eastAsia="宋体" w:cs="宋体"/>
          <w:sz w:val="21"/>
          <w:szCs w:val="21"/>
          <w:highlight w:val="none"/>
          <w:lang w:eastAsia="zh-CN"/>
        </w:rPr>
      </w:r>
      <w:r/>
    </w:p>
    <w:p>
      <w:pPr>
        <w:pStyle w:val="951"/>
        <w:jc w:val="center"/>
        <w:spacing w:after="240" w:line="0" w:lineRule="atLeast"/>
        <w:shd w:val="clear" w:color="auto" w:fill="ffffff"/>
        <w:widowControl/>
        <w:rPr>
          <w:rStyle w:val="955"/>
          <w:rFonts w:hint="eastAsia" w:ascii="宋体" w:hAnsi="宋体" w:eastAsia="宋体" w:cs="宋体"/>
          <w:b w:val="0"/>
          <w:color w:val="0f1115"/>
          <w:sz w:val="21"/>
          <w:szCs w:val="21"/>
          <w:highlight w:val="none"/>
          <w:shd w:val="clear" w:color="auto" w:fill="ffffff"/>
        </w:rPr>
      </w:pPr>
      <w:r>
        <w:rPr>
          <w:rStyle w:val="955"/>
          <w:rFonts w:hint="eastAsia" w:ascii="宋体" w:hAnsi="宋体" w:eastAsia="宋体" w:cs="宋体"/>
          <w:b w:val="0"/>
          <w:color w:val="0f1115"/>
          <w:sz w:val="21"/>
          <w:szCs w:val="21"/>
          <w:highlight w:val="none"/>
          <w:shd w:val="clear" w:color="auto" w:fill="ffffff"/>
        </w:rPr>
        <w:t xml:space="preserve">南京鼓楼医院食堂食材询价制度</w:t>
      </w:r>
      <w:r/>
    </w:p>
    <w:p>
      <w:pPr>
        <w:pStyle w:val="951"/>
        <w:jc w:val="center"/>
        <w:spacing w:after="240" w:line="0" w:lineRule="atLeast"/>
        <w:shd w:val="clear" w:color="auto" w:fill="ffffff"/>
        <w:widowControl/>
        <w:rPr>
          <w:rFonts w:hint="eastAsia" w:ascii="宋体" w:hAnsi="宋体" w:eastAsia="宋体" w:cs="宋体"/>
          <w:color w:val="0f1115"/>
          <w:sz w:val="21"/>
          <w:szCs w:val="21"/>
          <w:highlight w:val="none"/>
        </w:rPr>
      </w:pPr>
      <w:r>
        <w:rPr>
          <w:rStyle w:val="955"/>
          <w:rFonts w:hint="eastAsia" w:ascii="宋体" w:hAnsi="宋体" w:eastAsia="宋体" w:cs="宋体"/>
          <w:b w:val="0"/>
          <w:color w:val="0f1115"/>
          <w:sz w:val="21"/>
          <w:szCs w:val="21"/>
          <w:highlight w:val="none"/>
          <w:shd w:val="clear" w:color="auto" w:fill="ffffff"/>
        </w:rPr>
        <w:t xml:space="preserve">（试行稿）</w:t>
      </w:r>
      <w:r/>
    </w:p>
    <w:p>
      <w:pPr>
        <w:pStyle w:val="951"/>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51"/>
        <w:ind w:firstLine="422"/>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第一条</w:t>
      </w:r>
      <w:r>
        <w:rPr>
          <w:rFonts w:hint="eastAsia" w:ascii="宋体" w:hAnsi="宋体" w:eastAsia="宋体" w:cs="宋体"/>
          <w:color w:val="0f1115"/>
          <w:sz w:val="21"/>
          <w:szCs w:val="21"/>
          <w:highlight w:val="none"/>
          <w:shd w:val="clear" w:color="auto" w:fill="ffffff"/>
        </w:rPr>
        <w:t xml:space="preserve">：为进一步加强食堂成本核算，更好地把控食材质量、控制成本、提高效率，提高可操作性，特制定食堂食材询价制度，拟对蔬菜、水果、肉、禽蛋、水产、粮油等进行市场询价。</w:t>
      </w:r>
      <w:r/>
    </w:p>
    <w:p>
      <w:pPr>
        <w:pStyle w:val="951"/>
        <w:ind w:firstLine="422"/>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第二条</w:t>
      </w:r>
      <w:r>
        <w:rPr>
          <w:rFonts w:hint="eastAsia" w:ascii="宋体" w:hAnsi="宋体" w:eastAsia="宋体" w:cs="宋体"/>
          <w:color w:val="0f1115"/>
          <w:sz w:val="21"/>
          <w:szCs w:val="21"/>
          <w:highlight w:val="none"/>
          <w:shd w:val="clear" w:color="auto" w:fill="ffffff"/>
        </w:rPr>
        <w:t xml:space="preserve">：询价频次</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蔬菜类：每月两次询价，为每月5日和20日左右。</w:t>
      </w:r>
      <w:r/>
    </w:p>
    <w:p>
      <w:pPr>
        <w:pStyle w:val="951"/>
        <w:ind w:firstLine="420"/>
        <w:spacing w:line="480" w:lineRule="exact"/>
        <w:widowControl/>
        <w:rPr>
          <w:rStyle w:val="955"/>
          <w:rFonts w:hint="eastAsia" w:ascii="宋体" w:hAnsi="宋体" w:eastAsia="宋体" w:cs="宋体"/>
          <w:b w:val="0"/>
          <w:color w:val="0f1115"/>
          <w:sz w:val="21"/>
          <w:szCs w:val="21"/>
          <w:highlight w:val="none"/>
          <w:shd w:val="clear" w:color="auto" w:fill="ffffff"/>
        </w:rPr>
      </w:pPr>
      <w:r>
        <w:rPr>
          <w:rStyle w:val="955"/>
          <w:rFonts w:hint="eastAsia" w:ascii="宋体" w:hAnsi="宋体" w:eastAsia="宋体" w:cs="宋体"/>
          <w:b w:val="0"/>
          <w:color w:val="0f1115"/>
          <w:sz w:val="21"/>
          <w:szCs w:val="21"/>
          <w:highlight w:val="none"/>
          <w:shd w:val="clear" w:color="auto" w:fill="ffffff"/>
        </w:rPr>
        <w:t xml:space="preserve">水果、肉、禽、蛋、水产类：每月询价一次，为每月20日左右。</w:t>
      </w:r>
      <w:r/>
    </w:p>
    <w:p>
      <w:pPr>
        <w:pStyle w:val="951"/>
        <w:ind w:firstLine="420"/>
        <w:spacing w:line="480" w:lineRule="exact"/>
        <w:widowControl/>
        <w:rPr>
          <w:rStyle w:val="955"/>
          <w:rFonts w:hint="eastAsia" w:ascii="宋体" w:hAnsi="宋体" w:eastAsia="宋体" w:cs="宋体"/>
          <w:b w:val="0"/>
          <w:color w:val="0f1115"/>
          <w:sz w:val="21"/>
          <w:szCs w:val="21"/>
          <w:highlight w:val="none"/>
          <w:shd w:val="clear" w:color="auto" w:fill="ffffff"/>
        </w:rPr>
      </w:pPr>
      <w:r>
        <w:rPr>
          <w:rStyle w:val="955"/>
          <w:rFonts w:hint="eastAsia" w:ascii="宋体" w:hAnsi="宋体" w:eastAsia="宋体" w:cs="宋体"/>
          <w:b w:val="0"/>
          <w:color w:val="0f1115"/>
          <w:sz w:val="21"/>
          <w:szCs w:val="21"/>
          <w:highlight w:val="none"/>
          <w:shd w:val="clear" w:color="auto" w:fill="ffffff"/>
        </w:rPr>
        <w:t xml:space="preserve">粮油：每半年一次。</w:t>
      </w:r>
      <w:r/>
    </w:p>
    <w:p>
      <w:pPr>
        <w:pStyle w:val="951"/>
        <w:ind w:firstLine="420"/>
        <w:spacing w:line="480" w:lineRule="exact"/>
        <w:widowControl/>
        <w:rPr>
          <w:rStyle w:val="955"/>
          <w:rFonts w:hint="eastAsia" w:ascii="宋体" w:hAnsi="宋体" w:eastAsia="宋体" w:cs="宋体"/>
          <w:b w:val="0"/>
          <w:color w:val="0f1115"/>
          <w:sz w:val="21"/>
          <w:szCs w:val="21"/>
          <w:highlight w:val="none"/>
          <w:shd w:val="clear" w:color="auto" w:fill="ffffff"/>
        </w:rPr>
      </w:pPr>
      <w:r>
        <w:rPr>
          <w:rStyle w:val="955"/>
          <w:rFonts w:hint="eastAsia" w:ascii="宋体" w:hAnsi="宋体" w:eastAsia="宋体" w:cs="宋体"/>
          <w:b w:val="0"/>
          <w:color w:val="0f1115"/>
          <w:sz w:val="21"/>
          <w:szCs w:val="21"/>
          <w:highlight w:val="none"/>
          <w:shd w:val="clear" w:color="auto" w:fill="ffffff"/>
        </w:rPr>
        <w:t xml:space="preserve">商超：每半年一次。</w:t>
      </w:r>
      <w:r/>
    </w:p>
    <w:p>
      <w:pPr>
        <w:pStyle w:val="951"/>
        <w:ind w:firstLine="422"/>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第三条</w:t>
      </w:r>
      <w:r>
        <w:rPr>
          <w:rFonts w:hint="eastAsia" w:ascii="宋体" w:hAnsi="宋体" w:eastAsia="宋体" w:cs="宋体"/>
          <w:color w:val="0f1115"/>
          <w:sz w:val="21"/>
          <w:szCs w:val="21"/>
          <w:highlight w:val="none"/>
          <w:shd w:val="clear" w:color="auto" w:fill="ffffff"/>
        </w:rPr>
        <w:t xml:space="preserve">：询价流程</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Style w:val="955"/>
          <w:rFonts w:hint="eastAsia" w:ascii="宋体" w:hAnsi="宋体" w:eastAsia="宋体" w:cs="宋体"/>
          <w:b w:val="0"/>
          <w:color w:val="0f1115"/>
          <w:sz w:val="21"/>
          <w:szCs w:val="21"/>
          <w:highlight w:val="none"/>
          <w:shd w:val="clear" w:color="auto" w:fill="ffffff"/>
        </w:rPr>
        <w:t xml:space="preserve">蔬菜：首先由膳食科根据按照南京发改委网站</w:t>
      </w:r>
      <w:r>
        <w:rPr>
          <w:rStyle w:val="955"/>
          <w:rFonts w:hint="eastAsia" w:ascii="宋体" w:hAnsi="宋体" w:eastAsia="宋体" w:cs="宋体"/>
          <w:b w:val="0"/>
          <w:bCs/>
          <w:color w:val="0f1115"/>
          <w:sz w:val="21"/>
          <w:szCs w:val="21"/>
          <w:highlight w:val="none"/>
        </w:rPr>
        <w:t xml:space="preserve">查询相同品相价格，对于未查询到的菜品由膳食科、财务处到周边农贸市场进行询价（不固定农贸市场），主要对</w:t>
      </w:r>
      <w:r>
        <w:rPr>
          <w:rFonts w:hint="eastAsia" w:ascii="宋体" w:hAnsi="宋体" w:eastAsia="宋体" w:cs="宋体"/>
          <w:color w:val="0f1115"/>
          <w:sz w:val="21"/>
          <w:szCs w:val="21"/>
          <w:highlight w:val="none"/>
          <w:shd w:val="clear" w:color="auto" w:fill="ffffff"/>
        </w:rPr>
        <w:t xml:space="preserve">用量和金额排名前20名的菜品进行询价，然后由总务处定价小组召开议价小组会议，膳食科、财务处、供货商三方确认后形成基准价格。</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肉类：</w:t>
      </w:r>
      <w:r>
        <w:rPr>
          <w:rStyle w:val="955"/>
          <w:rFonts w:hint="eastAsia" w:ascii="宋体" w:hAnsi="宋体" w:eastAsia="宋体" w:cs="宋体"/>
          <w:b w:val="0"/>
          <w:color w:val="0f1115"/>
          <w:sz w:val="21"/>
          <w:szCs w:val="21"/>
          <w:highlight w:val="none"/>
          <w:shd w:val="clear" w:color="auto" w:fill="ffffff"/>
        </w:rPr>
        <w:t xml:space="preserve">首先由膳食科根据按照南京发改委网站</w:t>
      </w:r>
      <w:r>
        <w:rPr>
          <w:rStyle w:val="955"/>
          <w:rFonts w:hint="eastAsia" w:ascii="宋体" w:hAnsi="宋体" w:eastAsia="宋体" w:cs="宋体"/>
          <w:b w:val="0"/>
          <w:bCs/>
          <w:color w:val="0f1115"/>
          <w:sz w:val="21"/>
          <w:szCs w:val="21"/>
          <w:highlight w:val="none"/>
        </w:rPr>
        <w:t xml:space="preserve">查询相同品相价格，对于未查询到的食材由膳食科、财务处到指定的专营店（如双汇专营店、雨润专营店等），主要对</w:t>
      </w:r>
      <w:r>
        <w:rPr>
          <w:rFonts w:hint="eastAsia" w:ascii="宋体" w:hAnsi="宋体" w:eastAsia="宋体" w:cs="宋体"/>
          <w:color w:val="0f1115"/>
          <w:sz w:val="21"/>
          <w:szCs w:val="21"/>
          <w:highlight w:val="none"/>
          <w:shd w:val="clear" w:color="auto" w:fill="ffffff"/>
        </w:rPr>
        <w:t xml:space="preserve">用量和金额排名前10名的菜品进行询价，然后由总务处定价小组召开议价小组会议，膳食科、财务处、供货商三方确认后形成基准价格。</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Style w:val="955"/>
          <w:rFonts w:hint="eastAsia" w:ascii="宋体" w:hAnsi="宋体" w:eastAsia="宋体" w:cs="宋体"/>
          <w:b w:val="0"/>
          <w:bCs/>
          <w:color w:val="0f1115"/>
          <w:sz w:val="21"/>
          <w:szCs w:val="21"/>
          <w:highlight w:val="none"/>
          <w:shd w:val="clear" w:color="auto" w:fill="ffffff"/>
        </w:rPr>
        <w:t xml:space="preserve">禽蛋和水产：</w:t>
      </w:r>
      <w:r>
        <w:rPr>
          <w:rStyle w:val="955"/>
          <w:rFonts w:hint="eastAsia" w:ascii="宋体" w:hAnsi="宋体" w:eastAsia="宋体" w:cs="宋体"/>
          <w:b w:val="0"/>
          <w:color w:val="0f1115"/>
          <w:sz w:val="21"/>
          <w:szCs w:val="21"/>
          <w:highlight w:val="none"/>
          <w:shd w:val="clear" w:color="auto" w:fill="ffffff"/>
        </w:rPr>
        <w:t xml:space="preserve">首先由膳食科根据按照南京发改委网站</w:t>
      </w:r>
      <w:r>
        <w:rPr>
          <w:rStyle w:val="955"/>
          <w:rFonts w:hint="eastAsia" w:ascii="宋体" w:hAnsi="宋体" w:eastAsia="宋体" w:cs="宋体"/>
          <w:b w:val="0"/>
          <w:bCs/>
          <w:color w:val="0f1115"/>
          <w:sz w:val="21"/>
          <w:szCs w:val="21"/>
          <w:highlight w:val="none"/>
        </w:rPr>
        <w:t xml:space="preserve">查询相同品相价格，对于未查询到的食材由膳食科、财务处到周边大型超市进行询价，主要对</w:t>
      </w:r>
      <w:r>
        <w:rPr>
          <w:rFonts w:hint="eastAsia" w:ascii="宋体" w:hAnsi="宋体" w:eastAsia="宋体" w:cs="宋体"/>
          <w:color w:val="0f1115"/>
          <w:sz w:val="21"/>
          <w:szCs w:val="21"/>
          <w:highlight w:val="none"/>
          <w:shd w:val="clear" w:color="auto" w:fill="ffffff"/>
        </w:rPr>
        <w:t xml:space="preserve">用量和金额排名前10名的菜品进行询价，然后由总务处定价小组召开议价小组会议，膳食科、财务处、供货商三方确认后形成基准价格。</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水果：</w:t>
      </w:r>
      <w:r>
        <w:rPr>
          <w:rStyle w:val="955"/>
          <w:rFonts w:hint="eastAsia" w:ascii="宋体" w:hAnsi="宋体" w:eastAsia="宋体" w:cs="宋体"/>
          <w:b w:val="0"/>
          <w:color w:val="0f1115"/>
          <w:sz w:val="21"/>
          <w:szCs w:val="21"/>
          <w:highlight w:val="none"/>
          <w:shd w:val="clear" w:color="auto" w:fill="ffffff"/>
        </w:rPr>
        <w:t xml:space="preserve">首先由膳食科根据按照南京发改委网站</w:t>
      </w:r>
      <w:r>
        <w:rPr>
          <w:rStyle w:val="955"/>
          <w:rFonts w:hint="eastAsia" w:ascii="宋体" w:hAnsi="宋体" w:eastAsia="宋体" w:cs="宋体"/>
          <w:b w:val="0"/>
          <w:bCs/>
          <w:color w:val="0f1115"/>
          <w:sz w:val="21"/>
          <w:szCs w:val="21"/>
          <w:highlight w:val="none"/>
        </w:rPr>
        <w:t xml:space="preserve">查询相同品相价格，对于未查询到的食材由膳食科、财务处到周边大型超市进行询价，主要对</w:t>
      </w:r>
      <w:r>
        <w:rPr>
          <w:rFonts w:hint="eastAsia" w:ascii="宋体" w:hAnsi="宋体" w:eastAsia="宋体" w:cs="宋体"/>
          <w:color w:val="0f1115"/>
          <w:sz w:val="21"/>
          <w:szCs w:val="21"/>
          <w:highlight w:val="none"/>
          <w:shd w:val="clear" w:color="auto" w:fill="ffffff"/>
        </w:rPr>
        <w:t xml:space="preserve">用量和金额排名前10名的菜品进行询价，然后由总务处定价小组召开议价小组会议，膳食科、财务处、供货商三方确认后形成基准价格。</w:t>
      </w:r>
      <w:r/>
    </w:p>
    <w:p>
      <w:pPr>
        <w:pStyle w:val="951"/>
        <w:ind w:firstLine="420"/>
        <w:spacing w:line="480" w:lineRule="exact"/>
        <w:widowControl/>
        <w:rPr>
          <w:rStyle w:val="955"/>
          <w:rFonts w:hint="eastAsia" w:ascii="宋体" w:hAnsi="宋体" w:eastAsia="宋体" w:cs="宋体"/>
          <w:b w:val="0"/>
          <w:bCs/>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其他需要询价的品类参照上述流程执行。</w:t>
      </w:r>
      <w:r/>
    </w:p>
    <w:p>
      <w:pPr>
        <w:pStyle w:val="951"/>
        <w:ind w:firstLine="422"/>
        <w:spacing w:line="480" w:lineRule="exact"/>
        <w:widowControl/>
        <w:rPr>
          <w:rFonts w:hint="eastAsia" w:ascii="宋体" w:hAnsi="宋体" w:eastAsia="宋体" w:cs="宋体"/>
          <w:b/>
          <w:bCs/>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第四条：</w:t>
      </w:r>
      <w:r>
        <w:rPr>
          <w:rFonts w:hint="eastAsia" w:ascii="宋体" w:hAnsi="宋体" w:eastAsia="宋体" w:cs="宋体"/>
          <w:color w:val="0f1115"/>
          <w:sz w:val="21"/>
          <w:szCs w:val="21"/>
          <w:highlight w:val="none"/>
          <w:shd w:val="clear" w:color="auto" w:fill="ffffff"/>
        </w:rPr>
        <w:t xml:space="preserve">议价制度</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1.议价小组为总务处定价小组成员、财务处人员和供货商参加，主要是对所询的价格进行审核讨论和对未查询到价格的食材的价格进行议价，</w:t>
      </w:r>
      <w:r>
        <w:rPr>
          <w:rFonts w:hint="eastAsia" w:ascii="宋体" w:hAnsi="宋体" w:eastAsia="宋体" w:cs="宋体"/>
          <w:color w:val="0f1115"/>
          <w:sz w:val="21"/>
          <w:szCs w:val="21"/>
          <w:highlight w:val="none"/>
          <w:shd w:val="clear" w:color="auto" w:fill="ffffff"/>
        </w:rPr>
        <w:t xml:space="preserve">议价采取“孰低”原则</w:t>
      </w:r>
      <w:r>
        <w:rPr>
          <w:rFonts w:hint="eastAsia" w:ascii="宋体" w:hAnsi="宋体" w:eastAsia="宋体" w:cs="宋体"/>
          <w:color w:val="0f1115"/>
          <w:sz w:val="21"/>
          <w:szCs w:val="21"/>
          <w:highlight w:val="none"/>
          <w:shd w:val="clear" w:color="auto" w:fill="ffffff"/>
        </w:rPr>
        <w:t xml:space="preserve">。</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2.议价在每个月询价后的第一个工作日进行，所有确认的基准价格需三方（膳食科、财务处和供货商）签字。</w:t>
      </w:r>
      <w:r/>
    </w:p>
    <w:p>
      <w:pPr>
        <w:pStyle w:val="951"/>
        <w:ind w:firstLine="422"/>
        <w:spacing w:line="480" w:lineRule="exact"/>
        <w:widowControl/>
        <w:rPr>
          <w:rFonts w:hint="eastAsia" w:ascii="宋体" w:hAnsi="宋体" w:eastAsia="宋体" w:cs="宋体"/>
          <w:b/>
          <w:bCs/>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第五条：</w:t>
      </w:r>
      <w:r>
        <w:rPr>
          <w:rFonts w:hint="eastAsia" w:ascii="宋体" w:hAnsi="宋体" w:eastAsia="宋体" w:cs="宋体"/>
          <w:color w:val="0f1115"/>
          <w:sz w:val="21"/>
          <w:szCs w:val="21"/>
          <w:highlight w:val="none"/>
          <w:shd w:val="clear" w:color="auto" w:fill="ffffff"/>
        </w:rPr>
        <w:t xml:space="preserve">权利和义务</w:t>
      </w:r>
      <w:r/>
    </w:p>
    <w:p>
      <w:pPr>
        <w:pStyle w:val="951"/>
        <w:ind w:firstLine="640"/>
        <w:spacing w:line="480" w:lineRule="exact"/>
        <w:widowControl/>
        <w:rPr>
          <w:rFonts w:hint="eastAsia" w:ascii="宋体" w:hAnsi="宋体" w:eastAsia="宋体" w:cs="宋体"/>
          <w:b/>
          <w:bCs/>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1.膳食科和财务处负责到医院周边农贸市场或大型超市进行询价，每次最多安排1人到同一个地方进行全品类询价。</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2.如在议价过程中出现异议的，按照“谁提议谁举证”的原则执行。</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3.供货商有权利对询价差异较大的食材提出异议，有义务提供相关佐证材料。</w:t>
      </w:r>
      <w:r/>
    </w:p>
    <w:p>
      <w:pPr>
        <w:pStyle w:val="951"/>
        <w:ind w:firstLine="42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4.上述权利和义务基于合同，报价的下浮比例按照合同执行。</w:t>
      </w:r>
      <w:r/>
    </w:p>
    <w:p>
      <w:pPr>
        <w:pStyle w:val="951"/>
        <w:ind w:firstLine="422"/>
        <w:spacing w:line="480" w:lineRule="exact"/>
        <w:widowControl/>
        <w:rPr>
          <w:rFonts w:hint="eastAsia" w:ascii="宋体" w:hAnsi="宋体" w:eastAsia="宋体" w:cs="宋体"/>
          <w:b/>
          <w:bCs/>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第六条：相关要求</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1.所有供货商报价必须在规定时间内进行报价，所报价格为最终结算价格，不得乱报价、虚假报价。</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2.膳食科和财务处必须加强对供货商报价的审核，如发现有违规报价、虚假报价情况的按照第七条执行。</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第七条</w:t>
      </w:r>
      <w:r>
        <w:rPr>
          <w:rFonts w:hint="eastAsia" w:ascii="宋体" w:hAnsi="宋体" w:eastAsia="宋体" w:cs="宋体"/>
          <w:color w:val="0f1115"/>
          <w:sz w:val="21"/>
          <w:szCs w:val="21"/>
          <w:highlight w:val="none"/>
          <w:shd w:val="clear" w:color="auto" w:fill="ffffff"/>
        </w:rPr>
        <w:t xml:space="preserve">：处罚</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如发现每类食材出现5个品种出现虚假报价、违规报价的供货商，第一次进行约谈提醒，第二次扣除当月成交金额的10%，第三次取消合同。并将此供货商列入南京鼓楼医院黑名单，不得参加任何南京鼓楼医院发起任何招投标，视情况上报市财政局。</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b/>
          <w:bCs/>
          <w:color w:val="0f1115"/>
          <w:sz w:val="21"/>
          <w:szCs w:val="21"/>
          <w:highlight w:val="none"/>
          <w:shd w:val="clear" w:color="auto" w:fill="ffffff"/>
        </w:rPr>
        <w:t xml:space="preserve">第八条</w:t>
      </w:r>
      <w:r>
        <w:rPr>
          <w:rFonts w:hint="eastAsia" w:ascii="宋体" w:hAnsi="宋体" w:eastAsia="宋体" w:cs="宋体"/>
          <w:color w:val="0f1115"/>
          <w:sz w:val="21"/>
          <w:szCs w:val="21"/>
          <w:highlight w:val="none"/>
          <w:shd w:val="clear" w:color="auto" w:fill="ffffff"/>
        </w:rPr>
        <w:t xml:space="preserve">：以上未尽事宜以总务处膳食科解释为准。</w:t>
      </w:r>
      <w:r/>
    </w:p>
    <w:p>
      <w:pPr>
        <w:pStyle w:val="951"/>
        <w:ind w:firstLine="640"/>
        <w:spacing w:line="480" w:lineRule="exact"/>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本制度自2026年2月27日起试行。</w:t>
      </w:r>
      <w:r/>
    </w:p>
    <w:p>
      <w:pPr>
        <w:spacing w:line="400" w:lineRule="exact"/>
        <w:rPr>
          <w:rFonts w:ascii="方正仿宋_GBK" w:eastAsia="方正仿宋_GBK"/>
          <w:highlight w:val="none"/>
          <w:lang w:eastAsia="zh-CN"/>
        </w:rPr>
      </w:pPr>
      <w:r>
        <w:rPr>
          <w:rFonts w:ascii="方正仿宋_GBK" w:eastAsia="方正仿宋_GBK"/>
          <w:highlight w:val="none"/>
          <w:lang w:eastAsia="zh-CN"/>
        </w:rPr>
      </w:r>
      <w:r/>
    </w:p>
    <w:p>
      <w:pPr>
        <w:pStyle w:val="1126"/>
        <w:ind w:left="0"/>
        <w:rPr>
          <w:color w:val="auto"/>
          <w:highlight w:val="none"/>
        </w:rPr>
      </w:pPr>
      <w:r>
        <w:rPr>
          <w:color w:val="auto"/>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hAnsi="宋体"/>
          <w:color w:val="auto"/>
          <w:szCs w:val="21"/>
          <w:highlight w:val="none"/>
        </w:rPr>
        <w:outlineLvl w:val="0"/>
      </w:pPr>
      <w:r>
        <w:rPr>
          <w:rFonts w:hint="eastAsia" w:ascii="黑体" w:hAnsi="宋体" w:eastAsia="黑体"/>
          <w:b/>
          <w:bCs/>
          <w:color w:val="auto"/>
          <w:sz w:val="32"/>
          <w:szCs w:val="32"/>
          <w:highlight w:val="none"/>
        </w:rPr>
        <w:t xml:space="preserve">第五章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pStyle w:val="1126"/>
        <w:ind w:left="0" w:firstLine="0"/>
        <w:keepLines w:val="0"/>
        <w:keepNext w:val="0"/>
        <w:pageBreakBefore w:val="0"/>
        <w:spacing w:line="240" w:lineRule="auto"/>
        <w:widowControl w:val="off"/>
        <w:rPr>
          <w:rFonts w:hint="eastAsia"/>
          <w:highlight w:val="none"/>
          <w:lang w:eastAsia="zh-CN"/>
        </w:rPr>
      </w:pPr>
      <w:r/>
      <w:bookmarkStart w:id="129" w:name="_Toc20823315"/>
      <w:r/>
      <w:bookmarkStart w:id="130" w:name="_Toc513029243"/>
      <w:r/>
      <w:bookmarkStart w:id="131" w:name="_Toc16938559"/>
      <w:r/>
      <w:bookmarkEnd w:id="129"/>
      <w:r/>
      <w:bookmarkEnd w:id="130"/>
      <w:r/>
      <w:bookmarkEnd w:id="131"/>
      <w:r/>
      <w:r/>
    </w:p>
    <w:p>
      <w:pPr>
        <w:jc w:val="left"/>
        <w:rPr>
          <w:rFonts w:hAnsi="宋体" w:cs="宋体"/>
          <w:b w:val="0"/>
          <w:color w:val="000000" w:themeColor="text1"/>
          <w:position w:val="0"/>
          <w:szCs w:val="24"/>
          <w:highlight w:val="none"/>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以下为</w:t>
      </w:r>
      <w:r>
        <w:rPr>
          <w:rFonts w:hint="eastAsia" w:hAnsi="宋体" w:cs="宋体"/>
          <w:b w:val="0"/>
          <w:color w:val="000000" w:themeColor="text1"/>
          <w:position w:val="0"/>
          <w:szCs w:val="24"/>
          <w:highlight w:val="none"/>
          <w:lang w:val="zh-CN"/>
          <w14:textFill>
            <w14:solidFill>
              <w14:schemeClr w14:val="tx1"/>
            </w14:solidFill>
          </w14:textFill>
        </w:rPr>
        <w:t xml:space="preserve">中标</w:t>
      </w:r>
      <w:r>
        <w:rPr>
          <w:rFonts w:hAnsi="宋体" w:cs="宋体"/>
          <w:b w:val="0"/>
          <w:color w:val="000000" w:themeColor="text1"/>
          <w:position w:val="0"/>
          <w:szCs w:val="24"/>
          <w:highlight w:val="none"/>
          <w:lang w:val="zh-CN"/>
          <w14:textFill>
            <w14:solidFill>
              <w14:schemeClr w14:val="tx1"/>
            </w14:solidFill>
          </w14:textFill>
        </w:rPr>
        <w:t xml:space="preserve">后签订本项目合同的通用条款</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不得提出实质性修改</w:t>
      </w: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关于专用条款将由采购人与</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结合本项目具体情况</w:t>
      </w:r>
      <w:r>
        <w:rPr>
          <w:rFonts w:hint="eastAsia" w:hAnsi="宋体" w:cs="宋体"/>
          <w:b w:val="0"/>
          <w:color w:val="000000" w:themeColor="text1"/>
          <w:position w:val="0"/>
          <w:szCs w:val="24"/>
          <w:highlight w:val="none"/>
          <w:lang w:val="zh-CN"/>
          <w14:textFill>
            <w14:solidFill>
              <w14:schemeClr w14:val="tx1"/>
            </w14:solidFill>
          </w14:textFill>
        </w:rPr>
        <w:t xml:space="preserve">协商后签订）</w:t>
      </w:r>
      <w:r/>
    </w:p>
    <w:p>
      <w:pPr>
        <w:ind w:firstLine="440"/>
        <w:jc w:val="center"/>
        <w:spacing w:line="360" w:lineRule="auto"/>
        <w:rPr>
          <w:rFonts w:hAnsi="宋体"/>
          <w:b w:val="0"/>
          <w:bCs/>
          <w:color w:val="000000" w:themeColor="text1"/>
          <w:position w:val="0"/>
          <w:sz w:val="22"/>
          <w:szCs w:val="22"/>
          <w:highlight w:val="none"/>
          <w14:textFill>
            <w14:solidFill>
              <w14:schemeClr w14:val="tx1"/>
            </w14:solidFill>
          </w14:textFill>
        </w:rPr>
      </w:pPr>
      <w:r>
        <w:rPr>
          <w:rFonts w:hint="eastAsia" w:hAnsi="宋体"/>
          <w:b w:val="0"/>
          <w:bCs/>
          <w:color w:val="000000" w:themeColor="text1"/>
          <w:position w:val="0"/>
          <w:sz w:val="22"/>
          <w:szCs w:val="22"/>
          <w:highlight w:val="none"/>
          <w14:textFill>
            <w14:solidFill>
              <w14:schemeClr w14:val="tx1"/>
            </w14:solidFill>
          </w14:textFill>
        </w:rPr>
        <w:t xml:space="preserve">南京鼓楼医院食堂肉类购销协议（参考）</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采购单位：</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（以下简称甲方）</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供货单位：</w:t>
      </w:r>
      <w:r>
        <w:rPr>
          <w:rFonts w:hint="eastAsia" w:ascii="宋体" w:hAnsi="宋体" w:cs="宋体"/>
          <w:color w:val="000000" w:themeColor="text1"/>
          <w:szCs w:val="21"/>
          <w:highlight w:val="none"/>
          <w:lang w:val="en-US" w:eastAsia="zh-CN"/>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（以下简称乙方）</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eastAsia="zh-CN"/>
          <w14:textFill>
            <w14:solidFill>
              <w14:schemeClr w14:val="tx1"/>
            </w14:solidFill>
          </w14:textFill>
        </w:rPr>
        <w:t xml:space="preserve">，经</w:t>
      </w:r>
      <w:r>
        <w:rPr>
          <w:rFonts w:hint="eastAsia" w:ascii="宋体" w:hAnsi="宋体" w:cs="宋体"/>
          <w:color w:val="000000" w:themeColor="text1"/>
          <w:szCs w:val="21"/>
          <w:highlight w:val="none"/>
          <w:lang w:val="en-US" w:eastAsia="zh-CN"/>
          <w14:textFill>
            <w14:solidFill>
              <w14:schemeClr w14:val="tx1"/>
            </w14:solidFill>
          </w14:textFill>
        </w:rPr>
        <w:t xml:space="preserve">XXXX公司</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2026</w:t>
      </w:r>
      <w:r>
        <w:rPr>
          <w:rFonts w:hint="eastAsia" w:ascii="宋体" w:hAnsi="宋体" w:cs="宋体"/>
          <w:color w:val="000000" w:themeColor="text1"/>
          <w:szCs w:val="21"/>
          <w:highlight w:val="none"/>
          <w:u w:val="single"/>
          <w:lang w:eastAsia="zh-CN"/>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w:t>
      </w:r>
      <w:r>
        <w:rPr>
          <w:rFonts w:hint="eastAsia" w:ascii="宋体" w:hAnsi="宋体" w:cs="宋体"/>
          <w:color w:val="000000" w:themeColor="text1"/>
          <w:szCs w:val="21"/>
          <w:highlight w:val="none"/>
          <w:u w:val="single"/>
          <w:lang w:eastAsia="zh-CN"/>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w:t>
      </w:r>
      <w:r>
        <w:rPr>
          <w:rFonts w:hint="eastAsia" w:ascii="宋体" w:hAnsi="宋体" w:cs="宋体"/>
          <w:color w:val="000000" w:themeColor="text1"/>
          <w:szCs w:val="21"/>
          <w:highlight w:val="none"/>
          <w:u w:val="single"/>
          <w:lang w:eastAsia="zh-CN"/>
          <w14:textFill>
            <w14:solidFill>
              <w14:schemeClr w14:val="tx1"/>
            </w14:solidFill>
          </w14:textFill>
        </w:rPr>
        <w:t xml:space="preserve">日</w:t>
      </w:r>
      <w:r>
        <w:rPr>
          <w:rFonts w:hint="eastAsia" w:ascii="宋体" w:hAnsi="宋体" w:cs="宋体"/>
          <w:color w:val="000000" w:themeColor="text1"/>
          <w:szCs w:val="21"/>
          <w:highlight w:val="none"/>
          <w:lang w:eastAsia="zh-CN"/>
          <w14:textFill>
            <w14:solidFill>
              <w14:schemeClr w14:val="tx1"/>
            </w14:solidFill>
          </w14:textFill>
        </w:rPr>
        <w:t xml:space="preserve">公开招标采购（</w:t>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eastAsia="zh-CN"/>
          <w14:textFill>
            <w14:solidFill>
              <w14:schemeClr w14:val="tx1"/>
            </w14:solidFill>
          </w14:textFill>
        </w:rPr>
        <w:t xml:space="preserve">编号：</w:t>
      </w:r>
      <w:r>
        <w:rPr>
          <w:rFonts w:hint="eastAsia" w:ascii="宋体" w:hAnsi="宋体" w:cs="宋体"/>
          <w:color w:val="000000" w:themeColor="text1"/>
          <w:szCs w:val="21"/>
          <w:highlight w:val="none"/>
          <w:lang w:val="en-US" w:eastAsia="zh-CN"/>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），签订协议（合同）条款如下：</w:t>
      </w:r>
      <w:r/>
    </w:p>
    <w:p>
      <w:pPr>
        <w:numPr>
          <w:ilvl w:val="0"/>
          <w:numId w:val="5"/>
        </w:num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甲乙双方同意，乙方按以下条款向甲方食堂</w:t>
      </w:r>
      <w:r>
        <w:rPr>
          <w:rFonts w:hint="eastAsia" w:ascii="宋体" w:hAnsi="宋体" w:cs="宋体"/>
          <w:color w:val="000000" w:themeColor="text1"/>
          <w:szCs w:val="21"/>
          <w:highlight w:val="none"/>
          <w:lang w:val="en-US" w:eastAsia="zh-CN"/>
          <w14:textFill>
            <w14:solidFill>
              <w14:schemeClr w14:val="tx1"/>
            </w14:solidFill>
          </w14:textFill>
        </w:rPr>
        <w:t xml:space="preserve">供应</w:t>
      </w:r>
      <w:r>
        <w:rPr>
          <w:rFonts w:hint="eastAsia" w:ascii="宋体" w:hAnsi="宋体" w:cs="宋体"/>
          <w:color w:val="000000" w:themeColor="text1"/>
          <w:szCs w:val="21"/>
          <w:highlight w:val="none"/>
          <w:lang w:eastAsia="zh-CN"/>
          <w14:textFill>
            <w14:solidFill>
              <w14:schemeClr w14:val="tx1"/>
            </w14:solidFill>
          </w14:textFill>
        </w:rPr>
        <w:t xml:space="preserve">食堂肉类</w:t>
      </w:r>
      <w:r>
        <w:rPr>
          <w:rFonts w:hint="eastAsia" w:ascii="宋体" w:hAnsi="宋体" w:cs="宋体"/>
          <w:color w:val="000000" w:themeColor="text1"/>
          <w:szCs w:val="21"/>
          <w:highlight w:val="none"/>
          <w:u w:val="none"/>
          <w14:textFill>
            <w14:solidFill>
              <w14:schemeClr w14:val="tx1"/>
            </w14:solidFill>
          </w14:textFill>
        </w:rPr>
        <w:t xml:space="preserve">,详见</w:t>
      </w:r>
      <w:r>
        <w:rPr>
          <w:rFonts w:hint="eastAsia" w:ascii="宋体" w:hAnsi="宋体" w:cs="宋体"/>
          <w:b/>
          <w:bCs/>
          <w:color w:val="000000" w:themeColor="text1"/>
          <w:szCs w:val="21"/>
          <w:highlight w:val="none"/>
          <w:u w:val="none"/>
          <w14:textFill>
            <w14:solidFill>
              <w14:schemeClr w14:val="tx1"/>
            </w14:solidFill>
          </w14:textFill>
        </w:rPr>
        <w:t xml:space="preserve">附件1《食堂肉类配送清单》</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5"/>
        </w:num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乙方保证所供产品、服务符合协议（合同）要求，不得弄虚作假、不得提供假冒伪劣产品、不合格服务或任意提供协议（合同）外产品、服务。</w:t>
      </w:r>
      <w:r/>
    </w:p>
    <w:p>
      <w:pPr>
        <w:numPr>
          <w:ilvl w:val="0"/>
          <w:numId w:val="5"/>
        </w:numPr>
        <w:ind w:left="0" w:firstLine="422"/>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协议（合同）有效期</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自</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XXXX</w:t>
      </w:r>
      <w:r>
        <w:rPr>
          <w:rFonts w:hint="eastAsia" w:ascii="宋体" w:hAnsi="宋体" w:cs="宋体"/>
          <w:color w:val="000000" w:themeColor="text1"/>
          <w:szCs w:val="21"/>
          <w:highlight w:val="none"/>
          <w:u w:val="single"/>
          <w14:textFill>
            <w14:solidFill>
              <w14:schemeClr w14:val="tx1"/>
            </w14:solidFill>
          </w14:textFill>
        </w:rPr>
        <w:t xml:space="preserve">起至</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XXXX</w:t>
      </w:r>
      <w:r>
        <w:rPr>
          <w:rFonts w:hint="eastAsia" w:ascii="宋体" w:hAnsi="宋体" w:cs="宋体"/>
          <w:color w:val="000000" w:themeColor="text1"/>
          <w:szCs w:val="21"/>
          <w:highlight w:val="none"/>
          <w:u w:val="single"/>
          <w14:textFill>
            <w14:solidFill>
              <w14:schemeClr w14:val="tx1"/>
            </w14:solidFill>
          </w14:textFill>
        </w:rPr>
        <w:t xml:space="preserve">止</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若在履行合同期间出现违反法律、行政法规、地方性法规、有关食品行业管理的标准规定、</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cs="宋体"/>
          <w:color w:val="000000" w:themeColor="text1"/>
          <w:szCs w:val="21"/>
          <w:highlight w:val="none"/>
          <w14:textFill>
            <w14:solidFill>
              <w14:schemeClr w14:val="tx1"/>
            </w14:solidFill>
          </w14:textFill>
        </w:rPr>
        <w:t xml:space="preserve">文件及双方合同的约定或发生食品安全事故、人身伤亡事故和经济纠纷等影响社会和谐稳定事件的，</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有权提前终止合同。</w:t>
      </w:r>
      <w:r/>
    </w:p>
    <w:p>
      <w:pPr>
        <w:numPr>
          <w:ilvl w:val="0"/>
          <w:numId w:val="5"/>
        </w:numPr>
        <w:ind w:left="0" w:firstLine="422"/>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食材质量要求</w:t>
      </w:r>
      <w:r>
        <w:rPr>
          <w:rFonts w:hint="eastAsia" w:ascii="宋体" w:hAnsi="宋体" w:cs="宋体"/>
          <w:b/>
          <w:bCs/>
          <w:color w:val="000000" w:themeColor="text1"/>
          <w:szCs w:val="21"/>
          <w:highlight w:val="none"/>
          <w:lang w:val="en-US" w:eastAsia="zh-CN"/>
          <w14:textFill>
            <w14:solidFill>
              <w14:schemeClr w14:val="tx1"/>
            </w14:solidFill>
          </w14:textFill>
        </w:rPr>
        <w:t xml:space="preserve">等</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应承诺其所供的食材均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甲方要求，并保证新鲜。同等条件下，通过认证的绿色食品、有机食品优先。</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2.用于肉类食品养殖产地必须为无污染区域，不得含有毒有害物质，也不得被有毒有害物质污染，不得使用任何未经许可的食品添加剂。</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生鲜肉类产品应保证新鲜且非冷冻，不注水，色泽鲜嫩，无异味，肥瘦比例适当。应确保是在政府规定的屠宰场所屠杀的生鲜猪肉，且非病死禽畜肉和冷冻肉。采购人有权要求对中标人配送的食材送权威部门检验。取样、封样、送检过程中标人需全力配合，与采购人共同操作并签字确认。检验不合格，产生的一切费用由中标人承担，同时，采购人有权追讨由此引发的其他责任。项目执行期间，累计检测不合格两次的，采购人有权终止合同，由此产生的所有损失由中标人承担。</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必须保证活肉宰杀后为新鲜且非冷冻或预冷后的冰鲜状态，加工车间符合卫生规范要求，能严格按订购要求，加工规范的商品。具有较好的冷藏贮存、运输等场所和设备，能够提供及时的供货、补货、换货等良好售后服务。</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包装与标志要求：包装要求清洁、干燥、牢固、无污染、无异味、无霉变现象；要求每件包装应标明产地、品种、净含量、生产单位及地址和生产日期和保质期等。冰冻食品应采用专用低温冷藏（冻）车运输，单件包装完整，无破损，封口严密。产品色泽均匀，形态完整，冻结坚实，无明显粗糙的冰晶，无气孔，不变形，不软塌，不收缩。品种无异味，无可见杂质。解冻后净重量不少于82%，解冻时间为4小时以内（室温20℃）。所有冷冻食品要求清晰列出产品品牌、规格、类型、包装方式、包装净重等相关参数。</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6.要求具备运输本次采购物资所必需的冷链车等车辆。运输工具应清洁卫生无污染，食品运输必须采用符合卫生标准的外包装和运载工具，并且要保持清洁和定期消毒。冷冻食品运输必须由冷链车进行运送。</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记录送货车辆温度，并记录存档。</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货商应对其商品质量负责，不得提供假冒伪劣商品或已临近保质期及超过保质期的商品给采购人（交付时剩余保质期不少于原保质期的三分之二）。因供货商所供商品发生质量问题，须承担给医院造成的一切损失。</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8. 中标供应商配送的食品如不符合采购人供货要求或者货源不正确的，采购人有权利要求退换且在不影响正常保障的情况下，2小时内更换完成。一经发现供应以下食材，中标供应商除全部退货外并没收全部履约保证金，同时还应承担由此造成的经济责任和法律责任，中标供应商不得向采购人提供以下食品及食品原辅材料（包括但不限于）： </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①变质、油脂酸败、霉变、生虫、污秽不洁、混有异物或者其他感官性状异常，可能对人体健康有害的；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②含有毒、有害物质或者被有毒、有害物质污染，可能对人体健康有害的；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③含有致病性寄生虫、微生物的，或者微生物含量超标的：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④含有昆虫或其他感官形状异常的其他异物；</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⑤未经兽医卫生检验或检验不合格的肉类及其制品：</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⑥病死、毒死或死因不明的禽、畜、兽、水产动物及其制品；</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⑦容器包装污秽不洁， 严重破损或运输工具不洁造成污染的；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⑧掺假、掺杂、伪造，影响营养、卫生的；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⑨用非食品原料加工的，加入非食品用化学物质的或者将非食品当作食品的；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⑩超过保质期的；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⑪为防病等特殊需要，国务院卫生行政部门或省、自治区、直辖市人民政府专门规定禁止出售的；</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⑫未经检验或检验不合格出厂的食品及食品辅料；</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⑬无卫生许可证生产的食品及食品原辅材料(初级农产品除外)；</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⑭其他不符合卫生标准和要求的食品及食品原辅材料。</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9、新鲜猪肉要求：</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1）动物检验检疫证，肉体印有检疫章。</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2）肉质紧密，肌体结实，肉色淡红，肥肉洁白而细腻。</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3）表皮洁净，表皮干爽，指压反弹迅速，无粘液，切面无渗出液、脓性物，无异常斑点。膘厚适中。</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4）具有猪肉自然气味，无异味，无寄生虫、无注水。</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5）条肉：除猪头、内脏、开片（不去皮，不分割），表皮洁净，膘厚适中，色泽正常，无异味，无注水。</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6）分割（如大排、仔排等）大小、规格等需要完全符合招标人要求。</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7）猪肝：整体呈红褐色或棕黄色，有光泽，湿润，略有弹性，组织结实，微实，肝叶完整，无脂肪，无寄生虫、炎症水疱、薄膜、无胆汁污染，略有腥味。</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10、牛肉类要求</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1）牛肉的肌肉有光泽、深红、色泽均匀、脂肪洁白或淡黄色。</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2）外表微干，新切面稍湿润，无注水。</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3）指压后的凹陷能复原，具有鲜牛肉的正常气味，用手触摸弹性好，有油油的粘性。</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4）符合动物检验检疫要求。</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11、腌腊酱制类要求</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1）使用的原材料必须满足动物检验检疫要求，符合国家相关腌腊酱制类产品标准。</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2）腌腊酱制品保质期要在届满期的前8个月以上。</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12、投标人提供的所有产品必须符合国家食品卫生标准，投标人对所配送的食材质量负有全部责任。若因食材问题导致采购人人员集体中毒等重大事件，</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在事故责任明确前，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人可暂停从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标人处采购；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由国家卫生执法部门予以确认，</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若明确为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标人责任，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人将无条件与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标人解除合同且不承担任何责任和赔偿，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中标人须承担相应法律责任并予以赔偿。</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13、食品供应链要求：所有食品的来源必须清晰可追溯。</w:t>
      </w:r>
      <w:r/>
    </w:p>
    <w:p>
      <w:pPr>
        <w:ind w:firstLine="420"/>
        <w:jc w:val="left"/>
        <w:spacing w:line="384" w:lineRule="auto"/>
        <w:widowControl/>
        <w:rPr>
          <w:rFonts w:hint="eastAsia" w:ascii="宋体" w:hAnsi="宋体" w:eastAsia="宋体" w:cs="宋体"/>
          <w:b w:val="0"/>
          <w:color w:val="000000"/>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position w:val="0"/>
          <w:sz w:val="21"/>
          <w:szCs w:val="21"/>
          <w:highlight w:val="none"/>
        </w:rPr>
        <w:t xml:space="preserve">14、其他要求详见附件2《乙方管理、仓储、配送、交货等要求》。</w:t>
      </w:r>
      <w:r/>
    </w:p>
    <w:p>
      <w:pPr>
        <w:pStyle w:val="962"/>
        <w:rPr>
          <w:rFonts w:hint="eastAsia"/>
          <w:highlight w:val="none"/>
        </w:rPr>
      </w:pPr>
      <w:r>
        <w:rPr>
          <w:rFonts w:hint="eastAsia"/>
          <w:highlight w:val="none"/>
        </w:rPr>
      </w:r>
      <w:r/>
    </w:p>
    <w:p>
      <w:pPr>
        <w:numPr>
          <w:ilvl w:val="0"/>
          <w:numId w:val="5"/>
        </w:numPr>
        <w:ind w:left="0" w:firstLine="422"/>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报价、询价方式、责任追究和</w:t>
      </w:r>
      <w:r>
        <w:rPr>
          <w:rFonts w:hint="eastAsia" w:ascii="宋体" w:hAnsi="宋体" w:cs="宋体"/>
          <w:b/>
          <w:bCs/>
          <w:color w:val="000000" w:themeColor="text1"/>
          <w:szCs w:val="21"/>
          <w:highlight w:val="none"/>
          <w14:textFill>
            <w14:solidFill>
              <w14:schemeClr w14:val="tx1"/>
            </w14:solidFill>
          </w14:textFill>
        </w:rPr>
        <w:t xml:space="preserve">结算方式</w:t>
      </w:r>
      <w:r/>
    </w:p>
    <w:p>
      <w:pPr>
        <w:pStyle w:val="1191"/>
        <w:ind w:left="0" w:firstLine="422"/>
        <w:keepLines w:val="0"/>
        <w:keepNext w:val="0"/>
        <w:pageBreakBefore w:val="0"/>
        <w:spacing w:line="384" w:lineRule="auto"/>
        <w:shd w:val="clear" w:color="auto"/>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详见第四章采购需求</w:t>
      </w:r>
      <w:r/>
    </w:p>
    <w:p>
      <w:pPr>
        <w:pStyle w:val="1191"/>
        <w:ind w:left="0" w:firstLine="422"/>
        <w:keepLines w:val="0"/>
        <w:keepNext w:val="0"/>
        <w:pageBreakBefore w:val="0"/>
        <w:spacing w:line="384" w:lineRule="auto"/>
        <w:shd w:val="clear" w:color="auto"/>
        <w:widowControl/>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1"/>
          <w:szCs w:val="21"/>
          <w:highlight w:val="none"/>
          <w14:textFill>
            <w14:solidFill>
              <w14:schemeClr w14:val="tx1"/>
            </w14:solidFill>
          </w14:textFill>
        </w:rPr>
        <w:t xml:space="preserve">、履约保证金</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本协议签订后10个工作日内，乙方向甲方交纳</w:t>
      </w:r>
      <w:r>
        <w:rPr>
          <w:rFonts w:hint="eastAsia" w:ascii="宋体" w:hAnsi="宋体" w:eastAsia="宋体" w:cs="宋体"/>
          <w:color w:val="000000" w:themeColor="text1"/>
          <w:sz w:val="21"/>
          <w:szCs w:val="21"/>
          <w:highlight w:val="none"/>
          <w14:textFill>
            <w14:solidFill>
              <w14:schemeClr w14:val="tx1"/>
            </w14:solidFill>
          </w14:textFill>
        </w:rPr>
        <w:t xml:space="preserve">履约保证金</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0</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0000</w:t>
      </w:r>
      <w:r>
        <w:rPr>
          <w:rFonts w:hint="eastAsia" w:ascii="宋体" w:hAnsi="宋体" w:eastAsia="宋体" w:cs="宋体"/>
          <w:color w:val="000000" w:themeColor="text1"/>
          <w:sz w:val="21"/>
          <w:szCs w:val="21"/>
          <w:highlight w:val="none"/>
          <w14:textFill>
            <w14:solidFill>
              <w14:schemeClr w14:val="tx1"/>
            </w14:solidFill>
          </w14:textFill>
        </w:rPr>
        <w:t xml:space="preserve">，大写人民币</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叁</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拾</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万元整</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本协议履行期间，因乙方违约致使甲方受损，甲方可直接从乙方交纳的履约保证金中扣除相应金额，无须乙方同意；如不足以弥补损失的，甲方仍可通过适当方式继续向乙方追讨。</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乙方于本协议履行期间全面履行其义务，不存在违约行为的，甲方应于履行期限届满之次日起30日内，一次性无息退还履约保证金。</w:t>
      </w:r>
      <w:r/>
    </w:p>
    <w:p>
      <w:pPr>
        <w:pStyle w:val="1191"/>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履行期间乙方因违约导致履约保证金被部分扣除的，乙方须在五个工作日内将扣除的履约保证金补齐。 </w:t>
      </w:r>
      <w:r/>
    </w:p>
    <w:p>
      <w:pPr>
        <w:pStyle w:val="1191"/>
        <w:ind w:left="0" w:firstLine="420"/>
        <w:keepLines w:val="0"/>
        <w:keepNext w:val="0"/>
        <w:pageBreakBefore w:val="0"/>
        <w:spacing w:line="384" w:lineRule="auto"/>
        <w:shd w:val="clear" w:color="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合同期内，如果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放弃履行合同，甲方将扣除乙方全部履约保证金。 </w:t>
      </w:r>
      <w:r/>
    </w:p>
    <w:p>
      <w:pPr>
        <w:ind w:left="0" w:firstLine="422"/>
        <w:keepLines w:val="0"/>
        <w:keepNext w:val="0"/>
        <w:pageBreakBefore w:val="0"/>
        <w:spacing w:line="384"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、保密条款</w:t>
      </w:r>
      <w:r/>
    </w:p>
    <w:p>
      <w:pPr>
        <w:ind w:left="0" w:firstLine="420"/>
        <w:keepLines w:val="0"/>
        <w:keepNext w:val="0"/>
        <w:pageBreakBefore w:val="0"/>
        <w:spacing w:line="384"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ind w:left="0" w:firstLine="422"/>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Cs w:val="21"/>
          <w:highlight w:val="none"/>
          <w14:textFill>
            <w14:solidFill>
              <w14:schemeClr w14:val="tx1"/>
            </w14:solidFill>
          </w14:textFill>
        </w:rPr>
        <w:t xml:space="preserve">、违约责任</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1、自本协议（合同）生效之日起，各方应严格依约履行。若任何一方违反本协议（合同）规定的，应赔偿由此给其他方造成的损失。</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4、乙方提供假冒伪劣产品的，乙方按该批次所购商品或服务金额的10倍向甲方支付违约金。</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5、乙方发生下列违约行为，应按协议（合同）总额的30%计算向甲方支付违约金。</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（1）乙方未能对获得的甲方医疗信息和患者诊疗信息永久保密。</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（2）乙方未经甲方同意或未按甲方要求，擅自修改本协议（合同）涉及的信息系统的数据文件。</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（3）乙方违反《</w:t>
      </w:r>
      <w:r>
        <w:rPr>
          <w:rFonts w:hint="eastAsia" w:ascii="宋体" w:hAnsi="宋体" w:cs="宋体"/>
          <w:color w:val="000000" w:themeColor="text1"/>
          <w:szCs w:val="21"/>
          <w:highlight w:val="none"/>
          <w:lang w:eastAsia="zh-CN"/>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物资购销廉洁条例》的规定。</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9、以上各项交付的违约金并不影响乙方继续履行本协议（合同）的其他各项义务。</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10、乙方若违反本协议（合同）第二条和第</w:t>
      </w:r>
      <w:r>
        <w:rPr>
          <w:rFonts w:hint="eastAsia" w:ascii="宋体" w:hAnsi="宋体" w:cs="宋体"/>
          <w:color w:val="000000" w:themeColor="text1"/>
          <w:szCs w:val="21"/>
          <w:highlight w:val="none"/>
          <w:lang w:val="en-US" w:eastAsia="zh-CN"/>
          <w14:textFill>
            <w14:solidFill>
              <w14:schemeClr w14:val="tx1"/>
            </w14:solidFill>
          </w14:textFill>
        </w:rPr>
        <w:t xml:space="preserve">九</w:t>
      </w:r>
      <w:r>
        <w:rPr>
          <w:rFonts w:hint="eastAsia" w:ascii="宋体" w:hAnsi="宋体" w:cs="宋体"/>
          <w:color w:val="000000" w:themeColor="text1"/>
          <w:szCs w:val="21"/>
          <w:highlight w:val="none"/>
          <w14:textFill>
            <w14:solidFill>
              <w14:schemeClr w14:val="tx1"/>
            </w14:solidFill>
          </w14:textFill>
        </w:rPr>
        <w:t xml:space="preserve">条均视为对本协议（合同）的重大违约，甲方有权随时书面通知乙方立即终止本协议（合同）。</w:t>
      </w:r>
      <w:r/>
    </w:p>
    <w:p>
      <w:pPr>
        <w:ind w:left="0" w:firstLine="422"/>
        <w:jc w:val="left"/>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九</w:t>
      </w:r>
      <w:r>
        <w:rPr>
          <w:rFonts w:hint="eastAsia" w:ascii="宋体" w:hAnsi="宋体" w:cs="宋体"/>
          <w:b/>
          <w:bCs/>
          <w:color w:val="000000" w:themeColor="text1"/>
          <w:szCs w:val="21"/>
          <w:highlight w:val="none"/>
          <w14:textFill>
            <w14:solidFill>
              <w14:schemeClr w14:val="tx1"/>
            </w14:solidFill>
          </w14:textFill>
        </w:rPr>
        <w:t xml:space="preserve">、甲乙双方须遵守《</w:t>
      </w:r>
      <w:r>
        <w:rPr>
          <w:rFonts w:hint="eastAsia" w:ascii="宋体" w:hAnsi="宋体" w:cs="宋体"/>
          <w:b/>
          <w:bCs/>
          <w:color w:val="000000" w:themeColor="text1"/>
          <w:szCs w:val="21"/>
          <w:highlight w:val="none"/>
          <w:lang w:eastAsia="zh-CN"/>
          <w14:textFill>
            <w14:solidFill>
              <w14:schemeClr w14:val="tx1"/>
            </w14:solidFill>
          </w14:textFill>
        </w:rPr>
        <w:t xml:space="preserve">南京鼓楼医院</w:t>
      </w:r>
      <w:r>
        <w:rPr>
          <w:rFonts w:hint="eastAsia" w:ascii="宋体" w:hAnsi="宋体" w:cs="宋体"/>
          <w:b/>
          <w:bCs/>
          <w:color w:val="000000" w:themeColor="text1"/>
          <w:szCs w:val="21"/>
          <w:highlight w:val="none"/>
          <w14:textFill>
            <w14:solidFill>
              <w14:schemeClr w14:val="tx1"/>
            </w14:solidFill>
          </w14:textFill>
        </w:rPr>
        <w:t xml:space="preserve">物资购销廉洁条例》，条例内容如下：</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w:t>
      </w:r>
      <w:r>
        <w:rPr>
          <w:rFonts w:hint="eastAsia" w:ascii="宋体" w:hAnsi="宋体"/>
          <w:color w:val="000000" w:themeColor="text1"/>
          <w:szCs w:val="21"/>
          <w:highlight w:val="none"/>
          <w:lang w:eastAsia="zh-CN"/>
          <w14:textFill>
            <w14:solidFill>
              <w14:schemeClr w14:val="tx1"/>
            </w14:solidFill>
          </w14:textFill>
        </w:rPr>
        <w:t xml:space="preserve">南京鼓楼医院</w:t>
      </w:r>
      <w:r>
        <w:rPr>
          <w:rFonts w:hint="eastAsia" w:ascii="宋体" w:hAnsi="宋体"/>
          <w:color w:val="000000" w:themeColor="text1"/>
          <w:szCs w:val="21"/>
          <w:highlight w:val="none"/>
          <w14:textFill>
            <w14:solidFill>
              <w14:schemeClr w14:val="tx1"/>
            </w14:solidFill>
          </w14:textFill>
        </w:rPr>
        <w:t xml:space="preserve">特制定本条例，以资医疗卫生机构医药购销双方共同遵守：</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1、合同双方按照《民法典》及购销廉洁条例约定购销药品、医用设备、医用耗材及行政办公物资等。</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2、甲方应当严格执行产品购销合同验收、入库制度，对采购产品及发票进行查验，不得违反有关规定合同外采购、违价采购或从非规定渠道采购。</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7、乙方承诺其公司法定代表人、实际控制人或者股东中无</w:t>
      </w:r>
      <w:r>
        <w:rPr>
          <w:rFonts w:hint="eastAsia" w:ascii="宋体" w:hAnsi="宋体"/>
          <w:color w:val="000000" w:themeColor="text1"/>
          <w:szCs w:val="21"/>
          <w:highlight w:val="none"/>
          <w:lang w:eastAsia="zh-CN"/>
          <w14:textFill>
            <w14:solidFill>
              <w14:schemeClr w14:val="tx1"/>
            </w14:solidFill>
          </w14:textFill>
        </w:rPr>
        <w:t xml:space="preserve">南京鼓楼医院</w:t>
      </w:r>
      <w:r>
        <w:rPr>
          <w:rFonts w:hint="eastAsia" w:ascii="宋体" w:hAnsi="宋体"/>
          <w:color w:val="000000" w:themeColor="text1"/>
          <w:szCs w:val="21"/>
          <w:highlight w:val="none"/>
          <w14:textFill>
            <w14:solidFill>
              <w14:schemeClr w14:val="tx1"/>
            </w14:solidFill>
          </w14:textFill>
        </w:rPr>
        <w:t xml:space="preserve">处级以上干部，且无</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处级以上干部配偶、子女、子女配偶、子女配偶的父母，或者与其同城生活来往密切、有借贷关系或照护关系的亲属等。</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9、本廉洁条例为甲方产品购销行为的廉洁准则，各方均需严格遵守。</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10、本条例由甲方负责解释。</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11、本条例自即日起执行。</w:t>
      </w:r>
      <w:r/>
    </w:p>
    <w:p>
      <w:pPr>
        <w:ind w:left="0" w:firstLine="422"/>
        <w:jc w:val="left"/>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十、安全责任条款</w:t>
      </w:r>
      <w:r/>
    </w:p>
    <w:p>
      <w:pPr>
        <w:ind w:left="0" w:firstLine="420"/>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乙方在为甲方服务的协议期（合同期）内，应执行国家相关安全生产的法律、法规、行业规范和</w:t>
      </w:r>
      <w:r>
        <w:rPr>
          <w:rFonts w:hint="eastAsia" w:ascii="宋体" w:hAnsi="宋体" w:cs="宋体"/>
          <w:color w:val="000000" w:themeColor="text1"/>
          <w:szCs w:val="21"/>
          <w:highlight w:val="none"/>
          <w:lang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left="0" w:firstLine="422"/>
        <w:jc w:val="left"/>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w:t>
      </w:r>
      <w:r>
        <w:rPr>
          <w:rFonts w:hint="eastAsia" w:ascii="宋体" w:hAnsi="宋体" w:cs="宋体"/>
          <w:b/>
          <w:bCs/>
          <w:color w:val="000000" w:themeColor="text1"/>
          <w:szCs w:val="21"/>
          <w:highlight w:val="none"/>
          <w:lang w:val="en-US" w:eastAsia="zh-CN"/>
          <w14:textFill>
            <w14:solidFill>
              <w14:schemeClr w14:val="tx1"/>
            </w14:solidFill>
          </w14:textFill>
        </w:rPr>
        <w:t xml:space="preserve">一</w:t>
      </w:r>
      <w:r>
        <w:rPr>
          <w:rFonts w:hint="eastAsia" w:ascii="宋体" w:hAnsi="宋体" w:cs="宋体"/>
          <w:b/>
          <w:bCs/>
          <w:color w:val="000000" w:themeColor="text1"/>
          <w:szCs w:val="21"/>
          <w:highlight w:val="none"/>
          <w14:textFill>
            <w14:solidFill>
              <w14:schemeClr w14:val="tx1"/>
            </w14:solidFill>
          </w14:textFill>
        </w:rPr>
        <w:t xml:space="preserve">、本项目遇技术问题由甲方</w:t>
      </w:r>
      <w:r>
        <w:rPr>
          <w:rFonts w:hint="eastAsia" w:ascii="宋体" w:hAnsi="宋体" w:cs="宋体"/>
          <w:b/>
          <w:bCs/>
          <w:color w:val="000000" w:themeColor="text1"/>
          <w:szCs w:val="21"/>
          <w:highlight w:val="none"/>
          <w:lang w:eastAsia="zh-CN"/>
          <w14:textFill>
            <w14:solidFill>
              <w14:schemeClr w14:val="tx1"/>
            </w14:solidFill>
          </w14:textFill>
        </w:rPr>
        <w:t xml:space="preserve">总务处</w:t>
      </w:r>
      <w:r>
        <w:rPr>
          <w:rFonts w:hint="eastAsia" w:ascii="宋体" w:hAnsi="宋体" w:cs="宋体"/>
          <w:b/>
          <w:bCs/>
          <w:color w:val="000000" w:themeColor="text1"/>
          <w:szCs w:val="21"/>
          <w:highlight w:val="none"/>
          <w14:textFill>
            <w14:solidFill>
              <w14:schemeClr w14:val="tx1"/>
            </w14:solidFill>
          </w14:textFill>
        </w:rPr>
        <w:t xml:space="preserve">负责协调解决。</w:t>
      </w:r>
      <w:r/>
    </w:p>
    <w:p>
      <w:pPr>
        <w:ind w:left="0" w:firstLine="422"/>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w:t>
      </w:r>
      <w:r>
        <w:rPr>
          <w:rFonts w:hint="eastAsia" w:ascii="宋体" w:hAnsi="宋体" w:cs="宋体"/>
          <w:b/>
          <w:bCs/>
          <w:color w:val="000000" w:themeColor="text1"/>
          <w:szCs w:val="21"/>
          <w:highlight w:val="none"/>
          <w:lang w:val="en-US" w:eastAsia="zh-CN"/>
          <w14:textFill>
            <w14:solidFill>
              <w14:schemeClr w14:val="tx1"/>
            </w14:solidFill>
          </w14:textFill>
        </w:rPr>
        <w:t xml:space="preserve">二</w:t>
      </w:r>
      <w:r>
        <w:rPr>
          <w:rFonts w:hint="eastAsia" w:ascii="宋体" w:hAnsi="宋体" w:cs="宋体"/>
          <w:b/>
          <w:bCs/>
          <w:color w:val="000000" w:themeColor="text1"/>
          <w:szCs w:val="21"/>
          <w:highlight w:val="none"/>
          <w14:textFill>
            <w14:solidFill>
              <w14:schemeClr w14:val="tx1"/>
            </w14:solidFill>
          </w14:textFill>
        </w:rPr>
        <w:t xml:space="preserve">、争议的解决：</w:t>
      </w:r>
      <w:r>
        <w:rPr>
          <w:rFonts w:hint="eastAsia" w:ascii="宋体" w:hAnsi="宋体" w:cs="宋体"/>
          <w:color w:val="000000" w:themeColor="text1"/>
          <w:szCs w:val="21"/>
          <w:highlight w:val="none"/>
          <w14:textFill>
            <w14:solidFill>
              <w14:schemeClr w14:val="tx1"/>
            </w14:solidFill>
          </w14:textFill>
        </w:rPr>
        <w:t xml:space="preserve">双方对其它违约责任按《中华人民共和国民法典》的有关规定处理，解决与本协议（合同）有关的一切争议。如一方不愿意协商或协商30日后无法解决的，应提交甲方所在地人民法院。</w:t>
      </w:r>
      <w:r/>
    </w:p>
    <w:p>
      <w:pPr>
        <w:ind w:left="0" w:firstLine="422"/>
        <w:jc w:val="left"/>
        <w:keepLines w:val="0"/>
        <w:keepNext w:val="0"/>
        <w:pageBreakBefore w:val="0"/>
        <w:spacing w:line="384"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十三、其他条款</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1.本项目招标文件、投标文件、乙方其他承诺，均为本项目不可分割的重要组成部分，具有同等法律效力。</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2.本合同生效方式有两种，由甲方任一选择：</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（1）签署纸质合同：纸质合同一式肆份，甲方执叁份，乙方执壹份，经双方签字盖章并加盖骑缝章后生效；</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（2）签</w:t>
      </w:r>
      <w:r>
        <w:rPr>
          <w:rFonts w:hint="eastAsia" w:ascii="宋体" w:hAnsi="宋体" w:cs="宋体"/>
          <w:color w:val="000000" w:themeColor="text1"/>
          <w:szCs w:val="21"/>
          <w:highlight w:val="none"/>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ind w:left="0" w:firstLine="420"/>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4.合同签署地点:南京。  </w:t>
      </w:r>
      <w:r/>
    </w:p>
    <w:p>
      <w:pPr>
        <w:ind w:left="0" w:firstLine="420"/>
        <w:keepLines w:val="0"/>
        <w:keepNext w:val="0"/>
        <w:pageBreakBefore w:val="0"/>
        <w:spacing w:line="384"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附件1《食堂肉类配送清单》</w:t>
      </w:r>
      <w:r>
        <w:rPr>
          <w:rFonts w:hint="eastAsia" w:ascii="宋体" w:hAnsi="宋体" w:cs="宋体"/>
          <w:color w:val="000000" w:themeColor="text1"/>
          <w:szCs w:val="21"/>
          <w:highlight w:val="none"/>
          <w:lang w:val="en-US" w:eastAsia="zh-CN"/>
          <w14:textFill>
            <w14:solidFill>
              <w14:schemeClr w14:val="tx1"/>
            </w14:solidFill>
          </w14:textFill>
        </w:rPr>
        <w:t xml:space="preserve">详见招标文件第四章采购需求</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乙方管理、仓储、配送、交货等要求》</w:t>
      </w:r>
      <w:r>
        <w:rPr>
          <w:rFonts w:hint="eastAsia" w:ascii="宋体" w:hAnsi="宋体" w:cs="宋体"/>
          <w:color w:val="000000" w:themeColor="text1"/>
          <w:szCs w:val="21"/>
          <w:highlight w:val="none"/>
          <w:lang w:val="en-US" w:eastAsia="zh-CN"/>
          <w14:textFill>
            <w14:solidFill>
              <w14:schemeClr w14:val="tx1"/>
            </w14:solidFill>
          </w14:textFill>
        </w:rPr>
        <w:t xml:space="preserve">详见招标文件第四章采购需求</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附件3《考核表》</w:t>
      </w:r>
      <w:r>
        <w:rPr>
          <w:rFonts w:hint="eastAsia" w:ascii="宋体" w:hAnsi="宋体" w:cs="宋体"/>
          <w:color w:val="000000" w:themeColor="text1"/>
          <w:szCs w:val="21"/>
          <w:highlight w:val="none"/>
          <w:lang w:val="en-US" w:eastAsia="zh-CN"/>
          <w14:textFill>
            <w14:solidFill>
              <w14:schemeClr w14:val="tx1"/>
            </w14:solidFill>
          </w14:textFill>
        </w:rPr>
        <w:t xml:space="preserve">详见招标文件第四章采购需求</w:t>
      </w:r>
      <w:r/>
    </w:p>
    <w:tbl>
      <w:tblPr>
        <w:tblStyle w:val="954"/>
        <w:tblpPr w:horzAnchor="page" w:tblpX="1326" w:vertAnchor="page" w:tblpY="5625" w:leftFromText="180" w:topFromText="0" w:rightFromText="180" w:bottomFromText="0"/>
        <w:tblW w:w="9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甲方：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乙方：</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（盖章）</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地址：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地址：</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邮编：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210008</w:t>
            </w:r>
            <w:r>
              <w:rPr>
                <w:rFonts w:hint="eastAsia"/>
                <w:color w:val="000000" w:themeColor="text1"/>
                <w:sz w:val="18"/>
                <w:szCs w:val="18"/>
                <w:highlight w:val="none"/>
                <w:vertAlign w:val="baseline"/>
                <w:lang w:val="en-US" w:eastAsia="zh-CN"/>
                <w14:textFill>
                  <w14:solidFill>
                    <w14:schemeClr w14:val="tx1"/>
                  </w14:solidFill>
                </w14:textFill>
              </w:rPr>
              <w:t xml:space="preserve">  电话：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邮编：</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u w:val="singl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法定代表人或授权代表：</w:t>
            </w:r>
            <w:r>
              <w:rPr>
                <w:rFonts w:hint="eastAsia"/>
                <w:color w:val="000000" w:themeColor="text1"/>
                <w:sz w:val="18"/>
                <w:szCs w:val="18"/>
                <w:highlight w:val="none"/>
                <w:u w:val="none"/>
                <w:vertAlign w:val="baseline"/>
                <w:lang w:val="en-US" w:eastAsia="zh-CN"/>
                <w14:textFill>
                  <w14:solidFill>
                    <w14:schemeClr w14:val="tx1"/>
                  </w14:solidFill>
                </w14:textFill>
              </w:rPr>
              <w:t xml:space="preserve">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u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传真：</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采购分管院领导：</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座机：</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项目主管部门分管院领导：</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授权代表电话：</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项目主管部门负责人：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授权代表：</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医用物资采购中心负责人：</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法定代表人：</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日期：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color w:val="000000" w:themeColor="text1"/>
                <w:sz w:val="18"/>
                <w:szCs w:val="18"/>
                <w:highlight w:val="none"/>
                <w:vertAlign w:val="baseline"/>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日期：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bl>
    <w:p>
      <w:pPr>
        <w:numPr>
          <w:ilvl w:val="0"/>
          <w:numId w:val="0"/>
        </w:numPr>
        <w:ind w:left="0" w:right="0" w:firstLine="420"/>
        <w:jc w:val="left"/>
        <w:keepLines w:val="0"/>
        <w:keepNext w:val="0"/>
        <w:pageBreakBefore w:val="0"/>
        <w:spacing w:before="0" w:after="0" w:line="240" w:lineRule="auto"/>
        <w:widowControl/>
        <w:rPr>
          <w:rFonts w:hint="eastAsia" w:ascii="宋体" w:hAnsi="宋体" w:eastAsia="宋体" w:cs="宋体"/>
          <w:sz w:val="21"/>
          <w:szCs w:val="21"/>
          <w:highlight w:val="none"/>
          <w:u w:val="none"/>
        </w:rPr>
        <w:outlineLvl w:val="9"/>
      </w:pPr>
      <w:r>
        <w:rPr>
          <w:rFonts w:hint="eastAsia" w:ascii="宋体" w:hAnsi="宋体" w:eastAsia="宋体" w:cs="宋体"/>
          <w:sz w:val="21"/>
          <w:szCs w:val="21"/>
          <w:highlight w:val="none"/>
          <w:u w:val="none"/>
        </w:rPr>
      </w:r>
      <w:r/>
    </w:p>
    <w:p>
      <w:pPr>
        <w:spacing w:line="480" w:lineRule="auto"/>
        <w:rPr>
          <w:rFonts w:hint="eastAsia" w:hAnsi="宋体"/>
          <w:color w:val="auto"/>
          <w:szCs w:val="21"/>
          <w:highlight w:val="none"/>
        </w:rPr>
      </w:pPr>
      <w:r>
        <w:rPr>
          <w:rFonts w:hint="eastAsia" w:hAnsi="宋体"/>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20"/>
      <w:r/>
      <w:bookmarkEnd w:id="121"/>
      <w:r/>
      <w:bookmarkEnd w:id="122"/>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auto"/>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951"/>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51"/>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51"/>
        <w:jc w:val="center"/>
        <w:spacing w:beforeAutospacing="0" w:afterAutospacing="0"/>
        <w:widowControl/>
        <w:rPr>
          <w:color w:val="auto"/>
          <w:highlight w:val="none"/>
        </w:rPr>
      </w:pPr>
      <w:r>
        <w:rPr>
          <w:rFonts w:ascii="宋体" w:hAnsi="宋体" w:cs="宋体"/>
          <w:b/>
          <w:bCs/>
          <w:color w:val="auto"/>
          <w:sz w:val="72"/>
          <w:szCs w:val="72"/>
          <w:highlight w:val="none"/>
        </w:rPr>
        <w:t xml:space="preserve">投标文件</w:t>
      </w:r>
      <w:r/>
    </w:p>
    <w:p>
      <w:pPr>
        <w:pStyle w:val="951"/>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1"/>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951"/>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951"/>
        <w:jc w:val="both"/>
        <w:spacing w:beforeAutospacing="0" w:afterAutospacing="0"/>
        <w:widowControl/>
        <w:rPr>
          <w:color w:val="auto"/>
          <w:highlight w:val="none"/>
        </w:rP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951"/>
        <w:jc w:val="both"/>
        <w:spacing w:beforeAutospacing="0" w:afterAutospacing="0"/>
        <w:widowControl/>
        <w:rPr>
          <w:color w:val="auto"/>
          <w:highlight w:val="none"/>
        </w:rP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rPr>
        <w:t xml:space="preserve">投标函(格式)：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  标  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致苏美达国际技术贸易有限公司：</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电话：                              传真：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关于资格的声明函(格式)：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招标编号：</w:t>
      </w:r>
      <w:r/>
    </w:p>
    <w:p>
      <w:pPr>
        <w:jc w:val="center"/>
        <w:spacing w:line="360" w:lineRule="auto"/>
        <w:tabs>
          <w:tab w:val="left" w:pos="63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w:t>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auto"/>
          <w:sz w:val="24"/>
          <w:highlight w:val="none"/>
        </w:rPr>
        <w:outlineLvl w:val="0"/>
      </w:pPr>
      <w:r>
        <w:rPr>
          <w:rFonts w:eastAsia="黑体"/>
          <w:bCs/>
          <w:color w:val="auto"/>
          <w:sz w:val="24"/>
          <w:highlight w:val="none"/>
        </w:rPr>
      </w:r>
      <w:r/>
    </w:p>
    <w:p>
      <w:pPr>
        <w:rPr>
          <w:color w:val="auto"/>
          <w:highlight w:val="none"/>
        </w:rPr>
      </w:pPr>
      <w:r>
        <w:rPr>
          <w:color w:val="auto"/>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outlineLvl w:val="0"/>
      </w:pPr>
      <w:r>
        <w:rPr>
          <w:rFonts w:eastAsia="黑体"/>
          <w:bCs/>
          <w:color w:val="auto"/>
          <w:sz w:val="28"/>
          <w:szCs w:val="28"/>
          <w:highlight w:val="none"/>
        </w:rPr>
      </w:r>
      <w:r/>
    </w:p>
    <w:p>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r/>
    </w:p>
    <w:p>
      <w:pPr>
        <w:ind w:firstLine="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我公司(单位)对被授权人的签名负全部责任。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姓名：         性别：             电话：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pStyle w:val="932"/>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98"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97" o:spid="_x0000_s97"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99"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98" o:spid="_x0000_s98"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932"/>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100"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99" o:spid="_x0000_s99"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auto"/>
          <w:sz w:val="24"/>
          <w:szCs w:val="24"/>
          <w:highlight w:val="none"/>
        </w:rPr>
        <w:t xml:space="preserve"> </w:t>
      </w:r>
      <w:r>
        <w:rPr>
          <w:color w:val="auto"/>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101"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100" o:spid="_x0000_s100"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(四) 承诺书(格式)：</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（投标人名称）在此承诺：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.本公司（单位）</w:t>
      </w:r>
      <w:r>
        <w:rPr>
          <w:rFonts w:hint="eastAsia" w:ascii="宋体" w:hAnsi="宋体"/>
          <w:bCs/>
          <w:color w:val="auto"/>
          <w:szCs w:val="21"/>
          <w:highlight w:val="none"/>
        </w:rPr>
        <w:t xml:space="preserve">对本项目（招标编号：              ）所提供的货物均为原厂全新合格品，提供的服务符合招标文件要求；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2.本公司（单位）具备履行合同所必需的设备和专业技术能力；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 xml:space="preserve">www.creditchina.gov.cn</w:t>
      </w:r>
      <w:r>
        <w:rPr>
          <w:rFonts w:hint="eastAsia" w:ascii="宋体" w:hAnsi="宋体"/>
          <w:color w:val="auto"/>
          <w:szCs w:val="21"/>
          <w:highlight w:val="none"/>
        </w:rPr>
        <w:fldChar w:fldCharType="end"/>
      </w:r>
      <w:r>
        <w:rPr>
          <w:rFonts w:hint="eastAsia" w:ascii="宋体" w:hAnsi="宋体"/>
          <w:color w:val="auto"/>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4.本公司（单位）参加政府采购活动前3年内在经营活动中没有重大违法记录。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35"/>
        <w:ind w:left="0"/>
        <w:rPr>
          <w:color w:val="auto"/>
          <w:szCs w:val="21"/>
          <w:highlight w:val="none"/>
        </w:rPr>
      </w:pPr>
      <w:r>
        <w:rPr>
          <w:color w:val="auto"/>
          <w:szCs w:val="21"/>
          <w:highlight w:val="none"/>
        </w:rPr>
      </w:r>
      <w:r/>
    </w:p>
    <w:p>
      <w:pPr>
        <w:ind w:firstLine="420"/>
        <w:spacing w:line="360" w:lineRule="auto"/>
        <w:rPr>
          <w:rFonts w:ascii="宋体"/>
          <w:bCs/>
          <w:color w:val="auto"/>
          <w:szCs w:val="21"/>
          <w:highlight w:val="none"/>
        </w:rPr>
      </w:pPr>
      <w:r>
        <w:rPr>
          <w:rFonts w:hint="eastAsia" w:ascii="宋体" w:hAnsi="宋体"/>
          <w:bCs/>
          <w:color w:val="auto"/>
          <w:szCs w:val="21"/>
          <w:highlight w:val="none"/>
        </w:rPr>
        <w:t xml:space="preserve">如违背上述承诺，本公司</w:t>
      </w:r>
      <w:r>
        <w:rPr>
          <w:rFonts w:hint="eastAsia" w:ascii="宋体" w:hAnsi="宋体"/>
          <w:color w:val="auto"/>
          <w:szCs w:val="21"/>
          <w:highlight w:val="none"/>
        </w:rPr>
        <w:t xml:space="preserve">（单位）</w:t>
      </w:r>
      <w:r>
        <w:rPr>
          <w:rFonts w:hint="eastAsia" w:ascii="宋体" w:hAnsi="宋体"/>
          <w:bCs/>
          <w:color w:val="auto"/>
          <w:szCs w:val="21"/>
          <w:highlight w:val="none"/>
        </w:rPr>
        <w:t xml:space="preserve">将承担一切法律责任。</w:t>
      </w:r>
      <w:r/>
    </w:p>
    <w:p>
      <w:pPr>
        <w:spacing w:line="360" w:lineRule="auto"/>
        <w:rPr>
          <w:rFonts w:ascii="宋体"/>
          <w:color w:val="auto"/>
          <w:szCs w:val="21"/>
          <w:highlight w:val="none"/>
        </w:rPr>
      </w:pPr>
      <w:r>
        <w:rPr>
          <w:rFonts w:ascii="宋体"/>
          <w:color w:val="auto"/>
          <w:szCs w:val="21"/>
          <w:highlight w:val="none"/>
        </w:rPr>
      </w:r>
      <w:r/>
    </w:p>
    <w:p>
      <w:pPr>
        <w:ind w:firstLine="4725"/>
        <w:spacing w:line="360" w:lineRule="auto"/>
        <w:rPr>
          <w:rFonts w:ascii="宋体"/>
          <w:bCs/>
          <w:color w:val="auto"/>
          <w:szCs w:val="21"/>
          <w:highlight w:val="none"/>
        </w:rPr>
      </w:pPr>
      <w:r>
        <w:rPr>
          <w:rFonts w:ascii="宋体"/>
          <w:bCs/>
          <w:color w:val="auto"/>
          <w:szCs w:val="21"/>
          <w:highlight w:val="none"/>
        </w:rPr>
      </w:r>
      <w:r/>
    </w:p>
    <w:p>
      <w:pPr>
        <w:ind w:firstLine="4515"/>
        <w:spacing w:line="360" w:lineRule="auto"/>
        <w:rPr>
          <w:rFonts w:hint="eastAsia" w:ascii="宋体" w:hAnsi="宋体"/>
          <w:bCs/>
          <w:color w:val="auto"/>
          <w:szCs w:val="21"/>
          <w:highlight w:val="none"/>
        </w:rPr>
      </w:pPr>
      <w:r>
        <w:rPr>
          <w:rFonts w:hint="eastAsia" w:ascii="宋体" w:hAnsi="宋体" w:cs="宋体"/>
          <w:bCs/>
          <w:color w:val="auto"/>
          <w:szCs w:val="21"/>
          <w:highlight w:val="none"/>
        </w:rPr>
        <w:t xml:space="preserve">投标人(盖章)：</w:t>
      </w:r>
      <w:r/>
    </w:p>
    <w:p>
      <w:pPr>
        <w:ind w:firstLine="84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168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pStyle w:val="1210"/>
        <w:rPr>
          <w:color w:val="auto"/>
          <w:highlight w:val="none"/>
        </w:rPr>
      </w:pPr>
      <w:r>
        <w:rPr>
          <w:color w:val="auto"/>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（五）</w:t>
      </w:r>
      <w:r>
        <w:rPr>
          <w:rFonts w:hint="eastAsia" w:ascii="宋体" w:hAnsi="宋体" w:cs="宋体"/>
          <w:b/>
          <w:color w:val="auto"/>
          <w:sz w:val="24"/>
          <w:szCs w:val="24"/>
          <w:highlight w:val="none"/>
        </w:rPr>
        <w:t xml:space="preserve">开标一览表(格式系统生成)：</w:t>
      </w:r>
      <w:r/>
    </w:p>
    <w:p>
      <w:pPr>
        <w:rPr>
          <w:rFonts w:eastAsia="黑体"/>
          <w:bCs/>
          <w:color w:val="auto"/>
          <w:sz w:val="28"/>
          <w:szCs w:val="28"/>
          <w:highlight w:val="none"/>
        </w:rPr>
        <w:outlineLvl w:val="0"/>
      </w:pPr>
      <w:r>
        <w:rPr>
          <w:rFonts w:eastAsia="黑体"/>
          <w:bCs/>
          <w:color w:val="auto"/>
          <w:sz w:val="28"/>
          <w:szCs w:val="28"/>
          <w:highlight w:val="none"/>
        </w:rPr>
      </w:r>
      <w:r/>
    </w:p>
    <w:p>
      <w:pPr>
        <w:contextualSpacing/>
        <w:keepLines w:val="0"/>
        <w:keepNext w:val="0"/>
        <w:pageBreakBefore w:val="0"/>
        <w:spacing w:after="0" w:line="360" w:lineRule="auto"/>
        <w:widowControl w:val="off"/>
        <w:rPr>
          <w:rFonts w:ascii="宋体" w:hAnsi="宋体" w:cs="宋体"/>
          <w:b w:val="0"/>
          <w:bCs w:val="0"/>
          <w:szCs w:val="21"/>
          <w:highlight w:val="none"/>
          <w:lang w:eastAsia="zh-CN"/>
        </w:rPr>
      </w:pPr>
      <w:r>
        <w:rPr>
          <w:rFonts w:hint="eastAsia" w:ascii="宋体" w:hAnsi="宋体" w:cs="宋体"/>
          <w:b/>
          <w:bCs/>
          <w:sz w:val="21"/>
          <w:szCs w:val="21"/>
          <w:highlight w:val="none"/>
          <w:lang w:eastAsia="zh-CN"/>
        </w:rPr>
        <w:t xml:space="preserve">说明:</w:t>
      </w:r>
      <w:r>
        <w:rPr>
          <w:rFonts w:hint="eastAsia" w:ascii="宋体" w:hAnsi="宋体" w:cs="宋体"/>
          <w:b w:val="0"/>
          <w:bCs w:val="0"/>
          <w:sz w:val="21"/>
          <w:szCs w:val="21"/>
          <w:highlight w:val="none"/>
          <w:lang w:eastAsia="zh-CN"/>
        </w:rPr>
        <w:t xml:space="preserve">1、本项目将使用供应商填报的网上价格优惠率和线下价格优惠率计算评审优惠率（其中网上价格占比30%，线下价格占比70%）。评审优惠率=网上价格优惠率</w:t>
      </w:r>
      <w:r>
        <w:rPr>
          <w:rFonts w:hint="default" w:ascii="Arial" w:hAnsi="Arial" w:cs="Arial"/>
          <w:b w:val="0"/>
          <w:bCs w:val="0"/>
          <w:sz w:val="21"/>
          <w:szCs w:val="21"/>
          <w:highlight w:val="none"/>
          <w:lang w:eastAsia="zh-CN"/>
        </w:rPr>
        <w:t xml:space="preserve">×</w:t>
      </w:r>
      <w:r>
        <w:rPr>
          <w:rFonts w:hint="eastAsia" w:ascii="宋体" w:hAnsi="宋体" w:cs="宋体"/>
          <w:b w:val="0"/>
          <w:bCs w:val="0"/>
          <w:sz w:val="21"/>
          <w:szCs w:val="21"/>
          <w:highlight w:val="none"/>
          <w:lang w:eastAsia="zh-CN"/>
        </w:rPr>
        <w:t xml:space="preserve">30%+线下价格优惠率</w:t>
      </w:r>
      <w:r>
        <w:rPr>
          <w:rFonts w:hint="default" w:ascii="Arial" w:hAnsi="Arial" w:cs="Arial"/>
          <w:b w:val="0"/>
          <w:bCs w:val="0"/>
          <w:sz w:val="21"/>
          <w:szCs w:val="21"/>
          <w:highlight w:val="none"/>
          <w:lang w:eastAsia="zh-CN"/>
        </w:rPr>
        <w:t xml:space="preserve">×</w:t>
      </w:r>
      <w:r>
        <w:rPr>
          <w:rFonts w:hint="eastAsia" w:ascii="宋体" w:hAnsi="宋体" w:cs="宋体"/>
          <w:b w:val="0"/>
          <w:bCs w:val="0"/>
          <w:sz w:val="21"/>
          <w:szCs w:val="21"/>
          <w:highlight w:val="none"/>
          <w:lang w:eastAsia="zh-CN"/>
        </w:rPr>
        <w:t xml:space="preserve">70%</w:t>
      </w:r>
      <w:r/>
    </w:p>
    <w:p>
      <w:pPr>
        <w:contextualSpacing/>
        <w:keepLines w:val="0"/>
        <w:keepNext w:val="0"/>
        <w:pageBreakBefore w:val="0"/>
        <w:spacing w:after="0" w:line="360" w:lineRule="auto"/>
        <w:widowControl w:val="off"/>
        <w:rPr>
          <w:rFonts w:ascii="宋体" w:hAnsi="宋体" w:cs="宋体"/>
          <w:b w:val="0"/>
          <w:bCs w:val="0"/>
          <w:szCs w:val="21"/>
          <w:highlight w:val="none"/>
          <w:lang w:eastAsia="zh-CN"/>
        </w:rPr>
      </w:pPr>
      <w:r>
        <w:rPr>
          <w:rFonts w:hint="eastAsia" w:ascii="宋体" w:hAnsi="宋体" w:cs="宋体"/>
          <w:b w:val="0"/>
          <w:bCs w:val="0"/>
          <w:sz w:val="21"/>
          <w:szCs w:val="21"/>
          <w:highlight w:val="none"/>
          <w:lang w:eastAsia="zh-CN"/>
        </w:rPr>
        <w:t xml:space="preserve">2、例如:供应商在本次项目中网上结算价格优惠率为20%（即8折），线下价格优惠率40%（即6折），则评审优惠率=20%</w:t>
      </w:r>
      <w:r>
        <w:rPr>
          <w:rFonts w:hint="default" w:ascii="Arial" w:hAnsi="Arial" w:cs="Arial"/>
          <w:b w:val="0"/>
          <w:bCs w:val="0"/>
          <w:sz w:val="21"/>
          <w:szCs w:val="21"/>
          <w:highlight w:val="none"/>
          <w:lang w:eastAsia="zh-CN"/>
        </w:rPr>
        <w:t xml:space="preserve">×</w:t>
      </w:r>
      <w:r>
        <w:rPr>
          <w:rFonts w:hint="eastAsia" w:ascii="宋体" w:hAnsi="宋体" w:cs="宋体"/>
          <w:b w:val="0"/>
          <w:bCs w:val="0"/>
          <w:sz w:val="21"/>
          <w:szCs w:val="21"/>
          <w:highlight w:val="none"/>
          <w:lang w:eastAsia="zh-CN"/>
        </w:rPr>
        <w:t xml:space="preserve">30%+40%</w:t>
      </w:r>
      <w:r>
        <w:rPr>
          <w:rFonts w:hint="default" w:ascii="Arial" w:hAnsi="Arial" w:cs="Arial"/>
          <w:b w:val="0"/>
          <w:bCs w:val="0"/>
          <w:sz w:val="21"/>
          <w:szCs w:val="21"/>
          <w:highlight w:val="none"/>
          <w:lang w:eastAsia="zh-CN"/>
        </w:rPr>
        <w:t xml:space="preserve">×</w:t>
      </w:r>
      <w:r>
        <w:rPr>
          <w:rFonts w:hint="eastAsia" w:ascii="宋体" w:hAnsi="宋体" w:cs="宋体"/>
          <w:b w:val="0"/>
          <w:bCs w:val="0"/>
          <w:sz w:val="21"/>
          <w:szCs w:val="21"/>
          <w:highlight w:val="none"/>
          <w:lang w:eastAsia="zh-CN"/>
        </w:rPr>
        <w:t xml:space="preserve">70%=6%+28%=34%。在政府采购系统中优惠率应填写 34%。</w:t>
      </w:r>
      <w:r/>
    </w:p>
    <w:p>
      <w:pPr>
        <w:pStyle w:val="935"/>
        <w:ind w:left="0" w:firstLine="0"/>
        <w:keepLines w:val="0"/>
        <w:keepNext w:val="0"/>
        <w:pageBreakBefore w:val="0"/>
        <w:spacing w:line="360" w:lineRule="auto"/>
        <w:widowControl w:val="off"/>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3、供应商应按公式要求认真测算，避免填报错误，否则评委会有权按照本评分办法规定的计算公式及供应商分项报价表填报的网上价格优惠率和线下价格优惠率对评审优惠率进行修正。</w:t>
      </w:r>
      <w:r/>
    </w:p>
    <w:p>
      <w:pPr>
        <w:pStyle w:val="935"/>
        <w:ind w:left="0" w:firstLine="0"/>
        <w:keepLines w:val="0"/>
        <w:keepNext w:val="0"/>
        <w:pageBreakBefore w:val="0"/>
        <w:spacing w:line="360" w:lineRule="auto"/>
        <w:widowControl w:val="off"/>
        <w:rPr>
          <w:b w:val="0"/>
          <w:bCs w:val="0"/>
          <w:color w:val="auto"/>
          <w:highlight w:val="none"/>
        </w:rPr>
      </w:pPr>
      <w:r>
        <w:rPr>
          <w:rFonts w:hint="eastAsia" w:ascii="宋体" w:hAnsi="宋体" w:cs="宋体"/>
          <w:b w:val="0"/>
          <w:bCs w:val="0"/>
          <w:sz w:val="21"/>
          <w:szCs w:val="21"/>
          <w:highlight w:val="none"/>
          <w:lang w:eastAsia="zh-CN"/>
        </w:rPr>
        <w:t xml:space="preserve">★修正后的优惠率经投标人确认后产生约束力，投标人不确认的，其投标无效。</w:t>
      </w:r>
      <w:r/>
    </w:p>
    <w:p>
      <w:pPr>
        <w:rPr>
          <w:color w:val="auto"/>
          <w:highlight w:val="none"/>
        </w:rPr>
      </w:pPr>
      <w:r>
        <w:rPr>
          <w:color w:val="auto"/>
          <w:highlight w:val="none"/>
        </w:rPr>
      </w:r>
      <w:r/>
    </w:p>
    <w:p>
      <w:pPr>
        <w:pStyle w:val="935"/>
        <w:ind w:left="1260"/>
        <w:rPr>
          <w:color w:val="auto"/>
          <w:highlight w:val="none"/>
        </w:rPr>
      </w:pPr>
      <w:r>
        <w:rPr>
          <w:color w:val="auto"/>
          <w:highlight w:val="none"/>
        </w:rPr>
      </w:r>
      <w:r/>
    </w:p>
    <w:p>
      <w:pPr>
        <w:rPr>
          <w:color w:val="auto"/>
          <w:highlight w:val="none"/>
        </w:rPr>
      </w:pPr>
      <w:r>
        <w:rPr>
          <w:color w:val="auto"/>
          <w:highlight w:val="none"/>
        </w:rPr>
      </w:r>
      <w:r/>
    </w:p>
    <w:p>
      <w:pPr>
        <w:pStyle w:val="935"/>
        <w:ind w:left="1260"/>
        <w:rPr>
          <w:color w:val="auto"/>
          <w:highlight w:val="none"/>
        </w:rPr>
      </w:pPr>
      <w:r>
        <w:rPr>
          <w:color w:val="auto"/>
          <w:highlight w:val="none"/>
        </w:rPr>
      </w:r>
      <w:r/>
    </w:p>
    <w:p>
      <w:pPr>
        <w:rPr>
          <w:color w:val="auto"/>
          <w:highlight w:val="none"/>
        </w:rPr>
      </w:pPr>
      <w:r>
        <w:rPr>
          <w:color w:val="auto"/>
          <w:highlight w:val="none"/>
        </w:rPr>
      </w:r>
      <w:r/>
    </w:p>
    <w:p>
      <w:pPr>
        <w:pStyle w:val="935"/>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rPr>
        <w:t xml:space="preserve">细目报价表 (格式)：</w:t>
      </w:r>
      <w:r/>
    </w:p>
    <w:p>
      <w:pPr>
        <w:jc w:val="center"/>
        <w:spacing w:line="360" w:lineRule="auto"/>
        <w:rPr>
          <w:rFonts w:hint="eastAsia" w:ascii="宋体" w:hAnsi="宋体" w:cs="宋体"/>
          <w:b/>
          <w:color w:val="auto"/>
          <w:sz w:val="36"/>
          <w:szCs w:val="28"/>
          <w:highlight w:val="none"/>
          <w:lang w:eastAsia="zh-CN"/>
        </w:rPr>
      </w:pPr>
      <w:r>
        <w:rPr>
          <w:rFonts w:hint="eastAsia" w:ascii="宋体" w:hAnsi="宋体" w:cs="宋体"/>
          <w:b/>
          <w:color w:val="auto"/>
          <w:sz w:val="36"/>
          <w:szCs w:val="28"/>
          <w:highlight w:val="none"/>
        </w:rPr>
        <w:t xml:space="preserve">细目报价表</w:t>
      </w:r>
      <w:r>
        <w:rPr>
          <w:rFonts w:hint="eastAsia" w:ascii="宋体" w:hAnsi="宋体" w:cs="宋体"/>
          <w:b/>
          <w:color w:val="auto"/>
          <w:sz w:val="36"/>
          <w:szCs w:val="28"/>
          <w:highlight w:val="none"/>
          <w:lang w:eastAsia="zh-CN"/>
        </w:rPr>
        <w:t xml:space="preserve">（</w:t>
      </w:r>
      <w:r>
        <w:rPr>
          <w:rFonts w:hint="eastAsia" w:ascii="宋体" w:hAnsi="宋体" w:cs="宋体"/>
          <w:b/>
          <w:color w:val="auto"/>
          <w:sz w:val="36"/>
          <w:szCs w:val="28"/>
          <w:highlight w:val="none"/>
          <w:lang w:val="en-US" w:eastAsia="zh-CN"/>
        </w:rPr>
        <w:t xml:space="preserve">1</w:t>
      </w:r>
      <w:r>
        <w:rPr>
          <w:rFonts w:hint="eastAsia" w:ascii="宋体" w:hAnsi="宋体" w:cs="宋体"/>
          <w:b/>
          <w:color w:val="auto"/>
          <w:sz w:val="36"/>
          <w:szCs w:val="28"/>
          <w:highlight w:val="none"/>
          <w:lang w:eastAsia="zh-CN"/>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投标人名称（盖章）                              招标编号：</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41"/>
        <w:gridCol w:w="5281"/>
      </w:tblGrid>
      <w:tr>
        <w:trPr>
          <w:jc w:val="center"/>
          <w:trHeight w:val="1425"/>
        </w:trPr>
        <w:tc>
          <w:tcPr>
            <w:tcW w:w="3241" w:type="dxa"/>
            <w:vAlign w:val="center"/>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网上价格优惠率</w:t>
            </w:r>
            <w:r>
              <w:rPr>
                <w:rFonts w:hint="eastAsia" w:ascii="宋体" w:hAnsi="宋体" w:cs="宋体"/>
                <w:b/>
                <w:bCs/>
                <w:color w:val="000000" w:themeColor="text1"/>
                <w:szCs w:val="21"/>
                <w:highlight w:val="none"/>
                <w14:textFill>
                  <w14:solidFill>
                    <w14:schemeClr w14:val="tx1"/>
                  </w14:solidFill>
                </w14:textFill>
              </w:rPr>
              <w:t xml:space="preserve">（A）</w:t>
            </w:r>
            <w:r/>
          </w:p>
        </w:tc>
        <w:tc>
          <w:tcPr>
            <w:tcW w:w="5281" w:type="dxa"/>
            <w:vAlign w:val="center"/>
            <w:textDirection w:val="lrTb"/>
            <w:noWrap w:val="false"/>
          </w:tcPr>
          <w:p>
            <w:pPr>
              <w:contextualSpacing/>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r>
        <w:trPr>
          <w:jc w:val="center"/>
          <w:trHeight w:val="1172"/>
        </w:trPr>
        <w:tc>
          <w:tcPr>
            <w:tcW w:w="3241" w:type="dxa"/>
            <w:vAlign w:val="center"/>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线下价格优惠率</w:t>
            </w:r>
            <w:r>
              <w:rPr>
                <w:rFonts w:hint="eastAsia" w:ascii="宋体" w:hAnsi="宋体" w:cs="宋体"/>
                <w:b/>
                <w:bCs/>
                <w:color w:val="000000" w:themeColor="text1"/>
                <w:szCs w:val="21"/>
                <w:highlight w:val="none"/>
                <w14:textFill>
                  <w14:solidFill>
                    <w14:schemeClr w14:val="tx1"/>
                  </w14:solidFill>
                </w14:textFill>
              </w:rPr>
              <w:t xml:space="preserve">(B)</w:t>
            </w:r>
            <w:r/>
          </w:p>
        </w:tc>
        <w:tc>
          <w:tcPr>
            <w:tcW w:w="5281" w:type="dxa"/>
            <w:vAlign w:val="center"/>
            <w:textDirection w:val="lrTb"/>
            <w:noWrap w:val="false"/>
          </w:tcPr>
          <w:p>
            <w:pPr>
              <w:contextualSpacing/>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r>
        <w:trPr>
          <w:jc w:val="center"/>
          <w:trHeight w:val="964"/>
        </w:trPr>
        <w:tc>
          <w:tcPr>
            <w:tcW w:w="3241" w:type="dxa"/>
            <w:vAlign w:val="center"/>
            <w:textDirection w:val="lrTb"/>
            <w:noWrap w:val="false"/>
          </w:tcPr>
          <w:p>
            <w:pPr>
              <w:contextualSpacing/>
              <w:jc w:val="center"/>
              <w:spacing w:line="360" w:lineRule="auto"/>
              <w:shd w:val="clear" w:color="auto"/>
              <w:rPr>
                <w:rFonts w:hint="eastAsia" w:eastAsia="宋体"/>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综合评审优惠率</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E</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rPr>
                <w:b/>
                <w:bCs/>
                <w:color w:val="000000" w:themeColor="text1"/>
                <w:highlight w:val="none"/>
                <w14:textFill>
                  <w14:solidFill>
                    <w14:schemeClr w14:val="tx1"/>
                  </w14:solidFill>
                </w14:textFill>
              </w:rPr>
              <w:t xml:space="preserve">A×</w:t>
            </w:r>
            <w:r>
              <w:rPr>
                <w:rFonts w:hint="eastAsia" w:ascii="宋体" w:hAnsi="宋体" w:cs="宋体"/>
                <w:b/>
                <w:bCs/>
                <w:color w:val="000000" w:themeColor="text1"/>
                <w:szCs w:val="21"/>
                <w:highlight w:val="none"/>
                <w:lang w:val="en-US" w:eastAsia="zh-CN"/>
                <w14:textFill>
                  <w14:solidFill>
                    <w14:schemeClr w14:val="tx1"/>
                  </w14:solidFill>
                </w14:textFill>
              </w:rPr>
              <w:t xml:space="preserve">30</w:t>
            </w:r>
            <w:r>
              <w:rPr>
                <w:b/>
                <w:bCs/>
                <w:color w:val="000000" w:themeColor="text1"/>
                <w:highlight w:val="none"/>
                <w14:textFill>
                  <w14:solidFill>
                    <w14:schemeClr w14:val="tx1"/>
                  </w14:solidFill>
                </w14:textFill>
              </w:rPr>
              <w:t xml:space="preserve">%+B×</w:t>
            </w:r>
            <w:r>
              <w:rPr>
                <w:rFonts w:hint="eastAsia"/>
                <w:b/>
                <w:bCs/>
                <w:color w:val="000000" w:themeColor="text1"/>
                <w:highlight w:val="none"/>
                <w:lang w:val="en-US" w:eastAsia="zh-CN"/>
                <w14:textFill>
                  <w14:solidFill>
                    <w14:schemeClr w14:val="tx1"/>
                  </w14:solidFill>
                </w14:textFill>
              </w:rPr>
              <w:t xml:space="preserve">70</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p>
        </w:tc>
        <w:tc>
          <w:tcPr>
            <w:tcW w:w="5281" w:type="dxa"/>
            <w:vAlign w:val="center"/>
            <w:textDirection w:val="lrTb"/>
            <w:noWrap w:val="false"/>
          </w:tcPr>
          <w:p>
            <w:pPr>
              <w:contextualSpacing/>
              <w:jc w:val="center"/>
              <w:spacing w:line="360" w:lineRule="auto"/>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bl>
    <w:p>
      <w:pPr>
        <w:pStyle w:val="935"/>
        <w:ind w:left="0" w:firstLine="0"/>
        <w:keepLines w:val="0"/>
        <w:keepNext w:val="0"/>
        <w:pageBreakBefore w:val="0"/>
        <w:spacing w:line="360" w:lineRule="auto"/>
        <w:widowControl w:val="off"/>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r>
      <w:r/>
    </w:p>
    <w:p>
      <w:pPr>
        <w:pStyle w:val="935"/>
        <w:ind w:left="0" w:firstLine="0"/>
        <w:keepLines w:val="0"/>
        <w:keepNext w:val="0"/>
        <w:pageBreakBefore w:val="0"/>
        <w:spacing w:line="360" w:lineRule="auto"/>
        <w:widowControl w:val="off"/>
        <w:rPr>
          <w:rFonts w:hint="eastAsia" w:ascii="宋体" w:hAnsi="宋体" w:cs="宋体"/>
          <w:b w:val="0"/>
          <w:bCs w:val="0"/>
          <w:sz w:val="21"/>
          <w:szCs w:val="21"/>
          <w:highlight w:val="none"/>
          <w:lang w:eastAsia="zh-CN"/>
        </w:rPr>
      </w:pPr>
      <w:r>
        <w:rPr>
          <w:rFonts w:hint="eastAsia" w:ascii="宋体" w:hAnsi="宋体" w:cs="宋体"/>
          <w:b/>
          <w:bCs/>
          <w:sz w:val="21"/>
          <w:szCs w:val="21"/>
          <w:highlight w:val="none"/>
          <w:lang w:val="en-US" w:eastAsia="zh-CN"/>
        </w:rPr>
        <w:t xml:space="preserve">说明：</w:t>
      </w:r>
      <w:r>
        <w:rPr>
          <w:rFonts w:hint="eastAsia" w:ascii="宋体" w:hAnsi="宋体" w:cs="宋体"/>
          <w:b w:val="0"/>
          <w:bCs w:val="0"/>
          <w:sz w:val="21"/>
          <w:szCs w:val="21"/>
          <w:highlight w:val="none"/>
          <w:lang w:eastAsia="zh-CN"/>
        </w:rPr>
        <w:t xml:space="preserve">供应商应按公式要求认真测算，避免填报错误，否则评委会有权按照本评分办法规定的计算公式及供应商分项报价表填报的网上价格优惠率和线下价格优惠率对评审优惠率进行修正。</w:t>
      </w:r>
      <w:r/>
    </w:p>
    <w:p>
      <w:pPr>
        <w:pStyle w:val="935"/>
        <w:ind w:left="0" w:firstLine="0"/>
        <w:keepLines w:val="0"/>
        <w:keepNext w:val="0"/>
        <w:pageBreakBefore w:val="0"/>
        <w:spacing w:line="360" w:lineRule="auto"/>
        <w:widowControl w:val="off"/>
        <w:rPr>
          <w:b w:val="0"/>
          <w:bCs w:val="0"/>
          <w:color w:val="auto"/>
          <w:highlight w:val="none"/>
        </w:rPr>
      </w:pPr>
      <w:r>
        <w:rPr>
          <w:rFonts w:hint="eastAsia" w:ascii="宋体" w:hAnsi="宋体" w:cs="宋体"/>
          <w:b w:val="0"/>
          <w:bCs w:val="0"/>
          <w:sz w:val="21"/>
          <w:szCs w:val="21"/>
          <w:highlight w:val="none"/>
          <w:lang w:eastAsia="zh-CN"/>
        </w:rPr>
        <w:t xml:space="preserve">★修正后的优惠率经投标人确认后产生约束力，投标人不确认的，其投标无效。</w:t>
      </w:r>
      <w:r/>
    </w:p>
    <w:p>
      <w:pPr>
        <w:pStyle w:val="932"/>
        <w:rPr>
          <w:color w:val="auto"/>
          <w:highlight w:val="none"/>
        </w:rPr>
      </w:pPr>
      <w:r>
        <w:rPr>
          <w:color w:val="auto"/>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法定代表人或法定代表人授权代表签字或盖章：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br w:type="page" w:clear="all"/>
      </w:r>
      <w:r/>
    </w:p>
    <w:p>
      <w:pPr>
        <w:jc w:val="center"/>
        <w:spacing w:line="360" w:lineRule="auto"/>
        <w:rPr>
          <w:rFonts w:hint="eastAsia" w:ascii="宋体" w:hAnsi="宋体" w:eastAsia="宋体" w:cs="宋体"/>
          <w:b/>
          <w:color w:val="auto"/>
          <w:sz w:val="36"/>
          <w:szCs w:val="28"/>
          <w:highlight w:val="none"/>
          <w:lang w:eastAsia="zh-CN"/>
        </w:rPr>
      </w:pPr>
      <w:r>
        <w:rPr>
          <w:rFonts w:hint="eastAsia" w:ascii="宋体" w:hAnsi="宋体" w:cs="宋体"/>
          <w:b/>
          <w:color w:val="auto"/>
          <w:sz w:val="36"/>
          <w:szCs w:val="28"/>
          <w:highlight w:val="none"/>
        </w:rPr>
        <w:t xml:space="preserve">细目报价表</w:t>
      </w:r>
      <w:r>
        <w:rPr>
          <w:rFonts w:hint="eastAsia" w:ascii="宋体" w:hAnsi="宋体" w:cs="宋体"/>
          <w:b/>
          <w:color w:val="auto"/>
          <w:sz w:val="36"/>
          <w:szCs w:val="28"/>
          <w:highlight w:val="none"/>
          <w:lang w:eastAsia="zh-CN"/>
        </w:rPr>
        <w:t xml:space="preserve">（</w:t>
      </w:r>
      <w:r>
        <w:rPr>
          <w:rFonts w:hint="eastAsia" w:ascii="宋体" w:hAnsi="宋体" w:cs="宋体"/>
          <w:b/>
          <w:color w:val="auto"/>
          <w:sz w:val="36"/>
          <w:szCs w:val="28"/>
          <w:highlight w:val="none"/>
          <w:lang w:val="en-US" w:eastAsia="zh-CN"/>
        </w:rPr>
        <w:t xml:space="preserve">2</w:t>
      </w:r>
      <w:r>
        <w:rPr>
          <w:rFonts w:hint="eastAsia" w:ascii="宋体" w:hAnsi="宋体" w:cs="宋体"/>
          <w:b/>
          <w:color w:val="auto"/>
          <w:sz w:val="36"/>
          <w:szCs w:val="28"/>
          <w:highlight w:val="none"/>
          <w:lang w:eastAsia="zh-CN"/>
        </w:rPr>
        <w:t xml:space="preserve">）</w:t>
      </w:r>
      <w:r/>
    </w:p>
    <w:tbl>
      <w:tblPr>
        <w:tblStyle w:val="92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1119"/>
        <w:gridCol w:w="636"/>
        <w:gridCol w:w="1243"/>
        <w:gridCol w:w="1476"/>
        <w:gridCol w:w="1135"/>
        <w:gridCol w:w="1135"/>
        <w:gridCol w:w="1137"/>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包装</w:t>
            </w:r>
            <w:r>
              <w:rPr>
                <w:rFonts w:hint="eastAsia" w:ascii="宋体" w:hAnsi="宋体" w:cs="宋体"/>
                <w:color w:val="000000" w:themeColor="text1"/>
                <w:sz w:val="21"/>
                <w:szCs w:val="21"/>
                <w:highlight w:val="none"/>
                <w14:textFill>
                  <w14:solidFill>
                    <w14:schemeClr w14:val="tx1"/>
                  </w14:solidFill>
                </w14:textFill>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p>
    <w:p>
      <w:pPr>
        <w:pStyle w:val="932"/>
        <w:rPr>
          <w:color w:val="auto"/>
          <w:highlight w:val="none"/>
        </w:rPr>
      </w:pPr>
      <w:r>
        <w:rPr>
          <w:color w:val="auto"/>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投标人名称（盖章）                              招标编号：</w:t>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法定代表人或法定代表人授权代表签字或盖章：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hint="eastAsia" w:eastAsia="黑体"/>
          <w:bCs/>
          <w:color w:val="auto"/>
          <w:sz w:val="24"/>
          <w:szCs w:val="24"/>
          <w:highlight w:val="none"/>
        </w:rPr>
      </w:pPr>
      <w:r>
        <w:rPr>
          <w:rFonts w:hint="eastAsia" w:eastAsia="黑体"/>
          <w:bCs/>
          <w:color w:val="auto"/>
          <w:sz w:val="24"/>
          <w:szCs w:val="24"/>
          <w:highlight w:val="none"/>
        </w:rPr>
      </w:r>
      <w:r/>
    </w:p>
    <w:p>
      <w:pPr>
        <w:pStyle w:val="1210"/>
        <w:ind w:firstLine="0"/>
        <w:rPr>
          <w:rFonts w:eastAsia="黑体"/>
          <w:bCs/>
          <w:color w:val="auto"/>
          <w:sz w:val="24"/>
          <w:szCs w:val="24"/>
          <w:highlight w:val="none"/>
        </w:rPr>
      </w:pPr>
      <w:r>
        <w:rPr>
          <w:rFonts w:hint="eastAsia" w:ascii="宋体" w:hAnsi="宋体" w:eastAsia="宋体" w:cs="宋体"/>
          <w:b/>
          <w:color w:val="auto"/>
          <w:sz w:val="24"/>
          <w:szCs w:val="24"/>
          <w:highlight w:val="none"/>
        </w:rPr>
        <w:t xml:space="preserve">（七）采购需求响应偏离表（格式）：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采购需求响应偏离表</w:t>
      </w:r>
      <w:r/>
    </w:p>
    <w:p>
      <w:pPr>
        <w:spacing w:line="400" w:lineRule="exact"/>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招标编号：</w:t>
      </w:r>
      <w:r/>
    </w:p>
    <w:tbl>
      <w:tblPr>
        <w:tblStyle w:val="92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bCs/>
                <w:szCs w:val="21"/>
                <w:highlight w:val="none"/>
              </w:rPr>
              <w:t xml:space="preserve">招标文件要求</w:t>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bl>
    <w:p>
      <w:pPr>
        <w:spacing w:line="360" w:lineRule="auto"/>
        <w:rPr>
          <w:color w:val="auto"/>
          <w:szCs w:val="21"/>
          <w:highlight w:val="none"/>
        </w:rPr>
      </w:pPr>
      <w:r>
        <w:rPr>
          <w:color w:val="auto"/>
          <w:szCs w:val="21"/>
          <w:highlight w:val="none"/>
        </w:rPr>
      </w:r>
      <w:r/>
    </w:p>
    <w:p>
      <w:pPr>
        <w:pStyle w:val="1220"/>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szCs w:val="21"/>
          <w:highlight w:val="none"/>
        </w:rPr>
        <w:t xml:space="preserve">投标人应对招标文件《采购需求》的内容给予逐条响应，若漏项或不逐条应答视为</w:t>
      </w:r>
      <w:r>
        <w:rPr>
          <w:rFonts w:hint="eastAsia" w:ascii="宋体" w:hAnsi="宋体" w:eastAsia="宋体" w:cs="宋体"/>
          <w:color w:val="000000"/>
          <w:szCs w:val="21"/>
          <w:highlight w:val="none"/>
        </w:rPr>
        <w:t xml:space="preserve">完全响应招标文件的商务条款要求。</w:t>
      </w:r>
      <w:r/>
    </w:p>
    <w:p>
      <w:pPr>
        <w:numPr>
          <w:ilvl w:val="0"/>
          <w:numId w:val="7"/>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p>
    <w:p>
      <w:pPr>
        <w:pStyle w:val="93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3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19"/>
        <w:tabs>
          <w:tab w:val="left" w:pos="4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）投标供应商简介和经营情况说明：</w:t>
      </w:r>
      <w:r/>
    </w:p>
    <w:p>
      <w:pPr>
        <w:rPr>
          <w:color w:val="auto"/>
          <w:highlight w:val="none"/>
        </w:rPr>
      </w:pPr>
      <w:r>
        <w:rPr>
          <w:color w:val="auto"/>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投标供应商简介和经营情况说明</w:t>
      </w:r>
      <w:r/>
    </w:p>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（内容写不完的栏目可相应扩展）</w:t>
      </w:r>
      <w:r/>
    </w:p>
    <w:tbl>
      <w:tblPr>
        <w:tblStyle w:val="92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136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中级职称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高级职称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115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自有面积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p>
            <w:pPr>
              <w:pStyle w:val="929"/>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承租面积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）中小企业声明函（格式）：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ind w:firstLine="560"/>
        <w:jc w:val="center"/>
        <w:rPr>
          <w:rFonts w:ascii="Times New Roman" w:hAnsi="Times New Roman" w:eastAsia="宋体" w:cs="Times New Roman"/>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p>
    <w:p>
      <w:pPr>
        <w:ind w:firstLine="480"/>
        <w:jc w:val="righ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企业名称（盖章）：    </w:t>
      </w:r>
      <w:r/>
    </w:p>
    <w:p>
      <w:pPr>
        <w:ind w:firstLine="480"/>
        <w:jc w:val="center"/>
        <w:spacing w:line="360" w:lineRule="auto"/>
        <w:widowControl/>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 xml:space="preserve">     </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p>
    <w:p>
      <w:pPr>
        <w:ind w:firstLine="480"/>
        <w:spacing w:line="30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firstLine="480"/>
        <w:spacing w:line="300" w:lineRule="auto"/>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p>
    <w:p>
      <w:pPr>
        <w:numPr>
          <w:ilvl w:val="0"/>
          <w:numId w:val="8"/>
        </w:numPr>
        <w:ind w:firstLine="420"/>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cs="宋体"/>
          <w:b/>
          <w:color w:val="auto"/>
          <w:szCs w:val="21"/>
          <w:highlight w:val="none"/>
        </w:rPr>
        <w:t xml:space="preserve">（十）残疾人福利性单位声明函（格式）：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w:t>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pStyle w:val="121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w:t>
      </w:r>
      <w:r>
        <w:rPr>
          <w:rFonts w:hint="eastAsia" w:ascii="宋体" w:hAnsi="宋体" w:cs="宋体"/>
          <w:b/>
          <w:sz w:val="24"/>
          <w:szCs w:val="21"/>
          <w:highlight w:val="none"/>
          <w:lang w:val="en-US" w:eastAsia="zh-CN"/>
        </w:rPr>
        <w:t xml:space="preserve">十一</w:t>
      </w:r>
      <w:r>
        <w:rPr>
          <w:rFonts w:hint="eastAsia" w:ascii="宋体" w:hAnsi="宋体" w:eastAsia="宋体" w:cs="宋体"/>
          <w:b/>
          <w:sz w:val="24"/>
          <w:szCs w:val="21"/>
          <w:highlight w:val="none"/>
        </w:rPr>
        <w:t xml:space="preserve">）南京市政府采购供应商信用记录表暨信用承诺书（格式）：</w:t>
      </w:r>
      <w:r/>
    </w:p>
    <w:p>
      <w:pPr>
        <w:jc w:val="cente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南京市政府采购供应商信用记录表暨信用承诺书</w:t>
      </w:r>
      <w:r/>
    </w:p>
    <w:p>
      <w:pPr>
        <w:jc w:val="right"/>
        <w:widowControl/>
        <w:rPr>
          <w:rFonts w:ascii="Times New Roman" w:hAnsi="Times New Roman" w:eastAsia="宋体" w:cs="Times New Roman"/>
          <w:sz w:val="24"/>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highlight w:val="none"/>
        </w:rPr>
        <w:t xml:space="preserve"> </w:t>
      </w:r>
      <w:r/>
    </w:p>
    <w:tbl>
      <w:tblPr>
        <w:tblStyle w:val="927"/>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单位名称</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统一社会信用代码</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联系人</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联系地址</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联系电话</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1024"/>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诚信档案记录情况</w:t>
            </w:r>
            <w:r>
              <w:rPr>
                <w:rFonts w:ascii="Times New Roman" w:hAnsi="Times New Roman" w:eastAsia="宋体" w:cs="Times New Roman"/>
                <w:sz w:val="24"/>
                <w:szCs w:val="20"/>
                <w:highlight w:val="none"/>
              </w:rPr>
              <w:t xml:space="preserve"> </w:t>
            </w:r>
            <w:r/>
          </w:p>
        </w:tc>
        <w:tc>
          <w:tcPr>
            <w:gridSpan w:val="3"/>
            <w:tcW w:w="8326"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5318"/>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信用承诺</w:t>
            </w:r>
            <w:r>
              <w:rPr>
                <w:rFonts w:ascii="Times New Roman" w:hAnsi="Times New Roman" w:eastAsia="宋体" w:cs="Times New Roman"/>
                <w:sz w:val="24"/>
                <w:szCs w:val="20"/>
                <w:highlight w:val="none"/>
              </w:rPr>
              <w:t xml:space="preserve"> </w:t>
            </w:r>
            <w:r/>
          </w:p>
        </w:tc>
        <w:tc>
          <w:tcPr>
            <w:gridSpan w:val="3"/>
            <w:tcW w:w="8326" w:type="dxa"/>
            <w:vAlign w:val="center"/>
            <w:textDirection w:val="lrTb"/>
            <w:noWrap w:val="false"/>
          </w:tcPr>
          <w:p>
            <w:pPr>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我公司自愿参加</w:t>
            </w:r>
            <w:r>
              <w:rPr>
                <w:rFonts w:hint="eastAsia" w:ascii="Times New Roman" w:hAnsi="Times New Roman" w:eastAsia="宋体" w:cs="Times New Roman"/>
                <w:szCs w:val="21"/>
                <w:highlight w:val="none"/>
              </w:rPr>
              <w:t xml:space="preserve">苏美达国际技术贸易有限公司</w:t>
            </w:r>
            <w:r>
              <w:rPr>
                <w:rFonts w:ascii="Times New Roman" w:hAnsi="Times New Roman" w:eastAsia="宋体" w:cs="Times New Roman"/>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szCs w:val="21"/>
                <w:highlight w:val="none"/>
              </w:rPr>
              <w:t xml:space="preserve">公正</w:t>
            </w:r>
            <w:r>
              <w:rPr>
                <w:rFonts w:ascii="Times New Roman" w:hAnsi="Times New Roman" w:eastAsia="宋体" w:cs="Times New Roman"/>
                <w:szCs w:val="21"/>
                <w:highlight w:val="none"/>
              </w:rPr>
              <w:t xml:space="preserve">、诚实信用的原则，</w:t>
            </w:r>
            <w:r>
              <w:rPr>
                <w:rFonts w:hint="eastAsia" w:ascii="Times New Roman" w:hAnsi="Times New Roman" w:eastAsia="宋体" w:cs="Times New Roman"/>
                <w:szCs w:val="21"/>
                <w:highlight w:val="none"/>
              </w:rPr>
              <w:t xml:space="preserve">依法</w:t>
            </w:r>
            <w:r>
              <w:rPr>
                <w:rFonts w:ascii="Times New Roman" w:hAnsi="Times New Roman" w:eastAsia="宋体" w:cs="Times New Roman"/>
                <w:szCs w:val="21"/>
                <w:highlight w:val="none"/>
              </w:rPr>
              <w:t xml:space="preserve">诚信经营，无条件遵守本次政府采购活动的各项规定。</w:t>
            </w:r>
            <w:r>
              <w:rPr>
                <w:rFonts w:ascii="Times New Roman" w:hAnsi="Times New Roman" w:eastAsia="宋体" w:cs="Times New Roman"/>
                <w:sz w:val="24"/>
                <w:szCs w:val="20"/>
                <w:highlight w:val="none"/>
              </w:rPr>
              <w:t xml:space="preserve"> </w:t>
            </w:r>
            <w:r/>
          </w:p>
          <w:p>
            <w:pPr>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我们郑重承诺，本公司符合《</w:t>
            </w:r>
            <w:r>
              <w:rPr>
                <w:rFonts w:hint="eastAsia" w:ascii="Times New Roman" w:hAnsi="Times New Roman" w:eastAsia="宋体" w:cs="Times New Roman"/>
                <w:szCs w:val="21"/>
                <w:highlight w:val="none"/>
              </w:rPr>
              <w:t xml:space="preserve">中华人民共和国政府采购法</w:t>
            </w:r>
            <w:r>
              <w:rPr>
                <w:rFonts w:ascii="Times New Roman" w:hAnsi="Times New Roman" w:eastAsia="宋体" w:cs="Times New Roman"/>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szCs w:val="21"/>
                <w:highlight w:val="none"/>
              </w:rPr>
              <w:t xml:space="preserve">；具</w:t>
            </w:r>
            <w:r>
              <w:rPr>
                <w:rFonts w:ascii="Times New Roman" w:hAnsi="Times New Roman" w:eastAsia="宋体" w:cs="Times New Roman"/>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szCs w:val="21"/>
                <w:highlight w:val="none"/>
              </w:rPr>
              <w:t xml:space="preserve">机关的</w:t>
            </w:r>
            <w:r>
              <w:rPr>
                <w:rFonts w:ascii="Times New Roman" w:hAnsi="Times New Roman" w:eastAsia="宋体" w:cs="Times New Roman"/>
                <w:szCs w:val="21"/>
                <w:highlight w:val="none"/>
              </w:rPr>
              <w:t xml:space="preserve">审查和处罚。</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供应商名称（盖章）：</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法定代表人（签字）：</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szCs w:val="20"/>
                <w:highlight w:val="none"/>
              </w:rPr>
              <w:t xml:space="preserve"> </w:t>
            </w:r>
            <w:r/>
          </w:p>
        </w:tc>
      </w:tr>
    </w:tbl>
    <w:p>
      <w:pPr>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right="-5"/>
        <w:jc w:val="left"/>
        <w:spacing w:before="100" w:beforeAutospacing="1" w:after="100" w:afterAutospacing="1"/>
        <w:widowControl/>
        <w:rPr>
          <w:highlight w:val="none"/>
        </w:rPr>
      </w:pPr>
      <w:r>
        <w:rPr>
          <w:rFonts w:hint="eastAsia" w:ascii="宋体" w:hAnsi="宋体" w:eastAsia="宋体" w:cs="宋体"/>
          <w:bCs/>
          <w:sz w:val="18"/>
          <w:szCs w:val="18"/>
          <w:highlight w:val="none"/>
        </w:rPr>
        <w:t xml:space="preserve">点击‘南京公共采购信息网’</w:t>
      </w:r>
      <w:r>
        <w:rPr>
          <w:rFonts w:hint="eastAsia" w:ascii="宋体" w:hAnsi="宋体" w:eastAsia="宋体" w:cs="宋体"/>
          <w:bCs/>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p>
    <w:p>
      <w:pPr>
        <w:pStyle w:val="1154"/>
        <w:ind w:firstLine="240"/>
        <w:rPr>
          <w:rFonts w:ascii="Arial" w:hAnsi="Arial" w:cs="Arial"/>
          <w:color w:val="auto"/>
          <w:sz w:val="24"/>
          <w:highlight w:val="none"/>
        </w:rPr>
      </w:pPr>
      <w:r>
        <w:rPr>
          <w:rFonts w:ascii="Arial" w:hAnsi="Arial" w:cs="Arial"/>
          <w:color w:val="auto"/>
          <w:sz w:val="24"/>
          <w:highlight w:val="none"/>
        </w:rPr>
      </w:r>
      <w:bookmarkEnd w:id="132"/>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仿宋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59"/>
      </w:rPr>
    </w:pPr>
    <w:r>
      <w:rPr>
        <w:rStyle w:val="1159"/>
        <w:rFonts w:hint="eastAsia"/>
      </w:rPr>
      <w:t xml:space="preserve">            </w:t>
    </w:r>
    <w:r/>
  </w:p>
  <w:p>
    <w:pPr>
      <w:pStyle w:val="1137"/>
      <w:rPr>
        <w:rStyle w:val="1159"/>
      </w:rPr>
      <w:framePr w:wrap="around" w:vAnchor="text" w:hAnchor="page" w:x="6104" w:y="52"/>
    </w:pPr>
    <w:r>
      <w:rPr>
        <w:rStyle w:val="1159"/>
        <w:rFonts w:hint="eastAsia"/>
      </w:rPr>
      <w:t xml:space="preserve">                   </w:t>
    </w:r>
    <w:r/>
  </w:p>
  <w:p>
    <w:pPr>
      <w:pStyle w:val="113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w:fldChar w:fldCharType="begin"/>
    </w:r>
    <w:r>
      <w:instrText xml:space="preserve">PAGE   \* MERGEFORMAT</w:instrText>
    </w:r>
    <w:r>
      <w:fldChar w:fldCharType="separate"/>
    </w:r>
    <w:r>
      <w:rPr>
        <w:lang w:val="zh-CN"/>
      </w:rPr>
      <w:t xml:space="preserve">90</w:t>
    </w:r>
    <w:r>
      <w:fldChar w:fldCharType="end"/>
    </w:r>
    <w:r/>
  </w:p>
  <w:p>
    <w:pPr>
      <w:pStyle w:val="113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3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p>
    <w:pPr>
      <w:pStyle w:val="942"/>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p>
    <w:pPr>
      <w:jc w:val="right"/>
      <w:spacing w:line="40" w:lineRule="exact"/>
      <w:tabs>
        <w:tab w:val="center" w:pos="4153" w:leader="none"/>
        <w:tab w:val="right" w:pos="8306" w:leader="none"/>
      </w:tabs>
      <w:rPr>
        <w:rFonts w:ascii="宋体"/>
        <w:sz w:val="18"/>
      </w:rPr>
    </w:pPr>
    <w:r>
      <w:rPr>
        <w:rFonts w:ascii="宋体"/>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p>
    <w:pPr>
      <w:pStyle w:val="113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203"/>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2"/>
    <w:lvlOverride w:ilvl="0">
      <w:startOverride w:val="1"/>
    </w:lvlOverride>
  </w:num>
  <w:num w:numId="5">
    <w:abstractNumId w:val="0"/>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926"/>
    <w:link w:val="917"/>
    <w:uiPriority w:val="9"/>
    <w:rPr>
      <w:rFonts w:ascii="Arial" w:hAnsi="Arial" w:eastAsia="Arial" w:cs="Arial"/>
      <w:sz w:val="40"/>
      <w:szCs w:val="40"/>
    </w:rPr>
  </w:style>
  <w:style w:type="character" w:styleId="880">
    <w:name w:val="Heading 2 Char"/>
    <w:basedOn w:val="926"/>
    <w:link w:val="918"/>
    <w:uiPriority w:val="9"/>
    <w:rPr>
      <w:rFonts w:ascii="Arial" w:hAnsi="Arial" w:eastAsia="Arial" w:cs="Arial"/>
      <w:sz w:val="34"/>
    </w:rPr>
  </w:style>
  <w:style w:type="character" w:styleId="881">
    <w:name w:val="Heading 3 Char"/>
    <w:basedOn w:val="926"/>
    <w:link w:val="919"/>
    <w:uiPriority w:val="9"/>
    <w:rPr>
      <w:rFonts w:ascii="Arial" w:hAnsi="Arial" w:eastAsia="Arial" w:cs="Arial"/>
      <w:sz w:val="30"/>
      <w:szCs w:val="30"/>
    </w:rPr>
  </w:style>
  <w:style w:type="character" w:styleId="882">
    <w:name w:val="Heading 4 Char"/>
    <w:basedOn w:val="926"/>
    <w:link w:val="920"/>
    <w:uiPriority w:val="9"/>
    <w:rPr>
      <w:rFonts w:ascii="Arial" w:hAnsi="Arial" w:eastAsia="Arial" w:cs="Arial"/>
      <w:b/>
      <w:bCs/>
      <w:sz w:val="26"/>
      <w:szCs w:val="26"/>
    </w:rPr>
  </w:style>
  <w:style w:type="character" w:styleId="883">
    <w:name w:val="Heading 5 Char"/>
    <w:basedOn w:val="926"/>
    <w:link w:val="921"/>
    <w:uiPriority w:val="9"/>
    <w:rPr>
      <w:rFonts w:ascii="Arial" w:hAnsi="Arial" w:eastAsia="Arial" w:cs="Arial"/>
      <w:b/>
      <w:bCs/>
      <w:sz w:val="24"/>
      <w:szCs w:val="24"/>
    </w:rPr>
  </w:style>
  <w:style w:type="character" w:styleId="884">
    <w:name w:val="Heading 6 Char"/>
    <w:basedOn w:val="926"/>
    <w:link w:val="922"/>
    <w:uiPriority w:val="9"/>
    <w:rPr>
      <w:rFonts w:ascii="Arial" w:hAnsi="Arial" w:eastAsia="Arial" w:cs="Arial"/>
      <w:b/>
      <w:bCs/>
      <w:sz w:val="22"/>
      <w:szCs w:val="22"/>
    </w:rPr>
  </w:style>
  <w:style w:type="character" w:styleId="885">
    <w:name w:val="Heading 7 Char"/>
    <w:basedOn w:val="926"/>
    <w:link w:val="923"/>
    <w:uiPriority w:val="9"/>
    <w:rPr>
      <w:rFonts w:ascii="Arial" w:hAnsi="Arial" w:eastAsia="Arial" w:cs="Arial"/>
      <w:b/>
      <w:bCs/>
      <w:i/>
      <w:iCs/>
      <w:sz w:val="22"/>
      <w:szCs w:val="22"/>
    </w:rPr>
  </w:style>
  <w:style w:type="character" w:styleId="886">
    <w:name w:val="Heading 8 Char"/>
    <w:basedOn w:val="926"/>
    <w:link w:val="924"/>
    <w:uiPriority w:val="9"/>
    <w:rPr>
      <w:rFonts w:ascii="Arial" w:hAnsi="Arial" w:eastAsia="Arial" w:cs="Arial"/>
      <w:i/>
      <w:iCs/>
      <w:sz w:val="22"/>
      <w:szCs w:val="22"/>
    </w:rPr>
  </w:style>
  <w:style w:type="character" w:styleId="887">
    <w:name w:val="Heading 9 Char"/>
    <w:basedOn w:val="926"/>
    <w:link w:val="925"/>
    <w:uiPriority w:val="9"/>
    <w:rPr>
      <w:rFonts w:ascii="Arial" w:hAnsi="Arial" w:eastAsia="Arial" w:cs="Arial"/>
      <w:i/>
      <w:iCs/>
      <w:sz w:val="21"/>
      <w:szCs w:val="21"/>
    </w:rPr>
  </w:style>
  <w:style w:type="character" w:styleId="888">
    <w:name w:val="Title Char"/>
    <w:basedOn w:val="926"/>
    <w:link w:val="952"/>
    <w:uiPriority w:val="10"/>
    <w:rPr>
      <w:sz w:val="48"/>
      <w:szCs w:val="48"/>
    </w:rPr>
  </w:style>
  <w:style w:type="character" w:styleId="889">
    <w:name w:val="Subtitle Char"/>
    <w:basedOn w:val="926"/>
    <w:link w:val="945"/>
    <w:uiPriority w:val="11"/>
    <w:rPr>
      <w:sz w:val="24"/>
      <w:szCs w:val="24"/>
    </w:rPr>
  </w:style>
  <w:style w:type="character" w:styleId="890">
    <w:name w:val="Quote Char"/>
    <w:link w:val="974"/>
    <w:uiPriority w:val="29"/>
    <w:rPr>
      <w:i/>
    </w:rPr>
  </w:style>
  <w:style w:type="character" w:styleId="891">
    <w:name w:val="Intense Quote Char"/>
    <w:link w:val="976"/>
    <w:uiPriority w:val="30"/>
    <w:rPr>
      <w:i/>
    </w:rPr>
  </w:style>
  <w:style w:type="character" w:styleId="892">
    <w:name w:val="Header Char"/>
    <w:basedOn w:val="926"/>
    <w:link w:val="942"/>
    <w:uiPriority w:val="99"/>
  </w:style>
  <w:style w:type="character" w:styleId="893">
    <w:name w:val="Caption Char"/>
    <w:basedOn w:val="930"/>
    <w:link w:val="941"/>
    <w:uiPriority w:val="99"/>
  </w:style>
  <w:style w:type="table" w:styleId="894">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3">
    <w:name w:val="Footnote Text Char"/>
    <w:link w:val="946"/>
    <w:uiPriority w:val="99"/>
    <w:rPr>
      <w:sz w:val="18"/>
    </w:rPr>
  </w:style>
  <w:style w:type="character" w:styleId="914">
    <w:name w:val="Endnote Text Char"/>
    <w:link w:val="940"/>
    <w:uiPriority w:val="99"/>
    <w:rPr>
      <w:sz w:val="20"/>
    </w:rPr>
  </w:style>
  <w:style w:type="paragraph" w:styleId="915">
    <w:name w:val="TOC Heading"/>
    <w:uiPriority w:val="39"/>
    <w:unhideWhenUsed/>
  </w:style>
  <w:style w:type="paragraph" w:styleId="91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17">
    <w:name w:val="Heading 1"/>
    <w:basedOn w:val="916"/>
    <w:next w:val="916"/>
    <w:link w:val="963"/>
    <w:uiPriority w:val="9"/>
    <w:qFormat/>
    <w:pPr>
      <w:keepLines/>
      <w:keepNext/>
      <w:spacing w:before="480" w:after="200"/>
      <w:outlineLvl w:val="0"/>
    </w:pPr>
    <w:rPr>
      <w:rFonts w:ascii="Arial" w:hAnsi="Arial" w:eastAsia="Arial" w:cs="Arial"/>
      <w:sz w:val="40"/>
      <w:szCs w:val="40"/>
    </w:rPr>
  </w:style>
  <w:style w:type="paragraph" w:styleId="918">
    <w:name w:val="Heading 2"/>
    <w:basedOn w:val="916"/>
    <w:next w:val="916"/>
    <w:link w:val="964"/>
    <w:uiPriority w:val="9"/>
    <w:unhideWhenUsed/>
    <w:qFormat/>
    <w:pPr>
      <w:keepLines/>
      <w:keepNext/>
      <w:spacing w:before="360" w:after="200"/>
      <w:outlineLvl w:val="1"/>
    </w:pPr>
    <w:rPr>
      <w:rFonts w:ascii="Arial" w:hAnsi="Arial" w:eastAsia="Arial" w:cs="Arial"/>
      <w:sz w:val="34"/>
    </w:rPr>
  </w:style>
  <w:style w:type="paragraph" w:styleId="919">
    <w:name w:val="Heading 3"/>
    <w:basedOn w:val="916"/>
    <w:next w:val="916"/>
    <w:link w:val="965"/>
    <w:uiPriority w:val="9"/>
    <w:unhideWhenUsed/>
    <w:qFormat/>
    <w:pPr>
      <w:keepLines/>
      <w:keepNext/>
      <w:spacing w:before="320" w:after="200"/>
      <w:outlineLvl w:val="2"/>
    </w:pPr>
    <w:rPr>
      <w:rFonts w:ascii="Arial" w:hAnsi="Arial" w:eastAsia="Arial" w:cs="Arial"/>
      <w:sz w:val="30"/>
      <w:szCs w:val="30"/>
    </w:rPr>
  </w:style>
  <w:style w:type="paragraph" w:styleId="920">
    <w:name w:val="Heading 4"/>
    <w:basedOn w:val="916"/>
    <w:next w:val="916"/>
    <w:link w:val="966"/>
    <w:uiPriority w:val="9"/>
    <w:unhideWhenUsed/>
    <w:qFormat/>
    <w:pPr>
      <w:keepLines/>
      <w:keepNext/>
      <w:spacing w:before="320" w:after="200"/>
      <w:outlineLvl w:val="3"/>
    </w:pPr>
    <w:rPr>
      <w:rFonts w:ascii="Arial" w:hAnsi="Arial" w:eastAsia="Arial" w:cs="Arial"/>
      <w:b/>
      <w:bCs/>
      <w:sz w:val="26"/>
      <w:szCs w:val="26"/>
    </w:rPr>
  </w:style>
  <w:style w:type="paragraph" w:styleId="921">
    <w:name w:val="Heading 5"/>
    <w:basedOn w:val="916"/>
    <w:next w:val="916"/>
    <w:link w:val="967"/>
    <w:uiPriority w:val="9"/>
    <w:unhideWhenUsed/>
    <w:qFormat/>
    <w:pPr>
      <w:keepLines/>
      <w:keepNext/>
      <w:spacing w:before="320" w:after="200"/>
      <w:outlineLvl w:val="4"/>
    </w:pPr>
    <w:rPr>
      <w:rFonts w:ascii="Arial" w:hAnsi="Arial" w:eastAsia="Arial" w:cs="Arial"/>
      <w:b/>
      <w:bCs/>
      <w:sz w:val="24"/>
      <w:szCs w:val="24"/>
    </w:rPr>
  </w:style>
  <w:style w:type="paragraph" w:styleId="922">
    <w:name w:val="Heading 6"/>
    <w:basedOn w:val="916"/>
    <w:next w:val="916"/>
    <w:link w:val="968"/>
    <w:uiPriority w:val="9"/>
    <w:unhideWhenUsed/>
    <w:qFormat/>
    <w:pPr>
      <w:keepLines/>
      <w:keepNext/>
      <w:spacing w:before="320" w:after="200"/>
      <w:outlineLvl w:val="5"/>
    </w:pPr>
    <w:rPr>
      <w:rFonts w:ascii="Arial" w:hAnsi="Arial" w:eastAsia="Arial" w:cs="Arial"/>
      <w:b/>
      <w:bCs/>
      <w:sz w:val="22"/>
      <w:szCs w:val="22"/>
    </w:rPr>
  </w:style>
  <w:style w:type="paragraph" w:styleId="923">
    <w:name w:val="Heading 7"/>
    <w:basedOn w:val="916"/>
    <w:next w:val="916"/>
    <w:link w:val="969"/>
    <w:uiPriority w:val="9"/>
    <w:unhideWhenUsed/>
    <w:qFormat/>
    <w:pPr>
      <w:keepLines/>
      <w:keepNext/>
      <w:spacing w:before="320" w:after="200"/>
      <w:outlineLvl w:val="6"/>
    </w:pPr>
    <w:rPr>
      <w:rFonts w:ascii="Arial" w:hAnsi="Arial" w:eastAsia="Arial" w:cs="Arial"/>
      <w:b/>
      <w:bCs/>
      <w:i/>
      <w:iCs/>
      <w:sz w:val="22"/>
      <w:szCs w:val="22"/>
    </w:rPr>
  </w:style>
  <w:style w:type="paragraph" w:styleId="924">
    <w:name w:val="Heading 8"/>
    <w:basedOn w:val="916"/>
    <w:next w:val="916"/>
    <w:link w:val="970"/>
    <w:uiPriority w:val="9"/>
    <w:unhideWhenUsed/>
    <w:qFormat/>
    <w:pPr>
      <w:keepLines/>
      <w:keepNext/>
      <w:spacing w:before="320" w:after="200"/>
      <w:outlineLvl w:val="7"/>
    </w:pPr>
    <w:rPr>
      <w:rFonts w:ascii="Arial" w:hAnsi="Arial" w:eastAsia="Arial" w:cs="Arial"/>
      <w:i/>
      <w:iCs/>
      <w:sz w:val="22"/>
      <w:szCs w:val="22"/>
    </w:rPr>
  </w:style>
  <w:style w:type="paragraph" w:styleId="925">
    <w:name w:val="Heading 9"/>
    <w:basedOn w:val="916"/>
    <w:next w:val="916"/>
    <w:link w:val="971"/>
    <w:uiPriority w:val="9"/>
    <w:unhideWhenUsed/>
    <w:qFormat/>
    <w:pPr>
      <w:keepLines/>
      <w:keepNext/>
      <w:spacing w:before="320" w:after="200"/>
      <w:outlineLvl w:val="8"/>
    </w:pPr>
    <w:rPr>
      <w:rFonts w:ascii="Arial" w:hAnsi="Arial" w:eastAsia="Arial" w:cs="Arial"/>
      <w:i/>
      <w:iCs/>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toc 7"/>
    <w:basedOn w:val="916"/>
    <w:next w:val="916"/>
    <w:uiPriority w:val="39"/>
    <w:unhideWhenUsed/>
    <w:qFormat/>
    <w:pPr>
      <w:ind w:left="1701"/>
      <w:spacing w:after="57"/>
    </w:pPr>
  </w:style>
  <w:style w:type="paragraph" w:styleId="929">
    <w:name w:val="Normal Indent"/>
    <w:basedOn w:val="916"/>
    <w:uiPriority w:val="0"/>
    <w:qFormat/>
    <w:pPr>
      <w:ind w:firstLine="420"/>
    </w:pPr>
  </w:style>
  <w:style w:type="paragraph" w:styleId="930">
    <w:name w:val="Caption"/>
    <w:basedOn w:val="916"/>
    <w:next w:val="9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1">
    <w:name w:val="annotation text"/>
    <w:basedOn w:val="916"/>
    <w:link w:val="1223"/>
    <w:uiPriority w:val="99"/>
    <w:unhideWhenUsed/>
    <w:qFormat/>
    <w:pPr>
      <w:jc w:val="left"/>
    </w:pPr>
  </w:style>
  <w:style w:type="paragraph" w:styleId="932">
    <w:name w:val="Body Text"/>
    <w:basedOn w:val="916"/>
    <w:uiPriority w:val="99"/>
    <w:qFormat/>
    <w:rPr>
      <w:rFonts w:ascii="华文中宋" w:eastAsia="华文中宋"/>
      <w:bCs/>
      <w:sz w:val="28"/>
    </w:rPr>
  </w:style>
  <w:style w:type="paragraph" w:styleId="933">
    <w:name w:val="Body Text Indent"/>
    <w:basedOn w:val="916"/>
    <w:uiPriority w:val="0"/>
    <w:qFormat/>
    <w:pPr>
      <w:ind w:left="565"/>
      <w:spacing w:after="100" w:line="360" w:lineRule="auto"/>
    </w:pPr>
    <w:rPr>
      <w:rFonts w:ascii="宋体"/>
      <w:sz w:val="28"/>
    </w:rPr>
  </w:style>
  <w:style w:type="paragraph" w:styleId="934">
    <w:name w:val="Block Text"/>
    <w:basedOn w:val="916"/>
    <w:uiPriority w:val="99"/>
    <w:unhideWhenUsed/>
    <w:qFormat/>
    <w:pPr>
      <w:ind w:left="630" w:right="-609" w:firstLine="420"/>
      <w:spacing w:line="360" w:lineRule="auto"/>
    </w:pPr>
    <w:rPr>
      <w:rFonts w:hint="eastAsia" w:ascii="仿宋_GB2312" w:eastAsia="仿宋_GB2312"/>
    </w:rPr>
  </w:style>
  <w:style w:type="paragraph" w:styleId="935">
    <w:name w:val="index 4"/>
    <w:basedOn w:val="916"/>
    <w:next w:val="916"/>
    <w:uiPriority w:val="99"/>
    <w:qFormat/>
    <w:pPr>
      <w:ind w:left="600"/>
    </w:pPr>
    <w:rPr>
      <w:szCs w:val="24"/>
    </w:rPr>
  </w:style>
  <w:style w:type="paragraph" w:styleId="936">
    <w:name w:val="toc 5"/>
    <w:basedOn w:val="916"/>
    <w:next w:val="916"/>
    <w:uiPriority w:val="39"/>
    <w:unhideWhenUsed/>
    <w:qFormat/>
    <w:pPr>
      <w:ind w:left="1134"/>
      <w:spacing w:after="57"/>
    </w:pPr>
  </w:style>
  <w:style w:type="paragraph" w:styleId="937">
    <w:name w:val="toc 3"/>
    <w:basedOn w:val="916"/>
    <w:next w:val="916"/>
    <w:uiPriority w:val="39"/>
    <w:unhideWhenUsed/>
    <w:qFormat/>
    <w:pPr>
      <w:ind w:left="567"/>
      <w:spacing w:after="57"/>
    </w:pPr>
  </w:style>
  <w:style w:type="paragraph" w:styleId="938">
    <w:name w:val="Plain Text"/>
    <w:basedOn w:val="916"/>
    <w:uiPriority w:val="0"/>
    <w:qFormat/>
    <w:pPr>
      <w:jc w:val="left"/>
      <w:widowControl/>
    </w:pPr>
    <w:rPr>
      <w:rFonts w:ascii="宋体" w:hAnsi="Courier New"/>
    </w:rPr>
  </w:style>
  <w:style w:type="paragraph" w:styleId="939">
    <w:name w:val="toc 8"/>
    <w:basedOn w:val="916"/>
    <w:next w:val="916"/>
    <w:uiPriority w:val="39"/>
    <w:unhideWhenUsed/>
    <w:qFormat/>
    <w:pPr>
      <w:ind w:left="1984"/>
      <w:spacing w:after="57"/>
    </w:pPr>
  </w:style>
  <w:style w:type="paragraph" w:styleId="940">
    <w:name w:val="endnote text"/>
    <w:basedOn w:val="916"/>
    <w:link w:val="1107"/>
    <w:uiPriority w:val="99"/>
    <w:semiHidden/>
    <w:unhideWhenUsed/>
    <w:qFormat/>
    <w:rPr>
      <w:sz w:val="20"/>
    </w:rPr>
  </w:style>
  <w:style w:type="paragraph" w:styleId="941">
    <w:name w:val="Footer"/>
    <w:basedOn w:val="916"/>
    <w:link w:val="980"/>
    <w:uiPriority w:val="99"/>
    <w:unhideWhenUsed/>
    <w:qFormat/>
    <w:pPr>
      <w:tabs>
        <w:tab w:val="center" w:pos="7143" w:leader="none"/>
        <w:tab w:val="right" w:pos="14287" w:leader="none"/>
      </w:tabs>
    </w:pPr>
  </w:style>
  <w:style w:type="paragraph" w:styleId="942">
    <w:name w:val="Header"/>
    <w:basedOn w:val="916"/>
    <w:link w:val="978"/>
    <w:uiPriority w:val="99"/>
    <w:unhideWhenUsed/>
    <w:qFormat/>
    <w:pPr>
      <w:tabs>
        <w:tab w:val="center" w:pos="7143" w:leader="none"/>
        <w:tab w:val="right" w:pos="14287" w:leader="none"/>
      </w:tabs>
    </w:pPr>
  </w:style>
  <w:style w:type="paragraph" w:styleId="943">
    <w:name w:val="toc 1"/>
    <w:basedOn w:val="916"/>
    <w:next w:val="916"/>
    <w:uiPriority w:val="39"/>
    <w:unhideWhenUsed/>
    <w:qFormat/>
    <w:pPr>
      <w:spacing w:after="57"/>
    </w:pPr>
  </w:style>
  <w:style w:type="paragraph" w:styleId="944">
    <w:name w:val="toc 4"/>
    <w:basedOn w:val="916"/>
    <w:next w:val="916"/>
    <w:uiPriority w:val="39"/>
    <w:unhideWhenUsed/>
    <w:qFormat/>
    <w:pPr>
      <w:ind w:left="850"/>
      <w:spacing w:after="57"/>
    </w:pPr>
  </w:style>
  <w:style w:type="paragraph" w:styleId="945">
    <w:name w:val="Subtitle"/>
    <w:basedOn w:val="916"/>
    <w:next w:val="916"/>
    <w:link w:val="973"/>
    <w:uiPriority w:val="11"/>
    <w:qFormat/>
    <w:pPr>
      <w:spacing w:before="200" w:after="200"/>
    </w:pPr>
    <w:rPr>
      <w:sz w:val="24"/>
      <w:szCs w:val="24"/>
    </w:rPr>
  </w:style>
  <w:style w:type="paragraph" w:styleId="946">
    <w:name w:val="footnote text"/>
    <w:basedOn w:val="916"/>
    <w:link w:val="1106"/>
    <w:uiPriority w:val="99"/>
    <w:semiHidden/>
    <w:unhideWhenUsed/>
    <w:qFormat/>
    <w:pPr>
      <w:spacing w:after="40"/>
    </w:pPr>
    <w:rPr>
      <w:sz w:val="18"/>
    </w:rPr>
  </w:style>
  <w:style w:type="paragraph" w:styleId="947">
    <w:name w:val="toc 6"/>
    <w:basedOn w:val="916"/>
    <w:next w:val="916"/>
    <w:uiPriority w:val="39"/>
    <w:unhideWhenUsed/>
    <w:qFormat/>
    <w:pPr>
      <w:ind w:left="1417"/>
      <w:spacing w:after="57"/>
    </w:pPr>
  </w:style>
  <w:style w:type="paragraph" w:styleId="948">
    <w:name w:val="table of figures"/>
    <w:basedOn w:val="916"/>
    <w:next w:val="916"/>
    <w:uiPriority w:val="99"/>
    <w:unhideWhenUsed/>
    <w:qFormat/>
  </w:style>
  <w:style w:type="paragraph" w:styleId="949">
    <w:name w:val="toc 2"/>
    <w:basedOn w:val="916"/>
    <w:next w:val="916"/>
    <w:uiPriority w:val="39"/>
    <w:unhideWhenUsed/>
    <w:qFormat/>
    <w:pPr>
      <w:ind w:left="283"/>
      <w:spacing w:after="57"/>
    </w:pPr>
  </w:style>
  <w:style w:type="paragraph" w:styleId="950">
    <w:name w:val="toc 9"/>
    <w:basedOn w:val="916"/>
    <w:next w:val="916"/>
    <w:uiPriority w:val="39"/>
    <w:unhideWhenUsed/>
    <w:qFormat/>
    <w:pPr>
      <w:ind w:left="2268"/>
      <w:spacing w:after="57"/>
    </w:pPr>
  </w:style>
  <w:style w:type="paragraph" w:styleId="951">
    <w:name w:val="Normal (Web)"/>
    <w:basedOn w:val="916"/>
    <w:uiPriority w:val="0"/>
    <w:qFormat/>
    <w:pPr>
      <w:jc w:val="left"/>
      <w:spacing w:beforeAutospacing="1" w:afterAutospacing="1"/>
    </w:pPr>
    <w:rPr>
      <w:sz w:val="24"/>
    </w:rPr>
  </w:style>
  <w:style w:type="paragraph" w:styleId="952">
    <w:name w:val="Title"/>
    <w:basedOn w:val="916"/>
    <w:next w:val="916"/>
    <w:link w:val="972"/>
    <w:uiPriority w:val="10"/>
    <w:qFormat/>
    <w:pPr>
      <w:contextualSpacing/>
      <w:spacing w:before="300" w:after="200"/>
    </w:pPr>
    <w:rPr>
      <w:sz w:val="48"/>
      <w:szCs w:val="48"/>
    </w:rPr>
  </w:style>
  <w:style w:type="paragraph" w:styleId="953">
    <w:name w:val="annotation subject"/>
    <w:basedOn w:val="931"/>
    <w:next w:val="931"/>
    <w:link w:val="1224"/>
    <w:uiPriority w:val="99"/>
    <w:semiHidden/>
    <w:unhideWhenUsed/>
    <w:qFormat/>
    <w:rPr>
      <w:b/>
      <w:bCs/>
    </w:rPr>
  </w:style>
  <w:style w:type="table" w:styleId="9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26"/>
    <w:uiPriority w:val="22"/>
    <w:qFormat/>
    <w:rPr>
      <w:b/>
    </w:rPr>
  </w:style>
  <w:style w:type="character" w:styleId="956">
    <w:name w:val="endnote reference"/>
    <w:uiPriority w:val="99"/>
    <w:semiHidden/>
    <w:unhideWhenUsed/>
    <w:qFormat/>
    <w:rPr>
      <w:vertAlign w:val="superscript"/>
    </w:rPr>
  </w:style>
  <w:style w:type="character" w:styleId="957">
    <w:name w:val="page number"/>
    <w:basedOn w:val="926"/>
    <w:uiPriority w:val="0"/>
    <w:qFormat/>
  </w:style>
  <w:style w:type="character" w:styleId="958">
    <w:name w:val="Emphasis"/>
    <w:basedOn w:val="926"/>
    <w:uiPriority w:val="20"/>
    <w:qFormat/>
    <w:rPr>
      <w:i/>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annotation reference"/>
    <w:basedOn w:val="926"/>
    <w:uiPriority w:val="99"/>
    <w:semiHidden/>
    <w:unhideWhenUsed/>
    <w:qFormat/>
    <w:rPr>
      <w:sz w:val="21"/>
      <w:szCs w:val="21"/>
    </w:rPr>
  </w:style>
  <w:style w:type="character" w:styleId="961">
    <w:name w:val="footnote reference"/>
    <w:uiPriority w:val="99"/>
    <w:unhideWhenUsed/>
    <w:qFormat/>
    <w:rPr>
      <w:vertAlign w:val="superscript"/>
    </w:rPr>
  </w:style>
  <w:style w:type="paragraph" w:styleId="962" w:customStyle="1">
    <w:name w:val="正文文本1"/>
    <w:basedOn w:val="916"/>
    <w:link w:val="1116"/>
    <w:uiPriority w:val="0"/>
    <w:qFormat/>
    <w:rPr>
      <w:rFonts w:ascii="宋体"/>
      <w:sz w:val="28"/>
    </w:rPr>
  </w:style>
  <w:style w:type="character" w:styleId="963" w:customStyle="1">
    <w:name w:val="标题 1 字符"/>
    <w:link w:val="917"/>
    <w:uiPriority w:val="9"/>
    <w:qFormat/>
    <w:rPr>
      <w:rFonts w:ascii="Arial" w:hAnsi="Arial" w:eastAsia="Arial" w:cs="Arial"/>
      <w:sz w:val="40"/>
      <w:szCs w:val="40"/>
    </w:rPr>
  </w:style>
  <w:style w:type="character" w:styleId="964" w:customStyle="1">
    <w:name w:val="标题 2 字符1"/>
    <w:link w:val="918"/>
    <w:uiPriority w:val="9"/>
    <w:qFormat/>
    <w:rPr>
      <w:rFonts w:ascii="Arial" w:hAnsi="Arial" w:eastAsia="Arial" w:cs="Arial"/>
      <w:sz w:val="34"/>
    </w:rPr>
  </w:style>
  <w:style w:type="character" w:styleId="965" w:customStyle="1">
    <w:name w:val="标题 3 字符1"/>
    <w:link w:val="919"/>
    <w:uiPriority w:val="9"/>
    <w:qFormat/>
    <w:rPr>
      <w:rFonts w:ascii="Arial" w:hAnsi="Arial" w:eastAsia="Arial" w:cs="Arial"/>
      <w:sz w:val="30"/>
      <w:szCs w:val="30"/>
    </w:rPr>
  </w:style>
  <w:style w:type="character" w:styleId="966" w:customStyle="1">
    <w:name w:val="标题 4 字符"/>
    <w:link w:val="920"/>
    <w:uiPriority w:val="9"/>
    <w:qFormat/>
    <w:rPr>
      <w:rFonts w:ascii="Arial" w:hAnsi="Arial" w:eastAsia="Arial" w:cs="Arial"/>
      <w:b/>
      <w:bCs/>
      <w:sz w:val="26"/>
      <w:szCs w:val="26"/>
    </w:rPr>
  </w:style>
  <w:style w:type="character" w:styleId="967" w:customStyle="1">
    <w:name w:val="标题 5 字符"/>
    <w:link w:val="921"/>
    <w:uiPriority w:val="9"/>
    <w:qFormat/>
    <w:rPr>
      <w:rFonts w:ascii="Arial" w:hAnsi="Arial" w:eastAsia="Arial" w:cs="Arial"/>
      <w:b/>
      <w:bCs/>
      <w:sz w:val="24"/>
      <w:szCs w:val="24"/>
    </w:rPr>
  </w:style>
  <w:style w:type="character" w:styleId="968" w:customStyle="1">
    <w:name w:val="标题 6 字符"/>
    <w:link w:val="922"/>
    <w:uiPriority w:val="9"/>
    <w:qFormat/>
    <w:rPr>
      <w:rFonts w:ascii="Arial" w:hAnsi="Arial" w:eastAsia="Arial" w:cs="Arial"/>
      <w:b/>
      <w:bCs/>
      <w:sz w:val="22"/>
      <w:szCs w:val="22"/>
    </w:rPr>
  </w:style>
  <w:style w:type="character" w:styleId="969" w:customStyle="1">
    <w:name w:val="标题 7 字符"/>
    <w:link w:val="923"/>
    <w:uiPriority w:val="9"/>
    <w:qFormat/>
    <w:rPr>
      <w:rFonts w:ascii="Arial" w:hAnsi="Arial" w:eastAsia="Arial" w:cs="Arial"/>
      <w:b/>
      <w:bCs/>
      <w:i/>
      <w:iCs/>
      <w:sz w:val="22"/>
      <w:szCs w:val="22"/>
    </w:rPr>
  </w:style>
  <w:style w:type="character" w:styleId="970" w:customStyle="1">
    <w:name w:val="标题 8 字符"/>
    <w:link w:val="924"/>
    <w:uiPriority w:val="9"/>
    <w:qFormat/>
    <w:rPr>
      <w:rFonts w:ascii="Arial" w:hAnsi="Arial" w:eastAsia="Arial" w:cs="Arial"/>
      <w:i/>
      <w:iCs/>
      <w:sz w:val="22"/>
      <w:szCs w:val="22"/>
    </w:rPr>
  </w:style>
  <w:style w:type="character" w:styleId="971" w:customStyle="1">
    <w:name w:val="标题 9 字符"/>
    <w:link w:val="925"/>
    <w:uiPriority w:val="9"/>
    <w:qFormat/>
    <w:rPr>
      <w:rFonts w:ascii="Arial" w:hAnsi="Arial" w:eastAsia="Arial" w:cs="Arial"/>
      <w:i/>
      <w:iCs/>
      <w:sz w:val="21"/>
      <w:szCs w:val="21"/>
    </w:rPr>
  </w:style>
  <w:style w:type="character" w:styleId="972" w:customStyle="1">
    <w:name w:val="标题 字符1"/>
    <w:link w:val="952"/>
    <w:uiPriority w:val="10"/>
    <w:qFormat/>
    <w:rPr>
      <w:sz w:val="48"/>
      <w:szCs w:val="48"/>
    </w:rPr>
  </w:style>
  <w:style w:type="character" w:styleId="973" w:customStyle="1">
    <w:name w:val="副标题 字符"/>
    <w:link w:val="945"/>
    <w:uiPriority w:val="11"/>
    <w:qFormat/>
    <w:rPr>
      <w:sz w:val="24"/>
      <w:szCs w:val="24"/>
    </w:rPr>
  </w:style>
  <w:style w:type="paragraph" w:styleId="974">
    <w:name w:val="Quote"/>
    <w:basedOn w:val="916"/>
    <w:next w:val="916"/>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916"/>
    <w:next w:val="916"/>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页眉 字符1"/>
    <w:link w:val="942"/>
    <w:uiPriority w:val="99"/>
    <w:qFormat/>
  </w:style>
  <w:style w:type="character" w:styleId="979" w:customStyle="1">
    <w:name w:val="Footer Char"/>
    <w:uiPriority w:val="99"/>
    <w:qFormat/>
  </w:style>
  <w:style w:type="character" w:styleId="980" w:customStyle="1">
    <w:name w:val="页脚 字符2"/>
    <w:link w:val="941"/>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脚注文本 字符"/>
    <w:link w:val="946"/>
    <w:uiPriority w:val="99"/>
    <w:qFormat/>
    <w:rPr>
      <w:sz w:val="18"/>
    </w:rPr>
  </w:style>
  <w:style w:type="character" w:styleId="1107" w:customStyle="1">
    <w:name w:val="尾注文本 字符"/>
    <w:link w:val="940"/>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paragraph" w:styleId="1109" w:customStyle="1">
    <w:name w:val="标题 11"/>
    <w:basedOn w:val="916"/>
    <w:next w:val="916"/>
    <w:uiPriority w:val="0"/>
    <w:qFormat/>
    <w:pPr>
      <w:jc w:val="center"/>
      <w:keepNext/>
      <w:spacing w:line="440" w:lineRule="exact"/>
      <w:outlineLvl w:val="0"/>
    </w:pPr>
    <w:rPr>
      <w:rFonts w:ascii="宋体"/>
      <w:sz w:val="28"/>
    </w:rPr>
  </w:style>
  <w:style w:type="paragraph" w:styleId="1110" w:customStyle="1">
    <w:name w:val="标题 21"/>
    <w:basedOn w:val="916"/>
    <w:next w:val="916"/>
    <w:link w:val="1117"/>
    <w:uiPriority w:val="9"/>
    <w:qFormat/>
    <w:pPr>
      <w:keepLines/>
      <w:keepNext/>
      <w:spacing w:before="260" w:after="260" w:line="416" w:lineRule="auto"/>
      <w:outlineLvl w:val="1"/>
    </w:pPr>
    <w:rPr>
      <w:rFonts w:ascii="Arial" w:hAnsi="Arial" w:eastAsia="黑体"/>
      <w:b/>
      <w:bCs/>
      <w:sz w:val="32"/>
      <w:szCs w:val="32"/>
    </w:rPr>
  </w:style>
  <w:style w:type="paragraph" w:styleId="1111" w:customStyle="1">
    <w:name w:val="标题 31"/>
    <w:basedOn w:val="916"/>
    <w:next w:val="1112"/>
    <w:link w:val="111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12" w:customStyle="1">
    <w:name w:val="正文缩进1"/>
    <w:basedOn w:val="916"/>
    <w:uiPriority w:val="99"/>
    <w:qFormat/>
    <w:pPr>
      <w:ind w:firstLine="420"/>
    </w:pPr>
    <w:rPr>
      <w:b/>
      <w:sz w:val="24"/>
    </w:rPr>
  </w:style>
  <w:style w:type="paragraph" w:styleId="1113" w:customStyle="1">
    <w:name w:val="标题 41"/>
    <w:basedOn w:val="916"/>
    <w:next w:val="916"/>
    <w:uiPriority w:val="0"/>
    <w:qFormat/>
    <w:pPr>
      <w:keepLines/>
      <w:keepNext/>
      <w:spacing w:before="280" w:after="290" w:line="372" w:lineRule="auto"/>
      <w:outlineLvl w:val="3"/>
    </w:pPr>
    <w:rPr>
      <w:rFonts w:ascii="Arial" w:hAnsi="Arial" w:eastAsia="黑体" w:cs="Arial"/>
      <w:b/>
      <w:bCs/>
      <w:sz w:val="28"/>
      <w:szCs w:val="28"/>
    </w:rPr>
  </w:style>
  <w:style w:type="character" w:styleId="1114" w:customStyle="1">
    <w:name w:val="默认段落字体1"/>
    <w:uiPriority w:val="0"/>
    <w:semiHidden/>
    <w:qFormat/>
    <w:rPr>
      <w:sz w:val="24"/>
    </w:rPr>
  </w:style>
  <w:style w:type="table" w:styleId="1115"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16" w:customStyle="1">
    <w:name w:val="正文文本 字符"/>
    <w:link w:val="962"/>
    <w:uiPriority w:val="0"/>
    <w:qFormat/>
    <w:rPr>
      <w:rFonts w:ascii="宋体" w:eastAsia="宋体"/>
      <w:sz w:val="28"/>
      <w:lang w:val="en-US" w:eastAsia="zh-CN" w:bidi="ar-SA"/>
    </w:rPr>
  </w:style>
  <w:style w:type="character" w:styleId="1117" w:customStyle="1">
    <w:name w:val="标题 2 字符"/>
    <w:link w:val="1110"/>
    <w:uiPriority w:val="9"/>
    <w:qFormat/>
    <w:rPr>
      <w:rFonts w:ascii="Arial" w:hAnsi="Arial" w:eastAsia="黑体"/>
      <w:b/>
      <w:bCs/>
      <w:sz w:val="32"/>
      <w:szCs w:val="32"/>
    </w:rPr>
  </w:style>
  <w:style w:type="character" w:styleId="1118" w:customStyle="1">
    <w:name w:val="标题 3 字符"/>
    <w:link w:val="1111"/>
    <w:uiPriority w:val="9"/>
    <w:qFormat/>
    <w:rPr>
      <w:rFonts w:ascii="仿宋_GB2312" w:eastAsia="仿宋_GB2312"/>
      <w:sz w:val="32"/>
    </w:rPr>
  </w:style>
  <w:style w:type="paragraph" w:styleId="1119" w:customStyle="1">
    <w:name w:val="列表 31"/>
    <w:basedOn w:val="916"/>
    <w:uiPriority w:val="0"/>
    <w:qFormat/>
    <w:pPr>
      <w:contextualSpacing/>
      <w:ind w:left="100" w:hanging="200"/>
    </w:pPr>
  </w:style>
  <w:style w:type="paragraph" w:styleId="1120" w:customStyle="1">
    <w:name w:val="目录 71"/>
    <w:basedOn w:val="916"/>
    <w:next w:val="916"/>
    <w:uiPriority w:val="0"/>
    <w:qFormat/>
    <w:pPr>
      <w:ind w:left="2520"/>
    </w:pPr>
  </w:style>
  <w:style w:type="paragraph" w:styleId="1121" w:customStyle="1">
    <w:name w:val="批注文字1"/>
    <w:basedOn w:val="916"/>
    <w:link w:val="1122"/>
    <w:uiPriority w:val="0"/>
    <w:qFormat/>
    <w:pPr>
      <w:jc w:val="left"/>
    </w:pPr>
  </w:style>
  <w:style w:type="character" w:styleId="1122" w:customStyle="1">
    <w:name w:val="批注文字 字符"/>
    <w:link w:val="1121"/>
    <w:uiPriority w:val="0"/>
    <w:qFormat/>
    <w:rPr>
      <w:sz w:val="21"/>
    </w:rPr>
  </w:style>
  <w:style w:type="paragraph" w:styleId="1123" w:customStyle="1">
    <w:name w:val="称呼1"/>
    <w:basedOn w:val="916"/>
    <w:next w:val="916"/>
    <w:uiPriority w:val="0"/>
    <w:qFormat/>
    <w:pPr>
      <w:jc w:val="left"/>
      <w:widowControl/>
    </w:pPr>
    <w:rPr>
      <w:sz w:val="24"/>
    </w:rPr>
  </w:style>
  <w:style w:type="paragraph" w:styleId="1124" w:customStyle="1">
    <w:name w:val="正文文本缩进1"/>
    <w:basedOn w:val="916"/>
    <w:uiPriority w:val="0"/>
    <w:qFormat/>
    <w:pPr>
      <w:ind w:firstLine="420"/>
      <w:spacing w:line="360" w:lineRule="auto"/>
    </w:pPr>
    <w:rPr>
      <w:rFonts w:ascii="宋体"/>
      <w:sz w:val="24"/>
    </w:rPr>
  </w:style>
  <w:style w:type="paragraph" w:styleId="1125" w:customStyle="1">
    <w:name w:val="列表 21"/>
    <w:basedOn w:val="916"/>
    <w:uiPriority w:val="0"/>
    <w:qFormat/>
    <w:pPr>
      <w:ind w:left="100" w:hanging="200"/>
    </w:pPr>
  </w:style>
  <w:style w:type="paragraph" w:styleId="1126" w:customStyle="1">
    <w:name w:val="索引 41"/>
    <w:basedOn w:val="916"/>
    <w:next w:val="916"/>
    <w:uiPriority w:val="0"/>
    <w:qFormat/>
    <w:pPr>
      <w:ind w:left="600"/>
    </w:pPr>
    <w:rPr>
      <w:rFonts w:ascii="Calibri" w:hAnsi="Calibri"/>
      <w:szCs w:val="24"/>
    </w:rPr>
  </w:style>
  <w:style w:type="paragraph" w:styleId="1127" w:customStyle="1">
    <w:name w:val="目录 51"/>
    <w:basedOn w:val="916"/>
    <w:next w:val="916"/>
    <w:uiPriority w:val="0"/>
    <w:qFormat/>
    <w:pPr>
      <w:ind w:left="1680"/>
    </w:pPr>
  </w:style>
  <w:style w:type="paragraph" w:styleId="1128" w:customStyle="1">
    <w:name w:val="目录 31"/>
    <w:basedOn w:val="916"/>
    <w:next w:val="916"/>
    <w:uiPriority w:val="39"/>
    <w:qFormat/>
    <w:pPr>
      <w:ind w:left="840"/>
    </w:pPr>
  </w:style>
  <w:style w:type="paragraph" w:styleId="1129" w:customStyle="1">
    <w:name w:val="纯文本1"/>
    <w:basedOn w:val="916"/>
    <w:link w:val="1130"/>
    <w:uiPriority w:val="0"/>
    <w:qFormat/>
    <w:rPr>
      <w:rFonts w:ascii="宋体" w:hAnsi="Courier New"/>
    </w:rPr>
  </w:style>
  <w:style w:type="character" w:styleId="1130" w:customStyle="1">
    <w:name w:val="纯文本 字符"/>
    <w:link w:val="1129"/>
    <w:uiPriority w:val="0"/>
    <w:qFormat/>
    <w:rPr>
      <w:rFonts w:ascii="宋体" w:hAnsi="Courier New" w:eastAsia="宋体"/>
      <w:sz w:val="21"/>
      <w:lang w:val="en-US" w:eastAsia="zh-CN" w:bidi="ar-SA"/>
    </w:rPr>
  </w:style>
  <w:style w:type="paragraph" w:styleId="1131" w:customStyle="1">
    <w:name w:val="目录 81"/>
    <w:basedOn w:val="916"/>
    <w:next w:val="916"/>
    <w:uiPriority w:val="0"/>
    <w:qFormat/>
    <w:pPr>
      <w:ind w:left="2940"/>
    </w:pPr>
  </w:style>
  <w:style w:type="paragraph" w:styleId="1132" w:customStyle="1">
    <w:name w:val="日期1"/>
    <w:basedOn w:val="916"/>
    <w:next w:val="916"/>
    <w:link w:val="1133"/>
    <w:uiPriority w:val="0"/>
    <w:qFormat/>
    <w:rPr>
      <w:rFonts w:ascii="宋体"/>
    </w:rPr>
  </w:style>
  <w:style w:type="character" w:styleId="1133" w:customStyle="1">
    <w:name w:val="日期 字符"/>
    <w:link w:val="1132"/>
    <w:uiPriority w:val="0"/>
    <w:qFormat/>
    <w:rPr>
      <w:rFonts w:ascii="宋体"/>
      <w:sz w:val="21"/>
    </w:rPr>
  </w:style>
  <w:style w:type="paragraph" w:styleId="1134" w:customStyle="1">
    <w:name w:val="正文文本缩进 21"/>
    <w:basedOn w:val="916"/>
    <w:uiPriority w:val="0"/>
    <w:qFormat/>
    <w:pPr>
      <w:ind w:firstLine="525"/>
      <w:spacing w:line="420" w:lineRule="exact"/>
    </w:pPr>
    <w:rPr>
      <w:rFonts w:ascii="宋体"/>
    </w:rPr>
  </w:style>
  <w:style w:type="paragraph" w:styleId="1135" w:customStyle="1">
    <w:name w:val="批注框文本1"/>
    <w:basedOn w:val="916"/>
    <w:link w:val="1136"/>
    <w:uiPriority w:val="99"/>
    <w:qFormat/>
    <w:rPr>
      <w:sz w:val="18"/>
      <w:szCs w:val="18"/>
    </w:rPr>
  </w:style>
  <w:style w:type="character" w:styleId="1136" w:customStyle="1">
    <w:name w:val="批注框文本 字符"/>
    <w:link w:val="1135"/>
    <w:uiPriority w:val="99"/>
    <w:qFormat/>
    <w:rPr>
      <w:sz w:val="18"/>
      <w:szCs w:val="18"/>
    </w:rPr>
  </w:style>
  <w:style w:type="paragraph" w:styleId="1137" w:customStyle="1">
    <w:name w:val="页脚1"/>
    <w:basedOn w:val="916"/>
    <w:link w:val="1138"/>
    <w:uiPriority w:val="99"/>
    <w:qFormat/>
    <w:pPr>
      <w:jc w:val="left"/>
      <w:tabs>
        <w:tab w:val="center" w:pos="4153" w:leader="none"/>
        <w:tab w:val="right" w:pos="8306" w:leader="none"/>
      </w:tabs>
    </w:pPr>
    <w:rPr>
      <w:sz w:val="18"/>
    </w:rPr>
  </w:style>
  <w:style w:type="character" w:styleId="1138" w:customStyle="1">
    <w:name w:val="页脚 字符1"/>
    <w:link w:val="1137"/>
    <w:uiPriority w:val="99"/>
    <w:qFormat/>
    <w:rPr>
      <w:sz w:val="18"/>
    </w:rPr>
  </w:style>
  <w:style w:type="paragraph" w:styleId="1139" w:customStyle="1">
    <w:name w:val="页眉1"/>
    <w:basedOn w:val="916"/>
    <w:link w:val="1140"/>
    <w:uiPriority w:val="99"/>
    <w:qFormat/>
    <w:pPr>
      <w:jc w:val="center"/>
      <w:tabs>
        <w:tab w:val="center" w:pos="4153" w:leader="none"/>
        <w:tab w:val="right" w:pos="8306" w:leader="none"/>
      </w:tabs>
      <w:pBdr>
        <w:bottom w:val="single" w:color="000000" w:sz="6" w:space="1"/>
      </w:pBdr>
    </w:pPr>
    <w:rPr>
      <w:sz w:val="18"/>
    </w:rPr>
  </w:style>
  <w:style w:type="character" w:styleId="1140" w:customStyle="1">
    <w:name w:val="页眉 字符"/>
    <w:link w:val="1139"/>
    <w:uiPriority w:val="99"/>
    <w:qFormat/>
    <w:rPr>
      <w:sz w:val="18"/>
    </w:rPr>
  </w:style>
  <w:style w:type="paragraph" w:styleId="1141" w:customStyle="1">
    <w:name w:val="目录 11"/>
    <w:basedOn w:val="916"/>
    <w:next w:val="916"/>
    <w:uiPriority w:val="39"/>
    <w:qFormat/>
  </w:style>
  <w:style w:type="paragraph" w:styleId="1142" w:customStyle="1">
    <w:name w:val="目录 41"/>
    <w:basedOn w:val="916"/>
    <w:next w:val="916"/>
    <w:uiPriority w:val="0"/>
    <w:qFormat/>
    <w:pPr>
      <w:ind w:left="1260"/>
    </w:pPr>
  </w:style>
  <w:style w:type="paragraph" w:styleId="1143" w:customStyle="1">
    <w:name w:val="目录 61"/>
    <w:basedOn w:val="916"/>
    <w:next w:val="916"/>
    <w:uiPriority w:val="0"/>
    <w:qFormat/>
    <w:pPr>
      <w:ind w:left="2100"/>
    </w:pPr>
  </w:style>
  <w:style w:type="paragraph" w:styleId="1144" w:customStyle="1">
    <w:name w:val="正文文本缩进 31"/>
    <w:basedOn w:val="916"/>
    <w:uiPriority w:val="0"/>
    <w:qFormat/>
    <w:pPr>
      <w:ind w:firstLine="841"/>
    </w:pPr>
    <w:rPr>
      <w:rFonts w:eastAsia="华文新魏"/>
      <w:b/>
      <w:bCs/>
      <w:sz w:val="84"/>
    </w:rPr>
  </w:style>
  <w:style w:type="paragraph" w:styleId="1145" w:customStyle="1">
    <w:name w:val="目录 21"/>
    <w:basedOn w:val="916"/>
    <w:next w:val="916"/>
    <w:uiPriority w:val="39"/>
    <w:qFormat/>
    <w:pPr>
      <w:ind w:left="420"/>
    </w:pPr>
  </w:style>
  <w:style w:type="paragraph" w:styleId="1146" w:customStyle="1">
    <w:name w:val="目录 91"/>
    <w:basedOn w:val="916"/>
    <w:next w:val="916"/>
    <w:uiPriority w:val="0"/>
    <w:qFormat/>
    <w:pPr>
      <w:ind w:left="3360"/>
    </w:pPr>
  </w:style>
  <w:style w:type="paragraph" w:styleId="1147" w:customStyle="1">
    <w:name w:val="信息标题1"/>
    <w:basedOn w:val="91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48" w:customStyle="1">
    <w:name w:val="HTML 预设格式1"/>
    <w:basedOn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49" w:customStyle="1">
    <w:name w:val="普通(网站)1"/>
    <w:basedOn w:val="91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50" w:customStyle="1">
    <w:name w:val="标题1"/>
    <w:basedOn w:val="916"/>
    <w:next w:val="916"/>
    <w:link w:val="1151"/>
    <w:uiPriority w:val="0"/>
    <w:qFormat/>
    <w:pPr>
      <w:jc w:val="center"/>
    </w:pPr>
    <w:rPr>
      <w:sz w:val="30"/>
      <w:szCs w:val="24"/>
    </w:rPr>
  </w:style>
  <w:style w:type="character" w:styleId="1151" w:customStyle="1">
    <w:name w:val="标题 字符"/>
    <w:link w:val="1150"/>
    <w:uiPriority w:val="0"/>
    <w:qFormat/>
    <w:rPr>
      <w:sz w:val="30"/>
      <w:szCs w:val="24"/>
    </w:rPr>
  </w:style>
  <w:style w:type="paragraph" w:styleId="1152" w:customStyle="1">
    <w:name w:val="批注主题1"/>
    <w:basedOn w:val="1121"/>
    <w:next w:val="1121"/>
    <w:link w:val="1153"/>
    <w:uiPriority w:val="0"/>
    <w:qFormat/>
    <w:rPr>
      <w:b/>
      <w:bCs/>
    </w:rPr>
  </w:style>
  <w:style w:type="character" w:styleId="1153" w:customStyle="1">
    <w:name w:val="批注主题 字符"/>
    <w:link w:val="1152"/>
    <w:uiPriority w:val="0"/>
    <w:qFormat/>
    <w:rPr>
      <w:b/>
      <w:bCs/>
      <w:sz w:val="21"/>
    </w:rPr>
  </w:style>
  <w:style w:type="paragraph" w:styleId="1154" w:customStyle="1">
    <w:name w:val="正文首行缩进1"/>
    <w:basedOn w:val="962"/>
    <w:link w:val="1155"/>
    <w:uiPriority w:val="0"/>
    <w:qFormat/>
    <w:pPr>
      <w:ind w:firstLine="420"/>
      <w:spacing w:line="360" w:lineRule="auto"/>
    </w:pPr>
    <w:rPr>
      <w:rFonts w:ascii="Times New Roman"/>
      <w:szCs w:val="21"/>
    </w:rPr>
  </w:style>
  <w:style w:type="character" w:styleId="1155" w:customStyle="1">
    <w:name w:val="正文文本首行缩进 字符"/>
    <w:link w:val="1154"/>
    <w:uiPriority w:val="0"/>
    <w:qFormat/>
    <w:rPr>
      <w:sz w:val="28"/>
      <w:szCs w:val="21"/>
    </w:rPr>
  </w:style>
  <w:style w:type="paragraph" w:styleId="1156" w:customStyle="1">
    <w:name w:val="正文首行缩进 21"/>
    <w:basedOn w:val="1124"/>
    <w:uiPriority w:val="0"/>
    <w:qFormat/>
    <w:rPr>
      <w:rFonts w:hAnsi="Calibri"/>
      <w:szCs w:val="22"/>
      <w:u w:val="single"/>
    </w:rPr>
  </w:style>
  <w:style w:type="table" w:styleId="1157" w:customStyle="1">
    <w:name w:val="网格型1"/>
    <w:basedOn w:val="1115"/>
    <w:uiPriority w:val="59"/>
    <w:qFormat/>
    <w:tblPr/>
  </w:style>
  <w:style w:type="character" w:styleId="1158" w:customStyle="1">
    <w:name w:val="要点1"/>
    <w:uiPriority w:val="0"/>
    <w:qFormat/>
    <w:rPr>
      <w:b/>
      <w:bCs/>
    </w:rPr>
  </w:style>
  <w:style w:type="character" w:styleId="1159" w:customStyle="1">
    <w:name w:val="页码1"/>
    <w:uiPriority w:val="99"/>
    <w:qFormat/>
  </w:style>
  <w:style w:type="character" w:styleId="1160" w:customStyle="1">
    <w:name w:val="已访问的超链接1"/>
    <w:uiPriority w:val="0"/>
    <w:qFormat/>
    <w:rPr>
      <w:color w:val="000000"/>
      <w:sz w:val="18"/>
      <w:szCs w:val="18"/>
      <w:u w:val="none"/>
    </w:rPr>
  </w:style>
  <w:style w:type="character" w:styleId="1161" w:customStyle="1">
    <w:name w:val="强调1"/>
    <w:uiPriority w:val="0"/>
    <w:qFormat/>
    <w:rPr>
      <w:i/>
    </w:rPr>
  </w:style>
  <w:style w:type="character" w:styleId="1162" w:customStyle="1">
    <w:name w:val="超链接1"/>
    <w:uiPriority w:val="99"/>
    <w:qFormat/>
    <w:rPr>
      <w:color w:val="000000"/>
      <w:sz w:val="18"/>
      <w:szCs w:val="18"/>
      <w:u w:val="none"/>
    </w:rPr>
  </w:style>
  <w:style w:type="character" w:styleId="1163" w:customStyle="1">
    <w:name w:val="批注引用1"/>
    <w:uiPriority w:val="0"/>
    <w:qFormat/>
    <w:rPr>
      <w:sz w:val="21"/>
      <w:szCs w:val="21"/>
    </w:rPr>
  </w:style>
  <w:style w:type="character" w:styleId="1164" w:customStyle="1">
    <w:name w:val="font91"/>
    <w:uiPriority w:val="0"/>
    <w:qFormat/>
    <w:rPr>
      <w:rFonts w:ascii="Calibri" w:hAnsi="Calibri" w:cs="Calibri"/>
      <w:color w:val="000000"/>
      <w:sz w:val="21"/>
      <w:szCs w:val="21"/>
      <w:u w:val="none"/>
    </w:rPr>
  </w:style>
  <w:style w:type="character" w:styleId="1165" w:customStyle="1">
    <w:name w:val="style21"/>
    <w:uiPriority w:val="0"/>
    <w:qFormat/>
    <w:rPr>
      <w:sz w:val="18"/>
      <w:szCs w:val="18"/>
    </w:rPr>
  </w:style>
  <w:style w:type="character" w:styleId="1166" w:customStyle="1">
    <w:name w:val="font01"/>
    <w:uiPriority w:val="0"/>
    <w:qFormat/>
    <w:rPr>
      <w:rFonts w:ascii="幼圆" w:hAnsi="幼圆" w:eastAsia="幼圆" w:cs="幼圆"/>
      <w:b/>
      <w:color w:val="000000"/>
      <w:sz w:val="22"/>
      <w:szCs w:val="22"/>
      <w:u w:val="none"/>
    </w:rPr>
  </w:style>
  <w:style w:type="character" w:styleId="1167" w:customStyle="1">
    <w:name w:val="List Paragraph Char"/>
    <w:link w:val="1168"/>
    <w:uiPriority w:val="0"/>
    <w:qFormat/>
    <w:rPr>
      <w:rFonts w:ascii="Calibri" w:hAnsi="Calibri"/>
      <w:sz w:val="21"/>
      <w:szCs w:val="22"/>
    </w:rPr>
  </w:style>
  <w:style w:type="paragraph" w:styleId="1168" w:customStyle="1">
    <w:name w:val="List Paragraph2"/>
    <w:basedOn w:val="916"/>
    <w:link w:val="1167"/>
    <w:uiPriority w:val="0"/>
    <w:qFormat/>
    <w:pPr>
      <w:ind w:firstLine="420"/>
    </w:pPr>
    <w:rPr>
      <w:rFonts w:ascii="Calibri" w:hAnsi="Calibri"/>
      <w:szCs w:val="22"/>
    </w:rPr>
  </w:style>
  <w:style w:type="character" w:styleId="1169" w:customStyle="1">
    <w:name w:val="font11"/>
    <w:uiPriority w:val="0"/>
    <w:qFormat/>
    <w:rPr>
      <w:rFonts w:ascii="幼圆" w:hAnsi="幼圆" w:eastAsia="幼圆" w:cs="幼圆"/>
      <w:color w:val="000000"/>
      <w:sz w:val="22"/>
      <w:szCs w:val="22"/>
      <w:u w:val="none"/>
    </w:rPr>
  </w:style>
  <w:style w:type="character" w:styleId="1170" w:customStyle="1">
    <w:name w:val="Table Sub Section Char"/>
    <w:link w:val="1171"/>
    <w:uiPriority w:val="0"/>
    <w:qFormat/>
    <w:rPr>
      <w:rFonts w:ascii="Arial" w:hAnsi="Arial"/>
      <w:b/>
      <w:color w:val="0f0f0f"/>
      <w:lang w:eastAsia="en-US"/>
    </w:rPr>
  </w:style>
  <w:style w:type="paragraph" w:styleId="1171" w:customStyle="1">
    <w:name w:val="Table Sub Section"/>
    <w:basedOn w:val="916"/>
    <w:link w:val="1170"/>
    <w:uiPriority w:val="0"/>
    <w:qFormat/>
    <w:pPr>
      <w:jc w:val="left"/>
      <w:keepNext/>
      <w:spacing w:before="160" w:after="160" w:line="276" w:lineRule="auto"/>
      <w:widowControl/>
    </w:pPr>
    <w:rPr>
      <w:rFonts w:ascii="Arial" w:hAnsi="Arial"/>
      <w:b/>
      <w:color w:val="0f0f0f"/>
      <w:sz w:val="20"/>
      <w:lang w:eastAsia="en-US"/>
    </w:rPr>
  </w:style>
  <w:style w:type="character" w:styleId="1172" w:customStyle="1">
    <w:name w:val="页脚 字符"/>
    <w:uiPriority w:val="99"/>
    <w:qFormat/>
  </w:style>
  <w:style w:type="character" w:styleId="1173" w:customStyle="1">
    <w:name w:val="not([class*=suffix])"/>
    <w:uiPriority w:val="0"/>
    <w:qFormat/>
    <w:rPr>
      <w:sz w:val="19"/>
      <w:szCs w:val="19"/>
    </w:rPr>
  </w:style>
  <w:style w:type="character" w:styleId="1174" w:customStyle="1">
    <w:name w:val="not([class*=suffix])1"/>
    <w:uiPriority w:val="0"/>
    <w:qFormat/>
  </w:style>
  <w:style w:type="character" w:styleId="1175" w:customStyle="1">
    <w:name w:val="font21"/>
    <w:uiPriority w:val="0"/>
    <w:qFormat/>
    <w:rPr>
      <w:rFonts w:hint="eastAsia" w:ascii="宋体" w:hAnsi="宋体" w:eastAsia="宋体" w:cs="宋体"/>
      <w:color w:val="000000"/>
      <w:sz w:val="20"/>
      <w:szCs w:val="20"/>
      <w:u w:val="none"/>
    </w:rPr>
  </w:style>
  <w:style w:type="character" w:styleId="1176" w:customStyle="1">
    <w:name w:val="font31"/>
    <w:uiPriority w:val="0"/>
    <w:qFormat/>
    <w:rPr>
      <w:rFonts w:hint="eastAsia" w:ascii="宋体" w:hAnsi="宋体" w:eastAsia="宋体" w:cs="宋体"/>
      <w:color w:val="000000"/>
      <w:sz w:val="20"/>
      <w:szCs w:val="20"/>
      <w:u w:val="none"/>
    </w:rPr>
  </w:style>
  <w:style w:type="character" w:styleId="1177" w:customStyle="1">
    <w:name w:val="彩色列表字符"/>
    <w:link w:val="1178"/>
    <w:uiPriority w:val="0"/>
    <w:qFormat/>
    <w:rPr>
      <w:rFonts w:ascii="Calibri" w:hAnsi="Calibri"/>
      <w:sz w:val="21"/>
      <w:szCs w:val="22"/>
    </w:rPr>
  </w:style>
  <w:style w:type="paragraph" w:styleId="1178" w:customStyle="1">
    <w:name w:val="彩色列表1"/>
    <w:basedOn w:val="916"/>
    <w:link w:val="1177"/>
    <w:uiPriority w:val="0"/>
    <w:qFormat/>
    <w:pPr>
      <w:ind w:firstLine="420"/>
    </w:pPr>
    <w:rPr>
      <w:rFonts w:ascii="Calibri" w:hAnsi="Calibri"/>
      <w:szCs w:val="22"/>
    </w:rPr>
  </w:style>
  <w:style w:type="character" w:styleId="1179" w:customStyle="1">
    <w:name w:val="标准文本 Char"/>
    <w:link w:val="1180"/>
    <w:uiPriority w:val="0"/>
    <w:qFormat/>
    <w:rPr>
      <w:rFonts w:ascii="宋体" w:hAnsi="宋体" w:eastAsia="宋体" w:cs="宋体"/>
      <w:sz w:val="21"/>
      <w:szCs w:val="21"/>
      <w:lang w:val="en-US" w:eastAsia="zh-CN" w:bidi="ar-SA"/>
    </w:rPr>
  </w:style>
  <w:style w:type="paragraph" w:styleId="1180" w:customStyle="1">
    <w:name w:val="标准文本"/>
    <w:basedOn w:val="916"/>
    <w:link w:val="1179"/>
    <w:uiPriority w:val="0"/>
    <w:qFormat/>
    <w:pPr>
      <w:ind w:firstLine="420"/>
      <w:spacing w:line="300" w:lineRule="auto"/>
    </w:pPr>
    <w:rPr>
      <w:rFonts w:ascii="宋体" w:hAnsi="宋体" w:cs="宋体"/>
      <w:szCs w:val="21"/>
    </w:rPr>
  </w:style>
  <w:style w:type="character" w:styleId="1181" w:customStyle="1">
    <w:name w:val="apple-style-span"/>
    <w:uiPriority w:val="0"/>
    <w:qFormat/>
  </w:style>
  <w:style w:type="character" w:styleId="1182" w:customStyle="1">
    <w:name w:val="mark"/>
    <w:uiPriority w:val="0"/>
    <w:qFormat/>
  </w:style>
  <w:style w:type="character" w:styleId="1183" w:customStyle="1">
    <w:name w:val="c lh15"/>
    <w:uiPriority w:val="0"/>
    <w:qFormat/>
  </w:style>
  <w:style w:type="character" w:styleId="1184" w:customStyle="1">
    <w:name w:val="font51"/>
    <w:uiPriority w:val="0"/>
    <w:qFormat/>
    <w:rPr>
      <w:rFonts w:ascii="Arial" w:hAnsi="Arial" w:cs="Arial"/>
      <w:color w:val="000000"/>
      <w:sz w:val="22"/>
      <w:szCs w:val="22"/>
      <w:u w:val="none"/>
    </w:rPr>
  </w:style>
  <w:style w:type="paragraph" w:styleId="1185" w:customStyle="1">
    <w:name w:val="列表段落1"/>
    <w:basedOn w:val="916"/>
    <w:uiPriority w:val="99"/>
    <w:qFormat/>
    <w:pPr>
      <w:ind w:firstLine="420"/>
    </w:pPr>
    <w:rPr>
      <w:rFonts w:ascii="Calibri" w:hAnsi="Calibri"/>
      <w:szCs w:val="22"/>
    </w:rPr>
  </w:style>
  <w:style w:type="paragraph" w:styleId="1186" w:customStyle="1">
    <w:name w:val="Char Char Char"/>
    <w:basedOn w:val="916"/>
    <w:uiPriority w:val="0"/>
    <w:qFormat/>
    <w:pPr>
      <w:jc w:val="center"/>
      <w:spacing w:line="400" w:lineRule="exact"/>
      <w:widowControl/>
    </w:pPr>
    <w:rPr>
      <w:szCs w:val="24"/>
    </w:rPr>
  </w:style>
  <w:style w:type="paragraph" w:styleId="1187" w:customStyle="1">
    <w:name w:val="077-正文格式"/>
    <w:basedOn w:val="916"/>
    <w:uiPriority w:val="0"/>
    <w:qFormat/>
    <w:pPr>
      <w:ind w:firstLine="480"/>
      <w:spacing w:line="360" w:lineRule="auto"/>
    </w:pPr>
    <w:rPr>
      <w:rFonts w:ascii="宋体" w:cs="宋体"/>
      <w:sz w:val="24"/>
    </w:rPr>
  </w:style>
  <w:style w:type="paragraph" w:styleId="1188" w:customStyle="1">
    <w:name w:val="简单回函地址"/>
    <w:basedOn w:val="916"/>
    <w:uiPriority w:val="0"/>
    <w:qFormat/>
    <w:rPr>
      <w:szCs w:val="24"/>
    </w:rPr>
  </w:style>
  <w:style w:type="paragraph" w:styleId="1189">
    <w:name w:val="No Spacing"/>
    <w:uiPriority w:val="0"/>
    <w:qFormat/>
    <w:rPr>
      <w:rFonts w:ascii="Calibri" w:hAnsi="Calibri" w:eastAsia="宋体" w:cs="Times New Roman"/>
      <w:sz w:val="22"/>
      <w:szCs w:val="22"/>
      <w:lang w:val="en-US" w:eastAsia="zh-CN" w:bidi="ar-SA"/>
    </w:rPr>
  </w:style>
  <w:style w:type="paragraph" w:styleId="1190" w:customStyle="1">
    <w:name w:val="p0"/>
    <w:basedOn w:val="916"/>
    <w:uiPriority w:val="0"/>
    <w:qFormat/>
    <w:pPr>
      <w:ind w:firstLine="420"/>
      <w:jc w:val="left"/>
      <w:widowControl/>
    </w:pPr>
    <w:rPr>
      <w:sz w:val="20"/>
    </w:rPr>
  </w:style>
  <w:style w:type="paragraph" w:styleId="1191" w:customStyle="1">
    <w:name w:val="正文1"/>
    <w:basedOn w:val="916"/>
    <w:next w:val="962"/>
    <w:uiPriority w:val="0"/>
    <w:qFormat/>
    <w:pPr>
      <w:jc w:val="left"/>
      <w:spacing w:after="200" w:line="300" w:lineRule="atLeast"/>
      <w:widowControl/>
    </w:pPr>
    <w:rPr>
      <w:rFonts w:ascii="Calibri" w:hAnsi="Calibri" w:cs="宋体"/>
      <w:sz w:val="22"/>
      <w:szCs w:val="22"/>
    </w:rPr>
  </w:style>
  <w:style w:type="paragraph" w:styleId="1192" w:customStyle="1">
    <w:name w:val="List Paragraph1"/>
    <w:basedOn w:val="916"/>
    <w:uiPriority w:val="99"/>
    <w:qFormat/>
    <w:pPr>
      <w:ind w:firstLine="420"/>
      <w:jc w:val="left"/>
      <w:spacing w:line="300" w:lineRule="auto"/>
    </w:pPr>
    <w:rPr>
      <w:szCs w:val="22"/>
    </w:rPr>
  </w:style>
  <w:style w:type="paragraph" w:styleId="1193" w:customStyle="1">
    <w:name w:val="Char Char"/>
    <w:basedOn w:val="916"/>
    <w:uiPriority w:val="0"/>
    <w:qFormat/>
    <w:pPr>
      <w:ind w:left="360" w:hanging="360"/>
    </w:pPr>
    <w:rPr>
      <w:sz w:val="24"/>
      <w:szCs w:val="24"/>
    </w:rPr>
  </w:style>
  <w:style w:type="paragraph" w:styleId="119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95" w:customStyle="1">
    <w:name w:val="首行缩进"/>
    <w:basedOn w:val="916"/>
    <w:uiPriority w:val="99"/>
    <w:qFormat/>
    <w:pPr>
      <w:ind w:firstLine="480"/>
      <w:spacing w:line="360" w:lineRule="auto"/>
    </w:pPr>
    <w:rPr>
      <w:szCs w:val="24"/>
    </w:rPr>
  </w:style>
  <w:style w:type="paragraph" w:styleId="1196" w:customStyle="1">
    <w:name w:val="Char Char Char Char Char Char Char"/>
    <w:basedOn w:val="916"/>
    <w:uiPriority w:val="0"/>
    <w:qFormat/>
    <w:pPr>
      <w:ind w:left="432" w:hanging="432"/>
      <w:jc w:val="center"/>
      <w:tabs>
        <w:tab w:val="left" w:pos="432" w:leader="none"/>
      </w:tabs>
    </w:pPr>
    <w:rPr>
      <w:rFonts w:ascii="仿宋_GB2312" w:hAnsi="Tahoma" w:eastAsia="仿宋_GB2312"/>
      <w:sz w:val="24"/>
      <w:szCs w:val="24"/>
    </w:rPr>
  </w:style>
  <w:style w:type="paragraph" w:styleId="1197" w:customStyle="1">
    <w:name w:val="_Style 1"/>
    <w:basedOn w:val="916"/>
    <w:uiPriority w:val="99"/>
    <w:qFormat/>
    <w:pPr>
      <w:ind w:firstLine="420"/>
    </w:pPr>
    <w:rPr>
      <w:rFonts w:ascii="Calibri" w:hAnsi="Calibri"/>
      <w:szCs w:val="22"/>
    </w:rPr>
  </w:style>
  <w:style w:type="paragraph" w:styleId="1198" w:customStyle="1">
    <w:name w:val="Char"/>
    <w:basedOn w:val="916"/>
    <w:uiPriority w:val="0"/>
    <w:qFormat/>
    <w:pPr>
      <w:tabs>
        <w:tab w:val="left" w:pos="360" w:leader="none"/>
      </w:tabs>
    </w:pPr>
    <w:rPr>
      <w:sz w:val="24"/>
    </w:rPr>
  </w:style>
  <w:style w:type="paragraph" w:styleId="1199" w:customStyle="1">
    <w:name w:val="段"/>
    <w:next w:val="916"/>
    <w:uiPriority w:val="0"/>
    <w:qFormat/>
    <w:pPr>
      <w:ind w:firstLine="200"/>
      <w:jc w:val="both"/>
    </w:pPr>
    <w:rPr>
      <w:rFonts w:ascii="宋体" w:hAnsi="Calibri" w:eastAsia="宋体" w:cs="Times New Roman"/>
      <w:sz w:val="21"/>
      <w:szCs w:val="22"/>
      <w:lang w:val="en-US" w:eastAsia="zh-CN" w:bidi="ar-SA"/>
    </w:rPr>
  </w:style>
  <w:style w:type="paragraph" w:styleId="1200" w:customStyle="1">
    <w:name w:val="列出段落11"/>
    <w:basedOn w:val="916"/>
    <w:uiPriority w:val="34"/>
    <w:qFormat/>
    <w:pPr>
      <w:ind w:firstLine="420"/>
    </w:pPr>
  </w:style>
  <w:style w:type="paragraph" w:styleId="1201" w:customStyle="1">
    <w:name w:val="Char Char Char Char Char Char Char1"/>
    <w:basedOn w:val="916"/>
    <w:uiPriority w:val="0"/>
    <w:semiHidden/>
    <w:qFormat/>
    <w:rPr>
      <w:rFonts w:ascii="Tahoma" w:hAnsi="Tahoma" w:cs="仿宋_GB2312"/>
      <w:sz w:val="24"/>
      <w:szCs w:val="28"/>
    </w:rPr>
  </w:style>
  <w:style w:type="paragraph" w:styleId="1202" w:customStyle="1">
    <w:name w:val="_Style 3"/>
    <w:basedOn w:val="916"/>
    <w:uiPriority w:val="34"/>
    <w:qFormat/>
    <w:pPr>
      <w:ind w:firstLine="420"/>
    </w:pPr>
    <w:rPr>
      <w:rFonts w:ascii="Calibri" w:hAnsi="Calibri"/>
      <w:szCs w:val="22"/>
    </w:rPr>
  </w:style>
  <w:style w:type="paragraph" w:styleId="1203" w:customStyle="1">
    <w:name w:val="一级"/>
    <w:basedOn w:val="916"/>
    <w:uiPriority w:val="0"/>
    <w:qFormat/>
    <w:pPr>
      <w:numPr>
        <w:ilvl w:val="0"/>
        <w:numId w:val="1"/>
      </w:numPr>
      <w:spacing w:line="360" w:lineRule="auto"/>
      <w:outlineLvl w:val="0"/>
    </w:pPr>
    <w:rPr>
      <w:b/>
      <w:sz w:val="32"/>
      <w:szCs w:val="32"/>
    </w:rPr>
  </w:style>
  <w:style w:type="paragraph" w:styleId="120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B正文"/>
    <w:basedOn w:val="916"/>
    <w:uiPriority w:val="0"/>
    <w:qFormat/>
    <w:pPr>
      <w:ind w:firstLine="560"/>
      <w:spacing w:line="500" w:lineRule="exact"/>
    </w:pPr>
    <w:rPr>
      <w:sz w:val="28"/>
      <w:szCs w:val="24"/>
    </w:rPr>
  </w:style>
  <w:style w:type="paragraph" w:styleId="1206"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yiv1658056056msonormal"/>
    <w:basedOn w:val="916"/>
    <w:uiPriority w:val="99"/>
    <w:qFormat/>
    <w:pPr>
      <w:jc w:val="left"/>
      <w:spacing w:before="100" w:beforeAutospacing="1" w:after="100" w:afterAutospacing="1"/>
      <w:widowControl/>
    </w:pPr>
    <w:rPr>
      <w:rFonts w:ascii="宋体" w:hAnsi="宋体" w:cs="宋体"/>
      <w:sz w:val="24"/>
      <w:szCs w:val="24"/>
    </w:rPr>
  </w:style>
  <w:style w:type="paragraph" w:styleId="1208"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209" w:customStyle="1">
    <w:name w:val="列出段落1"/>
    <w:basedOn w:val="916"/>
    <w:uiPriority w:val="34"/>
    <w:qFormat/>
    <w:pPr>
      <w:ind w:firstLine="420"/>
    </w:pPr>
    <w:rPr>
      <w:rFonts w:ascii="Calibri" w:hAnsi="Calibri"/>
      <w:szCs w:val="22"/>
    </w:rPr>
  </w:style>
  <w:style w:type="paragraph" w:styleId="1210">
    <w:name w:val="List Paragraph"/>
    <w:basedOn w:val="916"/>
    <w:link w:val="1222"/>
    <w:uiPriority w:val="34"/>
    <w:qFormat/>
    <w:pPr>
      <w:ind w:firstLine="420"/>
      <w:jc w:val="left"/>
      <w:spacing w:after="200"/>
      <w:widowControl/>
    </w:pPr>
    <w:rPr>
      <w:rFonts w:ascii="Tahoma" w:hAnsi="Tahoma" w:eastAsia="微软雅黑"/>
      <w:sz w:val="22"/>
      <w:szCs w:val="22"/>
    </w:rPr>
  </w:style>
  <w:style w:type="paragraph" w:styleId="1211" w:customStyle="1">
    <w:name w:val="样式 首行缩进:  2 字符"/>
    <w:basedOn w:val="916"/>
    <w:uiPriority w:val="0"/>
    <w:qFormat/>
    <w:pPr>
      <w:ind w:firstLine="200"/>
      <w:spacing w:line="400" w:lineRule="exact"/>
    </w:pPr>
    <w:rPr>
      <w:rFonts w:cs="宋体"/>
      <w:sz w:val="24"/>
      <w:szCs w:val="24"/>
    </w:rPr>
  </w:style>
  <w:style w:type="paragraph" w:styleId="1212" w:customStyle="1">
    <w:name w:val="修订1"/>
    <w:uiPriority w:val="99"/>
    <w:unhideWhenUsed/>
    <w:qFormat/>
    <w:rPr>
      <w:rFonts w:ascii="Times New Roman" w:hAnsi="Times New Roman" w:eastAsia="宋体" w:cs="Times New Roman"/>
      <w:sz w:val="21"/>
      <w:lang w:val="en-US" w:eastAsia="zh-CN" w:bidi="ar-SA"/>
    </w:rPr>
  </w:style>
  <w:style w:type="paragraph" w:styleId="1213" w:customStyle="1">
    <w:name w:val="_Style 2"/>
    <w:uiPriority w:val="1"/>
    <w:qFormat/>
    <w:rPr>
      <w:rFonts w:ascii="Calibri" w:hAnsi="Calibri" w:eastAsia="宋体" w:cs="Arial"/>
      <w:sz w:val="22"/>
      <w:szCs w:val="22"/>
      <w:lang w:val="en-AU" w:eastAsia="en-US" w:bidi="ar-SA"/>
    </w:rPr>
  </w:style>
  <w:style w:type="paragraph" w:styleId="1214" w:customStyle="1">
    <w:name w:val="彩色列表 - 强调文字颜色 11"/>
    <w:basedOn w:val="91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15"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16" w:customStyle="1">
    <w:name w:val="Normal1"/>
    <w:basedOn w:val="916"/>
    <w:uiPriority w:val="0"/>
    <w:qFormat/>
    <w:pPr>
      <w:jc w:val="left"/>
      <w:spacing w:after="200" w:line="300" w:lineRule="atLeast"/>
      <w:widowControl/>
    </w:pPr>
    <w:rPr>
      <w:rFonts w:ascii="Calibri" w:hAnsi="Calibri" w:cs="宋体"/>
      <w:sz w:val="22"/>
      <w:szCs w:val="22"/>
    </w:rPr>
  </w:style>
  <w:style w:type="character" w:styleId="1217" w:customStyle="1">
    <w:name w:val="font71"/>
    <w:uiPriority w:val="0"/>
    <w:qFormat/>
    <w:rPr>
      <w:rFonts w:hint="eastAsia" w:ascii="宋体" w:hAnsi="宋体" w:eastAsia="宋体" w:cs="宋体"/>
      <w:color w:val="000000"/>
      <w:sz w:val="24"/>
      <w:szCs w:val="24"/>
      <w:u w:val="none"/>
    </w:rPr>
  </w:style>
  <w:style w:type="character" w:styleId="1218" w:customStyle="1">
    <w:name w:val="font61"/>
    <w:uiPriority w:val="0"/>
    <w:qFormat/>
    <w:rPr>
      <w:rFonts w:hint="eastAsia" w:ascii="宋体" w:hAnsi="宋体" w:eastAsia="宋体" w:cs="宋体"/>
      <w:color w:val="000000"/>
      <w:sz w:val="15"/>
      <w:szCs w:val="15"/>
      <w:u w:val="none"/>
    </w:rPr>
  </w:style>
  <w:style w:type="paragraph" w:styleId="1219" w:customStyle="1">
    <w:name w:val="Normal_9_0"/>
    <w:uiPriority w:val="0"/>
    <w:qFormat/>
    <w:rPr>
      <w:rFonts w:ascii="Times New Roman" w:hAnsi="Times New Roman" w:eastAsia="Times New Roman" w:cs="Times New Roman"/>
      <w:sz w:val="24"/>
      <w:szCs w:val="24"/>
      <w:lang w:val="en-US" w:eastAsia="zh-CN" w:bidi="ar-SA"/>
    </w:rPr>
  </w:style>
  <w:style w:type="paragraph" w:styleId="1220" w:customStyle="1">
    <w:name w:val="_Style 6"/>
    <w:basedOn w:val="916"/>
    <w:uiPriority w:val="34"/>
    <w:qFormat/>
    <w:pPr>
      <w:ind w:firstLine="420"/>
    </w:pPr>
    <w:rPr>
      <w:szCs w:val="24"/>
    </w:rPr>
  </w:style>
  <w:style w:type="paragraph" w:styleId="1221" w:customStyle="1">
    <w:name w:val="Revision"/>
    <w:hidden/>
    <w:uiPriority w:val="99"/>
    <w:unhideWhenUsed/>
    <w:qFormat/>
    <w:rPr>
      <w:rFonts w:ascii="Times New Roman" w:hAnsi="Times New Roman" w:eastAsia="宋体" w:cs="Times New Roman"/>
      <w:sz w:val="21"/>
      <w:lang w:val="en-US" w:eastAsia="zh-CN" w:bidi="ar-SA"/>
    </w:rPr>
  </w:style>
  <w:style w:type="character" w:styleId="1222" w:customStyle="1">
    <w:name w:val="列表段落 字符"/>
    <w:link w:val="1210"/>
    <w:uiPriority w:val="34"/>
    <w:qFormat/>
    <w:rPr>
      <w:rFonts w:ascii="Tahoma" w:hAnsi="Tahoma" w:eastAsia="微软雅黑"/>
      <w:sz w:val="22"/>
      <w:szCs w:val="22"/>
    </w:rPr>
  </w:style>
  <w:style w:type="character" w:styleId="1223" w:customStyle="1">
    <w:name w:val="批注文字 字符1"/>
    <w:basedOn w:val="926"/>
    <w:link w:val="931"/>
    <w:uiPriority w:val="99"/>
    <w:qFormat/>
    <w:rPr>
      <w:sz w:val="21"/>
    </w:rPr>
  </w:style>
  <w:style w:type="character" w:styleId="1224" w:customStyle="1">
    <w:name w:val="批注主题 字符1"/>
    <w:basedOn w:val="1223"/>
    <w:link w:val="953"/>
    <w:uiPriority w:val="99"/>
    <w:semiHidden/>
    <w:qFormat/>
    <w:rPr>
      <w:b/>
      <w:bCs/>
      <w:sz w:val="21"/>
    </w:rPr>
  </w:style>
  <w:style w:type="paragraph" w:styleId="1225" w:customStyle="1">
    <w:name w:val="*正文"/>
    <w:basedOn w:val="916"/>
    <w:uiPriority w:val="0"/>
    <w:qFormat/>
    <w:pPr>
      <w:ind w:left="0" w:right="0" w:firstLine="200"/>
      <w:jc w:val="left"/>
      <w:keepLines w:val="0"/>
      <w:keepNext w:val="0"/>
      <w:spacing w:before="0" w:beforeAutospacing="0" w:after="0" w:afterAutospacing="0" w:line="360" w:lineRule="auto"/>
      <w:widowControl w:val="off"/>
      <w:suppressLineNumbers w:val="0"/>
    </w:pPr>
    <w:rPr>
      <w:rFonts w:hint="eastAsia" w:ascii="宋体" w:hAnsi="宋体" w:eastAsia="宋体" w:cs="Times New Roman"/>
      <w:b/>
      <w:position w:val="-10"/>
      <w:sz w:val="24"/>
      <w:szCs w:val="24"/>
      <w:lang w:val="en-US" w:eastAsia="zh-CN" w:bidi="ar"/>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 Id="rId25" Type="http://schemas.openxmlformats.org/officeDocument/2006/relationships/image" Target="media/image5.jpg"/><Relationship Id="rId26" Type="http://schemas.openxmlformats.org/officeDocument/2006/relationships/image" Target="media/image6.jpg"/><Relationship Id="rId27" Type="http://schemas.openxmlformats.org/officeDocument/2006/relationships/image" Target="media/image7.jpg"/><Relationship Id="rId28" Type="http://schemas.openxmlformats.org/officeDocument/2006/relationships/image" Target="media/image8.png"/><Relationship Id="rId29" Type="http://schemas.openxmlformats.org/officeDocument/2006/relationships/image" Target="media/image9.jpg"/><Relationship Id="rId30" Type="http://schemas.openxmlformats.org/officeDocument/2006/relationships/image" Target="media/image10.jpg"/><Relationship Id="rId31" Type="http://schemas.openxmlformats.org/officeDocument/2006/relationships/image" Target="media/image11.jpg"/><Relationship Id="rId32" Type="http://schemas.openxmlformats.org/officeDocument/2006/relationships/image" Target="media/image12.jpg"/><Relationship Id="rId33" Type="http://schemas.openxmlformats.org/officeDocument/2006/relationships/image" Target="media/image13.jpg"/><Relationship Id="rId34" Type="http://schemas.openxmlformats.org/officeDocument/2006/relationships/image" Target="media/image14.jpg"/><Relationship Id="rId35" Type="http://schemas.openxmlformats.org/officeDocument/2006/relationships/image" Target="media/image15.jpg"/><Relationship Id="rId36" Type="http://schemas.openxmlformats.org/officeDocument/2006/relationships/image" Target="media/image16.jpg"/><Relationship Id="rId37" Type="http://schemas.openxmlformats.org/officeDocument/2006/relationships/image" Target="media/image17.jpg"/><Relationship Id="rId38" Type="http://schemas.openxmlformats.org/officeDocument/2006/relationships/image" Target="media/image18.jpg"/><Relationship Id="rId39" Type="http://schemas.openxmlformats.org/officeDocument/2006/relationships/image" Target="media/image19.jpg"/><Relationship Id="rId40" Type="http://schemas.openxmlformats.org/officeDocument/2006/relationships/image" Target="media/image20.jpg"/><Relationship Id="rId41" Type="http://schemas.openxmlformats.org/officeDocument/2006/relationships/image" Target="media/image21.jpg"/><Relationship Id="rId42" Type="http://schemas.openxmlformats.org/officeDocument/2006/relationships/image" Target="media/image22.jpg"/><Relationship Id="rId43" Type="http://schemas.openxmlformats.org/officeDocument/2006/relationships/image" Target="media/image23.jpg"/><Relationship Id="rId44" Type="http://schemas.openxmlformats.org/officeDocument/2006/relationships/image" Target="media/image24.jpg"/><Relationship Id="rId45" Type="http://schemas.openxmlformats.org/officeDocument/2006/relationships/image" Target="media/image25.jpg"/><Relationship Id="rId46" Type="http://schemas.openxmlformats.org/officeDocument/2006/relationships/image" Target="media/image26.jpg"/><Relationship Id="rId47" Type="http://schemas.openxmlformats.org/officeDocument/2006/relationships/image" Target="media/image27.jpg"/><Relationship Id="rId48" Type="http://schemas.openxmlformats.org/officeDocument/2006/relationships/image" Target="media/image28.jpg"/><Relationship Id="rId49" Type="http://schemas.openxmlformats.org/officeDocument/2006/relationships/image" Target="media/image29.jpg"/><Relationship Id="rId50" Type="http://schemas.openxmlformats.org/officeDocument/2006/relationships/image" Target="media/image30.jpg"/><Relationship Id="rId51" Type="http://schemas.openxmlformats.org/officeDocument/2006/relationships/image" Target="media/image31.jpg"/><Relationship Id="rId52" Type="http://schemas.openxmlformats.org/officeDocument/2006/relationships/image" Target="media/image32.jpg"/><Relationship Id="rId53" Type="http://schemas.openxmlformats.org/officeDocument/2006/relationships/image" Target="media/image33.jpg"/><Relationship Id="rId54" Type="http://schemas.openxmlformats.org/officeDocument/2006/relationships/image" Target="media/image34.jpg"/><Relationship Id="rId55" Type="http://schemas.openxmlformats.org/officeDocument/2006/relationships/image" Target="media/image35.jpg"/><Relationship Id="rId56" Type="http://schemas.openxmlformats.org/officeDocument/2006/relationships/image" Target="media/image36.jpg"/><Relationship Id="rId57" Type="http://schemas.openxmlformats.org/officeDocument/2006/relationships/image" Target="media/image37.jpg"/><Relationship Id="rId58" Type="http://schemas.openxmlformats.org/officeDocument/2006/relationships/image" Target="media/image38.jpg"/><Relationship Id="rId59" Type="http://schemas.openxmlformats.org/officeDocument/2006/relationships/image" Target="media/image39.jpg"/><Relationship Id="rId60" Type="http://schemas.openxmlformats.org/officeDocument/2006/relationships/image" Target="media/image40.jpg"/><Relationship Id="rId61" Type="http://schemas.openxmlformats.org/officeDocument/2006/relationships/image" Target="media/image41.jpg"/><Relationship Id="rId62" Type="http://schemas.openxmlformats.org/officeDocument/2006/relationships/image" Target="media/image42.jpg"/><Relationship Id="rId63" Type="http://schemas.openxmlformats.org/officeDocument/2006/relationships/image" Target="media/image43.jpg"/><Relationship Id="rId64" Type="http://schemas.openxmlformats.org/officeDocument/2006/relationships/image" Target="media/image44.jpg"/><Relationship Id="rId65" Type="http://schemas.openxmlformats.org/officeDocument/2006/relationships/image" Target="media/image45.jpg"/><Relationship Id="rId66" Type="http://schemas.openxmlformats.org/officeDocument/2006/relationships/image" Target="media/image46.jpg"/><Relationship Id="rId67" Type="http://schemas.openxmlformats.org/officeDocument/2006/relationships/image" Target="media/image47.jpg"/><Relationship Id="rId68" Type="http://schemas.openxmlformats.org/officeDocument/2006/relationships/image" Target="media/image48.jpg"/><Relationship Id="rId69" Type="http://schemas.openxmlformats.org/officeDocument/2006/relationships/image" Target="media/image49.jpg"/><Relationship Id="rId70" Type="http://schemas.openxmlformats.org/officeDocument/2006/relationships/image" Target="media/image50.jpg"/><Relationship Id="rId71" Type="http://schemas.openxmlformats.org/officeDocument/2006/relationships/image" Target="media/image51.jpg"/><Relationship Id="rId72" Type="http://schemas.openxmlformats.org/officeDocument/2006/relationships/image" Target="media/image52.jpg"/><Relationship Id="rId73" Type="http://schemas.openxmlformats.org/officeDocument/2006/relationships/image" Target="media/image53.jpg"/><Relationship Id="rId74" Type="http://schemas.openxmlformats.org/officeDocument/2006/relationships/image" Target="media/image54.jpg"/><Relationship Id="rId75" Type="http://schemas.openxmlformats.org/officeDocument/2006/relationships/image" Target="media/image55.jpg"/><Relationship Id="rId76" Type="http://schemas.openxmlformats.org/officeDocument/2006/relationships/image" Target="media/image56.jpg"/><Relationship Id="rId77" Type="http://schemas.openxmlformats.org/officeDocument/2006/relationships/image" Target="media/image57.jpg"/><Relationship Id="rId78" Type="http://schemas.openxmlformats.org/officeDocument/2006/relationships/image" Target="media/image58.jpg"/><Relationship Id="rId79" Type="http://schemas.openxmlformats.org/officeDocument/2006/relationships/image" Target="media/image59.jpg"/><Relationship Id="rId80" Type="http://schemas.openxmlformats.org/officeDocument/2006/relationships/image" Target="media/image60.jpg"/><Relationship Id="rId81" Type="http://schemas.openxmlformats.org/officeDocument/2006/relationships/image" Target="media/image61.jpg"/><Relationship Id="rId82" Type="http://schemas.openxmlformats.org/officeDocument/2006/relationships/image" Target="media/image62.jpg"/><Relationship Id="rId83" Type="http://schemas.openxmlformats.org/officeDocument/2006/relationships/image" Target="media/image63.jpg"/><Relationship Id="rId84" Type="http://schemas.openxmlformats.org/officeDocument/2006/relationships/image" Target="media/image64.jpg"/><Relationship Id="rId85" Type="http://schemas.openxmlformats.org/officeDocument/2006/relationships/image" Target="media/image65.jpg"/><Relationship Id="rId86" Type="http://schemas.openxmlformats.org/officeDocument/2006/relationships/image" Target="media/image66.jpg"/><Relationship Id="rId87" Type="http://schemas.openxmlformats.org/officeDocument/2006/relationships/image" Target="media/image67.jpg"/><Relationship Id="rId88" Type="http://schemas.openxmlformats.org/officeDocument/2006/relationships/image" Target="media/image68.jpg"/><Relationship Id="rId89" Type="http://schemas.openxmlformats.org/officeDocument/2006/relationships/image" Target="media/image69.jpg"/><Relationship Id="rId90" Type="http://schemas.openxmlformats.org/officeDocument/2006/relationships/image" Target="media/image70.jpg"/><Relationship Id="rId91" Type="http://schemas.openxmlformats.org/officeDocument/2006/relationships/image" Target="media/image71.jpg"/><Relationship Id="rId92" Type="http://schemas.openxmlformats.org/officeDocument/2006/relationships/image" Target="media/image72.jpg"/><Relationship Id="rId93" Type="http://schemas.openxmlformats.org/officeDocument/2006/relationships/image" Target="media/image73.jpg"/><Relationship Id="rId94" Type="http://schemas.openxmlformats.org/officeDocument/2006/relationships/image" Target="media/image74.jpg"/><Relationship Id="rId95" Type="http://schemas.openxmlformats.org/officeDocument/2006/relationships/image" Target="media/image75.jpg"/><Relationship Id="rId96" Type="http://schemas.openxmlformats.org/officeDocument/2006/relationships/image" Target="media/image76.jpg"/><Relationship Id="rId97" Type="http://schemas.openxmlformats.org/officeDocument/2006/relationships/image" Target="media/image77.jpg"/><Relationship Id="rId98" Type="http://schemas.openxmlformats.org/officeDocument/2006/relationships/image" Target="media/image78.jpg"/><Relationship Id="rId99" Type="http://schemas.openxmlformats.org/officeDocument/2006/relationships/image" Target="media/image79.jpg"/><Relationship Id="rId100" Type="http://schemas.openxmlformats.org/officeDocument/2006/relationships/image" Target="media/image80.jpg"/><Relationship Id="rId101" Type="http://schemas.openxmlformats.org/officeDocument/2006/relationships/image" Target="media/image81.jpg"/><Relationship Id="rId102" Type="http://schemas.openxmlformats.org/officeDocument/2006/relationships/image" Target="media/image82.jpg"/><Relationship Id="rId103" Type="http://schemas.openxmlformats.org/officeDocument/2006/relationships/image" Target="media/image83.jpg"/><Relationship Id="rId104" Type="http://schemas.openxmlformats.org/officeDocument/2006/relationships/image" Target="media/image84.jpg"/><Relationship Id="rId105" Type="http://schemas.openxmlformats.org/officeDocument/2006/relationships/image" Target="media/image85.png"/><Relationship Id="rId106" Type="http://schemas.openxmlformats.org/officeDocument/2006/relationships/image" Target="media/image86.jpg"/><Relationship Id="rId107" Type="http://schemas.openxmlformats.org/officeDocument/2006/relationships/image" Target="media/image87.jpg"/><Relationship Id="rId108" Type="http://schemas.openxmlformats.org/officeDocument/2006/relationships/image" Target="media/image88.jpg"/><Relationship Id="rId109" Type="http://schemas.openxmlformats.org/officeDocument/2006/relationships/image" Target="media/image89.jpg"/><Relationship Id="rId110" Type="http://schemas.openxmlformats.org/officeDocument/2006/relationships/image" Target="media/image90.jpg"/><Relationship Id="rId111" Type="http://schemas.openxmlformats.org/officeDocument/2006/relationships/image" Target="media/image91.jpg"/><Relationship Id="rId112" Type="http://schemas.openxmlformats.org/officeDocument/2006/relationships/image" Target="media/image92.jpg"/><Relationship Id="rId113" Type="http://schemas.openxmlformats.org/officeDocument/2006/relationships/image" Target="media/image9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邓梦诗</cp:lastModifiedBy>
  <cp:revision>10</cp:revision>
  <dcterms:created xsi:type="dcterms:W3CDTF">2023-11-14T02:36:00Z</dcterms:created>
  <dcterms:modified xsi:type="dcterms:W3CDTF">2026-04-21T04:37:44Z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52B83DFBC9604C8B9295787DF5F3B0BB_13</vt:lpwstr>
  </property>
  <property fmtid="{D5CDD505-2E9C-101B-9397-08002B2CF9AE}" pid="4" name="KSOTemplateDocerSaveRecord">
    <vt:lpwstr>eyJoZGlkIjoiOThlMDc0YjE1ZWU3OTViYmJmZjA5ZTFjMjBmNTNjODYiLCJ1c2VySWQiOiI1Nzk1NTU0NTYifQ==</vt:lpwstr>
  </property>
</Properties>
</file>