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Arial" w:hAnsi="Arial" w:eastAsia="黑体"/>
          <w:b/>
          <w:bCs/>
          <w:color w:val="000000"/>
          <w:sz w:val="84"/>
          <w:szCs w:val="24"/>
        </w:rPr>
      </w:r>
      <w:r/>
    </w:p>
    <w:p>
      <w:pPr>
        <w:pStyle w:val="949"/>
        <w:rPr>
          <w:rFonts w:hint="eastAsia"/>
        </w:rPr>
      </w:pPr>
      <w:r>
        <w:rPr>
          <w:rFonts w:hint="eastAsia"/>
        </w:rPr>
      </w:r>
      <w:r/>
    </w:p>
    <w:p>
      <w:pPr>
        <w:pStyle w:val="96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2026-2028年市级数字城管信息采集服务项目 </w:t>
      </w:r>
      <w:r>
        <w:rPr>
          <w:rFonts w:hint="eastAsia" w:ascii="Times New Roman" w:hAnsi="Times New Roman" w:eastAsia="宋体" w:cs="Times New Roman"/>
          <w:b/>
          <w:bCs w:val="0"/>
          <w:color w:val="000000"/>
          <w:sz w:val="32"/>
          <w:szCs w:val="32"/>
          <w:u w:val="none"/>
          <w:lang w:val="en-US" w:eastAsia="zh-CN"/>
        </w:rPr>
        <w:t xml:space="preserve"> </w:t>
      </w:r>
      <w:r>
        <w:rPr>
          <w:rFonts w:eastAsia="宋体" w:cs="Times New Roman"/>
          <w:b/>
          <w:color w:val="000000"/>
          <w:sz w:val="30"/>
          <w:szCs w:val="30"/>
          <w:u w:val="single"/>
          <w:lang w:val="en-US" w:eastAsia="zh-CN"/>
        </w:rPr>
      </w:r>
      <w:r/>
    </w:p>
    <w:p>
      <w:pPr>
        <w:pStyle w:val="87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i w:val="0"/>
          <w:iCs w:val="0"/>
          <w:caps w:val="0"/>
          <w:color w:val="000000"/>
          <w:spacing w:val="0"/>
          <w:sz w:val="32"/>
          <w:szCs w:val="32"/>
          <w:u w:val="none"/>
        </w:rPr>
        <w:t xml:space="preserve">JSZC-320100-JZCG-G2026-0080</w:t>
      </w:r>
      <w:r>
        <w:rPr>
          <w:rFonts w:hint="eastAsia" w:ascii="Times New Roman" w:hAnsi="Times New Roman" w:eastAsia="宋体" w:cs="Times New Roman"/>
          <w:b/>
          <w:bCs w:val="0"/>
          <w:color w:val="000000"/>
          <w:sz w:val="32"/>
          <w:szCs w:val="32"/>
          <w:u w:val="none"/>
          <w:lang w:eastAsia="zh-CN"/>
        </w:rPr>
        <w:t xml:space="preserve"> </w:t>
      </w:r>
      <w:r>
        <w:rPr>
          <w:rFonts w:hint="eastAsia" w:ascii="Times New Roman" w:hAnsi="Times New Roman" w:eastAsia="宋体" w:cs="Times New Roman"/>
          <w:b/>
          <w:color w:val="000000"/>
          <w:sz w:val="32"/>
          <w:szCs w:val="32"/>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 （</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6"/>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2026年4月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871"/>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9"/>
        <w:rPr>
          <w:rFonts w:hint="eastAsia"/>
        </w:rPr>
      </w:pPr>
      <w:r>
        <w:rPr>
          <w:rFonts w:hint="eastAsia"/>
        </w:rPr>
      </w:r>
      <w:r/>
    </w:p>
    <w:p>
      <w:pPr>
        <w:jc w:val="center"/>
        <w:spacing w:line="480" w:lineRule="auto"/>
        <w:rPr>
          <w:rFonts w:hint="eastAsia" w:ascii="黑体" w:hAnsi="Arial" w:eastAsia="黑体"/>
          <w:b/>
          <w:bCs/>
          <w:color w:val="000000"/>
          <w:sz w:val="44"/>
          <w:szCs w:val="44"/>
        </w:rPr>
        <w:outlineLvl w:val="0"/>
      </w:pPr>
      <w:r>
        <w:rPr>
          <w:rFonts w:hint="eastAsia" w:ascii="黑体" w:hAnsi="Arial" w:eastAsia="黑体" w:cs="Times New Roman"/>
          <w:b/>
          <w:color w:val="000000"/>
          <w:sz w:val="44"/>
          <w:szCs w:val="21"/>
          <w:highlight w:val="none"/>
        </w:rPr>
      </w:r>
      <w:r>
        <w:rPr>
          <w:rFonts w:hint="eastAsia" w:ascii="黑体" w:hAnsi="Arial" w:eastAsia="黑体" w:cs="Times New Roman"/>
          <w:b/>
          <w:color w:val="000000"/>
          <w:sz w:val="44"/>
          <w:szCs w:val="21"/>
          <w:highlight w:val="none"/>
        </w:rPr>
      </w:r>
      <w:r/>
    </w:p>
    <w:p>
      <w:pPr>
        <w:pStyle w:val="871"/>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28</w:t>
      </w:r>
      <w:r>
        <w:rPr>
          <w:rFonts w:hint="eastAsia" w:ascii="黑体" w:hAnsi="宋体" w:eastAsia="黑体" w:cs="Times New Roman"/>
          <w:color w:val="000000"/>
          <w:sz w:val="36"/>
          <w:szCs w:val="21"/>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1"/>
        <w:ind w:firstLine="480"/>
        <w:pageBreakBefore w:val="0"/>
        <w:spacing w:line="240" w:lineRule="auto"/>
        <w:widowControl w:val="off"/>
        <w:rPr>
          <w:rFonts w:hint="eastAsia" w:ascii="宋体" w:hAnsi="宋体"/>
          <w:sz w:val="24"/>
          <w:szCs w:val="24"/>
        </w:rPr>
      </w:pPr>
      <w:r/>
      <w:bookmarkStart w:id="6" w:name="_Toc38985263"/>
      <w:r/>
      <w:bookmarkStart w:id="7" w:name="_Toc35393621"/>
      <w:r/>
      <w:bookmarkStart w:id="8" w:name="_Toc28359002"/>
      <w:r/>
      <w:bookmarkStart w:id="9" w:name="_Toc28359079"/>
      <w:r/>
      <w:bookmarkStart w:id="10" w:name="_Toc35393790"/>
      <w:r/>
      <w:bookmarkStart w:id="11" w:name="_Hlk24379207"/>
      <w:r>
        <w:rPr>
          <w:rFonts w:hint="eastAsia" w:ascii="宋体" w:hAnsi="宋体"/>
          <w:sz w:val="24"/>
          <w:szCs w:val="24"/>
        </w:rPr>
      </w:r>
      <w:r/>
    </w:p>
    <w:p>
      <w:pPr>
        <w:pStyle w:val="871"/>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南京市城市管理局</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2026-2028年市级数字城管信息采集服务项目</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color w:val="000000"/>
          <w:sz w:val="24"/>
          <w:szCs w:val="24"/>
          <w:lang w:val="en-US"/>
        </w:rPr>
      </w:pPr>
      <w:r/>
      <w:bookmarkEnd w:id="11"/>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0080</w:t>
      </w:r>
      <w:r>
        <w:rPr>
          <w:rFonts w:ascii="宋体" w:hAnsi="宋体"/>
          <w:color w:val="000000"/>
          <w:sz w:val="24"/>
          <w:szCs w:val="24"/>
          <w:lang w:val="en-US"/>
        </w:rPr>
      </w:r>
      <w:r/>
    </w:p>
    <w:p>
      <w:pPr>
        <w:pStyle w:val="871"/>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2026-2028年市级数字城管信息采集服务项目</w:t>
      </w:r>
      <w:r>
        <w:rPr>
          <w:rFonts w:hint="eastAsia" w:ascii="宋体" w:hAnsi="宋体" w:eastAsia="宋体"/>
          <w:color w:val="000000"/>
          <w:sz w:val="24"/>
          <w:szCs w:val="24"/>
          <w:lang w:eastAsia="zh-CN"/>
        </w:rPr>
      </w:r>
      <w:r/>
    </w:p>
    <w:p>
      <w:pPr>
        <w:pStyle w:val="871"/>
        <w:ind w:firstLine="480"/>
        <w:spacing w:line="24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8100万元</w:t>
      </w:r>
      <w:r>
        <w:rPr>
          <w:rFonts w:ascii="宋体" w:hAnsi="宋体"/>
          <w:color w:val="000000"/>
          <w:sz w:val="24"/>
          <w:szCs w:val="24"/>
        </w:rPr>
      </w:r>
      <w:r/>
    </w:p>
    <w:p>
      <w:pPr>
        <w:pStyle w:val="871"/>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8100万元</w:t>
      </w:r>
      <w:r>
        <w:rPr>
          <w:rFonts w:hint="eastAsia" w:ascii="宋体" w:hAnsi="宋体" w:eastAsia="宋体" w:cs="Times New Roman"/>
          <w:color w:val="000000"/>
          <w:sz w:val="24"/>
          <w:szCs w:val="24"/>
          <w:lang w:val="en-US" w:eastAsia="zh-CN"/>
        </w:rPr>
      </w:r>
      <w:r/>
    </w:p>
    <w:p>
      <w:pPr>
        <w:pStyle w:val="871"/>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根据南京市城市治理评价⼯作要求，为落实市级数字城管采集巡查⼯作任务，南京市城市管理局决定开展2026-2028年市级数字城管信息采集服务项⽬招标⼯作。（详细内容见本招标文件第四章） </w:t>
      </w:r>
      <w:r>
        <w:rPr>
          <w:rFonts w:hint="eastAsia" w:ascii="宋体" w:hAnsi="宋体" w:cs="宋体"/>
          <w:color w:val="000000"/>
          <w:sz w:val="24"/>
          <w:szCs w:val="24"/>
        </w:rPr>
        <w:t xml:space="preserve"> </w:t>
      </w:r>
      <w:r>
        <w:rPr>
          <w:rFonts w:ascii="宋体" w:hAnsi="宋体"/>
          <w:color w:val="000000"/>
          <w:sz w:val="24"/>
          <w:szCs w:val="24"/>
          <w:u w:val="single"/>
        </w:rPr>
      </w:r>
      <w:r/>
    </w:p>
    <w:p>
      <w:pPr>
        <w:pStyle w:val="871"/>
        <w:ind w:firstLine="480"/>
        <w:pageBreakBefore w:val="0"/>
        <w:spacing w:line="240"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自2026年6月1日起至2029年5月31日。</w:t>
      </w:r>
      <w:r>
        <w:rPr>
          <w:rFonts w:hint="eastAsia" w:ascii="宋体" w:hAnsi="宋体" w:cs="宋体"/>
          <w:color w:val="000000"/>
          <w:sz w:val="24"/>
          <w:szCs w:val="24"/>
          <w:highlight w:val="yellow"/>
          <w:lang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w:t>
      </w:r>
      <w:r>
        <w:rPr>
          <w:rFonts w:hint="eastAsia" w:ascii="宋体" w:hAnsi="宋体" w:eastAsia="宋体" w:cs="宋体"/>
          <w:color w:val="000000"/>
          <w:sz w:val="24"/>
          <w:szCs w:val="24"/>
          <w:highlight w:val="none"/>
          <w:u w:val="none"/>
          <w:lang w:val="en-US" w:eastAsia="zh-CN"/>
        </w:rPr>
        <w:t xml:space="preserve">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Times New Roman"/>
          <w:color w:val="000000"/>
          <w:sz w:val="24"/>
          <w:szCs w:val="24"/>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 w:name="_Toc35393622"/>
      <w:r/>
      <w:bookmarkStart w:id="13" w:name="_Toc28359080"/>
      <w:r/>
      <w:bookmarkStart w:id="14" w:name="_Toc35393791"/>
      <w:r/>
      <w:bookmarkStart w:id="15" w:name="_Toc28359003"/>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color w:val="000000"/>
          <w:sz w:val="24"/>
          <w:szCs w:val="24"/>
        </w:rPr>
      </w:pPr>
      <w:r/>
      <w:bookmarkStart w:id="17" w:name="_Toc38985265"/>
      <w:r/>
      <w:bookmarkStart w:id="18" w:name="_Toc28359081"/>
      <w:r/>
      <w:bookmarkStart w:id="19" w:name="_Toc35393623"/>
      <w:r/>
      <w:bookmarkStart w:id="20" w:name="_Toc28359004"/>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yellow"/>
        </w:rPr>
      </w:r>
      <w:r/>
    </w:p>
    <w:p>
      <w:pPr>
        <w:pStyle w:val="871"/>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或：本项目专门面向中小微企业采购，供应商应为中小微企业</w:t>
      </w:r>
      <w:r>
        <w:rPr>
          <w:rFonts w:hint="eastAsia" w:ascii="宋体" w:hAnsi="宋体" w:eastAsia="宋体"/>
          <w:color w:val="000000"/>
          <w:sz w:val="24"/>
          <w:szCs w:val="24"/>
          <w:lang w:val="en-US" w:eastAsia="zh-CN"/>
        </w:rPr>
        <w:t xml:space="preserve">或</w:t>
      </w:r>
      <w:r>
        <w:rPr>
          <w:rFonts w:hint="eastAsia" w:ascii="宋体" w:hAnsi="宋体" w:eastAsia="宋体"/>
          <w:color w:val="000000"/>
          <w:sz w:val="24"/>
          <w:szCs w:val="24"/>
          <w:lang w:val="zh-CN" w:eastAsia="zh-CN"/>
        </w:rPr>
        <w:t xml:space="preserve">监狱企业</w:t>
      </w:r>
      <w:r>
        <w:rPr>
          <w:rFonts w:hint="eastAsia" w:ascii="宋体" w:hAnsi="宋体" w:eastAsia="宋体"/>
          <w:color w:val="000000"/>
          <w:sz w:val="24"/>
          <w:szCs w:val="24"/>
          <w:lang w:val="en-US" w:eastAsia="zh-CN"/>
        </w:rPr>
        <w:t xml:space="preserve">或</w:t>
      </w:r>
      <w:r>
        <w:rPr>
          <w:rFonts w:hint="eastAsia" w:ascii="宋体" w:hAnsi="宋体" w:eastAsia="宋体"/>
          <w:color w:val="000000"/>
          <w:sz w:val="24"/>
          <w:szCs w:val="24"/>
          <w:lang w:val="zh-CN" w:eastAsia="zh-CN"/>
        </w:rPr>
        <w:t xml:space="preserve">残疾人福利性单位。（格式见第六章）</w:t>
      </w:r>
      <w:r>
        <w:rPr>
          <w:rFonts w:hint="eastAsia" w:ascii="宋体" w:hAnsi="宋体" w:eastAsia="宋体"/>
          <w:color w:val="000000"/>
          <w:sz w:val="24"/>
          <w:szCs w:val="24"/>
          <w:lang w:val="zh-CN" w:eastAsia="zh-CN"/>
        </w:rPr>
      </w:r>
      <w:r/>
    </w:p>
    <w:p>
      <w:pPr>
        <w:pStyle w:val="871"/>
        <w:ind w:left="0" w:right="0" w:firstLine="480"/>
        <w:jc w:val="left"/>
        <w:keepLines w:val="0"/>
        <w:keepNext w:val="0"/>
        <w:spacing w:before="0" w:beforeAutospacing="0" w:after="0" w:afterAutospacing="0"/>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Times New Roman"/>
          <w:color w:val="000000"/>
          <w:sz w:val="24"/>
          <w:szCs w:val="24"/>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cs="宋体"/>
          <w:color w:val="000000"/>
          <w:sz w:val="24"/>
          <w:szCs w:val="24"/>
        </w:rPr>
      </w:pPr>
      <w:r/>
      <w:bookmarkStart w:id="22" w:name="_Toc28359082"/>
      <w:r/>
      <w:bookmarkStart w:id="23" w:name="_Toc35393793"/>
      <w:r/>
      <w:bookmarkStart w:id="24" w:name="_Toc38985266"/>
      <w:r/>
      <w:bookmarkStart w:id="25" w:name="_Toc35393624"/>
      <w:r/>
      <w:bookmarkStart w:id="26" w:name="_Toc28359005"/>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71"/>
        <w:ind w:firstLine="480"/>
        <w:pageBreakBefore w:val="0"/>
        <w:spacing w:line="240"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bCs/>
          <w:color w:val="000000"/>
          <w:sz w:val="24"/>
          <w:szCs w:val="24"/>
          <w:u w:val="single"/>
          <w:lang w:val="en-US" w:eastAsia="zh-CN"/>
        </w:rPr>
      </w:pPr>
      <w:r/>
      <w:bookmarkStart w:id="27" w:name="_Toc28359007"/>
      <w:r/>
      <w:bookmarkStart w:id="28" w:name="_Toc38985267"/>
      <w:r/>
      <w:bookmarkStart w:id="29" w:name="_Toc35393625"/>
      <w:r/>
      <w:bookmarkStart w:id="30" w:name="_Toc28359084"/>
      <w:r/>
      <w:bookmarkStart w:id="31" w:name="_Toc3539379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u w:val="none"/>
        </w:rPr>
        <w:t xml:space="preserve">年5</w:t>
      </w:r>
      <w:r>
        <w:rPr>
          <w:rFonts w:hint="eastAsia" w:ascii="宋体" w:hAnsi="宋体"/>
          <w:bCs/>
          <w:color w:val="000000"/>
          <w:sz w:val="24"/>
          <w:szCs w:val="24"/>
          <w:u w:val="none"/>
        </w:rPr>
        <w:t xml:space="preserve">月11</w:t>
      </w:r>
      <w:r>
        <w:rPr>
          <w:rFonts w:hint="eastAsia" w:ascii="宋体" w:hAnsi="宋体"/>
          <w:bCs/>
          <w:color w:val="000000"/>
          <w:sz w:val="24"/>
          <w:szCs w:val="24"/>
          <w:u w:val="none"/>
        </w:rPr>
        <w:t xml:space="preserve">日14</w:t>
      </w:r>
      <w:r>
        <w:rPr>
          <w:rFonts w:hint="eastAsia" w:ascii="Times New Roman" w:hAnsi="Times New Roman" w:eastAsia="宋体" w:cs="Times New Roman"/>
          <w:bCs/>
          <w:color w:val="000000"/>
          <w:sz w:val="24"/>
          <w:szCs w:val="24"/>
          <w:u w:val="none"/>
          <w:lang w:val="en-US" w:eastAsia="zh-CN"/>
        </w:rPr>
        <w:t xml:space="preserve">时00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71"/>
        <w:ind w:firstLine="480"/>
        <w:pageBreakBefore w:val="0"/>
        <w:spacing w:line="240"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cs="宋体"/>
          <w:color w:val="000000"/>
          <w:sz w:val="24"/>
          <w:szCs w:val="24"/>
        </w:rPr>
      </w:pPr>
      <w:r/>
      <w:bookmarkStart w:id="32" w:name="_Toc38985268"/>
      <w:r/>
      <w:bookmarkStart w:id="33" w:name="_Toc35393626"/>
      <w:r/>
      <w:bookmarkStart w:id="34" w:name="_Toc35393795"/>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tabs>
          <w:tab w:val="left" w:pos="900" w:leader="none"/>
        </w:tabs>
        <w:rPr>
          <w:rFonts w:hint="eastAsia" w:ascii="宋体" w:hAnsi="宋体"/>
          <w:bCs/>
          <w:color w:val="000000"/>
          <w:sz w:val="24"/>
          <w:szCs w:val="24"/>
        </w:rPr>
      </w:pPr>
      <w:r/>
      <w:bookmarkStart w:id="35" w:name="_Toc35393796"/>
      <w:r/>
      <w:bookmarkStart w:id="36" w:name="_Toc38985269"/>
      <w:r/>
      <w:bookmarkStart w:id="37" w:name="_Toc28359008"/>
      <w:r/>
      <w:bookmarkStart w:id="38" w:name="_Toc35393627"/>
      <w:r/>
      <w:bookmarkStart w:id="39"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1"/>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本项目组织勘察及答疑，供应商代表携带加盖单位公章的营业执照复印件、法定代表人授权委托书、身份证参加。签到时间：2026年4月30日9时30分至9时45分，地址：南京市</w:t>
      </w:r>
      <w:r>
        <w:rPr>
          <w:rFonts w:hint="eastAsia" w:ascii="宋体" w:hAnsi="宋体" w:eastAsia="宋体" w:cs="宋体"/>
          <w:color w:val="000000"/>
          <w:sz w:val="24"/>
          <w:szCs w:val="24"/>
          <w:lang w:val="en-US" w:eastAsia="zh-CN"/>
        </w:rPr>
        <w:t xml:space="preserve">鼓楼区</w:t>
      </w:r>
      <w:r>
        <w:rPr>
          <w:rFonts w:hint="eastAsia" w:ascii="宋体" w:hAnsi="宋体" w:eastAsia="宋体" w:cs="宋体"/>
          <w:color w:val="000000"/>
          <w:sz w:val="24"/>
          <w:szCs w:val="24"/>
          <w:lang w:val="en-US" w:eastAsia="zh-CN"/>
        </w:rPr>
        <w:t xml:space="preserve">湛江路65号南京市城市管理局1205</w:t>
      </w:r>
      <w:r>
        <w:rPr>
          <w:rFonts w:hint="eastAsia" w:ascii="宋体" w:hAnsi="宋体" w:eastAsia="宋体" w:cs="宋体"/>
          <w:color w:val="000000"/>
          <w:sz w:val="24"/>
          <w:szCs w:val="24"/>
          <w:lang w:val="en-US" w:eastAsia="zh-CN"/>
        </w:rPr>
        <w:t xml:space="preserve">会议室</w:t>
      </w:r>
      <w:r>
        <w:rPr>
          <w:rFonts w:hint="eastAsia" w:ascii="宋体" w:hAnsi="宋体" w:eastAsia="宋体" w:cs="宋体"/>
          <w:color w:val="000000"/>
          <w:sz w:val="24"/>
          <w:szCs w:val="24"/>
          <w:lang w:val="en-US" w:eastAsia="zh-CN"/>
        </w:rPr>
        <w:t xml:space="preserve">，联系人：傅志强，联系电话：025-</w:t>
      </w:r>
      <w:r>
        <w:rPr>
          <w:rFonts w:hint="eastAsia" w:ascii="宋体" w:hAnsi="宋体" w:eastAsia="宋体" w:cs="Times New Roman"/>
          <w:color w:val="000000"/>
          <w:sz w:val="24"/>
          <w:szCs w:val="24"/>
          <w:u w:val="none"/>
          <w:lang w:val="en-US" w:eastAsia="zh-CN"/>
        </w:rPr>
        <w:t xml:space="preserve">51872065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r>
      <w:r/>
    </w:p>
    <w:p>
      <w:pPr>
        <w:pStyle w:val="871"/>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采购人《质疑函》收件人：傅志强，收件地址：南京市湛江路65号，联系电话：025-</w:t>
      </w:r>
      <w:r>
        <w:rPr>
          <w:rFonts w:ascii="SimSun" w:hAnsi="SimSun" w:eastAsia="SimSun" w:cs="SimSun"/>
          <w:color w:val="000000"/>
          <w:sz w:val="24"/>
        </w:rPr>
        <w:t xml:space="preserve">51872065</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交易中心《质疑函》收件人：南京市公共资源交易中心政府集中采购处，收件地址：南京市江东中路265号南京市公共资源交易中心北门，联系电话：025-68505926。</w:t>
      </w:r>
      <w:r>
        <w:rPr>
          <w:sz w:val="21"/>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名称：南京市城市管理局</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地址：南京市</w:t>
      </w:r>
      <w:r>
        <w:rPr>
          <w:rFonts w:hint="eastAsia" w:ascii="宋体" w:hAnsi="宋体" w:eastAsia="宋体" w:cs="Times New Roman"/>
          <w:color w:val="000000"/>
          <w:sz w:val="24"/>
          <w:szCs w:val="24"/>
          <w:u w:val="none"/>
          <w:lang w:val="en-US" w:eastAsia="zh-CN"/>
        </w:rPr>
        <w:t xml:space="preserve">鼓楼区</w:t>
      </w:r>
      <w:r>
        <w:rPr>
          <w:rFonts w:hint="eastAsia" w:ascii="宋体" w:hAnsi="宋体" w:eastAsia="宋体" w:cs="Times New Roman"/>
          <w:color w:val="000000"/>
          <w:sz w:val="24"/>
          <w:szCs w:val="24"/>
          <w:u w:val="none"/>
          <w:lang w:val="en-US" w:eastAsia="zh-CN"/>
        </w:rPr>
        <w:t xml:space="preserve">湛江路65号    </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联系人：傅志强  </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eastAsia="宋体" w:cs="Times New Roman"/>
          <w:color w:val="000000"/>
          <w:sz w:val="24"/>
          <w:szCs w:val="24"/>
          <w:u w:val="none"/>
          <w:lang w:val="en-US" w:eastAsia="zh-CN"/>
        </w:rPr>
        <w:t xml:space="preserve">025-51872065</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邹女士</w:t>
      </w:r>
      <w:r>
        <w:rPr>
          <w:rFonts w:ascii="宋体" w:hAnsi="宋体" w:cs="Times New Roman"/>
          <w:color w:val="000000"/>
          <w:sz w:val="24"/>
          <w:szCs w:val="24"/>
          <w:u w:val="none"/>
          <w:lang w:val="en-US" w:eastAsia="zh-CN"/>
        </w:rPr>
      </w:r>
      <w:r/>
    </w:p>
    <w:p>
      <w:pPr>
        <w:pStyle w:val="871"/>
        <w:ind w:firstLine="480"/>
        <w:pageBreakBefore w:val="0"/>
        <w:spacing w:line="240"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联系电话：025-68505810 </w:t>
      </w:r>
      <w:r>
        <w:rPr>
          <w:rFonts w:hint="eastAsia"/>
          <w:color w:val="000000"/>
          <w:u w:val="none"/>
        </w:rPr>
      </w:r>
      <w:r/>
    </w:p>
    <w:p>
      <w:pPr>
        <w:pStyle w:val="949"/>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End w:id="1"/>
      <w:r/>
      <w:bookmarkEnd w:id="2"/>
      <w:r/>
      <w:bookmarkEnd w:id="3"/>
      <w:r/>
      <w:bookmarkEnd w:id="4"/>
      <w:r/>
      <w:bookmarkEnd w:id="5"/>
      <w:r/>
      <w:bookmarkStart w:id="40" w:name="_Toc462564139"/>
      <w:r/>
      <w:bookmarkStart w:id="41" w:name="_Toc479757211"/>
      <w:r/>
      <w:bookmarkStart w:id="42" w:name="_Toc20823346"/>
      <w:r/>
      <w:bookmarkStart w:id="43" w:name="_Hlt16619350"/>
      <w:r/>
      <w:bookmarkStart w:id="44" w:name="_Toc120614244"/>
      <w:r/>
      <w:bookmarkStart w:id="45" w:name="_Toc16938590"/>
      <w:r>
        <w:rPr>
          <w:rFonts w:ascii="黑体" w:eastAsia="黑体"/>
          <w:bCs/>
          <w:sz w:val="44"/>
        </w:rPr>
        <w:br w:type="page" w:clear="all"/>
      </w:r>
      <w:bookmarkStart w:id="46"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6"/>
      <w:r/>
      <w:bookmarkStart w:id="47" w:name="_Toc16938518"/>
      <w:r/>
      <w:bookmarkStart w:id="48" w:name="_Toc120614213"/>
      <w:r/>
      <w:bookmarkStart w:id="49" w:name="_Toc20823274"/>
      <w:r/>
      <w:bookmarkStart w:id="50"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7"/>
      <w:r/>
      <w:bookmarkEnd w:id="48"/>
      <w:r/>
      <w:bookmarkEnd w:id="49"/>
      <w:r/>
      <w:bookmarkEnd w:id="50"/>
      <w:r>
        <w:rPr>
          <w:rFonts w:hint="eastAsia" w:ascii="方正小标宋简体" w:hAnsi="方正小标宋简体" w:eastAsia="方正小标宋简体" w:cs="方正小标宋简体"/>
          <w:color w:val="000000"/>
          <w:sz w:val="36"/>
          <w:szCs w:val="36"/>
          <w:lang w:val="en-US" w:eastAsia="zh-CN" w:bidi="ar-SA"/>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1" w:name="_Toc20823275"/>
      <w:r/>
      <w:bookmarkStart w:id="52" w:name="_Toc16938519"/>
      <w:r/>
      <w:bookmarkStart w:id="53" w:name="_Toc513029203"/>
      <w:r/>
      <w:bookmarkStart w:id="54" w:name="_Toc120614214"/>
      <w:r/>
      <w:bookmarkStart w:id="55" w:name="_Toc513029242"/>
      <w:r/>
      <w:bookmarkStart w:id="56" w:name="_Toc16938558"/>
      <w:r/>
      <w:bookmarkStart w:id="57" w:name="_Toc20823314"/>
      <w:r/>
      <w:bookmarkStart w:id="58" w:name="_Toc479757207"/>
      <w:r/>
      <w:bookmarkStart w:id="59" w:name="_Toc120614221"/>
      <w:r>
        <w:rPr>
          <w:rFonts w:hint="eastAsia" w:ascii="方正黑体_GBK" w:hAnsi="方正黑体_GBK" w:eastAsia="方正黑体_GBK" w:cs="方正黑体_GBK"/>
          <w:b w:val="0"/>
          <w:bCs w:val="0"/>
          <w:color w:val="000000"/>
          <w:sz w:val="30"/>
          <w:szCs w:val="30"/>
        </w:rPr>
        <w:t xml:space="preserve">一、总则</w:t>
      </w:r>
      <w:bookmarkEnd w:id="51"/>
      <w:r/>
      <w:bookmarkEnd w:id="52"/>
      <w:r/>
      <w:bookmarkEnd w:id="53"/>
      <w:r/>
      <w:bookmarkEnd w:id="54"/>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0" w:name="_Hlt16619475"/>
      <w:r/>
      <w:bookmarkEnd w:id="60"/>
      <w:r/>
      <w:bookmarkStart w:id="61" w:name="_Toc458694821"/>
      <w:r/>
      <w:bookmarkStart w:id="62" w:name="_Toc16938520"/>
      <w:r/>
      <w:bookmarkStart w:id="63" w:name="_Toc20823276"/>
      <w:r/>
      <w:bookmarkStart w:id="64" w:name="_Toc513029204"/>
      <w:r>
        <w:rPr>
          <w:rFonts w:hint="eastAsia" w:ascii="方正楷体_GBK" w:hAnsi="方正楷体_GBK" w:eastAsia="方正楷体_GBK" w:cs="方正楷体_GBK"/>
          <w:b/>
          <w:bCs/>
          <w:sz w:val="28"/>
          <w:szCs w:val="28"/>
        </w:rPr>
        <w:t xml:space="preserve">1</w:t>
      </w:r>
      <w:bookmarkEnd w:id="61"/>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2"/>
      <w:r/>
      <w:bookmarkEnd w:id="63"/>
      <w:r/>
      <w:bookmarkEnd w:id="64"/>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5" w:name="_Toc16938521"/>
      <w:r/>
      <w:bookmarkStart w:id="66" w:name="_Toc20823277"/>
      <w:r/>
      <w:bookmarkStart w:id="67"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5"/>
      <w:r/>
      <w:bookmarkEnd w:id="66"/>
      <w:r/>
      <w:bookmarkEnd w:id="67"/>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8" w:name="_Toc20823278"/>
      <w:r/>
      <w:bookmarkStart w:id="69" w:name="_Toc16938522"/>
      <w:r/>
      <w:bookmarkStart w:id="70"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8"/>
      <w:r/>
      <w:bookmarkEnd w:id="69"/>
      <w:r/>
      <w:bookmarkEnd w:id="70"/>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1" w:name="_Toc20823279"/>
      <w:r/>
      <w:bookmarkStart w:id="72" w:name="_Toc462564067"/>
      <w:r/>
      <w:bookmarkStart w:id="73" w:name="_Toc513029207"/>
      <w:r/>
      <w:bookmarkStart w:id="74"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1"/>
      <w:r/>
      <w:bookmarkEnd w:id="72"/>
      <w:r/>
      <w:bookmarkEnd w:id="73"/>
      <w:r/>
      <w:bookmarkEnd w:id="74"/>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5" w:name="_Toc20823281"/>
      <w:r/>
      <w:bookmarkStart w:id="76" w:name="_Toc120614215"/>
      <w:r/>
      <w:bookmarkStart w:id="77" w:name="_Toc513029209"/>
      <w:r/>
      <w:bookmarkStart w:id="78" w:name="_Toc16938525"/>
      <w:r>
        <w:rPr>
          <w:rFonts w:hint="eastAsia" w:ascii="方正黑体_GBK" w:hAnsi="方正黑体_GBK" w:eastAsia="方正黑体_GBK" w:cs="方正黑体_GBK"/>
          <w:b w:val="0"/>
          <w:bCs w:val="0"/>
          <w:color w:val="000000"/>
          <w:sz w:val="30"/>
          <w:szCs w:val="30"/>
        </w:rPr>
        <w:t xml:space="preserve">二、招标文件</w:t>
      </w:r>
      <w:bookmarkEnd w:id="75"/>
      <w:r/>
      <w:bookmarkEnd w:id="76"/>
      <w:r/>
      <w:bookmarkEnd w:id="77"/>
      <w:r/>
      <w:bookmarkEnd w:id="78"/>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9" w:name="_Toc16938526"/>
      <w:r/>
      <w:bookmarkStart w:id="80" w:name="_Toc20823282"/>
      <w:r/>
      <w:bookmarkStart w:id="81"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9"/>
      <w:r/>
      <w:bookmarkEnd w:id="80"/>
      <w:r/>
      <w:bookmarkEnd w:id="81"/>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20823283"/>
      <w:r/>
      <w:bookmarkStart w:id="83" w:name="_Toc462564070"/>
      <w:r/>
      <w:bookmarkStart w:id="84" w:name="_Toc16938527"/>
      <w:r/>
      <w:bookmarkStart w:id="85" w:name="_Toc513029211"/>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2"/>
      <w:r/>
      <w:bookmarkEnd w:id="83"/>
      <w:r/>
      <w:bookmarkEnd w:id="84"/>
      <w:r/>
      <w:bookmarkEnd w:id="85"/>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6" w:name="_Toc20823284"/>
      <w:r/>
      <w:bookmarkStart w:id="87" w:name="_Toc462564071"/>
      <w:r/>
      <w:bookmarkStart w:id="88" w:name="_Toc16938528"/>
      <w:r/>
      <w:bookmarkStart w:id="89" w:name="_Toc513029212"/>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6"/>
      <w:r/>
      <w:bookmarkEnd w:id="87"/>
      <w:r/>
      <w:bookmarkEnd w:id="88"/>
      <w:r/>
      <w:bookmarkEnd w:id="89"/>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Start w:id="90" w:name="_Toc16938529"/>
      <w:r/>
      <w:bookmarkStart w:id="91" w:name="_Toc120614216"/>
      <w:r/>
      <w:bookmarkStart w:id="92" w:name="_Toc20823285"/>
      <w:r/>
      <w:bookmarkStart w:id="93" w:name="_Toc462564072"/>
      <w:r/>
      <w:bookmarkStart w:id="94" w:name="_Toc513029213"/>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0"/>
      <w:r/>
      <w:bookmarkEnd w:id="91"/>
      <w:r/>
      <w:bookmarkEnd w:id="92"/>
      <w:r/>
      <w:bookmarkEnd w:id="93"/>
      <w:r/>
      <w:bookmarkEnd w:id="94"/>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462564073"/>
      <w:r/>
      <w:bookmarkStart w:id="96" w:name="_Toc513029214"/>
      <w:r/>
      <w:bookmarkStart w:id="97" w:name="_Toc20823286"/>
      <w:r/>
      <w:bookmarkStart w:id="98" w:name="_Toc16938530"/>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5"/>
      <w:r/>
      <w:bookmarkEnd w:id="96"/>
      <w:r/>
      <w:bookmarkEnd w:id="97"/>
      <w:r/>
      <w:bookmarkEnd w:id="98"/>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Toc16938531"/>
      <w:r/>
      <w:bookmarkStart w:id="100" w:name="_Toc513029215"/>
      <w:r/>
      <w:bookmarkStart w:id="101" w:name="_Toc462564074"/>
      <w:r/>
      <w:bookmarkStart w:id="102"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9"/>
      <w:r/>
      <w:bookmarkEnd w:id="100"/>
      <w:r/>
      <w:bookmarkEnd w:id="101"/>
      <w:r/>
      <w:bookmarkEnd w:id="102"/>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3" w:name="_Hlt26670360"/>
      <w:r/>
      <w:bookmarkEnd w:id="103"/>
      <w:r/>
      <w:bookmarkStart w:id="104" w:name="_Toc513029219"/>
      <w:r/>
      <w:bookmarkStart w:id="105" w:name="_Toc14577357"/>
      <w:r/>
      <w:bookmarkStart w:id="106" w:name="_Toc49090509"/>
      <w:r/>
      <w:bookmarkStart w:id="107" w:name="_Toc49090507"/>
      <w:r/>
      <w:bookmarkStart w:id="108" w:name="_Toc14577354"/>
      <w:r/>
      <w:bookmarkStart w:id="109" w:name="_Toc513029216"/>
      <w:r/>
      <w:bookmarkStart w:id="110" w:name="_Hlt26668975"/>
      <w:r/>
      <w:bookmarkEnd w:id="110"/>
      <w:r/>
      <w:bookmarkStart w:id="111" w:name="_Hlt26954838"/>
      <w:r/>
      <w:bookmarkEnd w:id="111"/>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4"/>
      <w:r/>
      <w:bookmarkEnd w:id="105"/>
      <w:r/>
      <w:bookmarkEnd w:id="106"/>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End w:id="107"/>
      <w:r/>
      <w:bookmarkEnd w:id="108"/>
      <w:r/>
      <w:bookmarkEnd w:id="109"/>
      <w:r/>
      <w:bookmarkStart w:id="112" w:name="_Toc49090508"/>
      <w:r/>
      <w:bookmarkStart w:id="113"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2"/>
      <w:r/>
      <w:bookmarkEnd w:id="113"/>
      <w:r>
        <w:rPr>
          <w:rFonts w:hint="eastAsia" w:ascii="方正楷体_GBK" w:hAnsi="方正楷体_GBK" w:eastAsia="方正楷体_GBK" w:cs="方正楷体_GBK"/>
          <w:b/>
          <w:bCs/>
          <w:sz w:val="28"/>
          <w:szCs w:val="28"/>
          <w:lang w:val="en-US" w:eastAsia="zh-CN"/>
        </w:rPr>
        <w:t xml:space="preserve">.投标分项报价表（如有）</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4" w:name="_Hlt26954840"/>
      <w:r/>
      <w:bookmarkEnd w:id="114"/>
      <w:r>
        <w:rPr>
          <w:rFonts w:hint="eastAsia" w:ascii="宋体" w:hAnsi="宋体" w:eastAsia="宋体" w:cs="Times New Roman"/>
          <w:color w:val="000000"/>
          <w:sz w:val="24"/>
        </w:rPr>
        <w:t xml:space="preserve">标人应按照招标文件规定格式填报</w:t>
      </w:r>
      <w:bookmarkStart w:id="115" w:name="_Hlt26670399"/>
      <w:r/>
      <w:bookmarkEnd w:id="115"/>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6" w:name="_Hlt26670403"/>
      <w:r/>
      <w:bookmarkEnd w:id="116"/>
      <w:r/>
      <w:bookmarkStart w:id="117" w:name="_Hlt26954731"/>
      <w:r/>
      <w:bookmarkEnd w:id="117"/>
      <w:r/>
      <w:bookmarkStart w:id="118" w:name="_Hlt26954848"/>
      <w:r/>
      <w:bookmarkEnd w:id="118"/>
      <w:r/>
      <w:bookmarkStart w:id="119" w:name="_Hlt26954846"/>
      <w:r/>
      <w:bookmarkEnd w:id="119"/>
      <w:r/>
      <w:bookmarkStart w:id="120" w:name="_Hlt26668983"/>
      <w:r/>
      <w:bookmarkEnd w:id="120"/>
      <w:r/>
      <w:bookmarkStart w:id="121" w:name="_Hlt26670482"/>
      <w:r/>
      <w:bookmarkEnd w:id="121"/>
      <w:r/>
      <w:bookmarkStart w:id="122" w:name="_Hlt26954844"/>
      <w:r/>
      <w:bookmarkEnd w:id="122"/>
      <w:r/>
      <w:bookmarkStart w:id="123" w:name="_Hlt26954842"/>
      <w:r/>
      <w:bookmarkEnd w:id="123"/>
      <w:r/>
      <w:bookmarkStart w:id="124" w:name="_Hlt26670425"/>
      <w:r/>
      <w:bookmarkEnd w:id="124"/>
      <w:r/>
      <w:bookmarkStart w:id="125" w:name="_Hlt26670486"/>
      <w:r/>
      <w:bookmarkEnd w:id="125"/>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6" w:name="_Toc49090510"/>
      <w:r/>
      <w:bookmarkStart w:id="127"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6"/>
      <w:r/>
      <w:bookmarkEnd w:id="127"/>
      <w:r/>
      <w:bookmarkStart w:id="128" w:name="_Toc14577360"/>
      <w:r/>
      <w:bookmarkStart w:id="129" w:name="_Toc49090511"/>
      <w:r/>
      <w:bookmarkStart w:id="130" w:name="_Hlt26670489"/>
      <w:r/>
      <w:bookmarkEnd w:id="130"/>
      <w:r/>
      <w:bookmarkStart w:id="131" w:name="_Hlt26954734"/>
      <w:r/>
      <w:bookmarkEnd w:id="131"/>
      <w:r/>
      <w:bookmarkStart w:id="132" w:name="_Hlt26954850"/>
      <w:r/>
      <w:bookmarkEnd w:id="132"/>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8"/>
      <w:r/>
      <w:bookmarkEnd w:id="129"/>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3" w:name="_Toc16938540"/>
      <w:r/>
      <w:bookmarkStart w:id="134" w:name="_Toc513029224"/>
      <w:r/>
      <w:bookmarkStart w:id="135" w:name="_Toc20823309"/>
      <w:r/>
      <w:bookmarkStart w:id="136" w:name="_Hlt26954739"/>
      <w:r/>
      <w:bookmarkEnd w:id="136"/>
      <w:r/>
      <w:bookmarkStart w:id="137" w:name="_Toc120614217"/>
      <w:r/>
      <w:bookmarkStart w:id="138" w:name="_Toc20823296"/>
      <w:r/>
      <w:bookmarkStart w:id="139" w:name="_Hlt26954852"/>
      <w:r/>
      <w:bookmarkEnd w:id="139"/>
      <w:r/>
      <w:bookmarkStart w:id="140" w:name="_Toc513029237"/>
      <w:r/>
      <w:bookmarkStart w:id="141" w:name="_Toc16938553"/>
      <w:r>
        <w:rPr>
          <w:rFonts w:hint="eastAsia" w:ascii="方正黑体_GBK" w:hAnsi="方正黑体_GBK" w:eastAsia="方正黑体_GBK" w:cs="方正黑体_GBK"/>
          <w:b w:val="0"/>
          <w:bCs w:val="0"/>
          <w:color w:val="000000"/>
          <w:sz w:val="30"/>
          <w:szCs w:val="30"/>
        </w:rPr>
        <w:t xml:space="preserve">四、投标文件的递交</w:t>
      </w:r>
      <w:bookmarkEnd w:id="133"/>
      <w:r/>
      <w:bookmarkEnd w:id="134"/>
      <w:r/>
      <w:bookmarkEnd w:id="137"/>
      <w:r/>
      <w:bookmarkEnd w:id="138"/>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42" w:name="_Toc462564084"/>
      <w:r/>
      <w:bookmarkStart w:id="143" w:name="_Toc16938541"/>
      <w:r/>
      <w:bookmarkStart w:id="144" w:name="_Toc513029225"/>
      <w:r/>
      <w:bookmarkStart w:id="145"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2"/>
      <w:r/>
      <w:bookmarkEnd w:id="143"/>
      <w:r/>
      <w:bookmarkEnd w:id="144"/>
      <w:r/>
      <w:bookmarkEnd w:id="145"/>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6" w:name="_Toc16938542"/>
      <w:r/>
      <w:bookmarkStart w:id="147" w:name="_Toc513029226"/>
      <w:r/>
      <w:bookmarkStart w:id="148" w:name="_Toc20823298"/>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6"/>
      <w:r/>
      <w:bookmarkEnd w:id="147"/>
      <w:r/>
      <w:bookmarkEnd w:id="148"/>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49" w:name="_Toc16938543"/>
      <w:r/>
      <w:bookmarkStart w:id="150" w:name="_Toc20823299"/>
      <w:r/>
      <w:bookmarkStart w:id="151"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9"/>
      <w:r/>
      <w:bookmarkEnd w:id="150"/>
      <w:r/>
      <w:bookmarkEnd w:id="151"/>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52" w:name="_Toc20823300"/>
      <w:r/>
      <w:bookmarkStart w:id="153" w:name="_Toc513029228"/>
      <w:r/>
      <w:bookmarkStart w:id="154"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2"/>
      <w:r/>
      <w:bookmarkEnd w:id="153"/>
      <w:r/>
      <w:bookmarkEnd w:id="154"/>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5" w:name="_Toc120614218"/>
      <w:r/>
      <w:bookmarkStart w:id="156" w:name="_Toc20823301"/>
      <w:r/>
      <w:bookmarkStart w:id="157" w:name="_Toc513029229"/>
      <w:r/>
      <w:bookmarkStart w:id="158" w:name="_Toc16938545"/>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5"/>
      <w:r/>
      <w:bookmarkEnd w:id="156"/>
      <w:r/>
      <w:bookmarkEnd w:id="157"/>
      <w:r/>
      <w:bookmarkEnd w:id="158"/>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59" w:name="_Toc16938546"/>
      <w:r/>
      <w:bookmarkStart w:id="160" w:name="_Toc513029230"/>
      <w:r/>
      <w:bookmarkStart w:id="161"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9"/>
      <w:r/>
      <w:bookmarkEnd w:id="160"/>
      <w:r/>
      <w:bookmarkEnd w:id="161"/>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62" w:name="_Toc16938547"/>
      <w:r/>
      <w:bookmarkStart w:id="163" w:name="_Toc20823303"/>
      <w:r/>
      <w:bookmarkStart w:id="164"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62"/>
      <w:r/>
      <w:bookmarkEnd w:id="163"/>
      <w:r/>
      <w:bookmarkEnd w:id="16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65" w:name="_Toc16938548"/>
      <w:r/>
      <w:bookmarkStart w:id="166" w:name="_Toc513029232"/>
      <w:r/>
      <w:bookmarkStart w:id="167"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5"/>
      <w:r/>
      <w:bookmarkEnd w:id="166"/>
      <w:r/>
      <w:bookmarkEnd w:id="167"/>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8" w:name="_Toc20823305"/>
      <w:r/>
      <w:bookmarkStart w:id="169" w:name="_Toc16938549"/>
      <w:r/>
      <w:bookmarkStart w:id="170"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8"/>
      <w:r/>
      <w:bookmarkEnd w:id="169"/>
      <w:r/>
      <w:bookmarkEnd w:id="170"/>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513029234"/>
      <w:r/>
      <w:bookmarkStart w:id="172" w:name="_Toc20823306"/>
      <w:r/>
      <w:bookmarkStart w:id="173"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lang w:val="zh-CN" w:eastAsia="zh-CN"/>
        </w:rPr>
        <w:t xml:space="preserve">24.7 </w:t>
      </w:r>
      <w:r>
        <w:rPr>
          <w:rFonts w:hint="eastAsia" w:ascii="宋体" w:hAnsi="宋体" w:eastAsia="宋体" w:cs="Times New Roman"/>
          <w:color w:val="000000"/>
          <w:sz w:val="24"/>
          <w:szCs w:val="21"/>
          <w:lang w:val="zh-CN"/>
        </w:rPr>
        <w:t xml:space="preserve">异常低价审查</w:t>
      </w:r>
      <w:r>
        <w:rPr>
          <w:rFonts w:hint="eastAsia" w:ascii="宋体" w:hAnsi="宋体" w:eastAsia="宋体" w:cs="Times New Roman"/>
          <w:color w:val="000000"/>
          <w:sz w:val="24"/>
          <w:szCs w:val="21"/>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color w:val="000000"/>
          <w:sz w:val="24"/>
          <w:szCs w:val="22"/>
          <w:lang w:val="zh-CN" w:eastAsia="zh-CN"/>
        </w:rPr>
      </w:r>
      <w:r/>
    </w:p>
    <w:p>
      <w:pPr>
        <w:pStyle w:val="871"/>
        <w:spacing w:line="240" w:lineRule="auto"/>
        <w:rPr>
          <w:rFonts w:hint="eastAsia"/>
          <w:lang w:val="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1"/>
      <w:r/>
      <w:bookmarkEnd w:id="172"/>
      <w:r/>
      <w:bookmarkEnd w:id="173"/>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4" w:name="_Toc20823307"/>
      <w:r/>
      <w:bookmarkStart w:id="175" w:name="_Toc16938551"/>
      <w:r/>
      <w:bookmarkStart w:id="176"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val="0"/>
          <w:bCs w:val="0"/>
          <w:color w:val="000000"/>
          <w:sz w:val="24"/>
          <w:lang w:val="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rPr>
        <w:t xml:space="preserve">.1.10</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1"/>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40"/>
      <w:r/>
      <w:bookmarkEnd w:id="141"/>
      <w:r/>
      <w:bookmarkEnd w:id="174"/>
      <w:r/>
      <w:bookmarkEnd w:id="175"/>
      <w:r/>
      <w:bookmarkEnd w:id="176"/>
      <w:r/>
      <w:bookmarkStart w:id="177" w:name="_Toc120614219"/>
      <w:r>
        <w:rPr>
          <w:rFonts w:hint="eastAsia" w:ascii="方正黑体_GBK" w:hAnsi="方正黑体_GBK" w:eastAsia="方正黑体_GBK" w:cs="方正黑体_GBK"/>
          <w:b w:val="0"/>
          <w:bCs w:val="0"/>
          <w:color w:val="000000"/>
          <w:sz w:val="30"/>
          <w:szCs w:val="30"/>
        </w:rPr>
        <w:t xml:space="preserve">六、定标</w:t>
      </w:r>
      <w:bookmarkEnd w:id="177"/>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78" w:name="_Toc20823310"/>
      <w:r/>
      <w:bookmarkStart w:id="179" w:name="_Toc513029238"/>
      <w:r/>
      <w:bookmarkStart w:id="180" w:name="_Toc16938554"/>
      <w:r>
        <w:rPr>
          <w:rFonts w:hint="eastAsia" w:ascii="方正楷体_GBK" w:hAnsi="方正楷体_GBK" w:eastAsia="方正楷体_GBK" w:cs="方正楷体_GBK"/>
          <w:b/>
          <w:bCs/>
        </w:rPr>
        <w:t xml:space="preserve">2</w:t>
      </w:r>
      <w:bookmarkEnd w:id="179"/>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8"/>
      <w:r/>
      <w:bookmarkEnd w:id="180"/>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81"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End w:id="18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82" w:name="_Toc120614220"/>
      <w:r/>
      <w:bookmarkStart w:id="183" w:name="_Toc16938552"/>
      <w:r/>
      <w:bookmarkStart w:id="184" w:name="_Toc513029236"/>
      <w:r/>
      <w:bookmarkStart w:id="185" w:name="_Toc20823308"/>
      <w:r>
        <w:rPr>
          <w:rFonts w:hint="eastAsia" w:ascii="方正黑体_GBK" w:hAnsi="方正黑体_GBK" w:eastAsia="方正黑体_GBK" w:cs="方正黑体_GBK"/>
          <w:b w:val="0"/>
          <w:bCs w:val="0"/>
          <w:color w:val="000000"/>
          <w:sz w:val="30"/>
          <w:szCs w:val="30"/>
        </w:rPr>
        <w:t xml:space="preserve">七、授予合同</w:t>
      </w:r>
      <w:bookmarkEnd w:id="182"/>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End w:id="183"/>
      <w:r/>
      <w:bookmarkEnd w:id="184"/>
      <w:r/>
      <w:bookmarkEnd w:id="185"/>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1"/>
        <w:ind w:firstLine="420"/>
        <w:jc w:val="left"/>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6"/>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6"/>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5"/>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1"/>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1"/>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1"/>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1"/>
        <w:ind w:firstLine="420"/>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76"/>
        <w:ind w:firstLine="422"/>
        <w:pageBreakBefore w:val="0"/>
        <w:spacing w:before="0" w:after="0" w:line="240" w:lineRule="auto"/>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sz w:val="28"/>
          <w:lang w:val="zh-CN" w:eastAsia="zh-CN"/>
        </w:rPr>
        <w:t xml:space="preserve">4</w:t>
      </w:r>
      <w:r>
        <w:rPr>
          <w:rFonts w:hint="eastAsia" w:ascii="方正楷体_GBK" w:hAnsi="方正楷体_GBK" w:eastAsia="方正楷体_GBK" w:cs="方正楷体_GBK"/>
          <w:b/>
          <w:bCs/>
          <w:sz w:val="28"/>
          <w:lang w:val="en-US" w:eastAsia="zh-CN"/>
        </w:rPr>
        <w:t xml:space="preserve">4</w:t>
      </w:r>
      <w:r>
        <w:rPr>
          <w:rFonts w:hint="eastAsia" w:ascii="方正楷体_GBK" w:hAnsi="方正楷体_GBK" w:eastAsia="方正楷体_GBK" w:cs="方正楷体_GBK"/>
          <w:b/>
          <w:bCs/>
          <w:sz w:val="28"/>
          <w:lang w:val="zh-CN" w:eastAsia="zh-CN"/>
        </w:rPr>
        <w:t xml:space="preserve">.</w:t>
      </w:r>
      <w:r>
        <w:rPr>
          <w:rFonts w:hint="eastAsia" w:ascii="方正楷体_GBK" w:hAnsi="方正楷体_GBK" w:eastAsia="方正楷体_GBK" w:cs="方正楷体_GBK"/>
          <w:b/>
          <w:bCs/>
          <w:color w:val="000000"/>
          <w:sz w:val="28"/>
          <w:lang w:val="zh-CN" w:eastAsia="zh-CN"/>
        </w:rPr>
        <w:t xml:space="preserve">数据交易说明</w:t>
      </w:r>
      <w:r>
        <w:rPr>
          <w:rFonts w:hint="eastAsia" w:ascii="方正楷体_GBK" w:hAnsi="方正楷体_GBK" w:eastAsia="方正楷体_GBK" w:cs="方正楷体_GBK"/>
          <w:b/>
          <w:bCs/>
          <w:color w:val="000000"/>
          <w:sz w:val="28"/>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 数据交易标的包括数据产品、数据服务、数据工具。</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949"/>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5"/>
      <w:r/>
      <w:bookmarkEnd w:id="56"/>
      <w:r/>
      <w:bookmarkEnd w:id="57"/>
      <w:r/>
      <w:bookmarkEnd w:id="58"/>
      <w:r/>
      <w:bookmarkEnd w:id="59"/>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6" w:name="_Toc513029243"/>
      <w:r/>
      <w:bookmarkStart w:id="187" w:name="_Toc20823315"/>
      <w:r/>
      <w:bookmarkStart w:id="188"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9"/>
        <w:ind w:left="0" w:firstLine="0"/>
        <w:keepLines w:val="0"/>
        <w:keepNext w:val="0"/>
        <w:pageBreakBefore w:val="0"/>
        <w:spacing w:line="240" w:lineRule="auto"/>
        <w:widowControl w:val="off"/>
        <w:rPr>
          <w:rFonts w:hint="eastAsia"/>
          <w:lang w:eastAsia="zh-CN"/>
        </w:rPr>
      </w:pPr>
      <w:r>
        <w:rPr>
          <w:rFonts w:hint="eastAsia"/>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lang w:val="en-US" w:eastAsia="zh-CN"/>
        </w:rPr>
        <w:t xml:space="preserve">8.1.1本项目服务期三年，合同一年一签。</w:t>
      </w:r>
      <w:r>
        <w:rPr>
          <w:rFonts w:hint="eastAsia" w:ascii="宋体" w:hAnsi="宋体" w:eastAsia="宋体" w:cs="Courier New"/>
          <w:sz w:val="24"/>
          <w:szCs w:val="24"/>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hAnsi="宋体" w:eastAsia="宋体" w:cs="Courier New"/>
          <w:color w:val="000000"/>
          <w:sz w:val="24"/>
          <w:szCs w:val="24"/>
          <w:highlight w:val="none"/>
          <w:lang w:val="en-US" w:eastAsia="zh-CN"/>
        </w:rPr>
        <w:t xml:space="preserve">8.1.2</w:t>
      </w:r>
      <w:r>
        <w:rPr>
          <w:rFonts w:hint="eastAsia" w:ascii="宋体" w:hAnsi="宋体" w:eastAsia="宋体" w:cs="Courier New"/>
          <w:color w:val="000000"/>
          <w:sz w:val="24"/>
          <w:szCs w:val="24"/>
          <w:highlight w:val="none"/>
          <w:lang w:val="en-US" w:eastAsia="zh-CN"/>
        </w:rPr>
        <w:t xml:space="preserve">双方合同签订后30个工作日内，支付年度合同总额的40%；</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hAnsi="宋体" w:eastAsia="宋体" w:cs="Courier New"/>
          <w:color w:val="000000"/>
          <w:sz w:val="24"/>
          <w:szCs w:val="24"/>
          <w:highlight w:val="none"/>
          <w:lang w:val="en-US" w:eastAsia="zh-CN"/>
        </w:rPr>
        <w:t xml:space="preserve">8.1.3</w:t>
      </w:r>
      <w:r>
        <w:rPr>
          <w:rFonts w:hint="eastAsia" w:ascii="宋体" w:hAnsi="宋体" w:eastAsia="宋体" w:cs="Courier New"/>
          <w:color w:val="000000"/>
          <w:sz w:val="24"/>
          <w:szCs w:val="24"/>
          <w:highlight w:val="none"/>
          <w:lang w:val="en-US" w:eastAsia="zh-CN"/>
        </w:rPr>
        <w:t xml:space="preserve">甲方对乙方前6个月的采集工作进行考核后，再支付年度合同总额的30%；</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hAnsi="宋体" w:eastAsia="宋体" w:cs="Courier New"/>
          <w:color w:val="000000"/>
          <w:sz w:val="24"/>
          <w:szCs w:val="24"/>
          <w:highlight w:val="none"/>
          <w:lang w:val="en-US" w:eastAsia="zh-CN"/>
        </w:rPr>
        <w:t xml:space="preserve">8.1.4</w:t>
      </w:r>
      <w:r>
        <w:rPr>
          <w:rFonts w:hint="eastAsia" w:ascii="宋体" w:hAnsi="宋体" w:eastAsia="宋体" w:cs="Courier New"/>
          <w:color w:val="000000"/>
          <w:sz w:val="24"/>
          <w:szCs w:val="24"/>
          <w:highlight w:val="none"/>
          <w:lang w:val="en-US" w:eastAsia="zh-CN"/>
        </w:rPr>
        <w:t xml:space="preserve">年度服务期满后甲方根据考核与扣款情况与乙方结算年度余款（支付年度合同总额的30%）。</w:t>
      </w:r>
      <w:r>
        <w:rPr>
          <w:rFonts w:hint="eastAsia" w:ascii="宋体" w:hAnsi="宋体" w:eastAsia="宋体" w:cs="Courier New"/>
          <w:color w:val="000000"/>
          <w:sz w:val="24"/>
          <w:szCs w:val="24"/>
          <w:highlight w:val="none"/>
          <w:lang w:val="en-US" w:eastAsia="zh-CN"/>
        </w:rPr>
      </w:r>
      <w:r/>
    </w:p>
    <w:p>
      <w:pPr>
        <w:pStyle w:val="912"/>
        <w:spacing w:line="264" w:lineRule="auto"/>
        <w:rPr>
          <w:rFonts w:hint="eastAsia"/>
          <w:lang w:val="en-US" w:eastAsia="zh-CN"/>
        </w:rPr>
      </w:pPr>
      <w:r>
        <w:rPr>
          <w:rFonts w:hint="eastAsia" w:ascii="宋体" w:hAnsi="宋体" w:eastAsia="宋体" w:cs="Courier New"/>
          <w:sz w:val="24"/>
          <w:szCs w:val="24"/>
          <w:lang w:val="en-US" w:eastAsia="zh-CN"/>
        </w:rPr>
        <w:t xml:space="preserve">8.1.</w:t>
      </w:r>
      <w:r>
        <w:rPr>
          <w:rFonts w:hint="eastAsia" w:hAnsi="宋体" w:eastAsia="宋体" w:cs="Courier New"/>
          <w:sz w:val="24"/>
          <w:szCs w:val="24"/>
          <w:lang w:val="en-US" w:eastAsia="zh-CN"/>
        </w:rPr>
        <w:t xml:space="preserve">5</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ascii="宋体" w:hAnsi="宋体" w:eastAsia="宋体" w:cs="Courier New"/>
          <w:color w:val="0000ff"/>
          <w:sz w:val="24"/>
          <w:szCs w:val="24"/>
          <w:lang w:val="en-US" w:eastAsia="zh-CN"/>
        </w:rPr>
      </w:pPr>
      <w:r>
        <w:rPr>
          <w:rFonts w:hint="eastAsia" w:ascii="宋体" w:hAnsi="宋体" w:eastAsia="宋体" w:cs="Courier New"/>
          <w:color w:val="000000"/>
          <w:sz w:val="24"/>
          <w:szCs w:val="24"/>
          <w:lang w:val="zh-CN" w:eastAsia="zh-CN"/>
        </w:rPr>
        <w:t xml:space="preserve">10.7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ascii="宋体" w:hAnsi="宋体" w:eastAsia="宋体" w:cs="Courier New"/>
          <w:color w:val="0000ff"/>
          <w:sz w:val="24"/>
          <w:szCs w:val="24"/>
          <w:lang w:val="en-US" w:eastAsia="zh-CN"/>
        </w:rPr>
      </w:r>
      <w:r/>
    </w:p>
    <w:p>
      <w:pPr>
        <w:pStyle w:val="871"/>
        <w:rPr>
          <w:rFonts w:hint="eastAsia" w:ascii="宋体" w:hAnsi="宋体" w:eastAsia="宋体" w:cs="Courier New"/>
          <w:color w:val="0000ff"/>
          <w:sz w:val="24"/>
          <w:szCs w:val="24"/>
          <w:lang w:val="zh-CN" w:eastAsia="zh-CN"/>
        </w:rPr>
      </w:pPr>
      <w:r>
        <w:rPr>
          <w:rFonts w:hint="eastAsia" w:ascii="宋体" w:hAnsi="宋体" w:eastAsia="宋体" w:cs="Courier New"/>
          <w:color w:val="0000ff"/>
          <w:sz w:val="24"/>
          <w:szCs w:val="24"/>
          <w:lang w:val="zh-CN" w:eastAsia="zh-CN"/>
        </w:rPr>
      </w:r>
      <w:r/>
    </w:p>
    <w:p>
      <w:pPr>
        <w:pStyle w:val="871"/>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 xml:space="preserve">十一、违约责任</w:t>
      </w:r>
      <w:r>
        <w:rPr>
          <w:rFonts w:hint="eastAsia" w:ascii="宋体" w:hAnsi="宋体" w:eastAsia="宋体" w:cs="Courier New"/>
          <w:b w:val="0"/>
          <w:bCs w:val="0"/>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lang w:val="en-US" w:eastAsia="zh-CN"/>
        </w:rPr>
        <w:t xml:space="preserve">的违约金。</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bookmarkEnd w:id="186"/>
      <w:r/>
      <w:bookmarkEnd w:id="187"/>
      <w:r/>
      <w:bookmarkEnd w:id="188"/>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3"/>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2"/>
      <w:r/>
      <w:bookmarkEnd w:id="44"/>
      <w:r/>
      <w:bookmarkEnd w:id="45"/>
      <w:r>
        <w:rPr>
          <w:rFonts w:hint="eastAsia" w:ascii="方正小标宋简体" w:hAnsi="方正小标宋简体" w:eastAsia="方正小标宋简体" w:cs="方正小标宋简体"/>
          <w:color w:val="000000"/>
          <w:sz w:val="36"/>
          <w:szCs w:val="36"/>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89" w:name="_Toc26554093"/>
      <w:r/>
      <w:bookmarkStart w:id="190"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根据南京市城市治理评价工作要求，为落实市级数字城管采集巡查工作任务，南京市城市管理局决定开展2026-2028年市级数字城管信息采集服务项⽬招标工作。</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（二）项目建设遵循标准</w:t>
      </w:r>
      <w:r>
        <w:rPr>
          <w:rFonts w:hint="eastAsia" w:ascii="宋体" w:hAnsi="宋体" w:eastAsia="宋体" w:cs="Times New Roman"/>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Times New Roman"/>
          <w:bCs w:val="0"/>
          <w:color w:val="000000"/>
          <w:sz w:val="24"/>
          <w:szCs w:val="24"/>
          <w:lang w:eastAsia="zh-CN"/>
        </w:rPr>
      </w:pPr>
      <w:r>
        <w:rPr>
          <w:rFonts w:hint="eastAsia" w:ascii="宋体" w:hAnsi="宋体" w:eastAsia="宋体" w:cs="Times New Roman"/>
          <w:bCs w:val="0"/>
          <w:color w:val="000000"/>
          <w:sz w:val="24"/>
          <w:szCs w:val="24"/>
          <w:lang w:val="en-US" w:eastAsia="zh-CN"/>
        </w:rPr>
        <w:t xml:space="preserve">遵循国家、行业及地方现行的规范和标准。</w:t>
      </w:r>
      <w:r>
        <w:rPr>
          <w:rFonts w:hint="eastAsia" w:ascii="宋体" w:hAnsi="宋体" w:eastAsia="宋体" w:cs="Times New Roman"/>
          <w:bCs w:val="0"/>
          <w:color w:val="000000"/>
          <w:sz w:val="24"/>
          <w:szCs w:val="24"/>
          <w:lang w:eastAsia="zh-CN"/>
        </w:rPr>
      </w:r>
      <w:r/>
    </w:p>
    <w:p>
      <w:pPr>
        <w:pStyle w:val="871"/>
        <w:numPr>
          <w:ilvl w:val="0"/>
          <w:numId w:val="5"/>
        </w:num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93"/>
        <w:tblW w:w="514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55"/>
        <w:gridCol w:w="754"/>
        <w:gridCol w:w="716"/>
        <w:gridCol w:w="1052"/>
        <w:gridCol w:w="1064"/>
        <w:gridCol w:w="1323"/>
        <w:gridCol w:w="1094"/>
        <w:gridCol w:w="1128"/>
        <w:gridCol w:w="1005"/>
      </w:tblGrid>
      <w:tr>
        <w:trPr>
          <w:trHeight w:val="470"/>
        </w:trPr>
        <w:tc>
          <w:tcPr>
            <w:tcW w:w="27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67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7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2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71"/>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65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54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5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w:t>
            </w:r>
            <w:r>
              <w:rPr>
                <w:rFonts w:hint="eastAsia" w:ascii="宋体" w:hAnsi="宋体" w:eastAsia="宋体" w:cs="宋体"/>
                <w:bCs/>
                <w:color w:val="000000"/>
                <w:sz w:val="24"/>
                <w:szCs w:val="24"/>
                <w:lang w:eastAsia="zh-CN"/>
              </w:rPr>
            </w:r>
            <w:r/>
          </w:p>
        </w:tc>
        <w:tc>
          <w:tcPr>
            <w:tcW w:w="5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备注</w:t>
            </w:r>
            <w:r>
              <w:rPr>
                <w:rFonts w:hint="eastAsia" w:ascii="宋体" w:hAnsi="宋体" w:eastAsia="宋体" w:cs="宋体"/>
                <w:bCs/>
                <w:color w:val="000000"/>
                <w:sz w:val="24"/>
                <w:szCs w:val="24"/>
                <w:lang w:eastAsia="zh-CN"/>
              </w:rPr>
            </w:r>
            <w:r/>
          </w:p>
        </w:tc>
      </w:tr>
      <w:tr>
        <w:trPr>
          <w:trHeight w:val="597"/>
        </w:trPr>
        <w:tc>
          <w:tcPr>
            <w:tcW w:w="27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67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color w:val="000000"/>
                <w:sz w:val="21"/>
                <w:szCs w:val="21"/>
                <w:lang w:val="en-US" w:eastAsia="en-US" w:bidi="ar-SA"/>
              </w:rPr>
              <w:t xml:space="preserve">市级数字城管信息采集服务</w:t>
            </w:r>
            <w:r>
              <w:rPr>
                <w:rFonts w:hint="eastAsia" w:ascii="宋体" w:hAnsi="宋体" w:eastAsia="宋体" w:cs="Times New Roman"/>
                <w:bCs/>
                <w:color w:val="000000"/>
                <w:sz w:val="24"/>
                <w:szCs w:val="24"/>
              </w:rPr>
            </w:r>
            <w:r/>
          </w:p>
        </w:tc>
        <w:tc>
          <w:tcPr>
            <w:tcW w:w="37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23"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主要产品</w:t>
            </w:r>
            <w:r>
              <w:rPr>
                <w:rFonts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w:t>
            </w:r>
            <w:r>
              <w:rPr>
                <w:rFonts w:ascii="宋体" w:hAnsi="宋体" w:eastAsia="宋体" w:cs="Times New Roman"/>
                <w:bCs/>
                <w:color w:val="000000"/>
                <w:sz w:val="24"/>
                <w:szCs w:val="24"/>
                <w:lang w:val="en-US" w:eastAsia="zh-CN"/>
              </w:rPr>
            </w:r>
            <w:r/>
          </w:p>
        </w:tc>
        <w:tc>
          <w:tcPr>
            <w:tcW w:w="65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54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5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数据服务</w:t>
            </w:r>
            <w:r>
              <w:rPr>
                <w:rFonts w:hint="eastAsia" w:ascii="宋体" w:hAnsi="宋体" w:eastAsia="宋体" w:cs="宋体"/>
                <w:bCs/>
                <w:color w:val="000000"/>
                <w:sz w:val="24"/>
                <w:szCs w:val="24"/>
                <w:lang w:eastAsia="zh-CN"/>
              </w:rPr>
            </w:r>
            <w:r/>
          </w:p>
        </w:tc>
        <w:tc>
          <w:tcPr>
            <w:tcW w:w="500"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r>
            <w:r/>
          </w:p>
        </w:tc>
      </w:tr>
    </w:tbl>
    <w:p>
      <w:pPr>
        <w:pStyle w:val="883"/>
        <w:numPr>
          <w:ilvl w:val="0"/>
          <w:numId w:val="0"/>
        </w:numPr>
        <w:rPr>
          <w:rFonts w:hint="eastAsia"/>
          <w:lang w:eastAsia="zh-CN"/>
        </w:rPr>
      </w:pPr>
      <w:r>
        <w:rPr>
          <w:rFonts w:hint="eastAsia"/>
          <w:lang w:eastAsia="zh-CN"/>
        </w:rPr>
      </w:r>
      <w:r/>
    </w:p>
    <w:p>
      <w:pPr>
        <w:pStyle w:val="871"/>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rPr>
        <w:outlineLvl w:val="1"/>
      </w:pP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bCs w:val="0"/>
          <w:color w:val="000000"/>
          <w:sz w:val="24"/>
          <w:szCs w:val="24"/>
        </w:rPr>
      </w:r>
      <w:r/>
    </w:p>
    <w:p>
      <w:pPr>
        <w:pStyle w:val="883"/>
        <w:numPr>
          <w:ilvl w:val="0"/>
          <w:numId w:val="0"/>
        </w:numPr>
        <w:ind w:firstLine="0"/>
        <w:rPr>
          <w:rFonts w:eastAsia="宋体"/>
          <w:lang w:val="en-US" w:eastAsia="zh-CN"/>
        </w:rPr>
      </w:pPr>
      <w:r>
        <w:rPr>
          <w:rFonts w:hint="eastAsia"/>
          <w:lang w:val="en-US" w:eastAsia="zh-CN"/>
        </w:rPr>
        <w:t xml:space="preserve">     </w:t>
      </w:r>
      <w:r>
        <w:rPr>
          <w:rFonts w:hint="eastAsia"/>
        </w:rPr>
        <w:t xml:space="preserve">供应商需提供实施方案、数据分析及投诉处理方案、组织方案、人员配备方案、质量管理方案等内容保障项目顺利实施。</w:t>
      </w:r>
      <w:r>
        <w:rPr>
          <w:rFonts w:eastAsia="宋体"/>
          <w:lang w:val="en-US" w:eastAsia="zh-CN"/>
        </w:rPr>
      </w:r>
      <w:r/>
    </w:p>
    <w:p>
      <w:pPr>
        <w:pStyle w:val="871"/>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1"/>
          <w:szCs w:val="21"/>
        </w:rPr>
        <w:t xml:space="preserve">（一）技术要求</w:t>
      </w:r>
      <w:r>
        <w:rPr>
          <w:rFonts w:hint="eastAsia" w:ascii="宋体" w:hAnsi="宋体" w:eastAsia="宋体" w:cs="宋体"/>
          <w:color w:val="000000"/>
          <w:sz w:val="21"/>
          <w:szCs w:val="21"/>
        </w:rPr>
      </w:r>
      <w:r/>
    </w:p>
    <w:p>
      <w:pPr>
        <w:pStyle w:val="871"/>
        <w:ind w:left="0" w:right="0" w:firstLine="420"/>
        <w:jc w:val="left"/>
        <w:keepLines w:val="0"/>
        <w:keepNext w:val="0"/>
        <w:pageBreakBefore w:val="0"/>
        <w:spacing w:before="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lang w:val="en-US" w:eastAsia="zh-CN" w:bidi="ar-SA"/>
        </w:rPr>
        <w:t xml:space="preserve">1.项目管理</w:t>
      </w:r>
      <w:r>
        <w:rPr>
          <w:rFonts w:ascii="宋体" w:hAnsi="宋体" w:eastAsia="宋体" w:cs="宋体"/>
          <w:color w:val="000000"/>
          <w:sz w:val="21"/>
          <w:szCs w:val="21"/>
          <w:lang w:val="en-US" w:eastAsia="zh-CN" w:bidi="ar-SA"/>
        </w:rPr>
      </w:r>
      <w:r/>
    </w:p>
    <w:tbl>
      <w:tblPr>
        <w:tblStyle w:val="993"/>
        <w:tblW w:w="9755"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0"/>
        <w:gridCol w:w="1485"/>
        <w:gridCol w:w="7500"/>
      </w:tblGrid>
      <w:tr>
        <w:trPr>
          <w:trHeight w:val="516"/>
        </w:trPr>
        <w:tc>
          <w:tcPr>
            <w:tcW w:w="770" w:type="dxa"/>
            <w:vAlign w:val="top"/>
            <w:textDirection w:val="lrTb"/>
            <w:noWrap w:val="false"/>
          </w:tcPr>
          <w:p>
            <w:pPr>
              <w:pStyle w:val="871"/>
              <w:jc w:val="center"/>
              <w:spacing w:before="124" w:line="221"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2"/>
                <w:sz w:val="21"/>
                <w:szCs w:val="21"/>
                <w:lang w:val="en-US" w:eastAsia="en-US" w:bidi="ar-SA"/>
              </w:rPr>
              <w:t xml:space="preserve">序号</w:t>
            </w:r>
            <w:r>
              <w:rPr>
                <w:rFonts w:hint="eastAsia" w:ascii="宋体" w:hAnsi="宋体" w:eastAsia="宋体" w:cs="宋体"/>
                <w:color w:val="000000"/>
                <w:sz w:val="21"/>
                <w:szCs w:val="21"/>
                <w:lang w:val="en-US" w:eastAsia="en-US" w:bidi="ar-SA"/>
              </w:rPr>
            </w:r>
            <w:r/>
          </w:p>
        </w:tc>
        <w:tc>
          <w:tcPr>
            <w:tcW w:w="1485" w:type="dxa"/>
            <w:vAlign w:val="top"/>
            <w:textDirection w:val="lrTb"/>
            <w:noWrap w:val="false"/>
          </w:tcPr>
          <w:p>
            <w:pPr>
              <w:pStyle w:val="871"/>
              <w:ind w:left="0"/>
              <w:jc w:val="center"/>
              <w:spacing w:before="124" w:line="222"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3"/>
                <w:sz w:val="21"/>
                <w:szCs w:val="21"/>
                <w:lang w:val="en-US" w:eastAsia="en-US" w:bidi="ar-SA"/>
              </w:rPr>
              <w:t xml:space="preserve">名称</w:t>
            </w:r>
            <w:r>
              <w:rPr>
                <w:rFonts w:hint="eastAsia" w:ascii="宋体" w:hAnsi="宋体" w:eastAsia="宋体" w:cs="宋体"/>
                <w:color w:val="000000"/>
                <w:sz w:val="21"/>
                <w:szCs w:val="21"/>
                <w:lang w:val="en-US" w:eastAsia="en-US" w:bidi="ar-SA"/>
              </w:rPr>
            </w:r>
            <w:r/>
          </w:p>
        </w:tc>
        <w:tc>
          <w:tcPr>
            <w:tcW w:w="7500" w:type="dxa"/>
            <w:vAlign w:val="top"/>
            <w:textDirection w:val="lrTb"/>
            <w:noWrap w:val="false"/>
          </w:tcPr>
          <w:p>
            <w:pPr>
              <w:pStyle w:val="871"/>
              <w:ind w:left="0"/>
              <w:jc w:val="center"/>
              <w:spacing w:before="124" w:line="221"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1"/>
                <w:sz w:val="21"/>
                <w:szCs w:val="21"/>
                <w:lang w:val="en-US" w:eastAsia="zh-CN" w:bidi="ar-SA"/>
              </w:rPr>
              <w:t xml:space="preserve">具体</w:t>
            </w:r>
            <w:r>
              <w:rPr>
                <w:rFonts w:hint="eastAsia" w:ascii="宋体" w:hAnsi="宋体" w:eastAsia="宋体" w:cs="宋体"/>
                <w:color w:val="000000"/>
                <w:spacing w:val="-1"/>
                <w:sz w:val="21"/>
                <w:szCs w:val="21"/>
                <w:lang w:val="en-US" w:eastAsia="en-US" w:bidi="ar-SA"/>
              </w:rPr>
              <w:t xml:space="preserve">要求</w:t>
            </w:r>
            <w:r>
              <w:rPr>
                <w:rFonts w:hint="eastAsia" w:ascii="宋体" w:hAnsi="宋体" w:eastAsia="宋体" w:cs="宋体"/>
                <w:color w:val="000000"/>
                <w:sz w:val="21"/>
                <w:szCs w:val="21"/>
                <w:lang w:val="en-US" w:eastAsia="en-US"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en-US"/>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总体要求</w:t>
            </w:r>
            <w:r>
              <w:rPr>
                <w:rFonts w:hint="eastAsia" w:ascii="宋体" w:hAnsi="宋体" w:eastAsia="宋体" w:cs="宋体"/>
                <w:color w:val="000000"/>
                <w:sz w:val="21"/>
                <w:szCs w:val="21"/>
                <w:highlight w:val="none"/>
                <w:lang w:val="en-US" w:eastAsia="zh-CN"/>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与采购人全面对接，并做好人员团队与车辆装备的统筹管理，应按照南京市劳务用工有关规定签订劳动合同，并依法缴纳必要的社会保险。项目经理必须由投标人本单位员工担任。人员用工制度应符合南京市有关规定。</w:t>
            </w:r>
            <w:r>
              <w:rPr>
                <w:rFonts w:hint="eastAsia" w:ascii="宋体" w:hAnsi="宋体" w:eastAsia="宋体" w:cs="宋体"/>
                <w:color w:val="000000"/>
                <w:sz w:val="21"/>
                <w:szCs w:val="21"/>
                <w:highlight w:val="none"/>
                <w:lang w:val="en-US" w:eastAsia="zh-CN"/>
              </w:rPr>
            </w:r>
            <w:r/>
          </w:p>
        </w:tc>
      </w:tr>
      <w:tr>
        <w:trPr>
          <w:trHeight w:val="1156"/>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信息采集员</w:t>
            </w:r>
            <w:r>
              <w:rPr>
                <w:rFonts w:hint="eastAsia" w:ascii="宋体" w:hAnsi="宋体" w:eastAsia="宋体" w:cs="宋体"/>
                <w:color w:val="000000"/>
                <w:sz w:val="21"/>
                <w:szCs w:val="21"/>
                <w:highlight w:val="none"/>
                <w:lang w:val="en-US" w:eastAsia="zh-CN"/>
              </w:rPr>
            </w:r>
            <w:r/>
          </w:p>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信息采集员不少于90人，负责现场片区化巡查，通过移动终端采集上报城市部件、事件问题，并开展核实核查及专项巡查等工作。供应商需配备专用城管通终端设备，并满足巡查要求。管理及保障人员按工作任务合理配备。信息采集员应身体健康，具有较强责任心和事业心；大专及以上学历，年龄45岁以下。</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2.以上所有人员应按照劳务用工有关规定签订劳动合同，并依法缴纳必要的社会保险。人员用工制度应符合有关规定。</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3.信息采集员可以是供应商本单位员工或劳务派遣，本单位员工占比不得低于 40%。人员用工制度应符合南京市有关规定。</w:t>
            </w:r>
            <w:r>
              <w:rPr>
                <w:rFonts w:hint="eastAsia" w:ascii="宋体" w:hAnsi="宋体" w:eastAsia="宋体" w:cs="宋体"/>
                <w:color w:val="000000"/>
                <w:sz w:val="21"/>
                <w:szCs w:val="21"/>
                <w:highlight w:val="none"/>
                <w:lang w:val="en-US" w:eastAsia="zh-CN" w:bidi="ar-SA"/>
              </w:rPr>
            </w:r>
            <w:r/>
          </w:p>
        </w:tc>
      </w:tr>
      <w:tr>
        <w:trPr>
          <w:trHeight w:val="1332"/>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rPr>
              <w:t xml:space="preserve">数字平台座席受理员</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数字平台座席受理员不少于25人，负责通过系统平台受理巡查员上报、市民投诉举报及领导交办的各类问题，进行案件登记、分类、派遣及跟踪反馈，并开展数据统计分析等工作。投标人需按平台要求配置办公电脑等工作设施设备。座席受理员应身体健康，具有较强责任心和事业心；本科及以上学历，年龄45岁以下。</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2.以上所有人员应按照劳务用工有关规定签订劳动合同，并依法缴纳必要的社会保险。人员用工制度应符合有关规定。</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3、数字平台座席受理员可以是投标人本单位员工或劳务派遣，本单位员工占比不得低于40%。人员用工制度应符合南京市有关规定。</w:t>
            </w:r>
            <w:r>
              <w:rPr>
                <w:rFonts w:hint="eastAsia" w:ascii="宋体" w:hAnsi="宋体" w:eastAsia="宋体" w:cs="宋体"/>
                <w:color w:val="000000"/>
                <w:sz w:val="21"/>
                <w:szCs w:val="21"/>
                <w:highlight w:val="none"/>
                <w:lang w:val="en-US" w:eastAsia="zh-CN" w:bidi="ar-SA"/>
              </w:rPr>
            </w:r>
            <w:r/>
          </w:p>
        </w:tc>
      </w:tr>
      <w:tr>
        <w:trPr>
          <w:trHeight w:val="1901"/>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rPr>
              <w:t xml:space="preserve">智能采集设备技术保障人员</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智能采集设备技术保障人员需保障智能采集设备稳定运行与数据可靠，实现图片、视频等数据的实时传输与存储备份；监控传输质量及数据完整性，确保数据传输满足业务需求；落实数据安全防护、权限管理与操作留痕，防范泄露篡改风险，实现智能采集全流程高效闭环。</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2.智能采集设备技术保障人员不少于6人，身体健康，具有较强责任心和事业心；本科及以上学历，年龄45岁以下。</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3.以上所有人员应按照劳务用工有关规定签订劳动合同，并依法缴纳必要的社会保险。人员用工制度应符合有关规定。</w:t>
            </w:r>
            <w:r>
              <w:rPr>
                <w:rFonts w:hint="eastAsia" w:ascii="宋体" w:hAnsi="宋体" w:eastAsia="宋体" w:cs="宋体"/>
                <w:color w:val="000000"/>
                <w:sz w:val="21"/>
                <w:szCs w:val="21"/>
                <w:highlight w:val="none"/>
                <w:lang w:val="en-US" w:eastAsia="zh-CN"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rPr>
              <w:t xml:space="preserve">团队管理人员</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1.团队管理人员不少于15人，优先选派有相关经验的人员担任，身体健康，具有较强责任心和事业心。</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2.以上所有人员应按照劳务用工有关规定签订劳动合同，并依法缴纳必要的社会保险。人员用工制度应符合有关规定。</w:t>
            </w:r>
            <w:r>
              <w:rPr>
                <w:rFonts w:hint="eastAsia" w:ascii="宋体" w:hAnsi="宋体" w:eastAsia="宋体" w:cs="宋体"/>
                <w:color w:val="000000"/>
                <w:sz w:val="21"/>
                <w:szCs w:val="21"/>
                <w:highlight w:val="none"/>
                <w:lang w:val="en-US" w:eastAsia="zh-CN"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无人机操作员</w:t>
            </w:r>
            <w:r>
              <w:rPr>
                <w:rFonts w:hint="eastAsia" w:ascii="宋体" w:hAnsi="宋体" w:eastAsia="宋体" w:cs="宋体"/>
                <w:b w:val="0"/>
                <w:bCs w:val="0"/>
                <w:color w:val="000000"/>
                <w:sz w:val="21"/>
                <w:szCs w:val="21"/>
                <w:highlight w:val="none"/>
              </w:rPr>
            </w:r>
            <w:r/>
          </w:p>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lang w:val="en-US" w:eastAsia="zh-CN"/>
              </w:rPr>
            </w:pPr>
            <w:r>
              <w:rPr>
                <w:rFonts w:ascii="Times New Roman" w:hAnsi="Times New Roman" w:eastAsia="宋体" w:cs="Times New Roman"/>
                <w:color w:val="000000"/>
                <w:sz w:val="21"/>
                <w:szCs w:val="21"/>
                <w:highlight w:val="none"/>
                <w:lang w:val="en-US" w:eastAsia="zh-CN"/>
              </w:rPr>
              <w:t xml:space="preserve">1</w:t>
            </w:r>
            <w:r>
              <w:rPr>
                <w:rFonts w:hint="eastAsia"/>
                <w:lang w:val="en-US" w:eastAsia="zh-CN"/>
              </w:rPr>
              <w:t xml:space="preserve">.</w:t>
            </w:r>
            <w:r>
              <w:rPr>
                <w:rFonts w:ascii="Times New Roman" w:hAnsi="Times New Roman" w:eastAsia="宋体" w:cs="Times New Roman"/>
                <w:color w:val="000000"/>
                <w:sz w:val="21"/>
                <w:szCs w:val="21"/>
                <w:highlight w:val="none"/>
                <w:lang w:val="en-US" w:eastAsia="zh-CN"/>
              </w:rPr>
              <w:t xml:space="preserve">无人机操作员不少</w:t>
            </w:r>
            <w:r>
              <w:rPr>
                <w:rFonts w:ascii="Times New Roman" w:hAnsi="Times New Roman" w:eastAsia="宋体" w:cs="Times New Roman"/>
                <w:color w:val="000000"/>
                <w:sz w:val="21"/>
                <w:szCs w:val="21"/>
                <w:highlight w:val="none"/>
                <w:lang w:val="en-US" w:eastAsia="zh-CN"/>
              </w:rPr>
              <w:t xml:space="preserve">于</w:t>
            </w:r>
            <w:r>
              <w:rPr>
                <w:rFonts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sz w:val="21"/>
                <w:szCs w:val="21"/>
                <w:highlight w:val="none"/>
                <w:lang w:val="en-US" w:eastAsia="zh-CN"/>
              </w:rPr>
              <w:t xml:space="preserve">人，具备</w:t>
            </w:r>
            <w:r>
              <w:rPr>
                <w:rFonts w:ascii="Times New Roman" w:hAnsi="Times New Roman" w:eastAsia="宋体" w:cs="Times New Roman"/>
                <w:b w:val="0"/>
                <w:bCs w:val="0"/>
                <w:color w:val="000000"/>
                <w:sz w:val="21"/>
                <w:szCs w:val="21"/>
                <w:highlight w:val="none"/>
              </w:rPr>
              <w:t xml:space="preserve">中国民用航空局</w:t>
            </w:r>
            <w:r>
              <w:rPr>
                <w:rFonts w:ascii="Times New Roman" w:hAnsi="Times New Roman" w:eastAsia="宋体" w:cs="Times New Roman"/>
                <w:b w:val="0"/>
                <w:bCs w:val="0"/>
                <w:color w:val="000000"/>
                <w:sz w:val="21"/>
                <w:szCs w:val="21"/>
                <w:highlight w:val="none"/>
                <w:lang w:val="en-US" w:eastAsia="zh-CN"/>
              </w:rPr>
              <w:t xml:space="preserve">颁发的</w:t>
            </w:r>
            <w:r>
              <w:rPr>
                <w:rFonts w:ascii="Times New Roman" w:hAnsi="Times New Roman" w:eastAsia="宋体" w:cs="Times New Roman"/>
                <w:color w:val="000000"/>
                <w:sz w:val="21"/>
                <w:szCs w:val="21"/>
                <w:highlight w:val="none"/>
              </w:rPr>
              <w:t xml:space="preserve">CAAC 民用无人驾驶航空器操控员执照</w:t>
            </w:r>
            <w:r>
              <w:rPr>
                <w:rFonts w:hint="eastAsia"/>
                <w:lang w:eastAsia="zh-CN"/>
              </w:rPr>
              <w:t xml:space="preserve">，</w:t>
            </w:r>
            <w:r>
              <w:rPr>
                <w:rFonts w:ascii="Times New Roman" w:hAnsi="Times New Roman" w:eastAsia="宋体" w:cs="Times New Roman"/>
                <w:color w:val="000000"/>
                <w:sz w:val="21"/>
                <w:szCs w:val="21"/>
                <w:highlight w:val="none"/>
                <w:lang w:val="en-US" w:eastAsia="zh-CN"/>
              </w:rPr>
              <w:t xml:space="preserve">身体健康，具有较强责任心和事业心</w:t>
            </w:r>
            <w:r>
              <w:rPr>
                <w:rFonts w:hint="eastAsia"/>
                <w:lang w:val="en-US" w:eastAsia="zh-CN"/>
              </w:rPr>
              <w:t xml:space="preserve">。</w:t>
            </w:r>
            <w:r>
              <w:rPr>
                <w:rFonts w:hint="eastAsia"/>
                <w:lang w:val="en-US" w:eastAsia="zh-CN"/>
              </w:rPr>
            </w:r>
            <w:r/>
          </w:p>
          <w:p>
            <w:pPr>
              <w:pStyle w:val="871"/>
              <w:jc w:val="left"/>
              <w:widowControl/>
              <w:rPr>
                <w:rFonts w:ascii="Times New Roman" w:hAnsi="Times New Roman" w:eastAsia="宋体" w:cs="Times New Roman"/>
                <w:color w:val="000000"/>
                <w:sz w:val="21"/>
                <w:szCs w:val="21"/>
                <w:highlight w:val="none"/>
                <w:lang w:val="en-US" w:eastAsia="zh-CN" w:bidi="ar-SA"/>
              </w:rPr>
            </w:pPr>
            <w:r>
              <w:rPr>
                <w:rFonts w:hint="eastAsia"/>
                <w:lang w:val="en-US" w:eastAsia="zh-CN"/>
              </w:rPr>
              <w:t xml:space="preserve">2.</w:t>
            </w:r>
            <w:r>
              <w:rPr>
                <w:rFonts w:ascii="Times New Roman" w:hAnsi="Times New Roman" w:eastAsia="宋体" w:cs="Times New Roman"/>
                <w:color w:val="000000"/>
                <w:sz w:val="21"/>
                <w:szCs w:val="21"/>
                <w:highlight w:val="none"/>
                <w:lang w:val="en-US" w:eastAsia="zh-CN"/>
              </w:rPr>
              <w:t xml:space="preserve">以上所有人员应按照劳务用工有关规定签订劳动合同，并依法缴纳必要的社会保险。人员用工制度应符合有关规定。</w:t>
            </w:r>
            <w:r>
              <w:rPr>
                <w:rFonts w:ascii="Times New Roman" w:hAnsi="Times New Roman" w:eastAsia="宋体" w:cs="Times New Roman"/>
                <w:color w:val="000000"/>
                <w:sz w:val="21"/>
                <w:szCs w:val="21"/>
                <w:highlight w:val="none"/>
                <w:lang w:val="en-US" w:eastAsia="zh-CN" w:bidi="ar-SA"/>
              </w:rPr>
            </w:r>
            <w:r/>
          </w:p>
        </w:tc>
      </w:tr>
      <w:tr>
        <w:trPr>
          <w:trHeight w:val="1901"/>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机动智能巡查车</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应确保现场采集机动智能巡查专用车辆不少于12辆，须安装车载GPS和车载视频实时传输系统，确保所有现场采集工作全程实时接受采购人监督；以上车辆座位数不少于5座，其中50%以上车辆排量不低于1.8L或同等动力的新能源车。</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2.应配置分辨率支持4K的摄像头，支持强光及多分辨率拍摄模式，具备自动对焦功能，能拍摄30m内静物的清晰图像。具备多张图像连续拍摄能力，支持录像、播放、视频存储功能。</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智能采集机动巡查车基于AI智能识别实现不少于30类城管理事、部件类别。上报问题信息应按照平台数据标准，包含述识别的类型、清晰的照片、准确的定位、详细的问题描述等信息，须对应国标《数字化城市管理信息系统第2部分：管理部和事件》GB/T30428.2)。</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4.具有定位和视频传输功能：具有全方位高精度定位功能，摄像头采集到的视频推流到服务器进行分析处理，并接入市平，确保所有现场采集工作全程实时接受采购人监督。</w:t>
            </w:r>
            <w:r>
              <w:rPr>
                <w:rFonts w:hint="eastAsia" w:ascii="宋体" w:hAnsi="宋体" w:eastAsia="宋体" w:cs="宋体"/>
                <w:color w:val="000000"/>
                <w:sz w:val="21"/>
                <w:szCs w:val="21"/>
                <w:highlight w:val="none"/>
                <w:lang w:val="en-US" w:eastAsia="zh-CN"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专项采集车</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确保现场专项采集车不少于12辆，须安装车载GPS和车载视频实时传输系统，并提供端口接入市平台，确保所有现场采集工作全程实时接受采购人监督；以上车辆座位数不少于5座，其中50%以上车辆排量不低于1.8L或同等动力的新能源车。</w:t>
            </w:r>
            <w:r>
              <w:rPr>
                <w:rFonts w:hint="eastAsia" w:ascii="宋体" w:hAnsi="宋体" w:eastAsia="宋体" w:cs="宋体"/>
                <w:color w:val="000000"/>
                <w:sz w:val="21"/>
                <w:szCs w:val="21"/>
                <w:highlight w:val="none"/>
                <w:lang w:val="en-US" w:eastAsia="zh-CN" w:bidi="ar-SA"/>
              </w:rPr>
            </w:r>
            <w:r/>
          </w:p>
        </w:tc>
      </w:tr>
      <w:tr>
        <w:trPr>
          <w:trHeight w:val="1901"/>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二轮智能巡查车</w:t>
            </w:r>
            <w:r>
              <w:rPr>
                <w:rFonts w:hint="eastAsia" w:ascii="宋体" w:hAnsi="宋体" w:eastAsia="宋体" w:cs="宋体"/>
                <w:b w:val="0"/>
                <w:bCs w:val="0"/>
                <w:color w:val="000000"/>
                <w:sz w:val="21"/>
                <w:szCs w:val="21"/>
                <w:highlight w:val="none"/>
                <w:lang w:val="en-US" w:eastAsia="zh-CN"/>
              </w:rPr>
            </w:r>
            <w:r/>
          </w:p>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1.确保二轮智能巡查车不少于15辆。</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2.摄像头分辨率应大于等于200万像素：应支持强光拍摄模式，具备防抖功能；应支持录像、播放、视频存储功能。</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智能采集二轮巡查车基于AI智能识别实现不少于30类城市管理事、部件类别。上报问题信息应按照平台数据标准，包含上述识别的类型、清晰的照片、准确的定位、详细的问题描述等信息，须对应国标《数字化城市管理信息系统第2部分：管理部件和事件》GB/T30428.2）。</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4.具有定位和视频传输功能：具有全方位高精度定位功能，将摄像头采集到的视频推流到服务器进行分析处理，并接入市平台，确保所有现场采集工作全程实时接受采购人监督。</w:t>
            </w:r>
            <w:r>
              <w:rPr>
                <w:rFonts w:hint="eastAsia" w:ascii="宋体" w:hAnsi="宋体" w:eastAsia="宋体" w:cs="宋体"/>
                <w:color w:val="000000"/>
                <w:sz w:val="21"/>
                <w:szCs w:val="21"/>
                <w:highlight w:val="none"/>
                <w:lang w:val="en-US" w:eastAsia="zh-CN"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应急巡查车及驾驶人员</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投标人应配备用于处理城市管理应急事件的车辆。监督指挥中心对现场采集工作的检查督察、举报核实，由投标人提供车辆和驾驶员，车辆应为1.8T或2.4L以上四驱中型SUV</w:t>
            </w:r>
            <w:r>
              <w:rPr>
                <w:rFonts w:hint="eastAsia"/>
              </w:rPr>
              <w:t xml:space="preserve">或同等动力的新能源车</w:t>
            </w:r>
            <w:r>
              <w:rPr>
                <w:rFonts w:hint="eastAsia" w:ascii="宋体" w:hAnsi="宋体" w:eastAsia="宋体" w:cs="宋体"/>
                <w:color w:val="000000"/>
                <w:sz w:val="21"/>
                <w:szCs w:val="21"/>
                <w:highlight w:val="none"/>
                <w:lang w:val="en-US" w:eastAsia="zh-CN"/>
              </w:rPr>
              <w:t xml:space="preserve">，车龄2年以内，车况良好，凡有故障影响现场督察工作的，即时按上述要求替换；驾驶员应持C照，驾龄6年以上。 </w:t>
            </w:r>
            <w:r>
              <w:rPr>
                <w:rFonts w:hint="eastAsia" w:ascii="宋体" w:hAnsi="宋体" w:eastAsia="宋体" w:cs="宋体"/>
                <w:color w:val="000000"/>
                <w:sz w:val="21"/>
                <w:szCs w:val="21"/>
                <w:highlight w:val="none"/>
                <w:lang w:val="en-US" w:eastAsia="zh-CN" w:bidi="ar-SA"/>
              </w:rPr>
            </w:r>
            <w:r/>
          </w:p>
        </w:tc>
      </w:tr>
      <w:tr>
        <w:trPr>
          <w:trHeight w:val="1901"/>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11</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无人机智能巡查设备</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1.投标人应配备不少于2套无人机智能巡查设备。</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智能采集无人机需配置智能化飞控系统，实现航线自动规划，不同场景具有不同航线模板，实现红外与可见光同时拍摄、自动喊话、自动调整航高飞行等要求。实际作业续航时间应保持15-30分钟，以满足单次覆盖更大区域。</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3.基础巡查有效像素2000万–4800万；分辨率：1080P/2.7K/4K@30fps；最低要求 1080P。</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4.智能采集无人机基于AI智能识别实现不少于30类城市治理小类自动上报。</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高抗风性：抗风等级不低于5级（风速8.0-10.7m/s），保证在城区复杂风场中稳定飞行、悬停和拍摄。</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5.能实现将视频传输到服务器进行分析处理，并接入平台，确保所有现场采集工作全程实时接受采购人监督。</w:t>
            </w:r>
            <w:r>
              <w:rPr>
                <w:rFonts w:hint="eastAsia" w:ascii="宋体" w:hAnsi="宋体" w:eastAsia="宋体" w:cs="宋体"/>
                <w:color w:val="000000"/>
                <w:sz w:val="21"/>
                <w:szCs w:val="21"/>
                <w:highlight w:val="none"/>
                <w:lang w:val="en-US" w:eastAsia="zh-CN" w:bidi="ar-SA"/>
              </w:rPr>
            </w:r>
            <w:r/>
          </w:p>
        </w:tc>
      </w:tr>
      <w:tr>
        <w:trPr>
          <w:trHeight w:val="1901"/>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12</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智能采集系统</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（一）系统要求：</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需配备一套完整的智能采集管理服务系统，具有独立维护、运营、升级系统的能力智能采集管理服务平台，核心服务场景聚焦城市管理全流程的智能化采集与数据应用，包括实时信息、设备检索、数据检索、审核处理、数据复审、轨迹回放、视频回放、统计分析和系统管理等功能，实现智能识别自动上报、智能审核、智能批转派单、设备与作业全程监管、数据智能分析自动生成报告等应用。</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1.智能识别城市管理问题≥30类（符合 GB/T30428.2）；</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2.支持视频实时回传、自动预警、多条件检索、统计导出、环比分析；</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3.具备案件 / 设备 / 配置 / 复审管理及案件智能流转闭环；</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4.支持设备监管、轨迹回放、自动生成各类数据分析报告。 </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（二）算法要求：</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智能识别算法需和当前城市管理领域智能识别算法全终端协同适配，智能识别算法服务要支持以下检测算法识别类型（不限于）：乱堆物料、沿街晾晒、占道经营、暴露垃圾、垃圾箱满溢、非机动车（共享单车）乱停放、道路不洁、道路破损、交通护栏破损等30类及以上。上报问题信息应按照平台数据标准，包含上述识别的类型、清晰的照片、准确的定位、详细的问题描述等信息，须对应国标《数字化城市管理信息系统第2部分：管理部件和事件》GB/T30428.2。识别准确率≥80%。</w:t>
            </w:r>
            <w:r>
              <w:rPr>
                <w:rFonts w:hint="eastAsia" w:ascii="宋体" w:hAnsi="宋体" w:eastAsia="宋体" w:cs="宋体"/>
                <w:color w:val="000000"/>
                <w:sz w:val="21"/>
                <w:szCs w:val="21"/>
                <w:highlight w:val="none"/>
                <w:lang w:val="en-US" w:eastAsia="zh-CN"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13</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Cs w:val="21"/>
                <w:highlight w:val="none"/>
                <w:lang w:val="en-US" w:eastAsia="zh-CN"/>
              </w:rPr>
              <w:t xml:space="preserve">信息化软硬件</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项目服务期间，投标人应配备满足正常开展工作所需的信息化设备，并对配备的信息化设备及时升级。</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车辆均须安装车载定位系统和车载视频实时传输系统，并提供端口接入市平台，确保所有现场采集工作全程实时接受采购人监督；信息采集人员均需配置智能手机一部，能够清晰采集到相应图像并上传系统。</w:t>
            </w:r>
            <w:r>
              <w:rPr>
                <w:rFonts w:hint="eastAsia" w:ascii="宋体" w:hAnsi="宋体" w:eastAsia="宋体" w:cs="宋体"/>
                <w:color w:val="000000"/>
                <w:sz w:val="21"/>
                <w:szCs w:val="21"/>
                <w:highlight w:val="none"/>
                <w:lang w:val="en-US" w:eastAsia="zh-CN" w:bidi="ar-SA"/>
              </w:rPr>
            </w:r>
            <w:r/>
          </w:p>
        </w:tc>
      </w:tr>
    </w:tbl>
    <w:p>
      <w:pPr>
        <w:pStyle w:val="871"/>
        <w:ind w:firstLine="422"/>
        <w:jc w:val="left"/>
        <w:keepLines w:val="0"/>
        <w:keepNext w:val="0"/>
        <w:pageBreakBefore w:val="0"/>
        <w:spacing w:line="360" w:lineRule="auto"/>
        <w:widowControl/>
        <w:rPr>
          <w:rFonts w:ascii="宋体" w:hAnsi="宋体" w:eastAsia="宋体" w:cs="宋体"/>
          <w:b/>
          <w:bCs/>
          <w:color w:val="000000"/>
          <w:sz w:val="21"/>
          <w:szCs w:val="21"/>
          <w:lang w:val="en-US" w:eastAsia="zh-CN"/>
        </w:rPr>
        <w:outlineLvl w:val="2"/>
      </w:pPr>
      <w:r>
        <w:rPr>
          <w:rFonts w:hint="eastAsia" w:ascii="宋体" w:hAnsi="宋体" w:eastAsia="宋体" w:cs="宋体"/>
          <w:b/>
          <w:bCs/>
          <w:color w:val="000000"/>
          <w:sz w:val="21"/>
          <w:szCs w:val="21"/>
          <w:lang w:val="en-US" w:eastAsia="zh-CN"/>
        </w:rPr>
        <w:t xml:space="preserve">2.实施要求</w:t>
      </w:r>
      <w:r>
        <w:rPr>
          <w:rFonts w:ascii="宋体" w:hAnsi="宋体" w:eastAsia="宋体" w:cs="宋体"/>
          <w:b/>
          <w:bCs/>
          <w:color w:val="000000"/>
          <w:sz w:val="21"/>
          <w:szCs w:val="21"/>
          <w:lang w:val="en-US" w:eastAsia="zh-CN"/>
        </w:rPr>
      </w:r>
      <w:r/>
    </w:p>
    <w:tbl>
      <w:tblPr>
        <w:tblStyle w:val="993"/>
        <w:tblW w:w="502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73"/>
        <w:gridCol w:w="1504"/>
        <w:gridCol w:w="7528"/>
      </w:tblGrid>
      <w:tr>
        <w:trPr>
          <w:trHeight w:val="502"/>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序号</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名称</w:t>
            </w:r>
            <w:r>
              <w:rPr>
                <w:rFonts w:hint="eastAsia" w:ascii="宋体" w:hAnsi="宋体" w:eastAsia="宋体" w:cs="宋体"/>
                <w:b w:val="0"/>
                <w:bCs w:val="0"/>
                <w:color w:val="000000"/>
                <w:sz w:val="21"/>
                <w:szCs w:val="21"/>
                <w:lang w:val="en-US" w:eastAsia="zh-CN"/>
              </w:rPr>
            </w:r>
            <w:r/>
          </w:p>
        </w:tc>
        <w:tc>
          <w:tcPr>
            <w:tcW w:w="3838"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采购要求</w:t>
            </w:r>
            <w:r>
              <w:rPr>
                <w:rFonts w:hint="eastAsia" w:ascii="宋体" w:hAnsi="宋体" w:eastAsia="宋体" w:cs="宋体"/>
                <w:b w:val="0"/>
                <w:bCs w:val="0"/>
                <w:color w:val="000000"/>
                <w:sz w:val="21"/>
                <w:szCs w:val="21"/>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1.1</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采集频次 </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工作日以24个车组及15辆二轮车完成58个单元巡查采集任务为基数， 周末、节假日、夜间根据需要安排专项工作或突击任务，具体以南京市城市管理监督指挥中心调度为准。</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1.2</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采集对象 </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对全市11个区、10个开发区、7个窗口地区的116个巡查单元进行数字城管信息采集，各单元按实际情况划分2-4个任务片区，实行地域全覆盖。</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1.3</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采集方式</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采集工作采用车组巡查方式进行，每组配备汽车1辆，工作人员不少于3名（含驾驶员），前往任务单元进行现场采集和核查。采集与核查工作时段应满足南京市城市管理监督指挥中心的要求。</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1.4</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采集数量 </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城（郊园）区每单元每次巡查立案数实行基数管理，应拍尽拍，上不封顶。各类单元基数以监督指挥中心的具体要求为准。随着重大活动和城市治理项目的开展，采集基数或有相应调整。案卷核查以南京市城市管理监督指挥中心数字平台下发为准。</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1.5</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采集标准 </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包括但不仅限于宁政发[2016]178号通知印发的《南京市城市治理考核工作实施意见》，具体以南京市城市管理监督指挥中心制定的考核办法量化标准和实施细则为准。</w:t>
            </w:r>
            <w:r>
              <w:rPr>
                <w:rFonts w:hint="eastAsia" w:ascii="宋体" w:hAnsi="宋体" w:eastAsia="宋体" w:cs="宋体"/>
                <w:b w:val="0"/>
                <w:bCs w:val="0"/>
                <w:color w:val="000000"/>
                <w:sz w:val="21"/>
                <w:szCs w:val="21"/>
                <w:highlight w:val="none"/>
                <w:lang w:val="en-US" w:eastAsia="zh-CN"/>
              </w:rPr>
              <w:t xml:space="preserve">考核标准详见附件。</w:t>
            </w:r>
            <w:r>
              <w:rPr>
                <w:rFonts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1.6</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小微案件现场处置</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对现场采集中符合条件的小微案件进行自查自纠，现场处置，具体条件以监督指挥中心发布的为准。</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1.7</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投诉举报问题现场核查</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对12345、12319、市长信箱、政务微博、微信公众号、舆情快报、媒体曝光、群众来信等载体反映的涉及现场处置的举报案件进行现场核查；对涉及现场采集工作的投诉进行回复处理。</w:t>
            </w:r>
            <w:r>
              <w:rPr>
                <w:rFonts w:hint="eastAsia" w:ascii="宋体" w:hAnsi="宋体" w:eastAsia="宋体" w:cs="宋体"/>
                <w:color w:val="000000"/>
                <w:sz w:val="21"/>
                <w:szCs w:val="21"/>
                <w:highlight w:val="none"/>
                <w:lang w:val="en-US" w:eastAsia="zh-CN"/>
              </w:rPr>
            </w:r>
            <w:r/>
          </w:p>
        </w:tc>
      </w:tr>
      <w:tr>
        <w:trPr>
          <w:trHeight w:val="502"/>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突击任务</w:t>
            </w:r>
            <w:r>
              <w:rPr>
                <w:rFonts w:hint="eastAsia" w:ascii="宋体" w:hAnsi="宋体" w:eastAsia="宋体" w:cs="宋体"/>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在自然灾害、恶劣天气、重大公共事件等情况下，按监督指挥中心指令承担突击任务。</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月度、半年和年度数据分析</w:t>
            </w:r>
            <w:r>
              <w:rPr>
                <w:rFonts w:hint="eastAsia" w:ascii="宋体" w:hAnsi="宋体" w:eastAsia="宋体" w:cs="宋体"/>
                <w:color w:val="000000"/>
                <w:sz w:val="21"/>
                <w:szCs w:val="21"/>
                <w:highlight w:val="none"/>
                <w:lang w:val="en-US" w:eastAsia="zh-CN"/>
              </w:rPr>
            </w:r>
            <w:r/>
          </w:p>
        </w:tc>
        <w:tc>
          <w:tcPr>
            <w:tcW w:w="3838"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按采购人要求的条件，对接监督指挥中心，月度、半年和年度撰写市级数字平台大数据分析报告，经采购人审定后印刷装册，以采购人名义发布。</w:t>
            </w:r>
            <w:r>
              <w:rPr>
                <w:rFonts w:hint="eastAsia" w:ascii="宋体" w:hAnsi="宋体" w:eastAsia="宋体" w:cs="宋体"/>
                <w:color w:val="000000"/>
                <w:sz w:val="21"/>
                <w:szCs w:val="21"/>
                <w:highlight w:val="none"/>
                <w:lang w:val="en-US" w:eastAsia="zh-CN"/>
              </w:rPr>
            </w:r>
            <w:r/>
          </w:p>
        </w:tc>
      </w:tr>
      <w:tr>
        <w:trPr>
          <w:trHeight w:val="502"/>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1.10</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专项采集</w:t>
            </w:r>
            <w:r>
              <w:rPr>
                <w:rFonts w:hint="eastAsia" w:ascii="宋体" w:hAnsi="宋体" w:eastAsia="宋体" w:cs="宋体"/>
                <w:color w:val="000000"/>
                <w:sz w:val="21"/>
                <w:szCs w:val="21"/>
                <w:highlight w:val="none"/>
                <w:lang w:val="en-US" w:eastAsia="zh-CN"/>
              </w:rPr>
            </w:r>
            <w:r/>
          </w:p>
        </w:tc>
        <w:tc>
          <w:tcPr>
            <w:tcW w:w="3838"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1.每年组织文明城市创建迎复查工作专项采集，并在常态化采集中纳入文明城市相关项目。</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2.每年组织综合管理单元长效管理工作专项采集。 </w:t>
            </w:r>
            <w:r>
              <w:rPr>
                <w:rFonts w:hint="eastAsia" w:ascii="宋体" w:hAnsi="宋体" w:eastAsia="宋体" w:cs="宋体"/>
                <w:color w:val="000000"/>
                <w:sz w:val="21"/>
                <w:szCs w:val="21"/>
                <w:highlight w:val="none"/>
                <w:lang w:val="en-US" w:eastAsia="zh-CN"/>
              </w:rPr>
            </w:r>
            <w:r/>
          </w:p>
        </w:tc>
      </w:tr>
      <w:tr>
        <w:trPr>
          <w:trHeight w:val="502"/>
        </w:trPr>
        <w:tc>
          <w:tcPr>
            <w:tcW w:w="394"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1.11</w:t>
            </w:r>
            <w:r>
              <w:rPr>
                <w:rFonts w:ascii="宋体" w:hAnsi="宋体" w:eastAsia="宋体" w:cs="宋体"/>
                <w:color w:val="000000"/>
                <w:sz w:val="21"/>
                <w:szCs w:val="21"/>
                <w:highlight w:val="none"/>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智能化采集</w:t>
            </w:r>
            <w:r>
              <w:rPr>
                <w:rFonts w:ascii="宋体" w:hAnsi="宋体" w:eastAsia="宋体" w:cs="宋体"/>
                <w:color w:val="000000"/>
                <w:sz w:val="21"/>
                <w:szCs w:val="21"/>
                <w:highlight w:val="none"/>
                <w:lang w:val="en-US" w:eastAsia="zh-CN"/>
              </w:rPr>
            </w:r>
            <w:r/>
          </w:p>
        </w:tc>
        <w:tc>
          <w:tcPr>
            <w:tcW w:w="3838"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结合采购人需求，依托无人机、二轮智能采集车、机动智能巡查车构建全方位采集体系：无人机聚焦主次干道高空及隐蔽区域、背街小巷集中片区开展立体采集，二轮智能车重点覆盖背街小巷等狭窄区域实现精细化采集，机动智能巡查车以主次干道为核心开展大范围高效采集；三种设备协同联动、各有侧重，中标人需负责设备维护并响应采购人临时及常态化采集指令，全面支撑城市精细化管理。</w:t>
            </w:r>
            <w:r>
              <w:rPr>
                <w:rFonts w:hint="eastAsia" w:ascii="宋体" w:hAnsi="宋体" w:eastAsia="宋体" w:cs="宋体"/>
                <w:color w:val="000000"/>
                <w:sz w:val="21"/>
                <w:szCs w:val="21"/>
                <w:highlight w:val="none"/>
                <w:lang w:val="en-US" w:eastAsia="zh-CN"/>
              </w:rPr>
            </w:r>
            <w:r/>
          </w:p>
        </w:tc>
      </w:tr>
      <w:tr>
        <w:trPr>
          <w:trHeight w:val="502"/>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其他要求</w:t>
            </w:r>
            <w:r>
              <w:rPr>
                <w:rFonts w:hint="eastAsia" w:ascii="宋体" w:hAnsi="宋体" w:eastAsia="宋体" w:cs="宋体"/>
                <w:color w:val="000000"/>
                <w:sz w:val="21"/>
                <w:szCs w:val="21"/>
                <w:highlight w:val="none"/>
                <w:lang w:val="en-US" w:eastAsia="zh-CN"/>
              </w:rPr>
            </w:r>
            <w:r/>
          </w:p>
        </w:tc>
        <w:tc>
          <w:tcPr>
            <w:tcW w:w="3838"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1.供应商签订合同时，承诺本项目服务期内不从事南京市范围内区级（含街道）数字城管信息采集服务。</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2.考核细则见附件；本项目服务期内，采购人有权根据市政府与上级部门考核要求，对考核办法与实施细则进行相应调整。</w:t>
            </w:r>
            <w:r>
              <w:rPr>
                <w:rFonts w:hint="eastAsia" w:ascii="宋体" w:hAnsi="宋体" w:eastAsia="宋体" w:cs="宋体"/>
                <w:color w:val="000000"/>
                <w:sz w:val="21"/>
                <w:szCs w:val="21"/>
                <w:highlight w:val="none"/>
                <w:lang w:val="en-US" w:eastAsia="zh-CN"/>
              </w:rPr>
            </w:r>
            <w:r/>
          </w:p>
        </w:tc>
      </w:tr>
    </w:tbl>
    <w:p>
      <w:pPr>
        <w:pStyle w:val="871"/>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r>
      <w:r/>
    </w:p>
    <w:p>
      <w:pPr>
        <w:pStyle w:val="871"/>
        <w:ind w:firstLine="422"/>
        <w:jc w:val="left"/>
        <w:keepLines w:val="0"/>
        <w:keepNext w:val="0"/>
        <w:pageBreakBefore w:val="0"/>
        <w:spacing w:line="360" w:lineRule="auto"/>
        <w:widowControl/>
        <w:rPr>
          <w:rFonts w:ascii="宋体" w:hAnsi="宋体" w:eastAsia="宋体" w:cs="宋体"/>
          <w:b/>
          <w:bCs/>
          <w:color w:val="000000"/>
          <w:sz w:val="21"/>
          <w:szCs w:val="21"/>
          <w:lang w:val="en-US" w:eastAsia="zh-CN"/>
        </w:rPr>
        <w:outlineLvl w:val="2"/>
      </w:pPr>
      <w:r>
        <w:rPr>
          <w:rFonts w:hint="eastAsia" w:ascii="宋体" w:hAnsi="宋体" w:eastAsia="宋体" w:cs="宋体"/>
          <w:b/>
          <w:bCs/>
          <w:color w:val="000000"/>
          <w:sz w:val="21"/>
          <w:szCs w:val="21"/>
          <w:lang w:val="en-US" w:eastAsia="zh-CN"/>
        </w:rPr>
        <w:t xml:space="preserve">3.服务要求</w:t>
      </w:r>
      <w:r>
        <w:rPr>
          <w:rFonts w:ascii="宋体" w:hAnsi="宋体" w:eastAsia="宋体" w:cs="宋体"/>
          <w:b/>
          <w:bCs/>
          <w:color w:val="000000"/>
          <w:sz w:val="21"/>
          <w:szCs w:val="21"/>
          <w:lang w:val="en-US" w:eastAsia="zh-CN"/>
        </w:rPr>
      </w:r>
      <w:r/>
    </w:p>
    <w:tbl>
      <w:tblPr>
        <w:tblW w:w="489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80"/>
        <w:gridCol w:w="1470"/>
        <w:gridCol w:w="7507"/>
      </w:tblGrid>
      <w:tr>
        <w:trPr>
          <w:trHeight w:val="90"/>
        </w:trPr>
        <w:tc>
          <w:tcPr>
            <w:tcMar>
              <w:top w:w="100" w:type="dxa"/>
              <w:bottom w:w="100" w:type="dxa"/>
            </w:tcMar>
            <w:tcW w:w="780" w:type="dxa"/>
            <w:vAlign w:val="center"/>
            <w:textDirection w:val="lrTb"/>
            <w:noWrap w:val="false"/>
          </w:tcPr>
          <w:p>
            <w:pPr>
              <w:pStyle w:val="871"/>
              <w:ind w:firstLine="0"/>
              <w:jc w:val="center"/>
              <w:keepLines w:val="0"/>
              <w:keepNext w:val="0"/>
              <w:pageBreakBefore w:val="0"/>
              <w:spacing w:line="360" w:lineRule="auto"/>
              <w:widowControl/>
              <w:rPr>
                <w:rFonts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序号</w:t>
            </w:r>
            <w:r>
              <w:rPr>
                <w:rFonts w:ascii="宋体" w:hAnsi="宋体" w:eastAsia="宋体" w:cs="宋体"/>
                <w:b w:val="0"/>
                <w:bCs w:val="0"/>
                <w:color w:val="000000"/>
                <w:sz w:val="21"/>
                <w:szCs w:val="21"/>
                <w:lang w:val="en-US" w:eastAsia="zh-CN"/>
              </w:rPr>
            </w:r>
            <w:r/>
          </w:p>
        </w:tc>
        <w:tc>
          <w:tcPr>
            <w:tcMar>
              <w:top w:w="100" w:type="dxa"/>
              <w:bottom w:w="100" w:type="dxa"/>
            </w:tcMar>
            <w:tcW w:w="1470"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bidi="ar-SA"/>
              </w:rPr>
              <w:outlineLvl w:val="2"/>
            </w:pPr>
            <w:r>
              <w:rPr>
                <w:rFonts w:hint="eastAsia" w:ascii="宋体" w:hAnsi="宋体" w:eastAsia="宋体" w:cs="宋体"/>
                <w:b w:val="0"/>
                <w:bCs w:val="0"/>
                <w:color w:val="000000"/>
                <w:sz w:val="21"/>
                <w:szCs w:val="21"/>
                <w:lang w:val="en-US" w:eastAsia="zh-CN"/>
              </w:rPr>
              <w:t xml:space="preserve">名称</w:t>
            </w:r>
            <w:r>
              <w:rPr>
                <w:rFonts w:hint="eastAsia" w:ascii="宋体" w:hAnsi="宋体" w:eastAsia="宋体" w:cs="宋体"/>
                <w:b w:val="0"/>
                <w:bCs w:val="0"/>
                <w:color w:val="000000"/>
                <w:sz w:val="21"/>
                <w:szCs w:val="21"/>
                <w:lang w:val="en-US" w:eastAsia="zh-CN" w:bidi="ar-SA"/>
              </w:rPr>
            </w:r>
            <w:r/>
          </w:p>
        </w:tc>
        <w:tc>
          <w:tcPr>
            <w:tcMar>
              <w:top w:w="100" w:type="dxa"/>
              <w:bottom w:w="100" w:type="dxa"/>
            </w:tcMar>
            <w:tcW w:w="7507"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bidi="ar-SA"/>
              </w:rPr>
              <w:outlineLvl w:val="2"/>
            </w:pPr>
            <w:r>
              <w:rPr>
                <w:rFonts w:hint="eastAsia" w:ascii="宋体" w:hAnsi="宋体" w:eastAsia="宋体" w:cs="宋体"/>
                <w:b w:val="0"/>
                <w:bCs w:val="0"/>
                <w:color w:val="000000"/>
                <w:sz w:val="21"/>
                <w:szCs w:val="21"/>
                <w:lang w:val="en-US" w:eastAsia="zh-CN"/>
              </w:rPr>
              <w:t xml:space="preserve">采购要求</w:t>
            </w:r>
            <w:r>
              <w:rPr>
                <w:rFonts w:hint="eastAsia" w:ascii="宋体" w:hAnsi="宋体" w:eastAsia="宋体" w:cs="宋体"/>
                <w:b w:val="0"/>
                <w:bCs w:val="0"/>
                <w:color w:val="000000"/>
                <w:sz w:val="21"/>
                <w:szCs w:val="21"/>
                <w:lang w:val="en-US" w:eastAsia="zh-CN" w:bidi="ar-SA"/>
              </w:rPr>
            </w:r>
            <w:r/>
          </w:p>
        </w:tc>
      </w:tr>
      <w:tr>
        <w:trPr>
          <w:trHeight w:val="90"/>
        </w:trPr>
        <w:tc>
          <w:tcPr>
            <w:tcMar>
              <w:top w:w="100" w:type="dxa"/>
              <w:bottom w:w="100" w:type="dxa"/>
            </w:tcMar>
            <w:tcW w:w="780" w:type="dxa"/>
            <w:vAlign w:val="center"/>
            <w:textDirection w:val="lrTb"/>
            <w:noWrap w:val="false"/>
          </w:tcPr>
          <w:p>
            <w:pPr>
              <w:pStyle w:val="871"/>
              <w:ind w:firstLine="0"/>
              <w:jc w:val="center"/>
              <w:keepLines w:val="0"/>
              <w:keepNext w:val="0"/>
              <w:pageBreakBefore w:val="0"/>
              <w:spacing w:line="360" w:lineRule="auto"/>
              <w:widowControl/>
              <w:rPr>
                <w:rFonts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2.1</w:t>
            </w:r>
            <w:r>
              <w:rPr>
                <w:rFonts w:ascii="宋体" w:hAnsi="宋体" w:eastAsia="宋体" w:cs="宋体"/>
                <w:b w:val="0"/>
                <w:bCs w:val="0"/>
                <w:color w:val="000000"/>
                <w:sz w:val="21"/>
                <w:szCs w:val="21"/>
                <w:lang w:val="en-US" w:eastAsia="zh-CN"/>
              </w:rPr>
            </w:r>
            <w:r/>
          </w:p>
        </w:tc>
        <w:tc>
          <w:tcPr>
            <w:tcMar>
              <w:top w:w="100" w:type="dxa"/>
              <w:bottom w:w="100" w:type="dxa"/>
            </w:tcMar>
            <w:tcW w:w="1470"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工作要求</w:t>
            </w:r>
            <w:r>
              <w:rPr>
                <w:rFonts w:hint="eastAsia" w:ascii="宋体" w:hAnsi="宋体" w:eastAsia="宋体" w:cs="宋体"/>
                <w:b w:val="0"/>
                <w:bCs w:val="0"/>
                <w:color w:val="000000"/>
                <w:sz w:val="21"/>
                <w:szCs w:val="21"/>
                <w:highlight w:val="none"/>
                <w:lang w:val="en-US" w:eastAsia="zh-CN"/>
              </w:rPr>
            </w:r>
            <w:r/>
          </w:p>
        </w:tc>
        <w:tc>
          <w:tcPr>
            <w:tcMar>
              <w:top w:w="100" w:type="dxa"/>
              <w:bottom w:w="100" w:type="dxa"/>
            </w:tcMar>
            <w:tcW w:w="7507" w:type="dxa"/>
            <w:vAlign w:val="center"/>
            <w:textDirection w:val="lrTb"/>
            <w:noWrap w:val="false"/>
          </w:tcPr>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供应商所有采集工作应按照南京市城市管理监督指挥中心的调度计划进行，随机抽取车组前往巡查单元进行巡查采集和案卷核查工作；上报案卷应客观、真实地反映现场情况，及时上传照片；现场工作应符合南京市城市管理监督指挥中心制定的现场工作规范并接受监督指挥中心检查考核。</w:t>
            </w:r>
            <w:r>
              <w:rPr>
                <w:rFonts w:hint="eastAsia" w:ascii="宋体" w:hAnsi="宋体" w:eastAsia="宋体" w:cs="宋体"/>
                <w:b w:val="0"/>
                <w:bCs w:val="0"/>
                <w:color w:val="000000"/>
                <w:sz w:val="21"/>
                <w:szCs w:val="21"/>
                <w:highlight w:val="none"/>
                <w:lang w:val="en-US" w:eastAsia="zh-CN"/>
              </w:rPr>
            </w:r>
            <w:r/>
          </w:p>
        </w:tc>
      </w:tr>
      <w:tr>
        <w:trPr/>
        <w:tc>
          <w:tcPr>
            <w:tcMar>
              <w:top w:w="100" w:type="dxa"/>
              <w:bottom w:w="100" w:type="dxa"/>
            </w:tcMar>
            <w:tcW w:w="780" w:type="dxa"/>
            <w:vAlign w:val="center"/>
            <w:textDirection w:val="lrTb"/>
            <w:noWrap w:val="false"/>
          </w:tcPr>
          <w:p>
            <w:pPr>
              <w:pStyle w:val="871"/>
              <w:ind w:firstLine="0"/>
              <w:jc w:val="center"/>
              <w:keepLines w:val="0"/>
              <w:keepNext w:val="0"/>
              <w:pageBreakBefore w:val="0"/>
              <w:spacing w:line="360" w:lineRule="auto"/>
              <w:widowControl/>
              <w:rPr>
                <w:rFonts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2.2</w:t>
            </w:r>
            <w:r>
              <w:rPr>
                <w:rFonts w:ascii="宋体" w:hAnsi="宋体" w:eastAsia="宋体" w:cs="宋体"/>
                <w:b w:val="0"/>
                <w:bCs w:val="0"/>
                <w:color w:val="000000"/>
                <w:sz w:val="21"/>
                <w:szCs w:val="21"/>
                <w:lang w:val="en-US" w:eastAsia="zh-CN"/>
              </w:rPr>
            </w:r>
            <w:r/>
          </w:p>
        </w:tc>
        <w:tc>
          <w:tcPr>
            <w:tcMar>
              <w:top w:w="100" w:type="dxa"/>
              <w:bottom w:w="100" w:type="dxa"/>
            </w:tcMar>
            <w:tcW w:w="1470"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案卷量要求</w:t>
            </w:r>
            <w:r>
              <w:rPr>
                <w:rFonts w:hint="eastAsia" w:ascii="宋体" w:hAnsi="宋体" w:eastAsia="宋体" w:cs="宋体"/>
                <w:b w:val="0"/>
                <w:bCs w:val="0"/>
                <w:color w:val="000000"/>
                <w:sz w:val="21"/>
                <w:szCs w:val="21"/>
                <w:highlight w:val="none"/>
                <w:lang w:val="en-US" w:eastAsia="zh-CN"/>
              </w:rPr>
            </w:r>
            <w:r/>
          </w:p>
        </w:tc>
        <w:tc>
          <w:tcPr>
            <w:tcMar>
              <w:top w:w="100" w:type="dxa"/>
              <w:bottom w:w="100" w:type="dxa"/>
            </w:tcMar>
            <w:tcW w:w="7507" w:type="dxa"/>
            <w:vAlign w:val="center"/>
            <w:textDirection w:val="lrTb"/>
            <w:noWrap w:val="false"/>
          </w:tcPr>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有效立案案卷数（不含自处置案件）按年度不少于60万件，视频智能巡查采集数量占比逐步提升，2026年度不少于案件总量20%（2027年达到30%、2028年达到40%），自处置小微案件每年度不少于2万件。</w:t>
            </w:r>
            <w:r>
              <w:rPr>
                <w:rFonts w:hint="eastAsia" w:ascii="宋体" w:hAnsi="宋体" w:eastAsia="宋体" w:cs="宋体"/>
                <w:b w:val="0"/>
                <w:bCs w:val="0"/>
                <w:color w:val="000000"/>
                <w:sz w:val="21"/>
                <w:szCs w:val="21"/>
                <w:highlight w:val="none"/>
                <w:lang w:val="en-US" w:eastAsia="zh-CN"/>
              </w:rPr>
            </w:r>
            <w:r/>
          </w:p>
        </w:tc>
      </w:tr>
      <w:tr>
        <w:trPr/>
        <w:tc>
          <w:tcPr>
            <w:tcMar>
              <w:top w:w="100" w:type="dxa"/>
              <w:bottom w:w="100" w:type="dxa"/>
            </w:tcMar>
            <w:tcW w:w="780" w:type="dxa"/>
            <w:vAlign w:val="center"/>
            <w:textDirection w:val="lrTb"/>
            <w:noWrap w:val="false"/>
          </w:tcPr>
          <w:p>
            <w:pPr>
              <w:pStyle w:val="871"/>
              <w:ind w:firstLine="0"/>
              <w:jc w:val="center"/>
              <w:keepLines w:val="0"/>
              <w:keepNext w:val="0"/>
              <w:pageBreakBefore w:val="0"/>
              <w:spacing w:line="360" w:lineRule="auto"/>
              <w:widowControl/>
              <w:rPr>
                <w:rFonts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2.3</w:t>
            </w:r>
            <w:r>
              <w:rPr>
                <w:rFonts w:ascii="宋体" w:hAnsi="宋体" w:eastAsia="宋体" w:cs="宋体"/>
                <w:b w:val="0"/>
                <w:bCs w:val="0"/>
                <w:color w:val="000000"/>
                <w:sz w:val="21"/>
                <w:szCs w:val="21"/>
                <w:lang w:val="en-US" w:eastAsia="zh-CN"/>
              </w:rPr>
            </w:r>
            <w:r/>
          </w:p>
        </w:tc>
        <w:tc>
          <w:tcPr>
            <w:tcMar>
              <w:top w:w="100" w:type="dxa"/>
              <w:bottom w:w="100" w:type="dxa"/>
            </w:tcMar>
            <w:tcW w:w="1470"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应急保障要求</w:t>
            </w:r>
            <w:r>
              <w:rPr>
                <w:rFonts w:hint="eastAsia" w:ascii="宋体" w:hAnsi="宋体" w:eastAsia="宋体" w:cs="宋体"/>
                <w:b w:val="0"/>
                <w:bCs w:val="0"/>
                <w:color w:val="000000"/>
                <w:sz w:val="21"/>
                <w:szCs w:val="21"/>
                <w:highlight w:val="none"/>
                <w:lang w:val="en-US" w:eastAsia="zh-CN"/>
              </w:rPr>
            </w:r>
            <w:r/>
          </w:p>
        </w:tc>
        <w:tc>
          <w:tcPr>
            <w:tcMar>
              <w:top w:w="100" w:type="dxa"/>
              <w:bottom w:w="100" w:type="dxa"/>
            </w:tcMar>
            <w:tcW w:w="7507" w:type="dxa"/>
            <w:vAlign w:val="center"/>
            <w:textDirection w:val="lrTb"/>
            <w:noWrap w:val="false"/>
          </w:tcPr>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1、采购人根据季节或天气变化情况、重大活动响应、应急需要等原因对巡查采集内容、频次、时间进行调整，供应商必须配合到位。</w:t>
            </w:r>
            <w:r>
              <w:rPr>
                <w:rFonts w:hint="eastAsia" w:ascii="宋体" w:hAnsi="宋体" w:eastAsia="宋体" w:cs="宋体"/>
                <w:b w:val="0"/>
                <w:bCs w:val="0"/>
                <w:color w:val="000000"/>
                <w:sz w:val="21"/>
                <w:szCs w:val="21"/>
                <w:highlight w:val="none"/>
                <w:lang w:val="en-US" w:eastAsia="zh-CN"/>
              </w:rPr>
            </w:r>
            <w:r/>
          </w:p>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2、项目服务期间，供应商应配备满足正常开展工作所需的信息化设备，并对配备的信息化设备及时升级。</w:t>
            </w:r>
            <w:r>
              <w:rPr>
                <w:rFonts w:hint="eastAsia" w:ascii="宋体" w:hAnsi="宋体" w:eastAsia="宋体" w:cs="宋体"/>
                <w:b w:val="0"/>
                <w:bCs w:val="0"/>
                <w:color w:val="000000"/>
                <w:sz w:val="21"/>
                <w:szCs w:val="21"/>
                <w:highlight w:val="none"/>
                <w:lang w:val="en-US" w:eastAsia="zh-CN"/>
              </w:rPr>
            </w:r>
            <w:r/>
          </w:p>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3、供应商应有参与涉及城市管理的重大突发事件、异常天气突发状况的现场处置工作的应急方案。</w:t>
            </w:r>
            <w:r>
              <w:rPr>
                <w:rFonts w:hint="eastAsia" w:ascii="宋体" w:hAnsi="宋体" w:eastAsia="宋体" w:cs="宋体"/>
                <w:b w:val="0"/>
                <w:bCs w:val="0"/>
                <w:color w:val="000000"/>
                <w:sz w:val="21"/>
                <w:szCs w:val="21"/>
                <w:highlight w:val="none"/>
                <w:lang w:val="en-US" w:eastAsia="zh-CN"/>
              </w:rPr>
            </w:r>
            <w:r/>
          </w:p>
        </w:tc>
      </w:tr>
      <w:tr>
        <w:trPr/>
        <w:tc>
          <w:tcPr>
            <w:tcMar>
              <w:top w:w="100" w:type="dxa"/>
              <w:bottom w:w="100" w:type="dxa"/>
            </w:tcMar>
            <w:tcW w:w="780" w:type="dxa"/>
            <w:vAlign w:val="center"/>
            <w:textDirection w:val="lrTb"/>
            <w:noWrap w:val="false"/>
          </w:tcPr>
          <w:p>
            <w:pPr>
              <w:pStyle w:val="871"/>
              <w:ind w:firstLine="0"/>
              <w:jc w:val="center"/>
              <w:keepLines w:val="0"/>
              <w:keepNext w:val="0"/>
              <w:pageBreakBefore w:val="0"/>
              <w:spacing w:line="360" w:lineRule="auto"/>
              <w:widowControl/>
              <w:rPr>
                <w:rFonts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2.4</w:t>
            </w:r>
            <w:r>
              <w:rPr>
                <w:rFonts w:ascii="宋体" w:hAnsi="宋体" w:eastAsia="宋体" w:cs="宋体"/>
                <w:b w:val="0"/>
                <w:bCs w:val="0"/>
                <w:color w:val="000000"/>
                <w:sz w:val="21"/>
                <w:szCs w:val="21"/>
                <w:lang w:val="en-US" w:eastAsia="zh-CN"/>
              </w:rPr>
            </w:r>
            <w:r/>
          </w:p>
        </w:tc>
        <w:tc>
          <w:tcPr>
            <w:tcMar>
              <w:top w:w="100" w:type="dxa"/>
              <w:bottom w:w="100" w:type="dxa"/>
            </w:tcMar>
            <w:tcW w:w="1470"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数字化实施要求</w:t>
            </w:r>
            <w:r>
              <w:rPr>
                <w:rFonts w:hint="eastAsia" w:ascii="宋体" w:hAnsi="宋体" w:eastAsia="宋体" w:cs="宋体"/>
                <w:b w:val="0"/>
                <w:bCs w:val="0"/>
                <w:color w:val="000000"/>
                <w:sz w:val="21"/>
                <w:szCs w:val="21"/>
                <w:highlight w:val="none"/>
                <w:lang w:val="en-US" w:eastAsia="zh-CN"/>
              </w:rPr>
            </w:r>
            <w:r/>
          </w:p>
        </w:tc>
        <w:tc>
          <w:tcPr>
            <w:tcMar>
              <w:top w:w="100" w:type="dxa"/>
              <w:bottom w:w="100" w:type="dxa"/>
            </w:tcMar>
            <w:tcW w:w="7507" w:type="dxa"/>
            <w:vAlign w:val="center"/>
            <w:textDirection w:val="lrTb"/>
            <w:noWrap w:val="false"/>
          </w:tcPr>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1.项目服务期间，供应商应配备满足正常开展工作所需的信息化设备，并对配备的信息化设备及时升级。</w:t>
            </w:r>
            <w:r>
              <w:rPr>
                <w:rFonts w:hint="eastAsia" w:ascii="宋体" w:hAnsi="宋体" w:eastAsia="宋体" w:cs="宋体"/>
                <w:b w:val="0"/>
                <w:bCs w:val="0"/>
                <w:color w:val="000000"/>
                <w:sz w:val="21"/>
                <w:szCs w:val="21"/>
                <w:highlight w:val="none"/>
                <w:lang w:val="en-US" w:eastAsia="zh-CN"/>
              </w:rPr>
            </w:r>
            <w:r/>
          </w:p>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2.供应商能够建立完善的内控机制、监督管理机制以及数字档案管理机制等。</w:t>
            </w:r>
            <w:r>
              <w:rPr>
                <w:rFonts w:hint="eastAsia" w:ascii="宋体" w:hAnsi="宋体" w:eastAsia="宋体" w:cs="宋体"/>
                <w:b w:val="0"/>
                <w:bCs w:val="0"/>
                <w:color w:val="000000"/>
                <w:sz w:val="21"/>
                <w:szCs w:val="21"/>
                <w:highlight w:val="none"/>
                <w:lang w:val="en-US" w:eastAsia="zh-CN"/>
              </w:rPr>
            </w:r>
            <w:r/>
          </w:p>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3.供应商采用专业的数字化管理系统，能够针对本项目实现全市范围的调度、监控、指挥、以及团队成员考核功能。</w:t>
            </w:r>
            <w:r>
              <w:rPr>
                <w:rFonts w:hint="eastAsia" w:ascii="宋体" w:hAnsi="宋体" w:eastAsia="宋体" w:cs="宋体"/>
                <w:b w:val="0"/>
                <w:bCs w:val="0"/>
                <w:color w:val="000000"/>
                <w:sz w:val="21"/>
                <w:szCs w:val="21"/>
                <w:highlight w:val="none"/>
                <w:lang w:val="en-US" w:eastAsia="zh-CN"/>
              </w:rPr>
            </w:r>
            <w:r/>
          </w:p>
        </w:tc>
      </w:tr>
    </w:tbl>
    <w:p>
      <w:pPr>
        <w:pStyle w:val="871"/>
        <w:ind w:left="147"/>
        <w:jc w:val="left"/>
        <w:spacing w:before="21" w:line="216" w:lineRule="auto"/>
        <w:widowControl/>
        <w:rPr>
          <w:rFonts w:ascii="宋体" w:hAnsi="宋体" w:eastAsia="宋体" w:cs="宋体"/>
          <w:color w:val="000000"/>
          <w:spacing w:val="-4"/>
          <w:sz w:val="24"/>
          <w:szCs w:val="24"/>
          <w:lang w:val="en-US" w:eastAsia="zh-CN"/>
        </w:rPr>
      </w:pPr>
      <w:r>
        <w:rPr>
          <w:rFonts w:ascii="宋体" w:hAnsi="宋体" w:eastAsia="宋体" w:cs="宋体"/>
          <w:color w:val="000000"/>
          <w:spacing w:val="-4"/>
          <w:sz w:val="24"/>
          <w:szCs w:val="24"/>
          <w:lang w:val="en-US" w:eastAsia="zh-CN"/>
        </w:rPr>
      </w:r>
      <w:r/>
    </w:p>
    <w:p>
      <w:pPr>
        <w:pStyle w:val="871"/>
        <w:jc w:val="left"/>
        <w:keepLines w:val="0"/>
        <w:keepNext w:val="0"/>
        <w:pageBreakBefore w:val="0"/>
        <w:spacing w:line="240" w:lineRule="auto"/>
        <w:widowControl/>
        <w:rPr>
          <w:rFonts w:ascii="Times New Roman" w:hAnsi="Times New Roman" w:eastAsia="宋体" w:cs="Times New Roman"/>
          <w:color w:val="000000"/>
          <w:szCs w:val="21"/>
          <w:lang w:val="en-US" w:eastAsia="zh-CN"/>
        </w:rPr>
        <w:outlineLvl w:val="9"/>
      </w:pPr>
      <w:r>
        <w:rPr>
          <w:rFonts w:ascii="Times New Roman" w:hAnsi="Times New Roman" w:eastAsia="宋体" w:cs="Times New Roman"/>
          <w:color w:val="000000"/>
          <w:szCs w:val="21"/>
          <w:lang w:val="en-US" w:eastAsia="zh-CN"/>
        </w:rPr>
      </w:r>
      <w:r/>
    </w:p>
    <w:p>
      <w:pPr>
        <w:pStyle w:val="871"/>
        <w:ind w:firstLine="420"/>
        <w:jc w:val="left"/>
        <w:keepLines w:val="0"/>
        <w:keepNext w:val="0"/>
        <w:pageBreakBefore w:val="0"/>
        <w:spacing w:line="240" w:lineRule="auto"/>
        <w:widowControl/>
        <w:rPr>
          <w:rFonts w:hint="eastAsia" w:ascii="宋体" w:hAnsi="宋体" w:eastAsia="宋体" w:cs="宋体"/>
          <w:b/>
          <w:bCs/>
          <w:color w:val="000000"/>
          <w:sz w:val="21"/>
          <w:szCs w:val="21"/>
        </w:rPr>
        <w:outlineLvl w:val="1"/>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b/>
          <w:bCs/>
          <w:color w:val="000000"/>
          <w:sz w:val="21"/>
          <w:szCs w:val="21"/>
        </w:rPr>
        <w:t xml:space="preserve">（二）商务要求</w:t>
      </w:r>
      <w:r>
        <w:rPr>
          <w:rFonts w:hint="eastAsia" w:ascii="宋体" w:hAnsi="宋体" w:eastAsia="宋体" w:cs="宋体"/>
          <w:b/>
          <w:bCs/>
          <w:color w:val="000000"/>
          <w:sz w:val="21"/>
          <w:szCs w:val="21"/>
        </w:rPr>
      </w:r>
      <w:r/>
    </w:p>
    <w:p>
      <w:pPr>
        <w:pStyle w:val="871"/>
        <w:ind w:firstLine="422"/>
        <w:jc w:val="left"/>
        <w:keepLines w:val="0"/>
        <w:keepNext w:val="0"/>
        <w:pageBreakBefore w:val="0"/>
        <w:spacing w:line="240" w:lineRule="auto"/>
        <w:widowControl/>
        <w:rPr>
          <w:rFonts w:hint="eastAsia" w:ascii="宋体" w:hAnsi="宋体" w:eastAsia="宋体" w:cs="宋体"/>
          <w:b/>
          <w:bCs/>
          <w:color w:val="000000"/>
          <w:sz w:val="21"/>
          <w:szCs w:val="21"/>
          <w:lang w:val="en-US" w:eastAsia="zh-CN"/>
        </w:rPr>
        <w:outlineLvl w:val="2"/>
      </w:pPr>
      <w:r>
        <w:rPr>
          <w:rFonts w:hint="eastAsia" w:ascii="宋体" w:hAnsi="宋体" w:eastAsia="宋体" w:cs="宋体"/>
          <w:b/>
          <w:bCs/>
          <w:color w:val="000000"/>
          <w:sz w:val="21"/>
          <w:szCs w:val="21"/>
          <w:lang w:val="en-US" w:eastAsia="zh-CN"/>
        </w:rPr>
        <w:t xml:space="preserve">1.报价要求</w:t>
      </w:r>
      <w:r>
        <w:rPr>
          <w:rFonts w:hint="eastAsia" w:ascii="宋体" w:hAnsi="宋体" w:eastAsia="宋体" w:cs="宋体"/>
          <w:b/>
          <w:bCs/>
          <w:color w:val="000000"/>
          <w:sz w:val="21"/>
          <w:szCs w:val="21"/>
          <w:lang w:val="en-US" w:eastAsia="zh-CN"/>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（1）报价应包含与本次采购项目有关的所有费用。包含但不限于人员、设备、安装、调试、验收、配套服务等所有含税费用。同时，还应包含支付给员工的工资和国家强制缴纳的各种社会保障资金，以及</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认为需要的其他费用等。</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的任何错漏、优惠、竞争性报价不得作为减轻责任、减少服务、增加收费、降低服务质量的理由。</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报价除包含招标文件</w:t>
      </w:r>
      <w:r>
        <w:rPr>
          <w:rFonts w:hint="eastAsia" w:ascii="宋体" w:hAnsi="宋体" w:eastAsia="宋体" w:cs="宋体"/>
          <w:color w:val="000000"/>
          <w:sz w:val="21"/>
          <w:szCs w:val="21"/>
          <w:highlight w:val="none"/>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1"/>
          <w:szCs w:val="21"/>
          <w:highlight w:val="none"/>
        </w:rPr>
      </w:r>
      <w:r/>
    </w:p>
    <w:p>
      <w:pPr>
        <w:pStyle w:val="871"/>
        <w:ind w:firstLine="630"/>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outlineLvl w:val="2"/>
      </w:pPr>
      <w:r>
        <w:rPr>
          <w:rFonts w:hint="eastAsia" w:ascii="宋体" w:hAnsi="宋体" w:eastAsia="宋体" w:cs="宋体"/>
          <w:bCs w:val="0"/>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t xml:space="preserve">.付款条件</w:t>
      </w:r>
      <w:r>
        <w:rPr>
          <w:rFonts w:hint="eastAsia" w:ascii="宋体" w:hAnsi="宋体" w:eastAsia="宋体" w:cs="宋体"/>
          <w:b/>
          <w:bCs/>
          <w:color w:val="000000"/>
          <w:sz w:val="21"/>
          <w:szCs w:val="21"/>
          <w:highlight w:val="none"/>
          <w:lang w:val="en-US" w:eastAsia="zh-CN"/>
        </w:rPr>
      </w:r>
      <w:r/>
    </w:p>
    <w:p>
      <w:pPr>
        <w:pStyle w:val="871"/>
        <w:ind w:firstLine="420"/>
        <w:jc w:val="left"/>
        <w:keepLines w:val="0"/>
        <w:keepNext w:val="0"/>
        <w:pageBreakBefore w:val="0"/>
        <w:spacing w:line="240" w:lineRule="auto"/>
        <w:widowControl/>
        <w:tabs>
          <w:tab w:val="left" w:pos="390" w:leader="none"/>
        </w:tabs>
        <w:rPr>
          <w:rFonts w:hint="eastAsia" w:ascii="宋体" w:hAnsi="宋体" w:eastAsia="宋体" w:cs="宋体"/>
          <w:b/>
          <w:bCs/>
          <w:color w:val="000000"/>
          <w:sz w:val="21"/>
          <w:szCs w:val="21"/>
          <w:highlight w:val="none"/>
          <w:lang w:val="en-US" w:eastAsia="zh-CN"/>
        </w:rPr>
        <w:outlineLvl w:val="2"/>
      </w:pPr>
      <w:r>
        <w:rPr>
          <w:rFonts w:hint="eastAsia" w:ascii="宋体" w:hAnsi="宋体" w:eastAsia="宋体" w:cs="宋体"/>
          <w:color w:val="000000"/>
          <w:sz w:val="21"/>
          <w:szCs w:val="21"/>
          <w:highlight w:val="none"/>
          <w:lang w:val="en-US" w:eastAsia="zh-CN"/>
        </w:rPr>
        <w:t xml:space="preserve">以合同文本内容为准</w:t>
      </w:r>
      <w:r>
        <w:rPr>
          <w:rFonts w:hint="eastAsia" w:ascii="宋体" w:hAnsi="宋体" w:eastAsia="宋体" w:cs="宋体"/>
          <w:b/>
          <w:bCs/>
          <w:color w:val="000000"/>
          <w:sz w:val="21"/>
          <w:szCs w:val="21"/>
          <w:highlight w:val="none"/>
          <w:lang w:val="en-US" w:eastAsia="zh-CN"/>
        </w:rPr>
      </w:r>
      <w:r/>
    </w:p>
    <w:p>
      <w:pPr>
        <w:pStyle w:val="871"/>
        <w:ind w:firstLine="630"/>
        <w:jc w:val="left"/>
        <w:keepLines w:val="0"/>
        <w:keepNext w:val="0"/>
        <w:pageBreakBefore w:val="0"/>
        <w:spacing w:line="240" w:lineRule="auto"/>
        <w:widowControl/>
        <w:tabs>
          <w:tab w:val="left" w:pos="390" w:leader="none"/>
        </w:tabs>
        <w:rPr>
          <w:rFonts w:ascii="宋体" w:hAnsi="宋体" w:eastAsia="宋体" w:cs="宋体"/>
          <w:b/>
          <w:bCs/>
          <w:color w:val="000000"/>
          <w:sz w:val="21"/>
          <w:szCs w:val="21"/>
          <w:highlight w:val="none"/>
          <w:lang w:val="en-US" w:eastAsia="zh-CN"/>
        </w:rPr>
        <w:outlineLvl w:val="2"/>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.交付时间及地点</w:t>
      </w:r>
      <w:r>
        <w:rPr>
          <w:rFonts w:ascii="宋体" w:hAnsi="宋体" w:eastAsia="宋体" w:cs="宋体"/>
          <w:b/>
          <w:bCs/>
          <w:color w:val="000000"/>
          <w:sz w:val="21"/>
          <w:szCs w:val="21"/>
          <w:highlight w:val="none"/>
          <w:lang w:val="en-US" w:eastAsia="zh-CN"/>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（1）交付时间：自2026年6月1日起至2029年5月31日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服务期三年，合同一年一签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3"/>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交付地点：</w:t>
      </w:r>
      <w:r>
        <w:rPr>
          <w:rFonts w:hint="eastAsia" w:ascii="宋体" w:hAnsi="宋体" w:eastAsia="宋体" w:cs="宋体"/>
          <w:color w:val="000000"/>
          <w:sz w:val="21"/>
          <w:szCs w:val="21"/>
          <w:highlight w:val="none"/>
        </w:rPr>
        <w:t xml:space="preserve">采购人指定地点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1"/>
        <w:ind w:firstLine="422"/>
        <w:jc w:val="left"/>
        <w:keepLines w:val="0"/>
        <w:keepNext w:val="0"/>
        <w:pageBreakBefore w:val="0"/>
        <w:spacing w:line="240" w:lineRule="auto"/>
        <w:widowControl/>
        <w:tabs>
          <w:tab w:val="left" w:pos="390" w:leader="none"/>
        </w:tabs>
        <w:rPr>
          <w:rFonts w:hint="eastAsia" w:ascii="宋体" w:hAnsi="宋体" w:eastAsia="宋体" w:cs="宋体"/>
          <w:b/>
          <w:bCs/>
          <w:color w:val="000000"/>
          <w:sz w:val="21"/>
          <w:szCs w:val="21"/>
          <w:highlight w:val="none"/>
          <w:lang w:val="en-US" w:eastAsia="zh-CN"/>
        </w:rPr>
        <w:outlineLvl w:val="2"/>
      </w:pPr>
      <w:r>
        <w:rPr>
          <w:rFonts w:hint="eastAsia" w:ascii="宋体" w:hAnsi="宋体" w:eastAsia="宋体" w:cs="宋体"/>
          <w:b/>
          <w:bCs/>
          <w:color w:val="000000"/>
          <w:sz w:val="21"/>
          <w:szCs w:val="21"/>
          <w:highlight w:val="none"/>
          <w:lang w:val="en-US" w:eastAsia="zh-CN"/>
        </w:rPr>
        <w:t xml:space="preserve"> 4.履约保证金</w:t>
      </w:r>
      <w:r>
        <w:rPr>
          <w:rFonts w:hint="eastAsia" w:ascii="宋体" w:hAnsi="宋体" w:eastAsia="宋体" w:cs="宋体"/>
          <w:b/>
          <w:bCs/>
          <w:color w:val="000000"/>
          <w:sz w:val="21"/>
          <w:szCs w:val="21"/>
          <w:highlight w:val="none"/>
          <w:lang w:val="en-US" w:eastAsia="zh-CN"/>
        </w:rPr>
      </w:r>
      <w:r/>
    </w:p>
    <w:p>
      <w:pPr>
        <w:pStyle w:val="883"/>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以合同文本内容为准。</w:t>
      </w:r>
      <w:r>
        <w:rPr>
          <w:rFonts w:hint="eastAsia" w:ascii="宋体" w:hAnsi="宋体" w:eastAsia="宋体" w:cs="宋体"/>
          <w:color w:val="000000"/>
          <w:sz w:val="21"/>
          <w:szCs w:val="21"/>
          <w:highlight w:val="none"/>
          <w:lang w:val="en-US" w:eastAsia="zh-CN"/>
        </w:rPr>
      </w:r>
      <w:r/>
    </w:p>
    <w:p>
      <w:pPr>
        <w:pStyle w:val="871"/>
        <w:ind w:firstLine="632"/>
        <w:jc w:val="left"/>
        <w:keepLines w:val="0"/>
        <w:keepNext w:val="0"/>
        <w:pageBreakBefore w:val="0"/>
        <w:spacing w:line="240" w:lineRule="auto"/>
        <w:widowControl/>
        <w:tabs>
          <w:tab w:val="left" w:pos="390" w:leader="none"/>
        </w:tabs>
        <w:rPr>
          <w:rFonts w:hint="eastAsia" w:ascii="宋体" w:hAnsi="宋体" w:eastAsia="宋体" w:cs="宋体"/>
          <w:b/>
          <w:bCs/>
          <w:color w:val="000000"/>
          <w:sz w:val="21"/>
          <w:szCs w:val="21"/>
          <w:highlight w:val="none"/>
          <w:lang w:val="en-US" w:eastAsia="zh-CN"/>
        </w:rPr>
        <w:outlineLvl w:val="2"/>
      </w:pPr>
      <w:r>
        <w:rPr>
          <w:rFonts w:hint="eastAsia" w:ascii="宋体" w:hAnsi="宋体" w:eastAsia="宋体" w:cs="宋体"/>
          <w:b/>
          <w:bCs/>
          <w:color w:val="000000"/>
          <w:sz w:val="21"/>
          <w:szCs w:val="21"/>
          <w:highlight w:val="none"/>
          <w:lang w:val="en-US" w:eastAsia="zh-CN"/>
        </w:rPr>
        <w:t xml:space="preserve">5.其他要求</w:t>
      </w:r>
      <w:r>
        <w:rPr>
          <w:rFonts w:hint="eastAsia" w:ascii="宋体" w:hAnsi="宋体" w:eastAsia="宋体" w:cs="宋体"/>
          <w:b/>
          <w:bCs/>
          <w:color w:val="000000"/>
          <w:sz w:val="21"/>
          <w:szCs w:val="21"/>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1"/>
          <w:szCs w:val="21"/>
          <w:highlight w:val="none"/>
          <w:lang w:val="en-US" w:eastAsia="zh-CN"/>
        </w:rPr>
      </w:r>
      <w:r/>
    </w:p>
    <w:p>
      <w:pPr>
        <w:pStyle w:val="871"/>
        <w:ind w:firstLine="480"/>
        <w:spacing w:line="240" w:lineRule="auto"/>
        <w:rPr>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val="0"/>
          <w:color w:val="000000"/>
          <w:sz w:val="21"/>
          <w:szCs w:val="21"/>
          <w:highlight w:val="none"/>
          <w:lang w:val="en-US" w:eastAsia="zh-CN"/>
        </w:rPr>
        <w:t xml:space="preserve">供应商在签订合同向采购人提供上述相关证明材料原件核验。</w:t>
      </w:r>
      <w:r>
        <w:rPr>
          <w:lang w:val="en-US" w:eastAsia="zh-CN"/>
        </w:rPr>
      </w:r>
      <w:r/>
    </w:p>
    <w:p>
      <w:pPr>
        <w:pStyle w:val="871"/>
        <w:ind w:left="0" w:firstLine="422"/>
        <w:jc w:val="both"/>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1"/>
          <w:szCs w:val="21"/>
          <w:highlight w:val="none"/>
          <w:lang w:val="en-US" w:eastAsia="zh-CN"/>
        </w:rPr>
        <w:t xml:space="preserve">五、演示要求</w:t>
      </w:r>
      <w:r>
        <w:rPr>
          <w:rFonts w:hint="eastAsia" w:ascii="宋体" w:hAnsi="宋体" w:eastAsia="宋体" w:cs="宋体"/>
          <w:b/>
          <w:bCs/>
          <w:color w:val="000000"/>
          <w:sz w:val="21"/>
          <w:szCs w:val="21"/>
          <w:highlight w:val="none"/>
          <w:lang w:val="en-US" w:eastAsia="zh-CN"/>
        </w:rPr>
      </w:r>
      <w:r/>
    </w:p>
    <w:p>
      <w:pPr>
        <w:pStyle w:val="871"/>
        <w:ind w:left="0" w:firstLine="42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视频文件的格式为*.mp4或*.avi，</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须将视频文件压缩为*.zip文件上传（单个文件不得大于50M，所有文件</w:t>
      </w:r>
      <w:r>
        <w:rPr>
          <w:rFonts w:hint="eastAsia" w:ascii="宋体" w:hAnsi="宋体" w:eastAsia="宋体" w:cs="宋体"/>
          <w:color w:val="000000"/>
          <w:sz w:val="21"/>
          <w:szCs w:val="21"/>
          <w:highlight w:val="none"/>
          <w:lang w:val="en-US" w:eastAsia="zh-CN"/>
        </w:rPr>
        <w:t xml:space="preserve">合计</w:t>
      </w:r>
      <w:r>
        <w:rPr>
          <w:rFonts w:hint="eastAsia" w:ascii="宋体" w:hAnsi="宋体" w:eastAsia="宋体" w:cs="宋体"/>
          <w:color w:val="000000"/>
          <w:sz w:val="21"/>
          <w:szCs w:val="21"/>
          <w:highlight w:val="none"/>
        </w:rPr>
        <w:t xml:space="preserve">不得大于300M）。文件上传方式见</w:t>
      </w:r>
      <w:r>
        <w:rPr>
          <w:rFonts w:hint="eastAsia" w:ascii="宋体" w:hAnsi="宋体" w:eastAsia="宋体" w:cs="宋体"/>
          <w:color w:val="000000"/>
          <w:sz w:val="21"/>
          <w:szCs w:val="21"/>
          <w:highlight w:val="none"/>
          <w:lang w:val="en-US" w:eastAsia="zh-CN"/>
        </w:rPr>
        <w:t xml:space="preserve">苏采云系统操作指南</w:t>
      </w:r>
      <w:r>
        <w:rPr>
          <w:rFonts w:hint="eastAsia" w:ascii="宋体" w:hAnsi="宋体" w:eastAsia="宋体" w:cs="宋体"/>
          <w:color w:val="000000"/>
          <w:sz w:val="21"/>
          <w:szCs w:val="21"/>
          <w:highlight w:val="none"/>
        </w:rPr>
        <w:t xml:space="preserve">，上传的演示视频将作为投标文件的组成部分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视频时长总计不超过</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1"/>
        <w:ind w:left="0" w:firstLine="420"/>
        <w:jc w:val="both"/>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val="0"/>
          <w:bCs w:val="0"/>
          <w:color w:val="000000"/>
          <w:sz w:val="21"/>
          <w:szCs w:val="21"/>
          <w:highlight w:val="none"/>
          <w:lang w:val="en-US" w:eastAsia="zh-CN"/>
        </w:rPr>
        <w:t xml:space="preserve">2.演示内容详见“第五章  评标方法与评标标准”。</w:t>
      </w:r>
      <w:r>
        <w:rPr>
          <w:rFonts w:hint="eastAsia" w:ascii="宋体" w:hAnsi="宋体" w:eastAsia="宋体" w:cs="宋体"/>
          <w:b w:val="0"/>
          <w:bCs w:val="0"/>
          <w:color w:val="000000"/>
          <w:sz w:val="21"/>
          <w:szCs w:val="21"/>
          <w:highlight w:val="none"/>
          <w:lang w:val="en-US" w:eastAsia="zh-CN"/>
        </w:rPr>
      </w:r>
      <w:r/>
    </w:p>
    <w:p>
      <w:pPr>
        <w:pStyle w:val="871"/>
        <w:ind w:left="0" w:firstLine="422"/>
        <w:jc w:val="both"/>
        <w:keepLines w:val="0"/>
        <w:keepNext w:val="0"/>
        <w:pageBreakBefore w:val="0"/>
        <w:spacing w:line="240" w:lineRule="auto"/>
        <w:widowControl w:val="off"/>
        <w:rPr>
          <w:rFonts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1"/>
          <w:szCs w:val="21"/>
          <w:highlight w:val="none"/>
          <w:lang w:val="en-US" w:eastAsia="zh-CN"/>
        </w:rPr>
        <w:t xml:space="preserve">六、附件</w:t>
      </w:r>
      <w:r>
        <w:rPr>
          <w:rFonts w:ascii="宋体" w:hAnsi="宋体" w:eastAsia="宋体" w:cs="宋体"/>
          <w:b/>
          <w:bCs/>
          <w:color w:val="000000"/>
          <w:sz w:val="21"/>
          <w:szCs w:val="21"/>
          <w:highlight w:val="none"/>
          <w:lang w:val="en-US" w:eastAsia="zh-CN"/>
        </w:rPr>
      </w:r>
      <w:r/>
    </w:p>
    <w:p>
      <w:pPr>
        <w:pStyle w:val="871"/>
        <w:ind w:firstLine="422"/>
        <w:jc w:val="left"/>
        <w:keepLines w:val="0"/>
        <w:keepNext w:val="0"/>
        <w:pageBreakBefore w:val="0"/>
        <w:spacing w:line="240" w:lineRule="auto"/>
        <w:widowControl/>
        <w:rPr>
          <w:rFonts w:hint="eastAsia" w:ascii="宋体" w:hAnsi="宋体" w:eastAsia="宋体" w:cs="宋体"/>
          <w:color w:val="000000"/>
          <w:sz w:val="21"/>
          <w:szCs w:val="21"/>
          <w:highlight w:val="none"/>
        </w:rPr>
        <w:outlineLvl w:val="2"/>
      </w:pPr>
      <w:r>
        <w:rPr>
          <w:rFonts w:hint="eastAsia" w:ascii="宋体" w:hAnsi="宋体" w:eastAsia="宋体" w:cs="宋体"/>
          <w:b/>
          <w:bCs/>
          <w:color w:val="000000"/>
          <w:sz w:val="21"/>
          <w:szCs w:val="21"/>
          <w:highlight w:val="none"/>
          <w:lang w:val="en-US" w:eastAsia="zh-CN"/>
        </w:rPr>
        <w:t xml:space="preserve">《南京市数字城管信息采集工作实施办法》</w:t>
      </w:r>
      <w:r>
        <w:rPr>
          <w:rFonts w:hint="eastAsia" w:ascii="宋体" w:hAnsi="宋体" w:eastAsia="宋体" w:cs="宋体"/>
          <w:color w:val="000000"/>
          <w:sz w:val="21"/>
          <w:szCs w:val="21"/>
          <w:highlight w:val="none"/>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1、验收标准：按行业通行标准和乙方投标(响应)文件的承诺。</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2、验收考核：乙方应确保案卷采集服务符合甲方要求，甲方有权按以下方式考核并扣除相应款项：</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（1）案卷数量考核：保证有效立案案卷数量达到招标文件要求，按年度计算，每少1%扣除20万元，自处置小微案件每少1%扣除10万元。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（2）废案率考核：保证上报案卷数据的准确性，按年度计算，废案率超过2%的部分，每1%扣除30万元。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工作纪律考核：不得发生与本项目工作相关的吃、拿、卡、要等问题，不得发生有责纠纷，不得发生弄虚作假的行为。计扣办法：每发现一次扣除1万元；一个季度内累计达到3次的，除扣除3万元外，甲方有权终止合同，同时乙方不能参与本项目下一周期采集服务的投标。采集人员一旦发生吃拿卡要和弄虚作假现象，不得继续从事本项目工作。</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（4）工作规范考核：现场采集工作中不得与被</w:t>
      </w:r>
      <w:r>
        <w:rPr>
          <w:rFonts w:hint="eastAsia" w:ascii="宋体" w:hAnsi="宋体" w:eastAsia="宋体" w:cs="宋体"/>
          <w:color w:val="000000"/>
          <w:sz w:val="21"/>
          <w:szCs w:val="21"/>
          <w:lang w:val="en-US" w:eastAsia="zh-CN"/>
        </w:rPr>
        <w:t xml:space="preserve">巡查</w:t>
      </w:r>
      <w:r>
        <w:rPr>
          <w:rFonts w:hint="eastAsia" w:ascii="宋体" w:hAnsi="宋体" w:eastAsia="宋体" w:cs="宋体"/>
          <w:color w:val="000000"/>
          <w:sz w:val="21"/>
          <w:szCs w:val="21"/>
        </w:rPr>
        <w:t xml:space="preserve">单元相关的街道、城管、协管、保洁等人员有任何主动接触、交流、询问的情形，否则每次扣除1万元；任何被动接触情况需即时上报平台当班座席员记录备案并同时报告乙方项目管理人员记录备案，每月汇总报甲方审核，漏报错报的每例扣除1万元；违规达到3次的个人不得继续从事本项目工作。</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bookmarkStart w:id="191" w:name="_Hlk128990838"/>
      <w:r>
        <w:rPr>
          <w:rFonts w:hint="eastAsia" w:ascii="宋体" w:hAnsi="宋体" w:eastAsia="宋体" w:cs="宋体"/>
          <w:color w:val="000000"/>
          <w:sz w:val="21"/>
          <w:szCs w:val="21"/>
        </w:rPr>
        <w:t xml:space="preserve">（5）人员绩效考核：乙方所有上线现场采集员要接受南京市城市管理监督指挥中心数字平台调度指令，按要求认真负责地完成巡查核查任务。数字平台每天对车组工作情况按监督指挥中心制定的现场车组测评标准进行记分，车组得分即为当天该车组所有采集员个人得分，每周统计个人平均分，月度按周统计月平均分，计为个人月度绩效得分。乙方应将采集员月度绩效工资按个人月度绩效得分百分比进行折算，所有上线采集员应实行相同的绩效工资基础标准，并将落实上述要求后的月度工资表报监督指挥中心备案未按要求落实的每月计扣2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bookmarkEnd w:id="191"/>
      <w:r>
        <w:rPr>
          <w:rFonts w:hint="eastAsia" w:ascii="宋体" w:hAnsi="宋体" w:eastAsia="宋体" w:cs="宋体"/>
          <w:color w:val="000000"/>
          <w:sz w:val="21"/>
          <w:szCs w:val="21"/>
        </w:rPr>
        <w:t xml:space="preserve">（6）项目绩效考核：所有上线采集员个人月度绩效得分平均值，作为当月供应商现场采集工作绩效，每扣1分当月计扣2万元。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积分管理考核：采集员、车组长根据个人月度绩效进行积分管理。车组长按所有采集员前一季度个人绩效积分排名从高往低顺序任用，暂缺的按顺序替补。积分名单每季度更新。车组长应另发车组长岗位津贴，不低于每月600元。月度积分排名最末的5名正式采集员，转为实习采集员，当月起绩效工资减半。实习采集员个人月度绩效超过当月所有正式采集员平均绩效后，当月起转为正式采集员。新进采集员一律做为实习采集员，转正条件同上。未按要求落实的每月计扣10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（8）数字平台上线率考核：采集员上线率以</w:t>
      </w:r>
      <w:r>
        <w:rPr>
          <w:rFonts w:hint="eastAsia" w:ascii="宋体" w:hAnsi="宋体" w:eastAsia="宋体" w:cs="宋体"/>
          <w:color w:val="000000"/>
          <w:sz w:val="21"/>
          <w:szCs w:val="21"/>
          <w:lang w:val="en-US" w:eastAsia="zh-CN"/>
        </w:rPr>
        <w:t xml:space="preserve">80</w:t>
      </w:r>
      <w:r>
        <w:rPr>
          <w:rFonts w:hint="eastAsia" w:ascii="宋体" w:hAnsi="宋体" w:eastAsia="宋体" w:cs="宋体"/>
          <w:color w:val="000000"/>
          <w:sz w:val="21"/>
          <w:szCs w:val="21"/>
        </w:rPr>
        <w:t xml:space="preserve">人上线数字平台为基数计算上线百分比，多上不计。采集车上线率以</w:t>
      </w:r>
      <w:r>
        <w:rPr>
          <w:rFonts w:hint="eastAsia" w:ascii="宋体" w:hAnsi="宋体" w:eastAsia="宋体" w:cs="宋体"/>
          <w:color w:val="000000"/>
          <w:sz w:val="21"/>
          <w:szCs w:val="21"/>
          <w:lang w:val="en-US" w:eastAsia="zh-CN"/>
        </w:rPr>
        <w:t xml:space="preserve">24</w:t>
      </w:r>
      <w:r>
        <w:rPr>
          <w:rFonts w:hint="eastAsia" w:ascii="宋体" w:hAnsi="宋体" w:eastAsia="宋体" w:cs="宋体"/>
          <w:color w:val="000000"/>
          <w:sz w:val="21"/>
          <w:szCs w:val="21"/>
        </w:rPr>
        <w:t xml:space="preserve">辆车上线为基数计算百分比，多上不计。受理员上线率以16人上线数字平台为基数计算百分比，多上不计。上述3项上线率每日分别统计，月度平均数每差1个百分点当月计扣1万元。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数字平台在线率考核：工作日上午8：30至下午17：30间所有现场采集员、采集车应保持GPS在线并在市级数字平台中有完整轨迹，平台每天在系统中随机核对，以当时在线数占当日上线数之比为在线率，月平均数为当月在线率。节假日、周末、夜班或其它专项任务，上线数以监督指挥中心调度要求为准，相应计算在线率。采集员、采集车在线率每日分别统计，月度平均数每差1个百分点当月计扣1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疏漏问题追责：如国家、省、市有关部门在各类相关检查、暗查中发现城市管理问题并由各部门反馈到监督指挥中心的，以市平台甄别下发相关案件数为基准，经核实乙方采集员30天内未在相同地点上报同类项问题的，确定为采集工作疏漏案件，并计算疏漏案件比率。每月内合并计算，按疏漏比率每10%当月计扣2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乙方须建立完善的工作注意事项书面记录制度，不得过度依赖坐席人员的口头告知。应在收到甲方提供的工作注意事项后 3 个工作日内完成书面记录整理，加盖乙方公章后存档备查；甲方有权随时检查，若发现乙方未建立书面记录或记录不完善，乙方应在接到通知后 3 个工作日内补充整改，逾期未整改的，每逾期 1 日支付违约金 1000 元，累计不超过 5000 元，若存在连续两次逾期未整改、记录严重缺失影响工作开展等情节严重情形的，甲方有权要求乙方支付违约金 1 万元 / 次，每季度累计不超过 2 万元。</w:t>
      </w:r>
      <w:r>
        <w:rPr>
          <w:rFonts w:hint="eastAsia" w:ascii="宋体" w:hAnsi="宋体" w:eastAsia="宋体" w:cs="宋体"/>
          <w:color w:val="000000"/>
          <w:sz w:val="21"/>
          <w:szCs w:val="21"/>
          <w:lang w:val="en-US" w:eastAsia="zh-CN"/>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12）准确上报：甲方结合区街反馈、各类举报投诉、系统抽查，对案卷上报准确性进行综合考核，重点核查大小类、地址描述、问题描述、图片及定位准确性。经核实属乙方责任的上报错误、不实报送，一般错误 100 元 / 件，较严重错误 200 元 / 件，严重错误 500 元 / 件；当月累计 3 次及以上，扣除当月服务费 1 万元。案卷因内部问题被举报 / 区街反馈且属实的，对应采集员当月积分末位、转为实习并减半绩效；一个季度内累计 3 次，扣除服务费 5 万元。</w:t>
      </w:r>
      <w:r>
        <w:rPr>
          <w:rFonts w:hint="eastAsia" w:ascii="宋体" w:hAnsi="宋体" w:eastAsia="宋体" w:cs="宋体"/>
          <w:color w:val="000000"/>
          <w:sz w:val="21"/>
          <w:szCs w:val="21"/>
          <w:lang w:val="en-US" w:eastAsia="zh-CN"/>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（13）综合评价：乙方应于每月5日前（遇法定节假日顺延至首个工作日）向甲</w:t>
      </w:r>
      <w:r>
        <w:rPr>
          <w:rFonts w:hint="eastAsia" w:ascii="宋体" w:hAnsi="宋体" w:eastAsia="宋体" w:cs="宋体"/>
          <w:color w:val="000000"/>
          <w:sz w:val="21"/>
          <w:szCs w:val="21"/>
          <w:lang w:val="en-US" w:eastAsia="zh-CN"/>
        </w:rPr>
        <w:t xml:space="preserve">方提交上月综合月报及必要的专题分析。月报应包括：①案件整体运行数据（立案数、结案数、在办数及变化趋势）；②问题高发区域分析；③部件类与事件类结构占比；④高发问题类型及采集盲区说明。报告形式由甲乙双方根据实际需求协商确定，以能清晰呈现数据及问题为原则。存在专项巡查、重大活动等情况的，乙方应根据甲方要求提交专项分析。因甲方原因或不可抗力导致无法按时提交的，乙方应及时书面说明，经甲方确认后可延期3个工作日。无正当理由逾期未提交的，每逾期1日扣款1000元；逾期超过5日的，扣款5000元且甲方有权要求乙方限期补交。</w:t>
      </w:r>
      <w:r>
        <w:rPr>
          <w:rFonts w:hint="eastAsia" w:ascii="宋体" w:hAnsi="宋体" w:eastAsia="宋体" w:cs="宋体"/>
          <w:color w:val="000000"/>
          <w:sz w:val="21"/>
          <w:szCs w:val="21"/>
          <w:lang w:val="en-US" w:eastAsia="zh-CN"/>
        </w:rPr>
      </w:r>
      <w:r/>
    </w:p>
    <w:p>
      <w:pPr>
        <w:pStyle w:val="871"/>
        <w:rPr>
          <w:rFonts w:hint="eastAsia"/>
        </w:rPr>
      </w:pPr>
      <w:r>
        <w:rPr>
          <w:rFonts w:hint="eastAsia"/>
        </w:rPr>
      </w:r>
      <w:r/>
    </w:p>
    <w:p>
      <w:pPr>
        <w:pStyle w:val="949"/>
        <w:ind w:left="0"/>
        <w:rPr>
          <w:rFonts w:hint="eastAsia"/>
        </w:rPr>
      </w:pPr>
      <w:r>
        <w:rPr>
          <w:rFonts w:hint="eastAsia"/>
        </w:rPr>
      </w:r>
      <w:r/>
    </w:p>
    <w:p>
      <w:pPr>
        <w:pStyle w:val="871"/>
        <w:rPr>
          <w:rFonts w:hint="eastAsia"/>
        </w:rPr>
      </w:pPr>
      <w:r>
        <w:rPr>
          <w:rFonts w:hint="eastAsia"/>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192" w:name="_Toc120614281"/>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  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w:t>
      </w:r>
      <w:r>
        <w:rPr>
          <w:rFonts w:hint="eastAsia" w:ascii="宋体" w:hAnsi="宋体" w:eastAsia="宋体" w:cs="宋体"/>
          <w:color w:val="000000"/>
          <w:sz w:val="24"/>
          <w:szCs w:val="24"/>
        </w:rPr>
        <w:t xml:space="preserve">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lang w:val="en-US" w:eastAsia="zh-CN"/>
        </w:rPr>
        <w:t xml:space="preserve">2.技术</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871"/>
        <w:ind w:firstLine="48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b w:val="0"/>
          <w:bCs w:val="0"/>
          <w:color w:val="000000"/>
          <w:sz w:val="24"/>
          <w:szCs w:val="24"/>
          <w:lang w:eastAsia="zh-CN"/>
        </w:rPr>
        <w:t xml:space="preserve">、</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1"/>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1"/>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szCs w:val="24"/>
          <w:lang w:val="en-US" w:eastAsia="zh-CN"/>
        </w:rPr>
      </w:r>
      <w:r/>
    </w:p>
    <w:p>
      <w:pPr>
        <w:pStyle w:val="871"/>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1"/>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sz w:val="24"/>
          <w:szCs w:val="24"/>
          <w:lang w:val="en-US" w:eastAsia="zh-CN"/>
        </w:rPr>
        <w:t xml:space="preserve">供应商需在《声明函》中填写比例数值</w:t>
      </w:r>
      <w:r>
        <w:rPr>
          <w:rFonts w:hint="eastAsia" w:ascii="宋体" w:hAnsi="宋体" w:eastAsia="宋体" w:cs="Times New Roman"/>
          <w:color w:val="000000"/>
          <w:sz w:val="24"/>
          <w:szCs w:val="24"/>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000000"/>
          <w:sz w:val="24"/>
          <w:szCs w:val="24"/>
          <w:lang w:val="en-US" w:eastAsia="zh-CN"/>
        </w:rPr>
      </w:r>
      <w:r/>
    </w:p>
    <w:p>
      <w:pPr>
        <w:pStyle w:val="871"/>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5.</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w:t>
      </w:r>
      <w:r>
        <w:rPr>
          <w:rFonts w:hint="eastAsia" w:ascii="宋体" w:hAnsi="宋体" w:eastAsia="宋体" w:cs="宋体"/>
          <w:sz w:val="24"/>
          <w:szCs w:val="24"/>
          <w:lang w:val="zh-CN"/>
        </w:rPr>
        <w:t xml:space="preserve">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lang w:val="zh-CN" w:eastAsia="zh-CN"/>
        </w:rPr>
        <w:t xml:space="preserve">，</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71"/>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3"/>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ascii="宋体" w:hAnsi="宋体" w:eastAsia="宋体" w:cs="宋体"/>
                <w:b/>
                <w:bCs/>
                <w:spacing w:val="-3"/>
                <w:sz w:val="21"/>
                <w:szCs w:val="21"/>
              </w:rPr>
              <w:t xml:space="preserve">价</w:t>
            </w:r>
            <w:r>
              <w:rPr>
                <w:rFonts w:ascii="宋体" w:hAnsi="宋体" w:eastAsia="宋体" w:cs="宋体"/>
                <w:b/>
                <w:bCs/>
                <w:spacing w:val="-2"/>
                <w:sz w:val="21"/>
                <w:szCs w:val="21"/>
              </w:rPr>
              <w:t xml:space="preserve">格</w:t>
            </w:r>
            <w:r>
              <w:rPr>
                <w:rFonts w:ascii="宋体" w:hAnsi="宋体" w:eastAsia="宋体" w:cs="宋体"/>
                <w:sz w:val="21"/>
                <w:szCs w:val="21"/>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5"/>
                <w:sz w:val="21"/>
                <w:szCs w:val="21"/>
              </w:rPr>
              <w:t xml:space="preserve">.1</w:t>
            </w:r>
            <w:r>
              <w:rPr>
                <w:rFonts w:ascii="宋体" w:hAnsi="宋体" w:eastAsia="宋体" w:cs="宋体"/>
                <w:sz w:val="21"/>
                <w:szCs w:val="21"/>
              </w:rPr>
            </w:r>
            <w:r/>
          </w:p>
        </w:tc>
        <w:tc>
          <w:tcPr>
            <w:tcW w:w="117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ascii="Times New Roman" w:hAnsi="Times New Roman" w:eastAsia="宋体" w:cs="Times New Roman"/>
                <w:color w:val="000000"/>
                <w:spacing w:val="0"/>
                <w:sz w:val="21"/>
                <w:szCs w:val="21"/>
              </w:rPr>
              <w:t xml:space="preserve">价格分</w:t>
            </w:r>
            <w:r>
              <w:rPr>
                <w:rFonts w:ascii="宋体" w:hAnsi="宋体" w:eastAsia="宋体" w:cs="宋体"/>
                <w:sz w:val="21"/>
                <w:szCs w:val="21"/>
              </w:rPr>
            </w:r>
            <w:r/>
          </w:p>
        </w:tc>
        <w:tc>
          <w:tcPr>
            <w:tcW w:w="6330" w:type="dxa"/>
            <w:vAlign w:val="center"/>
            <w:textDirection w:val="lrTb"/>
            <w:noWrap w:val="false"/>
          </w:tcPr>
          <w:p>
            <w:pPr>
              <w:pStyle w:val="871"/>
              <w:jc w:val="left"/>
              <w:keepLines w:val="0"/>
              <w:keepNext w:val="0"/>
              <w:pageBreakBefore w:val="0"/>
              <w:spacing w:line="264" w:lineRule="auto"/>
              <w:widowControl w:val="off"/>
              <w:rPr>
                <w:color w:val="000000"/>
                <w:sz w:val="21"/>
                <w:szCs w:val="21"/>
                <w:lang w:val="en-US" w:eastAsia="zh-CN"/>
              </w:rPr>
            </w:pPr>
            <w:r>
              <w:rPr>
                <w:color w:val="000000"/>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sz w:val="21"/>
                <w:szCs w:val="21"/>
                <w:lang w:val="en-US" w:eastAsia="zh-CN"/>
              </w:rPr>
              <w:t xml:space="preserve">价格分值（小数点保留两位）</w:t>
            </w:r>
            <w:r>
              <w:rPr>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价格分</w:t>
            </w:r>
            <w:r>
              <w:rPr>
                <w:rFonts w:hint="eastAsia" w:ascii="宋体" w:hAnsi="宋体" w:eastAsia="宋体" w:cs="宋体"/>
                <w:color w:val="000000"/>
                <w:sz w:val="21"/>
                <w:szCs w:val="21"/>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rPr>
                <w:rFonts w:ascii="宋体" w:hAnsi="宋体" w:eastAsia="宋体" w:cs="宋体"/>
                <w:color w:val="000000"/>
                <w:sz w:val="21"/>
                <w:szCs w:val="21"/>
              </w:rPr>
            </w:r>
            <w:r/>
          </w:p>
        </w:tc>
      </w:tr>
      <w:tr>
        <w:trPr>
          <w:trHeight w:val="47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2.1</w:t>
            </w:r>
            <w:r>
              <w:rPr>
                <w:rFonts w:ascii="宋体" w:hAnsi="宋体" w:eastAsia="宋体" w:cs="宋体"/>
                <w:spacing w:val="-2"/>
                <w:sz w:val="21"/>
                <w:szCs w:val="21"/>
              </w:rPr>
            </w:r>
            <w:r/>
          </w:p>
        </w:tc>
        <w:tc>
          <w:tcPr>
            <w:tcW w:w="1179" w:type="dxa"/>
            <w:vAlign w:val="center"/>
            <w:textDirection w:val="lrTb"/>
            <w:noWrap w:val="false"/>
          </w:tcPr>
          <w:p>
            <w:pPr>
              <w:pStyle w:val="871"/>
              <w:ind w:firstLine="0"/>
              <w:jc w:val="center"/>
              <w:keepLines w:val="0"/>
              <w:keepNext w:val="0"/>
              <w:pageBreakBefore w:val="0"/>
              <w:spacing w:before="0" w:line="264" w:lineRule="auto"/>
              <w:widowControl w:val="off"/>
              <w:rPr>
                <w:rFonts w:ascii="Times New Roman" w:hAnsi="Times New Roman" w:eastAsia="宋体" w:cs="Times New Roman"/>
                <w:color w:val="000000"/>
                <w:spacing w:val="0"/>
                <w:sz w:val="21"/>
                <w:szCs w:val="21"/>
                <w:lang w:eastAsia="zh-CN"/>
              </w:rPr>
            </w:pPr>
            <w:r>
              <w:rPr>
                <w:rFonts w:ascii="Times New Roman" w:hAnsi="Times New Roman" w:eastAsia="宋体" w:cs="Times New Roman"/>
                <w:color w:val="000000"/>
                <w:sz w:val="21"/>
                <w:szCs w:val="21"/>
                <w:lang w:val="en-US" w:eastAsia="zh-CN"/>
              </w:rPr>
              <w:t xml:space="preserve">技术参数</w:t>
            </w:r>
            <w:r>
              <w:rPr>
                <w:rFonts w:ascii="Times New Roman" w:hAnsi="Times New Roman" w:eastAsia="宋体" w:cs="Times New Roman"/>
                <w:color w:val="000000"/>
                <w:spacing w:val="0"/>
                <w:sz w:val="21"/>
                <w:szCs w:val="21"/>
                <w:lang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color w:val="000000"/>
                <w:sz w:val="21"/>
                <w:szCs w:val="21"/>
              </w:rPr>
            </w:pPr>
            <w:r>
              <w:rPr>
                <w:rFonts w:hint="eastAsia" w:ascii="宋体" w:hAnsi="宋体" w:eastAsia="宋体" w:cs="宋体"/>
                <w:color w:val="000000"/>
                <w:sz w:val="21"/>
                <w:szCs w:val="21"/>
                <w:lang w:val="en-US" w:eastAsia="zh-CN"/>
              </w:rPr>
              <w:t xml:space="preserve">产品</w:t>
            </w:r>
            <w:r>
              <w:rPr>
                <w:rFonts w:ascii="宋体" w:hAnsi="宋体" w:eastAsia="宋体" w:cs="宋体"/>
                <w:color w:val="000000"/>
                <w:sz w:val="21"/>
                <w:szCs w:val="21"/>
                <w:lang w:val="en-US" w:eastAsia="zh-CN"/>
              </w:rPr>
              <w:t xml:space="preserve">技术参数全部满足招标要求的得满分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打★指标为必须满足项，如有负偏离将作为无效投标</w:t>
            </w:r>
            <w:r>
              <w:rPr>
                <w:rFonts w:hint="eastAsia" w:ascii="宋体" w:hAnsi="宋体" w:eastAsia="宋体" w:cs="宋体"/>
                <w:color w:val="000000"/>
                <w:sz w:val="21"/>
                <w:szCs w:val="21"/>
                <w:lang w:val="en-US" w:eastAsia="zh-CN"/>
              </w:rPr>
              <w:t xml:space="preserve">，其余指标有1项负偏离扣1.5分。</w:t>
            </w:r>
            <w:r>
              <w:rPr>
                <w:color w:val="000000"/>
                <w:sz w:val="21"/>
                <w:szCs w:val="21"/>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3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rPr>
              <w:t xml:space="preserve">2</w:t>
            </w:r>
            <w:r>
              <w:rPr>
                <w:rFonts w:ascii="宋体" w:hAnsi="宋体" w:eastAsia="宋体" w:cs="宋体"/>
                <w:spacing w:val="-2"/>
                <w:sz w:val="21"/>
                <w:szCs w:val="21"/>
              </w:rPr>
              <w:t xml:space="preserve">.2</w:t>
            </w:r>
            <w:r>
              <w:rPr>
                <w:rFonts w:ascii="宋体" w:hAnsi="宋体" w:eastAsia="宋体" w:cs="宋体"/>
                <w:spacing w:val="-2"/>
                <w:sz w:val="21"/>
                <w:szCs w:val="21"/>
              </w:rPr>
            </w:r>
            <w:r/>
          </w:p>
        </w:tc>
        <w:tc>
          <w:tcPr>
            <w:tcW w:w="1179" w:type="dxa"/>
            <w:vAlign w:val="center"/>
            <w:textDirection w:val="lrTb"/>
            <w:noWrap w:val="false"/>
          </w:tcPr>
          <w:p>
            <w:pPr>
              <w:pStyle w:val="871"/>
              <w:ind w:firstLine="0"/>
              <w:jc w:val="center"/>
              <w:keepLines w:val="0"/>
              <w:keepNext w:val="0"/>
              <w:pageBreakBefore w:val="0"/>
              <w:spacing w:line="264" w:lineRule="auto"/>
              <w:widowControl w:val="off"/>
              <w:rPr>
                <w:rFonts w:ascii="Times New Roman" w:hAnsi="Times New Roman" w:eastAsia="宋体" w:cs="Times New Roman"/>
                <w:color w:val="000000"/>
                <w:spacing w:val="0"/>
                <w:sz w:val="21"/>
                <w:szCs w:val="21"/>
              </w:rPr>
            </w:pPr>
            <w:r>
              <w:rPr>
                <w:rFonts w:ascii="Times New Roman" w:hAnsi="Times New Roman" w:eastAsia="宋体" w:cs="Times New Roman"/>
                <w:color w:val="000000"/>
                <w:sz w:val="21"/>
                <w:szCs w:val="21"/>
                <w:lang w:val="en-US" w:eastAsia="zh-CN"/>
              </w:rPr>
              <w:t xml:space="preserve">实施方案</w:t>
            </w:r>
            <w:r>
              <w:rPr>
                <w:rFonts w:ascii="Times New Roman" w:hAnsi="Times New Roman" w:eastAsia="宋体" w:cs="Times New Roman"/>
                <w:color w:val="000000"/>
                <w:spacing w:val="0"/>
                <w:sz w:val="21"/>
                <w:szCs w:val="21"/>
              </w:rPr>
            </w:r>
            <w:r/>
          </w:p>
        </w:tc>
        <w:tc>
          <w:tcPr>
            <w:tcW w:w="6330" w:type="dxa"/>
            <w:vAlign w:val="center"/>
            <w:textDirection w:val="lrTb"/>
            <w:noWrap w:val="false"/>
          </w:tcPr>
          <w:p>
            <w:pPr>
              <w:pStyle w:val="871"/>
              <w:spacing w:line="264" w:lineRule="auto"/>
              <w:rPr>
                <w:rFonts w:ascii="宋体" w:hAnsi="宋体" w:eastAsia="宋体" w:cs="宋体"/>
                <w:color w:val="000000"/>
                <w:sz w:val="21"/>
                <w:szCs w:val="21"/>
                <w:lang w:val="en-US" w:eastAsia="zh-CN"/>
              </w:rPr>
            </w:pPr>
            <w:r/>
            <w:bookmarkStart w:id="193" w:name="OLE_LINK5"/>
            <w:r>
              <w:rPr>
                <w:rFonts w:ascii="宋体" w:hAnsi="宋体" w:eastAsia="宋体" w:cs="宋体"/>
                <w:color w:val="000000"/>
                <w:sz w:val="21"/>
                <w:szCs w:val="21"/>
                <w:lang w:val="en-US" w:eastAsia="zh-CN"/>
              </w:rPr>
              <w:t xml:space="preserve">评委根据</w:t>
            </w:r>
            <w:r>
              <w:rPr>
                <w:rFonts w:hint="eastAsia" w:ascii="Calibri" w:hAnsi="Calibri" w:eastAsia="宋体" w:cs="Times New Roman"/>
                <w:color w:val="000000"/>
                <w:sz w:val="21"/>
                <w:szCs w:val="21"/>
                <w:lang w:val="en-US" w:eastAsia="zh-CN" w:bidi="ar-SA"/>
              </w:rPr>
              <w:t xml:space="preserve">投标人</w:t>
            </w:r>
            <w:r>
              <w:rPr>
                <w:rFonts w:ascii="宋体" w:hAnsi="宋体" w:eastAsia="宋体" w:cs="宋体"/>
                <w:color w:val="000000"/>
                <w:sz w:val="21"/>
                <w:szCs w:val="21"/>
                <w:lang w:val="en-US" w:eastAsia="zh-CN"/>
              </w:rPr>
              <w:t xml:space="preserve">提供的总体实施方案进行打分，包括:1.总体服务方案；2.采集工作实施方案；3.数字化平台服务方案</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（1）以上每项内容完整深刻、针对性强、紧贴采购需求的，得2分； </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（2）以上每项内容较为完整深刻、针对性较强、能够满足采购需求的，得 1分； </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（3）以上每项内容基本完整、具有一定针对性、基本符合采购需求的，得 0.5分； </w:t>
            </w:r>
            <w:r>
              <w:rPr>
                <w:rFonts w:hint="eastAsia" w:ascii="Times New Roman" w:hAnsi="Times New Roman" w:eastAsia="宋体" w:cs="Times New Roman"/>
                <w:color w:val="000000"/>
                <w:sz w:val="21"/>
                <w:szCs w:val="21"/>
                <w:lang w:val="en-US" w:eastAsia="zh-CN"/>
              </w:rPr>
            </w:r>
            <w:r/>
          </w:p>
          <w:p>
            <w:pPr>
              <w:pStyle w:val="903"/>
              <w:spacing w:line="264" w:lineRule="auto"/>
              <w:rPr>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（4）以上每项内容不符合采购需求或未提供需求理解材料的不得分。</w:t>
            </w:r>
            <w:bookmarkEnd w:id="193"/>
            <w:r>
              <w:rPr>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4"/>
                <w:sz w:val="21"/>
                <w:szCs w:val="21"/>
                <w:lang w:eastAsia="zh-CN"/>
              </w:rPr>
              <w:t xml:space="preserve">主观分</w:t>
            </w:r>
            <w:r>
              <w:rPr>
                <w:rFonts w:ascii="宋体" w:hAnsi="宋体" w:eastAsia="宋体" w:cs="宋体"/>
                <w:color w:val="000000"/>
                <w:sz w:val="21"/>
                <w:szCs w:val="21"/>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2.3</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数据分析及投诉处理方案</w:t>
            </w:r>
            <w:r>
              <w:rPr>
                <w:rFonts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w:t>
            </w:r>
            <w:r>
              <w:rPr>
                <w:rFonts w:hint="eastAsia" w:ascii="Calibri" w:hAnsi="Calibri"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lang w:val="en-US" w:eastAsia="zh-CN"/>
              </w:rPr>
              <w:t xml:space="preserve">提供的数据及投诉处理方案进行打分，包括:1.建立日常数据采集与处理分析工作机制；2.对投诉举报的检查、跟踪；3.信息反馈与处理机制方案。</w:t>
            </w:r>
            <w:r>
              <w:rPr>
                <w:rFonts w:hint="eastAsia" w:ascii="Times New Roman" w:hAnsi="Times New Roman" w:eastAsia="宋体" w:cs="Times New Roman"/>
                <w:color w:val="000000"/>
                <w:sz w:val="21"/>
                <w:szCs w:val="21"/>
                <w:highlight w:val="none"/>
                <w:lang w:val="en-US" w:eastAsia="zh-CN" w:bidi="ar-SA"/>
              </w:rPr>
              <w:t xml:space="preserve">以上每项内容逐条阐述。</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（1）以上每项内容完整深刻、针对性强、紧贴采购需求的，得2分； </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（2）以上每项内容较为完整深刻、针对性较强、能够满足采购需求的，得 1分； </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（3）以上每项内容基本完整、具有一定针对性、基本符合采购需求的，得 0.5分； </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（4）以上每项内容不符合采购需求或未提供需求理解材料的不得分。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z w:val="21"/>
                <w:szCs w:val="21"/>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2.4</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ind w:firstLine="0"/>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组织方案</w:t>
            </w:r>
            <w:r>
              <w:rPr>
                <w:rFonts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ind w:left="0"/>
              <w:jc w:val="left"/>
              <w:spacing w:line="264" w:lineRule="auto"/>
              <w:widowControl w:val="off"/>
              <w:rPr>
                <w:rFonts w:hint="eastAsia" w:ascii="Times New Roman" w:hAnsi="Times New Roman"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lang w:val="en-US" w:eastAsia="zh-CN" w:bidi="ar-SA"/>
              </w:rPr>
              <w:t xml:space="preserve">评委根据投标人提供的组织方案进行打分，</w:t>
            </w:r>
            <w:r>
              <w:rPr>
                <w:rFonts w:hint="eastAsia" w:ascii="Times New Roman" w:hAnsi="Times New Roman" w:eastAsia="宋体" w:cs="Times New Roman"/>
                <w:color w:val="000000"/>
                <w:sz w:val="21"/>
                <w:szCs w:val="21"/>
                <w:lang w:val="en-US" w:eastAsia="zh-CN" w:bidi="ar-SA"/>
              </w:rPr>
              <w:t xml:space="preserve">包括：1.组织运行体系；2.管理制度。</w:t>
            </w:r>
            <w:r>
              <w:rPr>
                <w:rFonts w:hint="eastAsia" w:ascii="Times New Roman" w:hAnsi="Times New Roman" w:eastAsia="宋体" w:cs="Times New Roman"/>
                <w:color w:val="000000"/>
                <w:sz w:val="21"/>
                <w:szCs w:val="21"/>
                <w:highlight w:val="none"/>
                <w:lang w:val="en-US" w:eastAsia="zh-CN" w:bidi="ar-SA"/>
              </w:rPr>
              <w:t xml:space="preserve">以上每项内容逐条阐述。</w:t>
            </w:r>
            <w:r>
              <w:rPr>
                <w:rFonts w:hint="eastAsia" w:ascii="Times New Roman" w:hAnsi="Times New Roman" w:eastAsia="宋体" w:cs="Times New Roman"/>
                <w:color w:val="000000"/>
                <w:sz w:val="21"/>
                <w:szCs w:val="21"/>
                <w:highlight w:val="none"/>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（1）以上每项内容完整深刻、针对性强、紧贴采购需求的，得2分； </w:t>
            </w:r>
            <w:r>
              <w:rPr>
                <w:rFonts w:hint="eastAsia" w:ascii="Times New Roman" w:hAnsi="Times New Roman" w:eastAsia="宋体" w:cs="Times New Roman"/>
                <w:color w:val="000000"/>
                <w:sz w:val="21"/>
                <w:szCs w:val="21"/>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（2）以上每项内容较为完整深刻、针对性较强、能够满足采购需求的，得 1分； </w:t>
            </w:r>
            <w:r>
              <w:rPr>
                <w:rFonts w:hint="eastAsia" w:ascii="Times New Roman" w:hAnsi="Times New Roman" w:eastAsia="宋体" w:cs="Times New Roman"/>
                <w:color w:val="000000"/>
                <w:sz w:val="21"/>
                <w:szCs w:val="21"/>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（3）以上每项内容基本完整、具有一定针对性、基本符合采购需求的，得 0.5分； </w:t>
            </w:r>
            <w:r>
              <w:rPr>
                <w:rFonts w:hint="eastAsia" w:ascii="Times New Roman" w:hAnsi="Times New Roman" w:eastAsia="宋体" w:cs="Times New Roman"/>
                <w:color w:val="000000"/>
                <w:sz w:val="21"/>
                <w:szCs w:val="21"/>
                <w:lang w:val="en-US" w:eastAsia="zh-CN" w:bidi="ar-SA"/>
              </w:rPr>
            </w:r>
            <w:r/>
          </w:p>
          <w:p>
            <w:pPr>
              <w:pStyle w:val="871"/>
              <w:ind w:left="0"/>
              <w:jc w:val="both"/>
              <w:spacing w:line="264" w:lineRule="auto"/>
              <w:widowControl w:val="off"/>
              <w:rPr>
                <w:rFonts w:hint="eastAsia" w:ascii="Calibri" w:hAnsi="Calibri" w:eastAsia="Calibri" w:cs="宋体"/>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（4）以上每项内容不符合采购需求或未提供需求理解材料的不得分</w:t>
            </w:r>
            <w:r>
              <w:rPr>
                <w:rFonts w:hint="eastAsia" w:ascii="宋体" w:hAnsi="宋体" w:eastAsia="宋体" w:cs="宋体"/>
                <w:color w:val="000000"/>
                <w:sz w:val="21"/>
                <w:szCs w:val="21"/>
                <w:lang w:val="en-US" w:eastAsia="zh-CN" w:bidi="ar-SA"/>
              </w:rPr>
              <w:t xml:space="preserve">。</w:t>
            </w:r>
            <w:r>
              <w:rPr>
                <w:rFonts w:hint="eastAsia" w:ascii="Calibri" w:hAnsi="Calibri" w:eastAsia="Calibri" w:cs="宋体"/>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pacing w:val="-6"/>
                <w:sz w:val="21"/>
                <w:szCs w:val="21"/>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2.5</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ind w:firstLine="0"/>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人员配备方案</w:t>
            </w:r>
            <w:r>
              <w:rPr>
                <w:rFonts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w:t>
            </w:r>
            <w:r>
              <w:rPr>
                <w:rFonts w:hint="eastAsia" w:ascii="Calibri" w:hAnsi="Calibri"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lang w:val="en-US" w:eastAsia="zh-CN"/>
              </w:rPr>
              <w:t xml:space="preserve">提供的人员配备方案进行打分，包括：1.项目团队组织架构与人员配置；2.团队人员自我约束和监督管理机制方案。以上每项内容逐条阐述。</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（1）以上每项内容完整深刻、针对性强、紧贴采购需求的，得2分；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（2）以上每项内容较为完整深刻、针对性较强、能够满足采购需求的，得 1分；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（3）以上每项内容基本完整、具有一定针对性、基本符合采购需求的，得 0.5分；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（4）以上每项内容不符合采购需求或未提供需求理解材料的不得分。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4"/>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pacing w:val="-4"/>
                <w:sz w:val="21"/>
                <w:szCs w:val="21"/>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2.6</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ind w:firstLine="0"/>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质量管理方案</w:t>
            </w:r>
            <w:r>
              <w:rPr>
                <w:rFonts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w:t>
            </w:r>
            <w:r>
              <w:rPr>
                <w:rFonts w:hint="eastAsia" w:ascii="Calibri" w:hAnsi="Calibri"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lang w:val="en-US" w:eastAsia="zh-CN"/>
              </w:rPr>
              <w:t xml:space="preserve">提供的质量管理方案进行打分，包括：1.信息采集工作内控机制及监督机制；2.数据质量保障能力。以上每项内容逐条阐述。</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（1）以上每项内容完整深刻、针对性强、紧贴采购需求的，得2分；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（2）以上每项内容较为完整深刻、针对性较强、能够满足采购需求的，得 1分；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（3）以上每项内容基本完整、具有一定针对性、基本符合采购需求的，得 0.5分；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（4）以上每项内容不符合采购需求或未提供需求理解材料的不得分。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4"/>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pacing w:val="-4"/>
                <w:sz w:val="21"/>
                <w:szCs w:val="21"/>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2.7</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ind w:firstLine="0"/>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视频演示</w:t>
            </w:r>
            <w:r>
              <w:rPr>
                <w:rFonts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w:t>
            </w:r>
            <w:r>
              <w:rPr>
                <w:rFonts w:hint="eastAsia" w:ascii="Calibri" w:hAnsi="Calibri"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lang w:val="en-US" w:eastAsia="zh-CN"/>
              </w:rPr>
              <w:t xml:space="preserve">提供的演示视频综合评分。演示视频包括以下内容：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（一）数字化管理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1.具有人员、车辆调度指挥功能，满足得1分；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2.具有人员、车辆位置实时监控功能，满足得1分；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3.具有对所采集信息实时存储备份功能并具有对团队成员考核评价功能，满足得1分。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（二）</w:t>
            </w:r>
            <w:r>
              <w:rPr>
                <w:rFonts w:hint="eastAsia" w:ascii="Times New Roman" w:hAnsi="Times New Roman" w:eastAsia="宋体" w:cs="Times New Roman"/>
                <w:color w:val="000000"/>
                <w:sz w:val="21"/>
                <w:szCs w:val="21"/>
                <w:lang w:val="en-US" w:eastAsia="zh-CN"/>
              </w:rPr>
              <w:t xml:space="preserve">视频采集系统</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1.系统功能要求</w:t>
            </w:r>
            <w:r>
              <w:rPr>
                <w:rFonts w:hint="eastAsia" w:ascii="Times New Roman" w:hAnsi="Times New Roman" w:eastAsia="宋体" w:cs="Times New Roman"/>
                <w:color w:val="000000"/>
                <w:sz w:val="21"/>
                <w:szCs w:val="21"/>
                <w:lang w:val="en-US" w:eastAsia="zh-CN" w:bidi="ar-SA"/>
              </w:rPr>
            </w:r>
            <w:r/>
          </w:p>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（1）系统智能识别城市管理问题类别≥30类（符合 GB/T30428.2），满足得2分。</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（2）支持视频实时回传、自动预警、多条件检索、统计导出、环比分析，满足得1分。</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（3）具备案件/设备/配置/ 复审管理及案件智能流转闭环功能，满足得1分。</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（4）支持设备监管、轨迹回放、自动生成各类数据分析报告，满足得2分。</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2.算法功能要求</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（1）检测算法可识别≥30类国标问题，满足得1分。</w:t>
            </w:r>
            <w:r>
              <w:rPr>
                <w:rFonts w:hint="eastAsia" w:ascii="Times New Roman" w:hAnsi="Times New Roman" w:eastAsia="宋体" w:cs="Times New Roman"/>
                <w:color w:val="000000"/>
                <w:sz w:val="21"/>
                <w:szCs w:val="21"/>
                <w:lang w:val="en-US" w:eastAsia="zh-CN" w:bidi="ar-SA"/>
              </w:rPr>
            </w:r>
            <w:r/>
          </w:p>
          <w:p>
            <w:pPr>
              <w:pStyle w:val="871"/>
              <w:spacing w:line="264" w:lineRule="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sz w:val="21"/>
                <w:szCs w:val="21"/>
                <w:lang w:val="en-US" w:eastAsia="zh-CN" w:bidi="ar-SA"/>
              </w:rPr>
              <w:t xml:space="preserve">（2）识别准确率≥80%，满足得1分。</w:t>
            </w:r>
            <w:r>
              <w:rPr>
                <w:rFonts w:hint="eastAsia" w:ascii="Times New Roman" w:hAnsi="Times New Roman" w:eastAsia="宋体" w:cs="Times New Roman"/>
                <w:color w:val="000000"/>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bidi="ar-SA"/>
              </w:rPr>
              <w:t xml:space="preserve">视频演示要求：视频由投标人项目负责人或主要管理人员出镜并讲解，视频总时长≤15分钟，格式为 MP4/AVI，以压缩包形式上传；单个文件≤50M，总大小≤300M，视频一镜到底拍摄，仅允许添加字幕，无剪辑、无画面断续/跳帧。文件上传方式见《操作手册》。</w:t>
            </w:r>
            <w:r>
              <w:rPr>
                <w:rFonts w:hint="eastAsia" w:ascii="Times New Roman" w:hAnsi="Times New Roman" w:eastAsia="宋体" w:cs="Times New Roman"/>
                <w:color w:val="000000"/>
                <w:sz w:val="21"/>
                <w:szCs w:val="21"/>
                <w:lang w:val="en-US" w:eastAsia="zh-CN"/>
              </w:rPr>
              <w:t xml:space="preserve">采用类似真实系统演示</w:t>
            </w:r>
            <w:r>
              <w:rPr>
                <w:rFonts w:hint="eastAsia" w:ascii="Times New Roman" w:hAnsi="Times New Roman" w:eastAsia="宋体" w:cs="Times New Roman"/>
                <w:color w:val="000000"/>
                <w:sz w:val="21"/>
                <w:szCs w:val="21"/>
                <w:lang w:val="en-US" w:eastAsia="zh-CN" w:bidi="ar-SA"/>
              </w:rPr>
              <w:t xml:space="preserve">进行演示的得满分</w:t>
            </w:r>
            <w:r>
              <w:rPr>
                <w:rFonts w:hint="eastAsia" w:ascii="Times New Roman" w:hAnsi="Times New Roman" w:eastAsia="宋体" w:cs="Times New Roman"/>
                <w:color w:val="000000"/>
                <w:sz w:val="21"/>
                <w:szCs w:val="21"/>
                <w:lang w:val="en-US" w:eastAsia="zh-CN"/>
              </w:rPr>
              <w:t xml:space="preserve">；</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采用采用PPT、</w:t>
            </w:r>
            <w:r>
              <w:rPr>
                <w:rFonts w:hint="eastAsia" w:ascii="Times New Roman" w:hAnsi="Times New Roman" w:eastAsia="宋体" w:cs="Times New Roman"/>
                <w:color w:val="000000"/>
                <w:sz w:val="21"/>
                <w:szCs w:val="21"/>
                <w:lang w:val="en-US" w:eastAsia="zh-CN" w:bidi="ar-SA"/>
              </w:rPr>
              <w:t xml:space="preserve">截图、页面原型等非真实系统演示的</w:t>
            </w:r>
            <w:r>
              <w:rPr>
                <w:rFonts w:hint="eastAsia" w:ascii="Times New Roman" w:hAnsi="Times New Roman" w:eastAsia="宋体" w:cs="Times New Roman"/>
                <w:color w:val="000000"/>
                <w:sz w:val="21"/>
                <w:szCs w:val="21"/>
                <w:lang w:val="en-US" w:eastAsia="zh-CN"/>
              </w:rPr>
              <w:t xml:space="preserve">，</w:t>
            </w:r>
            <w:r>
              <w:rPr>
                <w:rFonts w:hint="eastAsia" w:ascii="Times New Roman" w:hAnsi="Times New Roman" w:eastAsia="宋体" w:cs="Times New Roman"/>
                <w:color w:val="000000"/>
                <w:sz w:val="21"/>
                <w:szCs w:val="21"/>
                <w:lang w:val="en-US" w:eastAsia="zh-CN" w:bidi="ar-SA"/>
              </w:rPr>
              <w:t xml:space="preserve">每项功能得分为该功能权重分的50%。</w:t>
            </w:r>
            <w:r>
              <w:rPr>
                <w:rFonts w:hint="eastAsia" w:ascii="Times New Roman" w:hAnsi="Times New Roman" w:eastAsia="宋体" w:cs="Times New Roman"/>
                <w:color w:val="000000"/>
                <w:sz w:val="21"/>
                <w:szCs w:val="21"/>
                <w:lang w:val="en-US" w:eastAsia="zh-CN" w:bidi="ar-SA"/>
              </w:rPr>
            </w:r>
            <w:r/>
          </w:p>
          <w:p>
            <w:pPr>
              <w:pStyle w:val="871"/>
              <w:jc w:val="left"/>
              <w:keepLines w:val="0"/>
              <w:keepNext w:val="0"/>
              <w:pageBreakBefore w:val="0"/>
              <w:spacing w:line="264" w:lineRule="auto"/>
              <w:widowControl w:val="off"/>
              <w:rPr>
                <w:color w:val="000000"/>
                <w:sz w:val="21"/>
                <w:szCs w:val="21"/>
                <w:lang w:val="zh-CN" w:eastAsia="zh-CN"/>
              </w:rPr>
            </w:pPr>
            <w:r>
              <w:rPr>
                <w:rFonts w:hint="eastAsia" w:ascii="Times New Roman" w:hAnsi="Times New Roman" w:eastAsia="宋体" w:cs="Times New Roman"/>
                <w:color w:val="000000"/>
                <w:sz w:val="21"/>
                <w:szCs w:val="21"/>
                <w:lang w:val="en-US" w:eastAsia="zh-CN"/>
              </w:rPr>
              <w:t xml:space="preserve">（未提供视频文件或因供应商自身原因视频文件无法打开或视频画面不清晰无法辨认的不得分。）</w:t>
            </w:r>
            <w:r>
              <w:rPr>
                <w:color w:val="000000"/>
                <w:sz w:val="21"/>
                <w:szCs w:val="21"/>
                <w:lang w:val="zh-CN"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b/>
                <w:bCs/>
                <w:color w:val="000000"/>
                <w:spacing w:val="-3"/>
                <w:sz w:val="21"/>
                <w:szCs w:val="21"/>
                <w:lang w:val="en-US" w:eastAsia="zh-CN"/>
              </w:rPr>
              <w:t xml:space="preserve">3.服务</w:t>
            </w:r>
            <w:r>
              <w:rPr>
                <w:rFonts w:hint="eastAsia" w:ascii="宋体" w:hAnsi="宋体" w:eastAsia="宋体" w:cs="宋体"/>
                <w:color w:val="000000"/>
                <w:sz w:val="21"/>
                <w:szCs w:val="21"/>
                <w:lang w:eastAsia="zh-CN"/>
              </w:rPr>
            </w:r>
            <w:r/>
          </w:p>
        </w:tc>
      </w:tr>
      <w:tr>
        <w:trPr>
          <w:trHeight w:val="19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3.1</w:t>
            </w:r>
            <w:r>
              <w:rPr>
                <w:rFonts w:ascii="宋体" w:hAnsi="宋体" w:eastAsia="宋体" w:cs="宋体"/>
                <w:spacing w:val="-2"/>
                <w:sz w:val="21"/>
                <w:szCs w:val="21"/>
                <w:lang w:val="en-US" w:eastAsia="zh-CN"/>
              </w:rPr>
            </w:r>
            <w:r/>
          </w:p>
        </w:tc>
        <w:tc>
          <w:tcPr>
            <w:tcW w:w="1179" w:type="dxa"/>
            <w:vAlign w:val="center"/>
            <w:textDirection w:val="lrTb"/>
            <w:noWrap w:val="false"/>
          </w:tcPr>
          <w:p>
            <w:pPr>
              <w:pStyle w:val="871"/>
              <w:jc w:val="center"/>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应急保障方案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ind w:left="0"/>
              <w:jc w:val="both"/>
              <w:spacing w:line="264" w:lineRule="auto"/>
              <w:widowControl w:val="off"/>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lang w:val="en-US" w:eastAsia="zh-CN" w:bidi="ar-SA"/>
              </w:rPr>
              <w:t xml:space="preserve">评委根据投标人提供的应急保障方案进行打分，包括:1.重大活动服务保障的应急指挥；2.资源调度方案;</w:t>
            </w:r>
            <w:r>
              <w:rPr>
                <w:rFonts w:hint="eastAsia" w:ascii="Times New Roman" w:hAnsi="Times New Roman" w:eastAsia="宋体" w:cs="Times New Roman"/>
                <w:color w:val="000000"/>
                <w:sz w:val="21"/>
                <w:szCs w:val="21"/>
                <w:lang w:val="en-US" w:eastAsia="zh-CN"/>
              </w:rPr>
              <w:t xml:space="preserve">3.响应机制；4.人员、装备快速响应方案</w:t>
            </w:r>
            <w:r>
              <w:rPr>
                <w:rFonts w:hint="eastAsia" w:ascii="Times New Roman" w:hAnsi="Times New Roman" w:eastAsia="宋体" w:cs="Times New Roman"/>
                <w:color w:val="000000"/>
                <w:sz w:val="21"/>
                <w:szCs w:val="21"/>
                <w:lang w:val="en-US" w:eastAsia="zh-CN" w:bidi="ar-SA"/>
              </w:rPr>
              <w:t xml:space="preserve">。</w:t>
            </w:r>
            <w:r>
              <w:rPr>
                <w:rFonts w:hint="eastAsia" w:ascii="Times New Roman" w:hAnsi="Times New Roman" w:eastAsia="宋体" w:cs="Times New Roman"/>
                <w:color w:val="000000"/>
                <w:sz w:val="21"/>
                <w:szCs w:val="21"/>
                <w:highlight w:val="none"/>
                <w:lang w:val="en-US" w:eastAsia="zh-CN" w:bidi="ar-SA"/>
              </w:rPr>
              <w:t xml:space="preserve">以上每项内容逐条阐述。</w:t>
            </w:r>
            <w:r>
              <w:rPr>
                <w:rFonts w:hint="eastAsia" w:ascii="Times New Roman" w:hAnsi="Times New Roman" w:eastAsia="宋体" w:cs="Times New Roman"/>
                <w:color w:val="000000"/>
                <w:sz w:val="21"/>
                <w:szCs w:val="21"/>
                <w:highlight w:val="none"/>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（1）以上每项内容完整深刻、针对性强、紧贴采购需求的，得1分； </w:t>
            </w:r>
            <w:r>
              <w:rPr>
                <w:rFonts w:hint="eastAsia" w:ascii="Times New Roman" w:hAnsi="Times New Roman" w:eastAsia="宋体" w:cs="Times New Roman"/>
                <w:color w:val="000000"/>
                <w:sz w:val="21"/>
                <w:szCs w:val="21"/>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（2）以上每项内容基本完整、具有一定针对性、基本符合采购需求的，得 0.5分； </w:t>
            </w:r>
            <w:r>
              <w:rPr>
                <w:rFonts w:hint="eastAsia" w:ascii="Times New Roman" w:hAnsi="Times New Roman" w:eastAsia="宋体" w:cs="Times New Roman"/>
                <w:color w:val="000000"/>
                <w:sz w:val="21"/>
                <w:szCs w:val="21"/>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（3）以上每项内容不符合采购需求或未提供需求理解材料的不得分。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rPr>
              <w:t xml:space="preserve">主观分</w:t>
            </w:r>
            <w:r>
              <w:rPr>
                <w:rFonts w:ascii="宋体" w:hAnsi="宋体" w:eastAsia="宋体" w:cs="宋体"/>
                <w:color w:val="000000"/>
                <w:spacing w:val="-6"/>
                <w:sz w:val="21"/>
                <w:szCs w:val="21"/>
                <w:lang w:val="en-US" w:eastAsia="zh-CN" w:bidi="ar-SA"/>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3.2</w:t>
            </w:r>
            <w:r>
              <w:rPr>
                <w:rFonts w:ascii="宋体" w:hAnsi="宋体" w:eastAsia="宋体" w:cs="宋体"/>
                <w:spacing w:val="-2"/>
                <w:sz w:val="21"/>
                <w:szCs w:val="21"/>
                <w:lang w:val="en-US" w:eastAsia="zh-CN"/>
              </w:rPr>
            </w:r>
            <w:r/>
          </w:p>
        </w:tc>
        <w:tc>
          <w:tcPr>
            <w:tcW w:w="117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pacing w:val="-2"/>
                <w:sz w:val="21"/>
                <w:szCs w:val="21"/>
                <w:lang w:val="en-US" w:eastAsia="zh-CN"/>
              </w:rPr>
            </w:pPr>
            <w:r>
              <w:rPr>
                <w:rFonts w:hint="eastAsia" w:ascii="Times New Roman" w:hAnsi="Times New Roman" w:eastAsia="宋体" w:cs="Times New Roman"/>
                <w:sz w:val="21"/>
                <w:szCs w:val="21"/>
              </w:rPr>
              <w:t xml:space="preserve">车辆</w:t>
            </w:r>
            <w:r>
              <w:rPr>
                <w:rFonts w:hint="eastAsia" w:ascii="Times New Roman" w:hAnsi="Times New Roman" w:eastAsia="宋体" w:cs="Times New Roman"/>
                <w:sz w:val="21"/>
                <w:szCs w:val="21"/>
                <w:lang w:val="en-US" w:eastAsia="zh-CN"/>
              </w:rPr>
              <w:t xml:space="preserve">停放与响应</w:t>
            </w:r>
            <w:r>
              <w:rPr>
                <w:rFonts w:hint="eastAsia" w:ascii="宋体" w:hAnsi="宋体" w:eastAsia="宋体" w:cs="宋体"/>
                <w:spacing w:val="-2"/>
                <w:sz w:val="21"/>
                <w:szCs w:val="21"/>
                <w:lang w:val="en-US" w:eastAsia="zh-CN"/>
              </w:rPr>
            </w:r>
            <w:r/>
          </w:p>
        </w:tc>
        <w:tc>
          <w:tcPr>
            <w:tcW w:w="6330" w:type="dxa"/>
            <w:vAlign w:val="top"/>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rPr>
              <w:t xml:space="preserve">投标人具有满足日常开展工作与应急响应需要的车辆停放场地</w:t>
            </w:r>
            <w:r>
              <w:rPr>
                <w:rFonts w:hint="eastAsia"/>
                <w:color w:val="000000"/>
                <w:lang w:eastAsia="zh-CN"/>
              </w:rPr>
              <w:t xml:space="preserve">（</w:t>
            </w:r>
            <w:r>
              <w:rPr>
                <w:rFonts w:hint="eastAsia"/>
                <w:color w:val="000000"/>
                <w:lang w:val="en-US" w:eastAsia="zh-CN"/>
              </w:rPr>
              <w:t xml:space="preserve">不少于40个车位</w:t>
            </w:r>
            <w:r>
              <w:rPr>
                <w:rFonts w:hint="eastAsia"/>
                <w:color w:val="000000"/>
                <w:lang w:eastAsia="zh-CN"/>
              </w:rPr>
              <w:t xml:space="preserve">）</w:t>
            </w:r>
            <w:r>
              <w:rPr>
                <w:rFonts w:hint="eastAsia" w:ascii="Times New Roman" w:hAnsi="Times New Roman" w:eastAsia="宋体" w:cs="Times New Roman"/>
                <w:color w:val="000000"/>
                <w:sz w:val="21"/>
                <w:szCs w:val="21"/>
              </w:rPr>
              <w:t xml:space="preserve">的，得</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rPr>
              <w:t xml:space="preserve">分</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须提供</w:t>
            </w:r>
            <w:r>
              <w:rPr>
                <w:rFonts w:hint="eastAsia" w:ascii="Times New Roman" w:hAnsi="Times New Roman" w:eastAsia="宋体" w:cs="Times New Roman"/>
                <w:color w:val="000000"/>
                <w:sz w:val="21"/>
                <w:szCs w:val="21"/>
                <w:lang w:val="en-US" w:eastAsia="zh-CN"/>
              </w:rPr>
              <w:t xml:space="preserve">承诺书或相关证明并加盖投标人公章</w:t>
            </w:r>
            <w:r>
              <w:rPr>
                <w:rFonts w:hint="eastAsia"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lang w:val="en-US" w:eastAsia="zh-CN"/>
              </w:rPr>
              <w:t xml:space="preserve">相关证明包括房产证或租赁合同等其他证明材料</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pacing w:val="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客观分</w:t>
            </w:r>
            <w:r>
              <w:rPr>
                <w:rFonts w:ascii="宋体" w:hAnsi="宋体" w:eastAsia="宋体" w:cs="宋体"/>
                <w:color w:val="000000"/>
                <w:spacing w:val="-6"/>
                <w:sz w:val="21"/>
                <w:szCs w:val="21"/>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rPr>
                <w:rFonts w:ascii="宋体" w:hAnsi="宋体" w:eastAsia="宋体" w:cs="宋体"/>
                <w:color w:val="000000"/>
                <w:sz w:val="21"/>
                <w:szCs w:val="21"/>
              </w:rPr>
            </w:r>
            <w:r/>
          </w:p>
        </w:tc>
      </w:tr>
      <w:tr>
        <w:trPr>
          <w:trHeight w:val="9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71"/>
              <w:ind w:firstLine="210"/>
              <w:jc w:val="both"/>
              <w:keepLines w:val="0"/>
              <w:keepNext w:val="0"/>
              <w:pageBreakBefore w:val="0"/>
              <w:spacing w:before="69" w:line="264" w:lineRule="auto"/>
              <w:widowControl w:val="off"/>
              <w:rPr>
                <w:rFonts w:ascii="宋体" w:hAnsi="宋体" w:eastAsia="宋体" w:cs="宋体"/>
                <w:color w:val="000000"/>
                <w:spacing w:val="-2"/>
                <w:sz w:val="21"/>
                <w:szCs w:val="21"/>
              </w:rPr>
            </w:pP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lang w:val="en-US" w:eastAsia="zh-CN"/>
              </w:rPr>
              <w:t xml:space="preserve">提供：</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（1）2023年1月1日以来（含，以合同签订时间为准）具有类似信息采集服务业绩的，每提供一个业绩得2分，最高得4分。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（2）2023年1月1日以来（含，以合同签订时间为准）具有类似智能化采集服务业绩的（至少包含移动终端采集或AI 智能识别或无人机巡查或部件普查等智能化采集内容），每提供一个业绩得2分，最高得4分。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Times New Roman" w:hAnsi="Times New Roman" w:eastAsia="宋体" w:cs="Times New Roman"/>
                <w:color w:val="000000"/>
                <w:sz w:val="21"/>
                <w:szCs w:val="21"/>
                <w:lang w:val="en-US" w:eastAsia="zh-CN"/>
              </w:rPr>
              <w:t xml:space="preserve">（（1）（2）项业绩不重复计分。合同须能反映项目名称、主要标的物，签订时间和签章清晰可见。未提供的不得分，</w:t>
            </w:r>
            <w:r>
              <w:rPr>
                <w:rFonts w:hint="eastAsia" w:ascii="Times New Roman" w:hAnsi="Times New Roman" w:eastAsia="宋体" w:cs="Times New Roman"/>
                <w:color w:val="000000"/>
                <w:sz w:val="21"/>
                <w:szCs w:val="21"/>
                <w:lang w:val="en-US" w:eastAsia="zh-CN" w:bidi="ar-SA"/>
              </w:rPr>
              <w:t xml:space="preserve">时间以合同签订时间为准，</w:t>
            </w:r>
            <w:r>
              <w:rPr>
                <w:rFonts w:hint="eastAsia" w:ascii="Times New Roman" w:hAnsi="Times New Roman" w:eastAsia="宋体" w:cs="Times New Roman"/>
                <w:color w:val="000000"/>
                <w:sz w:val="21"/>
                <w:szCs w:val="21"/>
                <w:lang w:val="en-US" w:eastAsia="zh-CN"/>
              </w:rPr>
              <w:t xml:space="preserve">提供有效合同，合同页须清晰可见相应内容</w:t>
            </w:r>
            <w:r>
              <w:rPr>
                <w:rFonts w:hint="eastAsia" w:ascii="Times New Roman" w:hAnsi="Times New Roman" w:eastAsia="宋体" w:cs="Times New Roman"/>
                <w:color w:val="000000"/>
                <w:sz w:val="21"/>
                <w:szCs w:val="21"/>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8</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5.履约能力</w:t>
            </w:r>
            <w:r>
              <w:rPr>
                <w:rFonts w:ascii="宋体" w:hAnsi="宋体" w:eastAsia="宋体" w:cs="宋体"/>
                <w:color w:val="000000"/>
                <w:sz w:val="21"/>
                <w:szCs w:val="21"/>
              </w:rPr>
            </w:r>
            <w:r/>
          </w:p>
        </w:tc>
      </w:tr>
      <w:tr>
        <w:trPr>
          <w:trHeight w:val="9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拟委派的项目经理</w:t>
            </w:r>
            <w:r>
              <w:rPr>
                <w:rFonts w:hint="eastAsia" w:ascii="Times New Roman" w:hAnsi="Times New Roman" w:eastAsia="宋体" w:cs="Times New Roman"/>
                <w:color w:val="000000"/>
                <w:sz w:val="21"/>
                <w:szCs w:val="21"/>
                <w:lang w:val="en-US" w:eastAsia="zh-CN"/>
              </w:rPr>
              <w:t xml:space="preserve">具有</w:t>
            </w:r>
            <w:r>
              <w:rPr>
                <w:rFonts w:hint="eastAsia" w:ascii="Times New Roman" w:hAnsi="Times New Roman" w:eastAsia="宋体" w:cs="Times New Roman"/>
                <w:color w:val="000000"/>
                <w:sz w:val="21"/>
                <w:szCs w:val="21"/>
              </w:rPr>
              <w:t xml:space="preserve">5年</w:t>
            </w:r>
            <w:r>
              <w:rPr>
                <w:rFonts w:hint="eastAsia" w:ascii="Times New Roman" w:hAnsi="Times New Roman" w:eastAsia="宋体" w:cs="Times New Roman"/>
                <w:color w:val="000000"/>
                <w:sz w:val="21"/>
                <w:szCs w:val="21"/>
                <w:lang w:val="en-US" w:eastAsia="zh-CN"/>
              </w:rPr>
              <w:t xml:space="preserve">及以上</w:t>
            </w:r>
            <w:r>
              <w:rPr>
                <w:rFonts w:hint="eastAsia" w:ascii="Times New Roman" w:hAnsi="Times New Roman" w:eastAsia="宋体" w:cs="Times New Roman"/>
                <w:color w:val="000000"/>
                <w:sz w:val="21"/>
                <w:szCs w:val="21"/>
              </w:rPr>
              <w:t xml:space="preserve">从事城市管理</w:t>
            </w:r>
            <w:r>
              <w:rPr>
                <w:rFonts w:hint="eastAsia" w:ascii="Times New Roman" w:hAnsi="Times New Roman" w:eastAsia="宋体" w:cs="Times New Roman"/>
                <w:color w:val="000000"/>
                <w:sz w:val="21"/>
                <w:szCs w:val="21"/>
                <w:lang w:val="en-US" w:eastAsia="zh-CN"/>
              </w:rPr>
              <w:t xml:space="preserve">服务</w:t>
            </w:r>
            <w:r>
              <w:rPr>
                <w:rFonts w:hint="eastAsia" w:ascii="Times New Roman" w:hAnsi="Times New Roman" w:eastAsia="宋体" w:cs="Times New Roman"/>
                <w:color w:val="000000"/>
                <w:sz w:val="21"/>
                <w:szCs w:val="21"/>
              </w:rPr>
              <w:t xml:space="preserve">相关工作经验的得2分。</w:t>
            </w:r>
            <w:r>
              <w:rPr>
                <w:rFonts w:hint="eastAsia" w:ascii="Times New Roman" w:hAnsi="Times New Roman" w:eastAsia="宋体" w:cs="Times New Roman"/>
                <w:color w:val="000000"/>
                <w:sz w:val="21"/>
                <w:szCs w:val="21"/>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拟委派的项目经理获得地（市）级</w:t>
            </w:r>
            <w:r>
              <w:rPr>
                <w:rFonts w:hint="eastAsia" w:ascii="Times New Roman" w:hAnsi="Times New Roman" w:eastAsia="宋体" w:cs="Times New Roman"/>
                <w:color w:val="000000"/>
                <w:sz w:val="21"/>
                <w:szCs w:val="21"/>
                <w:lang w:val="en-US" w:eastAsia="zh-CN"/>
              </w:rPr>
              <w:t xml:space="preserve">及以上</w:t>
            </w:r>
            <w:r>
              <w:rPr>
                <w:rFonts w:hint="eastAsia" w:ascii="Times New Roman" w:hAnsi="Times New Roman" w:eastAsia="宋体" w:cs="Times New Roman"/>
                <w:color w:val="000000"/>
                <w:sz w:val="21"/>
                <w:szCs w:val="21"/>
              </w:rPr>
              <w:t xml:space="preserve">行政主管部门颁发的城市管理方面荣誉证书或表彰的，得2分。</w:t>
            </w:r>
            <w:r>
              <w:rPr>
                <w:rFonts w:hint="eastAsia" w:ascii="Times New Roman" w:hAnsi="Times New Roman" w:eastAsia="宋体" w:cs="Times New Roman"/>
                <w:color w:val="000000"/>
                <w:sz w:val="21"/>
                <w:szCs w:val="21"/>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（3）拟派服务管理人员中</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除项目经理外</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，具备3年及以上城市管理</w:t>
            </w:r>
            <w:r>
              <w:rPr>
                <w:rFonts w:hint="eastAsia" w:ascii="Times New Roman" w:hAnsi="Times New Roman" w:eastAsia="宋体" w:cs="Times New Roman"/>
                <w:color w:val="000000"/>
                <w:sz w:val="21"/>
                <w:szCs w:val="21"/>
                <w:lang w:val="en-US" w:eastAsia="zh-CN"/>
              </w:rPr>
              <w:t xml:space="preserve">服务</w:t>
            </w:r>
            <w:r>
              <w:rPr>
                <w:rFonts w:hint="eastAsia" w:ascii="Times New Roman" w:hAnsi="Times New Roman" w:eastAsia="宋体" w:cs="Times New Roman"/>
                <w:color w:val="000000"/>
                <w:sz w:val="21"/>
                <w:szCs w:val="21"/>
              </w:rPr>
              <w:t xml:space="preserve">相关工作经验的，有1人得0.5分，最多得</w:t>
            </w:r>
            <w:r>
              <w:rPr>
                <w:rFonts w:hint="eastAsia" w:ascii="Times New Roman" w:hAnsi="Times New Roman" w:eastAsia="宋体" w:cs="Times New Roman"/>
                <w:color w:val="000000"/>
                <w:sz w:val="21"/>
                <w:szCs w:val="21"/>
                <w:lang w:val="en-US" w:eastAsia="zh-CN"/>
              </w:rPr>
              <w:t xml:space="preserve">4</w:t>
            </w:r>
            <w:r>
              <w:rPr>
                <w:rFonts w:hint="eastAsia" w:ascii="Times New Roman" w:hAnsi="Times New Roman" w:eastAsia="宋体" w:cs="Times New Roman"/>
                <w:color w:val="000000"/>
                <w:sz w:val="21"/>
                <w:szCs w:val="21"/>
              </w:rPr>
              <w:t xml:space="preserve">分。</w:t>
            </w:r>
            <w:r>
              <w:rPr>
                <w:rFonts w:hint="eastAsia" w:ascii="Times New Roman" w:hAnsi="Times New Roman" w:eastAsia="宋体" w:cs="Times New Roman"/>
                <w:color w:val="000000"/>
                <w:sz w:val="21"/>
                <w:szCs w:val="21"/>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（4）拟派服务管理人员中</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除项目经理外</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获得地（市）级</w:t>
            </w:r>
            <w:r>
              <w:rPr>
                <w:rFonts w:hint="eastAsia" w:ascii="Times New Roman" w:hAnsi="Times New Roman" w:eastAsia="宋体" w:cs="Times New Roman"/>
                <w:color w:val="000000"/>
                <w:sz w:val="21"/>
                <w:szCs w:val="21"/>
                <w:lang w:val="en-US" w:eastAsia="zh-CN"/>
              </w:rPr>
              <w:t xml:space="preserve">及以上</w:t>
            </w:r>
            <w:r>
              <w:rPr>
                <w:rFonts w:hint="eastAsia" w:ascii="Times New Roman" w:hAnsi="Times New Roman" w:eastAsia="宋体" w:cs="Times New Roman"/>
                <w:color w:val="000000"/>
                <w:sz w:val="21"/>
                <w:szCs w:val="21"/>
              </w:rPr>
              <w:t xml:space="preserve">行政主管部门颁发的城市管理方面荣誉证书或表彰的，有得1人得0.5分，最多得</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rPr>
              <w:t xml:space="preserve">分。</w:t>
            </w:r>
            <w:r>
              <w:rPr>
                <w:rFonts w:hint="eastAsia" w:ascii="Times New Roman" w:hAnsi="Times New Roman" w:eastAsia="宋体" w:cs="Times New Roman"/>
                <w:color w:val="000000"/>
                <w:sz w:val="21"/>
                <w:szCs w:val="21"/>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rPr>
              <w:t xml:space="preserve">（</w:t>
            </w:r>
            <w:r>
              <w:rPr>
                <w:rFonts w:hint="eastAsia" w:ascii="Times New Roman" w:hAnsi="Times New Roman" w:eastAsia="宋体" w:cs="Times New Roman"/>
                <w:b w:val="0"/>
                <w:bCs w:val="0"/>
                <w:color w:val="000000"/>
                <w:sz w:val="21"/>
                <w:szCs w:val="21"/>
                <w:lang w:val="en-US" w:eastAsia="zh-CN"/>
              </w:rPr>
              <w:t xml:space="preserve">城市管理服务相关工作经验包括：城市巡查或市容管理或网格管理或数字城管采集或城管协管等与城市运行管理直接相关的工作。</w:t>
            </w:r>
            <w:r>
              <w:rPr>
                <w:rFonts w:hint="eastAsia" w:ascii="Times New Roman" w:hAnsi="Times New Roman" w:eastAsia="宋体" w:cs="Times New Roman"/>
                <w:color w:val="000000"/>
                <w:sz w:val="21"/>
                <w:szCs w:val="21"/>
              </w:rPr>
              <w:t xml:space="preserve">提供</w:t>
            </w:r>
            <w:r>
              <w:rPr>
                <w:rFonts w:hint="eastAsia" w:ascii="Times New Roman" w:hAnsi="Times New Roman" w:eastAsia="宋体" w:cs="Times New Roman"/>
                <w:color w:val="000000"/>
                <w:sz w:val="21"/>
                <w:szCs w:val="21"/>
                <w:lang w:val="en-US" w:eastAsia="zh-CN"/>
              </w:rPr>
              <w:t xml:space="preserve">相关工作经验的证明材料、荣誉证书或表彰、人员劳动合同、供应商</w:t>
            </w:r>
            <w:r>
              <w:rPr>
                <w:rFonts w:hint="eastAsia" w:ascii="Times New Roman" w:hAnsi="Times New Roman" w:eastAsia="宋体" w:cs="Times New Roman"/>
                <w:color w:val="000000"/>
                <w:sz w:val="21"/>
                <w:szCs w:val="21"/>
              </w:rPr>
              <w:t xml:space="preserve">为其缴纳的</w:t>
            </w:r>
            <w:r>
              <w:rPr>
                <w:rFonts w:hint="eastAsia" w:ascii="Times New Roman" w:hAnsi="Times New Roman" w:eastAsia="宋体" w:cs="Times New Roman"/>
                <w:color w:val="000000"/>
                <w:sz w:val="21"/>
                <w:szCs w:val="21"/>
                <w:lang w:val="en-US" w:eastAsia="zh-CN"/>
              </w:rPr>
              <w:t xml:space="preserve">2026年</w:t>
            </w:r>
            <w:r>
              <w:rPr>
                <w:rFonts w:hint="eastAsia" w:ascii="Times New Roman" w:hAnsi="Times New Roman" w:eastAsia="宋体" w:cs="Times New Roman"/>
                <w:color w:val="000000"/>
                <w:sz w:val="21"/>
                <w:szCs w:val="21"/>
              </w:rPr>
              <w:t xml:space="preserve">任意1个月社保缴纳证明材料。</w:t>
            </w:r>
            <w:r>
              <w:rPr>
                <w:rFonts w:hint="eastAsia" w:ascii="Times New Roman" w:hAnsi="Times New Roman" w:eastAsia="宋体" w:cs="Times New Roman"/>
                <w:color w:val="000000"/>
                <w:sz w:val="21"/>
                <w:szCs w:val="21"/>
                <w:lang w:val="en-US" w:eastAsia="zh-CN"/>
              </w:rPr>
              <w:t xml:space="preserve">相关工作经验需提供业绩合同，合同须能反映项目名称、主要标的物，参与人员姓名，签订时间和签章清晰可见。若合同中不能体现人员姓名，可提供由甲方出具加盖公章的证明材料。</w:t>
            </w:r>
            <w:r>
              <w:rPr>
                <w:rFonts w:hint="eastAsia"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0"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.2</w:t>
            </w:r>
            <w:r>
              <w:rPr>
                <w:rFonts w:ascii="宋体" w:hAnsi="宋体" w:eastAsia="宋体" w:cs="宋体"/>
                <w:color w:val="000000"/>
                <w:spacing w:val="-2"/>
                <w:sz w:val="21"/>
                <w:szCs w:val="21"/>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rPr>
              <w:t xml:space="preserve">拟委派的</w:t>
            </w:r>
            <w:r>
              <w:rPr>
                <w:rFonts w:hint="eastAsia" w:ascii="Times New Roman" w:hAnsi="Times New Roman" w:eastAsia="宋体" w:cs="Times New Roman"/>
                <w:color w:val="000000"/>
                <w:sz w:val="21"/>
                <w:szCs w:val="21"/>
                <w:lang w:val="en-US" w:eastAsia="zh-CN"/>
              </w:rPr>
              <w:t xml:space="preserve">智能采集人员（项目经理、服务管理人员除外）：</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①具有相关技术保障工作经验，有1人得0.5分，最多得2分；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②具有人社或工信部相关机构颁发的信息安全或网络工程师证书，有1人得 0.5 分，最多得1分；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rPr>
              <w:t xml:space="preserve">拟委派的</w:t>
            </w:r>
            <w:r>
              <w:rPr>
                <w:rFonts w:hint="eastAsia" w:ascii="Times New Roman" w:hAnsi="Times New Roman" w:eastAsia="宋体" w:cs="Times New Roman"/>
                <w:color w:val="000000"/>
                <w:sz w:val="21"/>
                <w:szCs w:val="21"/>
                <w:lang w:val="en-US" w:eastAsia="zh-CN"/>
              </w:rPr>
              <w:t xml:space="preserve">数据分析员（项目经理、服务管理人员、智能采集人员除外）：</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①具有城市管理部事件数据分析工作经验的数据分析员，有1人得 0.5 分，最多得1分；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②具有人社或工信部相关机构颁发的数据分析证书，有1人得 0.5 分，最多得1分；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提供相关经验的证明材料、人员劳动合同、相关证书及供应商为其缴纳的2026年任意1个月社保缴纳证明材料。相关工作经验需提供业绩合同，合同须能反映项目名称、主要标的物，参与人员姓名，签订时间和签章清晰可见。若合同中不能体现人员姓名，可提供由甲方出具加盖公章的证明材料。）</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0"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5.3</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rPr>
              <w:t xml:space="preserve">承诺对</w:t>
            </w:r>
            <w:r>
              <w:rPr>
                <w:rFonts w:hint="eastAsia" w:ascii="Times New Roman" w:hAnsi="Times New Roman" w:eastAsia="宋体" w:cs="Times New Roman"/>
                <w:color w:val="000000"/>
                <w:sz w:val="21"/>
                <w:szCs w:val="21"/>
                <w:lang w:val="en-US" w:eastAsia="zh-CN"/>
              </w:rPr>
              <w:t xml:space="preserve">采购人</w:t>
            </w:r>
            <w:r>
              <w:rPr>
                <w:rFonts w:hint="eastAsia" w:ascii="Times New Roman" w:hAnsi="Times New Roman" w:eastAsia="宋体" w:cs="Times New Roman"/>
                <w:color w:val="000000"/>
                <w:sz w:val="21"/>
                <w:szCs w:val="21"/>
              </w:rPr>
              <w:t xml:space="preserve">安排的重大活动、服务保障时增加管理人员与现场采集人员</w:t>
            </w:r>
            <w:r>
              <w:rPr>
                <w:rFonts w:hint="eastAsia" w:ascii="Times New Roman" w:hAnsi="Times New Roman" w:eastAsia="宋体" w:cs="Times New Roman"/>
                <w:color w:val="000000"/>
                <w:sz w:val="21"/>
                <w:szCs w:val="21"/>
                <w:lang w:val="en-US" w:eastAsia="zh-CN"/>
              </w:rPr>
              <w:t xml:space="preserve">的</w:t>
            </w:r>
            <w:r>
              <w:rPr>
                <w:rFonts w:hint="eastAsia" w:ascii="Times New Roman" w:hAnsi="Times New Roman" w:eastAsia="宋体" w:cs="Times New Roman"/>
                <w:color w:val="000000"/>
                <w:sz w:val="21"/>
                <w:szCs w:val="21"/>
              </w:rPr>
              <w:t xml:space="preserve">得</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rPr>
              <w:t xml:space="preserve">分。（提供承诺函并加盖</w:t>
            </w:r>
            <w:r>
              <w:rPr>
                <w:rFonts w:hint="eastAsia" w:ascii="Times New Roman" w:hAnsi="Times New Roman" w:eastAsia="宋体" w:cs="Times New Roman"/>
                <w:color w:val="000000"/>
                <w:sz w:val="21"/>
                <w:szCs w:val="21"/>
                <w:lang w:val="en-US" w:eastAsia="zh-CN"/>
              </w:rPr>
              <w:t xml:space="preserve">投标人</w:t>
            </w:r>
            <w:r>
              <w:rPr>
                <w:rFonts w:hint="eastAsia" w:ascii="Times New Roman" w:hAnsi="Times New Roman" w:eastAsia="宋体" w:cs="Times New Roman"/>
                <w:color w:val="000000"/>
                <w:sz w:val="21"/>
                <w:szCs w:val="21"/>
              </w:rPr>
              <w:t xml:space="preserve">公章</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承诺函格式自拟</w:t>
            </w:r>
            <w:r>
              <w:rPr>
                <w:rFonts w:hint="eastAsia"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0"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ff0000"/>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rPr>
                <w:color w:val="ff0000"/>
                <w:sz w:val="21"/>
                <w:szCs w:val="21"/>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ff0000"/>
                <w:spacing w:val="-2"/>
                <w:sz w:val="21"/>
                <w:szCs w:val="21"/>
              </w:rPr>
            </w:pPr>
            <w:r>
              <w:rPr>
                <w:rFonts w:ascii="宋体" w:hAnsi="宋体" w:eastAsia="宋体" w:cs="宋体"/>
                <w:color w:val="ff0000"/>
                <w:spacing w:val="-2"/>
                <w:sz w:val="21"/>
                <w:szCs w:val="21"/>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color w:val="000000"/>
                <w:sz w:val="21"/>
                <w:szCs w:val="21"/>
              </w:rPr>
            </w:pPr>
            <w:r>
              <w:rPr>
                <w:rFonts w:ascii="宋体" w:hAnsi="宋体" w:eastAsia="宋体" w:cs="宋体"/>
                <w:color w:val="000000"/>
                <w:spacing w:val="-11"/>
                <w:sz w:val="21"/>
                <w:szCs w:val="21"/>
              </w:rPr>
              <w:t xml:space="preserve">100分</w:t>
            </w:r>
            <w:r>
              <w:rPr>
                <w:color w:val="000000"/>
                <w:sz w:val="21"/>
                <w:szCs w:val="21"/>
              </w:rPr>
            </w:r>
            <w:r/>
          </w:p>
        </w:tc>
      </w:tr>
    </w:tbl>
    <w:p>
      <w:pPr>
        <w:pStyle w:val="871"/>
        <w:keepLines w:val="0"/>
        <w:keepNext w:val="0"/>
        <w:pageBreakBefore w:val="0"/>
        <w:spacing w:line="264" w:lineRule="auto"/>
        <w:widowControl w:val="off"/>
        <w:rPr>
          <w:rFonts w:hint="eastAsia"/>
        </w:rPr>
      </w:pPr>
      <w:r>
        <w:rPr>
          <w:rFonts w:hint="eastAsia"/>
        </w:rPr>
      </w:r>
      <w:r/>
    </w:p>
    <w:p>
      <w:pPr>
        <w:pStyle w:val="871"/>
        <w:keepLines w:val="0"/>
        <w:keepNext w:val="0"/>
        <w:pageBreakBefore w:val="0"/>
        <w:spacing w:line="264" w:lineRule="auto"/>
        <w:widowControl w:val="off"/>
        <w:rPr>
          <w:rFonts w:hint="eastAsia"/>
        </w:rPr>
      </w:pPr>
      <w:r>
        <w:rPr>
          <w:rFonts w:hint="eastAsia"/>
        </w:rPr>
      </w:r>
      <w:r/>
    </w:p>
    <w:p>
      <w:pPr>
        <w:pStyle w:val="871"/>
        <w:keepLines w:val="0"/>
        <w:keepNext w:val="0"/>
        <w:pageBreakBefore w:val="0"/>
        <w:spacing w:line="264" w:lineRule="auto"/>
        <w:widowControl w:val="off"/>
        <w:rPr>
          <w:rFonts w:hint="eastAsia"/>
        </w:rPr>
      </w:pPr>
      <w:r>
        <w:rPr>
          <w:rFonts w:hint="eastAsia"/>
        </w:rPr>
      </w:r>
      <w:r/>
    </w:p>
    <w:p>
      <w:pPr>
        <w:pStyle w:val="949"/>
        <w:rPr>
          <w:rFonts w:hint="eastAsia"/>
        </w:rPr>
      </w:pPr>
      <w:r>
        <w:rPr>
          <w:rFonts w:hint="eastAsia"/>
        </w:rPr>
      </w:r>
      <w:r/>
    </w:p>
    <w:p>
      <w:pPr>
        <w:pStyle w:val="871"/>
        <w:rPr>
          <w:rFonts w:hint="eastAsia"/>
        </w:rPr>
      </w:pPr>
      <w:r>
        <w:rPr>
          <w:rFonts w:hint="eastAsia"/>
        </w:rPr>
      </w:r>
      <w:r/>
    </w:p>
    <w:p>
      <w:pPr>
        <w:pStyle w:val="949"/>
        <w:rPr>
          <w:rFonts w:hint="eastAsia"/>
        </w:rPr>
      </w:pPr>
      <w:r>
        <w:rPr>
          <w:rFonts w:hint="eastAsia"/>
        </w:rPr>
      </w:r>
      <w:r/>
    </w:p>
    <w:p>
      <w:pPr>
        <w:pStyle w:val="871"/>
        <w:rPr>
          <w:rFonts w:hint="eastAsia"/>
        </w:rPr>
      </w:pPr>
      <w:r>
        <w:rPr>
          <w:rFonts w:hint="eastAsia"/>
        </w:rPr>
      </w:r>
      <w:r/>
    </w:p>
    <w:p>
      <w:pPr>
        <w:pStyle w:val="949"/>
        <w:rPr>
          <w:rFonts w:hint="eastAsia"/>
        </w:rPr>
      </w:pPr>
      <w:r>
        <w:rPr>
          <w:rFonts w:hint="eastAsia"/>
        </w:rPr>
      </w:r>
      <w:r/>
    </w:p>
    <w:p>
      <w:pPr>
        <w:pStyle w:val="871"/>
        <w:rPr>
          <w:rFonts w:hint="eastAsia"/>
        </w:rPr>
      </w:pPr>
      <w:r>
        <w:rPr>
          <w:rFonts w:hint="eastAsia"/>
        </w:rPr>
      </w:r>
      <w:r/>
    </w:p>
    <w:p>
      <w:pPr>
        <w:pStyle w:val="949"/>
        <w:rPr>
          <w:rFonts w:hint="eastAsia"/>
        </w:rPr>
      </w:pPr>
      <w:r>
        <w:rPr>
          <w:rFonts w:hint="eastAsia"/>
        </w:rPr>
      </w:r>
      <w:r/>
    </w:p>
    <w:p>
      <w:pPr>
        <w:pStyle w:val="871"/>
        <w:ind w:right="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9"/>
      </w:pPr>
      <w:r>
        <w:rPr>
          <w:rFonts w:hint="eastAsia"/>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投标</w:t>
      </w:r>
      <w:bookmarkEnd w:id="189"/>
      <w:r/>
      <w:bookmarkEnd w:id="190"/>
      <w:r/>
      <w:bookmarkEnd w:id="192"/>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871"/>
        <w:jc w:val="center"/>
        <w:rPr>
          <w:rFonts w:hint="eastAsia" w:ascii="宋体" w:hAnsi="宋体"/>
          <w:b/>
          <w:sz w:val="72"/>
        </w:rPr>
      </w:pPr>
      <w:r/>
      <w:bookmarkStart w:id="194" w:name="_Hlt26671244"/>
      <w:r/>
      <w:bookmarkEnd w:id="194"/>
      <w:r/>
      <w:bookmarkStart w:id="195" w:name="_Hlt26955039"/>
      <w:r/>
      <w:bookmarkEnd w:id="195"/>
      <w:r/>
      <w:bookmarkStart w:id="196" w:name="_Toc26554094"/>
      <w:r/>
      <w:bookmarkStart w:id="197" w:name="_Toc120614282"/>
      <w:r/>
      <w:bookmarkStart w:id="198" w:name="_Toc49090576"/>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71"/>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83"/>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83"/>
        <w:rPr>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jc w:val="left"/>
        <w:spacing w:line="360" w:lineRule="auto"/>
        <w:rPr>
          <w:rFonts w:hint="eastAsia" w:ascii="黑体" w:hAnsi="黑体" w:eastAsia="黑体" w:cs="Times New Roman"/>
          <w:i w:val="0"/>
          <w:sz w:val="32"/>
          <w:szCs w:val="32"/>
          <w:u w:val="none"/>
          <w:lang w:val="en-US" w:eastAsia="zh-CN"/>
        </w:rPr>
      </w:pPr>
      <w:r/>
      <w:bookmarkEnd w:id="196"/>
      <w:r/>
      <w:bookmarkEnd w:id="197"/>
      <w:r/>
      <w:bookmarkEnd w:id="198"/>
      <w:r/>
      <w:bookmarkStart w:id="199" w:name="_Toc120614284"/>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92"/>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lang w:eastAsia="zh-CN"/>
        </w:rPr>
      </w:pPr>
      <w:r>
        <w:rPr>
          <w:rFonts w:hint="eastAsia" w:ascii="宋体" w:hAnsi="宋体"/>
          <w:sz w:val="24"/>
          <w:szCs w:val="24"/>
          <w:lang w:eastAsia="zh-CN"/>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4"/>
        <w:rPr>
          <w:rFonts w:hint="eastAsia" w:ascii="宋体" w:hAnsi="宋体"/>
          <w:b/>
          <w:bCs/>
          <w:sz w:val="21"/>
          <w:szCs w:val="21"/>
          <w:lang w:eastAsia="zh-CN"/>
        </w:rPr>
      </w:pPr>
      <w:r>
        <w:rPr>
          <w:rFonts w:hint="eastAsia" w:ascii="宋体" w:hAnsi="宋体"/>
          <w:b/>
          <w:bCs/>
          <w:sz w:val="21"/>
          <w:szCs w:val="21"/>
          <w:lang w:eastAsia="zh-CN"/>
        </w:rPr>
      </w:r>
      <w:r/>
    </w:p>
    <w:p>
      <w:pPr>
        <w:pStyle w:val="871"/>
        <w:rPr>
          <w:rFonts w:hint="eastAsia"/>
          <w:lang w:eastAsia="zh-CN"/>
        </w:rPr>
      </w:pPr>
      <w:r>
        <w:rPr>
          <w:rFonts w:hint="eastAsia"/>
          <w:lang w:eastAsia="zh-CN"/>
        </w:rPr>
      </w:r>
      <w:r/>
    </w:p>
    <w:p>
      <w:pPr>
        <w:pStyle w:val="883"/>
        <w:rPr>
          <w:rFonts w:hint="eastAsia"/>
          <w:lang w:eastAsia="zh-CN"/>
        </w:rPr>
      </w:pPr>
      <w:r>
        <w:rPr>
          <w:rFonts w:hint="eastAsia"/>
          <w:lang w:eastAsia="zh-CN"/>
        </w:rPr>
      </w:r>
      <w:r/>
    </w:p>
    <w:p>
      <w:pPr>
        <w:pStyle w:val="871"/>
        <w:rPr>
          <w:rFonts w:hint="eastAsia"/>
          <w:lang w:eastAsia="zh-CN"/>
        </w:rPr>
      </w:pPr>
      <w:r>
        <w:rPr>
          <w:rFonts w:hint="eastAsia"/>
          <w:lang w:eastAsia="zh-CN"/>
        </w:rPr>
      </w:r>
      <w:r/>
    </w:p>
    <w:p>
      <w:pPr>
        <w:pStyle w:val="871"/>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7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4"/>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4"/>
        <w:rPr>
          <w:rFonts w:hint="eastAsia"/>
        </w:rPr>
      </w:pPr>
      <w:r>
        <w:rPr>
          <w:rFonts w:hint="eastAsia"/>
        </w:rPr>
      </w:r>
      <w:r/>
    </w:p>
    <w:p>
      <w:pPr>
        <w:pStyle w:val="871"/>
        <w:rPr>
          <w:rFonts w:hint="eastAsia"/>
        </w:rPr>
      </w:pPr>
      <w:r>
        <w:rPr>
          <w:rFonts w:hint="eastAsia"/>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4"/>
        <w:ind w:firstLine="480"/>
        <w:spacing w:line="420" w:lineRule="exact"/>
        <w:tabs>
          <w:tab w:val="left" w:pos="360" w:leader="none"/>
        </w:tabs>
        <w:rPr>
          <w:rFonts w:hint="eastAsia"/>
          <w:sz w:val="24"/>
          <w:szCs w:val="24"/>
        </w:rPr>
      </w:pP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4"/>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4"/>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4"/>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4"/>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Hlt26671380"/>
      <w:r/>
      <w:bookmarkEnd w:id="200"/>
      <w:r/>
      <w:bookmarkStart w:id="201" w:name="_格式3__银行出具的资信证明"/>
      <w:r/>
      <w:bookmarkEnd w:id="201"/>
      <w:r/>
      <w:bookmarkStart w:id="202" w:name="_Hlt26955070"/>
      <w:r/>
      <w:bookmarkEnd w:id="202"/>
      <w:r>
        <w:rPr>
          <w:rFonts w:hint="eastAsia"/>
          <w:sz w:val="24"/>
          <w:szCs w:val="24"/>
        </w:rPr>
      </w:r>
      <w:r/>
    </w:p>
    <w:p>
      <w:pPr>
        <w:pStyle w:val="890"/>
        <w:rPr>
          <w:rFonts w:hint="eastAsia"/>
          <w:i/>
          <w:sz w:val="24"/>
          <w:szCs w:val="24"/>
          <w:u w:val="single"/>
        </w:rPr>
      </w:pPr>
      <w:r>
        <w:rPr>
          <w:rFonts w:hint="eastAsia"/>
          <w:i/>
          <w:sz w:val="24"/>
          <w:szCs w:val="24"/>
          <w:u w:val="single"/>
        </w:rPr>
      </w:r>
      <w:r/>
    </w:p>
    <w:p>
      <w:pPr>
        <w:pStyle w:val="890"/>
        <w:rPr>
          <w:rFonts w:hint="eastAsia"/>
          <w:i/>
          <w:sz w:val="24"/>
          <w:szCs w:val="24"/>
          <w:u w:val="single"/>
        </w:rPr>
      </w:pPr>
      <w:r>
        <w:rPr>
          <w:rFonts w:hint="eastAsia"/>
          <w:i/>
          <w:sz w:val="24"/>
          <w:szCs w:val="24"/>
          <w:u w:val="single"/>
        </w:rPr>
      </w:r>
      <w:r/>
    </w:p>
    <w:p>
      <w:pPr>
        <w:pStyle w:val="890"/>
        <w:rPr>
          <w:rFonts w:hint="eastAsia"/>
          <w:i/>
          <w:sz w:val="24"/>
          <w:szCs w:val="24"/>
          <w:u w:val="single"/>
        </w:rPr>
      </w:pPr>
      <w:r>
        <w:rPr>
          <w:rFonts w:hint="eastAsia"/>
          <w:i/>
          <w:sz w:val="24"/>
          <w:szCs w:val="24"/>
          <w:u w:val="single"/>
        </w:rPr>
      </w:r>
      <w:r/>
    </w:p>
    <w:p>
      <w:pPr>
        <w:pStyle w:val="890"/>
        <w:ind w:firstLine="0"/>
        <w:rPr>
          <w:rFonts w:hint="eastAsia"/>
        </w:rPr>
      </w:pPr>
      <w:r>
        <w:rPr>
          <w:rFonts w:hint="eastAsia"/>
        </w:rPr>
      </w:r>
      <w:r/>
    </w:p>
    <w:p>
      <w:pPr>
        <w:pStyle w:val="871"/>
        <w:spacing w:line="460" w:lineRule="exact"/>
        <w:rPr>
          <w:rFonts w:hint="eastAsia" w:ascii="楷体" w:hAnsi="楷体" w:eastAsia="楷体"/>
          <w:bCs/>
          <w:sz w:val="24"/>
          <w:szCs w:val="24"/>
        </w:rPr>
      </w:pPr>
      <w:r>
        <w:rPr>
          <w:rFonts w:hint="eastAsia" w:ascii="楷体" w:hAnsi="楷体" w:eastAsia="楷体"/>
          <w:bCs/>
          <w:sz w:val="24"/>
          <w:szCs w:val="24"/>
        </w:rPr>
      </w:r>
      <w:r/>
    </w:p>
    <w:p>
      <w:pPr>
        <w:pStyle w:val="871"/>
        <w:spacing w:line="460" w:lineRule="exact"/>
        <w:rPr>
          <w:rFonts w:hint="eastAsia" w:ascii="宋体" w:hAnsi="宋体"/>
          <w:bCs/>
          <w:sz w:val="24"/>
        </w:rPr>
      </w:pPr>
      <w:r>
        <w:rPr>
          <w:rFonts w:hint="eastAsia" w:ascii="宋体" w:hAnsi="宋体"/>
          <w:bCs/>
          <w:sz w:val="24"/>
        </w:rPr>
      </w:r>
      <w:r/>
    </w:p>
    <w:p>
      <w:pPr>
        <w:pStyle w:val="955"/>
        <w:rPr>
          <w:rFonts w:hint="eastAsia" w:ascii="宋体" w:hAnsi="宋体"/>
          <w:bCs/>
          <w:sz w:val="24"/>
        </w:rPr>
      </w:pPr>
      <w:r>
        <w:rPr>
          <w:rFonts w:hint="eastAsia" w:ascii="宋体" w:hAnsi="宋体"/>
          <w:bCs/>
          <w:sz w:val="24"/>
        </w:rPr>
      </w:r>
      <w:r/>
    </w:p>
    <w:p>
      <w:pPr>
        <w:pStyle w:val="955"/>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83"/>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6"/>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6"/>
        <w:ind w:left="420"/>
        <w:spacing w:before="0" w:after="0" w:line="420" w:lineRule="exact"/>
        <w:rPr>
          <w:rFonts w:hint="eastAsia" w:ascii="宋体" w:hAnsi="宋体"/>
          <w:szCs w:val="21"/>
        </w:rPr>
      </w:pPr>
      <w:r>
        <w:rPr>
          <w:rFonts w:hint="eastAsia" w:ascii="宋体" w:hAnsi="宋体"/>
          <w:szCs w:val="21"/>
        </w:rPr>
      </w:r>
      <w:r/>
    </w:p>
    <w:p>
      <w:pPr>
        <w:pStyle w:val="966"/>
        <w:ind w:left="420"/>
        <w:spacing w:before="0" w:after="0" w:line="420" w:lineRule="exact"/>
        <w:rPr>
          <w:rFonts w:hint="eastAsia" w:ascii="宋体" w:hAnsi="宋体"/>
          <w:szCs w:val="21"/>
        </w:rPr>
      </w:pP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1"/>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1"/>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71"/>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6"/>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71"/>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83"/>
        <w:rPr>
          <w:rFonts w:hint="eastAsia"/>
        </w:rPr>
      </w:pPr>
      <w:r>
        <w:rPr>
          <w:rFonts w:hint="eastAsia"/>
        </w:rPr>
      </w:r>
      <w:r/>
    </w:p>
    <w:p>
      <w:pPr>
        <w:pStyle w:val="871"/>
        <w:jc w:val="both"/>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83"/>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83"/>
        <w:rPr>
          <w:rFonts w:hint="eastAsia"/>
          <w:lang w:val="en-US" w:eastAsia="zh-CN"/>
        </w:rPr>
      </w:pPr>
      <w:r>
        <w:rPr>
          <w:rFonts w:hint="eastAsia"/>
          <w:lang w:val="en-US" w:eastAsia="zh-CN"/>
        </w:rPr>
      </w:r>
      <w:r/>
    </w:p>
    <w:p>
      <w:pPr>
        <w:pStyle w:val="94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4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4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99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99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515"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845"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rPr>
                <w:rFonts w:ascii="宋体" w:hAnsi="宋体" w:eastAsia="宋体"/>
                <w:sz w:val="24"/>
                <w:szCs w:val="24"/>
                <w:lang w:val="en-US" w:eastAsia="zh-CN"/>
              </w:rPr>
            </w:r>
            <w:r/>
          </w:p>
        </w:tc>
      </w:tr>
      <w:tr>
        <w:trPr>
          <w:cantSplit/>
          <w:trHeight w:val="445"/>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rPr>
                <w:rFonts w:hint="eastAsia" w:ascii="宋体" w:hAnsi="宋体" w:eastAsia="宋体"/>
                <w:sz w:val="24"/>
                <w:szCs w:val="24"/>
                <w:lang w:eastAsia="zh-CN"/>
              </w:rPr>
            </w:r>
            <w:r/>
          </w:p>
        </w:tc>
        <w:tc>
          <w:tcPr>
            <w:tcW w:w="990" w:type="dxa"/>
            <w:vAlign w:val="center"/>
            <w:textDirection w:val="lrTb"/>
            <w:noWrap w:val="false"/>
          </w:tcPr>
          <w:p>
            <w:pPr>
              <w:pStyle w:val="871"/>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515" w:type="dxa"/>
            <w:vAlign w:val="center"/>
            <w:textDirection w:val="lrTb"/>
            <w:noWrap w:val="false"/>
          </w:tcPr>
          <w:p>
            <w:pPr>
              <w:pStyle w:val="871"/>
              <w:jc w:val="center"/>
              <w:spacing w:line="0" w:lineRule="atLeast"/>
              <w:rPr>
                <w:lang w:val="en-US" w:eastAsia="zh-CN"/>
              </w:rPr>
            </w:pPr>
            <w:r>
              <w:rPr>
                <w:rFonts w:hint="eastAsia" w:ascii="宋体" w:hAnsi="宋体"/>
                <w:sz w:val="24"/>
                <w:szCs w:val="24"/>
                <w:lang w:val="en-US" w:eastAsia="zh-CN"/>
              </w:rPr>
              <w:t xml:space="preserve">单价（元）</w:t>
            </w:r>
            <w:r>
              <w:rPr>
                <w:lang w:val="en-US" w:eastAsia="zh-CN"/>
              </w:rPr>
            </w:r>
            <w:r/>
          </w:p>
        </w:tc>
        <w:tc>
          <w:tcPr>
            <w:tcW w:w="1845"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投标总价（元）</w:t>
            </w:r>
            <w:r>
              <w:rPr>
                <w:rFonts w:ascii="宋体" w:hAnsi="宋体" w:eastAsia="宋体"/>
                <w:sz w:val="24"/>
                <w:szCs w:val="24"/>
                <w:lang w:val="en-US" w:eastAsia="zh-CN"/>
              </w:rPr>
            </w:r>
            <w:r/>
          </w:p>
        </w:tc>
        <w:tc>
          <w:tcPr>
            <w:gridSpan w:val="5"/>
            <w:tcW w:w="69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1"/>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w:t>
      </w:r>
      <w:r>
        <w:rPr>
          <w:rFonts w:hint="eastAsia" w:ascii="宋体" w:hAnsi="宋体" w:eastAsia="宋体" w:cs="宋体"/>
          <w:color w:val="000000"/>
          <w:sz w:val="24"/>
          <w:szCs w:val="24"/>
          <w:lang w:val="en-US" w:eastAsia="zh-CN"/>
        </w:rPr>
        <w:t xml:space="preserve">为完成整个项目所产生的所有费用</w:t>
      </w:r>
      <w:r>
        <w:rPr>
          <w:rFonts w:hint="eastAsia" w:ascii="宋体" w:hAnsi="宋体" w:eastAsia="宋体" w:cs="宋体"/>
          <w:color w:val="000000"/>
          <w:sz w:val="24"/>
          <w:szCs w:val="24"/>
          <w:lang w:val="en-US" w:eastAsia="zh-CN"/>
        </w:rPr>
        <w:t xml:space="preserve">，招标文件另有规定的除外。</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1"/>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lang w:val="en-US" w:eastAsia="zh-CN"/>
        </w:rPr>
      </w:pPr>
      <w:r>
        <w:rPr>
          <w:rFonts w:hint="eastAsia"/>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1"/>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1"/>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Cs/>
          <w:color w:val="000000"/>
          <w:sz w:val="32"/>
          <w:szCs w:val="32"/>
          <w:lang w:eastAsia="zh-CN"/>
        </w:rPr>
        <w:t xml:space="preserve">七</w:t>
      </w:r>
      <w:bookmarkEnd w:id="40"/>
      <w:r/>
      <w:bookmarkEnd w:id="41"/>
      <w:r/>
      <w:bookmarkEnd w:id="199"/>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7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pPr>
            <w:r/>
            <w:r/>
          </w:p>
          <w:p>
            <w:pPr>
              <w:pStyle w:val="883"/>
              <w:rPr>
                <w:rFonts w:hint="eastAsia"/>
              </w:rPr>
            </w:pPr>
            <w:r>
              <w:rPr>
                <w:rFonts w:hint="eastAsia"/>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rPr>
          <w:rFonts w:hint="eastAsia" w:ascii="宋体" w:hAnsi="宋体"/>
          <w:color w:val="000000"/>
          <w:sz w:val="24"/>
          <w:szCs w:val="24"/>
        </w:rPr>
      </w:pPr>
      <w:r>
        <w:rPr>
          <w:rFonts w:hint="eastAsia" w:ascii="宋体" w:hAnsi="宋体"/>
          <w:color w:val="000000"/>
          <w:sz w:val="24"/>
          <w:szCs w:val="24"/>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1"/>
        <w:rPr>
          <w:rFonts w:hint="eastAsia" w:ascii="黑体" w:hAnsi="黑体" w:eastAsia="黑体" w:cs="Times New Roman"/>
          <w:i w:val="0"/>
          <w:iCs/>
          <w:color w:val="000000"/>
          <w:sz w:val="32"/>
          <w:szCs w:val="32"/>
          <w:u w:val="none"/>
          <w:lang w:val="en-US" w:eastAsia="zh-CN"/>
        </w:rPr>
      </w:pPr>
      <w:r/>
      <w:bookmarkStart w:id="203" w:name="_Hlt26955054"/>
      <w:r/>
      <w:bookmarkEnd w:id="203"/>
      <w:r>
        <w:rPr>
          <w:rFonts w:hint="eastAsia" w:ascii="黑体" w:hAnsi="黑体" w:eastAsia="黑体" w:cs="Times New Roman"/>
          <w:i w:val="0"/>
          <w:iCs/>
          <w:color w:val="000000"/>
          <w:sz w:val="32"/>
          <w:szCs w:val="32"/>
          <w:u w:val="none"/>
          <w:lang w:val="en-US" w:eastAsia="zh-CN"/>
        </w:rPr>
      </w:r>
      <w:r/>
    </w:p>
    <w:p>
      <w:pPr>
        <w:pStyle w:val="87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color w:val="000000"/>
                <w:sz w:val="24"/>
                <w:szCs w:val="24"/>
              </w:rPr>
            </w:pPr>
            <w:r/>
            <w:bookmarkStart w:id="204" w:name="_Hlt26782999"/>
            <w:r/>
            <w:bookmarkEnd w:id="204"/>
            <w:r/>
            <w:bookmarkStart w:id="205" w:name="_Hlt26580838"/>
            <w:r/>
            <w:bookmarkEnd w:id="205"/>
            <w:r/>
            <w:bookmarkStart w:id="206" w:name="_Hlt26955056"/>
            <w:r/>
            <w:bookmarkEnd w:id="206"/>
            <w:r/>
            <w:bookmarkStart w:id="207" w:name="_Hlt26671343"/>
            <w:r/>
            <w:bookmarkEnd w:id="207"/>
            <w:r/>
            <w:bookmarkStart w:id="208" w:name="_Hlt26609391"/>
            <w:r/>
            <w:bookmarkEnd w:id="208"/>
            <w:r/>
            <w:bookmarkStart w:id="209" w:name="_Hlt26955064"/>
            <w:r/>
            <w:bookmarkEnd w:id="209"/>
            <w:r/>
            <w:bookmarkStart w:id="210" w:name="_Hlt24879081"/>
            <w:r/>
            <w:bookmarkEnd w:id="210"/>
            <w:r/>
            <w:bookmarkStart w:id="211" w:name="_Hlt26671372"/>
            <w:r/>
            <w:bookmarkEnd w:id="21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7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pPr>
            <w:r/>
            <w:r/>
          </w:p>
          <w:p>
            <w:pPr>
              <w:pStyle w:val="883"/>
              <w:rPr>
                <w:rFonts w:hint="eastAsia"/>
              </w:rPr>
            </w:pPr>
            <w:r>
              <w:rPr>
                <w:rFonts w:hint="eastAsia"/>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rPr>
          <w:rFonts w:hint="eastAsia" w:ascii="宋体" w:hAnsi="宋体"/>
          <w:color w:val="000000"/>
          <w:sz w:val="24"/>
          <w:szCs w:val="24"/>
        </w:rPr>
      </w:pPr>
      <w:r>
        <w:rPr>
          <w:rFonts w:hint="eastAsia" w:ascii="宋体" w:hAnsi="宋体"/>
          <w:color w:val="000000"/>
          <w:sz w:val="24"/>
          <w:szCs w:val="24"/>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1"/>
        <w:rPr>
          <w:color w:val="000000"/>
        </w:rPr>
      </w:pPr>
      <w:r>
        <w:rPr>
          <w:color w:val="000000"/>
        </w:rPr>
      </w:r>
      <w:r/>
    </w:p>
    <w:p>
      <w:pPr>
        <w:pStyle w:val="87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871"/>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color w:val="000000"/>
        </w:rPr>
      </w:pPr>
      <w:r>
        <w:rPr>
          <w:rFonts w:hint="eastAsia"/>
          <w:color w:val="000000"/>
        </w:rPr>
      </w:r>
      <w:r/>
    </w:p>
    <w:p>
      <w:pPr>
        <w:pStyle w:val="87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7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9"/>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1"/>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71"/>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9"/>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widowControl w:val="off"/>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1"/>
        <w:ind w:firstLine="480"/>
        <w:spacing w:line="480" w:lineRule="exact"/>
        <w:rPr>
          <w:rFonts w:ascii="宋体" w:hAnsi="宋体"/>
          <w:sz w:val="24"/>
        </w:rPr>
      </w:pPr>
      <w:r>
        <w:rPr>
          <w:rFonts w:ascii="宋体" w:hAnsi="宋体"/>
          <w:sz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71"/>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1"/>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1"/>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1"/>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1"/>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1"/>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83"/>
        <w:rPr>
          <w:rFonts w:hint="eastAsia" w:ascii="宋体" w:hAnsi="宋体" w:eastAsia="宋体" w:cs="Times New Roman"/>
          <w:sz w:val="24"/>
        </w:rPr>
      </w:pPr>
      <w:r>
        <w:rPr>
          <w:rFonts w:hint="eastAsia" w:ascii="宋体" w:hAnsi="宋体" w:eastAsia="宋体" w:cs="Times New Roman"/>
          <w:sz w:val="24"/>
        </w:rPr>
      </w:r>
      <w:r/>
    </w:p>
    <w:p>
      <w:pPr>
        <w:pStyle w:val="871"/>
        <w:rPr>
          <w:rFonts w:hint="eastAsia"/>
        </w:rPr>
      </w:pPr>
      <w:r>
        <w:rPr>
          <w:rFonts w:hint="eastAsia"/>
        </w:rPr>
      </w:r>
      <w:r/>
    </w:p>
    <w:p>
      <w:pPr>
        <w:pStyle w:val="871"/>
        <w:ind w:firstLine="645"/>
        <w:spacing w:line="560" w:lineRule="exact"/>
        <w:rPr>
          <w:rFonts w:ascii="宋体" w:hAnsi="宋体"/>
          <w:sz w:val="24"/>
        </w:rPr>
      </w:pPr>
      <w:r>
        <w:rPr>
          <w:rFonts w:ascii="宋体" w:hAnsi="宋体"/>
          <w:sz w:val="24"/>
        </w:rPr>
      </w:r>
      <w:r/>
    </w:p>
    <w:p>
      <w:pPr>
        <w:pStyle w:val="871"/>
        <w:ind w:firstLine="645"/>
        <w:spacing w:line="560" w:lineRule="exact"/>
        <w:rPr>
          <w:rFonts w:hint="eastAsia" w:ascii="宋体" w:hAnsi="宋体"/>
          <w:sz w:val="24"/>
        </w:rPr>
      </w:pPr>
      <w:r>
        <w:rPr>
          <w:rFonts w:hint="eastAsia" w:ascii="宋体" w:hAnsi="宋体"/>
          <w:sz w:val="24"/>
        </w:rPr>
      </w:r>
      <w:r/>
    </w:p>
    <w:p>
      <w:pPr>
        <w:pStyle w:val="949"/>
        <w:rPr>
          <w:rFonts w:hint="eastAsia" w:ascii="宋体" w:hAnsi="宋体"/>
          <w:sz w:val="24"/>
        </w:rPr>
      </w:pPr>
      <w:r>
        <w:rPr>
          <w:rFonts w:hint="eastAsia" w:ascii="宋体" w:hAnsi="宋体"/>
          <w:sz w:val="24"/>
        </w:rPr>
      </w:r>
      <w:r/>
    </w:p>
    <w:p>
      <w:pPr>
        <w:pStyle w:val="871"/>
        <w:rPr>
          <w:rFonts w:hint="eastAsia" w:ascii="宋体" w:hAnsi="宋体"/>
          <w:sz w:val="24"/>
        </w:rPr>
      </w:pPr>
      <w:r>
        <w:rPr>
          <w:rFonts w:hint="eastAsia" w:ascii="宋体" w:hAnsi="宋体"/>
          <w:sz w:val="24"/>
        </w:rPr>
      </w:r>
      <w:r/>
    </w:p>
    <w:p>
      <w:pPr>
        <w:pStyle w:val="949"/>
        <w:rPr>
          <w:rFonts w:hint="eastAsia"/>
        </w:rPr>
      </w:pPr>
      <w:r>
        <w:rPr>
          <w:rFonts w:hint="eastAsia"/>
        </w:rPr>
      </w:r>
      <w:r/>
    </w:p>
    <w:p>
      <w:pPr>
        <w:pStyle w:val="871"/>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71"/>
        <w:rPr>
          <w:rFonts w:hint="eastAsia"/>
        </w:rPr>
      </w:pPr>
      <w:r>
        <w:rPr>
          <w:rFonts w:hint="eastAsia"/>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71"/>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71"/>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71"/>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71"/>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71"/>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1"/>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71"/>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numPr>
          <w:ilvl w:val="0"/>
          <w:numId w:val="0"/>
        </w:numPr>
        <w:jc w:val="left"/>
        <w:spacing w:line="360" w:lineRule="auto"/>
        <w:rPr>
          <w:rFonts w:hint="eastAsia" w:ascii="宋体" w:hAnsi="宋体" w:eastAsia="宋体" w:cs="Times New Roman"/>
          <w:sz w:val="24"/>
          <w:lang w:val="en-US" w:eastAsia="zh-CN"/>
        </w:rPr>
      </w:pPr>
      <w:r>
        <w:rPr>
          <w:rFonts w:hint="eastAsia"/>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71"/>
        <w:jc w:val="center"/>
        <w:spacing w:line="360" w:lineRule="auto"/>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outlineLvl w:val="9"/>
      </w:pPr>
      <w:r>
        <w:rPr>
          <w:rFonts w:hint="eastAsia" w:ascii="微软雅黑" w:hAnsi="微软雅黑" w:eastAsia="微软雅黑" w:cs="微软雅黑"/>
          <w:i w:val="0"/>
          <w:iCs w:val="0"/>
          <w:caps w:val="0"/>
          <w:color w:val="000000"/>
          <w:spacing w:val="0"/>
          <w:sz w:val="32"/>
          <w:szCs w:val="32"/>
          <w:shd w:val="clear" w:color="auto" w:fill="ffffff"/>
          <w:lang w:eastAsia="zh-CN"/>
        </w:rPr>
        <w:t xml:space="preserve">（</w:t>
      </w:r>
      <w:r>
        <w:rPr>
          <w:rFonts w:ascii="微软雅黑" w:hAnsi="微软雅黑" w:eastAsia="微软雅黑" w:cs="微软雅黑"/>
          <w:i w:val="0"/>
          <w:iCs w:val="0"/>
          <w:caps w:val="0"/>
          <w:color w:val="000000"/>
          <w:spacing w:val="0"/>
          <w:sz w:val="32"/>
          <w:szCs w:val="32"/>
          <w:shd w:val="clear" w:color="auto" w:fill="ffffff"/>
        </w:rPr>
        <w:t xml:space="preserve">如有，可上传至“电子投标文件格式-企业报价折扣证明”）</w:t>
      </w: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r>
      <w:r/>
    </w:p>
    <w:p>
      <w:pPr>
        <w:pStyle w:val="871"/>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6"/>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6"/>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6"/>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6"/>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6"/>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6"/>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6"/>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6"/>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6"/>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３５</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2">
    <w:multiLevelType w:val="hybridMultilevel"/>
    <w:lvl w:ilvl="0">
      <w:start w:val="1"/>
      <w:numFmt w:val="upperLetter"/>
      <w:pStyle w:val="958"/>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5"/>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8"/>
    <w:qFormat/>
    <w:pPr>
      <w:jc w:val="center"/>
      <w:keepNext/>
      <w:outlineLvl w:val="0"/>
    </w:pPr>
    <w:rPr>
      <w:rFonts w:ascii="楷体_GB2312" w:eastAsia="楷体_GB2312"/>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firstLine="420"/>
      <w:spacing w:line="360" w:lineRule="auto"/>
    </w:pPr>
    <w:rPr>
      <w:rFonts w:ascii="宋体" w:hAnsi="宋体" w:eastAsia="宋体"/>
      <w:sz w:val="21"/>
      <w:szCs w:val="20"/>
    </w:rPr>
  </w:style>
  <w:style w:type="paragraph" w:styleId="884">
    <w:name w:val="正文文本缩进"/>
    <w:basedOn w:val="871"/>
    <w:next w:val="886"/>
    <w:link w:val="885"/>
    <w:pPr>
      <w:ind w:firstLine="645"/>
    </w:pPr>
    <w:rPr>
      <w:rFonts w:ascii="楷体_GB2312" w:eastAsia="楷体_GB2312"/>
      <w:sz w:val="32"/>
      <w:szCs w:val="32"/>
    </w:rPr>
  </w:style>
  <w:style w:type="character" w:styleId="885">
    <w:name w:val="正文文本缩进 Char"/>
    <w:next w:val="885"/>
    <w:link w:val="884"/>
    <w:rPr>
      <w:rFonts w:ascii="楷体_GB2312" w:hAnsi="Times New Roman" w:eastAsia="楷体_GB2312" w:cs="Times New Roman"/>
      <w:sz w:val="32"/>
      <w:szCs w:val="32"/>
    </w:rPr>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 w:val="32"/>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paragraph" w:styleId="890">
    <w:name w:val="正文缩进"/>
    <w:basedOn w:val="871"/>
    <w:next w:val="890"/>
    <w:link w:val="891"/>
    <w:pPr>
      <w:ind w:firstLine="420"/>
    </w:pPr>
  </w:style>
  <w:style w:type="character" w:styleId="891">
    <w:name w:val="正文缩进 Char"/>
    <w:next w:val="891"/>
    <w:link w:val="890"/>
    <w:rPr>
      <w:rFonts w:ascii="Times New Roman" w:hAnsi="Times New Roman" w:eastAsia="宋体" w:cs="Times New Roman"/>
      <w:szCs w:val="21"/>
    </w:rPr>
  </w:style>
  <w:style w:type="character" w:styleId="892">
    <w:name w:val="标题 3 Char"/>
    <w:next w:val="892"/>
    <w:link w:val="874"/>
    <w:rPr>
      <w:rFonts w:ascii="Times New Roman" w:hAnsi="Times New Roman" w:eastAsia="宋体" w:cs="Times New Roman"/>
      <w:b/>
      <w:bCs/>
      <w:sz w:val="32"/>
      <w:szCs w:val="32"/>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style>
  <w:style w:type="paragraph" w:styleId="900">
    <w:name w:val="目录 7"/>
    <w:basedOn w:val="871"/>
    <w:next w:val="871"/>
    <w:link w:val="871"/>
    <w:semiHidden/>
    <w:pPr>
      <w:ind w:left="1260"/>
      <w:jc w:val="left"/>
    </w:pPr>
  </w:style>
  <w:style w:type="paragraph" w:styleId="901">
    <w:name w:val="文档结构图"/>
    <w:basedOn w:val="871"/>
    <w:next w:val="901"/>
    <w:link w:val="902"/>
    <w:semiHidden/>
    <w:pPr>
      <w:shd w:val="clear" w:color="auto" w:fill="000080"/>
    </w:p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4">
    <w:name w:val="批注文字 Char"/>
    <w:next w:val="904"/>
    <w:link w:val="903"/>
    <w:semiHidden/>
    <w:rPr>
      <w:rFonts w:ascii="Times New Roman" w:hAnsi="Times New Roman" w:eastAsia="宋体" w:cs="Times New Roman"/>
      <w:szCs w:val="21"/>
    </w:rPr>
  </w:style>
  <w:style w:type="paragraph" w:styleId="905">
    <w:name w:val="正文文本 3"/>
    <w:basedOn w:val="871"/>
    <w:next w:val="905"/>
    <w:link w:val="906"/>
    <w:rPr>
      <w:rFonts w:ascii="仿宋_GB2312" w:hAnsi="Arial" w:eastAsia="仿宋_GB2312"/>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style>
  <w:style w:type="paragraph" w:styleId="910">
    <w:name w:val="目录 5"/>
    <w:basedOn w:val="871"/>
    <w:next w:val="871"/>
    <w:link w:val="871"/>
    <w:semiHidden/>
    <w:pPr>
      <w:ind w:left="840"/>
      <w:jc w:val="left"/>
    </w:pPr>
  </w:style>
  <w:style w:type="paragraph" w:styleId="911">
    <w:name w:val="目录 3"/>
    <w:basedOn w:val="871"/>
    <w:next w:val="871"/>
    <w:link w:val="871"/>
    <w:semiHidden/>
    <w:pPr>
      <w:ind w:left="420"/>
      <w:jc w:val="left"/>
    </w:pPr>
    <w:rPr>
      <w:i/>
      <w:iCs/>
      <w:szCs w:val="24"/>
    </w:rPr>
  </w:style>
  <w:style w:type="paragraph" w:styleId="912">
    <w:name w:val="纯文本"/>
    <w:basedOn w:val="871"/>
    <w:next w:val="912"/>
    <w:link w:val="913"/>
    <w:rPr>
      <w:rFonts w:ascii="宋体" w:hAnsi="Courier New" w:cs="Courier New"/>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style>
  <w:style w:type="paragraph" w:styleId="915">
    <w:name w:val="日期"/>
    <w:basedOn w:val="871"/>
    <w:next w:val="871"/>
    <w:link w:val="916"/>
    <w:rPr>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1"/>
    <w:next w:val="871"/>
    <w:link w:val="871"/>
    <w:semiHidden/>
    <w:pPr>
      <w:ind w:left="630"/>
      <w:jc w:val="left"/>
    </w:pPr>
  </w:style>
  <w:style w:type="paragraph" w:styleId="927">
    <w:name w:val="列表"/>
    <w:basedOn w:val="871"/>
    <w:next w:val="927"/>
    <w:link w:val="871"/>
    <w:pPr>
      <w:ind w:left="200" w:hanging="200"/>
    </w:pPr>
  </w:style>
  <w:style w:type="paragraph" w:styleId="928">
    <w:name w:val="目录 6"/>
    <w:basedOn w:val="871"/>
    <w:next w:val="871"/>
    <w:link w:val="871"/>
    <w:semiHidden/>
    <w:pPr>
      <w:ind w:left="1050"/>
      <w:jc w:val="left"/>
    </w:p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style>
  <w:style w:type="paragraph" w:styleId="932">
    <w:name w:val="目录 2"/>
    <w:basedOn w:val="871"/>
    <w:next w:val="871"/>
    <w:link w:val="871"/>
    <w:semiHidden/>
    <w:pPr>
      <w:ind w:left="210"/>
      <w:jc w:val="left"/>
    </w:pPr>
    <w:rPr>
      <w:smallCaps/>
      <w:szCs w:val="24"/>
    </w:rPr>
  </w:style>
  <w:style w:type="paragraph" w:styleId="933">
    <w:name w:val="目录 9"/>
    <w:basedOn w:val="871"/>
    <w:next w:val="871"/>
    <w:link w:val="871"/>
    <w:semiHidden/>
    <w:pPr>
      <w:ind w:left="1680"/>
      <w:jc w:val="left"/>
    </w:pPr>
  </w:style>
  <w:style w:type="paragraph" w:styleId="934">
    <w:name w:val="正文文本 2"/>
    <w:basedOn w:val="871"/>
    <w:next w:val="934"/>
    <w:link w:val="935"/>
    <w:pPr>
      <w:jc w:val="center"/>
      <w:widowControl/>
    </w:pPr>
    <w:rPr>
      <w:rFonts w:ascii="楷体_GB2312" w:eastAsia="楷体_GB2312"/>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cs="宋体"/>
      <w:sz w:val="24"/>
      <w:szCs w:val="24"/>
    </w:rPr>
  </w:style>
  <w:style w:type="paragraph" w:styleId="937">
    <w:name w:val="索引 1"/>
    <w:basedOn w:val="871"/>
    <w:next w:val="871"/>
    <w:link w:val="871"/>
    <w:semiHidden/>
    <w:pPr>
      <w:spacing w:line="240" w:lineRule="atLeast"/>
    </w:pPr>
    <w:rPr>
      <w:b/>
      <w:bCs/>
    </w:rPr>
  </w:style>
  <w:style w:type="paragraph" w:styleId="938">
    <w:name w:val="批注主题"/>
    <w:basedOn w:val="903"/>
    <w:next w:val="903"/>
    <w:link w:val="939"/>
    <w:semiHidden/>
    <w:rPr>
      <w:b/>
      <w:bCs/>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eastAsia="仿宋_GB2312"/>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索引 41"/>
    <w:basedOn w:val="871"/>
    <w:next w:val="871"/>
    <w:link w:val="871"/>
    <w:semiHidden/>
    <w:qFormat/>
    <w:pPr>
      <w:ind w:left="1260"/>
    </w:pPr>
    <w:rPr>
      <w:rFonts w:ascii="Calibri" w:hAnsi="Calibri" w:eastAsia="Calibri" w:cs="宋体"/>
      <w:sz w:val="20"/>
      <w:lang w:val="zh-CN"/>
    </w:rPr>
  </w:style>
  <w:style w:type="paragraph" w:styleId="950">
    <w:name w:val="正文首行缩进 21"/>
    <w:basedOn w:val="951"/>
    <w:next w:val="871"/>
    <w:link w:val="871"/>
    <w:qFormat/>
    <w:pPr>
      <w:ind w:firstLine="420"/>
      <w:spacing w:line="360" w:lineRule="auto"/>
    </w:pPr>
    <w:rPr>
      <w:rFonts w:ascii="宋体" w:hAnsi="宋体" w:eastAsia="宋体"/>
      <w:sz w:val="21"/>
      <w:szCs w:val="20"/>
    </w:rPr>
  </w:style>
  <w:style w:type="paragraph" w:styleId="951">
    <w:name w:val="正文文本缩进11"/>
    <w:basedOn w:val="871"/>
    <w:next w:val="952"/>
    <w:link w:val="871"/>
    <w:qFormat/>
    <w:pPr>
      <w:ind w:firstLine="645"/>
    </w:pPr>
    <w:rPr>
      <w:rFonts w:ascii="楷体_GB2312" w:eastAsia="楷体_GB2312"/>
      <w:sz w:val="32"/>
      <w:szCs w:val="32"/>
    </w:rPr>
  </w:style>
  <w:style w:type="paragraph" w:styleId="952">
    <w:name w:val="寄信人地址1"/>
    <w:basedOn w:val="871"/>
    <w:next w:val="952"/>
    <w:link w:val="871"/>
    <w:qFormat/>
    <w:rPr>
      <w:rFonts w:ascii="Arial" w:hAnsi="Arial" w:eastAsia="宋体" w:cs="宋体"/>
    </w:rPr>
  </w:style>
  <w:style w:type="paragraph" w:styleId="953">
    <w:name w:val="标题 41"/>
    <w:basedOn w:val="871"/>
    <w:next w:val="954"/>
    <w:link w:val="871"/>
    <w:qFormat/>
    <w:pPr>
      <w:keepLines/>
      <w:keepNext/>
      <w:spacing w:before="280" w:after="290" w:line="376" w:lineRule="auto"/>
      <w:outlineLvl w:val="3"/>
    </w:pPr>
    <w:rPr>
      <w:rFonts w:ascii="Arial" w:hAnsi="Arial" w:eastAsia="黑体" w:cs="Arial"/>
      <w:b/>
      <w:bCs/>
      <w:sz w:val="28"/>
      <w:szCs w:val="28"/>
    </w:rPr>
  </w:style>
  <w:style w:type="paragraph" w:styleId="954">
    <w:name w:val="正文缩进1"/>
    <w:basedOn w:val="871"/>
    <w:next w:val="954"/>
    <w:link w:val="871"/>
    <w:qFormat/>
    <w:pPr>
      <w:ind w:firstLine="420"/>
    </w:pPr>
  </w:style>
  <w:style w:type="paragraph" w:styleId="955">
    <w:name w:val="正文文本12"/>
    <w:basedOn w:val="871"/>
    <w:next w:val="955"/>
    <w:link w:val="871"/>
    <w:uiPriority w:val="1"/>
    <w:qFormat/>
    <w:pPr>
      <w:ind w:left="120"/>
    </w:pPr>
    <w:rPr>
      <w:rFonts w:ascii="宋体" w:hAnsi="宋体" w:eastAsia="宋体" w:cs="宋体"/>
      <w:sz w:val="21"/>
      <w:szCs w:val="21"/>
      <w:lang w:val="zh-CN" w:eastAsia="zh-CN" w:bidi="zh-CN"/>
    </w:rPr>
  </w:style>
  <w:style w:type="character" w:styleId="956">
    <w:name w:val="font5 Char"/>
    <w:next w:val="956"/>
    <w:link w:val="871"/>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1"/>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1"/>
    <w:next w:val="960"/>
    <w:link w:val="959"/>
    <w:qFormat/>
    <w:pPr>
      <w:contextualSpacing/>
      <w:ind w:left="720"/>
      <w:jc w:val="left"/>
      <w:widowControl/>
    </w:pPr>
    <w:rPr>
      <w:rFonts w:ascii="Calibri" w:hAnsi="Calibri" w:eastAsia="宋体" w:cs="Times New Roman"/>
      <w:sz w:val="24"/>
      <w:szCs w:val="24"/>
      <w:lang w:eastAsia="en-US" w:bidi="en-US"/>
    </w:rPr>
  </w:style>
  <w:style w:type="paragraph" w:styleId="961">
    <w:name w:val="Body Text(ch)"/>
    <w:basedOn w:val="871"/>
    <w:next w:val="907"/>
    <w:link w:val="871"/>
    <w:pPr>
      <w:spacing w:after="120"/>
    </w:pPr>
    <w:rPr>
      <w:rFonts w:ascii="宋体" w:hAnsi="Arial"/>
      <w:bCs/>
      <w:iCs/>
      <w:szCs w:val="24"/>
    </w:rPr>
  </w:style>
  <w:style w:type="paragraph" w:styleId="962">
    <w:name w:val="xl27"/>
    <w:basedOn w:val="871"/>
    <w:next w:val="962"/>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6"/>
    <w:basedOn w:val="871"/>
    <w:next w:val="963"/>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name w:val="Char"/>
    <w:basedOn w:val="871"/>
    <w:next w:val="964"/>
    <w:link w:val="871"/>
    <w:pPr>
      <w:ind w:firstLine="200"/>
      <w:tabs>
        <w:tab w:val="left" w:pos="360" w:leader="none"/>
      </w:tabs>
    </w:pPr>
    <w:rPr>
      <w:sz w:val="28"/>
      <w:szCs w:val="30"/>
    </w:rPr>
  </w:style>
  <w:style w:type="paragraph" w:styleId="965">
    <w:name w:val=" Char"/>
    <w:basedOn w:val="901"/>
    <w:next w:val="965"/>
    <w:link w:val="871"/>
    <w:rPr>
      <w:rFonts w:ascii="Tahoma" w:hAnsi="Tahoma"/>
      <w:sz w:val="24"/>
      <w:szCs w:val="24"/>
    </w:rPr>
  </w:style>
  <w:style w:type="paragraph" w:styleId="966">
    <w:name w:val="普通正文"/>
    <w:basedOn w:val="871"/>
    <w:next w:val="966"/>
    <w:link w:val="871"/>
    <w:pPr>
      <w:ind w:firstLine="480"/>
      <w:jc w:val="left"/>
      <w:spacing w:before="120" w:after="120" w:line="360" w:lineRule="auto"/>
    </w:pPr>
    <w:rPr>
      <w:rFonts w:ascii="Arial" w:hAnsi="Arial"/>
      <w:sz w:val="24"/>
      <w:szCs w:val="24"/>
    </w:rPr>
  </w:style>
  <w:style w:type="paragraph" w:styleId="967">
    <w:name w:val="table_lines"/>
    <w:basedOn w:val="871"/>
    <w:next w:val="967"/>
    <w:link w:val="871"/>
    <w:pPr>
      <w:jc w:val="left"/>
      <w:widowControl/>
    </w:pPr>
    <w:rPr>
      <w:sz w:val="20"/>
      <w:szCs w:val="20"/>
      <w:lang w:val="de-DE" w:eastAsia="de-DE"/>
    </w:rPr>
  </w:style>
  <w:style w:type="paragraph" w:styleId="968">
    <w:name w:val="附录1"/>
    <w:next w:val="968"/>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1"/>
    <w:next w:val="969"/>
    <w:link w:val="871"/>
    <w:pPr>
      <w:jc w:val="left"/>
      <w:spacing w:before="100" w:beforeAutospacing="1" w:after="100" w:afterAutospacing="1"/>
      <w:widowControl/>
    </w:pPr>
    <w:rPr>
      <w:rFonts w:hint="eastAsia" w:ascii="宋体" w:hAnsi="宋体"/>
      <w:sz w:val="18"/>
      <w:szCs w:val="18"/>
    </w:rPr>
  </w:style>
  <w:style w:type="paragraph" w:styleId="970">
    <w:name w:val=" Char Char Char Char"/>
    <w:basedOn w:val="901"/>
    <w:next w:val="970"/>
    <w:link w:val="871"/>
    <w:pPr>
      <w:spacing w:line="360" w:lineRule="auto"/>
    </w:pPr>
    <w:rPr>
      <w:rFonts w:ascii="Tahoma" w:hAnsi="Tahoma"/>
      <w:sz w:val="24"/>
      <w:szCs w:val="24"/>
    </w:rPr>
  </w:style>
  <w:style w:type="paragraph" w:styleId="971">
    <w:name w:val="列出段落"/>
    <w:basedOn w:val="871"/>
    <w:next w:val="971"/>
    <w:link w:val="871"/>
    <w:qFormat/>
    <w:pPr>
      <w:contextualSpacing/>
      <w:ind w:left="720"/>
      <w:jc w:val="left"/>
      <w:widowControl/>
    </w:pPr>
    <w:rPr>
      <w:rFonts w:ascii="Calibri" w:hAnsi="Calibri"/>
      <w:sz w:val="24"/>
      <w:szCs w:val="24"/>
      <w:lang w:eastAsia="en-US" w:bidi="en-US"/>
    </w:rPr>
  </w:style>
  <w:style w:type="paragraph" w:styleId="972">
    <w:name w:val="4"/>
    <w:basedOn w:val="871"/>
    <w:next w:val="929"/>
    <w:link w:val="871"/>
    <w:pPr>
      <w:ind w:firstLine="420"/>
      <w:spacing w:line="360" w:lineRule="auto"/>
    </w:pPr>
    <w:rPr>
      <w:color w:val="ff0000"/>
      <w:sz w:val="24"/>
      <w:szCs w:val="24"/>
    </w:rPr>
  </w:style>
  <w:style w:type="paragraph" w:styleId="973">
    <w:name w:val="普通 (Web)"/>
    <w:basedOn w:val="871"/>
    <w:next w:val="973"/>
    <w:link w:val="871"/>
    <w:pPr>
      <w:jc w:val="left"/>
      <w:spacing w:before="100" w:beforeAutospacing="1" w:after="100" w:afterAutospacing="1"/>
      <w:widowControl/>
    </w:pPr>
    <w:rPr>
      <w:rFonts w:ascii="宋体" w:hAnsi="宋体"/>
      <w:sz w:val="24"/>
      <w:szCs w:val="24"/>
    </w:rPr>
  </w:style>
  <w:style w:type="paragraph" w:styleId="974">
    <w:name w:val=" Char Char Char Char Char Char Char Char Char Char"/>
    <w:basedOn w:val="871"/>
    <w:next w:val="974"/>
    <w:link w:val="871"/>
    <w:pPr>
      <w:spacing w:line="360" w:lineRule="auto"/>
    </w:pPr>
    <w:rPr>
      <w:sz w:val="24"/>
      <w:szCs w:val="20"/>
    </w:rPr>
  </w:style>
  <w:style w:type="paragraph" w:styleId="975">
    <w:name w:val="样式1"/>
    <w:basedOn w:val="871"/>
    <w:next w:val="975"/>
    <w:link w:val="871"/>
    <w:pPr>
      <w:numPr>
        <w:ilvl w:val="0"/>
        <w:numId w:val="3"/>
      </w:numPr>
      <w:tabs>
        <w:tab w:val="left" w:pos="709" w:leader="none"/>
      </w:tabs>
    </w:pPr>
    <w:rPr>
      <w:rFonts w:ascii="宋体" w:hAnsi="宋体"/>
    </w:rPr>
  </w:style>
  <w:style w:type="paragraph" w:styleId="976">
    <w:name w:val="font6"/>
    <w:basedOn w:val="871"/>
    <w:next w:val="976"/>
    <w:link w:val="871"/>
    <w:pPr>
      <w:jc w:val="left"/>
      <w:spacing w:before="100" w:beforeAutospacing="1" w:after="100" w:afterAutospacing="1"/>
      <w:widowControl/>
    </w:pPr>
    <w:rPr>
      <w:rFonts w:hint="eastAsia" w:ascii="宋体" w:hAnsi="宋体"/>
      <w:sz w:val="28"/>
      <w:szCs w:val="28"/>
      <w:u w:val="single"/>
    </w:rPr>
  </w:style>
  <w:style w:type="paragraph" w:styleId="977">
    <w:name w:val="xl25"/>
    <w:basedOn w:val="871"/>
    <w:next w:val="977"/>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标题3"/>
    <w:basedOn w:val="871"/>
    <w:next w:val="871"/>
    <w:link w:val="871"/>
    <w:pPr>
      <w:ind w:firstLine="624"/>
      <w:spacing w:line="590" w:lineRule="atLeast"/>
    </w:pPr>
    <w:rPr>
      <w:rFonts w:ascii="方正黑体_GBK" w:eastAsia="方正黑体_GBK"/>
      <w:sz w:val="32"/>
      <w:szCs w:val="32"/>
    </w:rPr>
  </w:style>
  <w:style w:type="paragraph" w:styleId="980">
    <w:name w:val="xl24"/>
    <w:basedOn w:val="871"/>
    <w:next w:val="980"/>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9"/>
    <w:basedOn w:val="871"/>
    <w:next w:val="981"/>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name w:val="Char Char Char Char Char Char Char Char"/>
    <w:basedOn w:val="871"/>
    <w:next w:val="982"/>
    <w:link w:val="871"/>
    <w:pPr>
      <w:jc w:val="left"/>
      <w:spacing w:after="160" w:line="240" w:lineRule="exact"/>
      <w:widowControl/>
    </w:pPr>
    <w:rPr>
      <w:rFonts w:ascii="Verdana" w:hAnsi="Verdana"/>
      <w:sz w:val="20"/>
      <w:szCs w:val="20"/>
      <w:lang w:eastAsia="en-US"/>
    </w:rPr>
  </w:style>
  <w:style w:type="paragraph" w:styleId="983">
    <w:name w:val="xl28"/>
    <w:basedOn w:val="871"/>
    <w:next w:val="983"/>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name w:val=" Char Char Char Char Char Char Char Char"/>
    <w:basedOn w:val="871"/>
    <w:next w:val="984"/>
    <w:link w:val="871"/>
    <w:pPr>
      <w:jc w:val="left"/>
      <w:spacing w:after="160" w:line="240" w:lineRule="exact"/>
      <w:widowControl/>
    </w:pPr>
    <w:rPr>
      <w:rFonts w:ascii="Verdana" w:hAnsi="Verdana"/>
      <w:sz w:val="20"/>
      <w:szCs w:val="20"/>
      <w:lang w:eastAsia="en-US"/>
    </w:rPr>
  </w:style>
  <w:style w:type="paragraph" w:styleId="985">
    <w:name w:val="xl30"/>
    <w:basedOn w:val="871"/>
    <w:next w:val="985"/>
    <w:link w:val="871"/>
    <w:pPr>
      <w:jc w:val="center"/>
      <w:spacing w:before="100" w:beforeAutospacing="1" w:after="100" w:afterAutospacing="1"/>
      <w:widowControl/>
    </w:pPr>
    <w:rPr>
      <w:rFonts w:ascii="宋体" w:hAnsi="宋体"/>
      <w:b/>
      <w:bCs/>
      <w:sz w:val="36"/>
      <w:szCs w:val="36"/>
    </w:rPr>
  </w:style>
  <w:style w:type="paragraph" w:styleId="986">
    <w:name w:val="Char Char Char Char"/>
    <w:basedOn w:val="901"/>
    <w:next w:val="986"/>
    <w:link w:val="871"/>
    <w:pPr>
      <w:spacing w:line="360" w:lineRule="auto"/>
    </w:pPr>
    <w:rPr>
      <w:rFonts w:ascii="Tahoma" w:hAnsi="Tahoma"/>
      <w:sz w:val="24"/>
      <w:szCs w:val="24"/>
    </w:rPr>
  </w:style>
  <w:style w:type="paragraph" w:styleId="987">
    <w:name w:val="table_1stline"/>
    <w:basedOn w:val="871"/>
    <w:next w:val="987"/>
    <w:link w:val="871"/>
    <w:pPr>
      <w:jc w:val="left"/>
      <w:spacing w:before="120"/>
      <w:widowControl/>
    </w:pPr>
    <w:rPr>
      <w:bCs/>
      <w:sz w:val="20"/>
      <w:szCs w:val="20"/>
      <w:lang w:val="de-DE" w:eastAsia="de-DE"/>
    </w:rPr>
  </w:style>
  <w:style w:type="paragraph" w:styleId="988">
    <w:name w:val="font5"/>
    <w:basedOn w:val="871"/>
    <w:next w:val="988"/>
    <w:link w:val="871"/>
    <w:pPr>
      <w:jc w:val="left"/>
      <w:spacing w:before="100" w:beforeAutospacing="1" w:after="100" w:afterAutospacing="1"/>
      <w:widowControl/>
    </w:pPr>
    <w:rPr>
      <w:rFonts w:hint="eastAsia" w:ascii="宋体" w:hAnsi="宋体"/>
      <w:sz w:val="28"/>
      <w:szCs w:val="28"/>
    </w:rPr>
  </w:style>
  <w:style w:type="paragraph" w:styleId="989">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name w:val="修订"/>
    <w:next w:val="990"/>
    <w:link w:val="871"/>
    <w:uiPriority w:val="99"/>
    <w:semiHidden/>
    <w:rPr>
      <w:rFonts w:ascii="Times New Roman" w:hAnsi="Times New Roman"/>
      <w:sz w:val="21"/>
      <w:szCs w:val="21"/>
      <w:lang w:val="en-US" w:eastAsia="zh-CN" w:bidi="ar-SA"/>
    </w:rPr>
  </w:style>
  <w:style w:type="paragraph" w:styleId="991">
    <w:name w:val="无间隔"/>
    <w:next w:val="991"/>
    <w:link w:val="871"/>
    <w:uiPriority w:val="99"/>
    <w:qFormat/>
    <w:pPr>
      <w:jc w:val="both"/>
      <w:widowControl w:val="off"/>
    </w:pPr>
    <w:rPr>
      <w:rFonts w:ascii="Times New Roman" w:hAnsi="Times New Roman"/>
      <w:sz w:val="21"/>
      <w:szCs w:val="21"/>
      <w:lang w:val="en-US" w:eastAsia="zh-CN" w:bidi="ar-SA"/>
    </w:rPr>
  </w:style>
  <w:style w:type="paragraph" w:styleId="992">
    <w:name w:val="正文文本 211"/>
    <w:basedOn w:val="871"/>
    <w:next w:val="992"/>
    <w:link w:val="871"/>
    <w:uiPriority w:val="99"/>
    <w:qFormat/>
    <w:pPr>
      <w:jc w:val="center"/>
    </w:pPr>
    <w:rPr>
      <w:b/>
      <w:bCs/>
      <w:sz w:val="20"/>
      <w:szCs w:val="20"/>
    </w:rPr>
  </w:style>
  <w:style w:type="table" w:styleId="993">
    <w:name w:val="Table Normal"/>
    <w:next w:val="993"/>
    <w:link w:val="871"/>
    <w:qFormat/>
    <w:tblPr/>
  </w:style>
  <w:style w:type="paragraph" w:styleId="994">
    <w:name w:val="正文文本1"/>
    <w:basedOn w:val="871"/>
    <w:next w:val="871"/>
    <w:link w:val="871"/>
    <w:semiHidden/>
    <w:qFormat/>
    <w:rPr>
      <w:rFonts w:ascii="Arial" w:hAnsi="Arial" w:eastAsia="Arial" w:cs="Arial"/>
      <w:sz w:val="21"/>
      <w:szCs w:val="21"/>
      <w:lang w:val="en-US" w:eastAsia="en-US" w:bidi="ar-SA"/>
    </w:rPr>
  </w:style>
  <w:style w:type="paragraph" w:styleId="995">
    <w:name w:val="纯文本1"/>
    <w:basedOn w:val="871"/>
    <w:next w:val="995"/>
    <w:link w:val="871"/>
    <w:qFormat/>
    <w:rPr>
      <w:rFonts w:ascii="宋体" w:hAnsi="Courier New" w:cs="Courier New"/>
    </w:rPr>
  </w:style>
  <w:style w:type="table" w:styleId="996">
    <w:name w:val="网格型1"/>
    <w:basedOn w:val="997"/>
    <w:next w:val="996"/>
    <w:link w:val="871"/>
    <w:qFormat/>
    <w:pPr>
      <w:jc w:val="both"/>
      <w:widowControl w:val="off"/>
    </w:pPr>
    <w:tblPr/>
  </w:style>
  <w:style w:type="table" w:styleId="997">
    <w:name w:val="普通表格1"/>
    <w:next w:val="997"/>
    <w:link w:val="871"/>
    <w:uiPriority w:val="99"/>
    <w:unhideWhenUsed/>
    <w:qFormat/>
    <w:tblPr/>
  </w:style>
  <w:style w:type="character" w:styleId="998">
    <w:name w:val="15"/>
    <w:basedOn w:val="881"/>
    <w:next w:val="998"/>
    <w:link w:val="871"/>
    <w:rPr>
      <w:rFonts w:ascii="Times New Roman" w:hAnsi="Times New Roman" w:cs="Times New Roman"/>
    </w:rPr>
  </w:style>
  <w:style w:type="paragraph" w:styleId="999">
    <w:name w:val="正文首行缩进 211"/>
    <w:basedOn w:val="951"/>
    <w:next w:val="871"/>
    <w:link w:val="871"/>
    <w:qFormat/>
    <w:pPr>
      <w:ind w:left="0" w:firstLine="420"/>
      <w:spacing w:after="0" w:line="360" w:lineRule="auto"/>
    </w:pPr>
    <w:rPr>
      <w:rFonts w:ascii="宋体" w:hAnsi="宋体" w:eastAsia="宋体" w:cs="Times New Roman"/>
      <w:szCs w:val="20"/>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10</cp:revision>
  <dcterms:created xsi:type="dcterms:W3CDTF">2023-03-16T02:16:00Z</dcterms:created>
  <dcterms:modified xsi:type="dcterms:W3CDTF">2026-04-24T03:33:31Z</dcterms:modified>
</cp:coreProperties>
</file>