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pStyle w:val="705"/>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05"/>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2000"/>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 xml:space="preserve">公开招标文件</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（专门面向中小企业）</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pStyle w:val="705"/>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05"/>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69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项目</w:t>
            </w:r>
            <w:r>
              <w:rPr>
                <w:rFonts w:hint="eastAsia" w:asciiTheme="minorEastAsia" w:hAnsiTheme="minorEastAsia" w:eastAsiaTheme="minorEastAsia" w:cstheme="minorEastAsia"/>
                <w:color w:val="auto"/>
                <w:sz w:val="44"/>
                <w:szCs w:val="44"/>
                <w:highlight w:val="none"/>
                <w:lang w:val="zh-CN"/>
              </w:rPr>
              <w:t xml:space="preserve">编号：JSZC-320115-NJDX-G2026-0002</w:t>
            </w:r>
            <w:r/>
          </w:p>
          <w:p>
            <w:pPr>
              <w:ind w:left="2125" w:hanging="2125"/>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项目名称：江宁区2026年度国土变更调查（含日常变更调查）</w:t>
            </w:r>
            <w:r/>
          </w:p>
        </w:tc>
      </w:tr>
    </w:tbl>
    <w:p>
      <w:pPr>
        <w:ind w:firstLine="640"/>
        <w:jc w:val="cente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3"/>
        <w:jc w:val="center"/>
        <w:rPr>
          <w:rFonts w:asciiTheme="minorEastAsia" w:hAnsiTheme="minorEastAsia" w:eastAsiaTheme="minorEastAsia" w:cstheme="minorEastAsia"/>
          <w:b/>
          <w:bCs w:val="0"/>
          <w:color w:val="auto"/>
          <w:sz w:val="32"/>
          <w:szCs w:val="32"/>
          <w:highlight w:val="none"/>
          <w:lang w:val="zh-CN"/>
        </w:rPr>
      </w:pPr>
      <w:r>
        <w:rPr>
          <w:rFonts w:hint="eastAsia" w:asciiTheme="minorEastAsia" w:hAnsiTheme="minorEastAsia" w:eastAsiaTheme="minorEastAsia" w:cstheme="minorEastAsia"/>
          <w:b/>
          <w:bCs w:val="0"/>
          <w:color w:val="auto"/>
          <w:sz w:val="32"/>
          <w:szCs w:val="32"/>
          <w:highlight w:val="none"/>
          <w:lang w:val="zh-CN"/>
        </w:rPr>
        <w:t xml:space="preserve">（</w:t>
      </w:r>
      <w:r>
        <w:rPr>
          <w:rFonts w:hint="eastAsia" w:asciiTheme="minorEastAsia" w:hAnsiTheme="minorEastAsia" w:eastAsiaTheme="minorEastAsia" w:cstheme="minorEastAsia"/>
          <w:b/>
          <w:bCs w:val="0"/>
          <w:color w:val="auto"/>
          <w:sz w:val="32"/>
          <w:szCs w:val="32"/>
          <w:highlight w:val="none"/>
          <w:lang w:val="en-US" w:eastAsia="zh-CN"/>
        </w:rPr>
        <w:t xml:space="preserve">第1次更正后</w:t>
      </w:r>
      <w:r>
        <w:rPr>
          <w:rFonts w:hint="eastAsia" w:asciiTheme="minorEastAsia" w:hAnsiTheme="minorEastAsia" w:eastAsiaTheme="minorEastAsia" w:cstheme="minorEastAsia"/>
          <w:b/>
          <w:bCs w:val="0"/>
          <w:color w:val="auto"/>
          <w:sz w:val="32"/>
          <w:szCs w:val="32"/>
          <w:highlight w:val="none"/>
          <w:lang w:val="zh-CN"/>
        </w:rPr>
        <w:t xml:space="preserve">）</w:t>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687"/>
      </w:p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南京东兴工程咨询有限公司</w:t>
      </w:r>
      <w:r/>
    </w:p>
    <w:p>
      <w:pPr>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二○二</w:t>
      </w:r>
      <w:r>
        <w:rPr>
          <w:rFonts w:hint="eastAsia" w:asciiTheme="minorEastAsia" w:hAnsiTheme="minorEastAsia" w:eastAsiaTheme="minorEastAsia" w:cstheme="minorEastAsia"/>
          <w:color w:val="auto"/>
          <w:sz w:val="44"/>
          <w:szCs w:val="44"/>
          <w:highlight w:val="none"/>
        </w:rPr>
        <w:t xml:space="preserve">六</w:t>
      </w:r>
      <w:r>
        <w:rPr>
          <w:rFonts w:hint="eastAsia" w:asciiTheme="minorEastAsia" w:hAnsiTheme="minorEastAsia" w:eastAsiaTheme="minorEastAsia" w:cstheme="minorEastAsia"/>
          <w:color w:val="auto"/>
          <w:sz w:val="44"/>
          <w:szCs w:val="44"/>
          <w:highlight w:val="none"/>
          <w:lang w:val="zh-CN"/>
        </w:rPr>
        <w:t xml:space="preserve">年</w:t>
      </w:r>
      <w:r>
        <w:rPr>
          <w:rFonts w:hint="eastAsia" w:asciiTheme="minorEastAsia" w:hAnsiTheme="minorEastAsia" w:eastAsiaTheme="minorEastAsia" w:cstheme="minorEastAsia"/>
          <w:color w:val="auto"/>
          <w:sz w:val="44"/>
          <w:szCs w:val="44"/>
          <w:highlight w:val="none"/>
          <w:lang w:val="zh-CN"/>
        </w:rPr>
        <w:t xml:space="preserve">六</w:t>
      </w:r>
      <w:r>
        <w:rPr>
          <w:rFonts w:hint="eastAsia" w:asciiTheme="minorEastAsia" w:hAnsiTheme="minorEastAsia" w:eastAsiaTheme="minorEastAsia" w:cstheme="minorEastAsia"/>
          <w:color w:val="auto"/>
          <w:sz w:val="44"/>
          <w:szCs w:val="44"/>
          <w:highlight w:val="none"/>
          <w:lang w:val="zh-CN"/>
        </w:rPr>
        <w:t xml:space="preserve">月</w:t>
      </w:r>
      <w:r/>
    </w:p>
    <w:p>
      <w:pPr>
        <w:ind w:firstLine="880"/>
        <w:jc w:val="center"/>
        <w:rPr>
          <w:rFonts w:asciiTheme="minorEastAsia" w:hAnsiTheme="minorEastAsia" w:eastAsiaTheme="minorEastAsia" w:cstheme="minorEastAsia"/>
          <w:color w:val="auto"/>
          <w:sz w:val="44"/>
          <w:szCs w:val="44"/>
          <w:highlight w:val="none"/>
        </w:rPr>
        <w:sectPr>
          <w:headerReference w:type="default" r:id="rId8"/>
          <w:footerReference w:type="default" r:id="rId10"/>
          <w:footnotePr/>
          <w:endnotePr/>
          <w:type w:val="nextPage"/>
          <w:pgSz w:w="11906" w:h="16838" w:orient="portrait"/>
          <w:pgMar w:top="1418" w:right="1134" w:bottom="1247" w:left="1304" w:header="851" w:footer="992" w:gutter="0"/>
          <w:cols w:num="1" w:sep="0" w:space="720" w:equalWidth="1"/>
          <w:docGrid w:linePitch="360"/>
        </w:sect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目录</w:t>
      </w:r>
      <w:r/>
    </w:p>
    <w:p>
      <w:pPr>
        <w:pStyle w:val="716"/>
        <w:tabs>
          <w:tab w:val="right" w:pos="9070" w:leader="dot"/>
        </w:tabs>
        <w:rPr>
          <w:rFonts w:asciiTheme="minorEastAsia" w:hAnsiTheme="minorEastAsia" w:eastAsiaTheme="minorEastAsia" w:cstheme="minorEastAsia"/>
          <w:b/>
          <w:highlight w:val="none"/>
        </w:rPr>
      </w:pPr>
      <w:r/>
      <w:bookmarkStart w:id="662" w:name="_GoBack"/>
      <w:r/>
      <w:bookmarkEnd w:id="662"/>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asciiTheme="minorEastAsia" w:hAnsiTheme="minorEastAsia" w:eastAsiaTheme="minorEastAsia" w:cstheme="minorEastAsia"/>
          <w:color w:val="auto"/>
          <w:sz w:val="28"/>
          <w:szCs w:val="28"/>
          <w:highlight w:val="none"/>
          <w:lang w:val="zh-CN"/>
        </w:rPr>
      </w:r>
      <w:hyperlink w:tooltip="#_Toc1" w:anchor="_Toc1" w:history="1">
        <w:r>
          <w:rPr>
            <w:rStyle w:val="736"/>
          </w:rPr>
        </w:r>
        <w:r>
          <w:rPr>
            <w:rStyle w:val="736"/>
            <w:rFonts w:hint="eastAsia" w:asciiTheme="minorEastAsia" w:hAnsiTheme="minorEastAsia" w:eastAsiaTheme="minorEastAsia" w:cstheme="minorEastAsia"/>
            <w:b/>
            <w:highlight w:val="none"/>
            <w:lang w:val="zh-CN"/>
          </w:rPr>
          <w:t xml:space="preserve">第一章 投标邀请</w:t>
        </w:r>
        <w:r>
          <w:rPr>
            <w:rStyle w:val="736"/>
          </w:rPr>
        </w:r>
        <w:r>
          <w:tab/>
        </w:r>
        <w:r>
          <w:fldChar w:fldCharType="begin"/>
          <w:instrText xml:space="preserve">PAGEREF _Toc1 \h</w:instrText>
          <w:fldChar w:fldCharType="separate"/>
          <w:t xml:space="preserve">3</w:t>
          <w:fldChar w:fldCharType="end"/>
        </w:r>
      </w:hyperlink>
      <w:r>
        <w:rPr>
          <w:rFonts w:asciiTheme="minorEastAsia" w:hAnsiTheme="minorEastAsia" w:eastAsiaTheme="minorEastAsia" w:cstheme="minorEastAsia"/>
          <w:b/>
          <w:highlight w:val="none"/>
          <w:lang w:val="zh-CN"/>
        </w:rPr>
      </w:r>
    </w:p>
    <w:p>
      <w:pPr>
        <w:pStyle w:val="716"/>
        <w:tabs>
          <w:tab w:val="right" w:pos="9070" w:leader="dot"/>
        </w:tabs>
        <w:rPr>
          <w:rFonts w:asciiTheme="minorEastAsia" w:hAnsiTheme="minorEastAsia" w:eastAsiaTheme="minorEastAsia" w:cstheme="minorEastAsia"/>
          <w:highlight w:val="none"/>
        </w:rPr>
      </w:pPr>
      <w:hyperlink w:tooltip="#_Toc2" w:anchor="_Toc2" w:history="1">
        <w:r>
          <w:rPr>
            <w:rStyle w:val="736"/>
          </w:rPr>
        </w:r>
        <w:r>
          <w:rPr>
            <w:rStyle w:val="736"/>
            <w:rFonts w:hint="eastAsia" w:asciiTheme="minorEastAsia" w:hAnsiTheme="minorEastAsia" w:eastAsiaTheme="minorEastAsia" w:cstheme="minorEastAsia"/>
            <w:b/>
            <w:highlight w:val="none"/>
            <w:lang w:val="zh-CN"/>
          </w:rPr>
          <w:t xml:space="preserve">第二章 供应商须知</w:t>
        </w:r>
        <w:r>
          <w:rPr>
            <w:rStyle w:val="736"/>
          </w:rPr>
        </w:r>
        <w:r>
          <w:tab/>
        </w:r>
        <w:r>
          <w:fldChar w:fldCharType="begin"/>
          <w:instrText xml:space="preserve">PAGEREF _Toc2 \h</w:instrText>
          <w:fldChar w:fldCharType="separate"/>
          <w:t xml:space="preserve">6</w:t>
          <w:fldChar w:fldCharType="end"/>
        </w:r>
      </w:hyperlink>
      <w:r>
        <w:rPr>
          <w:rFonts w:asciiTheme="minorEastAsia" w:hAnsiTheme="minorEastAsia" w:eastAsiaTheme="minorEastAsia" w:cstheme="minorEastAsia"/>
          <w:highlight w:val="none"/>
          <w:lang w:val="zh-CN"/>
        </w:rPr>
      </w:r>
    </w:p>
    <w:p>
      <w:pPr>
        <w:pStyle w:val="716"/>
        <w:tabs>
          <w:tab w:val="right" w:pos="9070" w:leader="dot"/>
        </w:tabs>
        <w:rPr>
          <w:rFonts w:asciiTheme="minorEastAsia" w:hAnsiTheme="minorEastAsia" w:eastAsiaTheme="minorEastAsia" w:cstheme="minorEastAsia"/>
          <w:b/>
          <w:highlight w:val="none"/>
        </w:rPr>
      </w:pPr>
      <w:hyperlink w:tooltip="#_Toc3" w:anchor="_Toc3" w:history="1">
        <w:r>
          <w:rPr>
            <w:rStyle w:val="736"/>
          </w:rPr>
        </w:r>
        <w:r>
          <w:rPr>
            <w:rStyle w:val="736"/>
            <w:rFonts w:hint="eastAsia" w:asciiTheme="minorEastAsia" w:hAnsiTheme="minorEastAsia" w:eastAsiaTheme="minorEastAsia" w:cstheme="minorEastAsia"/>
            <w:b/>
            <w:highlight w:val="none"/>
          </w:rPr>
          <w:t xml:space="preserve">第三章 评标方法和标准</w:t>
        </w:r>
        <w:r>
          <w:rPr>
            <w:rStyle w:val="736"/>
          </w:rPr>
        </w:r>
        <w:r>
          <w:tab/>
        </w:r>
        <w:r>
          <w:fldChar w:fldCharType="begin"/>
          <w:instrText xml:space="preserve">PAGEREF _Toc3 \h</w:instrText>
          <w:fldChar w:fldCharType="separate"/>
          <w:t xml:space="preserve">15</w:t>
          <w:fldChar w:fldCharType="end"/>
        </w:r>
      </w:hyperlink>
      <w:r>
        <w:rPr>
          <w:rFonts w:asciiTheme="minorEastAsia" w:hAnsiTheme="minorEastAsia" w:eastAsiaTheme="minorEastAsia" w:cstheme="minorEastAsia"/>
          <w:b/>
          <w:highlight w:val="none"/>
        </w:rPr>
      </w:r>
    </w:p>
    <w:p>
      <w:pPr>
        <w:pStyle w:val="722"/>
        <w:tabs>
          <w:tab w:val="right" w:pos="9070" w:leader="dot"/>
        </w:tabs>
        <w:rPr>
          <w:rFonts w:asciiTheme="minorEastAsia" w:hAnsiTheme="minorEastAsia" w:eastAsiaTheme="minorEastAsia" w:cstheme="minorEastAsia"/>
          <w:b/>
          <w:bCs/>
          <w:highlight w:val="none"/>
        </w:rPr>
      </w:pPr>
      <w:hyperlink w:tooltip="#_Toc4" w:anchor="_Toc4" w:history="1">
        <w:r>
          <w:rPr>
            <w:rStyle w:val="736"/>
          </w:rPr>
        </w:r>
        <w:r>
          <w:rPr>
            <w:rStyle w:val="736"/>
            <w:rFonts w:hint="eastAsia" w:asciiTheme="minorEastAsia" w:hAnsiTheme="minorEastAsia" w:eastAsiaTheme="minorEastAsia" w:cstheme="minorEastAsia"/>
            <w:b/>
            <w:bCs/>
            <w:highlight w:val="none"/>
          </w:rPr>
          <w:t xml:space="preserve">采购包1：调查服务</w:t>
        </w:r>
        <w:r>
          <w:rPr>
            <w:rStyle w:val="736"/>
          </w:rPr>
        </w:r>
        <w:r>
          <w:tab/>
        </w:r>
        <w:r>
          <w:fldChar w:fldCharType="begin"/>
          <w:instrText xml:space="preserve">PAGEREF _Toc4 \h</w:instrText>
          <w:fldChar w:fldCharType="separate"/>
          <w:t xml:space="preserve">15</w:t>
          <w:fldChar w:fldCharType="end"/>
        </w:r>
      </w:hyperlink>
      <w:r>
        <w:rPr>
          <w:rFonts w:asciiTheme="minorEastAsia" w:hAnsiTheme="minorEastAsia" w:eastAsiaTheme="minorEastAsia" w:cstheme="minorEastAsia"/>
          <w:b/>
          <w:bCs/>
          <w:highlight w:val="none"/>
        </w:rPr>
      </w:r>
    </w:p>
    <w:p>
      <w:pPr>
        <w:pStyle w:val="722"/>
        <w:tabs>
          <w:tab w:val="right" w:pos="9070" w:leader="dot"/>
        </w:tabs>
        <w:rPr>
          <w:rFonts w:asciiTheme="minorEastAsia" w:hAnsiTheme="minorEastAsia" w:eastAsiaTheme="minorEastAsia" w:cstheme="minorEastAsia"/>
          <w:b/>
          <w:highlight w:val="none"/>
        </w:rPr>
      </w:pPr>
      <w:hyperlink w:tooltip="#_Toc5" w:anchor="_Toc5" w:history="1">
        <w:r>
          <w:rPr>
            <w:rStyle w:val="736"/>
          </w:rPr>
        </w:r>
        <w:r>
          <w:rPr>
            <w:rStyle w:val="736"/>
            <w:rFonts w:hint="eastAsia" w:asciiTheme="minorEastAsia" w:hAnsiTheme="minorEastAsia" w:eastAsiaTheme="minorEastAsia" w:cstheme="minorEastAsia"/>
            <w:b/>
            <w:highlight w:val="none"/>
          </w:rPr>
          <w:t xml:space="preserve">采购包2：监理服务</w:t>
        </w:r>
        <w:r>
          <w:rPr>
            <w:rStyle w:val="736"/>
          </w:rPr>
        </w:r>
        <w:r>
          <w:tab/>
        </w:r>
        <w:r>
          <w:fldChar w:fldCharType="begin"/>
          <w:instrText xml:space="preserve">PAGEREF _Toc5 \h</w:instrText>
          <w:fldChar w:fldCharType="separate"/>
          <w:t xml:space="preserve">17</w:t>
          <w:fldChar w:fldCharType="end"/>
        </w:r>
      </w:hyperlink>
      <w:r>
        <w:rPr>
          <w:rFonts w:asciiTheme="minorEastAsia" w:hAnsiTheme="minorEastAsia" w:eastAsiaTheme="minorEastAsia" w:cstheme="minorEastAsia"/>
          <w:b/>
          <w:highlight w:val="none"/>
        </w:rPr>
      </w:r>
    </w:p>
    <w:p>
      <w:pPr>
        <w:pStyle w:val="716"/>
        <w:tabs>
          <w:tab w:val="right" w:pos="9070" w:leader="dot"/>
        </w:tabs>
        <w:rPr>
          <w:rFonts w:asciiTheme="minorEastAsia" w:hAnsiTheme="minorEastAsia" w:eastAsiaTheme="minorEastAsia" w:cstheme="minorEastAsia"/>
          <w:b/>
          <w:highlight w:val="none"/>
        </w:rPr>
      </w:pPr>
      <w:hyperlink w:tooltip="#_Toc6" w:anchor="_Toc6" w:history="1">
        <w:r>
          <w:rPr>
            <w:rStyle w:val="736"/>
          </w:rPr>
        </w:r>
        <w:r>
          <w:rPr>
            <w:rStyle w:val="736"/>
            <w:rFonts w:hint="eastAsia" w:asciiTheme="minorEastAsia" w:hAnsiTheme="minorEastAsia" w:eastAsiaTheme="minorEastAsia" w:cstheme="minorEastAsia"/>
            <w:b/>
            <w:highlight w:val="none"/>
          </w:rPr>
          <w:t xml:space="preserve">第四章 招标项目说明及技术要求</w:t>
        </w:r>
        <w:r>
          <w:rPr>
            <w:rStyle w:val="736"/>
          </w:rPr>
        </w:r>
        <w:r>
          <w:tab/>
        </w:r>
        <w:r>
          <w:fldChar w:fldCharType="begin"/>
          <w:instrText xml:space="preserve">PAGEREF _Toc6 \h</w:instrText>
          <w:fldChar w:fldCharType="separate"/>
          <w:t xml:space="preserve">20</w:t>
          <w:fldChar w:fldCharType="end"/>
        </w:r>
      </w:hyperlink>
      <w:r>
        <w:rPr>
          <w:rFonts w:asciiTheme="minorEastAsia" w:hAnsiTheme="minorEastAsia" w:eastAsiaTheme="minorEastAsia" w:cstheme="minorEastAsia"/>
          <w:b/>
          <w:highlight w:val="none"/>
        </w:rPr>
      </w:r>
    </w:p>
    <w:p>
      <w:pPr>
        <w:pStyle w:val="722"/>
        <w:tabs>
          <w:tab w:val="right" w:pos="9070" w:leader="dot"/>
        </w:tabs>
        <w:rPr>
          <w:rFonts w:asciiTheme="minorEastAsia" w:hAnsiTheme="minorEastAsia" w:eastAsiaTheme="minorEastAsia" w:cstheme="minorEastAsia"/>
          <w:b/>
          <w:highlight w:val="none"/>
        </w:rPr>
      </w:pPr>
      <w:hyperlink w:tooltip="#_Toc7" w:anchor="_Toc7" w:history="1">
        <w:r>
          <w:rPr>
            <w:rStyle w:val="736"/>
          </w:rPr>
        </w:r>
        <w:r>
          <w:rPr>
            <w:rStyle w:val="736"/>
            <w:rFonts w:hint="eastAsia" w:asciiTheme="minorEastAsia" w:hAnsiTheme="minorEastAsia" w:eastAsiaTheme="minorEastAsia" w:cstheme="minorEastAsia"/>
            <w:b/>
            <w:highlight w:val="none"/>
          </w:rPr>
          <w:t xml:space="preserve">第一部分 项目基本情况、通用标准和要求</w:t>
        </w:r>
        <w:r>
          <w:rPr>
            <w:rStyle w:val="736"/>
          </w:rPr>
        </w:r>
        <w:r>
          <w:tab/>
        </w:r>
        <w:r>
          <w:fldChar w:fldCharType="begin"/>
          <w:instrText xml:space="preserve">PAGEREF _Toc7 \h</w:instrText>
          <w:fldChar w:fldCharType="separate"/>
          <w:t xml:space="preserve">20</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bCs/>
          <w:highlight w:val="none"/>
        </w:rPr>
      </w:pPr>
      <w:hyperlink w:tooltip="#_Toc8" w:anchor="_Toc8" w:history="1">
        <w:r>
          <w:rPr>
            <w:rStyle w:val="736"/>
          </w:rPr>
        </w:r>
        <w:r>
          <w:rPr>
            <w:rStyle w:val="736"/>
            <w:rFonts w:hint="eastAsia" w:asciiTheme="minorEastAsia" w:hAnsiTheme="minorEastAsia" w:eastAsiaTheme="minorEastAsia" w:cstheme="minorEastAsia"/>
            <w:b/>
            <w:bCs/>
            <w:highlight w:val="none"/>
            <w:lang w:val="en-US" w:eastAsia="zh-CN"/>
          </w:rPr>
          <w:t xml:space="preserve">一、</w:t>
        </w:r>
        <w:r>
          <w:rPr>
            <w:rStyle w:val="736"/>
            <w:rFonts w:hint="eastAsia" w:asciiTheme="minorEastAsia" w:hAnsiTheme="minorEastAsia" w:eastAsiaTheme="minorEastAsia" w:cstheme="minorEastAsia"/>
            <w:b/>
            <w:bCs/>
            <w:highlight w:val="none"/>
          </w:rPr>
          <w:t xml:space="preserve">项目背景</w:t>
        </w:r>
        <w:r>
          <w:rPr>
            <w:rStyle w:val="736"/>
          </w:rPr>
        </w:r>
        <w:r>
          <w:tab/>
        </w:r>
        <w:r>
          <w:fldChar w:fldCharType="begin"/>
          <w:instrText xml:space="preserve">PAGEREF _Toc8 \h</w:instrText>
          <w:fldChar w:fldCharType="separate"/>
          <w:t xml:space="preserve">20</w:t>
          <w:fldChar w:fldCharType="end"/>
        </w:r>
      </w:hyperlink>
      <w:r>
        <w:rPr>
          <w:rFonts w:asciiTheme="minorEastAsia" w:hAnsiTheme="minorEastAsia" w:eastAsiaTheme="minorEastAsia" w:cstheme="minorEastAsia"/>
          <w:b/>
          <w:bCs/>
          <w:highlight w:val="none"/>
        </w:rPr>
      </w:r>
    </w:p>
    <w:p>
      <w:pPr>
        <w:pStyle w:val="707"/>
        <w:tabs>
          <w:tab w:val="right" w:pos="9070" w:leader="dot"/>
        </w:tabs>
        <w:rPr>
          <w:rFonts w:hint="eastAsia" w:asciiTheme="minorEastAsia" w:hAnsiTheme="minorEastAsia" w:eastAsiaTheme="minorEastAsia" w:cstheme="minorEastAsia"/>
          <w:b/>
          <w:bCs/>
          <w:highlight w:val="none"/>
        </w:rPr>
      </w:pPr>
      <w:hyperlink w:tooltip="#_Toc9" w:anchor="_Toc9" w:history="1">
        <w:r>
          <w:rPr>
            <w:rStyle w:val="736"/>
          </w:rPr>
        </w:r>
        <w:r>
          <w:rPr>
            <w:rStyle w:val="736"/>
            <w:rFonts w:hint="eastAsia" w:asciiTheme="minorEastAsia" w:hAnsiTheme="minorEastAsia" w:eastAsiaTheme="minorEastAsia" w:cstheme="minorEastAsia"/>
            <w:b/>
            <w:bCs/>
            <w:highlight w:val="none"/>
            <w:lang w:val="en-US" w:eastAsia="zh-CN"/>
          </w:rPr>
          <w:t xml:space="preserve">二、总体目标</w:t>
        </w:r>
        <w:r>
          <w:rPr>
            <w:rStyle w:val="736"/>
          </w:rPr>
        </w:r>
        <w:r>
          <w:tab/>
        </w:r>
        <w:r>
          <w:fldChar w:fldCharType="begin"/>
          <w:instrText xml:space="preserve">PAGEREF _Toc9 \h</w:instrText>
          <w:fldChar w:fldCharType="separate"/>
          <w:t xml:space="preserve">20</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0" w:anchor="_Toc10" w:history="1">
        <w:r>
          <w:rPr>
            <w:rStyle w:val="736"/>
          </w:rPr>
        </w:r>
        <w:r>
          <w:rPr>
            <w:rStyle w:val="736"/>
            <w:rFonts w:hint="eastAsia" w:asciiTheme="minorEastAsia" w:hAnsiTheme="minorEastAsia" w:eastAsiaTheme="minorEastAsia" w:cstheme="minorEastAsia"/>
            <w:b/>
            <w:bCs/>
            <w:highlight w:val="none"/>
            <w:lang w:val="en-US" w:eastAsia="zh-CN"/>
          </w:rPr>
          <w:t xml:space="preserve">三、项目范围</w:t>
        </w:r>
        <w:r>
          <w:rPr>
            <w:rStyle w:val="736"/>
          </w:rPr>
        </w:r>
        <w:r>
          <w:tab/>
        </w:r>
        <w:r>
          <w:fldChar w:fldCharType="begin"/>
          <w:instrText xml:space="preserve">PAGEREF _Toc10 \h</w:instrText>
          <w:fldChar w:fldCharType="separate"/>
          <w:t xml:space="preserve">20</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1" w:anchor="_Toc11" w:history="1">
        <w:r>
          <w:rPr>
            <w:rStyle w:val="736"/>
          </w:rPr>
        </w:r>
        <w:r>
          <w:rPr>
            <w:rStyle w:val="736"/>
            <w:rFonts w:hint="eastAsia" w:asciiTheme="minorEastAsia" w:hAnsiTheme="minorEastAsia" w:eastAsiaTheme="minorEastAsia" w:cstheme="minorEastAsia"/>
            <w:b/>
            <w:bCs/>
            <w:highlight w:val="none"/>
            <w:lang w:val="en-US" w:eastAsia="zh-CN"/>
          </w:rPr>
          <w:t xml:space="preserve">四、项目分包范围及限价</w:t>
        </w:r>
        <w:r>
          <w:rPr>
            <w:rStyle w:val="736"/>
          </w:rPr>
        </w:r>
        <w:r>
          <w:tab/>
        </w:r>
        <w:r>
          <w:fldChar w:fldCharType="begin"/>
          <w:instrText xml:space="preserve">PAGEREF _Toc11 \h</w:instrText>
          <w:fldChar w:fldCharType="separate"/>
          <w:t xml:space="preserve">20</w:t>
          <w:fldChar w:fldCharType="end"/>
        </w:r>
      </w:hyperlink>
      <w:r>
        <w:rPr>
          <w:rFonts w:hint="eastAsia" w:asciiTheme="minorEastAsia" w:hAnsiTheme="minorEastAsia" w:eastAsiaTheme="minorEastAsia" w:cstheme="minorEastAsia"/>
          <w:b/>
          <w:bCs/>
          <w:highlight w:val="none"/>
          <w:lang w:val="en-US" w:eastAsia="zh-CN"/>
        </w:rPr>
      </w:r>
    </w:p>
    <w:p>
      <w:pPr>
        <w:pStyle w:val="722"/>
        <w:tabs>
          <w:tab w:val="right" w:pos="9070" w:leader="dot"/>
        </w:tabs>
        <w:rPr>
          <w:rFonts w:asciiTheme="minorEastAsia" w:hAnsiTheme="minorEastAsia" w:eastAsiaTheme="minorEastAsia" w:cstheme="minorEastAsia"/>
          <w:b/>
          <w:highlight w:val="none"/>
        </w:rPr>
      </w:pPr>
      <w:hyperlink w:tooltip="#_Toc12" w:anchor="_Toc12" w:history="1">
        <w:r>
          <w:rPr>
            <w:rStyle w:val="736"/>
          </w:rPr>
        </w:r>
        <w:r>
          <w:rPr>
            <w:rStyle w:val="736"/>
            <w:rFonts w:hint="eastAsia" w:asciiTheme="minorEastAsia" w:hAnsiTheme="minorEastAsia" w:eastAsiaTheme="minorEastAsia" w:cstheme="minorEastAsia"/>
            <w:b/>
            <w:highlight w:val="none"/>
          </w:rPr>
          <w:t xml:space="preserve">第二部分：采购包1（调查服务）具体内容及需求</w:t>
        </w:r>
        <w:r>
          <w:rPr>
            <w:rStyle w:val="736"/>
          </w:rPr>
        </w:r>
        <w:r>
          <w:tab/>
        </w:r>
        <w:r>
          <w:fldChar w:fldCharType="begin"/>
          <w:instrText xml:space="preserve">PAGEREF _Toc12 \h</w:instrText>
          <w:fldChar w:fldCharType="separate"/>
          <w:t xml:space="preserve">21</w:t>
          <w:fldChar w:fldCharType="end"/>
        </w:r>
      </w:hyperlink>
      <w:r>
        <w:rPr>
          <w:rFonts w:asciiTheme="minorEastAsia" w:hAnsiTheme="minorEastAsia" w:eastAsiaTheme="minorEastAsia" w:cstheme="minorEastAsia"/>
          <w:b/>
          <w:highlight w:val="none"/>
        </w:rPr>
      </w:r>
    </w:p>
    <w:p>
      <w:pPr>
        <w:pStyle w:val="707"/>
        <w:tabs>
          <w:tab w:val="right" w:pos="9070" w:leader="dot"/>
        </w:tabs>
        <w:rPr>
          <w:rFonts w:hint="eastAsia" w:asciiTheme="minorEastAsia" w:hAnsiTheme="minorEastAsia" w:eastAsiaTheme="minorEastAsia" w:cstheme="minorEastAsia"/>
          <w:b/>
          <w:bCs/>
          <w:highlight w:val="none"/>
        </w:rPr>
      </w:pPr>
      <w:hyperlink w:tooltip="#_Toc13" w:anchor="_Toc13" w:history="1">
        <w:r>
          <w:rPr>
            <w:rStyle w:val="736"/>
          </w:rPr>
        </w:r>
        <w:r>
          <w:rPr>
            <w:rStyle w:val="736"/>
            <w:rFonts w:hint="eastAsia" w:asciiTheme="minorEastAsia" w:hAnsiTheme="minorEastAsia" w:eastAsiaTheme="minorEastAsia" w:cstheme="minorEastAsia"/>
            <w:b/>
            <w:bCs/>
            <w:highlight w:val="none"/>
            <w:lang w:val="en-US" w:eastAsia="zh-CN"/>
          </w:rPr>
          <w:t xml:space="preserve">一、调查服务内容</w:t>
        </w:r>
        <w:r>
          <w:rPr>
            <w:rStyle w:val="736"/>
          </w:rPr>
        </w:r>
        <w:r>
          <w:tab/>
        </w:r>
        <w:r>
          <w:fldChar w:fldCharType="begin"/>
          <w:instrText xml:space="preserve">PAGEREF _Toc13 \h</w:instrText>
          <w:fldChar w:fldCharType="separate"/>
          <w:t xml:space="preserve">21</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4" w:anchor="_Toc14" w:history="1">
        <w:r>
          <w:rPr>
            <w:rStyle w:val="736"/>
          </w:rPr>
        </w:r>
        <w:r>
          <w:rPr>
            <w:rStyle w:val="736"/>
            <w:rFonts w:hint="eastAsia" w:asciiTheme="minorEastAsia" w:hAnsiTheme="minorEastAsia" w:eastAsiaTheme="minorEastAsia" w:cstheme="minorEastAsia"/>
            <w:b/>
            <w:bCs/>
            <w:highlight w:val="none"/>
            <w:lang w:val="en-US" w:eastAsia="zh-CN"/>
          </w:rPr>
          <w:t xml:space="preserve">二、本项目调查服务要求</w:t>
        </w:r>
        <w:r>
          <w:rPr>
            <w:rStyle w:val="736"/>
          </w:rPr>
        </w:r>
        <w:r>
          <w:tab/>
        </w:r>
        <w:r>
          <w:fldChar w:fldCharType="begin"/>
          <w:instrText xml:space="preserve">PAGEREF _Toc14 \h</w:instrText>
          <w:fldChar w:fldCharType="separate"/>
          <w:t xml:space="preserve">21</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5" w:anchor="_Toc15" w:history="1">
        <w:r>
          <w:rPr>
            <w:rStyle w:val="736"/>
          </w:rPr>
        </w:r>
        <w:r>
          <w:rPr>
            <w:rStyle w:val="736"/>
            <w:rFonts w:hint="eastAsia" w:asciiTheme="minorEastAsia" w:hAnsiTheme="minorEastAsia" w:eastAsiaTheme="minorEastAsia" w:cstheme="minorEastAsia"/>
            <w:b/>
            <w:bCs/>
            <w:highlight w:val="none"/>
            <w:lang w:val="en-US" w:eastAsia="zh-CN"/>
          </w:rPr>
          <w:t xml:space="preserve">三、实施要求</w:t>
        </w:r>
        <w:r>
          <w:rPr>
            <w:rStyle w:val="736"/>
          </w:rPr>
        </w:r>
        <w:r>
          <w:tab/>
        </w:r>
        <w:r>
          <w:fldChar w:fldCharType="begin"/>
          <w:instrText xml:space="preserve">PAGEREF _Toc15 \h</w:instrText>
          <w:fldChar w:fldCharType="separate"/>
          <w:t xml:space="preserve">23</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6" w:anchor="_Toc16" w:history="1">
        <w:r>
          <w:rPr>
            <w:rStyle w:val="736"/>
          </w:rPr>
        </w:r>
        <w:r>
          <w:rPr>
            <w:rStyle w:val="736"/>
            <w:rFonts w:hint="eastAsia" w:asciiTheme="minorEastAsia" w:hAnsiTheme="minorEastAsia" w:eastAsiaTheme="minorEastAsia" w:cstheme="minorEastAsia"/>
            <w:b/>
            <w:bCs/>
            <w:highlight w:val="none"/>
            <w:lang w:val="en-US" w:eastAsia="zh-CN"/>
          </w:rPr>
          <w:t xml:space="preserve">四、人员配置要求</w:t>
        </w:r>
        <w:r>
          <w:rPr>
            <w:rStyle w:val="736"/>
          </w:rPr>
        </w:r>
        <w:r>
          <w:tab/>
        </w:r>
        <w:r>
          <w:fldChar w:fldCharType="begin"/>
          <w:instrText xml:space="preserve">PAGEREF _Toc16 \h</w:instrText>
          <w:fldChar w:fldCharType="separate"/>
          <w:t xml:space="preserve">24</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7" w:anchor="_Toc17" w:history="1">
        <w:r>
          <w:rPr>
            <w:rStyle w:val="736"/>
          </w:rPr>
        </w:r>
        <w:r>
          <w:rPr>
            <w:rStyle w:val="736"/>
            <w:rFonts w:hint="eastAsia" w:asciiTheme="minorEastAsia" w:hAnsiTheme="minorEastAsia" w:eastAsiaTheme="minorEastAsia" w:cstheme="minorEastAsia"/>
            <w:b/>
            <w:bCs/>
            <w:highlight w:val="none"/>
            <w:lang w:val="en-US" w:eastAsia="zh-CN"/>
          </w:rPr>
          <w:t xml:space="preserve">五、服务要求</w:t>
        </w:r>
        <w:r>
          <w:rPr>
            <w:rStyle w:val="736"/>
          </w:rPr>
        </w:r>
        <w:r>
          <w:tab/>
        </w:r>
        <w:r>
          <w:fldChar w:fldCharType="begin"/>
          <w:instrText xml:space="preserve">PAGEREF _Toc17 \h</w:instrText>
          <w:fldChar w:fldCharType="separate"/>
          <w:t xml:space="preserve">25</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8" w:anchor="_Toc18" w:history="1">
        <w:r>
          <w:rPr>
            <w:rStyle w:val="736"/>
          </w:rPr>
        </w:r>
        <w:r>
          <w:rPr>
            <w:rStyle w:val="736"/>
            <w:rFonts w:hint="eastAsia" w:asciiTheme="minorEastAsia" w:hAnsiTheme="minorEastAsia" w:eastAsiaTheme="minorEastAsia" w:cstheme="minorEastAsia"/>
            <w:b/>
            <w:bCs/>
            <w:highlight w:val="none"/>
            <w:lang w:val="en-US" w:eastAsia="zh-CN"/>
          </w:rPr>
          <w:t xml:space="preserve">六、服务期限</w:t>
        </w:r>
        <w:r>
          <w:rPr>
            <w:rStyle w:val="736"/>
          </w:rPr>
        </w:r>
        <w:r>
          <w:tab/>
        </w:r>
        <w:r>
          <w:fldChar w:fldCharType="begin"/>
          <w:instrText xml:space="preserve">PAGEREF _Toc18 \h</w:instrText>
          <w:fldChar w:fldCharType="separate"/>
          <w:t xml:space="preserve">25</w:t>
          <w:fldChar w:fldCharType="end"/>
        </w:r>
      </w:hyperlink>
      <w:r>
        <w:rPr>
          <w:rFonts w:hint="eastAsia" w:asciiTheme="minorEastAsia" w:hAnsiTheme="minorEastAsia" w:eastAsiaTheme="minorEastAsia" w:cstheme="minorEastAsia"/>
          <w:b/>
          <w:bCs/>
          <w:highlight w:val="none"/>
          <w:lang w:val="en-US" w:eastAsia="zh-CN"/>
        </w:rPr>
      </w:r>
    </w:p>
    <w:p>
      <w:pPr>
        <w:pStyle w:val="707"/>
        <w:tabs>
          <w:tab w:val="right" w:pos="9070" w:leader="dot"/>
        </w:tabs>
        <w:rPr>
          <w:rFonts w:hint="eastAsia" w:asciiTheme="minorEastAsia" w:hAnsiTheme="minorEastAsia" w:eastAsiaTheme="minorEastAsia" w:cstheme="minorEastAsia"/>
          <w:b/>
          <w:bCs/>
          <w:highlight w:val="none"/>
        </w:rPr>
      </w:pPr>
      <w:hyperlink w:tooltip="#_Toc19" w:anchor="_Toc19" w:history="1">
        <w:r>
          <w:rPr>
            <w:rStyle w:val="736"/>
          </w:rPr>
        </w:r>
        <w:r>
          <w:rPr>
            <w:rStyle w:val="736"/>
            <w:rFonts w:hint="eastAsia" w:asciiTheme="minorEastAsia" w:hAnsiTheme="minorEastAsia" w:eastAsiaTheme="minorEastAsia" w:cstheme="minorEastAsia"/>
            <w:b/>
            <w:bCs/>
            <w:highlight w:val="none"/>
            <w:lang w:val="en-US" w:eastAsia="zh-CN"/>
          </w:rPr>
          <w:t xml:space="preserve">七、付款条件</w:t>
        </w:r>
        <w:r>
          <w:rPr>
            <w:rStyle w:val="736"/>
          </w:rPr>
        </w:r>
        <w:r>
          <w:tab/>
        </w:r>
        <w:r>
          <w:fldChar w:fldCharType="begin"/>
          <w:instrText xml:space="preserve">PAGEREF _Toc19 \h</w:instrText>
          <w:fldChar w:fldCharType="separate"/>
          <w:t xml:space="preserve">25</w:t>
          <w:fldChar w:fldCharType="end"/>
        </w:r>
      </w:hyperlink>
      <w:r>
        <w:rPr>
          <w:rFonts w:hint="eastAsia" w:asciiTheme="minorEastAsia" w:hAnsiTheme="minorEastAsia" w:eastAsiaTheme="minorEastAsia" w:cstheme="minorEastAsia"/>
          <w:b/>
          <w:bCs/>
          <w:highlight w:val="none"/>
          <w:lang w:val="en-US" w:eastAsia="zh-CN"/>
        </w:rPr>
      </w:r>
    </w:p>
    <w:p>
      <w:pPr>
        <w:pStyle w:val="722"/>
        <w:tabs>
          <w:tab w:val="right" w:pos="9070" w:leader="dot"/>
        </w:tabs>
        <w:rPr>
          <w:rFonts w:asciiTheme="minorEastAsia" w:hAnsiTheme="minorEastAsia" w:eastAsiaTheme="minorEastAsia" w:cstheme="minorEastAsia"/>
          <w:b/>
          <w:highlight w:val="none"/>
        </w:rPr>
      </w:pPr>
      <w:hyperlink w:tooltip="#_Toc20" w:anchor="_Toc20" w:history="1">
        <w:r>
          <w:rPr>
            <w:rStyle w:val="736"/>
          </w:rPr>
        </w:r>
        <w:r>
          <w:rPr>
            <w:rStyle w:val="736"/>
            <w:rFonts w:hint="eastAsia" w:asciiTheme="minorEastAsia" w:hAnsiTheme="minorEastAsia" w:eastAsiaTheme="minorEastAsia" w:cstheme="minorEastAsia"/>
            <w:b/>
            <w:highlight w:val="none"/>
          </w:rPr>
          <w:t xml:space="preserve">第三部分：采购包2（监理服务）具体内容及需求</w:t>
        </w:r>
        <w:r>
          <w:rPr>
            <w:rStyle w:val="736"/>
          </w:rPr>
        </w:r>
        <w:r>
          <w:tab/>
        </w:r>
        <w:r>
          <w:fldChar w:fldCharType="begin"/>
          <w:instrText xml:space="preserve">PAGEREF _Toc20 \h</w:instrText>
          <w:fldChar w:fldCharType="separate"/>
          <w:t xml:space="preserve">25</w:t>
          <w:fldChar w:fldCharType="end"/>
        </w:r>
      </w:hyperlink>
      <w:r>
        <w:rPr>
          <w:rFonts w:asciiTheme="minorEastAsia" w:hAnsiTheme="minorEastAsia" w:eastAsiaTheme="minorEastAsia" w:cstheme="minorEastAsia"/>
          <w:b/>
          <w:highlight w:val="none"/>
        </w:rPr>
      </w:r>
    </w:p>
    <w:p>
      <w:pPr>
        <w:pStyle w:val="707"/>
        <w:tabs>
          <w:tab w:val="right" w:pos="9070" w:leader="dot"/>
        </w:tabs>
        <w:rPr>
          <w:b/>
          <w:highlight w:val="none"/>
        </w:rPr>
      </w:pPr>
      <w:hyperlink w:tooltip="#_Toc21" w:anchor="_Toc21" w:history="1">
        <w:r>
          <w:rPr>
            <w:rStyle w:val="736"/>
          </w:rPr>
        </w:r>
        <w:r>
          <w:rPr>
            <w:rStyle w:val="736"/>
            <w:rFonts w:hint="eastAsia" w:ascii="宋体" w:hAnsi="宋体" w:cs="宋体"/>
            <w:b/>
            <w:bCs/>
            <w:highlight w:val="none"/>
          </w:rPr>
          <w:t xml:space="preserve">一、监理服务工作内容</w:t>
        </w:r>
        <w:r>
          <w:rPr>
            <w:rStyle w:val="736"/>
          </w:rPr>
        </w:r>
        <w:r>
          <w:tab/>
        </w:r>
        <w:r>
          <w:fldChar w:fldCharType="begin"/>
          <w:instrText xml:space="preserve">PAGEREF _Toc21 \h</w:instrText>
          <w:fldChar w:fldCharType="separate"/>
          <w:t xml:space="preserve">25</w:t>
          <w:fldChar w:fldCharType="end"/>
        </w:r>
      </w:hyperlink>
      <w:r>
        <w:rPr>
          <w:b/>
          <w:highlight w:val="none"/>
        </w:rPr>
      </w:r>
    </w:p>
    <w:p>
      <w:pPr>
        <w:pStyle w:val="707"/>
        <w:tabs>
          <w:tab w:val="right" w:pos="9070" w:leader="dot"/>
        </w:tabs>
        <w:rPr>
          <w:rFonts w:asciiTheme="minorEastAsia" w:hAnsiTheme="minorEastAsia" w:eastAsiaTheme="minorEastAsia" w:cstheme="minorEastAsia"/>
          <w:b/>
          <w:highlight w:val="none"/>
        </w:rPr>
      </w:pPr>
      <w:hyperlink w:tooltip="#_Toc22" w:anchor="_Toc22" w:history="1">
        <w:r>
          <w:rPr>
            <w:rStyle w:val="736"/>
          </w:rPr>
        </w:r>
        <w:r>
          <w:rPr>
            <w:rStyle w:val="736"/>
            <w:rFonts w:hint="eastAsia" w:asciiTheme="minorEastAsia" w:hAnsiTheme="minorEastAsia" w:eastAsiaTheme="minorEastAsia" w:cstheme="minorEastAsia"/>
            <w:b/>
            <w:highlight w:val="none"/>
          </w:rPr>
          <w:t xml:space="preserve">二、监理服务要求</w:t>
        </w:r>
        <w:r>
          <w:rPr>
            <w:rStyle w:val="736"/>
          </w:rPr>
        </w:r>
        <w:r>
          <w:tab/>
        </w:r>
        <w:r>
          <w:fldChar w:fldCharType="begin"/>
          <w:instrText xml:space="preserve">PAGEREF _Toc22 \h</w:instrText>
          <w:fldChar w:fldCharType="separate"/>
          <w:t xml:space="preserve">25</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highlight w:val="none"/>
        </w:rPr>
      </w:pPr>
      <w:hyperlink w:tooltip="#_Toc23" w:anchor="_Toc23" w:history="1">
        <w:r>
          <w:rPr>
            <w:rStyle w:val="736"/>
          </w:rPr>
        </w:r>
        <w:r>
          <w:rPr>
            <w:rStyle w:val="736"/>
            <w:rFonts w:hint="eastAsia" w:asciiTheme="minorEastAsia" w:hAnsiTheme="minorEastAsia" w:eastAsiaTheme="minorEastAsia" w:cstheme="minorEastAsia"/>
            <w:b/>
            <w:highlight w:val="none"/>
          </w:rPr>
          <w:t xml:space="preserve">三、人员配置要求</w:t>
        </w:r>
        <w:r>
          <w:rPr>
            <w:rStyle w:val="736"/>
          </w:rPr>
        </w:r>
        <w:r>
          <w:tab/>
        </w:r>
        <w:r>
          <w:fldChar w:fldCharType="begin"/>
          <w:instrText xml:space="preserve">PAGEREF _Toc23 \h</w:instrText>
          <w:fldChar w:fldCharType="separate"/>
          <w:t xml:space="preserve">26</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highlight w:val="none"/>
        </w:rPr>
      </w:pPr>
      <w:hyperlink w:tooltip="#_Toc24" w:anchor="_Toc24" w:history="1">
        <w:r>
          <w:rPr>
            <w:rStyle w:val="736"/>
          </w:rPr>
        </w:r>
        <w:r>
          <w:rPr>
            <w:rStyle w:val="736"/>
            <w:rFonts w:hint="eastAsia" w:asciiTheme="minorEastAsia" w:hAnsiTheme="minorEastAsia" w:eastAsiaTheme="minorEastAsia" w:cstheme="minorEastAsia"/>
            <w:b/>
            <w:highlight w:val="none"/>
          </w:rPr>
          <w:t xml:space="preserve">四、服务期限</w:t>
        </w:r>
        <w:r>
          <w:rPr>
            <w:rStyle w:val="736"/>
          </w:rPr>
        </w:r>
        <w:r>
          <w:tab/>
        </w:r>
        <w:r>
          <w:fldChar w:fldCharType="begin"/>
          <w:instrText xml:space="preserve">PAGEREF _Toc24 \h</w:instrText>
          <w:fldChar w:fldCharType="separate"/>
          <w:t xml:space="preserve">26</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highlight w:val="none"/>
        </w:rPr>
      </w:pPr>
      <w:hyperlink w:tooltip="#_Toc25" w:anchor="_Toc25" w:history="1">
        <w:r>
          <w:rPr>
            <w:rStyle w:val="736"/>
          </w:rPr>
        </w:r>
        <w:r>
          <w:rPr>
            <w:rStyle w:val="736"/>
            <w:rFonts w:hint="eastAsia" w:asciiTheme="minorEastAsia" w:hAnsiTheme="minorEastAsia" w:eastAsiaTheme="minorEastAsia" w:cstheme="minorEastAsia"/>
            <w:b/>
            <w:highlight w:val="none"/>
          </w:rPr>
          <w:t xml:space="preserve">五、付款条件</w:t>
        </w:r>
        <w:r>
          <w:rPr>
            <w:rStyle w:val="736"/>
          </w:rPr>
        </w:r>
        <w:r>
          <w:tab/>
        </w:r>
        <w:r>
          <w:fldChar w:fldCharType="begin"/>
          <w:instrText xml:space="preserve">PAGEREF _Toc25 \h</w:instrText>
          <w:fldChar w:fldCharType="separate"/>
          <w:t xml:space="preserve">26</w:t>
          <w:fldChar w:fldCharType="end"/>
        </w:r>
      </w:hyperlink>
      <w:r>
        <w:rPr>
          <w:rFonts w:asciiTheme="minorEastAsia" w:hAnsiTheme="minorEastAsia" w:eastAsiaTheme="minorEastAsia" w:cstheme="minorEastAsia"/>
          <w:b/>
          <w:highlight w:val="none"/>
        </w:rPr>
      </w:r>
    </w:p>
    <w:p>
      <w:pPr>
        <w:pStyle w:val="716"/>
        <w:tabs>
          <w:tab w:val="right" w:pos="9070" w:leader="dot"/>
        </w:tabs>
        <w:rPr>
          <w:rFonts w:asciiTheme="minorEastAsia" w:hAnsiTheme="minorEastAsia" w:eastAsiaTheme="minorEastAsia" w:cstheme="minorEastAsia"/>
          <w:b/>
          <w:highlight w:val="none"/>
        </w:rPr>
      </w:pPr>
      <w:hyperlink w:tooltip="#_Toc26" w:anchor="_Toc26" w:history="1">
        <w:r>
          <w:rPr>
            <w:rStyle w:val="736"/>
          </w:rPr>
        </w:r>
        <w:r>
          <w:rPr>
            <w:rStyle w:val="736"/>
            <w:rFonts w:hint="eastAsia" w:asciiTheme="minorEastAsia" w:hAnsiTheme="minorEastAsia" w:eastAsiaTheme="minorEastAsia" w:cstheme="minorEastAsia"/>
            <w:b/>
            <w:highlight w:val="none"/>
          </w:rPr>
          <w:t xml:space="preserve">第五章 政府采购合同格式</w:t>
        </w:r>
        <w:r>
          <w:rPr>
            <w:rStyle w:val="736"/>
          </w:rPr>
        </w:r>
        <w:r>
          <w:tab/>
        </w:r>
        <w:r>
          <w:fldChar w:fldCharType="begin"/>
          <w:instrText xml:space="preserve">PAGEREF _Toc26 \h</w:instrText>
          <w:fldChar w:fldCharType="separate"/>
          <w:t xml:space="preserve">28</w:t>
          <w:fldChar w:fldCharType="end"/>
        </w:r>
      </w:hyperlink>
      <w:r>
        <w:rPr>
          <w:rFonts w:asciiTheme="minorEastAsia" w:hAnsiTheme="minorEastAsia" w:eastAsiaTheme="minorEastAsia" w:cstheme="minorEastAsia"/>
          <w:b/>
          <w:highlight w:val="none"/>
        </w:rPr>
      </w:r>
    </w:p>
    <w:p>
      <w:pPr>
        <w:pStyle w:val="722"/>
        <w:tabs>
          <w:tab w:val="right" w:pos="9070" w:leader="dot"/>
        </w:tabs>
        <w:rPr>
          <w:rFonts w:asciiTheme="minorEastAsia" w:hAnsiTheme="minorEastAsia" w:eastAsiaTheme="minorEastAsia" w:cstheme="minorEastAsia"/>
          <w:b/>
          <w:bCs/>
          <w:highlight w:val="none"/>
        </w:rPr>
      </w:pPr>
      <w:hyperlink w:tooltip="#_Toc27" w:anchor="_Toc27" w:history="1">
        <w:r>
          <w:rPr>
            <w:rStyle w:val="736"/>
          </w:rPr>
        </w:r>
        <w:r>
          <w:rPr>
            <w:rStyle w:val="736"/>
            <w:rFonts w:hint="eastAsia" w:asciiTheme="minorEastAsia" w:hAnsiTheme="minorEastAsia" w:eastAsiaTheme="minorEastAsia" w:cstheme="minorEastAsia"/>
            <w:b/>
            <w:bCs/>
            <w:highlight w:val="none"/>
            <w:lang w:val="zh-CN"/>
          </w:rPr>
          <w:t xml:space="preserve">采购包1</w:t>
        </w:r>
        <w:r>
          <w:rPr>
            <w:rStyle w:val="736"/>
            <w:rFonts w:hint="eastAsia" w:asciiTheme="minorEastAsia" w:hAnsiTheme="minorEastAsia" w:eastAsiaTheme="minorEastAsia" w:cstheme="minorEastAsia"/>
            <w:b/>
            <w:bCs/>
            <w:highlight w:val="none"/>
          </w:rPr>
          <w:t xml:space="preserve">：调查服务</w:t>
        </w:r>
        <w:r>
          <w:rPr>
            <w:rStyle w:val="736"/>
          </w:rPr>
        </w:r>
        <w:r>
          <w:tab/>
        </w:r>
        <w:r>
          <w:fldChar w:fldCharType="begin"/>
          <w:instrText xml:space="preserve">PAGEREF _Toc27 \h</w:instrText>
          <w:fldChar w:fldCharType="separate"/>
          <w:t xml:space="preserve">28</w:t>
          <w:fldChar w:fldCharType="end"/>
        </w:r>
      </w:hyperlink>
      <w:r>
        <w:rPr>
          <w:rFonts w:asciiTheme="minorEastAsia" w:hAnsiTheme="minorEastAsia" w:eastAsiaTheme="minorEastAsia" w:cstheme="minorEastAsia"/>
          <w:b/>
          <w:bCs/>
          <w:highlight w:val="none"/>
        </w:rPr>
      </w:r>
    </w:p>
    <w:p>
      <w:pPr>
        <w:pStyle w:val="722"/>
        <w:tabs>
          <w:tab w:val="right" w:pos="9070" w:leader="dot"/>
        </w:tabs>
        <w:rPr>
          <w:rFonts w:asciiTheme="minorEastAsia" w:hAnsiTheme="minorEastAsia" w:eastAsiaTheme="minorEastAsia" w:cstheme="minorEastAsia"/>
          <w:b/>
          <w:bCs/>
          <w:highlight w:val="none"/>
        </w:rPr>
      </w:pPr>
      <w:hyperlink w:tooltip="#_Toc28" w:anchor="_Toc28" w:history="1">
        <w:r>
          <w:rPr>
            <w:rStyle w:val="736"/>
          </w:rPr>
        </w:r>
        <w:r>
          <w:rPr>
            <w:rStyle w:val="736"/>
            <w:rFonts w:hint="eastAsia" w:asciiTheme="minorEastAsia" w:hAnsiTheme="minorEastAsia" w:eastAsiaTheme="minorEastAsia" w:cstheme="minorEastAsia"/>
            <w:b/>
            <w:bCs/>
            <w:highlight w:val="none"/>
            <w:lang w:val="zh-CN"/>
          </w:rPr>
          <w:t xml:space="preserve">采购包</w:t>
        </w:r>
        <w:r>
          <w:rPr>
            <w:rStyle w:val="736"/>
            <w:rFonts w:hint="eastAsia" w:asciiTheme="minorEastAsia" w:hAnsiTheme="minorEastAsia" w:eastAsiaTheme="minorEastAsia" w:cstheme="minorEastAsia"/>
            <w:b/>
            <w:bCs/>
            <w:highlight w:val="none"/>
          </w:rPr>
          <w:t xml:space="preserve">2：监理服务</w:t>
        </w:r>
        <w:r>
          <w:rPr>
            <w:rStyle w:val="736"/>
          </w:rPr>
        </w:r>
        <w:r>
          <w:tab/>
        </w:r>
        <w:r>
          <w:fldChar w:fldCharType="begin"/>
          <w:instrText xml:space="preserve">PAGEREF _Toc28 \h</w:instrText>
          <w:fldChar w:fldCharType="separate"/>
          <w:t xml:space="preserve">35</w:t>
          <w:fldChar w:fldCharType="end"/>
        </w:r>
      </w:hyperlink>
      <w:r>
        <w:rPr>
          <w:rFonts w:asciiTheme="minorEastAsia" w:hAnsiTheme="minorEastAsia" w:eastAsiaTheme="minorEastAsia" w:cstheme="minorEastAsia"/>
          <w:b/>
          <w:bCs/>
          <w:highlight w:val="none"/>
        </w:rPr>
      </w:r>
    </w:p>
    <w:p>
      <w:pPr>
        <w:pStyle w:val="716"/>
        <w:tabs>
          <w:tab w:val="right" w:pos="9070" w:leader="dot"/>
        </w:tabs>
        <w:rPr>
          <w:rFonts w:asciiTheme="minorEastAsia" w:hAnsiTheme="minorEastAsia" w:eastAsiaTheme="minorEastAsia" w:cstheme="minorEastAsia"/>
          <w:highlight w:val="none"/>
        </w:rPr>
      </w:pPr>
      <w:hyperlink w:tooltip="#_Toc29" w:anchor="_Toc29" w:history="1">
        <w:r>
          <w:rPr>
            <w:rStyle w:val="736"/>
          </w:rPr>
        </w:r>
        <w:r>
          <w:rPr>
            <w:rStyle w:val="736"/>
            <w:rFonts w:hint="eastAsia" w:asciiTheme="minorEastAsia" w:hAnsiTheme="minorEastAsia" w:eastAsiaTheme="minorEastAsia" w:cstheme="minorEastAsia"/>
            <w:highlight w:val="none"/>
            <w:lang w:val="zh-CN"/>
          </w:rPr>
          <w:t xml:space="preserve">第六章 </w:t>
        </w:r>
        <w:r>
          <w:rPr>
            <w:rStyle w:val="736"/>
            <w:rFonts w:hint="eastAsia" w:asciiTheme="minorEastAsia" w:hAnsiTheme="minorEastAsia" w:eastAsiaTheme="minorEastAsia" w:cstheme="minorEastAsia"/>
            <w:highlight w:val="none"/>
          </w:rPr>
          <w:t xml:space="preserve">投标书</w:t>
        </w:r>
        <w:r>
          <w:rPr>
            <w:rStyle w:val="736"/>
          </w:rPr>
        </w:r>
        <w:r>
          <w:tab/>
        </w:r>
        <w:r>
          <w:fldChar w:fldCharType="begin"/>
          <w:instrText xml:space="preserve">PAGEREF _Toc29 \h</w:instrText>
          <w:fldChar w:fldCharType="separate"/>
          <w:t xml:space="preserve">41</w:t>
          <w:fldChar w:fldCharType="end"/>
        </w:r>
      </w:hyperlink>
      <w:r>
        <w:rPr>
          <w:rFonts w:asciiTheme="minorEastAsia" w:hAnsiTheme="minorEastAsia" w:eastAsiaTheme="minorEastAsia" w:cstheme="minorEastAsia"/>
          <w:highlight w:val="none"/>
          <w:lang w:val="zh-CN"/>
        </w:rPr>
      </w:r>
    </w:p>
    <w:p>
      <w:pPr>
        <w:pStyle w:val="722"/>
        <w:tabs>
          <w:tab w:val="right" w:pos="9070" w:leader="dot"/>
        </w:tabs>
        <w:rPr>
          <w:rFonts w:asciiTheme="minorEastAsia" w:hAnsiTheme="minorEastAsia" w:eastAsiaTheme="minorEastAsia" w:cstheme="minorEastAsia"/>
          <w:b/>
          <w:highlight w:val="none"/>
        </w:rPr>
      </w:pPr>
      <w:hyperlink w:tooltip="#_Toc30" w:anchor="_Toc30" w:history="1">
        <w:r>
          <w:rPr>
            <w:rStyle w:val="736"/>
          </w:rPr>
        </w:r>
        <w:r>
          <w:rPr>
            <w:rStyle w:val="736"/>
            <w:rFonts w:hint="eastAsia" w:asciiTheme="minorEastAsia" w:hAnsiTheme="minorEastAsia" w:eastAsiaTheme="minorEastAsia" w:cstheme="minorEastAsia"/>
            <w:b/>
            <w:highlight w:val="none"/>
          </w:rPr>
          <w:t xml:space="preserve">商务部分</w:t>
        </w:r>
        <w:r>
          <w:rPr>
            <w:rStyle w:val="736"/>
          </w:rPr>
        </w:r>
        <w:r>
          <w:tab/>
        </w:r>
        <w:r>
          <w:fldChar w:fldCharType="begin"/>
          <w:instrText xml:space="preserve">PAGEREF _Toc30 \h</w:instrText>
          <w:fldChar w:fldCharType="separate"/>
          <w:t xml:space="preserve">42</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bCs/>
          <w:highlight w:val="none"/>
        </w:rPr>
      </w:pPr>
      <w:hyperlink w:tooltip="#_Toc31" w:anchor="_Toc31" w:history="1">
        <w:r>
          <w:rPr>
            <w:rStyle w:val="736"/>
          </w:rPr>
        </w:r>
        <w:r>
          <w:rPr>
            <w:rStyle w:val="736"/>
            <w:rFonts w:hint="eastAsia" w:asciiTheme="minorEastAsia" w:hAnsiTheme="minorEastAsia" w:eastAsiaTheme="minorEastAsia" w:cstheme="minorEastAsia"/>
            <w:b/>
            <w:bCs/>
            <w:highlight w:val="none"/>
            <w:lang w:val="zh-CN"/>
          </w:rPr>
          <w:t xml:space="preserve">一、投标申请及声明格式</w:t>
        </w:r>
        <w:r>
          <w:rPr>
            <w:rStyle w:val="736"/>
          </w:rPr>
        </w:r>
        <w:r>
          <w:tab/>
        </w:r>
        <w:r>
          <w:fldChar w:fldCharType="begin"/>
          <w:instrText xml:space="preserve">PAGEREF _Toc31 \h</w:instrText>
          <w:fldChar w:fldCharType="separate"/>
          <w:t xml:space="preserve">42</w:t>
          <w:fldChar w:fldCharType="end"/>
        </w:r>
      </w:hyperlink>
      <w:r>
        <w:rPr>
          <w:rFonts w:asciiTheme="minorEastAsia" w:hAnsiTheme="minorEastAsia" w:eastAsiaTheme="minorEastAsia" w:cstheme="minorEastAsia"/>
          <w:b/>
          <w:bCs/>
          <w:highlight w:val="none"/>
          <w:lang w:val="zh-CN"/>
        </w:rPr>
      </w:r>
    </w:p>
    <w:p>
      <w:pPr>
        <w:pStyle w:val="707"/>
        <w:tabs>
          <w:tab w:val="right" w:pos="9070" w:leader="dot"/>
        </w:tabs>
        <w:rPr>
          <w:rFonts w:asciiTheme="minorEastAsia" w:hAnsiTheme="minorEastAsia" w:eastAsiaTheme="minorEastAsia" w:cstheme="minorEastAsia"/>
          <w:b/>
          <w:bCs/>
          <w:highlight w:val="none"/>
        </w:rPr>
      </w:pPr>
      <w:hyperlink w:tooltip="#_Toc32" w:anchor="_Toc32" w:history="1">
        <w:r>
          <w:rPr>
            <w:rStyle w:val="736"/>
          </w:rPr>
        </w:r>
        <w:r>
          <w:rPr>
            <w:rStyle w:val="736"/>
            <w:rFonts w:hint="eastAsia" w:asciiTheme="minorEastAsia" w:hAnsiTheme="minorEastAsia" w:eastAsiaTheme="minorEastAsia" w:cstheme="minorEastAsia"/>
            <w:b/>
            <w:bCs/>
            <w:highlight w:val="none"/>
          </w:rPr>
          <w:t xml:space="preserve">二、</w:t>
        </w:r>
        <w:r>
          <w:rPr>
            <w:rStyle w:val="736"/>
            <w:rFonts w:hint="eastAsia" w:asciiTheme="minorEastAsia" w:hAnsiTheme="minorEastAsia" w:eastAsiaTheme="minorEastAsia" w:cstheme="minorEastAsia"/>
            <w:b/>
            <w:bCs/>
            <w:highlight w:val="none"/>
          </w:rPr>
          <w:t xml:space="preserve">南京市政府采购供应商信用记录表暨信用承诺书</w:t>
        </w:r>
        <w:r>
          <w:rPr>
            <w:rStyle w:val="736"/>
          </w:rPr>
        </w:r>
        <w:r>
          <w:tab/>
        </w:r>
        <w:r>
          <w:fldChar w:fldCharType="begin"/>
          <w:instrText xml:space="preserve">PAGEREF _Toc32 \h</w:instrText>
          <w:fldChar w:fldCharType="separate"/>
          <w:t xml:space="preserve">43</w:t>
          <w:fldChar w:fldCharType="end"/>
        </w:r>
      </w:hyperlink>
      <w:r>
        <w:rPr>
          <w:rFonts w:asciiTheme="minorEastAsia" w:hAnsiTheme="minorEastAsia" w:eastAsiaTheme="minorEastAsia" w:cstheme="minorEastAsia"/>
          <w:b/>
          <w:bCs/>
          <w:highlight w:val="none"/>
        </w:rPr>
      </w:r>
    </w:p>
    <w:p>
      <w:pPr>
        <w:pStyle w:val="707"/>
        <w:tabs>
          <w:tab w:val="right" w:pos="9070" w:leader="dot"/>
        </w:tabs>
        <w:rPr>
          <w:rFonts w:asciiTheme="minorEastAsia" w:hAnsiTheme="minorEastAsia" w:eastAsiaTheme="minorEastAsia" w:cstheme="minorEastAsia"/>
          <w:b/>
          <w:bCs/>
          <w:highlight w:val="none"/>
        </w:rPr>
      </w:pPr>
      <w:hyperlink w:tooltip="#_Toc33" w:anchor="_Toc33" w:history="1">
        <w:r>
          <w:rPr>
            <w:rStyle w:val="736"/>
          </w:rPr>
        </w:r>
        <w:r>
          <w:rPr>
            <w:rStyle w:val="736"/>
            <w:rFonts w:hint="eastAsia" w:asciiTheme="minorEastAsia" w:hAnsiTheme="minorEastAsia" w:eastAsiaTheme="minorEastAsia" w:cstheme="minorEastAsia"/>
            <w:b/>
            <w:bCs/>
            <w:highlight w:val="none"/>
          </w:rPr>
          <w:t xml:space="preserve">三、</w:t>
        </w:r>
        <w:r>
          <w:rPr>
            <w:rStyle w:val="736"/>
            <w:rFonts w:hint="eastAsia" w:asciiTheme="minorEastAsia" w:hAnsiTheme="minorEastAsia" w:eastAsiaTheme="minorEastAsia" w:cstheme="minorEastAsia"/>
            <w:b/>
            <w:highlight w:val="none"/>
          </w:rPr>
          <w:t xml:space="preserve">企业业绩</w:t>
        </w:r>
        <w:r>
          <w:rPr>
            <w:rStyle w:val="736"/>
          </w:rPr>
        </w:r>
        <w:r>
          <w:tab/>
        </w:r>
        <w:r>
          <w:fldChar w:fldCharType="begin"/>
          <w:instrText xml:space="preserve">PAGEREF _Toc33 \h</w:instrText>
          <w:fldChar w:fldCharType="separate"/>
          <w:t xml:space="preserve">44</w:t>
          <w:fldChar w:fldCharType="end"/>
        </w:r>
      </w:hyperlink>
      <w:r>
        <w:rPr>
          <w:rFonts w:asciiTheme="minorEastAsia" w:hAnsiTheme="minorEastAsia" w:eastAsiaTheme="minorEastAsia" w:cstheme="minorEastAsia"/>
          <w:b/>
          <w:bCs/>
          <w:highlight w:val="none"/>
          <w:lang w:val="zh-CN"/>
        </w:rPr>
      </w:r>
    </w:p>
    <w:p>
      <w:pPr>
        <w:pStyle w:val="707"/>
        <w:tabs>
          <w:tab w:val="right" w:pos="9070" w:leader="dot"/>
        </w:tabs>
        <w:rPr>
          <w:rFonts w:ascii="宋体" w:hAnsi="宋体" w:cs="宋体"/>
          <w:b/>
          <w:bCs/>
          <w:highlight w:val="none"/>
        </w:rPr>
      </w:pPr>
      <w:hyperlink w:tooltip="#_Toc34" w:anchor="_Toc34" w:history="1">
        <w:r>
          <w:rPr>
            <w:rStyle w:val="736"/>
          </w:rPr>
        </w:r>
        <w:r>
          <w:rPr>
            <w:rStyle w:val="736"/>
            <w:rFonts w:hint="eastAsia" w:asciiTheme="minorEastAsia" w:hAnsiTheme="minorEastAsia" w:eastAsiaTheme="minorEastAsia" w:cstheme="minorEastAsia"/>
            <w:b/>
            <w:bCs/>
            <w:highlight w:val="none"/>
          </w:rPr>
          <w:t xml:space="preserve">四、</w:t>
        </w:r>
        <w:r>
          <w:rPr>
            <w:rStyle w:val="736"/>
            <w:rFonts w:hint="eastAsia" w:ascii="宋体" w:hAnsi="宋体" w:cs="宋体"/>
            <w:b/>
            <w:bCs/>
            <w:highlight w:val="none"/>
          </w:rPr>
          <w:t xml:space="preserve">项目组成人员一览表</w:t>
        </w:r>
        <w:r>
          <w:rPr>
            <w:rStyle w:val="736"/>
          </w:rPr>
        </w:r>
        <w:r>
          <w:tab/>
        </w:r>
        <w:r>
          <w:fldChar w:fldCharType="begin"/>
          <w:instrText xml:space="preserve">PAGEREF _Toc34 \h</w:instrText>
          <w:fldChar w:fldCharType="separate"/>
          <w:t xml:space="preserve">44</w:t>
          <w:fldChar w:fldCharType="end"/>
        </w:r>
      </w:hyperlink>
      <w:r>
        <w:rPr>
          <w:rFonts w:ascii="宋体" w:hAnsi="宋体" w:cs="宋体"/>
          <w:b/>
          <w:bCs/>
          <w:highlight w:val="none"/>
        </w:rPr>
      </w:r>
    </w:p>
    <w:p>
      <w:pPr>
        <w:pStyle w:val="707"/>
        <w:tabs>
          <w:tab w:val="right" w:pos="9070" w:leader="dot"/>
        </w:tabs>
        <w:rPr>
          <w:rFonts w:asciiTheme="minorEastAsia" w:hAnsiTheme="minorEastAsia" w:eastAsiaTheme="minorEastAsia" w:cstheme="minorEastAsia"/>
          <w:b/>
          <w:bCs/>
          <w:highlight w:val="none"/>
        </w:rPr>
      </w:pPr>
      <w:hyperlink w:tooltip="#_Toc35" w:anchor="_Toc35" w:history="1">
        <w:r>
          <w:rPr>
            <w:rStyle w:val="736"/>
          </w:rPr>
        </w:r>
        <w:r>
          <w:rPr>
            <w:rStyle w:val="736"/>
            <w:rFonts w:hint="eastAsia" w:asciiTheme="minorEastAsia" w:hAnsiTheme="minorEastAsia" w:eastAsiaTheme="minorEastAsia" w:cstheme="minorEastAsia"/>
            <w:b/>
            <w:bCs/>
            <w:highlight w:val="none"/>
          </w:rPr>
          <w:t xml:space="preserve">五、供应商认为需要</w:t>
        </w:r>
        <w:r>
          <w:rPr>
            <w:rStyle w:val="736"/>
            <w:rFonts w:hint="eastAsia" w:asciiTheme="minorEastAsia" w:hAnsiTheme="minorEastAsia" w:eastAsiaTheme="minorEastAsia" w:cstheme="minorEastAsia"/>
            <w:b/>
            <w:bCs/>
            <w:highlight w:val="none"/>
            <w:lang w:val="zh-CN"/>
          </w:rPr>
          <w:t xml:space="preserve">提供的其他资格证明文件和商务资料</w:t>
        </w:r>
        <w:r>
          <w:rPr>
            <w:rStyle w:val="736"/>
          </w:rPr>
        </w:r>
        <w:r>
          <w:tab/>
        </w:r>
        <w:r>
          <w:fldChar w:fldCharType="begin"/>
          <w:instrText xml:space="preserve">PAGEREF _Toc35 \h</w:instrText>
          <w:fldChar w:fldCharType="separate"/>
          <w:t xml:space="preserve">44</w:t>
          <w:fldChar w:fldCharType="end"/>
        </w:r>
      </w:hyperlink>
      <w:r>
        <w:rPr>
          <w:rFonts w:asciiTheme="minorEastAsia" w:hAnsiTheme="minorEastAsia" w:eastAsiaTheme="minorEastAsia" w:cstheme="minorEastAsia"/>
          <w:b/>
          <w:bCs/>
          <w:highlight w:val="none"/>
        </w:rPr>
      </w:r>
    </w:p>
    <w:p>
      <w:pPr>
        <w:pStyle w:val="722"/>
        <w:tabs>
          <w:tab w:val="right" w:pos="9070" w:leader="dot"/>
        </w:tabs>
        <w:rPr>
          <w:rFonts w:asciiTheme="minorEastAsia" w:hAnsiTheme="minorEastAsia" w:eastAsiaTheme="minorEastAsia" w:cstheme="minorEastAsia"/>
          <w:b/>
          <w:highlight w:val="none"/>
        </w:rPr>
      </w:pPr>
      <w:hyperlink w:tooltip="#_Toc36" w:anchor="_Toc36" w:history="1">
        <w:r>
          <w:rPr>
            <w:rStyle w:val="736"/>
          </w:rPr>
        </w:r>
        <w:r>
          <w:rPr>
            <w:rStyle w:val="736"/>
            <w:rFonts w:hint="eastAsia" w:asciiTheme="minorEastAsia" w:hAnsiTheme="minorEastAsia" w:eastAsiaTheme="minorEastAsia" w:cstheme="minorEastAsia"/>
            <w:b/>
            <w:highlight w:val="none"/>
          </w:rPr>
          <w:t xml:space="preserve">价格部分</w:t>
        </w:r>
        <w:r>
          <w:rPr>
            <w:rStyle w:val="736"/>
          </w:rPr>
        </w:r>
        <w:r>
          <w:tab/>
        </w:r>
        <w:r>
          <w:fldChar w:fldCharType="begin"/>
          <w:instrText xml:space="preserve">PAGEREF _Toc36 \h</w:instrText>
          <w:fldChar w:fldCharType="separate"/>
          <w:t xml:space="preserve">45</w:t>
          <w:fldChar w:fldCharType="end"/>
        </w:r>
      </w:hyperlink>
      <w:r>
        <w:rPr>
          <w:rFonts w:asciiTheme="minorEastAsia" w:hAnsiTheme="minorEastAsia" w:eastAsiaTheme="minorEastAsia" w:cstheme="minorEastAsia"/>
          <w:b/>
          <w:highlight w:val="none"/>
        </w:rPr>
      </w:r>
    </w:p>
    <w:p>
      <w:pPr>
        <w:pStyle w:val="707"/>
        <w:tabs>
          <w:tab w:val="right" w:pos="9070" w:leader="dot"/>
        </w:tabs>
        <w:rPr>
          <w:rFonts w:asciiTheme="minorEastAsia" w:hAnsiTheme="minorEastAsia" w:eastAsiaTheme="minorEastAsia" w:cstheme="minorEastAsia"/>
          <w:b/>
          <w:highlight w:val="none"/>
        </w:rPr>
      </w:pPr>
      <w:hyperlink w:tooltip="#_Toc37" w:anchor="_Toc37" w:history="1">
        <w:r>
          <w:rPr>
            <w:rStyle w:val="736"/>
          </w:rPr>
        </w:r>
        <w:r>
          <w:rPr>
            <w:rStyle w:val="736"/>
            <w:rFonts w:hint="eastAsia" w:asciiTheme="minorEastAsia" w:hAnsiTheme="minorEastAsia" w:eastAsiaTheme="minorEastAsia" w:cstheme="minorEastAsia"/>
            <w:b/>
            <w:bCs/>
            <w:highlight w:val="none"/>
          </w:rPr>
          <w:t xml:space="preserve">一</w:t>
        </w:r>
        <w:r>
          <w:rPr>
            <w:rStyle w:val="736"/>
            <w:rFonts w:hint="eastAsia" w:asciiTheme="minorEastAsia" w:hAnsiTheme="minorEastAsia" w:eastAsiaTheme="minorEastAsia" w:cstheme="minorEastAsia"/>
            <w:b/>
            <w:bCs/>
            <w:highlight w:val="none"/>
            <w:lang w:val="zh-CN"/>
          </w:rPr>
          <w:t xml:space="preserve">、开标一览表</w:t>
        </w:r>
        <w:r>
          <w:rPr>
            <w:rStyle w:val="736"/>
          </w:rPr>
        </w:r>
        <w:r>
          <w:tab/>
        </w:r>
        <w:r>
          <w:fldChar w:fldCharType="begin"/>
          <w:instrText xml:space="preserve">PAGEREF _Toc37 \h</w:instrText>
          <w:fldChar w:fldCharType="separate"/>
          <w:t xml:space="preserve">45</w:t>
          <w:fldChar w:fldCharType="end"/>
        </w:r>
      </w:hyperlink>
      <w:r>
        <w:rPr>
          <w:rFonts w:asciiTheme="minorEastAsia" w:hAnsiTheme="minorEastAsia" w:eastAsiaTheme="minorEastAsia" w:cstheme="minorEastAsia"/>
          <w:b/>
          <w:highlight w:val="none"/>
          <w:lang w:val="zh-CN"/>
        </w:rPr>
      </w:r>
    </w:p>
    <w:p>
      <w:pPr>
        <w:pStyle w:val="722"/>
        <w:tabs>
          <w:tab w:val="right" w:pos="9070" w:leader="dot"/>
        </w:tabs>
        <w:rPr>
          <w:rFonts w:asciiTheme="minorEastAsia" w:hAnsiTheme="minorEastAsia" w:eastAsiaTheme="minorEastAsia" w:cstheme="minorEastAsia"/>
          <w:b/>
          <w:bCs/>
          <w:highlight w:val="none"/>
        </w:rPr>
      </w:pPr>
      <w:hyperlink w:tooltip="#_Toc38" w:anchor="_Toc38" w:history="1">
        <w:r>
          <w:rPr>
            <w:rStyle w:val="736"/>
          </w:rPr>
        </w:r>
        <w:r>
          <w:rPr>
            <w:rStyle w:val="736"/>
            <w:rFonts w:hint="eastAsia" w:asciiTheme="minorEastAsia" w:hAnsiTheme="minorEastAsia" w:eastAsiaTheme="minorEastAsia" w:cstheme="minorEastAsia"/>
            <w:b/>
            <w:bCs/>
            <w:highlight w:val="none"/>
          </w:rPr>
          <w:t xml:space="preserve">技术部分</w:t>
        </w:r>
        <w:r>
          <w:rPr>
            <w:rStyle w:val="736"/>
          </w:rPr>
        </w:r>
        <w:r>
          <w:tab/>
        </w:r>
        <w:r>
          <w:fldChar w:fldCharType="begin"/>
          <w:instrText xml:space="preserve">PAGEREF _Toc38 \h</w:instrText>
          <w:fldChar w:fldCharType="separate"/>
          <w:t xml:space="preserve">46</w:t>
          <w:fldChar w:fldCharType="end"/>
        </w:r>
      </w:hyperlink>
      <w:r>
        <w:rPr>
          <w:rFonts w:asciiTheme="minorEastAsia" w:hAnsiTheme="minorEastAsia" w:eastAsiaTheme="minorEastAsia" w:cstheme="minorEastAsia"/>
          <w:b/>
          <w:bCs/>
          <w:highlight w:val="none"/>
        </w:rPr>
      </w:r>
    </w:p>
    <w:p>
      <w:pPr>
        <w:pStyle w:val="707"/>
        <w:tabs>
          <w:tab w:val="right" w:pos="9070" w:leader="dot"/>
        </w:tabs>
        <w:rPr>
          <w:rFonts w:asciiTheme="minorEastAsia" w:hAnsiTheme="minorEastAsia" w:eastAsiaTheme="minorEastAsia" w:cstheme="minorEastAsia"/>
          <w:b/>
          <w:bCs/>
          <w:highlight w:val="none"/>
        </w:rPr>
      </w:pPr>
      <w:hyperlink w:tooltip="#_Toc39" w:anchor="_Toc39" w:history="1">
        <w:r>
          <w:rPr>
            <w:rStyle w:val="736"/>
          </w:rPr>
        </w:r>
        <w:r>
          <w:rPr>
            <w:rStyle w:val="736"/>
            <w:rFonts w:hint="eastAsia" w:asciiTheme="minorEastAsia" w:hAnsiTheme="minorEastAsia" w:eastAsiaTheme="minorEastAsia" w:cstheme="minorEastAsia"/>
            <w:b/>
            <w:bCs/>
            <w:highlight w:val="none"/>
          </w:rPr>
          <w:t xml:space="preserve">一、</w:t>
        </w:r>
        <w:r>
          <w:rPr>
            <w:rStyle w:val="736"/>
            <w:rFonts w:hint="eastAsia" w:asciiTheme="minorEastAsia" w:hAnsiTheme="minorEastAsia" w:eastAsiaTheme="minorEastAsia" w:cstheme="minorEastAsia"/>
            <w:b/>
            <w:bCs/>
            <w:highlight w:val="none"/>
            <w:lang w:val="zh-CN"/>
          </w:rPr>
          <w:t xml:space="preserve">项目服务方案（格式自拟）</w:t>
        </w:r>
        <w:r>
          <w:rPr>
            <w:rStyle w:val="736"/>
          </w:rPr>
        </w:r>
        <w:r>
          <w:tab/>
        </w:r>
        <w:r>
          <w:fldChar w:fldCharType="begin"/>
          <w:instrText xml:space="preserve">PAGEREF _Toc39 \h</w:instrText>
          <w:fldChar w:fldCharType="separate"/>
          <w:t xml:space="preserve">46</w:t>
          <w:fldChar w:fldCharType="end"/>
        </w:r>
      </w:hyperlink>
      <w:r>
        <w:rPr>
          <w:rFonts w:asciiTheme="minorEastAsia" w:hAnsiTheme="minorEastAsia" w:eastAsiaTheme="minorEastAsia" w:cstheme="minorEastAsia"/>
          <w:b/>
          <w:bCs/>
          <w:highlight w:val="none"/>
        </w:rPr>
      </w:r>
    </w:p>
    <w:p>
      <w:pPr>
        <w:pStyle w:val="707"/>
        <w:tabs>
          <w:tab w:val="right" w:pos="9070" w:leader="dot"/>
        </w:tabs>
        <w:rPr>
          <w:rFonts w:asciiTheme="minorEastAsia" w:hAnsiTheme="minorEastAsia" w:eastAsiaTheme="minorEastAsia" w:cstheme="minorEastAsia"/>
          <w:b/>
          <w:bCs/>
          <w:highlight w:val="none"/>
        </w:rPr>
      </w:pPr>
      <w:hyperlink w:tooltip="#_Toc40" w:anchor="_Toc40" w:history="1">
        <w:r>
          <w:rPr>
            <w:rStyle w:val="736"/>
          </w:rPr>
        </w:r>
        <w:r>
          <w:rPr>
            <w:rStyle w:val="736"/>
            <w:rFonts w:hint="eastAsia" w:ascii="宋体" w:hAnsi="宋体" w:cs="宋体"/>
            <w:b/>
            <w:bCs/>
            <w:highlight w:val="none"/>
          </w:rPr>
          <w:t xml:space="preserve">二、</w:t>
        </w:r>
        <w:r>
          <w:rPr>
            <w:rStyle w:val="736"/>
            <w:rFonts w:hint="eastAsia" w:asciiTheme="minorEastAsia" w:hAnsiTheme="minorEastAsia" w:eastAsiaTheme="minorEastAsia" w:cstheme="minorEastAsia"/>
            <w:b/>
            <w:bCs/>
            <w:highlight w:val="none"/>
          </w:rPr>
          <w:t xml:space="preserve">质量保证及服务承诺</w:t>
        </w:r>
        <w:r>
          <w:rPr>
            <w:rStyle w:val="736"/>
          </w:rPr>
        </w:r>
        <w:r>
          <w:tab/>
        </w:r>
        <w:r>
          <w:fldChar w:fldCharType="begin"/>
          <w:instrText xml:space="preserve">PAGEREF _Toc40 \h</w:instrText>
          <w:fldChar w:fldCharType="separate"/>
          <w:t xml:space="preserve">46</w:t>
          <w:fldChar w:fldCharType="end"/>
        </w:r>
      </w:hyperlink>
      <w:r>
        <w:rPr>
          <w:rFonts w:asciiTheme="minorEastAsia" w:hAnsiTheme="minorEastAsia" w:eastAsiaTheme="minorEastAsia" w:cstheme="minorEastAsia"/>
          <w:b/>
          <w:bCs/>
          <w:highlight w:val="none"/>
          <w:lang w:val="zh-CN"/>
        </w:rPr>
      </w:r>
    </w:p>
    <w:p>
      <w:pPr>
        <w:pStyle w:val="707"/>
        <w:tabs>
          <w:tab w:val="right" w:pos="9070" w:leader="dot"/>
        </w:tabs>
        <w:rPr>
          <w:rFonts w:asciiTheme="minorEastAsia" w:hAnsiTheme="minorEastAsia" w:eastAsiaTheme="minorEastAsia" w:cstheme="minorEastAsia"/>
          <w:b/>
          <w:bCs/>
          <w:highlight w:val="none"/>
        </w:rPr>
      </w:pPr>
      <w:hyperlink w:tooltip="#_Toc41" w:anchor="_Toc41" w:history="1">
        <w:r>
          <w:rPr>
            <w:rStyle w:val="736"/>
          </w:rPr>
        </w:r>
        <w:r>
          <w:rPr>
            <w:rStyle w:val="736"/>
            <w:rFonts w:hint="eastAsia" w:asciiTheme="minorEastAsia" w:hAnsiTheme="minorEastAsia" w:eastAsiaTheme="minorEastAsia" w:cstheme="minorEastAsia"/>
            <w:b/>
            <w:bCs/>
            <w:highlight w:val="none"/>
          </w:rPr>
          <w:t xml:space="preserve">三、</w:t>
        </w:r>
        <w:r>
          <w:rPr>
            <w:rStyle w:val="736"/>
            <w:rFonts w:hint="eastAsia" w:asciiTheme="minorEastAsia" w:hAnsiTheme="minorEastAsia" w:eastAsiaTheme="minorEastAsia" w:cstheme="minorEastAsia"/>
            <w:b/>
            <w:bCs/>
            <w:highlight w:val="none"/>
            <w:lang w:val="zh-CN"/>
          </w:rPr>
          <w:t xml:space="preserve">供应商认为需要提供的其他技术文件或资料</w:t>
        </w:r>
        <w:r>
          <w:rPr>
            <w:rStyle w:val="736"/>
          </w:rPr>
        </w:r>
        <w:r>
          <w:tab/>
        </w:r>
        <w:r>
          <w:fldChar w:fldCharType="begin"/>
          <w:instrText xml:space="preserve">PAGEREF _Toc41 \h</w:instrText>
          <w:fldChar w:fldCharType="separate"/>
          <w:t xml:space="preserve">46</w:t>
          <w:fldChar w:fldCharType="end"/>
        </w:r>
      </w:hyperlink>
      <w:r>
        <w:rPr>
          <w:rFonts w:asciiTheme="minorEastAsia" w:hAnsiTheme="minorEastAsia" w:eastAsiaTheme="minorEastAsia" w:cstheme="minorEastAsia"/>
          <w:b/>
          <w:bCs/>
          <w:highlight w:val="none"/>
          <w:lang w:val="zh-CN"/>
        </w:rPr>
      </w:r>
    </w:p>
    <w:p>
      <w:pPr>
        <w:pStyle w:val="722"/>
        <w:tabs>
          <w:tab w:val="right" w:pos="9070" w:leader="dot"/>
        </w:tabs>
        <w:rPr>
          <w:rFonts w:asciiTheme="minorEastAsia" w:hAnsiTheme="minorEastAsia" w:eastAsiaTheme="minorEastAsia" w:cstheme="minorEastAsia"/>
          <w:b/>
          <w:highlight w:val="none"/>
        </w:rPr>
      </w:pPr>
      <w:hyperlink w:tooltip="#_Toc42" w:anchor="_Toc42" w:history="1">
        <w:r>
          <w:rPr>
            <w:rStyle w:val="736"/>
          </w:rPr>
        </w:r>
        <w:r>
          <w:rPr>
            <w:rStyle w:val="736"/>
            <w:rFonts w:hint="eastAsia" w:asciiTheme="minorEastAsia" w:hAnsiTheme="minorEastAsia" w:eastAsiaTheme="minorEastAsia" w:cstheme="minorEastAsia"/>
            <w:b/>
            <w:bCs/>
            <w:highlight w:val="none"/>
          </w:rPr>
          <w:t xml:space="preserve">附件一、</w:t>
        </w:r>
        <w:r>
          <w:rPr>
            <w:rStyle w:val="736"/>
            <w:rFonts w:hint="eastAsia" w:asciiTheme="minorEastAsia" w:hAnsiTheme="minorEastAsia" w:eastAsiaTheme="minorEastAsia" w:cstheme="minorEastAsia"/>
            <w:b/>
            <w:highlight w:val="none"/>
          </w:rPr>
          <w:t xml:space="preserve">中小企业声明函格式</w:t>
        </w:r>
        <w:r>
          <w:rPr>
            <w:rStyle w:val="736"/>
          </w:rPr>
        </w:r>
        <w:r>
          <w:tab/>
        </w:r>
        <w:r>
          <w:fldChar w:fldCharType="begin"/>
          <w:instrText xml:space="preserve">PAGEREF _Toc42 \h</w:instrText>
          <w:fldChar w:fldCharType="separate"/>
          <w:t xml:space="preserve">47</w:t>
          <w:fldChar w:fldCharType="end"/>
        </w:r>
      </w:hyperlink>
      <w:r>
        <w:rPr>
          <w:rFonts w:asciiTheme="minorEastAsia" w:hAnsiTheme="minorEastAsia" w:eastAsiaTheme="minorEastAsia" w:cstheme="minorEastAsia"/>
          <w:b/>
          <w:highlight w:val="none"/>
        </w:rPr>
      </w:r>
    </w:p>
    <w:p>
      <w:pPr>
        <w:pStyle w:val="722"/>
        <w:tabs>
          <w:tab w:val="right" w:pos="9070" w:leader="dot"/>
        </w:tabs>
        <w:rPr>
          <w:rFonts w:asciiTheme="minorEastAsia" w:hAnsiTheme="minorEastAsia" w:eastAsiaTheme="minorEastAsia" w:cstheme="minorEastAsia"/>
          <w:b/>
          <w:highlight w:val="none"/>
        </w:rPr>
      </w:pPr>
      <w:hyperlink w:tooltip="#_Toc43" w:anchor="_Toc43" w:history="1">
        <w:r>
          <w:rPr>
            <w:rStyle w:val="736"/>
          </w:rPr>
        </w:r>
        <w:r>
          <w:rPr>
            <w:rStyle w:val="736"/>
            <w:rFonts w:hint="eastAsia" w:asciiTheme="minorEastAsia" w:hAnsiTheme="minorEastAsia" w:eastAsiaTheme="minorEastAsia" w:cstheme="minorEastAsia"/>
            <w:b/>
            <w:bCs/>
            <w:highlight w:val="none"/>
          </w:rPr>
          <w:t xml:space="preserve">附件二、残疾人福利性单位声明函（如有）</w:t>
        </w:r>
        <w:r>
          <w:rPr>
            <w:rStyle w:val="736"/>
          </w:rPr>
        </w:r>
        <w:r>
          <w:tab/>
        </w:r>
        <w:r>
          <w:fldChar w:fldCharType="begin"/>
          <w:instrText xml:space="preserve">PAGEREF _Toc43 \h</w:instrText>
          <w:fldChar w:fldCharType="separate"/>
          <w:t xml:space="preserve">48</w:t>
          <w:fldChar w:fldCharType="end"/>
        </w:r>
      </w:hyperlink>
      <w:r>
        <w:rPr>
          <w:rFonts w:asciiTheme="minorEastAsia" w:hAnsiTheme="minorEastAsia" w:eastAsiaTheme="minorEastAsia" w:cstheme="minorEastAsia"/>
          <w:b/>
          <w:highlight w:val="none"/>
        </w:rPr>
      </w:r>
    </w:p>
    <w:p>
      <w:pPr>
        <w:pStyle w:val="722"/>
        <w:tabs>
          <w:tab w:val="right" w:pos="9070" w:leader="dot"/>
        </w:tabs>
        <w:rPr>
          <w:rFonts w:asciiTheme="minorEastAsia" w:hAnsiTheme="minorEastAsia" w:eastAsiaTheme="minorEastAsia" w:cstheme="minorEastAsia"/>
          <w:b/>
          <w:bCs/>
          <w:highlight w:val="none"/>
        </w:rPr>
      </w:pPr>
      <w:hyperlink w:tooltip="#_Toc44" w:anchor="_Toc44" w:history="1">
        <w:r>
          <w:rPr>
            <w:rStyle w:val="736"/>
          </w:rPr>
        </w:r>
        <w:r>
          <w:rPr>
            <w:rStyle w:val="736"/>
            <w:rFonts w:hint="eastAsia" w:asciiTheme="minorEastAsia" w:hAnsiTheme="minorEastAsia" w:eastAsiaTheme="minorEastAsia" w:cstheme="minorEastAsia"/>
            <w:b/>
            <w:bCs/>
            <w:highlight w:val="none"/>
            <w:lang w:val="zh-CN"/>
          </w:rPr>
          <w:t xml:space="preserve">附件</w:t>
        </w:r>
        <w:r>
          <w:rPr>
            <w:rStyle w:val="736"/>
            <w:rFonts w:hint="eastAsia" w:asciiTheme="minorEastAsia" w:hAnsiTheme="minorEastAsia" w:eastAsiaTheme="minorEastAsia" w:cstheme="minorEastAsia"/>
            <w:b/>
            <w:bCs/>
            <w:highlight w:val="none"/>
          </w:rPr>
          <w:t xml:space="preserve">三</w:t>
        </w:r>
        <w:r>
          <w:rPr>
            <w:rStyle w:val="736"/>
            <w:rFonts w:hint="eastAsia" w:asciiTheme="minorEastAsia" w:hAnsiTheme="minorEastAsia" w:eastAsiaTheme="minorEastAsia" w:cstheme="minorEastAsia"/>
            <w:b/>
            <w:bCs/>
            <w:highlight w:val="none"/>
            <w:lang w:val="zh-CN"/>
          </w:rPr>
          <w:t xml:space="preserve">：具备履行合同所必需的设备和专业技术能力的书面声明</w:t>
        </w:r>
        <w:r>
          <w:rPr>
            <w:rStyle w:val="736"/>
          </w:rPr>
        </w:r>
        <w:r>
          <w:tab/>
        </w:r>
        <w:r>
          <w:fldChar w:fldCharType="begin"/>
          <w:instrText xml:space="preserve">PAGEREF _Toc44 \h</w:instrText>
          <w:fldChar w:fldCharType="separate"/>
          <w:t xml:space="preserve">48</w:t>
          <w:fldChar w:fldCharType="end"/>
        </w:r>
      </w:hyperlink>
      <w:r>
        <w:rPr>
          <w:rFonts w:asciiTheme="minorEastAsia" w:hAnsiTheme="minorEastAsia" w:eastAsiaTheme="minorEastAsia" w:cstheme="minorEastAsia"/>
          <w:b/>
          <w:bCs/>
          <w:highlight w:val="none"/>
          <w:lang w:val="zh-CN"/>
        </w:rPr>
      </w:r>
    </w:p>
    <w:p>
      <w:pPr>
        <w:pStyle w:val="722"/>
        <w:tabs>
          <w:tab w:val="right" w:pos="9070" w:leader="dot"/>
        </w:tabs>
        <w:rPr>
          <w:rFonts w:asciiTheme="minorEastAsia" w:hAnsiTheme="minorEastAsia" w:eastAsiaTheme="minorEastAsia" w:cstheme="minorEastAsia"/>
          <w:b/>
          <w:highlight w:val="none"/>
        </w:rPr>
      </w:pPr>
      <w:hyperlink w:tooltip="#_Toc45" w:anchor="_Toc45" w:history="1">
        <w:r>
          <w:rPr>
            <w:rStyle w:val="736"/>
          </w:rPr>
        </w:r>
        <w:r>
          <w:rPr>
            <w:rStyle w:val="736"/>
            <w:rFonts w:hint="eastAsia" w:asciiTheme="minorEastAsia" w:hAnsiTheme="minorEastAsia" w:eastAsiaTheme="minorEastAsia" w:cstheme="minorEastAsia"/>
            <w:b/>
            <w:highlight w:val="none"/>
          </w:rPr>
          <w:t xml:space="preserve">附件四：无重大违法记录声明格式</w:t>
        </w:r>
        <w:r>
          <w:rPr>
            <w:rStyle w:val="736"/>
          </w:rPr>
        </w:r>
        <w:r>
          <w:tab/>
        </w:r>
        <w:r>
          <w:fldChar w:fldCharType="begin"/>
          <w:instrText xml:space="preserve">PAGEREF _Toc45 \h</w:instrText>
          <w:fldChar w:fldCharType="separate"/>
          <w:t xml:space="preserve">48</w:t>
          <w:fldChar w:fldCharType="end"/>
        </w:r>
      </w:hyperlink>
      <w:r>
        <w:rPr>
          <w:rFonts w:asciiTheme="minorEastAsia" w:hAnsiTheme="minorEastAsia" w:eastAsiaTheme="minorEastAsia" w:cstheme="minorEastAsia"/>
          <w:b/>
          <w:highlight w:val="none"/>
        </w:rPr>
      </w:r>
    </w:p>
    <w:p>
      <w:pPr>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r>
      <w:r>
        <w:rPr>
          <w:rFonts w:hint="eastAsia" w:asciiTheme="minorEastAsia" w:hAnsiTheme="minorEastAsia" w:eastAsiaTheme="minorEastAsia" w:cstheme="minorEastAsia"/>
          <w:color w:val="auto"/>
          <w:szCs w:val="28"/>
          <w:highlight w:val="none"/>
          <w:lang w:val="zh-CN"/>
        </w:rPr>
        <w:fldChar w:fldCharType="end"/>
      </w:r>
      <w:r/>
      <w:r/>
    </w:p>
    <w:p>
      <w:pPr>
        <w:ind w:firstLine="560"/>
        <w:jc w:val="center"/>
        <w:rPr>
          <w:rFonts w:asciiTheme="minorEastAsia" w:hAnsiTheme="minorEastAsia" w:eastAsiaTheme="minorEastAsia" w:cstheme="minorEastAsia"/>
          <w:b/>
          <w:color w:val="auto"/>
          <w:sz w:val="36"/>
          <w:szCs w:val="36"/>
          <w:highlight w:val="none"/>
          <w:lang w:val="zh-CN"/>
        </w:rPr>
        <w:outlineLvl w:val="0"/>
      </w:pPr>
      <w:r/>
      <w:bookmarkStart w:id="663" w:name="_Toc1"/>
      <w:r>
        <w:rPr>
          <w:rFonts w:hint="eastAsia" w:asciiTheme="minorEastAsia" w:hAnsiTheme="minorEastAsia" w:eastAsiaTheme="minorEastAsia" w:cstheme="minorEastAsia"/>
          <w:color w:val="auto"/>
          <w:sz w:val="28"/>
          <w:szCs w:val="28"/>
          <w:highlight w:val="none"/>
          <w:lang w:val="zh-CN"/>
        </w:rPr>
        <w:br w:type="page" w:clear="all"/>
      </w:r>
      <w:r>
        <w:rPr>
          <w:rFonts w:hint="eastAsia" w:asciiTheme="minorEastAsia" w:hAnsiTheme="minorEastAsia" w:eastAsiaTheme="minorEastAsia" w:cstheme="minorEastAsia"/>
          <w:b/>
          <w:color w:val="auto"/>
          <w:sz w:val="36"/>
          <w:szCs w:val="36"/>
          <w:highlight w:val="none"/>
          <w:lang w:val="zh-CN"/>
        </w:rPr>
        <w:t xml:space="preserve">第一章 投标邀请</w:t>
      </w:r>
      <w:r/>
      <w:bookmarkEnd w:id="663"/>
      <w:r/>
      <w:r/>
    </w:p>
    <w:p>
      <w:pPr>
        <w:ind w:firstLine="562"/>
        <w:jc w:val="center"/>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江宁区2026年度国土变更调查（含日常变更调查）</w:t>
      </w:r>
      <w:r/>
      <w:r>
        <w:rPr>
          <w:rFonts w:hint="eastAsia" w:asciiTheme="minorEastAsia" w:hAnsiTheme="minorEastAsia" w:eastAsiaTheme="minorEastAsia" w:cstheme="minorEastAsia"/>
          <w:b/>
          <w:bCs/>
          <w:color w:val="auto"/>
          <w:sz w:val="28"/>
          <w:szCs w:val="28"/>
          <w:highlight w:val="none"/>
        </w:rPr>
        <w:t xml:space="preserve">公开招标采购公告</w:t>
      </w:r>
      <w:r/>
      <w:r>
        <w:rPr>
          <w:rFonts w:asciiTheme="minorEastAsia" w:hAnsiTheme="minorEastAsia" w:eastAsiaTheme="minorEastAsia" w:cstheme="minorEastAsia"/>
          <w:b/>
          <w:bCs/>
          <w:color w:val="auto"/>
          <w:sz w:val="28"/>
          <w:szCs w:val="28"/>
          <w:highlight w:val="none"/>
        </w:rP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项目概况</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江宁区2026年度国土变更调查（含日常变更调查）</w:t>
      </w:r>
      <w:r>
        <w:rPr>
          <w:rFonts w:hint="eastAsia" w:asciiTheme="minorEastAsia" w:hAnsiTheme="minorEastAsia" w:eastAsiaTheme="minorEastAsia" w:cstheme="minorEastAsia"/>
          <w:color w:val="auto"/>
          <w:highlight w:val="none"/>
        </w:rPr>
        <w:t xml:space="preserve">招标项目的潜在供应商应在 </w:t>
      </w:r>
      <w:r>
        <w:rPr>
          <w:rFonts w:hint="eastAsia" w:asciiTheme="minorEastAsia" w:hAnsiTheme="minorEastAsia" w:eastAsiaTheme="minorEastAsia" w:cstheme="minorEastAsia"/>
          <w:color w:val="auto"/>
          <w:highlight w:val="none"/>
          <w:u w:val="single"/>
        </w:rPr>
        <w:t xml:space="preserve">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ff0000"/>
          <w:highlight w:val="none"/>
          <w:u w:val="single"/>
          <w:lang w:eastAsia="zh-CN"/>
        </w:rPr>
        <w:t xml:space="preserve">2026年6月26日</w:t>
      </w:r>
      <w:r>
        <w:rPr>
          <w:rFonts w:hint="eastAsia" w:asciiTheme="minorEastAsia" w:hAnsiTheme="minorEastAsia" w:eastAsiaTheme="minorEastAsia" w:cstheme="minorEastAsia"/>
          <w:color w:val="auto"/>
          <w:highlight w:val="none"/>
          <w:u w:val="single"/>
        </w:rPr>
        <w:t xml:space="preserve">14点30分</w:t>
      </w:r>
      <w:r>
        <w:rPr>
          <w:rFonts w:hint="eastAsia" w:asciiTheme="minorEastAsia" w:hAnsiTheme="minorEastAsia" w:eastAsiaTheme="minorEastAsia" w:cstheme="minorEastAsia"/>
          <w:color w:val="auto"/>
          <w:highlight w:val="none"/>
        </w:rPr>
        <w:t xml:space="preserve">（北京时间）前递交投标文件。</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 </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JSZC-320115-NJDX-G2026-0002</w:t>
      </w:r>
      <w:r/>
    </w:p>
    <w:p>
      <w:pPr>
        <w:ind w:firstLine="420"/>
        <w:jc w:val="left"/>
        <w:spacing w:line="360" w:lineRule="exact"/>
        <w:rPr>
          <w:rFonts w:asciiTheme="minorEastAsia" w:hAnsiTheme="minorEastAsia" w:eastAsiaTheme="minorEastAsia" w:cstheme="minorEastAsia"/>
          <w:color w:val="auto"/>
          <w:highlight w:val="none"/>
        </w:rPr>
      </w:pPr>
      <w:r/>
      <w:bookmarkStart w:id="32" w:name="OLE_LINK2"/>
      <w:r>
        <w:rPr>
          <w:rFonts w:hint="eastAsia" w:asciiTheme="minorEastAsia" w:hAnsiTheme="minorEastAsia" w:eastAsiaTheme="minorEastAsia" w:cstheme="minorEastAsia"/>
          <w:color w:val="auto"/>
          <w:highlight w:val="none"/>
        </w:rPr>
        <w:t xml:space="preserve">项目名称：江宁区2026年度国土变更调查（含日常变更调查）</w:t>
      </w:r>
      <w:r/>
    </w:p>
    <w:p>
      <w:pPr>
        <w:ind w:firstLine="420"/>
        <w:jc w:val="left"/>
        <w:spacing w:line="360" w:lineRule="exact"/>
        <w:rPr>
          <w:rFonts w:asciiTheme="minorEastAsia" w:hAnsiTheme="minorEastAsia" w:eastAsiaTheme="minorEastAsia" w:cstheme="minorEastAsia"/>
          <w:color w:val="auto"/>
          <w:highlight w:val="none"/>
        </w:rPr>
      </w:pPr>
      <w:r/>
      <w:bookmarkStart w:id="33" w:name="OLE_LINK1"/>
      <w:r>
        <w:rPr>
          <w:rFonts w:hint="eastAsia" w:asciiTheme="minorEastAsia" w:hAnsiTheme="minorEastAsia" w:eastAsiaTheme="minorEastAsia" w:cstheme="minorEastAsia"/>
          <w:color w:val="auto"/>
          <w:highlight w:val="none"/>
        </w:rPr>
        <w:t xml:space="preserve">预算金额：192万元（</w:t>
      </w:r>
      <w:r>
        <w:rPr>
          <w:rFonts w:hint="eastAsia" w:ascii="宋体" w:hAnsi="宋体" w:cs="宋体"/>
          <w:color w:val="auto"/>
          <w:szCs w:val="21"/>
          <w:highlight w:val="none"/>
        </w:rPr>
        <w:t xml:space="preserve">采购包1：180万元；采购包2:12万元</w:t>
      </w:r>
      <w:r>
        <w:rPr>
          <w:rFonts w:hint="eastAsia" w:asciiTheme="minorEastAsia" w:hAnsiTheme="minorEastAsia" w:eastAsiaTheme="minorEastAsia" w:cstheme="minorEastAsia"/>
          <w:color w:val="auto"/>
          <w:highlight w:val="none"/>
        </w:rPr>
        <w:t xml:space="preserve">）</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最高限价（如有）：采购包1：180万元；采购包2:12万元（供应商报价超过最高限价的作无效标处理，具体要求详见招标文件。）</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采购需求：</w:t>
      </w:r>
      <w:bookmarkStart w:id="34" w:name="OLE_LINK4"/>
      <w:r>
        <w:rPr>
          <w:rFonts w:hint="eastAsia" w:asciiTheme="minorEastAsia" w:hAnsiTheme="minorEastAsia" w:eastAsiaTheme="minorEastAsia" w:cstheme="minorEastAsia"/>
          <w:color w:val="auto"/>
          <w:highlight w:val="none"/>
        </w:rPr>
        <w:t xml:space="preserve">现对江宁区2026年度国土变更调查（含日常变更调查）</w:t>
      </w:r>
      <w:r>
        <w:rPr>
          <w:rFonts w:hint="eastAsia" w:asciiTheme="minorEastAsia" w:hAnsiTheme="minorEastAsia" w:eastAsiaTheme="minorEastAsia" w:cstheme="minorEastAsia"/>
          <w:color w:val="auto"/>
          <w:highlight w:val="none"/>
          <w:lang w:eastAsia="zh-CN"/>
        </w:rPr>
        <w:t xml:space="preserve">、2026年耕地资源“一田一码”数据更新调查，</w:t>
      </w:r>
      <w:r>
        <w:rPr>
          <w:rFonts w:hint="eastAsia" w:asciiTheme="minorEastAsia" w:hAnsiTheme="minorEastAsia" w:eastAsiaTheme="minorEastAsia" w:cstheme="minorEastAsia"/>
          <w:color w:val="auto"/>
          <w:highlight w:val="none"/>
          <w:lang w:val="en-US" w:eastAsia="zh-CN"/>
        </w:rPr>
        <w:t xml:space="preserve">以及相关监理服务</w:t>
      </w:r>
      <w:r>
        <w:rPr>
          <w:rFonts w:hint="eastAsia" w:asciiTheme="minorEastAsia" w:hAnsiTheme="minorEastAsia" w:eastAsiaTheme="minorEastAsia" w:cstheme="minorEastAsia"/>
          <w:color w:val="auto"/>
          <w:highlight w:val="none"/>
        </w:rPr>
        <w:t xml:space="preserve">进行公开招标。</w:t>
      </w:r>
      <w:r>
        <w:rPr>
          <w:rFonts w:hint="eastAsia" w:asciiTheme="minorEastAsia" w:hAnsiTheme="minorEastAsia" w:eastAsiaTheme="minorEastAsia" w:cstheme="minorEastAsia"/>
          <w:color w:val="auto"/>
          <w:highlight w:val="none"/>
        </w:rPr>
        <w:t xml:space="preserve">本项目共2个包，各采购包基本情况如下表，具体详见采购文件。</w:t>
      </w:r>
      <w:bookmarkEnd w:id="32"/>
      <w:bookmarkEnd w:id="33"/>
      <w:r/>
    </w:p>
    <w:tbl>
      <w:tblPr>
        <w:tblStyle w:val="730"/>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862"/>
        <w:gridCol w:w="3491"/>
        <w:gridCol w:w="1459"/>
        <w:gridCol w:w="1061"/>
      </w:tblGrid>
      <w:tr>
        <w:trPr>
          <w:jc w:val="center"/>
        </w:trPr>
        <w:tc>
          <w:tcPr>
            <w:tcW w:w="1686" w:type="dxa"/>
            <w:vAlign w:val="center"/>
            <w:textDirection w:val="lrTb"/>
            <w:noWrap w:val="false"/>
          </w:tcPr>
          <w:p>
            <w:pPr>
              <w:jc w:val="center"/>
              <w:rPr>
                <w:rFonts w:hint="default"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color w:val="auto"/>
                <w:highlight w:val="none"/>
                <w:lang w:val="en-US" w:eastAsia="zh-CN"/>
              </w:rPr>
              <w:t xml:space="preserve">采购包号</w:t>
            </w:r>
            <w:r/>
          </w:p>
        </w:tc>
        <w:tc>
          <w:tcPr>
            <w:tcW w:w="1862"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rPr>
              <w:t xml:space="preserve">采购包名称</w:t>
            </w:r>
            <w:r/>
          </w:p>
        </w:tc>
        <w:tc>
          <w:tcPr>
            <w:shd w:val="clear" w:color="auto" w:fill="auto"/>
            <w:tcW w:w="3491" w:type="dxa"/>
            <w:vAlign w:val="center"/>
            <w:textDirection w:val="lrTb"/>
            <w:noWrap w:val="false"/>
          </w:tcPr>
          <w:p>
            <w:pPr>
              <w:jc w:val="center"/>
              <w:rPr>
                <w:rFonts w:hint="eastAsia" w:asciiTheme="minorEastAsia" w:hAnsiTheme="minorEastAsia" w:eastAsiaTheme="minorEastAsia" w:cstheme="minorEastAsia"/>
                <w:b/>
                <w:color w:val="auto"/>
                <w:highlight w:val="none"/>
                <w:lang w:val="en-US" w:eastAsia="zh-CN"/>
              </w:rPr>
            </w:pPr>
            <w:r>
              <w:rPr>
                <w:rFonts w:hint="eastAsia" w:asciiTheme="minorEastAsia" w:hAnsiTheme="minorEastAsia" w:eastAsiaTheme="minorEastAsia" w:cstheme="minorEastAsia"/>
                <w:b/>
                <w:color w:val="auto"/>
                <w:highlight w:val="none"/>
                <w:lang w:val="en-US" w:eastAsia="zh-CN"/>
              </w:rPr>
              <w:t xml:space="preserve">服务内容</w:t>
            </w:r>
            <w:r/>
          </w:p>
        </w:tc>
        <w:tc>
          <w:tcPr>
            <w:shd w:val="clear" w:color="auto" w:fill="auto"/>
            <w:tcW w:w="1459"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采购包预算</w:t>
            </w:r>
            <w:r/>
          </w:p>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（万元）</w:t>
            </w:r>
            <w:r/>
          </w:p>
        </w:tc>
        <w:tc>
          <w:tcPr>
            <w:shd w:val="clear" w:color="auto" w:fill="auto"/>
            <w:tcW w:w="1061"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1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采购包1</w:t>
            </w:r>
            <w:r/>
          </w:p>
        </w:tc>
        <w:tc>
          <w:tcPr>
            <w:tcW w:w="1862"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调查服务</w:t>
            </w:r>
            <w:r/>
          </w:p>
        </w:tc>
        <w:tc>
          <w:tcPr>
            <w:shd w:val="clear" w:color="auto" w:fill="auto"/>
            <w:tcW w:w="3491" w:type="dxa"/>
            <w:vAlign w:val="center"/>
            <w:textDirection w:val="lrTb"/>
            <w:noWrap w:val="false"/>
          </w:tcPr>
          <w:p>
            <w:pPr>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2026年度国土</w:t>
            </w:r>
            <w:r>
              <w:rPr>
                <w:rFonts w:hint="eastAsia" w:asciiTheme="minorEastAsia" w:hAnsiTheme="minorEastAsia" w:eastAsiaTheme="minorEastAsia" w:cstheme="minorEastAsia"/>
                <w:color w:val="auto"/>
                <w:highlight w:val="none"/>
              </w:rPr>
              <w:t xml:space="preserve">变更调查、</w:t>
            </w:r>
            <w:r>
              <w:rPr>
                <w:rFonts w:hint="eastAsia" w:asciiTheme="minorEastAsia" w:hAnsiTheme="minorEastAsia" w:eastAsiaTheme="minorEastAsia" w:cstheme="minorEastAsia"/>
                <w:color w:val="auto"/>
                <w:highlight w:val="none"/>
                <w:lang w:val="en-US" w:eastAsia="zh-CN"/>
              </w:rPr>
              <w:t xml:space="preserve">2026年度</w:t>
            </w:r>
            <w:r>
              <w:rPr>
                <w:rFonts w:hint="eastAsia" w:asciiTheme="minorEastAsia" w:hAnsiTheme="minorEastAsia" w:eastAsiaTheme="minorEastAsia" w:cstheme="minorEastAsia"/>
                <w:color w:val="auto"/>
                <w:highlight w:val="none"/>
              </w:rPr>
              <w:t xml:space="preserve">日常变更调查</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2026年</w:t>
            </w:r>
            <w:r>
              <w:rPr>
                <w:rFonts w:hint="eastAsia" w:asciiTheme="minorEastAsia" w:hAnsiTheme="minorEastAsia" w:eastAsiaTheme="minorEastAsia" w:cstheme="minorEastAsia"/>
                <w:b w:val="0"/>
                <w:bCs w:val="0"/>
                <w:color w:val="auto"/>
                <w:szCs w:val="21"/>
                <w:highlight w:val="none"/>
                <w:lang w:val="en-US" w:eastAsia="zh-CN"/>
              </w:rPr>
              <w:t xml:space="preserve">耕地资源“一田一码”数据更新调查</w:t>
            </w:r>
            <w:r/>
          </w:p>
        </w:tc>
        <w:tc>
          <w:tcPr>
            <w:shd w:val="clear" w:color="auto" w:fill="auto"/>
            <w:tcW w:w="1459" w:type="dxa"/>
            <w:vAlign w:val="center"/>
            <w:textDirection w:val="lrTb"/>
            <w:noWrap w:val="false"/>
          </w:tcPr>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180</w:t>
            </w:r>
            <w:r/>
          </w:p>
        </w:tc>
        <w:tc>
          <w:tcPr>
            <w:shd w:val="clear" w:color="auto" w:fill="auto"/>
            <w:tcW w:w="1061" w:type="dxa"/>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r>
        <w:trPr>
          <w:jc w:val="center"/>
          <w:trHeight w:val="340"/>
        </w:trPr>
        <w:tc>
          <w:tcPr>
            <w:tcW w:w="1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采购包2</w:t>
            </w:r>
            <w:r/>
          </w:p>
        </w:tc>
        <w:tc>
          <w:tcPr>
            <w:tcW w:w="1862"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监理服务</w:t>
            </w:r>
            <w:r/>
          </w:p>
        </w:tc>
        <w:tc>
          <w:tcPr>
            <w:shd w:val="clear" w:color="auto" w:fill="auto"/>
            <w:tcW w:w="3491" w:type="dxa"/>
            <w:vAlign w:val="center"/>
            <w:textDirection w:val="lrTb"/>
            <w:noWrap w:val="false"/>
          </w:tcPr>
          <w:p>
            <w:pPr>
              <w:jc w:val="lef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对江宁区2026年国土变更调查（含日常变更调查）、2026年耕地资源“一田一码”数据更新调查项目全程进行监督检查，提供</w:t>
            </w:r>
            <w:r>
              <w:rPr>
                <w:rFonts w:hint="eastAsia" w:asciiTheme="minorEastAsia" w:hAnsiTheme="minorEastAsia" w:eastAsiaTheme="minorEastAsia" w:cstheme="minorEastAsia"/>
                <w:color w:val="auto"/>
                <w:szCs w:val="21"/>
                <w:highlight w:val="none"/>
                <w:lang w:val="en-US" w:eastAsia="zh-CN"/>
              </w:rPr>
              <w:t xml:space="preserve">监理服务。</w:t>
            </w:r>
            <w:r/>
          </w:p>
        </w:tc>
        <w:tc>
          <w:tcPr>
            <w:shd w:val="clear" w:color="auto" w:fill="auto"/>
            <w:tcW w:w="1459" w:type="dxa"/>
            <w:vAlign w:val="center"/>
            <w:textDirection w:val="lrTb"/>
            <w:noWrap w:val="false"/>
          </w:tcPr>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shd w:val="clear" w:color="auto" w:fill="auto"/>
            <w:tcW w:w="1061" w:type="dxa"/>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r>
        <w:trPr>
          <w:jc w:val="center"/>
          <w:trHeight w:val="340"/>
        </w:trPr>
        <w:tc>
          <w:tcPr>
            <w:gridSpan w:val="3"/>
            <w:tcW w:w="7039" w:type="dxa"/>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合计</w:t>
            </w:r>
            <w:r/>
          </w:p>
        </w:tc>
        <w:tc>
          <w:tcPr>
            <w:shd w:val="clear" w:color="auto" w:fill="auto"/>
            <w:tcW w:w="1459" w:type="dxa"/>
            <w:vAlign w:val="center"/>
            <w:textDirection w:val="lrTb"/>
            <w:noWrap w:val="false"/>
          </w:tcPr>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192</w:t>
            </w:r>
            <w:r/>
          </w:p>
        </w:tc>
        <w:tc>
          <w:tcPr>
            <w:shd w:val="clear" w:color="auto" w:fill="auto"/>
            <w:tcW w:w="1061" w:type="dxa"/>
            <w:textDirection w:val="lrTb"/>
            <w:noWrap w:val="false"/>
          </w:tcPr>
          <w:p>
            <w:pPr>
              <w:jc w:val="center"/>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bl>
    <w:p>
      <w:pPr>
        <w:ind w:firstLine="422"/>
        <w:spacing w:before="21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注：</w:t>
      </w:r>
      <w:r>
        <w:rPr>
          <w:rFonts w:hint="eastAsia" w:ascii="宋体" w:hAnsi="宋体" w:cs="宋体"/>
          <w:b/>
          <w:color w:val="auto"/>
          <w:highlight w:val="none"/>
        </w:rPr>
        <w:t xml:space="preserve">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中标</w:t>
      </w:r>
      <w:r>
        <w:rPr>
          <w:rFonts w:hint="eastAsia" w:ascii="宋体" w:hAnsi="宋体" w:cs="宋体"/>
          <w:b/>
          <w:color w:val="auto"/>
          <w:highlight w:val="none"/>
          <w:lang w:val="en-US" w:eastAsia="zh-CN"/>
        </w:rPr>
        <w:t xml:space="preserve">候选</w:t>
      </w:r>
      <w:r>
        <w:rPr>
          <w:rFonts w:hint="eastAsia" w:ascii="宋体" w:hAnsi="宋体" w:cs="宋体"/>
          <w:b/>
          <w:color w:val="auto"/>
          <w:highlight w:val="none"/>
        </w:rPr>
        <w:t xml:space="preserve">供应商，由排名其后的供应商递补，以此类推</w:t>
      </w:r>
      <w:r>
        <w:rPr>
          <w:rFonts w:ascii="宋体" w:hAnsi="宋体" w:cs="宋体"/>
          <w:b/>
          <w:color w:val="auto"/>
          <w:highlight w:val="none"/>
        </w:rPr>
        <w:t xml:space="preserve">。</w:t>
      </w:r>
      <w:bookmarkEnd w:id="34"/>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合同履行期限：总服务期限约为12个月。工作时间节点以甲方通知为准。</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w:t>
      </w:r>
      <w:r>
        <w:rPr>
          <w:rFonts w:hint="eastAsia" w:asciiTheme="minorEastAsia" w:hAnsiTheme="minorEastAsia" w:eastAsiaTheme="minorEastAsia" w:cstheme="minorEastAsia"/>
          <w:b/>
          <w:bCs/>
          <w:color w:val="auto"/>
          <w:highlight w:val="none"/>
          <w:u w:val="single"/>
        </w:rPr>
        <w:t xml:space="preserve">不接受</w:t>
      </w:r>
      <w:r>
        <w:rPr>
          <w:rFonts w:hint="eastAsia" w:asciiTheme="minorEastAsia" w:hAnsiTheme="minorEastAsia" w:eastAsiaTheme="minorEastAsia" w:cstheme="minorEastAsia"/>
          <w:color w:val="auto"/>
          <w:highlight w:val="none"/>
        </w:rPr>
        <w:t xml:space="preserve">联合体投标。</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二、申请人的资格要求</w:t>
      </w:r>
      <w:r/>
    </w:p>
    <w:p>
      <w:pPr>
        <w:ind w:firstLine="482"/>
        <w:spacing w:line="360" w:lineRule="exact"/>
        <w:rPr>
          <w:rFonts w:ascii="宋体" w:hAnsi="宋体" w:cs="宋体"/>
          <w:color w:val="auto"/>
          <w:sz w:val="24"/>
          <w:highlight w:val="none"/>
        </w:rPr>
      </w:pPr>
      <w:r>
        <w:rPr>
          <w:rFonts w:hint="eastAsia" w:ascii="宋体" w:hAnsi="宋体" w:cs="宋体"/>
          <w:b/>
          <w:bCs/>
          <w:color w:val="auto"/>
          <w:sz w:val="24"/>
          <w:highlight w:val="none"/>
        </w:rPr>
        <w:t xml:space="preserve">（一）《中华人民共和国政府采购法》规定的条件:</w:t>
      </w:r>
      <w:r/>
    </w:p>
    <w:p>
      <w:pPr>
        <w:ind w:firstLine="420"/>
        <w:rPr>
          <w:color w:val="auto"/>
          <w:highlight w:val="none"/>
        </w:rPr>
      </w:pPr>
      <w:r>
        <w:rPr>
          <w:rFonts w:hint="eastAsia" w:ascii="宋体" w:hAnsi="宋体" w:cs="宋体"/>
          <w:color w:val="auto"/>
          <w:szCs w:val="21"/>
          <w:highlight w:val="none"/>
        </w:rPr>
        <w:t xml:space="preserve">（1）</w:t>
      </w:r>
      <w:bookmarkStart w:id="35" w:name="OLE_LINK6"/>
      <w:r>
        <w:rPr>
          <w:rFonts w:hint="eastAsia" w:ascii="宋体" w:hAnsi="宋体" w:cs="宋体"/>
          <w:color w:val="auto"/>
          <w:szCs w:val="21"/>
          <w:highlight w:val="none"/>
        </w:rPr>
        <w:t xml:space="preserve">具有独立承担民事责任的能力。（供应商为法人或者其他组织的，提供营业执照或法人证书或组织机构代码证等证明文件；供应商为自然人的，提供其身份证。</w:t>
      </w:r>
      <w:r>
        <w:rPr>
          <w:rFonts w:hint="eastAsia"/>
          <w:color w:val="auto"/>
          <w:highlight w:val="none"/>
        </w:rPr>
        <w:t xml:space="preserve">相关证明材料需提供原件扫描件。</w:t>
      </w:r>
      <w:r>
        <w:rPr>
          <w:rFonts w:hint="eastAsia" w:ascii="宋体" w:hAnsi="宋体" w:cs="宋体"/>
          <w:color w:val="auto"/>
          <w:szCs w:val="21"/>
          <w:highlight w:val="none"/>
        </w:rPr>
        <w:t xml:space="preserve">）</w:t>
      </w:r>
      <w:bookmarkEnd w:id="35"/>
      <w:r/>
    </w:p>
    <w:p>
      <w:pPr>
        <w:ind w:firstLine="42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w:t>
      </w:r>
      <w:bookmarkStart w:id="36" w:name="OLE_LINK8"/>
      <w:r>
        <w:rPr>
          <w:rFonts w:hint="eastAsia" w:ascii="宋体" w:hAnsi="宋体" w:cs="宋体"/>
          <w:color w:val="auto"/>
          <w:szCs w:val="21"/>
          <w:highlight w:val="none"/>
        </w:rPr>
        <w:t xml:space="preserve">本次政府采购活动采用信用承诺制，具体要求详见本公告“六、其他补充事宜”。（供应商提供由法定代表人签字并盖单位公章的《南京市政府采购供应商信用记录表暨信用承诺书》。）</w:t>
      </w:r>
      <w:bookmarkEnd w:id="36"/>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落实政府采购政策需满足的资格要求：</w:t>
      </w:r>
      <w:r/>
    </w:p>
    <w:p>
      <w:pPr>
        <w:ind w:firstLine="420"/>
        <w:rPr>
          <w:rFonts w:hint="eastAsia"/>
          <w:color w:val="auto"/>
          <w:szCs w:val="21"/>
          <w:highlight w:val="none"/>
        </w:rPr>
      </w:pPr>
      <w:r>
        <w:rPr>
          <w:rFonts w:hint="eastAsia"/>
          <w:color w:val="auto"/>
          <w:szCs w:val="21"/>
          <w:highlight w:val="none"/>
        </w:rPr>
        <w:t xml:space="preserve">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出具的属于监狱企业的证明文件。</w:t>
      </w:r>
      <w:r>
        <w:rPr>
          <w:rFonts w:hint="eastAsia"/>
          <w:b/>
          <w:bCs/>
          <w:color w:val="auto"/>
          <w:szCs w:val="21"/>
          <w:highlight w:val="none"/>
          <w:lang w:val="en-US" w:eastAsia="zh-CN"/>
        </w:rPr>
        <w:t xml:space="preserve">未提供或未按要求填写的，做无效标处理。</w:t>
      </w:r>
      <w:r>
        <w:rPr>
          <w:rFonts w:hint="eastAsia"/>
          <w:color w:val="auto"/>
          <w:szCs w:val="21"/>
          <w:highlight w:val="none"/>
        </w:rPr>
        <w:t xml:space="preserve">相关证明材料需提供原件扫描件。）</w:t>
      </w:r>
      <w:r/>
    </w:p>
    <w:p>
      <w:pPr>
        <w:ind w:firstLine="422"/>
        <w:rPr>
          <w:rFonts w:ascii="宋体" w:hAnsi="宋体" w:cs="宋体"/>
          <w:color w:val="auto"/>
          <w:highlight w:val="none"/>
        </w:rPr>
      </w:pPr>
      <w:r>
        <w:rPr>
          <w:rFonts w:hint="eastAsia" w:ascii="宋体" w:hAnsi="宋体" w:cs="宋体"/>
          <w:b/>
          <w:bCs/>
          <w:color w:val="auto"/>
          <w:highlight w:val="none"/>
        </w:rPr>
        <w:t xml:space="preserve">注：</w:t>
      </w:r>
      <w:r>
        <w:rPr>
          <w:rFonts w:hint="eastAsia" w:asciiTheme="minorEastAsia" w:hAnsiTheme="minorEastAsia" w:eastAsiaTheme="minorEastAsia" w:cstheme="minorEastAsia"/>
          <w:b/>
          <w:bCs/>
          <w:color w:val="auto"/>
          <w:highlight w:val="none"/>
        </w:rPr>
        <w:t xml:space="preserve">本项目所属行业为：其他未列明行业——科学研究和技术服务业。本项目所属行业中小企业划型标准如下：从业人员300人以下的为中小微型企业。其中，从业人员100人及以上的为中型企业；从业人员10人及以上的为小型企业；从业人员10人以下的为微型企业。</w:t>
      </w:r>
      <w:r/>
    </w:p>
    <w:p>
      <w:pPr>
        <w:ind w:left="479"/>
        <w:spacing w:line="360" w:lineRule="exact"/>
        <w:rPr>
          <w:rFonts w:ascii="宋体" w:hAnsi="宋体" w:cs="宋体"/>
          <w:b/>
          <w:bCs/>
          <w:color w:val="auto"/>
          <w:highlight w:val="none"/>
        </w:rPr>
      </w:pPr>
      <w:r>
        <w:rPr>
          <w:rFonts w:hint="eastAsia" w:ascii="宋体" w:hAnsi="宋体" w:cs="宋体"/>
          <w:b/>
          <w:bCs/>
          <w:color w:val="auto"/>
          <w:sz w:val="24"/>
          <w:highlight w:val="none"/>
        </w:rPr>
        <w:t xml:space="preserve">（三）采购人根据采购项目的特殊要求规定的特定条件，并提供相关证明文件</w:t>
      </w:r>
      <w:r>
        <w:rPr>
          <w:rFonts w:hint="eastAsia" w:ascii="宋体" w:hAnsi="宋体" w:cs="宋体"/>
          <w:b/>
          <w:bCs/>
          <w:color w:val="auto"/>
          <w:highlight w:val="none"/>
        </w:rPr>
        <w:t xml:space="preserve">：</w:t>
      </w:r>
      <w:r/>
    </w:p>
    <w:p>
      <w:pPr>
        <w:ind w:firstLine="420"/>
        <w:spacing w:line="360" w:lineRule="exact"/>
        <w:rPr>
          <w:color w:val="auto"/>
          <w:highlight w:val="none"/>
        </w:rPr>
      </w:pPr>
      <w:r>
        <w:rPr>
          <w:rFonts w:hint="eastAsia"/>
          <w:color w:val="auto"/>
          <w:highlight w:val="none"/>
        </w:rPr>
        <w:t xml:space="preserve">采购包1</w:t>
      </w:r>
      <w:r>
        <w:rPr>
          <w:rFonts w:hint="eastAsia"/>
          <w:color w:val="auto"/>
          <w:highlight w:val="none"/>
          <w:lang w:eastAsia="zh-CN"/>
        </w:rPr>
        <w:t xml:space="preserve">、</w:t>
      </w:r>
      <w:r>
        <w:rPr>
          <w:rFonts w:hint="eastAsia"/>
          <w:color w:val="auto"/>
          <w:highlight w:val="none"/>
          <w:lang w:val="en-US" w:eastAsia="zh-CN"/>
        </w:rPr>
        <w:t xml:space="preserve">采购包2</w:t>
      </w:r>
      <w:r>
        <w:rPr>
          <w:rFonts w:hint="eastAsia"/>
          <w:color w:val="auto"/>
          <w:highlight w:val="none"/>
        </w:rPr>
        <w:t xml:space="preserve">：供应商须具备有效的行政主管部门颁发的乙级及以上测绘资质证书，且其专业类别须同时涵盖：界线与不动产测绘、地理信息系统工程、工程测量。（提供有效证书原件扫描件并加盖电子公章。）</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三、获取招标文件</w:t>
      </w:r>
      <w:r/>
    </w:p>
    <w:p>
      <w:pPr>
        <w:ind w:firstLine="422"/>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时间：自本公告发布之日起5个工作日（</w:t>
      </w:r>
      <w:r>
        <w:rPr>
          <w:rFonts w:hint="eastAsia" w:ascii="宋体" w:hAnsi="宋体" w:cs="宋体"/>
          <w:color w:val="auto"/>
          <w:szCs w:val="21"/>
          <w:highlight w:val="none"/>
          <w:lang w:eastAsia="zh-CN"/>
        </w:rPr>
        <w:t xml:space="preserve">2026年6月1日至2026年6月5日</w:t>
      </w:r>
      <w:r>
        <w:rPr>
          <w:rFonts w:hint="eastAsia" w:ascii="宋体" w:hAnsi="宋体" w:cs="宋体"/>
          <w:color w:val="auto"/>
          <w:szCs w:val="21"/>
          <w:highlight w:val="none"/>
        </w:rPr>
        <w:t xml:space="preserve">）</w:t>
      </w:r>
      <w:r/>
    </w:p>
    <w:p>
      <w:pPr>
        <w:ind w:firstLine="422"/>
        <w:jc w:val="left"/>
        <w:spacing w:line="360" w:lineRule="exact"/>
        <w:rPr>
          <w:rFonts w:ascii="宋体" w:hAnsi="宋体" w:cs="宋体"/>
          <w:color w:val="auto"/>
          <w:highlight w:val="none"/>
        </w:rPr>
      </w:pPr>
      <w:r>
        <w:rPr>
          <w:rFonts w:hint="eastAsia" w:ascii="宋体" w:hAnsi="宋体" w:cs="宋体"/>
          <w:color w:val="auto"/>
          <w:szCs w:val="21"/>
          <w:highlight w:val="none"/>
        </w:rPr>
        <w:t xml:space="preserve">地点：</w:t>
      </w:r>
      <w:r>
        <w:rPr>
          <w:rFonts w:hint="eastAsia" w:ascii="宋体" w:hAnsi="宋体" w:cs="宋体"/>
          <w:color w:val="auto"/>
          <w:highlight w:val="none"/>
        </w:rPr>
        <w:t xml:space="preserve">江苏省政府采购管理交易系统（苏采云系统）</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方式：</w:t>
      </w:r>
      <w:r>
        <w:rPr>
          <w:rFonts w:hint="eastAsia" w:ascii="宋体" w:hAnsi="宋体" w:cs="宋体"/>
          <w:color w:val="auto"/>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 xml:space="preserve">售价：0元</w:t>
      </w:r>
      <w:r>
        <w:rPr>
          <w:rFonts w:hint="eastAsia" w:ascii="宋体" w:hAnsi="宋体" w:cs="宋体"/>
          <w:color w:val="auto"/>
          <w:highlight w:val="none"/>
        </w:rPr>
        <w:t xml:space="preserve">。</w:t>
      </w:r>
      <w:r>
        <w:rPr>
          <w:rFonts w:hint="eastAsia" w:asciiTheme="minorEastAsia" w:hAnsiTheme="minorEastAsia" w:eastAsiaTheme="minorEastAsia" w:cstheme="minorEastAsia"/>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四、提交投标文件截止时间、开标时间和地点</w:t>
      </w:r>
      <w:r/>
    </w:p>
    <w:p>
      <w:pPr>
        <w:pStyle w:val="725"/>
        <w:ind w:firstLine="420"/>
        <w:spacing w:before="0" w:beforeAutospacing="0" w:after="0" w:afterAutospacing="0"/>
        <w:rPr>
          <w:color w:val="auto"/>
          <w:sz w:val="21"/>
          <w:highlight w:val="none"/>
        </w:rPr>
      </w:pPr>
      <w:r>
        <w:rPr>
          <w:rFonts w:hint="eastAsia"/>
          <w:color w:val="auto"/>
          <w:sz w:val="21"/>
          <w:highlight w:val="none"/>
        </w:rPr>
        <w:t xml:space="preserve">截止时间：</w:t>
      </w:r>
      <w:r>
        <w:rPr>
          <w:rFonts w:hint="eastAsia"/>
          <w:color w:val="ff0000"/>
          <w:sz w:val="21"/>
          <w:szCs w:val="21"/>
          <w:highlight w:val="none"/>
          <w:lang w:eastAsia="zh-CN"/>
        </w:rPr>
        <w:t xml:space="preserve">2026年6月26日</w:t>
      </w:r>
      <w:r>
        <w:rPr>
          <w:rFonts w:hint="eastAsia"/>
          <w:color w:val="auto"/>
          <w:sz w:val="21"/>
          <w:szCs w:val="21"/>
          <w:highlight w:val="none"/>
        </w:rPr>
        <w:t xml:space="preserve">14点30分</w:t>
      </w:r>
      <w:r>
        <w:rPr>
          <w:rFonts w:hint="eastAsia"/>
          <w:color w:val="auto"/>
          <w:sz w:val="21"/>
          <w:highlight w:val="none"/>
        </w:rPr>
        <w:t xml:space="preserve">（北京时间）</w:t>
      </w:r>
      <w:r/>
    </w:p>
    <w:p>
      <w:pPr>
        <w:ind w:firstLine="420"/>
        <w:spacing w:line="360" w:lineRule="exact"/>
        <w:rPr>
          <w:rFonts w:asciiTheme="minorEastAsia" w:hAnsiTheme="minorEastAsia" w:eastAsiaTheme="minorEastAsia" w:cstheme="minorEastAsia"/>
          <w:color w:val="auto"/>
          <w:highlight w:val="none"/>
        </w:rPr>
      </w:pPr>
      <w:r>
        <w:rPr>
          <w:rFonts w:hint="eastAsia" w:ascii="宋体" w:hAnsi="宋体" w:cs="宋体"/>
          <w:color w:val="auto"/>
          <w:highlight w:val="none"/>
        </w:rPr>
        <w:t xml:space="preserve">地点：江苏省政府采购管理交易系统（苏采云系统）</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五、公告期限</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六、其他补充事宜</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本次采购全程电子化，开标方式为不见面开标。</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供应商通过苏采云系统参与政府采购项目，需要办理江苏省政府采购数字证书及电子签章，具体详见苏采云系统登录页“新CA办理指南”。</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供应商按《江苏省政府采购管理交易系统（苏采云）供应商操作手册》（以下简称“操作手册”）进行注册，并制作上传电子响应文件。《操作手册》下载地址：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36"/>
          <w:rFonts w:hint="eastAsia" w:ascii="宋体" w:hAnsi="宋体" w:cs="宋体"/>
          <w:color w:val="auto"/>
          <w:szCs w:val="21"/>
          <w:highlight w:val="none"/>
        </w:rPr>
        <w:t xml:space="preserve">http://www.ccgp-jiangsu.gov.cn/jiangsu/zlxz/ee/ee3a4bc5a3454aa2b0d9312230633ce9.html</w:t>
      </w:r>
      <w:r>
        <w:rPr>
          <w:rStyle w:val="736"/>
          <w:rFonts w:hint="eastAsia" w:ascii="宋体" w:hAnsi="宋体" w:cs="宋体"/>
          <w:color w:val="auto"/>
          <w:szCs w:val="21"/>
          <w:highlight w:val="none"/>
        </w:rPr>
        <w:fldChar w:fldCharType="end"/>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（“苏采云”南京地区客服热线025-83633744、025-83633743。）</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2、政府采购信用承诺：</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color w:val="auto"/>
          <w:szCs w:val="21"/>
          <w:highlight w:val="none"/>
        </w:rPr>
        <w:t xml:space="preserve">每次参加政府采购活动投标（响应）截止日前，</w:t>
      </w:r>
      <w:r>
        <w:rPr>
          <w:rFonts w:hint="eastAsia" w:ascii="宋体" w:hAnsi="宋体" w:cs="宋体"/>
          <w:color w:val="auto"/>
          <w:szCs w:val="21"/>
          <w:highlight w:val="none"/>
        </w:rPr>
        <w:t xml:space="preserve">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2.2在政府采购资格审查环节，供应商只需提供书面《南京市政府采购供应商信用记录表暨信用承诺书》，即可替代以下证明材料：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（1）参加本次政府采购活动前的会计报表，成立不满一年的无需提供。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（3）具备履行政府采购合同所必需的设备和专业技术能力的书面声明，格式见采购文件附件。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（4）参加政府采购活动前三年内在经营活动中没有重大违法记录的书面声明，格式见采购文件附件。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（5）未被列入失信被执行人、重大税收违法失信主体、政府采购严重违法失信行为记录名单的证明材料。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2.3供应商在中标（成交）后，应按采购文件要求，将上述由信用承诺书替代的证明材料提交采购人或采购代理机构核验。经核验无误后，由采购人或采购代理机构发出中标（成交）通知书。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2.4供应商涉及以下情形的，不适用信用承诺：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 </w:t>
      </w:r>
      <w:r/>
    </w:p>
    <w:p>
      <w:pPr>
        <w:ind w:firstLine="420"/>
        <w:spacing w:line="360" w:lineRule="exact"/>
        <w:rPr>
          <w:rFonts w:ascii="宋体" w:hAnsi="宋体" w:cs="宋体"/>
          <w:color w:val="auto"/>
          <w:highlight w:val="none"/>
        </w:rPr>
      </w:pPr>
      <w:r>
        <w:rPr>
          <w:rFonts w:hint="eastAsia" w:ascii="宋体" w:hAnsi="宋体" w:cs="宋体"/>
          <w:color w:val="auto"/>
          <w:szCs w:val="21"/>
          <w:highlight w:val="none"/>
        </w:rPr>
        <w:t xml:space="preserve">2.5供应商对信用承诺内容的真实性、合法性、有效性负责。如作出虚假信用承诺，视同为“提供虚假材料谋取中标、成交”的违法行为。</w:t>
      </w:r>
      <w:r/>
    </w:p>
    <w:p>
      <w:pPr>
        <w:ind w:firstLine="422"/>
        <w:jc w:val="left"/>
        <w:spacing w:line="360" w:lineRule="exact"/>
        <w:rPr>
          <w:rFonts w:ascii="宋体" w:hAnsi="宋体" w:cs="宋体"/>
          <w:b/>
          <w:bCs/>
          <w:color w:val="auto"/>
          <w:highlight w:val="none"/>
        </w:rPr>
      </w:pPr>
      <w:r>
        <w:rPr>
          <w:rFonts w:hint="eastAsia" w:ascii="宋体" w:hAnsi="宋体" w:cs="宋体"/>
          <w:b/>
          <w:bCs/>
          <w:color w:val="auto"/>
          <w:highlight w:val="none"/>
        </w:rPr>
        <w:t xml:space="preserve">3、拒绝下述供应商参加本次采购活动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（2）除单一来源采购项目外，为采购项目提供整体设计、规范编制或者项目管理、监理、检测等服务的供应商，不得再参加该采购项目的其他采购活动。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ind w:firstLine="422"/>
        <w:jc w:val="left"/>
        <w:spacing w:line="360" w:lineRule="exact"/>
        <w:rPr>
          <w:rFonts w:ascii="宋体" w:hAnsi="宋体" w:cs="宋体"/>
          <w:b/>
          <w:color w:val="auto"/>
          <w:highlight w:val="none"/>
        </w:rPr>
      </w:pPr>
      <w:r>
        <w:rPr>
          <w:rFonts w:hint="eastAsia" w:ascii="宋体" w:hAnsi="宋体" w:cs="宋体"/>
          <w:b/>
          <w:color w:val="auto"/>
          <w:szCs w:val="21"/>
          <w:highlight w:val="none"/>
        </w:rPr>
        <w:t xml:space="preserve">4、</w:t>
      </w:r>
      <w:r>
        <w:rPr>
          <w:rFonts w:hint="eastAsia" w:ascii="宋体" w:hAnsi="宋体" w:cs="宋体"/>
          <w:b/>
          <w:color w:val="auto"/>
          <w:highlight w:val="none"/>
        </w:rPr>
        <w:t xml:space="preserve">现场考察：</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rPr>
          <w:rFonts w:asciiTheme="minorEastAsia" w:hAnsiTheme="minorEastAsia" w:eastAsiaTheme="minorEastAsia" w:cstheme="minorEastAsia"/>
          <w:color w:val="auto"/>
          <w:highlight w:val="none"/>
        </w:rPr>
      </w:pPr>
      <w:r>
        <w:rPr>
          <w:rFonts w:hint="eastAsia" w:ascii="宋体" w:hAnsi="宋体" w:cs="宋体"/>
          <w:bCs/>
          <w:color w:val="auto"/>
          <w:highlight w:val="none"/>
        </w:rPr>
        <w:t xml:space="preserve">5、有关本次采购的事项若存在变动或修改，敬请及时关注“中国政府采购网”</w:t>
      </w:r>
      <w:r>
        <w:rPr>
          <w:rFonts w:hint="eastAsia" w:ascii="宋体" w:hAnsi="宋体" w:cs="宋体"/>
          <w:bCs/>
          <w:color w:val="auto"/>
          <w:szCs w:val="21"/>
          <w:highlight w:val="none"/>
        </w:rPr>
        <w:t xml:space="preserve">“江苏政府采购网”“南京公共采购信息网”</w:t>
      </w:r>
      <w:r>
        <w:rPr>
          <w:rFonts w:hint="eastAsia" w:ascii="宋体" w:hAnsi="宋体" w:cs="宋体"/>
          <w:bCs/>
          <w:color w:val="auto"/>
          <w:highlight w:val="none"/>
        </w:rPr>
        <w:t xml:space="preserve">发布的信息更正公告。</w:t>
      </w:r>
      <w:r>
        <w:rPr>
          <w:rFonts w:hint="eastAsia" w:asciiTheme="minorEastAsia" w:hAnsiTheme="minorEastAsia" w:eastAsiaTheme="minorEastAsia" w:cstheme="minorEastAsia"/>
          <w:bCs/>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单位名称：南京市规划和自然资源局江宁分局</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采购单位地址：南京市江宁区双龙大道1200号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联系电话：025-52146139</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采购代理机构：南京东兴工程咨询有限公司</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地址：南京江宁天元中路128号诚基大厦2栋618室</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联系人：赵工</w:t>
      </w:r>
      <w:r/>
    </w:p>
    <w:p>
      <w:pPr>
        <w:ind w:firstLine="420"/>
        <w:jc w:val="left"/>
        <w:spacing w:line="3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91"/>
        <w:jc w:val="center"/>
        <w:spacing w:line="420" w:lineRule="exact"/>
        <w:rPr>
          <w:rFonts w:asciiTheme="minorEastAsia" w:hAnsiTheme="minorEastAsia" w:eastAsiaTheme="minorEastAsia" w:cstheme="minorEastAsia"/>
          <w:color w:val="auto"/>
          <w:sz w:val="36"/>
          <w:szCs w:val="36"/>
          <w:highlight w:val="none"/>
          <w:lang w:val="zh-CN"/>
        </w:rPr>
        <w:outlineLvl w:val="0"/>
      </w:pPr>
      <w:r/>
      <w:bookmarkStart w:id="664" w:name="_Toc2"/>
      <w:r>
        <w:rPr>
          <w:rFonts w:hint="eastAsia" w:asciiTheme="minorEastAsia" w:hAnsiTheme="minorEastAsia" w:eastAsiaTheme="minorEastAsia" w:cstheme="minorEastAsia"/>
          <w:b/>
          <w:color w:val="auto"/>
          <w:highlight w:val="none"/>
          <w:lang w:val="zh-CN"/>
        </w:rPr>
        <w:br w:type="page" w:clear="all"/>
      </w:r>
      <w:r>
        <w:rPr>
          <w:rFonts w:hint="eastAsia" w:asciiTheme="minorEastAsia" w:hAnsiTheme="minorEastAsia" w:eastAsiaTheme="minorEastAsia" w:cstheme="minorEastAsia"/>
          <w:b/>
          <w:color w:val="auto"/>
          <w:sz w:val="36"/>
          <w:szCs w:val="36"/>
          <w:highlight w:val="none"/>
          <w:lang w:val="zh-CN"/>
        </w:rPr>
        <w:t xml:space="preserve">第二章 供应商须知</w:t>
      </w:r>
      <w:r/>
      <w:bookmarkEnd w:id="664"/>
      <w:r/>
      <w:r/>
    </w:p>
    <w:p>
      <w:pPr>
        <w:ind w:firstLine="422"/>
        <w:jc w:val="left"/>
        <w:spacing w:before="120" w:after="120"/>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 xml:space="preserve">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rPr>
        <w:t xml:space="preserve">南京市规划和自然资源局江宁分局</w:t>
      </w:r>
      <w:r>
        <w:rPr>
          <w:rFonts w:hint="eastAsia" w:asciiTheme="minorEastAsia" w:hAnsiTheme="minorEastAsia" w:eastAsiaTheme="minorEastAsia" w:cstheme="minorEastAsia"/>
          <w:color w:val="auto"/>
          <w:szCs w:val="21"/>
          <w:highlight w:val="none"/>
        </w:rPr>
        <w:t xml:space="preserve">（采购人）委托，对其</w:t>
      </w:r>
      <w:r>
        <w:rPr>
          <w:rFonts w:hint="eastAsia" w:asciiTheme="minorEastAsia" w:hAnsiTheme="minorEastAsia" w:eastAsiaTheme="minorEastAsia" w:cstheme="minorEastAsia"/>
          <w:b/>
          <w:bCs/>
          <w:color w:val="auto"/>
          <w:szCs w:val="21"/>
          <w:highlight w:val="none"/>
        </w:rPr>
        <w:t xml:space="preserve">江宁区2026年度国土变更调查（含日常变更调查）</w:t>
      </w:r>
      <w:r>
        <w:rPr>
          <w:rFonts w:hint="eastAsia" w:asciiTheme="minorEastAsia" w:hAnsiTheme="minorEastAsia" w:eastAsiaTheme="minorEastAsia" w:cstheme="minorEastAsia"/>
          <w:color w:val="auto"/>
          <w:szCs w:val="21"/>
          <w:highlight w:val="none"/>
          <w:lang w:eastAsia="zh-CN"/>
        </w:rPr>
        <w:t xml:space="preserve">JSZC-320115-NJDX-G2026-0002</w:t>
      </w:r>
      <w:r>
        <w:rPr>
          <w:rFonts w:hint="eastAsia" w:asciiTheme="minorEastAsia" w:hAnsiTheme="minorEastAsia" w:eastAsiaTheme="minorEastAsia" w:cstheme="minorEastAsia"/>
          <w:color w:val="auto"/>
          <w:szCs w:val="21"/>
          <w:highlight w:val="none"/>
        </w:rPr>
        <w:t xml:space="preserve">进行公开招标，兹邀请符合条件的供应商参与投标，相关信息如下：</w:t>
      </w:r>
      <w:r/>
    </w:p>
    <w:tbl>
      <w:tblPr>
        <w:tblStyle w:val="697"/>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JSZC-320115-NJDX-G2026-0002</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江宁区2026年度国土变更调查（含日常变更调查）</w:t>
            </w:r>
            <w:r/>
          </w:p>
        </w:tc>
      </w:tr>
      <w:tr>
        <w:trPr>
          <w:trHeight w:val="3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南京东兴工程咨询有限公司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南京市江宁区天元中路128号诚基名苑2幢618室</w:t>
            </w:r>
            <w:r/>
          </w:p>
        </w:tc>
      </w:tr>
      <w:tr>
        <w:trP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项目预算</w:t>
            </w:r>
            <w:r>
              <w:rPr>
                <w:rFonts w:hint="eastAsia" w:ascii="宋体" w:hAnsi="宋体" w:cs="宋体"/>
                <w:color w:val="auto"/>
                <w:szCs w:val="21"/>
                <w:highlight w:val="none"/>
              </w:rPr>
              <w:t xml:space="preserve">及最高限价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预算金额：192万元（采购包1：180万元；采购包2:12万元） </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最高限价：采购包1：180万元；采购包2:12万元</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总服务期限约为12个月。工作时间节点以甲方通知为准。</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投标截止</w:t>
            </w:r>
            <w:r>
              <w:rPr>
                <w:rFonts w:hint="eastAsia" w:asciiTheme="minorEastAsia" w:hAnsiTheme="minorEastAsia" w:eastAsiaTheme="minorEastAsia" w:cstheme="minorEastAsia"/>
                <w:color w:val="auto"/>
                <w:szCs w:val="21"/>
                <w:highlight w:val="none"/>
                <w:lang w:val="zh-CN"/>
              </w:rPr>
              <w:t xml:space="preserve">之日起</w:t>
            </w:r>
            <w:r>
              <w:rPr>
                <w:rFonts w:hint="eastAsia" w:asciiTheme="minorEastAsia" w:hAnsiTheme="minorEastAsia" w:eastAsiaTheme="minorEastAsia" w:cstheme="minorEastAsia"/>
                <w:color w:val="auto"/>
                <w:szCs w:val="21"/>
                <w:highlight w:val="none"/>
              </w:rPr>
              <w:t xml:space="preserve">90</w:t>
            </w:r>
            <w:r>
              <w:rPr>
                <w:rFonts w:hint="eastAsia" w:asciiTheme="minorEastAsia" w:hAnsiTheme="minorEastAsia" w:eastAsiaTheme="minorEastAsia" w:cstheme="minorEastAsia"/>
                <w:color w:val="auto"/>
                <w:szCs w:val="21"/>
                <w:highlight w:val="none"/>
                <w:lang w:val="zh-CN"/>
              </w:rPr>
              <w:t xml:space="preserve">天</w:t>
            </w:r>
            <w:r/>
          </w:p>
        </w:tc>
      </w:tr>
      <w:tr>
        <w:trPr>
          <w:trHeight w:val="29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ff0000"/>
                <w:szCs w:val="21"/>
                <w:highlight w:val="none"/>
                <w:lang w:eastAsia="zh-CN"/>
              </w:rPr>
              <w:t xml:space="preserve">2026年6月26日</w:t>
            </w:r>
            <w:r>
              <w:rPr>
                <w:rFonts w:hint="eastAsia" w:ascii="宋体" w:hAnsi="宋体" w:cs="宋体"/>
                <w:color w:val="auto"/>
                <w:szCs w:val="21"/>
                <w:highlight w:val="none"/>
              </w:rPr>
              <w:t xml:space="preserve">14点30分</w:t>
            </w:r>
            <w:r>
              <w:rPr>
                <w:rFonts w:hint="eastAsia" w:ascii="宋体" w:hAnsi="宋体" w:cs="宋体"/>
                <w:color w:val="auto"/>
                <w:highlight w:val="none"/>
              </w:rPr>
              <w:t xml:space="preserve">（北京时间）</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highlight w:val="none"/>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纸质投标文件及相关资料份数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在中标后，中标供应商须配合采购人提供纸质投标文件（与在苏采云系统内最终提交的响应文件一致）。</w:t>
            </w:r>
            <w:r/>
          </w:p>
          <w:p>
            <w:pPr>
              <w:rPr>
                <w:rFonts w:asciiTheme="minorEastAsia" w:hAnsiTheme="minorEastAsia" w:eastAsiaTheme="minorEastAsia" w:cstheme="minorEastAsia"/>
                <w:bCs/>
                <w:color w:val="auto"/>
                <w:szCs w:val="21"/>
                <w:highlight w:val="none"/>
              </w:rPr>
            </w:pPr>
            <w:r>
              <w:rPr>
                <w:rFonts w:hint="eastAsia" w:ascii="宋体" w:hAnsi="宋体" w:cs="宋体"/>
                <w:b/>
                <w:bCs/>
                <w:color w:val="auto"/>
                <w:szCs w:val="21"/>
                <w:highlight w:val="none"/>
              </w:rPr>
              <w:t xml:space="preserve">具体数量及要求：正本壹份；副本贰份。系统内导出最终提交的响应文件（应有电子章），打印装订，并在封面、骑缝处盖公章。</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资格承诺制的应用</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宋体" w:hAnsi="宋体" w:cs="宋体"/>
                <w:b/>
                <w:bCs/>
                <w:color w:val="auto"/>
                <w:szCs w:val="21"/>
                <w:highlight w:val="none"/>
              </w:rPr>
              <w:t xml:space="preserve">在中标后，中标供应商</w:t>
            </w:r>
            <w:r>
              <w:rPr>
                <w:rFonts w:hint="eastAsia" w:ascii="宋体" w:hAnsi="宋体" w:cs="宋体"/>
                <w:b/>
                <w:bCs/>
                <w:color w:val="auto"/>
                <w:szCs w:val="21"/>
                <w:highlight w:val="none"/>
                <w:lang w:bidi="ar"/>
              </w:rPr>
              <w:t xml:space="preserve">仅提供资格承诺书而未提供资格条件中涉及的证明材料的，须在结果公告发布后 7 个工作日内另行提供由资格承诺书替代的证明材料（一式三份），材料须装订成册、加盖公章并按采购文件要求提交采购人或采购代理机构核验。经核验无误后，由采购人或采购代理机构发出中标通知书。</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宋体" w:hAnsi="宋体" w:cs="宋体"/>
                <w:color w:val="auto"/>
                <w:szCs w:val="21"/>
                <w:highlight w:val="none"/>
              </w:rPr>
              <w:t xml:space="preserve">代理服务费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为严格落实预算管理、简化支付流程、提高采购效率，</w:t>
            </w:r>
            <w:r>
              <w:rPr>
                <w:rFonts w:hint="eastAsia" w:ascii="宋体" w:hAnsi="宋体" w:cs="宋体"/>
                <w:color w:val="auto"/>
                <w:szCs w:val="21"/>
                <w:highlight w:val="none"/>
              </w:rPr>
              <w:t xml:space="preserve">本项目预算已包含代理服务费。供应商</w:t>
            </w:r>
            <w:r>
              <w:rPr>
                <w:rFonts w:hint="eastAsia" w:ascii="宋体" w:hAnsi="宋体" w:cs="宋体"/>
                <w:color w:val="auto"/>
                <w:szCs w:val="21"/>
                <w:highlight w:val="none"/>
                <w:lang w:val="zh-CN"/>
              </w:rPr>
              <w:t xml:space="preserve">在</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时应充分考虑</w:t>
            </w:r>
            <w:r>
              <w:rPr>
                <w:rFonts w:hint="eastAsia" w:ascii="宋体" w:hAnsi="宋体" w:cs="宋体"/>
                <w:color w:val="auto"/>
                <w:szCs w:val="21"/>
                <w:highlight w:val="none"/>
              </w:rPr>
              <w:t xml:space="preserve">上述</w:t>
            </w:r>
            <w:r>
              <w:rPr>
                <w:rFonts w:hint="eastAsia" w:ascii="宋体" w:hAnsi="宋体" w:cs="宋体"/>
                <w:color w:val="auto"/>
                <w:szCs w:val="21"/>
                <w:highlight w:val="none"/>
                <w:lang w:val="zh-CN"/>
              </w:rPr>
              <w:t xml:space="preserve">费用，</w:t>
            </w:r>
            <w:r>
              <w:rPr>
                <w:rFonts w:hint="eastAsia" w:ascii="宋体" w:hAnsi="宋体" w:cs="宋体"/>
                <w:color w:val="auto"/>
                <w:szCs w:val="21"/>
                <w:highlight w:val="none"/>
              </w:rPr>
              <w:t xml:space="preserve">并</w:t>
            </w:r>
            <w:r>
              <w:rPr>
                <w:rFonts w:hint="eastAsia" w:ascii="宋体" w:hAnsi="宋体" w:cs="宋体"/>
                <w:color w:val="auto"/>
                <w:szCs w:val="21"/>
                <w:highlight w:val="none"/>
                <w:lang w:val="zh-CN"/>
              </w:rPr>
              <w:t xml:space="preserve">包含在报价中；无论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是否将该费用在报价中</w:t>
            </w:r>
            <w:r>
              <w:rPr>
                <w:rFonts w:hint="eastAsia" w:ascii="宋体" w:hAnsi="宋体" w:cs="宋体"/>
                <w:color w:val="auto"/>
                <w:szCs w:val="21"/>
                <w:highlight w:val="none"/>
              </w:rPr>
              <w:t xml:space="preserve">单独</w:t>
            </w:r>
            <w:r>
              <w:rPr>
                <w:rFonts w:hint="eastAsia" w:ascii="宋体" w:hAnsi="宋体" w:cs="宋体"/>
                <w:color w:val="auto"/>
                <w:szCs w:val="21"/>
                <w:highlight w:val="none"/>
                <w:lang w:val="zh-CN"/>
              </w:rPr>
              <w:t xml:space="preserve">列明，均视为已含在总价中。</w:t>
            </w:r>
            <w:r/>
          </w:p>
          <w:p>
            <w:pPr>
              <w:rPr>
                <w:rFonts w:ascii="宋体" w:hAnsi="宋体" w:cs="宋体"/>
                <w:color w:val="auto"/>
                <w:szCs w:val="21"/>
                <w:highlight w:val="none"/>
              </w:rPr>
            </w:pPr>
            <w:r>
              <w:rPr>
                <w:rFonts w:hint="eastAsia" w:ascii="宋体" w:hAnsi="宋体" w:cs="宋体"/>
                <w:color w:val="auto"/>
                <w:szCs w:val="21"/>
                <w:highlight w:val="none"/>
              </w:rPr>
              <w:t xml:space="preserve">1、收费方式：</w:t>
            </w:r>
            <w:r>
              <w:rPr>
                <w:rFonts w:hint="eastAsia" w:ascii="宋体" w:hAnsi="宋体" w:cs="宋体"/>
                <w:color w:val="auto"/>
                <w:szCs w:val="21"/>
                <w:highlight w:val="none"/>
              </w:rPr>
              <w:br/>
            </w:r>
            <w:r>
              <w:rPr>
                <w:rFonts w:hint="eastAsia" w:ascii="宋体" w:hAnsi="宋体" w:cs="宋体"/>
                <w:color w:val="auto"/>
                <w:szCs w:val="21"/>
                <w:highlight w:val="none"/>
                <w:lang w:val="zh-CN"/>
              </w:rPr>
              <w:t xml:space="preserve">由</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供应商在领取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通知书时，一次性向</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代理机构支付</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代理费、相关技术咨询费（</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rPr>
                <w:rFonts w:ascii="宋体" w:hAnsi="宋体" w:cs="宋体"/>
                <w:color w:val="auto"/>
                <w:szCs w:val="21"/>
                <w:highlight w:val="none"/>
              </w:rPr>
            </w:pPr>
            <w:r>
              <w:rPr>
                <w:rFonts w:hint="eastAsia" w:ascii="宋体" w:hAnsi="宋体" w:cs="宋体"/>
                <w:color w:val="auto"/>
                <w:szCs w:val="21"/>
                <w:highlight w:val="none"/>
              </w:rPr>
              <w:t xml:space="preserve">2、收费标准如下：</w:t>
            </w:r>
            <w:r/>
          </w:p>
          <w:p>
            <w:pPr>
              <w:rPr>
                <w:rFonts w:ascii="宋体" w:hAnsi="宋体" w:cs="宋体"/>
                <w:color w:val="auto"/>
                <w:szCs w:val="21"/>
                <w:highlight w:val="none"/>
              </w:rPr>
            </w:pPr>
            <w:r>
              <w:rPr>
                <w:rFonts w:hint="eastAsia" w:ascii="宋体" w:hAnsi="宋体" w:cs="宋体"/>
                <w:color w:val="auto"/>
                <w:szCs w:val="21"/>
                <w:highlight w:val="none"/>
              </w:rPr>
              <w:t xml:space="preserve">（1）采购代理费：参照《江苏省政府采购代理服务收费指导意见》（苏政采协[2024]20号）规定的收费标准，按75%计算收取。</w:t>
            </w:r>
            <w:r/>
          </w:p>
          <w:p>
            <w:pPr>
              <w:rPr>
                <w:rFonts w:ascii="宋体" w:hAnsi="宋体" w:cs="宋体"/>
                <w:b/>
                <w:bCs/>
                <w:color w:val="auto"/>
                <w:szCs w:val="21"/>
                <w:highlight w:val="none"/>
              </w:rPr>
            </w:pPr>
            <w:r>
              <w:rPr>
                <w:rFonts w:hint="eastAsia" w:ascii="宋体" w:hAnsi="宋体" w:cs="宋体"/>
                <w:color w:val="auto"/>
                <w:szCs w:val="21"/>
                <w:highlight w:val="none"/>
              </w:rPr>
              <w:t xml:space="preserve">（2）相关技术咨询费（如有）:期方案论证、市场调研、预算/控制价审核等相关技术咨询服务，参照《江苏省工程造价咨询服务收费指导意见》（苏建价协[2022]7号）规定收费标准，按75%计算收取。</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丁</w:t>
            </w:r>
            <w:r>
              <w:rPr>
                <w:rFonts w:hint="eastAsia" w:asciiTheme="minorEastAsia" w:hAnsiTheme="minorEastAsia" w:eastAsiaTheme="minorEastAsia" w:cstheme="minorEastAsia"/>
                <w:color w:val="auto"/>
                <w:szCs w:val="21"/>
                <w:highlight w:val="none"/>
              </w:rPr>
              <w:t xml:space="preserve">女士</w:t>
            </w:r>
            <w:r/>
          </w:p>
        </w:tc>
      </w:tr>
      <w:tr>
        <w:trPr>
          <w:trHeight w:val="386"/>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3"/>
                <w:szCs w:val="21"/>
                <w:highlight w:val="none"/>
              </w:rPr>
              <w:t xml:space="preserve">025-52146139</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赵工</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025-52140133</w:t>
            </w:r>
            <w:r/>
          </w:p>
        </w:tc>
      </w:tr>
    </w:tbl>
    <w:p>
      <w:pPr>
        <w:ind w:firstLine="422"/>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一、总则</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1、适用法律</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 《中华人民共和国政府采购法》《中华人民共和国政府采购法实施条例》《政府采购货物和服务招标投标管理办法》等有关法律、规章和规定等。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2、定义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2.1 “</w:t>
      </w:r>
      <w:r>
        <w:rPr>
          <w:rFonts w:hint="eastAsia" w:asciiTheme="minorEastAsia" w:hAnsiTheme="minorEastAsia" w:eastAsiaTheme="minorEastAsia" w:cstheme="minorEastAsia"/>
          <w:b/>
          <w:color w:val="auto"/>
          <w:highlight w:val="none"/>
          <w:lang w:val="zh-CN"/>
        </w:rPr>
        <w:t xml:space="preserve">供应商</w:t>
      </w:r>
      <w:r>
        <w:rPr>
          <w:rFonts w:hint="eastAsia" w:asciiTheme="minorEastAsia" w:hAnsiTheme="minorEastAsia" w:eastAsiaTheme="minorEastAsia" w:cstheme="minorEastAsia"/>
          <w:b/>
          <w:color w:val="auto"/>
          <w:highlight w:val="none"/>
        </w:rPr>
        <w:t xml:space="preserve">/投标人</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是指参加投标竞争，并符合招标文件规定资格条件的法人、其他组织或者自然人。</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 xml:space="preserve">“货物和服务”</w:t>
      </w:r>
      <w:r>
        <w:rPr>
          <w:rFonts w:hint="eastAsia" w:asciiTheme="minorEastAsia" w:hAnsiTheme="minorEastAsia" w:eastAsiaTheme="minorEastAsia" w:cstheme="minorEastAsia"/>
          <w:color w:val="auto"/>
          <w:highlight w:val="none"/>
          <w:lang w:val="zh-CN"/>
        </w:rPr>
        <w:t xml:space="preserve">指本招标文件中所述</w:t>
      </w:r>
      <w:r>
        <w:rPr>
          <w:rFonts w:hint="eastAsia" w:asciiTheme="minorEastAsia" w:hAnsiTheme="minorEastAsia" w:eastAsiaTheme="minorEastAsia" w:cstheme="minorEastAsia"/>
          <w:b/>
          <w:color w:val="auto"/>
          <w:highlight w:val="none"/>
          <w:lang w:val="zh-CN"/>
        </w:rPr>
        <w:t xml:space="preserve">产品</w:t>
      </w:r>
      <w:r>
        <w:rPr>
          <w:rFonts w:hint="eastAsia" w:asciiTheme="minorEastAsia" w:hAnsiTheme="minorEastAsia" w:eastAsiaTheme="minorEastAsia" w:cstheme="minorEastAsia"/>
          <w:color w:val="auto"/>
          <w:highlight w:val="none"/>
          <w:lang w:val="zh-CN"/>
        </w:rPr>
        <w:t xml:space="preserve">及相关服务。</w:t>
      </w:r>
      <w:r>
        <w:rPr>
          <w:rFonts w:hint="eastAsia" w:asciiTheme="minorEastAsia" w:hAnsiTheme="minorEastAsia" w:eastAsiaTheme="minorEastAsia" w:cstheme="minorEastAsia"/>
          <w:b/>
          <w:color w:val="auto"/>
          <w:szCs w:val="21"/>
          <w:highlight w:val="none"/>
          <w:lang w:val="zh-CN"/>
        </w:rPr>
        <w:t xml:space="preserve">本次采购不接受进口产品投标</w:t>
      </w:r>
      <w:r>
        <w:rPr>
          <w:rFonts w:hint="eastAsia" w:asciiTheme="minorEastAsia" w:hAnsiTheme="minorEastAsia" w:eastAsiaTheme="minorEastAsia" w:cstheme="minorEastAsia"/>
          <w:color w:val="auto"/>
          <w:szCs w:val="21"/>
          <w:highlight w:val="none"/>
          <w:lang w:val="zh-CN"/>
        </w:rPr>
        <w:t xml:space="preserve">，进口产品是指通过中国海关报关验放进入中国境内且产自关境外的产品。</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2.3 “</w:t>
      </w:r>
      <w:r>
        <w:rPr>
          <w:rFonts w:hint="eastAsia" w:asciiTheme="minorEastAsia" w:hAnsiTheme="minorEastAsia" w:eastAsiaTheme="minorEastAsia" w:cstheme="minorEastAsia"/>
          <w:color w:val="auto"/>
          <w:highlight w:val="none"/>
        </w:rPr>
        <w:t xml:space="preserve">采购人/</w:t>
      </w:r>
      <w:r>
        <w:rPr>
          <w:rFonts w:hint="eastAsia" w:asciiTheme="minorEastAsia" w:hAnsiTheme="minorEastAsia" w:eastAsiaTheme="minorEastAsia" w:cstheme="minorEastAsia"/>
          <w:color w:val="auto"/>
          <w:highlight w:val="none"/>
          <w:lang w:val="zh-CN"/>
        </w:rPr>
        <w:t xml:space="preserve">用户</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zh-CN"/>
        </w:rPr>
        <w:t xml:space="preserve">使用单位</w:t>
      </w:r>
      <w:r>
        <w:rPr>
          <w:rFonts w:hint="eastAsia" w:asciiTheme="minorEastAsia" w:hAnsiTheme="minorEastAsia" w:eastAsiaTheme="minorEastAsia" w:cstheme="minorEastAsia"/>
          <w:color w:val="auto"/>
          <w:highlight w:val="none"/>
        </w:rPr>
        <w:t xml:space="preserve">/招标人</w:t>
      </w:r>
      <w:r>
        <w:rPr>
          <w:rFonts w:hint="eastAsia" w:asciiTheme="minorEastAsia" w:hAnsiTheme="minorEastAsia" w:eastAsiaTheme="minorEastAsia" w:cstheme="minorEastAsia"/>
          <w:color w:val="auto"/>
          <w:highlight w:val="none"/>
          <w:lang w:val="zh-CN"/>
        </w:rPr>
        <w:t xml:space="preserve">”是指使用服务的单位。</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3、政策功能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（1）在货物采购项目中，货物由中小企业制造，即货物由中小企业生产且使用该中小企业商号或者注册商标；</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（2）在工程采购项目中，工程由中小企业承建，即工程施工单位为中小企业；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在货物采购项目中，供应商提供的货物既有中小企业制造货物，也有大型企业制造货物的，不享受中小企业扶持政策。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中小企业供应商参加政府采购活动，应当出具《中小企业声明函》（格式见后附件），否则不得享受相关中小企业扶持政策。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3.6提供的产品属于政府强制采购节能产品的，供应商应当选择经过认证的节能产品投标，并提供有效的节能产品认证证书复印件。</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3.7提供的产品属于环境标志产品的,供应商应当选择经过认证的环境标志产品投标,并提供有效的环境标志产品认证证书复印件。</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rPr>
        <w:t xml:space="preserve">3.8</w:t>
      </w:r>
      <w:r>
        <w:rPr>
          <w:rFonts w:hint="eastAsia" w:ascii="宋体" w:hAnsi="宋体" w:cs="宋体"/>
          <w:color w:val="auto"/>
          <w:szCs w:val="21"/>
          <w:highlight w:val="none"/>
          <w:lang w:val="zh-CN"/>
        </w:rPr>
        <w:t xml:space="preserve">实施本国产品标准及相关政策</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）本国产品应当符合以下条件：</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1）在中国境内生产</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2）在中国境内生产的组件成本占比达到规定比例</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3）特定产品的关键组件、关键工序符合相关要求</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）本国产品标准的适用范围</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）对本国产品的支持政策</w:t>
      </w:r>
      <w:r/>
    </w:p>
    <w:p>
      <w:pPr>
        <w:ind w:firstLine="422"/>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本项目如既有本国产品又有非本国产品参与竞争，依法对本国产品给予价格评审优惠，具体详见第</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章。</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）政策执行要求</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11"/>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二、招标文件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4、招标文件组成</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4.3 招标文件如果要求供应商提交备选投标方案的，供应商可以提交备选方案；否则，备选方案将被拒绝。</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5、招标文件的澄清、修改</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 xml:space="preserve">十五日</w:t>
      </w:r>
      <w:r>
        <w:rPr>
          <w:rFonts w:hint="eastAsia" w:asciiTheme="minorEastAsia" w:hAnsiTheme="minorEastAsia" w:eastAsiaTheme="minorEastAsia" w:cstheme="minorEastAsia"/>
          <w:color w:val="auto"/>
          <w:highlight w:val="none"/>
          <w:lang w:val="zh-CN"/>
        </w:rPr>
        <w:t xml:space="preserve">前，在原招标公告媒体发布更正公告，该澄清或者修改的内容为招标文件的组成部分。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5.2 代理机构在招标文件要求提交投标文件截止时间</w:t>
      </w:r>
      <w:r>
        <w:rPr>
          <w:rFonts w:hint="eastAsia" w:asciiTheme="minorEastAsia" w:hAnsiTheme="minorEastAsia" w:eastAsiaTheme="minorEastAsia" w:cstheme="minorEastAsia"/>
          <w:b/>
          <w:color w:val="auto"/>
          <w:highlight w:val="none"/>
          <w:u w:val="single"/>
          <w:lang w:val="zh-CN"/>
        </w:rPr>
        <w:t xml:space="preserve">三日</w:t>
      </w:r>
      <w:r>
        <w:rPr>
          <w:rFonts w:hint="eastAsia" w:asciiTheme="minorEastAsia" w:hAnsiTheme="minorEastAsia" w:eastAsiaTheme="minorEastAsia" w:cstheme="minorEastAsia"/>
          <w:color w:val="auto"/>
          <w:highlight w:val="none"/>
          <w:lang w:val="zh-CN"/>
        </w:rPr>
        <w:t xml:space="preserve">前，有权决定延长投标截止时间和开标时间，并</w:t>
      </w:r>
      <w:r>
        <w:rPr>
          <w:rFonts w:hint="eastAsia" w:asciiTheme="minorEastAsia" w:hAnsiTheme="minorEastAsia" w:eastAsiaTheme="minorEastAsia" w:cstheme="minorEastAsia"/>
          <w:color w:val="auto"/>
          <w:highlight w:val="none"/>
        </w:rPr>
        <w:t xml:space="preserve">在原采购信息发布媒体上发布变更公告。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.3 供应商应在投标截止时间前关注</w:t>
      </w:r>
      <w:r>
        <w:rPr>
          <w:rFonts w:hint="eastAsia" w:asciiTheme="minorEastAsia" w:hAnsiTheme="minorEastAsia" w:eastAsiaTheme="minorEastAsia" w:cstheme="minorEastAsia"/>
          <w:color w:val="auto"/>
          <w:highlight w:val="none"/>
        </w:rPr>
        <w:t xml:space="preserve">原采购信息发布媒体上</w:t>
      </w:r>
      <w:r>
        <w:rPr>
          <w:rFonts w:hint="eastAsia" w:asciiTheme="minorEastAsia" w:hAnsiTheme="minorEastAsia" w:eastAsiaTheme="minorEastAsia" w:cstheme="minorEastAsia"/>
          <w:color w:val="auto"/>
          <w:highlight w:val="none"/>
          <w:lang w:val="zh-CN"/>
        </w:rPr>
        <w:t xml:space="preserve">有关本招标项目有无变更公告。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三、投标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6、投标文件的语言、计量单位、货币和编制</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6.2 供应商所使用的计量单位应为国家法定计量单位。</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6.3 供应商应用人民币报价。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6.4 投标文件应字迹清楚、内容齐全、不得涂改。如有修改，修改处须有供应商公章和法定代表人或其授权的供应商代表签字。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6.5供应商应在投标文件中写清相应的项目编号、项目名称、供应商全称、地址、电话、传真等。</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7</w:t>
      </w:r>
      <w:r>
        <w:rPr>
          <w:rFonts w:hint="eastAsia" w:asciiTheme="minorEastAsia" w:hAnsiTheme="minorEastAsia" w:eastAsiaTheme="minorEastAsia" w:cstheme="minorEastAsia"/>
          <w:b/>
          <w:color w:val="auto"/>
          <w:highlight w:val="none"/>
          <w:lang w:val="zh-CN"/>
        </w:rPr>
        <w:t xml:space="preserve">、联合投标</w:t>
      </w:r>
      <w:r/>
    </w:p>
    <w:p>
      <w:pPr>
        <w:ind w:firstLine="420"/>
        <w:rPr>
          <w:rFonts w:asciiTheme="minorEastAsia" w:hAnsiTheme="minorEastAsia" w:eastAsiaTheme="minorEastAsia" w:cstheme="minorEastAsia"/>
          <w:b/>
          <w:i/>
          <w:color w:val="auto"/>
          <w:highlight w:val="none"/>
        </w:rPr>
      </w:pPr>
      <w:r>
        <w:rPr>
          <w:rFonts w:hint="eastAsia" w:asciiTheme="minorEastAsia" w:hAnsiTheme="minorEastAsia" w:eastAsiaTheme="minorEastAsia" w:cstheme="minorEastAsia"/>
          <w:color w:val="auto"/>
          <w:highlight w:val="none"/>
        </w:rPr>
        <w:t xml:space="preserve">7.1</w:t>
      </w:r>
      <w:r>
        <w:rPr>
          <w:rFonts w:hint="eastAsia" w:asciiTheme="minorEastAsia" w:hAnsiTheme="minorEastAsia" w:eastAsiaTheme="minorEastAsia" w:cstheme="minorEastAsia"/>
          <w:b/>
          <w:color w:val="auto"/>
          <w:szCs w:val="21"/>
          <w:highlight w:val="none"/>
        </w:rPr>
        <w:t xml:space="preserve">本次采购不接受联合体投标。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8、投标费用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8.1 供应商应承担所有与准备和参加投标有关的费用。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8.2</w:t>
      </w:r>
      <w:r>
        <w:rPr>
          <w:rFonts w:hint="eastAsia" w:asciiTheme="minorEastAsia" w:hAnsiTheme="minorEastAsia" w:eastAsiaTheme="minorEastAsia" w:cstheme="minorEastAsia"/>
          <w:b/>
          <w:color w:val="auto"/>
          <w:highlight w:val="none"/>
        </w:rPr>
        <w:t xml:space="preserve"> </w:t>
      </w:r>
      <w:r>
        <w:rPr>
          <w:rFonts w:hint="eastAsia" w:ascii="宋体" w:hAnsi="宋体" w:cs="宋体"/>
          <w:b/>
          <w:bCs/>
          <w:color w:val="auto"/>
          <w:szCs w:val="21"/>
          <w:highlight w:val="none"/>
          <w:lang w:val="zh-CN"/>
        </w:rPr>
        <w:t xml:space="preserve">本次</w:t>
      </w:r>
      <w:r>
        <w:rPr>
          <w:rFonts w:hint="eastAsia" w:ascii="宋体" w:hAnsi="宋体" w:cs="宋体"/>
          <w:b/>
          <w:bCs/>
          <w:color w:val="auto"/>
          <w:szCs w:val="21"/>
          <w:highlight w:val="none"/>
        </w:rPr>
        <w:t xml:space="preserve">采购代理服务费收费标准详见本章前附表。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9、投标文件组成</w:t>
      </w:r>
      <w:r/>
    </w:p>
    <w:p>
      <w:pPr>
        <w:ind w:firstLine="420"/>
        <w:widowControl/>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9.1</w:t>
      </w:r>
      <w:r>
        <w:rPr>
          <w:rFonts w:hint="eastAsia" w:asciiTheme="minorEastAsia" w:hAnsiTheme="minorEastAsia" w:eastAsiaTheme="minorEastAsia" w:cstheme="minorEastAsia"/>
          <w:color w:val="auto"/>
          <w:highlight w:val="none"/>
        </w:rPr>
        <w:t xml:space="preserve">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highlight w:val="none"/>
        </w:rPr>
        <w:t xml:space="preserve">对带星号（“★或*”）的技术条款必须在投标文件中提供技术支持资料（如白皮书、彩页、手册、检测报告等），未提供技术支持资料的，评审时不予认可。</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.3 投标文件由商务部分、技术部分、价格部分，以及其他部分组成。</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10、投标文件的商务部分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10.1 商务部分是证明供应商有资格参加投标和中标后有能力履行合同的文件，</w:t>
      </w:r>
      <w:r>
        <w:rPr>
          <w:rFonts w:hint="eastAsia" w:asciiTheme="minorEastAsia" w:hAnsiTheme="minorEastAsia" w:eastAsiaTheme="minorEastAsia" w:cstheme="minorEastAsia"/>
          <w:color w:val="auto"/>
          <w:highlight w:val="none"/>
        </w:rPr>
        <w:t xml:space="preserve">这些文件应能满足招标的要求</w:t>
      </w:r>
      <w:r>
        <w:rPr>
          <w:rFonts w:hint="eastAsia" w:asciiTheme="minorEastAsia" w:hAnsiTheme="minorEastAsia" w:eastAsiaTheme="minorEastAsia" w:cstheme="minorEastAsia"/>
          <w:color w:val="auto"/>
          <w:highlight w:val="none"/>
          <w:lang w:val="zh-CN"/>
        </w:rPr>
        <w:t xml:space="preserve">，包括但不限于下列文件，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rPr>
          <w:rFonts w:hint="eastAsia" w:asciiTheme="minorEastAsia" w:hAnsiTheme="minorEastAsia" w:eastAsiaTheme="minorEastAsia" w:cstheme="minorEastAsia"/>
          <w:color w:val="auto"/>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投标函（投标申请及声明）；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规定的条件</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color w:val="auto"/>
          <w:szCs w:val="21"/>
          <w:highlight w:val="none"/>
        </w:rPr>
        <w:t xml:space="preserve">证明文件（如有）；</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采购人根据采购项目的特殊要求规定的特定条件证明文件</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经营业绩及奖惩情况；</w:t>
      </w:r>
      <w:r/>
    </w:p>
    <w:p>
      <w:pPr>
        <w:ind w:firstLine="420"/>
        <w:tabs>
          <w:tab w:val="left" w:pos="732" w:leader="none"/>
        </w:tabs>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项目组人员一览表</w:t>
      </w:r>
      <w:r>
        <w:rPr>
          <w:rFonts w:hint="eastAsia" w:asciiTheme="minorEastAsia" w:hAnsiTheme="minorEastAsia" w:eastAsiaTheme="minorEastAsia" w:cstheme="minorEastAsia"/>
          <w:color w:val="auto"/>
          <w:szCs w:val="21"/>
          <w:highlight w:val="none"/>
        </w:rPr>
        <w:t xml:space="preserve">；</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rPr>
        <w:t xml:space="preserve">（7）供应商认为需要</w:t>
      </w:r>
      <w:r>
        <w:rPr>
          <w:rFonts w:hint="eastAsia" w:ascii="宋体" w:hAnsi="宋体" w:cs="宋体"/>
          <w:color w:val="auto"/>
          <w:szCs w:val="21"/>
          <w:highlight w:val="none"/>
          <w:lang w:val="zh-CN"/>
        </w:rPr>
        <w:t xml:space="preserve">提供的其他资格证明文件和商务资料等。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11、投标文件的技术部分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11.1 技术部分是证明</w:t>
      </w:r>
      <w:r>
        <w:rPr>
          <w:rFonts w:hint="eastAsia" w:asciiTheme="minorEastAsia" w:hAnsiTheme="minorEastAsia" w:eastAsiaTheme="minorEastAsia" w:cstheme="minorEastAsia"/>
          <w:color w:val="auto"/>
          <w:highlight w:val="none"/>
        </w:rPr>
        <w:t xml:space="preserve">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 xml:space="preserve">对投标报价表中的服务的详细说明，这些文件可以是文字资料、图纸和数据等。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11.2 若技术性能无特殊说明，则按国家有关部门最新颁布的标准及规范为准；</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11.</w:t>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p>
    <w:p>
      <w:pPr>
        <w:ind w:firstLine="420"/>
        <w:tabs>
          <w:tab w:val="left" w:pos="732" w:leader="none"/>
        </w:tabs>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（1）项目服务方案；</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（2）质量保证及服务承诺（不得低于招标文件要求）；</w:t>
      </w:r>
      <w:r/>
    </w:p>
    <w:p>
      <w:pPr>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）供应商认为需要提供的其他技术文件或资料等。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12、投标文件的价格部分</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12.1 价格部分是对投标货物及服务价格构成的说明，每一项服务仅接受一个价格。</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12.2</w:t>
      </w:r>
      <w:r>
        <w:rPr>
          <w:rFonts w:hint="eastAsia" w:asciiTheme="minorEastAsia" w:hAnsiTheme="minorEastAsia" w:eastAsiaTheme="minorEastAsia" w:cstheme="minorEastAsia"/>
          <w:b/>
          <w:bCs/>
          <w:color w:val="auto"/>
          <w:szCs w:val="21"/>
          <w:highlight w:val="none"/>
        </w:rPr>
        <w:t xml:space="preserve">政府采购提倡公平竞争，反对低于成本、串通报价、哄抬价格等恶意竞争行为，任何盲目压价、低于成本报价、串通哄抬报价等价格将会被拒绝。报价应低于市场平均价。</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szCs w:val="21"/>
          <w:highlight w:val="none"/>
        </w:rPr>
        <w:t xml:space="preserve">12.3投标报价</w:t>
      </w:r>
      <w:r>
        <w:rPr>
          <w:rFonts w:hint="eastAsia" w:asciiTheme="minorEastAsia" w:hAnsiTheme="minorEastAsia" w:eastAsiaTheme="minorEastAsia" w:cstheme="minorEastAsia"/>
          <w:color w:val="auto"/>
          <w:szCs w:val="21"/>
          <w:highlight w:val="none"/>
          <w:lang w:val="zh-CN"/>
        </w:rPr>
        <w:t xml:space="preserve">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2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12.5 </w:t>
      </w:r>
      <w:r>
        <w:rPr>
          <w:rFonts w:hint="eastAsia" w:asciiTheme="minorEastAsia" w:hAnsiTheme="minorEastAsia" w:eastAsiaTheme="minorEastAsia" w:cstheme="minorEastAsia"/>
          <w:color w:val="auto"/>
          <w:szCs w:val="21"/>
          <w:highlight w:val="none"/>
          <w:lang w:val="zh-CN"/>
        </w:rPr>
        <w:t xml:space="preserve">投标供应商应充分考虑到市场价格变动，以及项目实施过程中的不可预见因素，一旦成交，如果有漏项，视同让利。</w:t>
      </w:r>
      <w:r/>
    </w:p>
    <w:p>
      <w:pPr>
        <w:ind w:firstLine="422"/>
        <w:rPr>
          <w:rFonts w:ascii="宋体" w:hAnsi="宋体" w:cs="宋体"/>
          <w:b/>
          <w:color w:val="auto"/>
          <w:szCs w:val="21"/>
          <w:highlight w:val="none"/>
        </w:rPr>
      </w:pPr>
      <w:r>
        <w:rPr>
          <w:rFonts w:hint="eastAsia" w:asciiTheme="minorEastAsia" w:hAnsiTheme="minorEastAsia" w:eastAsiaTheme="minorEastAsia" w:cstheme="minorEastAsia"/>
          <w:b/>
          <w:bCs/>
          <w:color w:val="auto"/>
          <w:highlight w:val="none"/>
          <w:lang w:val="zh-CN"/>
        </w:rPr>
        <w:t xml:space="preserve">12.6</w:t>
      </w:r>
      <w:r>
        <w:rPr>
          <w:rFonts w:hint="eastAsia" w:asciiTheme="minorEastAsia" w:hAnsiTheme="minorEastAsia" w:eastAsiaTheme="minorEastAsia" w:cstheme="minorEastAsia"/>
          <w:color w:val="auto"/>
          <w:highlight w:val="none"/>
          <w:lang w:val="zh-CN"/>
        </w:rPr>
        <w:t xml:space="preserve"> </w:t>
      </w:r>
      <w:r>
        <w:rPr>
          <w:rFonts w:hint="eastAsia" w:ascii="宋体" w:hAnsi="宋体" w:cs="宋体"/>
          <w:b/>
          <w:color w:val="auto"/>
          <w:szCs w:val="21"/>
          <w:highlight w:val="none"/>
        </w:rPr>
        <w:t xml:space="preserve">异常低价投标（响应）审查程序</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政府采购提倡公平竞争，反对盲目压价参与磋商，任何盲目压价和低于成本报价将会被拒绝。</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出现下列情形之一的，评审委员会应当启动异常低价投标（响应）审查程序： </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3）投标（响应）报价低于采购项目最高限价45%的，即投标（响应）报价&lt;采购项目最高限价×45%； </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rPr>
          <w:rFonts w:ascii="宋体" w:hAnsi="宋体" w:cs="宋体"/>
          <w:b/>
          <w:color w:val="auto"/>
          <w:szCs w:val="21"/>
          <w:highlight w:val="none"/>
        </w:rPr>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13、投标文件的其他部分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13.1 其他部分由供应商根据编制投标文件需要提供的其他相关文件。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4</w:t>
      </w:r>
      <w:r>
        <w:rPr>
          <w:rFonts w:hint="eastAsia" w:asciiTheme="minorEastAsia" w:hAnsiTheme="minorEastAsia" w:eastAsiaTheme="minorEastAsia" w:cstheme="minorEastAsia"/>
          <w:b/>
          <w:color w:val="auto"/>
          <w:highlight w:val="none"/>
          <w:lang w:val="zh-CN"/>
        </w:rPr>
        <w:t xml:space="preserve">、投标有效期</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自开标之日起</w:t>
      </w:r>
      <w:r>
        <w:rPr>
          <w:rFonts w:hint="eastAsia" w:asciiTheme="minorEastAsia" w:hAnsiTheme="minorEastAsia" w:eastAsiaTheme="minorEastAsia" w:cstheme="minorEastAsia"/>
          <w:color w:val="auto"/>
          <w:highlight w:val="none"/>
        </w:rPr>
        <w:t xml:space="preserve">90</w:t>
      </w:r>
      <w:r>
        <w:rPr>
          <w:rFonts w:hint="eastAsia" w:asciiTheme="minorEastAsia" w:hAnsiTheme="minorEastAsia" w:eastAsiaTheme="minorEastAsia" w:cstheme="minorEastAsia"/>
          <w:color w:val="auto"/>
          <w:highlight w:val="none"/>
          <w:lang w:val="zh-CN"/>
        </w:rPr>
        <w:t xml:space="preserve">天内投标有效。</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b/>
          <w:color w:val="auto"/>
          <w:highlight w:val="none"/>
          <w:lang w:val="zh-CN"/>
        </w:rPr>
        <w:t xml:space="preserve">、投标文件</w:t>
      </w:r>
      <w:r>
        <w:rPr>
          <w:rFonts w:hint="eastAsia" w:asciiTheme="minorEastAsia" w:hAnsiTheme="minorEastAsia" w:eastAsiaTheme="minorEastAsia" w:cstheme="minorEastAsia"/>
          <w:b/>
          <w:color w:val="auto"/>
          <w:highlight w:val="none"/>
        </w:rPr>
        <w:t xml:space="preserve">的递交</w:t>
      </w:r>
      <w:r/>
    </w:p>
    <w:p>
      <w:pPr>
        <w:ind w:firstLine="422"/>
        <w:rPr>
          <w:rFonts w:ascii="宋体" w:hAnsi="宋体" w:cs="宋体"/>
          <w:color w:val="auto"/>
          <w:highlight w:val="none"/>
        </w:rPr>
      </w:pPr>
      <w:r>
        <w:rPr>
          <w:rFonts w:hint="eastAsia" w:ascii="宋体" w:hAnsi="宋体" w:cs="宋体"/>
          <w:color w:val="auto"/>
          <w:highlight w:val="none"/>
        </w:rPr>
        <w:t xml:space="preserve">15.1 供应商应当按照《操作手册》规定，在招标公告规定的投标截止时间前制作并上传电子投标文件。</w:t>
      </w:r>
      <w:r/>
    </w:p>
    <w:p>
      <w:pPr>
        <w:ind w:firstLine="422"/>
        <w:rPr>
          <w:rFonts w:ascii="宋体" w:hAnsi="宋体" w:cs="宋体"/>
          <w:color w:val="auto"/>
          <w:highlight w:val="none"/>
        </w:rPr>
      </w:pPr>
      <w:r>
        <w:rPr>
          <w:rFonts w:hint="eastAsia" w:ascii="宋体" w:hAnsi="宋体" w:cs="宋体"/>
          <w:color w:val="auto"/>
          <w:highlight w:val="none"/>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22"/>
        <w:rPr>
          <w:rFonts w:ascii="宋体" w:hAnsi="宋体" w:cs="宋体"/>
          <w:color w:val="auto"/>
          <w:highlight w:val="none"/>
        </w:rPr>
      </w:pPr>
      <w:r>
        <w:rPr>
          <w:rFonts w:hint="eastAsia" w:ascii="宋体" w:hAnsi="宋体" w:cs="宋体"/>
          <w:color w:val="auto"/>
          <w:highlight w:val="none"/>
        </w:rPr>
        <w:t xml:space="preserve">15.3代理机构可以按照规定，通过修改招标文件酌情延长投标截止时间，在此情况下，供应商的所有权利和义务均以延长后新的截止时间为准。</w:t>
      </w:r>
      <w:r/>
    </w:p>
    <w:p>
      <w:pPr>
        <w:ind w:firstLine="422"/>
        <w:rPr>
          <w:rFonts w:ascii="宋体" w:hAnsi="宋体" w:cs="宋体"/>
          <w:b/>
          <w:bCs/>
          <w:color w:val="auto"/>
          <w:highlight w:val="none"/>
        </w:rPr>
      </w:pPr>
      <w:r>
        <w:rPr>
          <w:rFonts w:hint="eastAsia" w:ascii="宋体" w:hAnsi="宋体" w:cs="宋体"/>
          <w:b/>
          <w:bCs/>
          <w:color w:val="auto"/>
          <w:highlight w:val="none"/>
        </w:rPr>
        <w:t xml:space="preserve">16.投标文件的拒收</w:t>
      </w:r>
      <w:r/>
    </w:p>
    <w:p>
      <w:pPr>
        <w:ind w:firstLine="422"/>
        <w:rPr>
          <w:rFonts w:ascii="宋体" w:hAnsi="宋体" w:cs="宋体"/>
          <w:color w:val="auto"/>
          <w:highlight w:val="none"/>
        </w:rPr>
      </w:pPr>
      <w:r>
        <w:rPr>
          <w:rFonts w:hint="eastAsia" w:ascii="宋体" w:hAnsi="宋体" w:cs="宋体"/>
          <w:b/>
          <w:bCs/>
          <w:color w:val="auto"/>
          <w:highlight w:val="none"/>
        </w:rPr>
        <w:t xml:space="preserve">16.1代理机构拒绝接收投标截止时间后上传的任何投标文件</w:t>
      </w:r>
      <w:r>
        <w:rPr>
          <w:rFonts w:hint="eastAsia" w:ascii="宋体" w:hAnsi="宋体" w:cs="宋体"/>
          <w:color w:val="auto"/>
          <w:highlight w:val="none"/>
        </w:rPr>
        <w:t xml:space="preserve">。</w:t>
      </w:r>
      <w:r/>
    </w:p>
    <w:p>
      <w:pPr>
        <w:ind w:firstLine="422"/>
        <w:rPr>
          <w:rFonts w:ascii="宋体" w:hAnsi="宋体" w:cs="宋体"/>
          <w:b/>
          <w:bCs/>
          <w:color w:val="auto"/>
          <w:highlight w:val="none"/>
        </w:rPr>
      </w:pPr>
      <w:r>
        <w:rPr>
          <w:rFonts w:hint="eastAsia" w:ascii="宋体" w:hAnsi="宋体" w:cs="宋体"/>
          <w:b/>
          <w:bCs/>
          <w:color w:val="auto"/>
          <w:highlight w:val="none"/>
        </w:rPr>
        <w:t xml:space="preserve">17.投标文件的撤回和修改</w:t>
      </w:r>
      <w:r/>
    </w:p>
    <w:p>
      <w:pPr>
        <w:ind w:firstLine="422"/>
        <w:rPr>
          <w:rFonts w:ascii="宋体" w:hAnsi="宋体" w:cs="宋体"/>
          <w:color w:val="auto"/>
          <w:highlight w:val="none"/>
        </w:rPr>
      </w:pPr>
      <w:r>
        <w:rPr>
          <w:rFonts w:hint="eastAsia" w:ascii="宋体" w:hAnsi="宋体" w:cs="宋体"/>
          <w:color w:val="auto"/>
          <w:highlight w:val="none"/>
        </w:rPr>
        <w:t xml:space="preserve">17.1 投标文件的撤回</w:t>
      </w:r>
      <w:r/>
    </w:p>
    <w:p>
      <w:pPr>
        <w:ind w:firstLine="422"/>
        <w:rPr>
          <w:rFonts w:ascii="宋体" w:hAnsi="宋体" w:cs="宋体"/>
          <w:color w:val="auto"/>
          <w:highlight w:val="none"/>
        </w:rPr>
      </w:pPr>
      <w:r>
        <w:rPr>
          <w:rFonts w:hint="eastAsia" w:ascii="宋体" w:hAnsi="宋体" w:cs="宋体"/>
          <w:color w:val="auto"/>
          <w:highlight w:val="none"/>
        </w:rPr>
        <w:t xml:space="preserve">17.1.1供应商可在投标截止时间前撤回其电子投标文件，具体操作方法见《操作手册》。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17.1.2供应商撤回电子投标文件，则认为其不再参与本项目投标活动。</w:t>
      </w:r>
      <w:r/>
    </w:p>
    <w:p>
      <w:pPr>
        <w:ind w:firstLine="422"/>
        <w:rPr>
          <w:rFonts w:ascii="宋体" w:hAnsi="宋体" w:cs="宋体"/>
          <w:color w:val="auto"/>
          <w:highlight w:val="none"/>
        </w:rPr>
      </w:pPr>
      <w:r>
        <w:rPr>
          <w:rFonts w:hint="eastAsia" w:ascii="宋体" w:hAnsi="宋体" w:cs="宋体"/>
          <w:color w:val="auto"/>
          <w:highlight w:val="none"/>
        </w:rPr>
        <w:t xml:space="preserve">17.2 投标文件的修改</w:t>
      </w:r>
      <w:r/>
    </w:p>
    <w:p>
      <w:pPr>
        <w:ind w:firstLine="422"/>
        <w:rPr>
          <w:rFonts w:ascii="宋体" w:hAnsi="宋体" w:cs="宋体"/>
          <w:color w:val="auto"/>
          <w:highlight w:val="none"/>
        </w:rPr>
      </w:pPr>
      <w:r>
        <w:rPr>
          <w:rFonts w:hint="eastAsia" w:ascii="宋体" w:hAnsi="宋体" w:cs="宋体"/>
          <w:color w:val="auto"/>
          <w:highlight w:val="none"/>
        </w:rPr>
        <w:t xml:space="preserve">17.2.1供应商可在投标截止时间前对其电子投标文件进行修改，具体操作方法见《操作手册》。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17.2.2投标截止时间之后，供应商不得对其电子投标文件作任何修改。</w:t>
      </w:r>
      <w:r/>
    </w:p>
    <w:p>
      <w:pPr>
        <w:ind w:firstLine="422"/>
        <w:rPr>
          <w:rFonts w:ascii="宋体" w:hAnsi="宋体" w:cs="宋体"/>
          <w:color w:val="auto"/>
          <w:highlight w:val="none"/>
        </w:rPr>
      </w:pPr>
      <w:r>
        <w:rPr>
          <w:rFonts w:hint="eastAsia" w:ascii="宋体" w:hAnsi="宋体" w:cs="宋体"/>
          <w:color w:val="auto"/>
          <w:highlight w:val="none"/>
        </w:rPr>
        <w:t xml:space="preserve">17.3 在投标截止时间至招标文件中规定的投标有效期满之间的这段时间内，供应商不得撤回其投标。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四、开标、评标与确定中标供应商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18</w:t>
      </w:r>
      <w:r>
        <w:rPr>
          <w:rFonts w:hint="eastAsia" w:asciiTheme="minorEastAsia" w:hAnsiTheme="minorEastAsia" w:eastAsiaTheme="minorEastAsia" w:cstheme="minorEastAsia"/>
          <w:b/>
          <w:color w:val="auto"/>
          <w:highlight w:val="none"/>
          <w:lang w:val="zh-CN"/>
        </w:rPr>
        <w:t xml:space="preserve">、开标</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 供应商在开标过程中涉及到的投标文件解密、开标结果确认等工作，应按照《操作手册》规定执行。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18.3 供应商如果对开标过程和开标结果有疑义，应当根据《操作手册》规定提出，苏采云系统中《开标记录表》公布后5分钟内未提出的，视同认可开标结果。</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.4 开标时，开标一览表中的投标总报价应与投标分项报价表中的投标总报价一致，如不一致不作为无效投标处理，评标时以开标一览表中价格为准。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.5 投标文件、《开标一览表》中报价出现前后不一致的，除采购文件另有规定外，按照下列规定修正：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（1）大写金额和小写金额不一致的，以大写金额为准；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（2）单价金额小数点或者百分比有明显错位的，以报价表的总价为准，并修改单价；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（3）总价金额与按单价汇总金额不一致的，以单价金额计算结果为准。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（4）同时出现两种以上不一致的，按照前款规定的顺序修正。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color w:val="auto"/>
          <w:highlight w:val="none"/>
        </w:rPr>
        <w:t xml:space="preserve">代理机构根据招标文件中的采购需求编制谈判文件，只与该两家供应商进行竞争性谈判采购。</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19</w:t>
      </w:r>
      <w:r>
        <w:rPr>
          <w:rFonts w:hint="eastAsia" w:asciiTheme="minorEastAsia" w:hAnsiTheme="minorEastAsia" w:eastAsiaTheme="minorEastAsia" w:cstheme="minorEastAsia"/>
          <w:b/>
          <w:color w:val="auto"/>
          <w:highlight w:val="none"/>
          <w:lang w:val="zh-CN"/>
        </w:rPr>
        <w:t xml:space="preserve">、评标</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.1 评标由代理机构组织评标委员会（以下简称“评委会”）进行。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.2 评委会由采购人代表和有关技术、经济等方面的专家组成，且人员构成符合政府采购有关规定。</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.3评委会独立工作，负责评审所有投标文件并推荐中标候选人，或根据采购人授权直接确定中标供应商。</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0</w:t>
      </w:r>
      <w:r>
        <w:rPr>
          <w:rFonts w:hint="eastAsia" w:asciiTheme="minorEastAsia" w:hAnsiTheme="minorEastAsia" w:eastAsiaTheme="minorEastAsia" w:cstheme="minorEastAsia"/>
          <w:b/>
          <w:color w:val="auto"/>
          <w:highlight w:val="none"/>
          <w:lang w:val="zh-CN"/>
        </w:rPr>
        <w:t xml:space="preserve">.评标过程的保密与公正</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.1凡是与审查、澄清、评价和比较投标的有关资料以及授标建议等，采购人、评委、代理机构均不得向供应商或与评标无关的其他人员透露。</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.2供应商不得以任何方式影响评标，否则其投标文件将被作为无效投标文件。</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.3 代理机构和评委会不向未中标的供应商解释未中标原因，也不公布评标过程中的相关细节。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.4 采用综合评分法的项目，未中标的供应商可于中标结果公告期限届满之日起通过苏采云系统查看本单位的评审得分及排名情况。</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1</w:t>
      </w:r>
      <w:r>
        <w:rPr>
          <w:rFonts w:hint="eastAsia" w:asciiTheme="minorEastAsia" w:hAnsiTheme="minorEastAsia" w:eastAsiaTheme="minorEastAsia" w:cstheme="minorEastAsia"/>
          <w:b/>
          <w:color w:val="auto"/>
          <w:highlight w:val="none"/>
          <w:lang w:val="zh-CN"/>
        </w:rPr>
        <w:t xml:space="preserve">.投标文件的澄清</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.3 接到评委会澄清、说明和补正要求的，供应商如未按规定作出澄清、说明和补正，其风险由供应商自行承担。</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.投标文件的审查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投标文件审查分为资格</w:t>
      </w:r>
      <w:r>
        <w:rPr>
          <w:rFonts w:hint="eastAsia" w:asciiTheme="minorEastAsia" w:hAnsiTheme="minorEastAsia" w:eastAsiaTheme="minorEastAsia" w:cstheme="minorEastAsia"/>
          <w:bCs/>
          <w:color w:val="auto"/>
          <w:highlight w:val="none"/>
        </w:rPr>
        <w:t xml:space="preserve">性</w:t>
      </w:r>
      <w:r>
        <w:rPr>
          <w:rFonts w:hint="eastAsia" w:asciiTheme="minorEastAsia" w:hAnsiTheme="minorEastAsia" w:eastAsiaTheme="minorEastAsia" w:cstheme="minorEastAsia"/>
          <w:bCs/>
          <w:color w:val="auto"/>
          <w:highlight w:val="none"/>
          <w:lang w:val="zh-CN"/>
        </w:rPr>
        <w:t xml:space="preserve">审查和符合性审查。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22.1 投标文件的资格性检查</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22.1.1</w:t>
      </w:r>
      <w:r>
        <w:rPr>
          <w:rFonts w:hint="eastAsia" w:asciiTheme="minorEastAsia" w:hAnsiTheme="minorEastAsia" w:eastAsiaTheme="minorEastAsia" w:cstheme="minorEastAsia"/>
          <w:color w:val="auto"/>
          <w:highlight w:val="none"/>
          <w:lang w:val="zh-CN"/>
        </w:rPr>
        <w:t xml:space="preserve">依据法律法规和招标文件的规定，对投标文件中资格证明</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zh-CN"/>
        </w:rPr>
        <w:t xml:space="preserve">进行审查，以确定供应商是否具备投标资格。</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rPr>
        <w:t xml:space="preserve">22.1.2</w:t>
      </w:r>
      <w:r>
        <w:rPr>
          <w:rFonts w:hint="eastAsia" w:asciiTheme="minorEastAsia" w:hAnsiTheme="minorEastAsia" w:eastAsiaTheme="minorEastAsia" w:cstheme="minorEastAsia"/>
          <w:b/>
          <w:bCs/>
          <w:color w:val="auto"/>
          <w:highlight w:val="none"/>
          <w:lang w:val="zh-CN"/>
        </w:rPr>
        <w:t xml:space="preserve">投标文件有下列情况之一的，在资格性检查时按照无效投标处理：</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w:t>
      </w:r>
      <w:r>
        <w:rPr>
          <w:rFonts w:hint="eastAsia" w:asciiTheme="minorEastAsia" w:hAnsiTheme="minorEastAsia" w:eastAsiaTheme="minorEastAsia" w:cstheme="minorEastAsia"/>
          <w:b/>
          <w:bCs/>
          <w:color w:val="auto"/>
          <w:highlight w:val="none"/>
        </w:rPr>
        <w:t xml:space="preserve">1</w:t>
      </w:r>
      <w:r>
        <w:rPr>
          <w:rFonts w:hint="eastAsia" w:asciiTheme="minorEastAsia" w:hAnsiTheme="minorEastAsia" w:eastAsiaTheme="minorEastAsia" w:cstheme="minorEastAsia"/>
          <w:b/>
          <w:bCs/>
          <w:color w:val="auto"/>
          <w:highlight w:val="none"/>
          <w:lang w:val="zh-CN"/>
        </w:rPr>
        <w:t xml:space="preserve">）不具备招标文件中规定资格要求的；</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2</w:t>
      </w:r>
      <w:r>
        <w:rPr>
          <w:rFonts w:hint="eastAsia" w:ascii="宋体" w:hAnsi="宋体" w:cs="宋体"/>
          <w:b/>
          <w:bCs/>
          <w:color w:val="auto"/>
          <w:highlight w:val="none"/>
          <w:lang w:val="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22.2</w:t>
      </w: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zh-CN"/>
        </w:rPr>
        <w:t xml:space="preserve">投标文件的符合性检查</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22.2.1</w:t>
      </w:r>
      <w:r>
        <w:rPr>
          <w:rFonts w:hint="eastAsia" w:asciiTheme="minorEastAsia" w:hAnsiTheme="minorEastAsia" w:eastAsiaTheme="minorEastAsia" w:cstheme="minorEastAsia"/>
          <w:color w:val="auto"/>
          <w:highlight w:val="none"/>
          <w:lang w:val="zh-CN"/>
        </w:rPr>
        <w:t xml:space="preserve">依据招标文件规定，从投标文件的有效性、完整性和对招标文件的响应程度进行审查</w:t>
      </w:r>
      <w:r>
        <w:rPr>
          <w:rFonts w:hint="eastAsia" w:asciiTheme="majorEastAsia" w:hAnsiTheme="majorEastAsia" w:eastAsiaTheme="majorEastAsia"/>
          <w:color w:val="auto"/>
          <w:szCs w:val="21"/>
          <w:highlight w:val="none"/>
        </w:rPr>
        <w:t xml:space="preserve">，以确定是否对采购文件的实质性要求作出响应。</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22.2.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 实质性要求是指本招标文件中用带星号（“★或*”）、“必须或须”或“应（应当）”等其他文字说明的商务和技术要求。</w:t>
      </w:r>
      <w:r/>
    </w:p>
    <w:p>
      <w:pPr>
        <w:ind w:firstLine="422"/>
        <w:jc w:val="left"/>
        <w:widowControl/>
        <w:rPr>
          <w:rFonts w:asciiTheme="minorEastAsia" w:hAnsiTheme="minorEastAsia" w:eastAsiaTheme="minorEastAsia" w:cstheme="minorEastAsia"/>
          <w:b/>
          <w:bCs/>
          <w:color w:val="auto"/>
          <w:szCs w:val="21"/>
          <w:highlight w:val="none"/>
          <w:lang w:val="zh-CN"/>
        </w:rPr>
      </w:pPr>
      <w:r/>
      <w:bookmarkStart w:id="69" w:name="OLE_LINK24"/>
      <w:r>
        <w:rPr>
          <w:rFonts w:hint="eastAsia" w:asciiTheme="minorEastAsia" w:hAnsiTheme="minorEastAsia" w:eastAsiaTheme="minorEastAsia" w:cstheme="minorEastAsia"/>
          <w:b/>
          <w:bCs/>
          <w:color w:val="auto"/>
          <w:szCs w:val="21"/>
          <w:highlight w:val="none"/>
        </w:rPr>
        <w:t xml:space="preserve">22.2.3响应文件属下列情形之一</w:t>
      </w:r>
      <w:bookmarkEnd w:id="69"/>
      <w:r>
        <w:rPr>
          <w:rFonts w:hint="eastAsia" w:asciiTheme="minorEastAsia" w:hAnsiTheme="minorEastAsia" w:eastAsiaTheme="minorEastAsia" w:cstheme="minorEastAsia"/>
          <w:b/>
          <w:bCs/>
          <w:color w:val="auto"/>
          <w:szCs w:val="21"/>
          <w:highlight w:val="none"/>
        </w:rPr>
        <w:t xml:space="preserve">的，在符合性检查时按照无效投标处理：</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）供应商在苏采云系统规定的时间内未成功解密电子投标文件；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）供应商未按照招标文件要求上传电子投标文件；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）同一供应商提交两个（含两个）以上不同的投标报价；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）供应商的报价超过了采购预算或最高限价；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启动异常低价投标（响应）审查后，投标（响应）供应商不能提供书面说明、证明材料，或者提供的书面说明、证明材料不能证明其报价合理性的；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（6）不同供应商的响应文件由同一单位或者个人编制；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（7）不同供应商委托同一单位或者个人办理投标事宜；</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（8）不同供应商的ip地址、MAC地址、标书制作工具客户端标识码一致的；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（9）</w:t>
      </w:r>
      <w:bookmarkStart w:id="70" w:name="OLE_LINK7"/>
      <w:r>
        <w:rPr>
          <w:rFonts w:hint="eastAsia" w:asciiTheme="minorEastAsia" w:hAnsiTheme="minorEastAsia" w:eastAsiaTheme="minorEastAsia" w:cstheme="minorEastAsia"/>
          <w:b/>
          <w:bCs/>
          <w:color w:val="auto"/>
          <w:szCs w:val="21"/>
          <w:highlight w:val="none"/>
        </w:rPr>
        <w:t xml:space="preserve">不同供应商的响应文件载明的项目管理成员或者联系人员为同一人</w:t>
      </w:r>
      <w:bookmarkEnd w:id="70"/>
      <w:r>
        <w:rPr>
          <w:rFonts w:hint="eastAsia" w:asciiTheme="minorEastAsia" w:hAnsiTheme="minorEastAsia" w:eastAsiaTheme="minorEastAsia" w:cstheme="minorEastAsia"/>
          <w:b/>
          <w:bCs/>
          <w:color w:val="auto"/>
          <w:szCs w:val="21"/>
          <w:highlight w:val="none"/>
        </w:rPr>
        <w:t xml:space="preserve">；</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（10）不同供应商的响应文件异常一致或者投标报价呈规律性差异；</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（11）不同供应商的法定代表人或委托代理人有夫妻、直系血亲关系的；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（12）不同供应商的负责人为同一人或者存在控股、管理关系的；</w:t>
      </w:r>
      <w:r/>
    </w:p>
    <w:p>
      <w:pPr>
        <w:ind w:firstLine="422"/>
        <w:jc w:val="left"/>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投标文件</w:t>
      </w:r>
      <w:r>
        <w:rPr>
          <w:rFonts w:hint="eastAsia" w:asciiTheme="minorEastAsia" w:hAnsiTheme="minorEastAsia" w:eastAsiaTheme="minorEastAsia" w:cstheme="minorEastAsia"/>
          <w:b/>
          <w:bCs/>
          <w:color w:val="auto"/>
          <w:szCs w:val="21"/>
          <w:highlight w:val="none"/>
          <w:lang w:val="zh-CN"/>
        </w:rPr>
        <w:t xml:space="preserve">未响应招标文件中实质性要求和条件的；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15</w:t>
      </w:r>
      <w:r>
        <w:rPr>
          <w:rFonts w:hint="eastAsia" w:asciiTheme="minorEastAsia" w:hAnsiTheme="minorEastAsia" w:eastAsiaTheme="minorEastAsia" w:cstheme="minorEastAsia"/>
          <w:b/>
          <w:bCs/>
          <w:color w:val="auto"/>
          <w:szCs w:val="21"/>
          <w:highlight w:val="none"/>
          <w:lang w:val="zh-CN"/>
        </w:rPr>
        <w:t xml:space="preserve">）投标文件含有采购人不能接受的附加条件；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16</w:t>
      </w:r>
      <w:r>
        <w:rPr>
          <w:rFonts w:hint="eastAsia" w:asciiTheme="minorEastAsia" w:hAnsiTheme="minorEastAsia" w:eastAsiaTheme="minorEastAsia" w:cstheme="minorEastAsia"/>
          <w:b/>
          <w:bCs/>
          <w:color w:val="auto"/>
          <w:szCs w:val="21"/>
          <w:highlight w:val="none"/>
          <w:lang w:val="zh-CN"/>
        </w:rPr>
        <w:t xml:space="preserve">）投标文件未按照招标文件要求加盖电子公章；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17</w:t>
      </w:r>
      <w:r>
        <w:rPr>
          <w:rFonts w:hint="eastAsia" w:asciiTheme="minorEastAsia" w:hAnsiTheme="minorEastAsia" w:eastAsiaTheme="minorEastAsia" w:cstheme="minorEastAsia"/>
          <w:b/>
          <w:bCs/>
          <w:color w:val="auto"/>
          <w:szCs w:val="21"/>
          <w:highlight w:val="none"/>
          <w:lang w:val="zh-CN"/>
        </w:rPr>
        <w:t xml:space="preserve">）法律法规及本招标文件规定的</w:t>
      </w:r>
      <w:r>
        <w:rPr>
          <w:rFonts w:hint="eastAsia" w:asciiTheme="minorEastAsia" w:hAnsiTheme="minorEastAsia" w:eastAsiaTheme="minorEastAsia" w:cstheme="minorEastAsia"/>
          <w:b/>
          <w:bCs/>
          <w:color w:val="auto"/>
          <w:szCs w:val="21"/>
          <w:highlight w:val="none"/>
        </w:rPr>
        <w:t xml:space="preserve">其他</w:t>
      </w:r>
      <w:r>
        <w:rPr>
          <w:rFonts w:hint="eastAsia" w:asciiTheme="minorEastAsia" w:hAnsiTheme="minorEastAsia" w:eastAsiaTheme="minorEastAsia" w:cstheme="minorEastAsia"/>
          <w:b/>
          <w:bCs/>
          <w:color w:val="auto"/>
          <w:szCs w:val="21"/>
          <w:highlight w:val="none"/>
          <w:lang w:val="zh-CN"/>
        </w:rPr>
        <w:t xml:space="preserve">无效投标情形。</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w:t>
      </w:r>
      <w:r>
        <w:rPr>
          <w:rFonts w:hint="eastAsia" w:asciiTheme="minorEastAsia" w:hAnsiTheme="minorEastAsia" w:eastAsiaTheme="minorEastAsia" w:cstheme="minorEastAsia"/>
          <w:b/>
          <w:color w:val="auto"/>
          <w:highlight w:val="none"/>
        </w:rPr>
        <w:t xml:space="preserve">3</w:t>
      </w:r>
      <w:r>
        <w:rPr>
          <w:rFonts w:hint="eastAsia" w:asciiTheme="minorEastAsia" w:hAnsiTheme="minorEastAsia" w:eastAsiaTheme="minorEastAsia" w:cstheme="minorEastAsia"/>
          <w:b/>
          <w:color w:val="auto"/>
          <w:highlight w:val="none"/>
          <w:lang w:val="zh-CN"/>
        </w:rPr>
        <w:t xml:space="preserve"> 有下列情形之一的予以废标，同时将废标理由通知所有供应商：</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1</w:t>
      </w:r>
      <w:r>
        <w:rPr>
          <w:rFonts w:hint="eastAsia" w:ascii="宋体" w:hAnsi="宋体"/>
          <w:b/>
          <w:bCs/>
          <w:color w:val="auto"/>
          <w:szCs w:val="21"/>
          <w:highlight w:val="none"/>
          <w:lang w:val="zh-CN"/>
        </w:rPr>
        <w:t xml:space="preserve">）因苏采云系统故障造成开标不成功；</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）在苏采云系统规定时间内成功解密电子响应文件的供应商不足</w:t>
      </w:r>
      <w:r>
        <w:rPr>
          <w:rFonts w:hint="eastAsia" w:ascii="宋体" w:hAnsi="宋体"/>
          <w:b/>
          <w:bCs/>
          <w:color w:val="auto"/>
          <w:szCs w:val="21"/>
          <w:highlight w:val="none"/>
        </w:rPr>
        <w:t xml:space="preserve">三</w:t>
      </w:r>
      <w:r>
        <w:rPr>
          <w:rFonts w:hint="eastAsia" w:ascii="宋体" w:hAnsi="宋体"/>
          <w:b/>
          <w:bCs/>
          <w:color w:val="auto"/>
          <w:szCs w:val="21"/>
          <w:highlight w:val="none"/>
          <w:lang w:val="zh-CN"/>
        </w:rPr>
        <w:t xml:space="preserve">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）符合资格条件的供应商或者对招标文件作实质响应的供应商不足三家；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4</w:t>
      </w:r>
      <w:r>
        <w:rPr>
          <w:rFonts w:hint="eastAsia" w:ascii="宋体" w:hAnsi="宋体"/>
          <w:b/>
          <w:bCs/>
          <w:color w:val="auto"/>
          <w:szCs w:val="21"/>
          <w:highlight w:val="none"/>
          <w:lang w:val="zh-CN"/>
        </w:rPr>
        <w:t xml:space="preserve">）出现影响采购公正的违法、违规行为；</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5）</w:t>
      </w:r>
      <w:r>
        <w:rPr>
          <w:rFonts w:hint="eastAsia" w:ascii="宋体" w:hAnsi="宋体"/>
          <w:b/>
          <w:bCs/>
          <w:color w:val="auto"/>
          <w:szCs w:val="21"/>
          <w:highlight w:val="none"/>
          <w:lang w:val="zh-CN"/>
        </w:rPr>
        <w:t xml:space="preserve">因重大变故采购任务取消；</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6</w:t>
      </w:r>
      <w:r>
        <w:rPr>
          <w:rFonts w:hint="eastAsia" w:ascii="宋体" w:hAnsi="宋体"/>
          <w:b/>
          <w:bCs/>
          <w:color w:val="auto"/>
          <w:szCs w:val="21"/>
          <w:highlight w:val="none"/>
          <w:lang w:val="zh-CN"/>
        </w:rPr>
        <w:t xml:space="preserve">）评委会认定招标文件存在歧义、重大缺陷导致评审工作无法进行；</w:t>
      </w:r>
      <w:r/>
    </w:p>
    <w:p>
      <w:pPr>
        <w:ind w:firstLine="369"/>
        <w:spacing w:line="252" w:lineRule="auto"/>
        <w:rPr>
          <w:rFonts w:ascii="宋体" w:hAnsi="宋体"/>
          <w:b/>
          <w:bCs/>
          <w:color w:val="auto"/>
          <w:szCs w:val="21"/>
          <w:highlight w:val="none"/>
          <w:lang w:val="zh-CN"/>
        </w:rPr>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）法律法规规定的其他应当终止情形。</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2</w:t>
      </w:r>
      <w:r>
        <w:rPr>
          <w:rFonts w:hint="eastAsia" w:asciiTheme="minorEastAsia" w:hAnsiTheme="minorEastAsia" w:eastAsiaTheme="minorEastAsia" w:cstheme="minorEastAsia"/>
          <w:bCs/>
          <w:color w:val="auto"/>
          <w:highlight w:val="none"/>
          <w:lang w:val="zh-CN"/>
        </w:rPr>
        <w:t xml:space="preserve">.</w:t>
      </w:r>
      <w:r>
        <w:rPr>
          <w:rFonts w:hint="eastAsia" w:asciiTheme="minorEastAsia" w:hAnsiTheme="minorEastAsia" w:eastAsiaTheme="minorEastAsia" w:cstheme="minorEastAsia"/>
          <w:bCs/>
          <w:color w:val="auto"/>
          <w:highlight w:val="none"/>
        </w:rPr>
        <w:t xml:space="preserve">4</w:t>
      </w:r>
      <w:r>
        <w:rPr>
          <w:rFonts w:hint="eastAsia" w:asciiTheme="minorEastAsia" w:hAnsiTheme="minorEastAsia" w:eastAsiaTheme="minorEastAsia" w:cstheme="minorEastAsia"/>
          <w:b/>
          <w:color w:val="auto"/>
          <w:highlight w:val="none"/>
          <w:lang w:val="zh-CN"/>
        </w:rPr>
        <w:t xml:space="preserve"> </w:t>
      </w:r>
      <w:r>
        <w:rPr>
          <w:rFonts w:hint="eastAsia" w:asciiTheme="minorEastAsia" w:hAnsiTheme="minorEastAsia" w:eastAsiaTheme="minorEastAsia" w:cstheme="minorEastAsia"/>
          <w:color w:val="auto"/>
          <w:highlight w:val="none"/>
          <w:lang w:val="zh-CN"/>
        </w:rPr>
        <w:t xml:space="preserve">在评标期间，出现符合专业条件的供应商或者对招标文件作出实质性响应的供应商不足三家情形的，比照</w:t>
      </w: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.6款执行。</w:t>
      </w:r>
      <w:r/>
    </w:p>
    <w:p>
      <w:pPr>
        <w:ind w:firstLine="422"/>
        <w:jc w:val="left"/>
        <w:widowControl/>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23</w:t>
      </w:r>
      <w:r>
        <w:rPr>
          <w:rFonts w:hint="eastAsia" w:asciiTheme="minorEastAsia" w:hAnsiTheme="minorEastAsia" w:eastAsiaTheme="minorEastAsia" w:cstheme="minorEastAsia"/>
          <w:b/>
          <w:bCs/>
          <w:color w:val="auto"/>
          <w:szCs w:val="21"/>
          <w:highlight w:val="none"/>
          <w:lang w:val="zh-CN"/>
        </w:rPr>
        <w:t xml:space="preserve">评标方法和标准</w:t>
      </w:r>
      <w:r/>
    </w:p>
    <w:p>
      <w:pPr>
        <w:ind w:firstLine="422"/>
        <w:jc w:val="left"/>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23.1 采用综合评分法。即</w:t>
      </w:r>
      <w:r>
        <w:rPr>
          <w:rFonts w:hint="eastAsia" w:asciiTheme="minorEastAsia" w:hAnsiTheme="minorEastAsia" w:eastAsiaTheme="minorEastAsia" w:cstheme="minorEastAsia"/>
          <w:color w:val="auto"/>
          <w:szCs w:val="21"/>
          <w:highlight w:val="none"/>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Cs w:val="21"/>
          <w:highlight w:val="none"/>
          <w:lang w:val="zh-CN"/>
        </w:rPr>
        <w:t xml:space="preserve">23.2 </w:t>
      </w:r>
      <w:r>
        <w:rPr>
          <w:rFonts w:hint="eastAsia" w:asciiTheme="minorEastAsia" w:hAnsiTheme="minorEastAsia" w:eastAsiaTheme="minorEastAsia" w:cstheme="minorEastAsia"/>
          <w:color w:val="auto"/>
          <w:szCs w:val="21"/>
          <w:highlight w:val="none"/>
        </w:rPr>
        <w:t xml:space="preserve">综合评分的评分标准</w:t>
      </w:r>
      <w:r>
        <w:rPr>
          <w:rFonts w:hint="eastAsia" w:asciiTheme="minorEastAsia" w:hAnsiTheme="minorEastAsia" w:eastAsiaTheme="minorEastAsia" w:cstheme="minorEastAsia"/>
          <w:color w:val="auto"/>
          <w:szCs w:val="21"/>
          <w:highlight w:val="none"/>
        </w:rPr>
        <w:t xml:space="preserve">详见第三章。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2</w:t>
      </w:r>
      <w:r>
        <w:rPr>
          <w:rFonts w:hint="eastAsia" w:asciiTheme="minorEastAsia" w:hAnsiTheme="minorEastAsia" w:eastAsiaTheme="minorEastAsia" w:cstheme="minorEastAsia"/>
          <w:b/>
          <w:bCs/>
          <w:color w:val="auto"/>
          <w:highlight w:val="none"/>
        </w:rPr>
        <w:t xml:space="preserve">4</w:t>
      </w:r>
      <w:r>
        <w:rPr>
          <w:rFonts w:hint="eastAsia" w:asciiTheme="minorEastAsia" w:hAnsiTheme="minorEastAsia" w:eastAsiaTheme="minorEastAsia" w:cstheme="minorEastAsia"/>
          <w:b/>
          <w:bCs/>
          <w:color w:val="auto"/>
          <w:highlight w:val="none"/>
          <w:lang w:val="zh-CN"/>
        </w:rPr>
        <w:t xml:space="preserve">、确定中标供应商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在评标期间，出现符合专业条件的供应商或者对招标文件作出实质性响应的供应商不足三家情形的，比照1</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.6款执行。</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综合比较与评价后</w:t>
      </w:r>
      <w:r>
        <w:rPr>
          <w:rFonts w:hint="eastAsia" w:asciiTheme="minorEastAsia" w:hAnsiTheme="minorEastAsia" w:eastAsiaTheme="minorEastAsia" w:cstheme="minorEastAsia"/>
          <w:color w:val="auto"/>
          <w:szCs w:val="21"/>
          <w:highlight w:val="none"/>
          <w:lang w:val="zh-CN"/>
        </w:rPr>
        <w:t xml:space="preserve">按照得分高低顺序对供应商进行排列。</w:t>
      </w:r>
      <w:r>
        <w:rPr>
          <w:rFonts w:hint="eastAsia" w:asciiTheme="minorEastAsia" w:hAnsiTheme="minorEastAsia" w:eastAsiaTheme="minorEastAsia" w:cstheme="minorEastAsia"/>
          <w:color w:val="auto"/>
          <w:szCs w:val="21"/>
          <w:highlight w:val="none"/>
        </w:rPr>
        <w:t xml:space="preserve">得分相同的，按投标报价由低到高顺序排列。得分且投标报价相同的，按技术指标优劣顺序排列。</w:t>
      </w:r>
      <w:r>
        <w:rPr>
          <w:rFonts w:hint="eastAsia" w:asciiTheme="minorEastAsia" w:hAnsiTheme="minorEastAsia" w:eastAsiaTheme="minorEastAsia" w:cstheme="minorEastAsia"/>
          <w:b/>
          <w:color w:val="auto"/>
          <w:szCs w:val="21"/>
          <w:highlight w:val="none"/>
          <w:lang w:val="zh-CN"/>
        </w:rPr>
        <w:t xml:space="preserve">综合排名第一名的供应商确定为中标供应商。</w:t>
      </w:r>
      <w:r/>
    </w:p>
    <w:p>
      <w:pPr>
        <w:ind w:firstLine="420"/>
        <w:rPr>
          <w:rFonts w:ascii="宋体" w:hAnsi="宋体" w:cs="宋体"/>
          <w:b/>
          <w:color w:val="auto"/>
          <w:highlight w:val="none"/>
        </w:rPr>
      </w:pPr>
      <w:r>
        <w:rPr>
          <w:rFonts w:hint="eastAsia" w:ascii="宋体" w:hAnsi="宋体" w:cs="宋体"/>
          <w:b/>
          <w:color w:val="auto"/>
          <w:highlight w:val="none"/>
        </w:rPr>
        <w:t xml:space="preserve">注：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中标</w:t>
      </w:r>
      <w:r>
        <w:rPr>
          <w:rFonts w:hint="eastAsia" w:ascii="宋体" w:hAnsi="宋体" w:cs="宋体"/>
          <w:b/>
          <w:color w:val="auto"/>
          <w:highlight w:val="none"/>
          <w:lang w:val="en-US" w:eastAsia="zh-CN"/>
        </w:rPr>
        <w:t xml:space="preserve">候选</w:t>
      </w:r>
      <w:r>
        <w:rPr>
          <w:rFonts w:hint="eastAsia" w:ascii="宋体" w:hAnsi="宋体" w:cs="宋体"/>
          <w:b/>
          <w:color w:val="auto"/>
          <w:highlight w:val="none"/>
        </w:rPr>
        <w:t xml:space="preserve">供应商，由排名其后的供应商递补，以此类推</w:t>
      </w:r>
      <w:r>
        <w:rPr>
          <w:rFonts w:ascii="宋体" w:hAnsi="宋体" w:cs="宋体"/>
          <w:b/>
          <w:color w:val="auto"/>
          <w:highlight w:val="none"/>
        </w:rPr>
        <w:t xml:space="preserve">。</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 按以下第（</w:t>
      </w: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zh-CN"/>
        </w:rPr>
        <w:t xml:space="preserve">）种方式确定中标供应商：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（1）评委会直接确定排名第一的中标候选人为中标供应商；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（2）采购人在评委会推荐的中标候选人中按顺序确定中标供应商。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按第二种方式确定中标供应商的，代理机构自评审结束之日起两个工作日内将评审报告送</w:t>
      </w:r>
      <w:r>
        <w:rPr>
          <w:rFonts w:hint="eastAsia" w:asciiTheme="minorEastAsia" w:hAnsiTheme="minorEastAsia" w:eastAsiaTheme="minorEastAsia" w:cstheme="minorEastAsia"/>
          <w:color w:val="auto"/>
          <w:szCs w:val="21"/>
          <w:highlight w:val="none"/>
        </w:rPr>
        <w:t xml:space="preserve">达</w:t>
      </w:r>
      <w:r>
        <w:rPr>
          <w:rFonts w:hint="eastAsia" w:asciiTheme="minorEastAsia" w:hAnsiTheme="minorEastAsia" w:eastAsiaTheme="minorEastAsia" w:cstheme="minorEastAsia"/>
          <w:color w:val="auto"/>
          <w:szCs w:val="21"/>
          <w:highlight w:val="none"/>
          <w:lang w:val="zh-CN"/>
        </w:rPr>
        <w:t xml:space="preserve">采购人，采购人自收到评审报告之日起五个工作日内，在评审报告推荐的中标候选人中按顺序确定中标供应商。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 代理机构将在“江苏政府采购网”发布中标公告，公告期限为1个工作日。</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 </w:t>
      </w:r>
      <w:r>
        <w:rPr>
          <w:rFonts w:hint="eastAsia" w:asciiTheme="minorEastAsia" w:hAnsiTheme="minorEastAsia" w:eastAsiaTheme="minorEastAsia" w:cstheme="minorEastAsia"/>
          <w:b/>
          <w:bCs/>
          <w:color w:val="auto"/>
          <w:szCs w:val="21"/>
          <w:highlight w:val="none"/>
          <w:lang w:val="zh-CN"/>
        </w:rPr>
        <w:t xml:space="preserve">若有充分证据证明中标供应商</w:t>
      </w:r>
      <w:r>
        <w:rPr>
          <w:rFonts w:hint="eastAsia" w:asciiTheme="minorEastAsia" w:hAnsiTheme="minorEastAsia" w:eastAsiaTheme="minorEastAsia" w:cstheme="minorEastAsia"/>
          <w:b/>
          <w:bCs/>
          <w:color w:val="auto"/>
          <w:szCs w:val="21"/>
          <w:highlight w:val="none"/>
        </w:rPr>
        <w:t xml:space="preserve">有</w:t>
      </w:r>
      <w:r>
        <w:rPr>
          <w:rFonts w:hint="eastAsia" w:asciiTheme="minorEastAsia" w:hAnsiTheme="minorEastAsia" w:eastAsiaTheme="minorEastAsia" w:cstheme="minorEastAsia"/>
          <w:b/>
          <w:bCs/>
          <w:color w:val="auto"/>
          <w:szCs w:val="21"/>
          <w:highlight w:val="none"/>
          <w:lang w:val="zh-CN"/>
        </w:rPr>
        <w:t xml:space="preserve">下列情况之一的，一经查实将被取消中标资格：</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）提供虚假材料谋取中标。</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）向采购人、代理机构行贿或者提供其他不正当利益。</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）属于本文件规定的无效</w:t>
      </w:r>
      <w:r>
        <w:rPr>
          <w:rFonts w:hint="eastAsia" w:asciiTheme="minorEastAsia" w:hAnsiTheme="minorEastAsia" w:eastAsiaTheme="minorEastAsia" w:cstheme="minorEastAsia"/>
          <w:b/>
          <w:bCs/>
          <w:color w:val="auto"/>
          <w:szCs w:val="21"/>
          <w:highlight w:val="none"/>
        </w:rPr>
        <w:t xml:space="preserve">投标情形</w:t>
      </w:r>
      <w:r>
        <w:rPr>
          <w:rFonts w:hint="eastAsia" w:asciiTheme="minorEastAsia" w:hAnsiTheme="minorEastAsia" w:eastAsiaTheme="minorEastAsia" w:cstheme="minorEastAsia"/>
          <w:b/>
          <w:bCs/>
          <w:color w:val="auto"/>
          <w:szCs w:val="21"/>
          <w:highlight w:val="none"/>
          <w:lang w:val="zh-CN"/>
        </w:rPr>
        <w:t xml:space="preserve">，但在评标过程中未被评委会发现。</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）与采购人或者其他供应商恶意串通。</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）采取不正当手段诋毁、排挤其他供应商。</w:t>
      </w:r>
      <w:r/>
    </w:p>
    <w:p>
      <w:pPr>
        <w:ind w:firstLine="422"/>
        <w:rPr>
          <w:rFonts w:asciiTheme="minorEastAsia" w:hAnsiTheme="minorEastAsia" w:eastAsiaTheme="minorEastAsia" w:cstheme="minorEastAsia"/>
          <w:b/>
          <w:bCs/>
          <w:color w:val="auto"/>
          <w:szCs w:val="21"/>
          <w:highlight w:val="none"/>
          <w:lang w:val="zh-CN"/>
        </w:rPr>
      </w:pPr>
      <w: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6 </w:t>
      </w:r>
      <w:r>
        <w:rPr>
          <w:rFonts w:hint="eastAsia" w:asciiTheme="minorEastAsia" w:hAnsiTheme="minorEastAsia" w:eastAsiaTheme="minorEastAsia" w:cstheme="minorEastAsia"/>
          <w:b/>
          <w:bCs/>
          <w:color w:val="auto"/>
          <w:szCs w:val="21"/>
          <w:highlight w:val="none"/>
          <w:lang w:val="zh-CN"/>
        </w:rPr>
        <w:t xml:space="preserve">有下列情形之一的视为供应商串通投标，投标无效：</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）不同供应商的投标文件由同一单位或者个人编制。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）不同供应商委托同一单位或者个人办理投标事宜。</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）不同供应商的投标文件载明的项目管理成员或者联系人员为同一人。</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）不同供应商的投标文件异常一致或者投标报价呈规律性差异。</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25.中标通知书</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.l 中标结果确定后，代理机构将向中标供应商发出《中标通知书》。中标供应商</w:t>
      </w:r>
      <w:r>
        <w:rPr>
          <w:rFonts w:hint="eastAsia" w:asciiTheme="minorEastAsia" w:hAnsiTheme="minorEastAsia" w:eastAsiaTheme="minorEastAsia" w:cstheme="minorEastAsia"/>
          <w:color w:val="auto"/>
          <w:szCs w:val="21"/>
          <w:highlight w:val="none"/>
        </w:rPr>
        <w:t xml:space="preserve">可</w:t>
      </w:r>
      <w:r>
        <w:rPr>
          <w:rFonts w:hint="eastAsia" w:asciiTheme="minorEastAsia" w:hAnsiTheme="minorEastAsia" w:eastAsiaTheme="minorEastAsia" w:cstheme="minorEastAsia"/>
          <w:color w:val="auto"/>
          <w:szCs w:val="21"/>
          <w:highlight w:val="none"/>
          <w:lang w:val="zh-CN"/>
        </w:rPr>
        <w:t xml:space="preserve">在中标结果公告届满之日起三十日内,登录苏采云系统下载。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25.2</w:t>
      </w:r>
      <w:r>
        <w:rPr>
          <w:rFonts w:hint="eastAsia" w:asciiTheme="minorEastAsia" w:hAnsiTheme="minorEastAsia" w:eastAsiaTheme="minorEastAsia" w:cs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因系统存储空间有限，中标结果公告届满之日起三十日后，苏采云系统不再保证提供下载《中标通知书》服务，因未及时下载而造成的不利后果由中标供应商自行承担。</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中标通知书</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是合同的一个组成部分，对采购人和中标供应商均具有法律效力。《中标通知书》发出后，采购人改变中标结果或者中标供应商放弃中标项目的，应当依法承担法律责任。</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 中标通知书发出后，采购人或中标供应商拒绝签订合同的，拒绝签订合同的一方应至少向另一方支付招标、投标所发生的有关费用和双方商定的其他补偿。</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五、签订合同</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6</w:t>
      </w:r>
      <w:r>
        <w:rPr>
          <w:rFonts w:hint="eastAsia" w:asciiTheme="minorEastAsia" w:hAnsiTheme="minorEastAsia" w:eastAsiaTheme="minorEastAsia" w:cstheme="minorEastAsia"/>
          <w:b/>
          <w:color w:val="auto"/>
          <w:highlight w:val="none"/>
          <w:lang w:val="zh-CN"/>
        </w:rPr>
        <w:t xml:space="preserve">、签订合同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.2 招标文件、中标供应商的投标文件及招标过程中有关澄清、承诺文件均作为合同附件。</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4采购人不得向中标供应商提出任何不合理的要求作为签订合同的条件，不得与中标供应商私下订立背离合同实质性内容的协议。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Cs w:val="21"/>
          <w:highlight w:val="none"/>
        </w:rPr>
        <w:t xml:space="preserve">重新组织的</w:t>
      </w:r>
      <w:r>
        <w:rPr>
          <w:rFonts w:hint="eastAsia" w:asciiTheme="minorEastAsia" w:hAnsiTheme="minorEastAsia" w:eastAsiaTheme="minorEastAsia" w:cstheme="minorEastAsia"/>
          <w:color w:val="auto"/>
          <w:szCs w:val="21"/>
          <w:highlight w:val="none"/>
          <w:lang w:val="zh-CN"/>
        </w:rPr>
        <w:t xml:space="preserve">采购活动</w:t>
      </w:r>
      <w:r>
        <w:rPr>
          <w:rFonts w:hint="eastAsia" w:asciiTheme="minorEastAsia" w:hAnsiTheme="minorEastAsia" w:eastAsiaTheme="minorEastAsia" w:cstheme="minorEastAsia"/>
          <w:color w:val="auto"/>
          <w:szCs w:val="21"/>
          <w:highlight w:val="none"/>
        </w:rPr>
        <w:t xml:space="preserve">，且将可能被拒绝参加该采购人</w:t>
      </w:r>
      <w:r>
        <w:rPr>
          <w:rFonts w:hint="eastAsia" w:asciiTheme="minorEastAsia" w:hAnsiTheme="minorEastAsia" w:eastAsiaTheme="minorEastAsia" w:cstheme="minorEastAsia"/>
          <w:color w:val="auto"/>
          <w:szCs w:val="21"/>
          <w:highlight w:val="none"/>
          <w:lang w:val="zh-CN"/>
        </w:rPr>
        <w:t xml:space="preserve">一年内</w:t>
      </w:r>
      <w:r>
        <w:rPr>
          <w:rFonts w:hint="eastAsia" w:asciiTheme="minorEastAsia" w:hAnsiTheme="minorEastAsia" w:eastAsiaTheme="minorEastAsia" w:cstheme="minorEastAsia"/>
          <w:color w:val="auto"/>
          <w:szCs w:val="21"/>
          <w:highlight w:val="none"/>
        </w:rPr>
        <w:t xml:space="preserve">的其他</w:t>
      </w:r>
      <w:r>
        <w:rPr>
          <w:rFonts w:hint="eastAsia" w:asciiTheme="minorEastAsia" w:hAnsiTheme="minorEastAsia" w:eastAsiaTheme="minorEastAsia" w:cstheme="minorEastAsia"/>
          <w:color w:val="auto"/>
          <w:szCs w:val="21"/>
          <w:highlight w:val="none"/>
          <w:lang w:val="zh-CN"/>
        </w:rPr>
        <w:t xml:space="preserve">政府采购活动。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六、询问、质疑、投诉和诚实信用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7</w:t>
      </w:r>
      <w:r>
        <w:rPr>
          <w:rFonts w:hint="eastAsia" w:asciiTheme="minorEastAsia" w:hAnsiTheme="minorEastAsia" w:eastAsiaTheme="minorEastAsia" w:cstheme="minorEastAsia"/>
          <w:b/>
          <w:color w:val="auto"/>
          <w:highlight w:val="none"/>
          <w:lang w:val="zh-CN"/>
        </w:rPr>
        <w:t xml:space="preserve">、询问</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8</w:t>
      </w:r>
      <w:r>
        <w:rPr>
          <w:rFonts w:hint="eastAsia" w:asciiTheme="minorEastAsia" w:hAnsiTheme="minorEastAsia" w:eastAsiaTheme="minorEastAsia" w:cstheme="minorEastAsia"/>
          <w:b/>
          <w:color w:val="auto"/>
          <w:highlight w:val="none"/>
          <w:lang w:val="zh-CN"/>
        </w:rPr>
        <w:t xml:space="preserve">、质疑</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 xml:space="preserve">代理机构。供应商提出质疑时，须一次性提出全部问题及相关质疑资料，代理机构将依法作出答复，但答复的内容不涉及商业秘密。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.2 质疑文件应包括以下主要内容，并</w:t>
      </w:r>
      <w:r>
        <w:rPr>
          <w:rFonts w:hint="eastAsia" w:asciiTheme="minorEastAsia" w:hAnsiTheme="minorEastAsia" w:eastAsiaTheme="minorEastAsia" w:cstheme="minorEastAsia"/>
          <w:color w:val="auto"/>
          <w:highlight w:val="none"/>
        </w:rPr>
        <w:t xml:space="preserve">按照“谁主张、谁举证”的原则，附上相关证明材料。否则，代理机构或采购人不予受理：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（1）质疑项目名称、项目编号、包号、招标公告发布时间、开标时间；</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（2）提起质疑的日期、具体的质疑事项及事实根据（具体条款）；</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 xml:space="preserve">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 xml:space="preserve">修改理由和修改建议）；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（4）质疑供应商名称、地址、邮编、联系人、联系电话</w:t>
      </w:r>
      <w:r>
        <w:rPr>
          <w:rFonts w:hint="eastAsia" w:asciiTheme="minorEastAsia" w:hAnsiTheme="minorEastAsia" w:eastAsiaTheme="minorEastAsia" w:cstheme="minorEastAsia"/>
          <w:color w:val="auto"/>
          <w:highlight w:val="none"/>
        </w:rPr>
        <w:t xml:space="preserve">（包括座机、手机、传真号码等）</w:t>
      </w:r>
      <w:r>
        <w:rPr>
          <w:rFonts w:hint="eastAsia" w:asciiTheme="minorEastAsia" w:hAnsiTheme="minorEastAsia" w:eastAsiaTheme="minorEastAsia" w:cstheme="minorEastAsia"/>
          <w:color w:val="auto"/>
          <w:highlight w:val="none"/>
          <w:lang w:val="zh-CN"/>
        </w:rPr>
        <w:t xml:space="preserve">；</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（6）供应商委托代理质疑的，应当向被质疑人提交授权委托书，并载明委托代理的具体权限和事项。</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.3 质疑</w:t>
      </w:r>
      <w:r>
        <w:rPr>
          <w:rFonts w:hint="eastAsia" w:asciiTheme="minorEastAsia" w:hAnsiTheme="minorEastAsia" w:eastAsiaTheme="minorEastAsia" w:cstheme="minorEastAsia"/>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28.4 </w:t>
      </w:r>
      <w:r>
        <w:rPr>
          <w:rFonts w:hint="eastAsia" w:asciiTheme="minorEastAsia" w:hAnsiTheme="minorEastAsia" w:eastAsiaTheme="minorEastAsia" w:cstheme="minorEastAsia"/>
          <w:color w:val="auto"/>
          <w:highlight w:val="none"/>
          <w:lang w:val="zh-CN"/>
        </w:rPr>
        <w:t xml:space="preserve">代理机构</w:t>
      </w:r>
      <w:r>
        <w:rPr>
          <w:rFonts w:hint="eastAsia" w:asciiTheme="minorEastAsia" w:hAnsiTheme="minorEastAsia" w:eastAsiaTheme="minorEastAsia" w:cstheme="minorEastAsia"/>
          <w:color w:val="auto"/>
          <w:highlight w:val="none"/>
        </w:rPr>
        <w:t xml:space="preserve">在收到供应商的书面质疑后将及时组织调查核实，在</w:t>
      </w:r>
      <w:r>
        <w:rPr>
          <w:rFonts w:hint="eastAsia" w:asciiTheme="minorEastAsia" w:hAnsiTheme="minorEastAsia" w:eastAsiaTheme="minorEastAsia" w:cstheme="minorEastAsia"/>
          <w:b/>
          <w:color w:val="auto"/>
          <w:highlight w:val="none"/>
          <w:lang w:val="zh-CN"/>
        </w:rPr>
        <w:t xml:space="preserve">七个工作日内</w:t>
      </w:r>
      <w:r>
        <w:rPr>
          <w:rFonts w:hint="eastAsia" w:asciiTheme="minorEastAsia" w:hAnsiTheme="minorEastAsia" w:eastAsiaTheme="minorEastAsia" w:cstheme="minorEastAsia"/>
          <w:color w:val="auto"/>
          <w:highlight w:val="none"/>
          <w:lang w:val="zh-CN"/>
        </w:rPr>
        <w:t xml:space="preserve">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 xml:space="preserve">遵循“谁过错谁负担”的原则，有过错的一方承担调查论证费用。</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、投诉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 xml:space="preserve">十五个工作日内</w:t>
      </w:r>
      <w:r>
        <w:rPr>
          <w:rFonts w:hint="eastAsia" w:asciiTheme="minorEastAsia" w:hAnsiTheme="minorEastAsia" w:eastAsiaTheme="minorEastAsia" w:cstheme="minorEastAsia"/>
          <w:color w:val="auto"/>
          <w:highlight w:val="none"/>
          <w:lang w:val="zh-CN"/>
        </w:rPr>
        <w:t xml:space="preserve">向采购项目同级财政部门投诉。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30</w:t>
      </w:r>
      <w:r>
        <w:rPr>
          <w:rFonts w:hint="eastAsia" w:asciiTheme="minorEastAsia" w:hAnsiTheme="minorEastAsia" w:eastAsiaTheme="minorEastAsia" w:cstheme="minorEastAsia"/>
          <w:b/>
          <w:color w:val="auto"/>
          <w:highlight w:val="none"/>
          <w:lang w:val="zh-CN"/>
        </w:rPr>
        <w:t xml:space="preserve">、诚实信用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.1 供应商之间不得相互串通投标报价，不得妨碍其他供应商的公平竞争，不得损害采购人和其他供应商的合法权益。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 xml:space="preserve">政府采购管理部门将供应商列入不良行为记录名单，按照《政府采购法》有关规定处理。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.3 供应商不得虚假质疑和恶意质疑，并对质疑内容的真实性承担责任。</w:t>
      </w:r>
      <w:r>
        <w:rPr>
          <w:rFonts w:hint="eastAsia" w:asciiTheme="minorEastAsia" w:hAnsiTheme="minorEastAsia" w:eastAsiaTheme="minorEastAsia" w:cstheme="minorEastAsia"/>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.4 供应商不得虚假承诺，否则，按照提供虚假材料谋取中标成交处理。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30.6违反信用承诺的法律责任</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asciiTheme="minorEastAsia" w:hAnsiTheme="minorEastAsia" w:eastAsiaTheme="minorEastAsia" w:cstheme="minorEastAsia"/>
          <w:b/>
          <w:color w:val="auto"/>
          <w:sz w:val="36"/>
          <w:szCs w:val="36"/>
          <w:highlight w:val="none"/>
        </w:rPr>
        <w:outlineLvl w:val="0"/>
      </w:pPr>
      <w:r/>
      <w:bookmarkStart w:id="665" w:name="_Toc3"/>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
          <w:color w:val="auto"/>
          <w:sz w:val="36"/>
          <w:szCs w:val="36"/>
          <w:highlight w:val="none"/>
        </w:rPr>
        <w:t xml:space="preserve">第三章 评标方法和标准</w:t>
      </w:r>
      <w:r/>
      <w:bookmarkEnd w:id="665"/>
      <w:r/>
      <w:r/>
    </w:p>
    <w:p>
      <w:pPr>
        <w:ind w:firstLine="420"/>
        <w:rPr>
          <w:rFonts w:asciiTheme="minorEastAsia" w:hAnsiTheme="minorEastAsia" w:eastAsiaTheme="minorEastAsia" w:cstheme="minorEastAsia"/>
          <w:color w:val="auto"/>
          <w:highlight w:val="none"/>
        </w:rPr>
      </w:pPr>
      <w:r/>
      <w:r/>
      <w:r>
        <w:rPr>
          <w:rFonts w:hint="eastAsia" w:asciiTheme="minorEastAsia" w:hAnsiTheme="minorEastAsia" w:eastAsiaTheme="minorEastAsia" w:cstheme="minorEastAsia"/>
          <w:color w:val="auto"/>
          <w:highlight w:val="none"/>
          <w:lang w:val="zh-CN"/>
        </w:rPr>
        <w:t xml:space="preserve">本项目采用</w:t>
      </w:r>
      <w:r>
        <w:rPr>
          <w:rFonts w:hint="eastAsia" w:asciiTheme="minorEastAsia" w:hAnsiTheme="minorEastAsia" w:eastAsiaTheme="minorEastAsia" w:cstheme="minorEastAsia"/>
          <w:b/>
          <w:bCs/>
          <w:color w:val="auto"/>
          <w:highlight w:val="none"/>
          <w:lang w:val="zh-CN"/>
        </w:rPr>
        <w:t xml:space="preserve">综合评分法</w:t>
      </w:r>
      <w:r>
        <w:rPr>
          <w:rFonts w:hint="eastAsia" w:asciiTheme="minorEastAsia" w:hAnsiTheme="minorEastAsia" w:eastAsiaTheme="minorEastAsia" w:cstheme="minorEastAsia"/>
          <w:color w:val="auto"/>
          <w:highlight w:val="none"/>
          <w:lang w:val="zh-CN"/>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w:t>
      </w:r>
      <w:r>
        <w:rPr>
          <w:rFonts w:hint="eastAsia" w:asciiTheme="minorEastAsia" w:hAnsiTheme="minorEastAsia" w:eastAsiaTheme="minorEastAsia" w:cstheme="minorEastAsia"/>
          <w:color w:val="auto"/>
          <w:highlight w:val="none"/>
        </w:rPr>
        <w:t xml:space="preserve">。当中标供应商不能履行其义务时，由备选供应商顶替，成为新的中标供应商，也可重新组织采购。</w:t>
      </w:r>
      <w:r/>
    </w:p>
    <w:p>
      <w:pPr>
        <w:ind w:firstLine="42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注：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w:t>
      </w:r>
      <w:r>
        <w:rPr>
          <w:rFonts w:hint="eastAsia" w:ascii="宋体" w:hAnsi="宋体" w:cs="宋体"/>
          <w:b/>
          <w:color w:val="auto"/>
          <w:highlight w:val="none"/>
        </w:rPr>
        <w:t xml:space="preserve">中标</w:t>
      </w:r>
      <w:r>
        <w:rPr>
          <w:rFonts w:hint="eastAsia" w:ascii="宋体" w:hAnsi="宋体" w:cs="宋体"/>
          <w:b/>
          <w:color w:val="auto"/>
          <w:highlight w:val="none"/>
          <w:lang w:val="en-US" w:eastAsia="zh-CN"/>
        </w:rPr>
        <w:t xml:space="preserve">候选</w:t>
      </w:r>
      <w:r>
        <w:rPr>
          <w:rFonts w:hint="eastAsia" w:ascii="宋体" w:hAnsi="宋体" w:cs="宋体"/>
          <w:b/>
          <w:color w:val="auto"/>
          <w:highlight w:val="none"/>
        </w:rPr>
        <w:t xml:space="preserve">供应商</w:t>
      </w:r>
      <w:r>
        <w:rPr>
          <w:rFonts w:hint="eastAsia" w:asciiTheme="minorEastAsia" w:hAnsiTheme="minorEastAsia" w:eastAsiaTheme="minorEastAsia" w:cstheme="minorEastAsia"/>
          <w:b/>
          <w:bCs/>
          <w:color w:val="auto"/>
          <w:highlight w:val="none"/>
        </w:rPr>
        <w:t xml:space="preserve">，由排名其后的供应商递补，以此类推。</w:t>
      </w:r>
      <w:r/>
    </w:p>
    <w:p>
      <w:pPr>
        <w:ind w:firstLine="420"/>
        <w:spacing w:line="360" w:lineRule="auto"/>
        <w:rPr>
          <w:rFonts w:asciiTheme="minorEastAsia" w:hAnsiTheme="minorEastAsia" w:eastAsiaTheme="minorEastAsia" w:cstheme="minorEastAsia"/>
          <w:b/>
          <w:bCs/>
          <w:color w:val="auto"/>
          <w:sz w:val="28"/>
          <w:szCs w:val="28"/>
          <w:highlight w:val="none"/>
        </w:rPr>
        <w:outlineLvl w:val="1"/>
      </w:pPr>
      <w:r/>
      <w:bookmarkStart w:id="666" w:name="_Toc4"/>
      <w:r>
        <w:rPr>
          <w:rFonts w:hint="eastAsia" w:asciiTheme="minorEastAsia" w:hAnsiTheme="minorEastAsia" w:eastAsiaTheme="minorEastAsia" w:cstheme="minorEastAsia"/>
          <w:b/>
          <w:bCs/>
          <w:color w:val="auto"/>
          <w:sz w:val="28"/>
          <w:szCs w:val="28"/>
          <w:highlight w:val="none"/>
        </w:rPr>
        <w:t xml:space="preserve">采购包1：调查服务</w:t>
      </w:r>
      <w:r/>
      <w:bookmarkEnd w:id="666"/>
      <w:r/>
      <w:r/>
    </w:p>
    <w:tbl>
      <w:tblPr>
        <w:tblStyle w:val="697"/>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016"/>
        <w:gridCol w:w="7229"/>
        <w:gridCol w:w="586"/>
      </w:tblGrid>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价格</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采用低价优先法计算，即满足招标文件要求且投标价格最低的投标报价为评标基准价，其价格分为满分。其他供应商的价格分按照下列公式计算（小数点保留两位）：报价得分=（评标基准价／投标报价）×10。</w:t>
            </w:r>
            <w:r/>
          </w:p>
          <w:p>
            <w:pPr>
              <w:pStyle w:val="741"/>
              <w:ind w:firstLine="0"/>
              <w:rPr>
                <w:color w:val="auto"/>
                <w:highlight w:val="none"/>
              </w:rPr>
            </w:pPr>
            <w:r>
              <w:rPr>
                <w:rFonts w:hint="eastAsia" w:ascii="宋体" w:hAnsi="宋体" w:cs="宋体"/>
                <w:b/>
                <w:bCs/>
                <w:color w:val="auto"/>
                <w:szCs w:val="21"/>
                <w:highlight w:val="none"/>
              </w:rPr>
              <w:t xml:space="preserve">（采用</w:t>
            </w:r>
            <w:r>
              <w:rPr>
                <w:rFonts w:hint="eastAsia" w:ascii="宋体" w:hAnsi="宋体" w:cs="宋体"/>
                <w:b/>
                <w:bCs/>
                <w:color w:val="auto"/>
                <w:szCs w:val="21"/>
                <w:highlight w:val="none"/>
                <w:lang w:val="zh-CN"/>
              </w:rPr>
              <w:t xml:space="preserve">异常低价投标审查机制，</w:t>
            </w:r>
            <w:r>
              <w:rPr>
                <w:rFonts w:hint="eastAsia" w:ascii="宋体" w:hAnsi="宋体" w:cs="宋体"/>
                <w:b/>
                <w:bCs/>
                <w:color w:val="auto"/>
                <w:szCs w:val="21"/>
                <w:highlight w:val="none"/>
              </w:rPr>
              <w:t xml:space="preserve">具体详见第二章供应商须知</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vMerge w:val="restart"/>
            <w:textDirection w:val="lrTb"/>
            <w:noWrap w:val="false"/>
          </w:tcPr>
          <w:p>
            <w:pPr>
              <w:pStyle w:val="708"/>
              <w:rPr>
                <w:rFonts w:cs="宋体"/>
                <w:b/>
                <w:color w:val="auto"/>
                <w:highlight w:val="none"/>
              </w:rPr>
            </w:pPr>
            <w:r>
              <w:rPr>
                <w:rFonts w:hint="eastAsia" w:cs="宋体"/>
                <w:b/>
                <w:color w:val="auto"/>
                <w:highlight w:val="none"/>
              </w:rPr>
              <w:t xml:space="preserve">技术部分（49分）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对项目的认识、服务定位、总体目标及整体设想：</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1、服务设想周到全面，服务起点高，定位明确，针对性强，能提出本项目的创新点，总体目标和整体设想清晰、全面的，得8分。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2、服务设想涵盖了所有的招标项目，定位明确，针对性强的得5分。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3、服务设想比较全面但没有针对性的得2分。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4、未提供或服务设想不明确、不合理的不得分。</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本项目的重点、难点分析：</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1、从多角度系统分析，在服务于本项目的重点、难点等方面，有不同于其他投标人的新颖思路，且能提出合理建议的，得9分。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2、对本项目工作中的重点、难点分析比较全面，能提出部分合理建议的，得6分。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3、对本项目工作中的重点、难点分析有欠缺，提出少量合理建议的，得</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4、未提供或重点、难点分析不全面、不合理的，不得分。</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项目实施计划（是否具有完备的管理组织、项目实施是否规范、是否有完善的质量管理体系；项目进度安排及进度控制是否科学合理；工期保障措施是否健全；安全生产是否安排合理）：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1、针对本项目实际提出科学、可行、具体的服务方案安排的，得8分。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2、针对本项目实际提出较为科学、较为可行、较为具体的服务方案安排的，得5分。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3、提出的服务方案非针对本项目，属通用型的，得2分。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4、未提供或计划不合理的不得分。</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服务质量保障措施：</w:t>
            </w:r>
            <w:r/>
          </w:p>
          <w:p>
            <w:pPr>
              <w:jc w:val="left"/>
              <w:widowControl/>
              <w:rPr>
                <w:rFonts w:ascii="宋体" w:hAnsi="宋体"/>
                <w:color w:val="auto"/>
                <w:szCs w:val="21"/>
                <w:highlight w:val="none"/>
              </w:rPr>
            </w:pPr>
            <w:r>
              <w:rPr>
                <w:rFonts w:hint="eastAsia" w:ascii="宋体" w:hAnsi="宋体"/>
                <w:color w:val="auto"/>
                <w:szCs w:val="21"/>
                <w:highlight w:val="none"/>
              </w:rPr>
              <w:t xml:space="preserve">1、质量保证措施完善，与项目要求高度契合，操作流程清晰严谨的，得8分。</w:t>
            </w:r>
            <w:r/>
          </w:p>
          <w:p>
            <w:pPr>
              <w:jc w:val="left"/>
              <w:widowControl/>
              <w:rPr>
                <w:rFonts w:ascii="宋体" w:hAnsi="宋体"/>
                <w:color w:val="auto"/>
                <w:szCs w:val="21"/>
                <w:highlight w:val="none"/>
              </w:rPr>
            </w:pPr>
            <w:r>
              <w:rPr>
                <w:rFonts w:hint="eastAsia" w:ascii="宋体" w:hAnsi="宋体"/>
                <w:color w:val="auto"/>
                <w:szCs w:val="21"/>
                <w:highlight w:val="none"/>
              </w:rPr>
              <w:t xml:space="preserve">2、质量保证措施较完善，且具有一定的可行性的，得5分。</w:t>
            </w:r>
            <w:r/>
          </w:p>
          <w:p>
            <w:pPr>
              <w:jc w:val="left"/>
              <w:widowControl/>
              <w:rPr>
                <w:rFonts w:ascii="宋体" w:hAnsi="宋体"/>
                <w:color w:val="auto"/>
                <w:szCs w:val="21"/>
                <w:highlight w:val="none"/>
              </w:rPr>
            </w:pPr>
            <w:r>
              <w:rPr>
                <w:rFonts w:hint="eastAsia" w:ascii="宋体" w:hAnsi="宋体"/>
                <w:color w:val="auto"/>
                <w:szCs w:val="21"/>
                <w:highlight w:val="none"/>
              </w:rPr>
              <w:t xml:space="preserve">3、质量保证措施要素欠缺，实行难度较大的，得2分。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4、未提供不得分。</w:t>
            </w:r>
            <w:r/>
          </w:p>
        </w:tc>
        <w:tc>
          <w:tcPr>
            <w:shd w:val="clear" w:color="auto" w:fill="auto"/>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安全保密措施：</w:t>
            </w:r>
            <w:r/>
          </w:p>
          <w:p>
            <w:pPr>
              <w:jc w:val="left"/>
              <w:widowControl/>
              <w:rPr>
                <w:rFonts w:ascii="宋体" w:hAnsi="宋体"/>
                <w:color w:val="auto"/>
                <w:szCs w:val="21"/>
                <w:highlight w:val="none"/>
              </w:rPr>
            </w:pPr>
            <w:r>
              <w:rPr>
                <w:rFonts w:hint="eastAsia" w:ascii="宋体" w:hAnsi="宋体"/>
                <w:color w:val="auto"/>
                <w:szCs w:val="21"/>
                <w:highlight w:val="none"/>
              </w:rPr>
              <w:t xml:space="preserve">根据供应商项目安全保密措施的严密性、可靠性、可操作性。从制度、措施（包括人员、设备、数据资料安全管理措施）、流程和规范（如流程控制管理）等方面进行综合评审打分。</w:t>
            </w:r>
            <w:r>
              <w:rPr>
                <w:rFonts w:hint="eastAsia" w:ascii="宋体" w:hAnsi="宋体"/>
                <w:color w:val="auto"/>
                <w:szCs w:val="21"/>
                <w:highlight w:val="none"/>
              </w:rPr>
              <w:br w:type="textWrapping" w:clear="all"/>
            </w:r>
            <w:r>
              <w:rPr>
                <w:rFonts w:hint="eastAsia" w:ascii="宋体" w:hAnsi="宋体"/>
                <w:color w:val="auto"/>
                <w:szCs w:val="21"/>
                <w:highlight w:val="none"/>
              </w:rPr>
              <w:t xml:space="preserve">1、严密、可靠，且具有可操作性的，得8分；</w:t>
            </w:r>
            <w:r/>
          </w:p>
          <w:p>
            <w:pPr>
              <w:jc w:val="left"/>
              <w:widowControl/>
              <w:rPr>
                <w:rFonts w:ascii="宋体" w:hAnsi="宋体"/>
                <w:color w:val="auto"/>
                <w:szCs w:val="21"/>
                <w:highlight w:val="none"/>
              </w:rPr>
            </w:pPr>
            <w:r>
              <w:rPr>
                <w:rFonts w:hint="eastAsia" w:ascii="宋体" w:hAnsi="宋体"/>
                <w:color w:val="auto"/>
                <w:szCs w:val="21"/>
                <w:highlight w:val="none"/>
              </w:rPr>
              <w:t xml:space="preserve">2、较严密、较可靠，且具有一定的可操作性的，得5分；</w:t>
            </w:r>
            <w:r/>
          </w:p>
          <w:p>
            <w:pPr>
              <w:jc w:val="left"/>
              <w:widowControl/>
              <w:rPr>
                <w:rFonts w:ascii="宋体" w:hAnsi="宋体"/>
                <w:color w:val="auto"/>
                <w:szCs w:val="21"/>
                <w:highlight w:val="none"/>
              </w:rPr>
            </w:pPr>
            <w:r>
              <w:rPr>
                <w:rFonts w:hint="eastAsia" w:ascii="宋体" w:hAnsi="宋体"/>
                <w:color w:val="auto"/>
                <w:szCs w:val="21"/>
                <w:highlight w:val="none"/>
              </w:rPr>
              <w:t xml:space="preserve">3、较严密、较可靠，操作难度较大的，得2分；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4、未提供或不严密、不可靠，没有可操作性的，不得分。</w:t>
            </w:r>
            <w:r/>
          </w:p>
        </w:tc>
        <w:tc>
          <w:tcPr>
            <w:shd w:val="clear" w:color="auto" w:fill="auto"/>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根据供应商提供的售后服务方案（如服务体系、服务内容、售后服务承诺的保障措施，维护期内外的后续技术支持和维护能力等）打分：</w:t>
            </w:r>
            <w:r/>
          </w:p>
          <w:p>
            <w:pPr>
              <w:jc w:val="left"/>
              <w:widowControl/>
              <w:rPr>
                <w:rFonts w:ascii="宋体" w:hAnsi="宋体"/>
                <w:color w:val="auto"/>
                <w:szCs w:val="21"/>
                <w:highlight w:val="none"/>
              </w:rPr>
            </w:pPr>
            <w:r>
              <w:rPr>
                <w:rFonts w:hint="eastAsia" w:ascii="宋体" w:hAnsi="宋体"/>
                <w:color w:val="auto"/>
                <w:szCs w:val="21"/>
                <w:highlight w:val="none"/>
              </w:rPr>
              <w:t xml:space="preserve">1、服务体系完善，措施完善具有可行性，后续技术支持和维护能力充足且专业性强的，得8分；</w:t>
            </w:r>
            <w:r/>
          </w:p>
          <w:p>
            <w:pPr>
              <w:jc w:val="left"/>
              <w:widowControl/>
              <w:rPr>
                <w:rFonts w:ascii="宋体" w:hAnsi="宋体"/>
                <w:color w:val="auto"/>
                <w:szCs w:val="21"/>
                <w:highlight w:val="none"/>
              </w:rPr>
            </w:pPr>
            <w:r>
              <w:rPr>
                <w:rFonts w:hint="eastAsia" w:ascii="宋体" w:hAnsi="宋体"/>
                <w:color w:val="auto"/>
                <w:szCs w:val="21"/>
                <w:highlight w:val="none"/>
              </w:rPr>
              <w:t xml:space="preserve">2、服务体系基本要素齐全，措施较完善具有一定的可行性，后续技术支持和维护能力较少且专业性不强的，得5分；</w:t>
            </w:r>
            <w:r/>
          </w:p>
          <w:p>
            <w:pPr>
              <w:jc w:val="left"/>
              <w:widowControl/>
              <w:rPr>
                <w:rFonts w:ascii="宋体" w:hAnsi="宋体"/>
                <w:color w:val="auto"/>
                <w:szCs w:val="21"/>
                <w:highlight w:val="none"/>
              </w:rPr>
            </w:pPr>
            <w:r>
              <w:rPr>
                <w:rFonts w:hint="eastAsia" w:ascii="宋体" w:hAnsi="宋体"/>
                <w:color w:val="auto"/>
                <w:szCs w:val="21"/>
                <w:highlight w:val="none"/>
              </w:rPr>
              <w:t xml:space="preserve">3、服务体系简单，措施有欠缺，实行难度较大，后续技术支持和维护能力很少且专业性差的，得分2分；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4、未提供的，不得分。</w:t>
            </w:r>
            <w:r/>
          </w:p>
        </w:tc>
        <w:tc>
          <w:tcPr>
            <w:shd w:val="clear" w:color="auto" w:fill="auto"/>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vMerge w:val="restart"/>
            <w:textDirection w:val="lrTb"/>
            <w:noWrap w:val="false"/>
          </w:tcPr>
          <w:p>
            <w:pPr>
              <w:pStyle w:val="708"/>
              <w:jc w:val="left"/>
              <w:rPr>
                <w:rFonts w:cs="宋体"/>
                <w:b/>
                <w:color w:val="auto"/>
                <w:highlight w:val="none"/>
              </w:rPr>
            </w:pPr>
            <w:r>
              <w:rPr>
                <w:rFonts w:hint="eastAsia" w:cs="宋体"/>
                <w:b/>
                <w:color w:val="auto"/>
                <w:highlight w:val="none"/>
              </w:rPr>
              <w:t xml:space="preserve">商务部分</w:t>
            </w:r>
            <w:r/>
          </w:p>
          <w:p>
            <w:pPr>
              <w:pStyle w:val="708"/>
              <w:rPr>
                <w:rFonts w:cs="宋体"/>
                <w:b/>
                <w:color w:val="auto"/>
                <w:highlight w:val="none"/>
              </w:rPr>
            </w:pPr>
            <w:r>
              <w:rPr>
                <w:rFonts w:hint="eastAsia" w:cs="宋体"/>
                <w:b/>
                <w:color w:val="auto"/>
                <w:highlight w:val="none"/>
              </w:rPr>
              <w:t xml:space="preserve">（41分）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rPr>
                <w:rFonts w:cs="宋体"/>
                <w:b/>
                <w:bCs/>
                <w:color w:val="auto"/>
                <w:highlight w:val="none"/>
              </w:rPr>
            </w:pPr>
            <w:r>
              <w:rPr>
                <w:rFonts w:hint="eastAsia" w:cs="宋体"/>
                <w:b/>
                <w:bCs/>
                <w:color w:val="auto"/>
                <w:highlight w:val="none"/>
              </w:rPr>
              <w:t xml:space="preserve">人员配备：</w:t>
            </w:r>
            <w:r/>
          </w:p>
          <w:p>
            <w:pPr>
              <w:rPr>
                <w:rFonts w:cs="宋体"/>
                <w:color w:val="auto"/>
                <w:highlight w:val="none"/>
              </w:rPr>
            </w:pPr>
            <w:r>
              <w:rPr>
                <w:rFonts w:hint="eastAsia" w:cs="宋体"/>
                <w:color w:val="auto"/>
                <w:highlight w:val="none"/>
              </w:rPr>
              <w:t xml:space="preserve">1、拟配备本项目的项目负责人具备测绘地理信息专业正高级（研高）职称和注册测绘师资格证书的得2分，具备测绘地理信息专业高级职称和注册测绘师资格证书的得1分；在此基础上，具备注册安全工程师证书和地图鉴定培训合格证书的，每提供1个证书加1分；本项最高得4分。</w:t>
            </w:r>
            <w:r/>
          </w:p>
          <w:p>
            <w:pPr>
              <w:rPr>
                <w:rFonts w:cs="宋体"/>
                <w:color w:val="auto"/>
                <w:highlight w:val="none"/>
              </w:rPr>
            </w:pPr>
            <w:r>
              <w:rPr>
                <w:rFonts w:hint="eastAsia" w:cs="宋体"/>
                <w:color w:val="auto"/>
                <w:highlight w:val="none"/>
              </w:rPr>
              <w:t xml:space="preserve">2、拟配备本项目的技术负责人具备测绘地理信息专业正高级（研高）职称证书的得2分，具备测绘地理信息专业高级职称证书的得1分；在此基础上，具备注册测绘师资格证书、地理信息安全和地图鉴定业务人员培训合格证书、省级及以上保密局颁发的保密教育培训合格证书的，每提供1个证书加1分；本项最高得4分；</w:t>
            </w:r>
            <w:r/>
          </w:p>
          <w:p>
            <w:pPr>
              <w:rPr>
                <w:rFonts w:cs="宋体"/>
                <w:color w:val="auto"/>
                <w:highlight w:val="none"/>
              </w:rPr>
            </w:pPr>
            <w:r>
              <w:rPr>
                <w:rFonts w:hint="eastAsia" w:cs="宋体"/>
                <w:color w:val="auto"/>
                <w:highlight w:val="none"/>
              </w:rPr>
              <w:t xml:space="preserve">3、拟配备本项目的质量负责人具备土地专业高级工程师及以上职称、测绘地理信息质量技术培训证书、注册测绘师资格证书的，每提供1个证书得1分；本项最高得3分。</w:t>
            </w:r>
            <w:r/>
          </w:p>
          <w:p>
            <w:pPr>
              <w:rPr>
                <w:rFonts w:cs="宋体"/>
                <w:color w:val="auto"/>
                <w:highlight w:val="none"/>
              </w:rPr>
            </w:pPr>
            <w:r>
              <w:rPr>
                <w:rFonts w:hint="eastAsia" w:cs="宋体"/>
                <w:color w:val="auto"/>
                <w:highlight w:val="none"/>
              </w:rPr>
              <w:t xml:space="preserve">4、拟投入本项目的项目组成员（项目负责人、技术负责人、质量负责人、无人机操作员除外）同时具有注册测绘师资格证书、测绘类高级及以上工程师职称证书，每有1人得0.5分；最高得6分。</w:t>
            </w:r>
            <w:r/>
          </w:p>
          <w:p>
            <w:pPr>
              <w:rPr>
                <w:rFonts w:cs="宋体"/>
                <w:b/>
                <w:bCs/>
                <w:color w:val="auto"/>
                <w:highlight w:val="none"/>
              </w:rPr>
            </w:pPr>
            <w:r>
              <w:rPr>
                <w:rFonts w:hint="eastAsia" w:cs="宋体"/>
                <w:color w:val="auto"/>
                <w:highlight w:val="none"/>
              </w:rPr>
              <w:t xml:space="preserve">5、拟投入本项目的无人机操作员（项目负责人、技术负责人、质量负责人、项目组成员除外）具有无人机测绘操控员职业证书，每有1人得1分；最高得3分。</w:t>
            </w:r>
            <w:r/>
          </w:p>
          <w:p>
            <w:pPr>
              <w:rPr>
                <w:rFonts w:ascii="宋体" w:hAnsi="宋体" w:cs="宋体"/>
                <w:color w:val="auto"/>
                <w:szCs w:val="21"/>
                <w:highlight w:val="none"/>
              </w:rPr>
            </w:pPr>
            <w:r>
              <w:rPr>
                <w:rFonts w:hint="eastAsia" w:cs="宋体"/>
                <w:b/>
                <w:bCs/>
                <w:color w:val="auto"/>
                <w:highlight w:val="none"/>
              </w:rPr>
              <w:t xml:space="preserve">注：以上项目负责人、技术负责人、质量负责人、项目组成员和无人机操作员不可重复计算，以上人员提供证书及供应商近3个月任意1月为其缴纳社保的证明或者上级主管单位开具的工作岗位相关证明材料，</w:t>
            </w:r>
            <w:r>
              <w:rPr>
                <w:rFonts w:hint="eastAsia" w:cs="宋体" w:asciiTheme="minorEastAsia" w:hAnsiTheme="minorEastAsia"/>
                <w:b/>
                <w:color w:val="auto"/>
                <w:szCs w:val="21"/>
                <w:highlight w:val="none"/>
              </w:rPr>
              <w:t xml:space="preserve">原件扫描件上传并加盖电子公章，未按要求提供或未提供证明材料的均不得分</w:t>
            </w:r>
            <w:r>
              <w:rPr>
                <w:rFonts w:hint="eastAsia" w:cs="宋体"/>
                <w:b/>
                <w:b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20</w:t>
            </w:r>
            <w:r/>
          </w:p>
        </w:tc>
      </w:tr>
      <w:tr>
        <w:trPr>
          <w:jc w:val="center"/>
          <w:trHeight w:val="9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pStyle w:val="708"/>
              <w:rPr>
                <w:rFonts w:cs="宋体"/>
                <w:b/>
                <w:bCs/>
                <w:color w:val="auto"/>
                <w:highlight w:val="none"/>
              </w:rPr>
            </w:pPr>
            <w:r>
              <w:rPr>
                <w:rFonts w:hint="eastAsia" w:cs="宋体"/>
                <w:b/>
                <w:bCs/>
                <w:color w:val="auto"/>
                <w:highlight w:val="none"/>
              </w:rPr>
              <w:t xml:space="preserve">综合实力：</w:t>
            </w:r>
            <w:r/>
          </w:p>
          <w:p>
            <w:pPr>
              <w:rPr>
                <w:rFonts w:ascii="宋体" w:hAnsi="宋体" w:cs="宋体"/>
                <w:color w:val="auto"/>
                <w:szCs w:val="21"/>
                <w:highlight w:val="none"/>
              </w:rPr>
            </w:pPr>
            <w:r>
              <w:rPr>
                <w:rFonts w:hint="eastAsia" w:ascii="宋体" w:hAnsi="宋体" w:cs="宋体"/>
                <w:color w:val="auto"/>
                <w:szCs w:val="21"/>
                <w:highlight w:val="none"/>
              </w:rPr>
              <w:t xml:space="preserve">1、供应商具有与国土变更调查业务相关的软件著作权，覆盖以下功能类别：通用目标智能检测系统、遥感影像变化图斑提取、多源数据可视化交互软件、多源地理信息数据更新、数据信息管理平台、数据信息采集编制分析、土地利用变化分析。每提供1项符合功能类别的有效软著得2分，最多得8分。（不限制名称的表述，功能一致即可。）</w:t>
            </w:r>
            <w:r/>
          </w:p>
          <w:p>
            <w:pPr>
              <w:rPr>
                <w:rFonts w:ascii="宋体" w:hAnsi="宋体" w:cs="宋体"/>
                <w:color w:val="auto"/>
                <w:szCs w:val="21"/>
                <w:highlight w:val="none"/>
              </w:rPr>
            </w:pPr>
            <w:r>
              <w:rPr>
                <w:rFonts w:hint="eastAsia" w:ascii="宋体" w:hAnsi="宋体" w:cs="宋体"/>
                <w:color w:val="auto"/>
                <w:szCs w:val="21"/>
                <w:highlight w:val="none"/>
              </w:rPr>
              <w:t xml:space="preserve">2、供应商承担过编制政府部门发布的测绘相关的标准化文件的得2分。</w:t>
            </w:r>
            <w:r/>
          </w:p>
          <w:p>
            <w:pPr>
              <w:rPr>
                <w:rFonts w:ascii="宋体" w:hAnsi="宋体" w:cs="宋体"/>
                <w:color w:val="auto"/>
                <w:szCs w:val="21"/>
                <w:highlight w:val="none"/>
              </w:rPr>
            </w:pPr>
            <w:r>
              <w:rPr>
                <w:rFonts w:hint="eastAsia" w:ascii="宋体" w:hAnsi="宋体" w:cs="宋体"/>
                <w:color w:val="auto"/>
                <w:szCs w:val="21"/>
                <w:highlight w:val="none"/>
              </w:rPr>
              <w:t xml:space="preserve">3、供应商承担的测绘项目获得过政府部门颁发的优秀科技成果奖、优秀项目成果奖或优质测绘地理信息工程奖的，每有一个得1分，</w:t>
            </w:r>
            <w:r>
              <w:rPr>
                <w:rFonts w:hint="eastAsia" w:cs="宋体"/>
                <w:color w:val="auto"/>
                <w:highlight w:val="none"/>
              </w:rPr>
              <w:t xml:space="preserve">本项最高得2分。</w:t>
            </w:r>
            <w:r/>
          </w:p>
          <w:p>
            <w:pPr>
              <w:rPr>
                <w:rFonts w:cs="宋体"/>
                <w:color w:val="auto"/>
                <w:szCs w:val="21"/>
                <w:highlight w:val="none"/>
              </w:rPr>
            </w:pPr>
            <w:r>
              <w:rPr>
                <w:rFonts w:hint="eastAsia" w:ascii="宋体" w:hAnsi="宋体" w:cs="宋体"/>
                <w:b/>
                <w:color w:val="auto"/>
                <w:szCs w:val="21"/>
                <w:highlight w:val="none"/>
              </w:rPr>
              <w:t xml:space="preserve">注：提供上述相关证书、证明文件的原件扫描件上传并加盖电子公章，未按要求提供或未提供证明材料的均不得分。</w:t>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12</w:t>
            </w:r>
            <w:r/>
          </w:p>
        </w:tc>
      </w:tr>
      <w:tr>
        <w:trPr>
          <w:jc w:val="center"/>
          <w:trHeight w:val="6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16"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pStyle w:val="708"/>
              <w:rPr>
                <w:rFonts w:cs="宋体"/>
                <w:b/>
                <w:bCs/>
                <w:color w:val="auto"/>
                <w:highlight w:val="none"/>
              </w:rPr>
            </w:pPr>
            <w:r>
              <w:rPr>
                <w:rFonts w:hint="eastAsia" w:cs="宋体"/>
                <w:b/>
                <w:bCs/>
                <w:color w:val="auto"/>
                <w:highlight w:val="none"/>
              </w:rPr>
              <w:t xml:space="preserve">类似项目业绩：</w:t>
            </w:r>
            <w:r/>
          </w:p>
          <w:p>
            <w:pPr>
              <w:rPr>
                <w:rFonts w:ascii="宋体" w:hAnsi="宋体" w:cs="宋体"/>
                <w:color w:val="auto"/>
                <w:szCs w:val="21"/>
                <w:highlight w:val="none"/>
              </w:rPr>
            </w:pPr>
            <w:r>
              <w:rPr>
                <w:rFonts w:hint="eastAsia" w:ascii="宋体" w:hAnsi="宋体" w:cs="宋体"/>
                <w:color w:val="auto"/>
                <w:szCs w:val="21"/>
                <w:highlight w:val="none"/>
              </w:rPr>
              <w:t xml:space="preserve">自2023年1月1日以来（以合同签订时间为准），供应商承担过本项目类似项目业绩（国土变更调查项目），每提供一个得3分，最高得9分。</w:t>
            </w:r>
            <w:r/>
          </w:p>
          <w:p>
            <w:pPr>
              <w:rPr>
                <w:rFonts w:cs="宋体"/>
                <w:b/>
                <w:color w:val="auto"/>
                <w:szCs w:val="21"/>
                <w:highlight w:val="none"/>
              </w:rPr>
            </w:pPr>
            <w:r>
              <w:rPr>
                <w:rFonts w:hint="eastAsia" w:ascii="宋体" w:hAnsi="宋体" w:cs="宋体"/>
                <w:b/>
                <w:color w:val="auto"/>
                <w:szCs w:val="21"/>
                <w:highlight w:val="none"/>
              </w:rPr>
              <w:t xml:space="preserve">注：以上业绩分包、转包合同无效，合同内容中需能反映出相关内容，否则不得分。提供合同和中标（成交）通知书，缺一不可，原件扫描上传并加盖电子公章，未按要求提供或未提供证明材料的均不得分。</w:t>
            </w:r>
            <w:r/>
          </w:p>
        </w:tc>
        <w:tc>
          <w:tcPr>
            <w:shd w:val="clear" w:color="auto" w:fill="auto"/>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100</w:t>
            </w:r>
            <w:r/>
          </w:p>
        </w:tc>
      </w:tr>
    </w:tbl>
    <w:p>
      <w:pP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clear="all"/>
      </w:r>
      <w:r/>
    </w:p>
    <w:p>
      <w:pPr>
        <w:spacing w:line="360" w:lineRule="auto"/>
        <w:rPr>
          <w:rFonts w:asciiTheme="minorEastAsia" w:hAnsiTheme="minorEastAsia" w:eastAsiaTheme="minorEastAsia" w:cstheme="minorEastAsia"/>
          <w:b/>
          <w:color w:val="auto"/>
          <w:sz w:val="28"/>
          <w:szCs w:val="28"/>
          <w:highlight w:val="none"/>
        </w:rPr>
        <w:outlineLvl w:val="1"/>
      </w:pPr>
      <w:r/>
      <w:bookmarkStart w:id="667" w:name="_Toc5"/>
      <w:r>
        <w:rPr>
          <w:rFonts w:hint="eastAsia" w:asciiTheme="minorEastAsia" w:hAnsiTheme="minorEastAsia" w:eastAsiaTheme="minorEastAsia" w:cstheme="minorEastAsia"/>
          <w:b/>
          <w:color w:val="auto"/>
          <w:sz w:val="28"/>
          <w:szCs w:val="28"/>
          <w:highlight w:val="none"/>
        </w:rPr>
        <w:t xml:space="preserve">采购包2：监理服务</w:t>
      </w:r>
      <w:r/>
      <w:bookmarkEnd w:id="667"/>
      <w:r/>
      <w:r/>
    </w:p>
    <w:tbl>
      <w:tblPr>
        <w:tblStyle w:val="697"/>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202"/>
        <w:gridCol w:w="7230"/>
        <w:gridCol w:w="582"/>
      </w:tblGrid>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价格</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采用低价优先法计算，即满足招标文件要求且投标价格最低的投标报价为评标基准价，其价格分为满分。其他供应商的价格分按照下列公式计算（小数点保留两位）：报价得分=（评标基准价／投标报价）×10。</w:t>
            </w:r>
            <w:r/>
          </w:p>
          <w:p>
            <w:pPr>
              <w:pStyle w:val="741"/>
              <w:ind w:firstLine="0"/>
              <w:rPr>
                <w:color w:val="auto"/>
                <w:highlight w:val="none"/>
              </w:rPr>
            </w:pPr>
            <w:r>
              <w:rPr>
                <w:rFonts w:hint="eastAsia" w:ascii="宋体" w:hAnsi="宋体" w:cs="宋体"/>
                <w:b/>
                <w:bCs/>
                <w:color w:val="auto"/>
                <w:szCs w:val="21"/>
                <w:highlight w:val="none"/>
              </w:rPr>
              <w:t xml:space="preserve">（采用</w:t>
            </w:r>
            <w:r>
              <w:rPr>
                <w:rFonts w:hint="eastAsia" w:ascii="宋体" w:hAnsi="宋体" w:cs="宋体"/>
                <w:b/>
                <w:bCs/>
                <w:color w:val="auto"/>
                <w:szCs w:val="21"/>
                <w:highlight w:val="none"/>
                <w:lang w:val="zh-CN"/>
              </w:rPr>
              <w:t xml:space="preserve">异常低价投标审查机制，</w:t>
            </w:r>
            <w:r>
              <w:rPr>
                <w:rFonts w:hint="eastAsia" w:ascii="宋体" w:hAnsi="宋体" w:cs="宋体"/>
                <w:b/>
                <w:bCs/>
                <w:color w:val="auto"/>
                <w:szCs w:val="21"/>
                <w:highlight w:val="none"/>
              </w:rPr>
              <w:t xml:space="preserve">具体详见第二章供应商须知</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02" w:type="dxa"/>
            <w:vAlign w:val="center"/>
            <w:vMerge w:val="restart"/>
            <w:textDirection w:val="lrTb"/>
            <w:noWrap w:val="false"/>
          </w:tcPr>
          <w:p>
            <w:pPr>
              <w:pStyle w:val="708"/>
              <w:rPr>
                <w:rFonts w:cs="宋体"/>
                <w:b/>
                <w:color w:val="auto"/>
                <w:highlight w:val="none"/>
              </w:rPr>
            </w:pPr>
            <w:r>
              <w:rPr>
                <w:rFonts w:hint="eastAsia" w:cs="宋体"/>
                <w:b/>
                <w:color w:val="auto"/>
                <w:highlight w:val="none"/>
              </w:rPr>
              <w:t xml:space="preserve">技术部分（</w:t>
            </w:r>
            <w:r>
              <w:rPr>
                <w:rFonts w:hint="eastAsia" w:cs="宋体"/>
                <w:b/>
                <w:color w:val="auto"/>
                <w:highlight w:val="none"/>
                <w:lang w:val="en-US" w:eastAsia="zh-CN"/>
              </w:rPr>
              <w:t xml:space="preserve">51</w:t>
            </w:r>
            <w:r>
              <w:rPr>
                <w:rFonts w:hint="eastAsia" w:cs="宋体"/>
                <w:b/>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对项目的认识、服务定位、总体目标及整体设想：</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1、服务设想周到全面，服务起点高，定位明确，针对性强，能提出本项目的创新点，总体目标和整体设想清晰、全面的，得</w:t>
            </w:r>
            <w:r>
              <w:rPr>
                <w:rFonts w:hint="eastAsia" w:asciiTheme="minorEastAsia" w:hAnsiTheme="minorEastAsia" w:eastAsia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rPr>
              <w:t xml:space="preserve">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2、服务设想涵盖了所有的招标项目，定位明确，针对性强的得</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3、服务设想比较全面但没有针对性的得</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4、服务设想不明确、不合理的不得分。</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val="en-US" w:eastAsia="zh-CN"/>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本项目的重点、难点分析：</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1、从多角度系统分析，在服务于本项目的重点、难点等方面，有不同于其他投标人的新颖思路，且能提出合理建议的，得9分。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2、对本项目工作中的重点、难点分析比较全面，能提出部分合理建议的，得6分。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3、对本项目工作中的重点、难点分析有欠缺，提出少量合理建议的，得</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4、重点、难点分析不全面、不合理的，不得分。</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项目实施计划（是否具有完备的管理组织、项目实施是否规范、是否有完善的质量管理体系；项目进度安排及进度控制是否科学合理；工期保障措施是否健全；安全生产是否安排合理）：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1、针对本项目实际提出科学、可行、具体的服务方案安排的，得8分。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2、针对本项目实际提出较为科学、较为可行、较为具体的服务方案安排的，得5分。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3、提出的服务方案非针对本项目，属通用型的，得2分。</w:t>
            </w:r>
            <w:r/>
          </w:p>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4、计划不合理的不得分。</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服务质量保障措施：</w:t>
            </w:r>
            <w:r/>
          </w:p>
          <w:p>
            <w:pPr>
              <w:jc w:val="left"/>
              <w:widowControl/>
              <w:rPr>
                <w:rFonts w:ascii="宋体" w:hAnsi="宋体"/>
                <w:color w:val="auto"/>
                <w:szCs w:val="21"/>
                <w:highlight w:val="none"/>
              </w:rPr>
            </w:pPr>
            <w:r>
              <w:rPr>
                <w:rFonts w:hint="eastAsia" w:ascii="宋体" w:hAnsi="宋体"/>
                <w:color w:val="auto"/>
                <w:szCs w:val="21"/>
                <w:highlight w:val="none"/>
              </w:rPr>
              <w:t xml:space="preserve">1、质量保证措施完善，与项目要求高度契合，操作流程清晰严谨的，得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jc w:val="left"/>
              <w:widowControl/>
              <w:rPr>
                <w:rFonts w:ascii="宋体" w:hAnsi="宋体"/>
                <w:color w:val="auto"/>
                <w:szCs w:val="21"/>
                <w:highlight w:val="none"/>
              </w:rPr>
            </w:pPr>
            <w:r>
              <w:rPr>
                <w:rFonts w:hint="eastAsia" w:ascii="宋体" w:hAnsi="宋体"/>
                <w:color w:val="auto"/>
                <w:szCs w:val="21"/>
                <w:highlight w:val="none"/>
              </w:rPr>
              <w:t xml:space="preserve">2、质量保证措施较完善，且具有一定的可行性的，得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jc w:val="left"/>
              <w:widowControl/>
              <w:rPr>
                <w:rFonts w:ascii="宋体" w:hAnsi="宋体"/>
                <w:color w:val="auto"/>
                <w:szCs w:val="21"/>
                <w:highlight w:val="none"/>
              </w:rPr>
            </w:pPr>
            <w:r>
              <w:rPr>
                <w:rFonts w:hint="eastAsia" w:ascii="宋体" w:hAnsi="宋体"/>
                <w:color w:val="auto"/>
                <w:szCs w:val="21"/>
                <w:highlight w:val="none"/>
              </w:rPr>
              <w:t xml:space="preserve">3、质量保证措施要素欠缺，实行难度较大的，得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4、未提供不得分。</w:t>
            </w:r>
            <w:r/>
          </w:p>
        </w:tc>
        <w:tc>
          <w:tcPr>
            <w:shd w:val="clear" w:color="auto" w:fill="auto"/>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安全保密措施：</w:t>
            </w:r>
            <w:r/>
          </w:p>
          <w:p>
            <w:pPr>
              <w:jc w:val="left"/>
              <w:widowControl/>
              <w:rPr>
                <w:rFonts w:ascii="宋体" w:hAnsi="宋体"/>
                <w:color w:val="auto"/>
                <w:szCs w:val="21"/>
                <w:highlight w:val="none"/>
              </w:rPr>
            </w:pPr>
            <w:r>
              <w:rPr>
                <w:rFonts w:hint="eastAsia" w:ascii="宋体" w:hAnsi="宋体"/>
                <w:color w:val="auto"/>
                <w:szCs w:val="21"/>
                <w:highlight w:val="none"/>
              </w:rPr>
              <w:t xml:space="preserve">根据供应商项目安全保密措施的严密性、可靠性、可操作性。从制度、措施（包括人员、设备、数据资料安全管理措施）、流程和规范（如流程控制管理）等方面进行综合评审打分。</w:t>
            </w:r>
            <w:r>
              <w:rPr>
                <w:rFonts w:hint="eastAsia" w:ascii="宋体" w:hAnsi="宋体"/>
                <w:color w:val="auto"/>
                <w:szCs w:val="21"/>
                <w:highlight w:val="none"/>
              </w:rPr>
              <w:br w:type="textWrapping" w:clear="all"/>
            </w:r>
            <w:r>
              <w:rPr>
                <w:rFonts w:hint="eastAsia" w:ascii="宋体" w:hAnsi="宋体"/>
                <w:color w:val="auto"/>
                <w:szCs w:val="21"/>
                <w:highlight w:val="none"/>
              </w:rPr>
              <w:t xml:space="preserve">1、严密、可靠，且具有可操作性的，得8分；</w:t>
            </w:r>
            <w:r/>
          </w:p>
          <w:p>
            <w:pPr>
              <w:jc w:val="left"/>
              <w:widowControl/>
              <w:rPr>
                <w:rFonts w:ascii="宋体" w:hAnsi="宋体"/>
                <w:color w:val="auto"/>
                <w:szCs w:val="21"/>
                <w:highlight w:val="none"/>
              </w:rPr>
            </w:pPr>
            <w:r>
              <w:rPr>
                <w:rFonts w:hint="eastAsia" w:ascii="宋体" w:hAnsi="宋体"/>
                <w:color w:val="auto"/>
                <w:szCs w:val="21"/>
                <w:highlight w:val="none"/>
              </w:rPr>
              <w:t xml:space="preserve">2、较严密、较可靠，且具有一定的可操作性的，得5分；</w:t>
            </w:r>
            <w:r/>
          </w:p>
          <w:p>
            <w:pPr>
              <w:jc w:val="left"/>
              <w:widowControl/>
              <w:rPr>
                <w:rFonts w:ascii="宋体" w:hAnsi="宋体"/>
                <w:color w:val="auto"/>
                <w:szCs w:val="21"/>
                <w:highlight w:val="none"/>
              </w:rPr>
            </w:pPr>
            <w:r>
              <w:rPr>
                <w:rFonts w:hint="eastAsia" w:ascii="宋体" w:hAnsi="宋体"/>
                <w:color w:val="auto"/>
                <w:szCs w:val="21"/>
                <w:highlight w:val="none"/>
              </w:rPr>
              <w:t xml:space="preserve">3、较严密、较可靠，操作难度较大的，得2分；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4、未提供或不严密、不可靠，没有可操作性的，不得分。</w:t>
            </w:r>
            <w:r/>
          </w:p>
        </w:tc>
        <w:tc>
          <w:tcPr>
            <w:shd w:val="clear" w:color="auto" w:fill="auto"/>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ind w:right="-24"/>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widowControl/>
              <w:rPr>
                <w:rFonts w:ascii="宋体" w:hAnsi="宋体"/>
                <w:b/>
                <w:color w:val="auto"/>
                <w:szCs w:val="21"/>
                <w:highlight w:val="none"/>
              </w:rPr>
            </w:pPr>
            <w:r>
              <w:rPr>
                <w:rFonts w:hint="eastAsia" w:ascii="宋体" w:hAnsi="宋体"/>
                <w:b/>
                <w:color w:val="auto"/>
                <w:szCs w:val="21"/>
                <w:highlight w:val="none"/>
              </w:rPr>
              <w:t xml:space="preserve">根据供应商提供的售后服务方案（如服务体系、服务内容、售后服务承诺的保障措施，维护期内外的后续技术支持和维护能力等）打分：</w:t>
            </w:r>
            <w:r/>
          </w:p>
          <w:p>
            <w:pPr>
              <w:jc w:val="left"/>
              <w:widowControl/>
              <w:rPr>
                <w:rFonts w:ascii="宋体" w:hAnsi="宋体"/>
                <w:color w:val="auto"/>
                <w:szCs w:val="21"/>
                <w:highlight w:val="none"/>
              </w:rPr>
            </w:pPr>
            <w:r>
              <w:rPr>
                <w:rFonts w:hint="eastAsia" w:ascii="宋体" w:hAnsi="宋体"/>
                <w:color w:val="auto"/>
                <w:szCs w:val="21"/>
                <w:highlight w:val="none"/>
              </w:rPr>
              <w:t xml:space="preserve">1、服务体系完善，措施完善具有可行性，后续技术支持和维护能力充足且专业性强的，得8分；</w:t>
            </w:r>
            <w:r/>
          </w:p>
          <w:p>
            <w:pPr>
              <w:jc w:val="left"/>
              <w:widowControl/>
              <w:rPr>
                <w:rFonts w:ascii="宋体" w:hAnsi="宋体"/>
                <w:color w:val="auto"/>
                <w:szCs w:val="21"/>
                <w:highlight w:val="none"/>
              </w:rPr>
            </w:pPr>
            <w:r>
              <w:rPr>
                <w:rFonts w:hint="eastAsia" w:ascii="宋体" w:hAnsi="宋体"/>
                <w:color w:val="auto"/>
                <w:szCs w:val="21"/>
                <w:highlight w:val="none"/>
              </w:rPr>
              <w:t xml:space="preserve">2、服务体系基本要素齐全，措施较完善具有一定的可行性，后续技术支持和维护能力较少且专业性不强的，得5分；</w:t>
            </w:r>
            <w:r/>
          </w:p>
          <w:p>
            <w:pPr>
              <w:jc w:val="left"/>
              <w:widowControl/>
              <w:rPr>
                <w:rFonts w:ascii="宋体" w:hAnsi="宋体"/>
                <w:color w:val="auto"/>
                <w:szCs w:val="21"/>
                <w:highlight w:val="none"/>
              </w:rPr>
            </w:pPr>
            <w:r>
              <w:rPr>
                <w:rFonts w:hint="eastAsia" w:ascii="宋体" w:hAnsi="宋体"/>
                <w:color w:val="auto"/>
                <w:szCs w:val="21"/>
                <w:highlight w:val="none"/>
              </w:rPr>
              <w:t xml:space="preserve">3、服务体系简单，措施有欠缺，实行难度较大，后续技术支持和维护能力很少且专业性差的，得分2分；</w:t>
            </w:r>
            <w:r/>
          </w:p>
          <w:p>
            <w:pPr>
              <w:jc w:val="left"/>
              <w:widowControl/>
              <w:rPr>
                <w:rFonts w:ascii="宋体" w:hAnsi="宋体"/>
                <w:color w:val="auto"/>
                <w:szCs w:val="21"/>
                <w:highlight w:val="none"/>
              </w:rPr>
            </w:pPr>
            <w:r>
              <w:rPr>
                <w:rFonts w:hint="eastAsia" w:ascii="宋体" w:hAnsi="宋体"/>
                <w:color w:val="auto"/>
                <w:szCs w:val="21"/>
                <w:highlight w:val="none"/>
              </w:rPr>
              <w:t xml:space="preserve">4、未提供的，不得分。</w:t>
            </w:r>
            <w:r/>
          </w:p>
        </w:tc>
        <w:tc>
          <w:tcPr>
            <w:shd w:val="clear" w:color="auto" w:fill="auto"/>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.1</w:t>
            </w:r>
            <w:r/>
          </w:p>
        </w:tc>
        <w:tc>
          <w:tcPr>
            <w:tcBorders>
              <w:top w:val="single" w:color="auto" w:sz="4" w:space="0"/>
              <w:left w:val="single" w:color="auto" w:sz="4" w:space="0"/>
              <w:right w:val="single" w:color="auto" w:sz="4" w:space="0"/>
            </w:tcBorders>
            <w:tcW w:w="1202" w:type="dxa"/>
            <w:vAlign w:val="center"/>
            <w:vMerge w:val="restart"/>
            <w:textDirection w:val="lrTb"/>
            <w:noWrap w:val="false"/>
          </w:tcPr>
          <w:p>
            <w:pPr>
              <w:pStyle w:val="708"/>
              <w:rPr>
                <w:rFonts w:cs="宋体"/>
                <w:b/>
                <w:color w:val="auto"/>
                <w:highlight w:val="none"/>
              </w:rPr>
            </w:pPr>
            <w:r>
              <w:rPr>
                <w:rFonts w:hint="eastAsia" w:cs="宋体"/>
                <w:b/>
                <w:color w:val="auto"/>
                <w:highlight w:val="none"/>
              </w:rPr>
              <w:t xml:space="preserve">商务部分（</w:t>
            </w:r>
            <w:r>
              <w:rPr>
                <w:rFonts w:hint="eastAsia" w:cs="宋体"/>
                <w:b/>
                <w:color w:val="auto"/>
                <w:highlight w:val="none"/>
                <w:lang w:val="en-US" w:eastAsia="zh-CN"/>
              </w:rPr>
              <w:t xml:space="preserve">39</w:t>
            </w:r>
            <w:r>
              <w:rPr>
                <w:rFonts w:hint="eastAsia" w:cs="宋体"/>
                <w:b/>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rPr>
                <w:rFonts w:cs="宋体"/>
                <w:b/>
                <w:bCs/>
                <w:color w:val="auto"/>
                <w:highlight w:val="none"/>
              </w:rPr>
            </w:pPr>
            <w:r>
              <w:rPr>
                <w:rFonts w:hint="eastAsia" w:cs="宋体"/>
                <w:b/>
                <w:bCs/>
                <w:color w:val="auto"/>
                <w:highlight w:val="none"/>
              </w:rPr>
              <w:t xml:space="preserve">人员配备：</w:t>
            </w:r>
            <w:r/>
          </w:p>
          <w:p>
            <w:pPr>
              <w:rPr>
                <w:rFonts w:cs="宋体"/>
                <w:color w:val="auto"/>
                <w:highlight w:val="none"/>
              </w:rPr>
            </w:pPr>
            <w:r>
              <w:rPr>
                <w:rFonts w:hint="eastAsia" w:cs="宋体"/>
                <w:color w:val="auto"/>
                <w:highlight w:val="none"/>
              </w:rPr>
              <w:t xml:space="preserve">1、拟配备本项目的项目负责人具备测绘地理信息专业正高级（研高）职称证书的得2分，具备测绘地理信息专业高级职称证书的得1分；在此基础上，具备注册测绘师资格证书</w:t>
            </w:r>
            <w:r>
              <w:rPr>
                <w:rFonts w:hint="eastAsia" w:cs="宋体"/>
                <w:color w:val="auto"/>
                <w:szCs w:val="21"/>
                <w:highlight w:val="none"/>
              </w:rPr>
              <w:t xml:space="preserve">、</w:t>
            </w:r>
            <w:r>
              <w:rPr>
                <w:rFonts w:hint="eastAsia" w:ascii="宋体" w:hAnsi="宋体" w:cs="宋体"/>
                <w:color w:val="auto"/>
                <w:szCs w:val="21"/>
                <w:highlight w:val="none"/>
              </w:rPr>
              <w:t xml:space="preserve">监理技术培训合格证书</w:t>
            </w:r>
            <w:r>
              <w:rPr>
                <w:rFonts w:hint="eastAsia" w:cs="宋体"/>
                <w:color w:val="auto"/>
                <w:szCs w:val="21"/>
                <w:highlight w:val="none"/>
              </w:rPr>
              <w:t xml:space="preserve">的</w:t>
            </w:r>
            <w:r>
              <w:rPr>
                <w:rFonts w:hint="eastAsia" w:cs="宋体"/>
                <w:color w:val="auto"/>
                <w:highlight w:val="none"/>
              </w:rPr>
              <w:t xml:space="preserve">，每提供1个加1分；本项最高得4分。</w:t>
            </w:r>
            <w:r/>
          </w:p>
          <w:p>
            <w:pPr>
              <w:rPr>
                <w:rFonts w:cs="宋体"/>
                <w:color w:val="auto"/>
                <w:highlight w:val="none"/>
              </w:rPr>
            </w:pPr>
            <w:r>
              <w:rPr>
                <w:rFonts w:hint="eastAsia" w:cs="宋体"/>
                <w:color w:val="auto"/>
                <w:highlight w:val="none"/>
              </w:rPr>
              <w:t xml:space="preserve">2、拟配备本项目的技术负责人具备测绘地理信息专业正高级（研高）职称证书的得2分，具备测绘地理信息专业高级职称证书的得1分；在此基础上，具备注册测绘师资格证书、省级及以上保密局颁发的保密教育培训合格证书的，每提供1个加1分；本项最高得4分；</w:t>
            </w:r>
            <w:r/>
          </w:p>
          <w:p>
            <w:pPr>
              <w:rPr>
                <w:rFonts w:cs="宋体"/>
                <w:color w:val="auto"/>
                <w:highlight w:val="none"/>
              </w:rPr>
            </w:pPr>
            <w:r>
              <w:rPr>
                <w:rFonts w:hint="eastAsia" w:cs="宋体"/>
                <w:color w:val="auto"/>
                <w:highlight w:val="none"/>
              </w:rPr>
              <w:t xml:space="preserve">3、拟配备本项目的质量负责人具备高级工程师及以上职称、测绘地理信息质量技术培训证书、省级及以上保密局颁发的保密教育培训合格证书的，每提供1个加1分，本项最高得3分；</w:t>
            </w:r>
            <w:r/>
          </w:p>
          <w:p>
            <w:pPr>
              <w:rPr>
                <w:rFonts w:cs="宋体"/>
                <w:color w:val="auto"/>
                <w:highlight w:val="none"/>
              </w:rPr>
            </w:pPr>
            <w:r>
              <w:rPr>
                <w:rFonts w:hint="eastAsia" w:cs="宋体"/>
                <w:color w:val="auto"/>
                <w:highlight w:val="none"/>
              </w:rPr>
              <w:t xml:space="preserve">4、拟投入本项目的项目组</w:t>
            </w:r>
            <w:r>
              <w:rPr>
                <w:rFonts w:hint="eastAsia" w:cs="宋体"/>
                <w:color w:val="auto"/>
                <w:highlight w:val="none"/>
                <w:lang w:val="en-US" w:eastAsia="zh-CN"/>
              </w:rPr>
              <w:t xml:space="preserve">成员</w:t>
            </w:r>
            <w:r>
              <w:rPr>
                <w:rFonts w:hint="eastAsia" w:cs="宋体"/>
                <w:color w:val="auto"/>
                <w:highlight w:val="none"/>
              </w:rPr>
              <w:t xml:space="preserve">（项目负责人、技术负责人、质量负责人除外）同时具有注册测绘师资格证书、测绘类高级及以上工程师职称证书，每有1人得1分，最高得6分；</w:t>
            </w:r>
            <w:r/>
          </w:p>
          <w:p>
            <w:pPr>
              <w:rPr>
                <w:rFonts w:cs="宋体"/>
                <w:b/>
                <w:bCs/>
                <w:color w:val="auto"/>
                <w:highlight w:val="none"/>
              </w:rPr>
            </w:pPr>
            <w:r>
              <w:rPr>
                <w:rFonts w:hint="eastAsia" w:cs="宋体"/>
                <w:color w:val="auto"/>
                <w:highlight w:val="none"/>
              </w:rPr>
              <w:t xml:space="preserve">5、拟投入本项目的无人机测绘操控员（项目负责人、技术负责人、质量负责人</w:t>
            </w:r>
            <w:r>
              <w:rPr>
                <w:rFonts w:hint="eastAsia" w:cs="宋体"/>
                <w:color w:val="auto"/>
                <w:highlight w:val="none"/>
                <w:lang w:eastAsia="zh-CN"/>
              </w:rPr>
              <w:t xml:space="preserve">、</w:t>
            </w:r>
            <w:r>
              <w:rPr>
                <w:rFonts w:hint="eastAsia" w:cs="宋体"/>
                <w:color w:val="auto"/>
                <w:highlight w:val="none"/>
              </w:rPr>
              <w:t xml:space="preserve">目组</w:t>
            </w:r>
            <w:r>
              <w:rPr>
                <w:rFonts w:hint="eastAsia" w:cs="宋体"/>
                <w:color w:val="auto"/>
                <w:highlight w:val="none"/>
                <w:lang w:val="en-US" w:eastAsia="zh-CN"/>
              </w:rPr>
              <w:t xml:space="preserve">成员</w:t>
            </w:r>
            <w:r>
              <w:rPr>
                <w:rFonts w:hint="eastAsia" w:cs="宋体"/>
                <w:color w:val="auto"/>
                <w:highlight w:val="none"/>
              </w:rPr>
              <w:t xml:space="preserve">除外）具有无人机测绘操控员职业证书，得1分。</w:t>
            </w:r>
            <w:r/>
          </w:p>
          <w:p>
            <w:pPr>
              <w:rPr>
                <w:rFonts w:ascii="宋体" w:hAnsi="宋体" w:cs="宋体"/>
                <w:color w:val="auto"/>
                <w:szCs w:val="21"/>
                <w:highlight w:val="none"/>
              </w:rPr>
            </w:pPr>
            <w:r>
              <w:rPr>
                <w:rFonts w:hint="eastAsia" w:cs="宋体"/>
                <w:b/>
                <w:bCs/>
                <w:color w:val="auto"/>
                <w:highlight w:val="none"/>
              </w:rPr>
              <w:t xml:space="preserve">注：以上项目负责人、技术负责人、质量负责人</w:t>
            </w:r>
            <w:r>
              <w:rPr>
                <w:rFonts w:hint="eastAsia" w:cs="宋体"/>
                <w:b/>
                <w:bCs/>
                <w:color w:val="auto"/>
                <w:highlight w:val="none"/>
                <w:lang w:eastAsia="zh-CN"/>
              </w:rPr>
              <w:t xml:space="preserve">、</w:t>
            </w:r>
            <w:r>
              <w:rPr>
                <w:rFonts w:hint="eastAsia" w:cs="宋体"/>
                <w:b/>
                <w:bCs/>
                <w:color w:val="auto"/>
                <w:highlight w:val="none"/>
              </w:rPr>
              <w:t xml:space="preserve">项目组成员</w:t>
            </w:r>
            <w:r>
              <w:rPr>
                <w:rFonts w:hint="eastAsia" w:cs="宋体"/>
                <w:b/>
                <w:bCs/>
                <w:color w:val="auto"/>
                <w:highlight w:val="none"/>
                <w:lang w:eastAsia="zh-CN"/>
              </w:rPr>
              <w:t xml:space="preserve">、</w:t>
            </w:r>
            <w:r>
              <w:rPr>
                <w:rFonts w:hint="eastAsia" w:cs="宋体"/>
                <w:b/>
                <w:bCs/>
                <w:color w:val="auto"/>
                <w:highlight w:val="none"/>
              </w:rPr>
              <w:t xml:space="preserve">无人机测绘操控员不可重复计算，以上人员提供证书及供应商近3个月任意1月为其缴纳社保的证明或者上级主管单位开具的工作岗位相关证明材料，</w:t>
            </w:r>
            <w:r>
              <w:rPr>
                <w:rFonts w:hint="eastAsia" w:cs="宋体" w:asciiTheme="minorEastAsia" w:hAnsiTheme="minorEastAsia"/>
                <w:b/>
                <w:color w:val="auto"/>
                <w:szCs w:val="21"/>
                <w:highlight w:val="none"/>
              </w:rPr>
              <w:t xml:space="preserve">原件扫描件上传并加盖电子公章，未按要求提供或未提供证明材料的均不得分</w:t>
            </w:r>
            <w:r>
              <w:rPr>
                <w:rFonts w:hint="eastAsia" w:cs="宋体"/>
                <w:b/>
                <w:b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18</w:t>
            </w:r>
            <w:r/>
          </w:p>
        </w:tc>
      </w:tr>
      <w:tr>
        <w:trPr>
          <w:jc w:val="center"/>
          <w:trHeight w:val="9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.2</w:t>
            </w:r>
            <w:r/>
          </w:p>
        </w:tc>
        <w:tc>
          <w:tcPr>
            <w:tcBorders>
              <w:left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pStyle w:val="708"/>
              <w:rPr>
                <w:rFonts w:cs="宋体"/>
                <w:b/>
                <w:bCs/>
                <w:color w:val="auto"/>
                <w:highlight w:val="none"/>
              </w:rPr>
            </w:pPr>
            <w:r>
              <w:rPr>
                <w:rFonts w:hint="eastAsia" w:cs="宋体"/>
                <w:b/>
                <w:bCs/>
                <w:color w:val="auto"/>
                <w:highlight w:val="none"/>
              </w:rPr>
              <w:t xml:space="preserve">综合实力：</w:t>
            </w:r>
            <w:r/>
          </w:p>
          <w:p>
            <w:pPr>
              <w:rPr>
                <w:rFonts w:ascii="宋体" w:hAnsi="宋体" w:cs="宋体"/>
                <w:color w:val="auto"/>
                <w:szCs w:val="21"/>
                <w:highlight w:val="none"/>
              </w:rPr>
            </w:pPr>
            <w:r>
              <w:rPr>
                <w:rFonts w:hint="eastAsia" w:ascii="宋体" w:hAnsi="宋体" w:cs="宋体"/>
                <w:color w:val="auto"/>
                <w:szCs w:val="21"/>
                <w:highlight w:val="none"/>
              </w:rPr>
              <w:t xml:space="preserve">1、供应商具有与国土变更调查业务相关的软件著作权，覆盖以下功能类别：遥感影像变化图斑提取、多源地理信息数据更新、数据信息管理平台、</w:t>
            </w:r>
            <w:r>
              <w:rPr>
                <w:rFonts w:ascii="宋体" w:hAnsi="宋体" w:cs="宋体"/>
                <w:color w:val="auto"/>
                <w:szCs w:val="21"/>
                <w:highlight w:val="none"/>
              </w:rPr>
              <w:t xml:space="preserve">地理信息数据分析管理</w:t>
            </w:r>
            <w:r>
              <w:rPr>
                <w:rFonts w:hint="eastAsia" w:ascii="宋体" w:hAnsi="宋体" w:cs="宋体"/>
                <w:color w:val="auto"/>
                <w:szCs w:val="21"/>
                <w:highlight w:val="none"/>
              </w:rPr>
              <w:t xml:space="preserve">、土地利用变化分析。每提供1项符合功能类别的有效软著得2分，最多得8分。（不限制名称的表述，功能一致即可。）</w:t>
            </w:r>
            <w:r/>
          </w:p>
          <w:p>
            <w:pPr>
              <w:rPr>
                <w:rFonts w:ascii="宋体" w:hAnsi="宋体" w:cs="宋体"/>
                <w:color w:val="auto"/>
                <w:szCs w:val="21"/>
                <w:highlight w:val="none"/>
              </w:rPr>
            </w:pPr>
            <w:r>
              <w:rPr>
                <w:rFonts w:hint="eastAsia" w:ascii="宋体" w:hAnsi="宋体" w:cs="宋体"/>
                <w:color w:val="auto"/>
                <w:szCs w:val="21"/>
                <w:highlight w:val="none"/>
              </w:rPr>
              <w:t xml:space="preserve">2、供应商承担过编制政府部门发布的测绘相关的标准化文件的得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3、供应商承担的测绘项目获得过政府部门颁发的优秀科技成果奖、优秀项目成果奖或优质测绘地理信息工程奖的，每有一个得1分，</w:t>
            </w:r>
            <w:r>
              <w:rPr>
                <w:rFonts w:hint="eastAsia" w:cs="宋体"/>
                <w:color w:val="auto"/>
                <w:highlight w:val="none"/>
              </w:rPr>
              <w:t xml:space="preserve">本项最高得2分。</w:t>
            </w:r>
            <w:r/>
          </w:p>
          <w:p>
            <w:pPr>
              <w:rPr>
                <w:rFonts w:cs="宋体"/>
                <w:color w:val="auto"/>
                <w:szCs w:val="21"/>
                <w:highlight w:val="none"/>
              </w:rPr>
            </w:pPr>
            <w:r>
              <w:rPr>
                <w:rFonts w:hint="eastAsia" w:ascii="宋体" w:hAnsi="宋体" w:cs="宋体"/>
                <w:b/>
                <w:color w:val="auto"/>
                <w:szCs w:val="21"/>
                <w:highlight w:val="none"/>
              </w:rPr>
              <w:t xml:space="preserve">注：提供上述相关证书、证明文件的原件扫描件上传并加盖电子公章，未按要求提供或未提供证明材料的均不得分。</w:t>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12</w:t>
            </w:r>
            <w:r/>
          </w:p>
        </w:tc>
      </w:tr>
      <w:tr>
        <w:trPr>
          <w:jc w:val="center"/>
          <w:trHeight w:val="6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.3</w:t>
            </w:r>
            <w:r/>
          </w:p>
        </w:tc>
        <w:tc>
          <w:tcPr>
            <w:tcBorders>
              <w:left w:val="single" w:color="auto" w:sz="4" w:space="0"/>
              <w:bottom w:val="single" w:color="auto" w:sz="4" w:space="0"/>
              <w:right w:val="single" w:color="auto" w:sz="4" w:space="0"/>
            </w:tcBorders>
            <w:tcW w:w="1202" w:type="dxa"/>
            <w:vAlign w:val="center"/>
            <w:vMerge w:val="continue"/>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pStyle w:val="708"/>
              <w:rPr>
                <w:rFonts w:cs="宋体"/>
                <w:b/>
                <w:bCs/>
                <w:color w:val="auto"/>
                <w:highlight w:val="none"/>
              </w:rPr>
            </w:pPr>
            <w:r>
              <w:rPr>
                <w:rFonts w:hint="eastAsia" w:cs="宋体"/>
                <w:b/>
                <w:bCs/>
                <w:color w:val="auto"/>
                <w:highlight w:val="none"/>
              </w:rPr>
              <w:t xml:space="preserve">类似项目业绩：</w:t>
            </w:r>
            <w:r/>
          </w:p>
          <w:p>
            <w:pPr>
              <w:rPr>
                <w:rFonts w:ascii="宋体" w:hAnsi="宋体" w:cs="宋体"/>
                <w:color w:val="auto"/>
                <w:szCs w:val="21"/>
                <w:highlight w:val="none"/>
              </w:rPr>
            </w:pPr>
            <w:r>
              <w:rPr>
                <w:rFonts w:hint="eastAsia" w:ascii="宋体" w:hAnsi="宋体" w:cs="宋体"/>
                <w:color w:val="auto"/>
                <w:szCs w:val="21"/>
                <w:highlight w:val="none"/>
              </w:rPr>
              <w:t xml:space="preserve">自2023年1月1日以来（以合同签订时间为准），供应商承担过国土变更调查监理项目的，每提供一个得3分，最高得9分。</w:t>
            </w:r>
            <w:r/>
          </w:p>
          <w:p>
            <w:pPr>
              <w:rPr>
                <w:rFonts w:cs="宋体"/>
                <w:b/>
                <w:color w:val="auto"/>
                <w:szCs w:val="21"/>
                <w:highlight w:val="none"/>
              </w:rPr>
            </w:pPr>
            <w:r>
              <w:rPr>
                <w:rFonts w:hint="eastAsia" w:ascii="宋体" w:hAnsi="宋体" w:cs="宋体"/>
                <w:b/>
                <w:color w:val="auto"/>
                <w:szCs w:val="21"/>
                <w:highlight w:val="none"/>
              </w:rPr>
              <w:t xml:space="preserve">注：以上业绩分包、转包合同无效，合同内容中需能反映出相关内容，否则不得分。提供合同和中标（成交）通知书，缺一不可，原件扫描上传并加盖电子公章，未按要求提供或未提供证明材料的均不得分。</w:t>
            </w:r>
            <w:r/>
          </w:p>
        </w:tc>
        <w:tc>
          <w:tcPr>
            <w:shd w:val="clear" w:color="auto" w:fill="auto"/>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100</w:t>
            </w:r>
            <w:r/>
          </w:p>
        </w:tc>
      </w:tr>
    </w:tbl>
    <w:p>
      <w:pPr>
        <w:ind w:firstLine="422"/>
        <w:spacing w:line="360" w:lineRule="auto"/>
        <w:rPr>
          <w:rFonts w:asciiTheme="minorEastAsia" w:hAnsiTheme="minorEastAsia" w:eastAsiaTheme="minorEastAsia" w:cstheme="minorEastAsia"/>
          <w:b/>
          <w:color w:val="auto"/>
          <w:szCs w:val="21"/>
          <w:highlight w:val="none"/>
        </w:rPr>
      </w:pPr>
      <w:r>
        <w:rPr>
          <w:rFonts w:asciiTheme="minorEastAsia" w:hAnsiTheme="minorEastAsia" w:eastAsiaTheme="minorEastAsia" w:cstheme="minorEastAsia"/>
          <w:b/>
          <w:color w:val="auto"/>
          <w:szCs w:val="21"/>
          <w:highlight w:val="none"/>
        </w:rPr>
      </w:r>
      <w:r/>
    </w:p>
    <w:p>
      <w:pPr>
        <w:ind w:firstLine="422"/>
        <w:spacing w:line="360" w:lineRule="auto"/>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 xml:space="preserve">说明：</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1、实质性要求不得负偏离；否则，按照无效投标处理。</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3、小微企业的价格扣除</w:t>
      </w:r>
      <w:r/>
    </w:p>
    <w:p>
      <w:pPr>
        <w:ind w:firstLine="411"/>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3.1.</w:t>
      </w:r>
      <w:r>
        <w:rPr>
          <w:rFonts w:hint="eastAsia" w:asciiTheme="minorEastAsia" w:hAnsiTheme="minorEastAsia" w:eastAsiaTheme="minorEastAsia" w:cstheme="minorEastAsia"/>
          <w:color w:val="auto"/>
          <w:highlight w:val="none"/>
        </w:rPr>
        <w:t xml:space="preserve">对于未预留份额专门面向中小企业采购的采购项目或预留份额项目中的非预留部分采购包，小微企业享受</w:t>
      </w:r>
      <w:r>
        <w:rPr>
          <w:rFonts w:hint="eastAsia" w:asciiTheme="minorEastAsia" w:hAnsiTheme="minorEastAsia" w:eastAsiaTheme="minorEastAsia" w:cstheme="minorEastAsia"/>
          <w:bCs/>
          <w:color w:val="auto"/>
          <w:szCs w:val="21"/>
          <w:highlight w:val="none"/>
        </w:rPr>
        <w:t xml:space="preserve">价格评审优惠政策（</w:t>
      </w:r>
      <w:r>
        <w:rPr>
          <w:rFonts w:hint="eastAsia" w:asciiTheme="minorEastAsia" w:hAnsiTheme="minorEastAsia" w:eastAsiaTheme="minorEastAsia" w:cstheme="minorEastAsia"/>
          <w:color w:val="auto"/>
          <w:highlight w:val="none"/>
        </w:rPr>
        <w:t xml:space="preserve">货物和服务项目给予10%的价格扣除，工程项目给予5%的价格扣除</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highlight w:val="none"/>
        </w:rPr>
        <w:t xml:space="preserve">，用扣除后的价格参加评审。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享受</w:t>
      </w:r>
      <w:r>
        <w:rPr>
          <w:rFonts w:hint="eastAsia" w:asciiTheme="minorEastAsia" w:hAnsiTheme="minorEastAsia" w:eastAsiaTheme="minorEastAsia" w:cstheme="minorEastAsia"/>
          <w:bCs/>
          <w:color w:val="auto"/>
          <w:szCs w:val="21"/>
          <w:highlight w:val="none"/>
        </w:rPr>
        <w:t xml:space="preserve">价格评审优惠政策（</w:t>
      </w:r>
      <w:r>
        <w:rPr>
          <w:rFonts w:hint="eastAsia" w:asciiTheme="minorEastAsia" w:hAnsiTheme="minorEastAsia" w:eastAsiaTheme="minorEastAsia" w:cstheme="minorEastAsia"/>
          <w:color w:val="auto"/>
          <w:highlight w:val="none"/>
        </w:rPr>
        <w:t xml:space="preserve">给予4%的价格扣除</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highlight w:val="none"/>
        </w:rPr>
        <w:t xml:space="preserve">，用扣除后的价格参加评审。联合体各方均为小微企业的，联合体视同为小微企业，享受</w:t>
      </w:r>
      <w:r>
        <w:rPr>
          <w:rFonts w:hint="eastAsia" w:asciiTheme="minorEastAsia" w:hAnsiTheme="minorEastAsia" w:eastAsiaTheme="minorEastAsia" w:cstheme="minorEastAsia"/>
          <w:bCs/>
          <w:color w:val="auto"/>
          <w:szCs w:val="21"/>
          <w:highlight w:val="none"/>
        </w:rPr>
        <w:t xml:space="preserve">价格评审优惠政策</w:t>
      </w:r>
      <w:r>
        <w:rPr>
          <w:rFonts w:hint="eastAsia" w:asciiTheme="minorEastAsia" w:hAnsiTheme="minorEastAsia" w:eastAsiaTheme="minorEastAsia" w:cstheme="minorEastAsia"/>
          <w:color w:val="auto"/>
          <w:highlight w:val="none"/>
        </w:rPr>
        <w:t xml:space="preserve">（货物和服务项目给予10%的扣除，工程项目给予5%的扣除）。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3.2.</w:t>
      </w:r>
      <w:r>
        <w:rPr>
          <w:rFonts w:hint="eastAsia" w:asciiTheme="minorEastAsia" w:hAnsiTheme="minorEastAsia" w:eastAsiaTheme="minorEastAsia" w:cstheme="minorEastAsia"/>
          <w:color w:val="auto"/>
          <w:highlight w:val="none"/>
        </w:rPr>
        <w:t xml:space="preserve">价格扣除比例或者价格分加分比例对小型企业和微型企业同等对待，不作区分。 </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3.3.中小微企业单位需按照采购文件的要求提供《</w:t>
      </w:r>
      <w:r>
        <w:rPr>
          <w:rFonts w:hint="eastAsia" w:ascii="宋体" w:hAnsi="宋体" w:cs="宋体"/>
          <w:b/>
          <w:bCs/>
          <w:color w:val="auto"/>
          <w:szCs w:val="21"/>
          <w:highlight w:val="none"/>
        </w:rPr>
        <w:t xml:space="preserve">中小企业</w:t>
      </w:r>
      <w:r>
        <w:rPr>
          <w:rFonts w:hint="eastAsia" w:ascii="宋体" w:hAnsi="宋体" w:cs="宋体"/>
          <w:b/>
          <w:color w:val="auto"/>
          <w:szCs w:val="21"/>
          <w:highlight w:val="none"/>
        </w:rPr>
        <w:t xml:space="preserve">声明函</w:t>
      </w:r>
      <w:r>
        <w:rPr>
          <w:rFonts w:hint="eastAsia" w:asciiTheme="minorEastAsia" w:hAnsiTheme="minorEastAsia" w:eastAsiaTheme="minorEastAsia" w:cstheme="minorEastAsia"/>
          <w:bCs/>
          <w:color w:val="auto"/>
          <w:szCs w:val="21"/>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3.4.</w:t>
      </w:r>
      <w:r>
        <w:rPr>
          <w:rFonts w:hint="eastAsia" w:asciiTheme="minorEastAsia" w:hAnsiTheme="minorEastAsia" w:eastAsiaTheme="minorEastAsia" w:cstheme="minorEastAsia"/>
          <w:color w:val="auto"/>
          <w:highlight w:val="none"/>
        </w:rPr>
        <w:t xml:space="preserve">说明：价格扣除优惠政策仅适用于“第一章 二、申请人的资格要求 落实政府采购政策需满足的资格要求”中“本项目采用 以下第（4）种方式落实政府采购促进中小企业发展的要求”的采购项目中。</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4、监狱和戒毒企业的价格扣除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4.1. 本项目对监狱和戒毒企业（简称监狱企业）视同小型、微型企业，享受相同的价格评审优惠政策，用扣除后的价格参与评审。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4.2. 监狱企业需提供由省级以上监狱管理局、戒毒管理局（含新疆生产建设兵团）出具的属于监狱企业的证明文件。</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4.3. 监狱企业标准请参照《关于政府采购支持监狱企业发展有关问题的通知》（财库[2014]68号）。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5、残疾人福利性单位的价格扣除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5.1. 本项目对残疾人福利性单位视同小型、微型企业，享受相同的价格评审优惠政策，用扣除后的价格参与评审。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5.2. 残疾人福利单位需按照采购文件的要求提供《残疾人福利性单位声明函》。</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5.3. 残疾人福利单位标准请参照《关于促进残疾人就业政府采购政策的通知》（财库〔2017〕141号）。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6、监狱企业、残疾人福利单位属于小型、微型企业的，不重复享受政策。</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7、</w:t>
      </w:r>
      <w:r>
        <w:rPr>
          <w:rFonts w:hint="eastAsia" w:asciiTheme="minorEastAsia" w:hAnsiTheme="minorEastAsia" w:eastAsiaTheme="minorEastAsia" w:cstheme="minorEastAsia"/>
          <w:b/>
          <w:color w:val="auto"/>
          <w:szCs w:val="21"/>
          <w:highlight w:val="none"/>
        </w:rPr>
        <w:t xml:space="preserve">供应商需按上述要求提供相关证明文件，如未按要求提供、填写，或相关内容表述不清的，不得享受小微企业相关政策。</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803"/>
        <w:jc w:val="center"/>
        <w:rPr>
          <w:rFonts w:asciiTheme="minorEastAsia" w:hAnsiTheme="minorEastAsia" w:eastAsiaTheme="minorEastAsia" w:cstheme="minorEastAsia"/>
          <w:b/>
          <w:color w:val="auto"/>
          <w:sz w:val="18"/>
          <w:szCs w:val="18"/>
          <w:highlight w:val="none"/>
        </w:rPr>
        <w:outlineLvl w:val="0"/>
      </w:pPr>
      <w:r/>
      <w:bookmarkStart w:id="668" w:name="_Toc6"/>
      <w:r>
        <w:rPr>
          <w:rFonts w:hint="eastAsia" w:asciiTheme="minorEastAsia" w:hAnsiTheme="minorEastAsia" w:eastAsiaTheme="minorEastAsia" w:cstheme="minorEastAsia"/>
          <w:b/>
          <w:color w:val="auto"/>
          <w:sz w:val="40"/>
          <w:szCs w:val="40"/>
          <w:highlight w:val="none"/>
        </w:rPr>
        <w:br w:type="page" w:clear="all"/>
      </w:r>
      <w:bookmarkStart w:id="108" w:name="OLE_LINK25"/>
      <w:r>
        <w:rPr>
          <w:rFonts w:hint="eastAsia" w:asciiTheme="minorEastAsia" w:hAnsiTheme="minorEastAsia" w:eastAsiaTheme="minorEastAsia" w:cstheme="minorEastAsia"/>
          <w:b/>
          <w:color w:val="auto"/>
          <w:sz w:val="40"/>
          <w:szCs w:val="40"/>
          <w:highlight w:val="none"/>
        </w:rPr>
        <w:t xml:space="preserve">第四章 招标项目说明及技术要求</w:t>
      </w:r>
      <w:bookmarkEnd w:id="108"/>
      <w:r/>
      <w:bookmarkEnd w:id="668"/>
      <w:r/>
      <w:r/>
    </w:p>
    <w:p>
      <w:pPr>
        <w:ind w:left="-15" w:hanging="105"/>
        <w:jc w:val="left"/>
        <w:rPr>
          <w:rFonts w:asciiTheme="minorEastAsia" w:hAnsiTheme="minorEastAsia" w:eastAsiaTheme="minorEastAsia" w:cstheme="minorEastAsia"/>
          <w:b/>
          <w:color w:val="auto"/>
          <w:szCs w:val="21"/>
          <w:highlight w:val="none"/>
          <w:lang w:val="zh-CN"/>
        </w:rPr>
      </w:pPr>
      <w:r/>
      <w:r/>
      <w:r/>
      <w:r/>
      <w:r/>
      <w:bookmarkStart w:id="145" w:name="_Hlk107142892"/>
      <w:r/>
      <w:r/>
      <w:r/>
      <w:r/>
      <w:r/>
      <w:r/>
      <w:r/>
      <w:r/>
      <w:r/>
      <w:r/>
      <w:r/>
      <w:r/>
      <w:r/>
      <w:r/>
      <w:r/>
      <w:r/>
      <w:r/>
      <w:r/>
      <w:r/>
      <w:r/>
      <w:r/>
      <w:r/>
      <w:r/>
      <w:r/>
      <w:r/>
      <w:r/>
      <w:r/>
      <w:r/>
      <w:r/>
      <w:bookmarkEnd w:id="145"/>
      <w:r/>
    </w:p>
    <w:p>
      <w:pPr>
        <w:ind w:left="602" w:hanging="602"/>
        <w:spacing w:line="360" w:lineRule="auto"/>
        <w:rPr>
          <w:rFonts w:asciiTheme="minorEastAsia" w:hAnsiTheme="minorEastAsia" w:eastAsiaTheme="minorEastAsia" w:cstheme="minorEastAsia"/>
          <w:b/>
          <w:color w:val="auto"/>
          <w:sz w:val="30"/>
          <w:szCs w:val="30"/>
          <w:highlight w:val="none"/>
        </w:rPr>
        <w:outlineLvl w:val="1"/>
      </w:pPr>
      <w:r/>
      <w:bookmarkStart w:id="669" w:name="_Toc7"/>
      <w:r/>
      <w:bookmarkStart w:id="202" w:name="bookmark6"/>
      <w:r>
        <w:rPr>
          <w:rFonts w:hint="eastAsia" w:asciiTheme="minorEastAsia" w:hAnsiTheme="minorEastAsia" w:eastAsiaTheme="minorEastAsia" w:cstheme="minorEastAsia"/>
          <w:b/>
          <w:color w:val="auto"/>
          <w:sz w:val="30"/>
          <w:szCs w:val="30"/>
          <w:highlight w:val="none"/>
        </w:rPr>
        <w:t xml:space="preserve">第一部分 项目基本情况、通用标准和要求</w:t>
      </w:r>
      <w:r/>
      <w:bookmarkEnd w:id="669"/>
      <w:r/>
      <w:r/>
    </w:p>
    <w:p>
      <w:pPr>
        <w:keepLines w:val="0"/>
        <w:keepNext w:val="0"/>
        <w:pageBreakBefore w:val="0"/>
        <w:spacing w:line="360" w:lineRule="auto"/>
        <w:widowControl w:val="off"/>
        <w:rPr>
          <w:rFonts w:asciiTheme="minorEastAsia" w:hAnsiTheme="minorEastAsia" w:eastAsiaTheme="minorEastAsia" w:cstheme="minorEastAsia"/>
          <w:b/>
          <w:bCs/>
          <w:color w:val="auto"/>
          <w:sz w:val="28"/>
          <w:szCs w:val="28"/>
          <w:highlight w:val="none"/>
        </w:rPr>
        <w:outlineLvl w:val="2"/>
      </w:pPr>
      <w:r/>
      <w:bookmarkStart w:id="670" w:name="_Toc8"/>
      <w:r>
        <w:rPr>
          <w:rFonts w:hint="eastAsia" w:asciiTheme="minorEastAsia" w:hAnsiTheme="minorEastAsia" w:eastAsiaTheme="minorEastAsia" w:cstheme="minorEastAsia"/>
          <w:b/>
          <w:bCs/>
          <w:color w:val="auto"/>
          <w:sz w:val="28"/>
          <w:szCs w:val="28"/>
          <w:highlight w:val="none"/>
          <w:lang w:val="en-US" w:eastAsia="zh-CN"/>
        </w:rPr>
        <w:t xml:space="preserve">一、</w:t>
      </w:r>
      <w:r>
        <w:rPr>
          <w:rFonts w:hint="eastAsia" w:asciiTheme="minorEastAsia" w:hAnsiTheme="minorEastAsia" w:eastAsiaTheme="minorEastAsia" w:cstheme="minorEastAsia"/>
          <w:b/>
          <w:bCs/>
          <w:color w:val="auto"/>
          <w:sz w:val="28"/>
          <w:szCs w:val="28"/>
          <w:highlight w:val="none"/>
        </w:rPr>
        <w:t xml:space="preserve">项目背景</w:t>
      </w:r>
      <w:r/>
      <w:bookmarkEnd w:id="670"/>
      <w:r/>
      <w:r/>
    </w:p>
    <w:p>
      <w:pPr>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
        <w:rPr>
          <w:rFonts w:hint="eastAsia" w:asciiTheme="minorEastAsia" w:hAnsiTheme="minorEastAsia" w:eastAsiaTheme="minorEastAsia" w:cstheme="minorEastAsia"/>
          <w:color w:val="auto"/>
          <w:szCs w:val="21"/>
          <w:highlight w:val="none"/>
        </w:rPr>
        <w:t xml:space="preserve">依据《中华人民共和国土地管理法》、《土地调查条例》、《土地调查条例实施办法》、《第三次全国国土调查技术规程》（TD/T 1055-2019）（以下简称《技术规程》），按照自然资源部、江苏省以及南京市自然资源主管部门国土变更调查工作要求，在江宁区2025年度国土变更调查成果基础上，利用最新卫星遥感影像，通过实地核查，掌握全区2026年度土地利用的变化情况，满足当前自然资源管理工作的需要，更新变更调查数据库，保障国土调查成果的现势性和准确性，特开展江宁区2026年度国土变更调查（含日常变更调查）。</w:t>
      </w:r>
      <w:r/>
    </w:p>
    <w:p>
      <w:pPr>
        <w:pStyle w:val="740"/>
        <w:ind w:left="0"/>
        <w:keepLines w:val="0"/>
        <w:keepNext w:val="0"/>
        <w:pageBreakBefore w:val="0"/>
        <w:spacing w:before="0"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同时，按照《关于印发南京市耕地资源“一田一码”精细化管理实施方案的通知》、《2026年全市规划资源工作要点》相关要求，现就做好2026年耕地资源“一田一码”数据更新工作</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1" w:name="_Toc9"/>
      <w:r>
        <w:rPr>
          <w:rFonts w:hint="eastAsia" w:asciiTheme="minorEastAsia" w:hAnsiTheme="minorEastAsia" w:eastAsiaTheme="minorEastAsia" w:cstheme="minorEastAsia"/>
          <w:b/>
          <w:bCs/>
          <w:color w:val="auto"/>
          <w:sz w:val="28"/>
          <w:szCs w:val="28"/>
          <w:highlight w:val="none"/>
          <w:lang w:val="en-US" w:eastAsia="zh-CN"/>
        </w:rPr>
        <w:t xml:space="preserve">二、总体目标</w:t>
      </w:r>
      <w:r/>
      <w:bookmarkEnd w:id="671"/>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1. </w:t>
      </w:r>
      <w:r>
        <w:rPr>
          <w:rFonts w:hint="eastAsia" w:asciiTheme="minorEastAsia" w:hAnsiTheme="minorEastAsia" w:eastAsiaTheme="minorEastAsia" w:cstheme="minorEastAsia"/>
          <w:b/>
          <w:bCs/>
          <w:color w:val="auto"/>
          <w:szCs w:val="21"/>
          <w:highlight w:val="none"/>
        </w:rPr>
        <w:t xml:space="preserve">2026年日常变更调查</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坚持以《江苏省日常变更调查实施方案》（试行）、《南京市日常变更调查实施方案》为依据，在2025年度国土变更调查成果基础上，以遥感影像、监测图斑等为指引，通过实地调查举证、市级复查和省级核查，形成日常变更调查成果，及时掌握国土利用变化情况，切实保障全市国土调查成果的现势性和准确性，服务规划资源日常管理工作。</w:t>
      </w:r>
      <w:r/>
    </w:p>
    <w:p>
      <w:pPr>
        <w:ind w:firstLine="422"/>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2. </w:t>
      </w:r>
      <w:r>
        <w:rPr>
          <w:rFonts w:hint="eastAsia" w:asciiTheme="minorEastAsia" w:hAnsiTheme="minorEastAsia" w:eastAsiaTheme="minorEastAsia" w:cstheme="minorEastAsia"/>
          <w:b/>
          <w:bCs/>
          <w:color w:val="auto"/>
          <w:szCs w:val="21"/>
          <w:highlight w:val="none"/>
        </w:rPr>
        <w:t xml:space="preserve">2026年度国土变更调查</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坚持以《土地调查条例》、《技术规程》（TD/T 1055-2019）、最新</w:t>
      </w:r>
      <w:r>
        <w:rPr>
          <w:rFonts w:hint="eastAsia" w:asciiTheme="minorEastAsia" w:hAnsiTheme="minorEastAsia" w:eastAsiaTheme="minorEastAsia" w:cstheme="minorEastAsia"/>
          <w:b w:val="0"/>
          <w:bCs/>
          <w:color w:val="auto"/>
          <w:szCs w:val="21"/>
          <w:highlight w:val="none"/>
        </w:rPr>
        <w:t xml:space="preserve">年度全国国土变更调查实施方案及技术规程</w:t>
      </w:r>
      <w:r>
        <w:rPr>
          <w:rFonts w:hint="eastAsia" w:asciiTheme="minorEastAsia" w:hAnsiTheme="minorEastAsia" w:eastAsiaTheme="minorEastAsia" w:cstheme="minorEastAsia"/>
          <w:color w:val="auto"/>
          <w:szCs w:val="21"/>
          <w:highlight w:val="none"/>
        </w:rPr>
        <w:t xml:space="preserve">为依据，以江宁区2025年度国土变更调查成果基础上为基数，2026年12月31日为统一时点，按照国家统一标准，在全区范围内利用互联网、地理信息系统等技术，统筹利用现有资料及国家下发遥感监测成果，地方补充提取地类变化信息，结合有关专项监测及自然资源管理成果，开展实地调查举证，全面掌握2026年度的地类、面积、属性及相关单独图层信息的变化情况，更新年度国土变更数据库。</w:t>
      </w:r>
      <w:r/>
    </w:p>
    <w:p>
      <w:pPr>
        <w:ind w:firstLine="422"/>
        <w:spacing w:line="360" w:lineRule="auto"/>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3. 2026年耕地资源“一田一码”数据更新调查</w:t>
      </w:r>
      <w:r/>
    </w:p>
    <w:p>
      <w:pPr>
        <w:pStyle w:val="740"/>
        <w:keepLines w:val="0"/>
        <w:keepNext w:val="0"/>
        <w:pageBreakBefore w:val="0"/>
        <w:spacing w:before="0" w:line="360" w:lineRule="auto"/>
        <w:widowControl w:val="off"/>
        <w:rPr>
          <w:rFonts w:hint="default" w:asciiTheme="minorEastAsia" w:hAnsiTheme="minorEastAsia" w:eastAsiaTheme="minorEastAsia" w:cstheme="minorEastAsia"/>
          <w:color w:val="auto"/>
          <w:sz w:val="21"/>
          <w:szCs w:val="21"/>
          <w:highlight w:val="none"/>
          <w:lang w:val="en-US" w:eastAsia="zh-CN" w:bidi="ar-SA"/>
        </w:rPr>
      </w:pPr>
      <w:r>
        <w:rPr>
          <w:rFonts w:hint="default" w:asciiTheme="minorEastAsia" w:hAnsiTheme="minorEastAsia" w:eastAsiaTheme="minorEastAsia" w:cstheme="minorEastAsia"/>
          <w:color w:val="auto"/>
          <w:sz w:val="21"/>
          <w:szCs w:val="21"/>
          <w:highlight w:val="none"/>
          <w:lang w:val="en-US" w:eastAsia="zh-CN" w:bidi="ar-SA"/>
        </w:rPr>
        <w:t xml:space="preserve">在前期耕地资源“一田一码”工作基础上，以2026年6月30日为统一调查时点，通过开展更新调查，更新耕地资源“一田一码”现状数据，并同步完善相关属性信息，保持耕地资源“一田一码”成果的现势性和准确性。</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2" w:name="_Toc10"/>
      <w:r>
        <w:rPr>
          <w:rFonts w:hint="eastAsia" w:asciiTheme="minorEastAsia" w:hAnsiTheme="minorEastAsia" w:eastAsiaTheme="minorEastAsia" w:cstheme="minorEastAsia"/>
          <w:b/>
          <w:bCs/>
          <w:color w:val="auto"/>
          <w:sz w:val="28"/>
          <w:szCs w:val="28"/>
          <w:highlight w:val="none"/>
          <w:lang w:val="en-US" w:eastAsia="zh-CN"/>
        </w:rPr>
        <w:t xml:space="preserve">三、项目范围</w:t>
      </w:r>
      <w:r/>
      <w:bookmarkEnd w:id="672"/>
      <w:r/>
      <w:r/>
    </w:p>
    <w:p>
      <w:pPr>
        <w:ind w:firstLine="560"/>
        <w:spacing w:line="360" w:lineRule="auto"/>
        <w:tabs>
          <w:tab w:val="left" w:pos="90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本项目调查范围为江宁区全域，调查面积约1563平方公里。</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3" w:name="_Toc11"/>
      <w:r>
        <w:rPr>
          <w:rFonts w:hint="eastAsia" w:asciiTheme="minorEastAsia" w:hAnsiTheme="minorEastAsia" w:eastAsiaTheme="minorEastAsia" w:cstheme="minorEastAsia"/>
          <w:b/>
          <w:bCs/>
          <w:color w:val="auto"/>
          <w:sz w:val="28"/>
          <w:szCs w:val="28"/>
          <w:highlight w:val="none"/>
          <w:lang w:val="en-US" w:eastAsia="zh-CN"/>
        </w:rPr>
        <w:t xml:space="preserve">四、项目分包范围及限价</w:t>
      </w:r>
      <w:r/>
      <w:bookmarkEnd w:id="673"/>
      <w:r/>
      <w:r/>
    </w:p>
    <w:tbl>
      <w:tblPr>
        <w:tblStyle w:val="730"/>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862"/>
        <w:gridCol w:w="3491"/>
        <w:gridCol w:w="1459"/>
        <w:gridCol w:w="1061"/>
      </w:tblGrid>
      <w:tr>
        <w:trPr>
          <w:jc w:val="center"/>
        </w:trPr>
        <w:tc>
          <w:tcPr>
            <w:tcW w:w="1686" w:type="dxa"/>
            <w:vAlign w:val="center"/>
            <w:textDirection w:val="lrTb"/>
            <w:noWrap w:val="false"/>
          </w:tcPr>
          <w:p>
            <w:pPr>
              <w:jc w:val="center"/>
              <w:spacing w:line="24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val="en-US" w:eastAsia="zh-CN"/>
              </w:rPr>
              <w:t xml:space="preserve">采购包号</w:t>
            </w:r>
            <w:r/>
          </w:p>
        </w:tc>
        <w:tc>
          <w:tcPr>
            <w:tcW w:w="1862"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rPr>
              <w:t xml:space="preserve">采购包名称</w:t>
            </w:r>
            <w:r/>
          </w:p>
        </w:tc>
        <w:tc>
          <w:tcPr>
            <w:shd w:val="clear" w:color="auto" w:fill="auto"/>
            <w:tcW w:w="3491" w:type="dxa"/>
            <w:vAlign w:val="center"/>
            <w:textDirection w:val="lrTb"/>
            <w:noWrap w:val="false"/>
          </w:tcPr>
          <w:p>
            <w:pPr>
              <w:jc w:val="center"/>
              <w:spacing w:line="240" w:lineRule="auto"/>
              <w:rPr>
                <w:rFonts w:hint="eastAsia" w:asciiTheme="minorEastAsia" w:hAnsiTheme="minorEastAsia" w:eastAsiaTheme="minorEastAsia" w:cstheme="minorEastAsia"/>
                <w:b/>
                <w:color w:val="auto"/>
                <w:highlight w:val="none"/>
                <w:lang w:val="en-US" w:eastAsia="zh-CN"/>
              </w:rPr>
            </w:pPr>
            <w:r>
              <w:rPr>
                <w:rFonts w:hint="eastAsia" w:asciiTheme="minorEastAsia" w:hAnsiTheme="minorEastAsia" w:eastAsiaTheme="minorEastAsia" w:cstheme="minorEastAsia"/>
                <w:b/>
                <w:color w:val="auto"/>
                <w:highlight w:val="none"/>
                <w:lang w:val="en-US" w:eastAsia="zh-CN"/>
              </w:rPr>
              <w:t xml:space="preserve">服务内容</w:t>
            </w:r>
            <w:r/>
          </w:p>
        </w:tc>
        <w:tc>
          <w:tcPr>
            <w:shd w:val="clear" w:color="auto" w:fill="auto"/>
            <w:tcW w:w="1459" w:type="dxa"/>
            <w:vAlign w:val="center"/>
            <w:textDirection w:val="lrTb"/>
            <w:noWrap w:val="false"/>
          </w:tcPr>
          <w:p>
            <w:pPr>
              <w:jc w:val="center"/>
              <w:spacing w:line="24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采购包预算</w:t>
            </w:r>
            <w:r/>
          </w:p>
          <w:p>
            <w:pPr>
              <w:jc w:val="center"/>
              <w:spacing w:line="24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（万元）</w:t>
            </w:r>
            <w:r/>
          </w:p>
        </w:tc>
        <w:tc>
          <w:tcPr>
            <w:shd w:val="clear" w:color="auto" w:fill="auto"/>
            <w:tcW w:w="1061" w:type="dxa"/>
            <w:vAlign w:val="center"/>
            <w:textDirection w:val="lrTb"/>
            <w:noWrap w:val="false"/>
          </w:tcPr>
          <w:p>
            <w:pPr>
              <w:jc w:val="center"/>
              <w:spacing w:line="24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1686"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采购包1</w:t>
            </w:r>
            <w:r/>
          </w:p>
        </w:tc>
        <w:tc>
          <w:tcPr>
            <w:tcW w:w="1862"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调查服务</w:t>
            </w:r>
            <w:r/>
          </w:p>
        </w:tc>
        <w:tc>
          <w:tcPr>
            <w:shd w:val="clear" w:color="auto" w:fill="auto"/>
            <w:tcW w:w="3491" w:type="dxa"/>
            <w:vAlign w:val="center"/>
            <w:textDirection w:val="lrTb"/>
            <w:noWrap w:val="false"/>
          </w:tcPr>
          <w:p>
            <w:pPr>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2026年度国土</w:t>
            </w:r>
            <w:r>
              <w:rPr>
                <w:rFonts w:hint="eastAsia" w:asciiTheme="minorEastAsia" w:hAnsiTheme="minorEastAsia" w:eastAsiaTheme="minorEastAsia" w:cstheme="minorEastAsia"/>
                <w:color w:val="auto"/>
                <w:highlight w:val="none"/>
              </w:rPr>
              <w:t xml:space="preserve">变更调查、</w:t>
            </w:r>
            <w:r>
              <w:rPr>
                <w:rFonts w:hint="eastAsia" w:asciiTheme="minorEastAsia" w:hAnsiTheme="minorEastAsia" w:eastAsiaTheme="minorEastAsia" w:cstheme="minorEastAsia"/>
                <w:color w:val="auto"/>
                <w:highlight w:val="none"/>
                <w:lang w:val="en-US" w:eastAsia="zh-CN"/>
              </w:rPr>
              <w:t xml:space="preserve">2026年度</w:t>
            </w:r>
            <w:r>
              <w:rPr>
                <w:rFonts w:hint="eastAsia" w:asciiTheme="minorEastAsia" w:hAnsiTheme="minorEastAsia" w:eastAsiaTheme="minorEastAsia" w:cstheme="minorEastAsia"/>
                <w:color w:val="auto"/>
                <w:highlight w:val="none"/>
              </w:rPr>
              <w:t xml:space="preserve">日常变更调查</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2026年</w:t>
            </w:r>
            <w:r>
              <w:rPr>
                <w:rFonts w:hint="eastAsia" w:asciiTheme="minorEastAsia" w:hAnsiTheme="minorEastAsia" w:eastAsiaTheme="minorEastAsia" w:cstheme="minorEastAsia"/>
                <w:b w:val="0"/>
                <w:bCs w:val="0"/>
                <w:color w:val="auto"/>
                <w:szCs w:val="21"/>
                <w:highlight w:val="none"/>
                <w:lang w:val="en-US" w:eastAsia="zh-CN"/>
              </w:rPr>
              <w:t xml:space="preserve">耕地资源“一田一码”数据更新调查</w:t>
            </w:r>
            <w:r/>
          </w:p>
        </w:tc>
        <w:tc>
          <w:tcPr>
            <w:shd w:val="clear" w:color="auto" w:fill="auto"/>
            <w:tcW w:w="1459" w:type="dxa"/>
            <w:vAlign w:val="center"/>
            <w:textDirection w:val="lrTb"/>
            <w:noWrap w:val="false"/>
          </w:tcPr>
          <w:p>
            <w:pPr>
              <w:jc w:val="center"/>
              <w:spacing w:line="24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180</w:t>
            </w:r>
            <w:r/>
          </w:p>
        </w:tc>
        <w:tc>
          <w:tcPr>
            <w:shd w:val="clear" w:color="auto" w:fill="auto"/>
            <w:tcW w:w="1061" w:type="dxa"/>
            <w:textDirection w:val="lrTb"/>
            <w:noWrap w:val="false"/>
          </w:tcPr>
          <w:p>
            <w:pPr>
              <w:spacing w:line="24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r>
        <w:trPr>
          <w:jc w:val="center"/>
          <w:trHeight w:val="340"/>
        </w:trPr>
        <w:tc>
          <w:tcPr>
            <w:tcW w:w="1686"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采购包2</w:t>
            </w:r>
            <w:r/>
          </w:p>
        </w:tc>
        <w:tc>
          <w:tcPr>
            <w:tcW w:w="1862"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监理服务</w:t>
            </w:r>
            <w:r/>
          </w:p>
        </w:tc>
        <w:tc>
          <w:tcPr>
            <w:shd w:val="clear" w:color="auto" w:fill="auto"/>
            <w:tcW w:w="3491" w:type="dxa"/>
            <w:vAlign w:val="center"/>
            <w:textDirection w:val="lrTb"/>
            <w:noWrap w:val="false"/>
          </w:tcPr>
          <w:p>
            <w:pPr>
              <w:jc w:val="center"/>
              <w:spacing w:line="24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对江宁区2026年国土变更调查（含日常变更调查）、2026年耕地资源“一田一码”数据更新调查项目全程进行监督检查，提供</w:t>
            </w:r>
            <w:r>
              <w:rPr>
                <w:rFonts w:hint="eastAsia" w:asciiTheme="minorEastAsia" w:hAnsiTheme="minorEastAsia" w:eastAsiaTheme="minorEastAsia" w:cstheme="minorEastAsia"/>
                <w:color w:val="auto"/>
                <w:szCs w:val="21"/>
                <w:highlight w:val="none"/>
                <w:lang w:val="en-US" w:eastAsia="zh-CN"/>
              </w:rPr>
              <w:t xml:space="preserve">监理服务。</w:t>
            </w:r>
            <w:r/>
          </w:p>
        </w:tc>
        <w:tc>
          <w:tcPr>
            <w:shd w:val="clear" w:color="auto" w:fill="auto"/>
            <w:tcW w:w="1459" w:type="dxa"/>
            <w:vAlign w:val="center"/>
            <w:textDirection w:val="lrTb"/>
            <w:noWrap w:val="false"/>
          </w:tcPr>
          <w:p>
            <w:pPr>
              <w:jc w:val="center"/>
              <w:spacing w:line="24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shd w:val="clear" w:color="auto" w:fill="auto"/>
            <w:tcW w:w="1061" w:type="dxa"/>
            <w:textDirection w:val="lrTb"/>
            <w:noWrap w:val="false"/>
          </w:tcPr>
          <w:p>
            <w:pPr>
              <w:spacing w:line="24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r>
        <w:trPr>
          <w:jc w:val="center"/>
          <w:trHeight w:val="340"/>
        </w:trPr>
        <w:tc>
          <w:tcPr>
            <w:gridSpan w:val="3"/>
            <w:tcW w:w="7039"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合计</w:t>
            </w:r>
            <w:r/>
          </w:p>
        </w:tc>
        <w:tc>
          <w:tcPr>
            <w:shd w:val="clear" w:color="auto" w:fill="auto"/>
            <w:tcW w:w="1459" w:type="dxa"/>
            <w:vAlign w:val="center"/>
            <w:textDirection w:val="lrTb"/>
            <w:noWrap w:val="false"/>
          </w:tcPr>
          <w:p>
            <w:pPr>
              <w:jc w:val="center"/>
              <w:spacing w:line="24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192</w:t>
            </w:r>
            <w:r/>
          </w:p>
        </w:tc>
        <w:tc>
          <w:tcPr>
            <w:shd w:val="clear" w:color="auto" w:fill="auto"/>
            <w:tcW w:w="1061" w:type="dxa"/>
            <w:textDirection w:val="lrTb"/>
            <w:noWrap w:val="false"/>
          </w:tcPr>
          <w:p>
            <w:pPr>
              <w:jc w:val="center"/>
              <w:spacing w:line="240" w:lineRule="auto"/>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bl>
    <w:p>
      <w:pPr>
        <w:keepLines w:val="0"/>
        <w:keepNext w:val="0"/>
        <w:pageBreakBefore w:val="0"/>
        <w:spacing w:before="144" w:line="360" w:lineRule="auto"/>
        <w:widowControl w:val="off"/>
        <w:rPr>
          <w:rFonts w:hint="eastAsia" w:asciiTheme="minorEastAsia" w:hAnsiTheme="minorEastAsia" w:eastAsiaTheme="minorEastAsia" w:cstheme="minorEastAsia"/>
          <w:b/>
          <w:color w:val="auto"/>
          <w:sz w:val="30"/>
          <w:szCs w:val="30"/>
          <w:highlight w:val="none"/>
        </w:rPr>
        <w:outlineLvl w:val="1"/>
      </w:pPr>
      <w:r/>
      <w:r/>
      <w:r/>
    </w:p>
    <w:p>
      <w:pPr>
        <w:keepLines w:val="0"/>
        <w:keepNext w:val="0"/>
        <w:pageBreakBefore w:val="0"/>
        <w:spacing w:before="144" w:line="360" w:lineRule="auto"/>
        <w:widowControl w:val="off"/>
        <w:rPr>
          <w:rFonts w:asciiTheme="minorEastAsia" w:hAnsiTheme="minorEastAsia" w:eastAsiaTheme="minorEastAsia" w:cstheme="minorEastAsia"/>
          <w:b/>
          <w:color w:val="auto"/>
          <w:szCs w:val="21"/>
          <w:highlight w:val="none"/>
        </w:rPr>
        <w:outlineLvl w:val="1"/>
      </w:pPr>
      <w:r/>
      <w:bookmarkStart w:id="674" w:name="_Toc12"/>
      <w:r>
        <w:rPr>
          <w:rFonts w:hint="eastAsia" w:asciiTheme="minorEastAsia" w:hAnsiTheme="minorEastAsia" w:eastAsiaTheme="minorEastAsia" w:cstheme="minorEastAsia"/>
          <w:b/>
          <w:color w:val="auto"/>
          <w:sz w:val="30"/>
          <w:szCs w:val="30"/>
          <w:highlight w:val="none"/>
        </w:rPr>
        <w:t xml:space="preserve">第二部分：采购包1（调查服务）具体内容及需求</w:t>
      </w:r>
      <w:r/>
      <w:bookmarkEnd w:id="674"/>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5" w:name="_Toc13"/>
      <w:r>
        <w:rPr>
          <w:rFonts w:hint="eastAsia" w:asciiTheme="minorEastAsia" w:hAnsiTheme="minorEastAsia" w:eastAsiaTheme="minorEastAsia" w:cstheme="minorEastAsia"/>
          <w:b/>
          <w:bCs/>
          <w:color w:val="auto"/>
          <w:sz w:val="28"/>
          <w:szCs w:val="28"/>
          <w:highlight w:val="none"/>
          <w:lang w:val="en-US" w:eastAsia="zh-CN"/>
        </w:rPr>
        <w:t xml:space="preserve">一、调查服务内容</w:t>
      </w:r>
      <w:r/>
      <w:bookmarkEnd w:id="675"/>
      <w:r/>
      <w:r/>
    </w:p>
    <w:p>
      <w:pPr>
        <w:ind w:firstLine="560"/>
        <w:spacing w:line="360" w:lineRule="auto"/>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变更调查、日常变更调查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按照部统一标准，依托 “国土调查云”“在线核查系统”等平台，结合土地卫片执法检查、耕地卫片监督、土地整治、耕地进出平衡、林草湿</w:t>
      </w:r>
      <w:r>
        <w:rPr>
          <w:rFonts w:hint="eastAsia" w:asciiTheme="minorEastAsia" w:hAnsiTheme="minorEastAsia" w:eastAsiaTheme="minorEastAsia" w:cstheme="minorEastAsia"/>
          <w:color w:val="auto"/>
          <w:szCs w:val="21"/>
          <w:highlight w:val="none"/>
        </w:rPr>
        <w:t xml:space="preserve">监测、地方日常监测和巡查等工作，对实地发生变化且后续不再变化的地块纳入日常变更并及时开展调查举证工作；同时，利用部、省下发的定期监测成果，在部门协作共享后分类型纳入日常变更并开展调查举证工作，辅助专项管理决策，支撑日常变更并全面衔接年度变更。对“日常变更”和“定期监测”形成的日常变更变化图斑和举证材料，通过“国土调查云”平台中“江苏日常变更”模块和“省市县三级在线核查系统”逐级报市级和省级检查。对通过省级“线上”检查的日常变更成果，按要求汇交相应成果报部核查。在通过部核查后，及时更新并汇总土地利用相关数据。</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2026年12月31日为统一时点，统筹利用现有资料及国家下发遥感监测成果，地方补充提取地类变化信息开展实地调查举证，全面掌握2026年度的地类、面积、属性及相关单独图层信息的变化情况，更新年度国土变更数据库。</w:t>
      </w:r>
      <w:r/>
    </w:p>
    <w:p>
      <w:pPr>
        <w:ind w:firstLine="560"/>
        <w:spacing w:line="360" w:lineRule="auto"/>
        <w:tabs>
          <w:tab w:val="left" w:pos="90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耕地资源“一田一码”数据更新调查</w:t>
      </w:r>
      <w:r/>
    </w:p>
    <w:p>
      <w:pPr>
        <w:ind w:firstLine="560"/>
        <w:spacing w:line="360" w:lineRule="auto"/>
        <w:tabs>
          <w:tab w:val="left" w:pos="900" w:leader="none"/>
        </w:tabs>
        <w:rPr>
          <w:rFonts w:hint="eastAsia" w:asciiTheme="minorEastAsia" w:hAnsiTheme="minorEastAsia" w:eastAsiaTheme="minorEastAsia" w:cstheme="minorEastAsia"/>
          <w:b/>
          <w:bCs/>
          <w:color w:val="auto"/>
          <w:szCs w:val="21"/>
          <w:highlight w:val="none"/>
          <w:lang w:val="en-US" w:eastAsia="zh-CN"/>
        </w:rPr>
      </w:pPr>
      <w:r>
        <w:rPr>
          <w:rFonts w:hint="eastAsia" w:ascii="宋体" w:hAnsi="宋体" w:cs="宋体"/>
          <w:color w:val="auto"/>
          <w:szCs w:val="21"/>
          <w:highlight w:val="none"/>
        </w:rPr>
        <w:t xml:space="preserve">江宁区耕地资源“一田一码”</w:t>
      </w:r>
      <w:r>
        <w:rPr>
          <w:rFonts w:hint="eastAsia" w:asciiTheme="minorEastAsia" w:hAnsiTheme="minorEastAsia" w:eastAsiaTheme="minorEastAsia" w:cstheme="minorEastAsia"/>
          <w:b w:val="0"/>
          <w:bCs w:val="0"/>
          <w:color w:val="auto"/>
          <w:szCs w:val="21"/>
          <w:highlight w:val="none"/>
          <w:lang w:val="en-US" w:eastAsia="zh-CN"/>
        </w:rPr>
        <w:t xml:space="preserve">数据更新调查</w:t>
      </w:r>
      <w:r>
        <w:rPr>
          <w:rFonts w:hint="eastAsia" w:ascii="宋体" w:hAnsi="宋体" w:cs="宋体"/>
          <w:color w:val="auto"/>
          <w:szCs w:val="21"/>
          <w:highlight w:val="none"/>
        </w:rPr>
        <w:t xml:space="preserve">主要包含：</w:t>
      </w:r>
      <w:r>
        <w:rPr>
          <w:rFonts w:hint="eastAsia" w:asciiTheme="minorEastAsia" w:hAnsiTheme="minorEastAsia" w:eastAsiaTheme="minorEastAsia" w:cstheme="minorEastAsia"/>
          <w:b w:val="0"/>
          <w:bCs w:val="0"/>
          <w:color w:val="auto"/>
          <w:szCs w:val="21"/>
          <w:highlight w:val="none"/>
          <w:lang w:val="en-US" w:eastAsia="zh-CN"/>
        </w:rPr>
        <w:t xml:space="preserve">图斑提取、外业调查、成果自检、数据建库汇交等工作。</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6" w:name="_Toc14"/>
      <w:r>
        <w:rPr>
          <w:rFonts w:hint="eastAsia" w:asciiTheme="minorEastAsia" w:hAnsiTheme="minorEastAsia" w:eastAsiaTheme="minorEastAsia" w:cstheme="minorEastAsia"/>
          <w:b/>
          <w:bCs/>
          <w:color w:val="auto"/>
          <w:sz w:val="28"/>
          <w:szCs w:val="28"/>
          <w:highlight w:val="none"/>
          <w:lang w:val="en-US" w:eastAsia="zh-CN"/>
        </w:rPr>
        <w:t xml:space="preserve">二、本项目调查服务要求</w:t>
      </w:r>
      <w:r/>
      <w:bookmarkEnd w:id="676"/>
      <w:r/>
      <w:r/>
    </w:p>
    <w:p>
      <w:pPr>
        <w:ind w:firstLine="482"/>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（一）2026年日常变更调查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
      <w:r>
        <w:rPr>
          <w:rFonts w:hint="eastAsia" w:asciiTheme="minorEastAsia" w:hAnsiTheme="minorEastAsia" w:eastAsiaTheme="minorEastAsia" w:cstheme="minorEastAsia"/>
          <w:color w:val="auto"/>
          <w:szCs w:val="21"/>
          <w:highlight w:val="none"/>
        </w:rPr>
        <w:t xml:space="preserve">1.制作季度遥感影像图</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根据需要，依托上级下发最新遥感影像图，对比2025年度国土变更调查影像和2025年变更调查成果，提取变化图斑。</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2.收集变更指引数据资料</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收集土地卫片执法、耕地保护督察、土地综合整治、高标准农田建设、建设项目规划审批（建设用地规划许可、建设工程规划许可、规划验收）、近两年供地数据、近两年地形图更新范围等数据资料，作为日常变更的指引数据资料。</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3.制作季度监测图斑</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汇集提取的变化图斑、收集的变更指引数据、上级下发的监测图斑、城市国土空间监测成果、林草湿调查监测成果，对比2025年度国土变更调查成果，将疑似地类不一致的图斑作为监测图斑；梳理2025年度国土变更调查成果中的推（堆）土区，结合季度遥感影像图，将已建成的地块作为监测图斑。</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可根据工作需要自主增加调查范围。</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4.开展调查及举证工作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以实地现状认定地类为原则，调查监测图斑范围（含自主增加的调查范围，下同）内已变化地块的地类、范围及属性，按要求对需要举证的地块开展举证工作。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可结合日常工作需要，随时开展外业调查举证，形成调查成果，上报至省市县三级在线核查系统。</w:t>
      </w:r>
      <w:r/>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5.在线上报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调查监测部门利用“省市县三级在线核查系统”， 以季度为时间节点，将调查成果上报至省市县三级在线核查系统，亦可在此时间节点前按照“完成一个、上报一个”的原则上报。地方应根据上报图斑的类型，在系统中选择相对应的类型标注，便于后续数据的管理和应用。</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6.省、市检查意见整改</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省、市两级反馈的日常变更调查成果检查意见，逐图斑开展整改工作。对已通过省、市两级检查的图斑，除实地发生变化，一律不得修改；对变更地类与实地情况不符的，不再纳入日常变更；对变更地类与实地情况一致，需对举证角度等进行规范性整改的，应及时完成相关整改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7.成果上报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县级调查监测部门将通过省、市核查的日常变更调查成果，制作矢量图层及举证数据包，上报省级。</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8.开展数据汇总工作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日常变更调查成果经市级、省级、国家级核查无误后，结合上年度国土变更调查成果开展数据汇总，形成国土利用变化情况汇总表。</w:t>
      </w:r>
      <w:r/>
    </w:p>
    <w:p>
      <w:pPr>
        <w:ind w:firstLine="562"/>
        <w:spacing w:line="360" w:lineRule="auto"/>
        <w:tabs>
          <w:tab w:val="left" w:pos="900" w:leader="none"/>
        </w:tabs>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具体作业要求根据上级主管部门最新要求实施。</w:t>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（二）2026年度变更调查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1.农村土地利用现状更新</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（1）内业调查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自然资源主管部门将年度变更调查遥感监测成果、部综合监管平台中的用地管理信息、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（2）外业调查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当年12月31日为时点，按照以实地现状认定地类的原则，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上年度国土调查数据库中的城镇村范围、临时用地、推（堆）土区、光伏板、拆除未尽等单独图层范围，形成本年度相关单独图层。</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（3）调查举证</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调查单元在开展外业调查的同时，应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使用自主举证平台的省份，应依据《国土调查监测实地核实举证技术规范》开展工作，并提前与部联系“国土调查云”平台接口转换事宜，确保所有举证照片上传至“国土调查云”平台。</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2.城镇村庄内部土地利用现状细化调查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城镇村庄内部土地利用现状变更调查与农村土地利用现状变更调查同步开展，在汇总时分别统计。各地充分利用地籍调查和不动产登记成果，开展年度变更调查城镇村庄内部土地利用现状二级地类的调查更新。</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3.权属界线上图和补充调查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县级调查单元根据集体土地所有权日常登记工作掌握的权属变化情况开展年度变更调查权属更新，对权属界线发生变化的，要将已按照集体土地所有权地籍调查确定的成果，及时纳入年度国土变更调查。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4.年度国土调查数据库更新</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县级调查单元按照统一的年度国土变更调查数据更新技术要求、数据库变更方法、标准及相关质量要求，采用增量更新的方式，开展年度国土调查数据库更新工作。</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5.年度变更调查更新成果检查与核查</w:t>
      </w:r>
      <w:r/>
    </w:p>
    <w:p>
      <w:pPr>
        <w:ind w:firstLine="560"/>
        <w:spacing w:line="360" w:lineRule="auto"/>
        <w:tabs>
          <w:tab w:val="left" w:pos="90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县级自然资源主管部门组织对本地区年度变更调查更新成果进行100%全面自检，确保成果的完整性、规范性、真实性和准确性；同时利用全国统一的数据库质量检查软件检查年度变更调查增量数据的数据质量。</w:t>
      </w:r>
      <w:r/>
    </w:p>
    <w:p>
      <w:pPr>
        <w:ind w:firstLine="482"/>
        <w:spacing w:line="360" w:lineRule="auto"/>
        <w:rPr>
          <w:rFonts w:hint="eastAsia" w:asciiTheme="minorEastAsia" w:hAnsiTheme="minorEastAsia" w:eastAsiaTheme="minorEastAsia" w:cstheme="minorEastAsia"/>
          <w:b/>
          <w:bCs/>
          <w:color w:val="auto"/>
          <w:sz w:val="24"/>
          <w:szCs w:val="24"/>
          <w:highlight w:val="none"/>
          <w:lang w:val="en-US" w:eastAsia="zh-CN"/>
        </w:rPr>
      </w:pPr>
      <w:r/>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耕地资源“一田一码”数据更新调查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 </w:t>
      </w:r>
      <w:r>
        <w:rPr>
          <w:rFonts w:hint="eastAsia" w:asciiTheme="minorEastAsia" w:hAnsiTheme="minorEastAsia" w:eastAsiaTheme="minorEastAsia" w:cstheme="minorEastAsia"/>
          <w:color w:val="auto"/>
          <w:sz w:val="21"/>
          <w:szCs w:val="21"/>
          <w:highlight w:val="none"/>
        </w:rPr>
        <w:t xml:space="preserve">图斑提取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2025年度国土变更调查成果为基础库，结合最新遥感影像、高清航片及其他管理信息，提取疑似耕地不一致图斑，具体包含以下两类：一是基础库为耕地，实地现状疑似为非耕地；二是基础库为非耕地，实地现状疑似为耕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市级按照2025年度国土变更调查耕地图斑边界，整图斑提取实地现状疑似为非耕地的图斑，供参考。应根据最新遥感影像、高清航片及其他管理数据，对市级下发图斑的范围进行切割、调整，细化疑似耕地不一致图斑的范围。</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 </w:t>
      </w:r>
      <w:r>
        <w:rPr>
          <w:rFonts w:hint="eastAsia" w:asciiTheme="minorEastAsia" w:hAnsiTheme="minorEastAsia" w:eastAsiaTheme="minorEastAsia" w:cstheme="minorEastAsia"/>
          <w:color w:val="auto"/>
          <w:sz w:val="21"/>
          <w:szCs w:val="21"/>
          <w:highlight w:val="none"/>
        </w:rPr>
        <w:t xml:space="preserve">外业调查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采用离线外业采集软件对疑似耕地不一致图斑逐个开展外业调查，核实现状地类、边界、种植情况等。并结合最新管理数据，更新完善基础库耕地的所有权人、承包人、承租人等相关属性信息。</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对于基础库耕地范围内2025年耕地资源“一田一码”非耕地数据成果，现状未变化的，无需外业举证，直接作为耕地不一致图斑纳入2026年耕地资源“一田一码”非耕地成果。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 </w:t>
      </w:r>
      <w:r>
        <w:rPr>
          <w:rFonts w:hint="eastAsia" w:asciiTheme="minorEastAsia" w:hAnsiTheme="minorEastAsia" w:eastAsiaTheme="minorEastAsia" w:cstheme="minorEastAsia"/>
          <w:color w:val="auto"/>
          <w:sz w:val="21"/>
          <w:szCs w:val="21"/>
          <w:highlight w:val="none"/>
        </w:rPr>
        <w:t xml:space="preserve">数据汇交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rPr>
        <w:t xml:space="preserve">按照《南京市2026年耕地资源“一田一码”数据更新调查技术方案》（见附件）要求完成数据整理、自检、建库，按期提交矢量数据库、统计表、举证照片等全套成果。市级开展抽检与核查，不合格成果退回区级整改，直至通过市级检查。</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7" w:name="_Toc15"/>
      <w:r>
        <w:rPr>
          <w:rFonts w:hint="eastAsia" w:asciiTheme="minorEastAsia" w:hAnsiTheme="minorEastAsia" w:eastAsiaTheme="minorEastAsia" w:cstheme="minorEastAsia"/>
          <w:b/>
          <w:bCs/>
          <w:color w:val="auto"/>
          <w:sz w:val="28"/>
          <w:szCs w:val="28"/>
          <w:highlight w:val="none"/>
          <w:lang w:val="en-US" w:eastAsia="zh-CN"/>
        </w:rPr>
        <w:t xml:space="preserve">三、实施要求</w:t>
      </w:r>
      <w:r/>
      <w:bookmarkEnd w:id="677"/>
      <w:r/>
      <w:r/>
    </w:p>
    <w:p>
      <w:pPr>
        <w:ind w:firstLine="482"/>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变更调查、日常变更调查</w:t>
      </w:r>
      <w:r/>
    </w:p>
    <w:tbl>
      <w:tblPr>
        <w:tblStyle w:val="697"/>
        <w:tblW w:w="4997" w:type="pct"/>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919"/>
        <w:gridCol w:w="7934"/>
      </w:tblGrid>
      <w:tr>
        <w:trPr/>
        <w:tc>
          <w:tcPr>
            <w:tcW w:w="427"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W w:w="919"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名称</w:t>
            </w:r>
            <w:r/>
          </w:p>
        </w:tc>
        <w:tc>
          <w:tcPr>
            <w:tcW w:w="7936"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采购要求</w:t>
            </w:r>
            <w:r/>
          </w:p>
        </w:tc>
      </w:tr>
      <w:tr>
        <w:trPr/>
        <w:tc>
          <w:tcPr>
            <w:tcW w:w="427"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919"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总体要求</w:t>
            </w:r>
            <w:r/>
          </w:p>
        </w:tc>
        <w:tc>
          <w:tcPr>
            <w:tcW w:w="7936" w:type="dxa"/>
            <w:textDirection w:val="lrTb"/>
            <w:noWrap w:val="false"/>
          </w:tcPr>
          <w:p>
            <w:pP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2026年度变更调查的主要任务是按照国家统一标准，在全区范围内利用互联网、地理信息系统等技术，统筹利用现有资料及国家下发遥感监测成果，地方补充提取地类变化信息，结合有关专项监测及自然资源管理成果，开展实地调查举证，全面掌握2026年度的地类、面积、属性及相关单独图层信息的变化情况，更新2025年度国土变更数据库。</w:t>
            </w:r>
            <w:r/>
          </w:p>
          <w:p>
            <w:pP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通过调查、统计和分析，掌握2026年度永久基本农田变化，建设占用农用地、耕地非粮化、耕地非农化状况，设施农用地变化，农村建房、临时用地、批而未用土地、退耕还林、围填海、足球场、高尔夫球场、光伏用地和农业结构调整等的变化状况，各类自然保护区及生态保护红线范围内的土地利用变化状况，土地整治、高标准农田、增减挂钩、增存挂钩等项目的实施状况，空间规划的实施状况等有关情况。</w:t>
            </w:r>
            <w:r/>
          </w:p>
        </w:tc>
      </w:tr>
      <w:tr>
        <w:trPr/>
        <w:tc>
          <w:tcPr>
            <w:tcW w:w="427"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919"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合理化建议</w:t>
            </w:r>
            <w:r/>
          </w:p>
        </w:tc>
        <w:tc>
          <w:tcPr>
            <w:tcW w:w="7936" w:type="dxa"/>
            <w:vAlign w:val="center"/>
            <w:textDirection w:val="lrTb"/>
            <w:noWrap w:val="false"/>
          </w:tcPr>
          <w:p>
            <w:pP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提供合理化建议</w:t>
            </w:r>
            <w:r/>
          </w:p>
        </w:tc>
      </w:tr>
      <w:tr>
        <w:trPr/>
        <w:tc>
          <w:tcPr>
            <w:tcW w:w="427"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W w:w="919"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项目成果</w:t>
            </w:r>
            <w:r/>
          </w:p>
        </w:tc>
        <w:tc>
          <w:tcPr>
            <w:tcW w:w="7936" w:type="dxa"/>
            <w:vAlign w:val="center"/>
            <w:textDirection w:val="lrTb"/>
            <w:noWrap w:val="false"/>
          </w:tcPr>
          <w:p>
            <w:pP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（1）日常变更以季度为时间节点分批次下发遥感影像、监测图斑等相关数据，通过实地调查划定图斑范围、认定地类，形成日常变更调查成果。</w:t>
            </w:r>
            <w:r/>
          </w:p>
          <w:p>
            <w:pP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国土调查矢量数据包括2026年度变更调查更新数据包（含增量信息与统计报表，由数据库质检软件打包生成）；“互联网+”举证成果为DB格式，2026年度变更调查所有举证的图斑放置在2026年度变更调查举证（BGDC2026）属性表中，举证信息表为MDB格式；《遥感监测图斑信息核实记录表》为MDB格式，根据遥感监测图斑的变更情况逐图斑填写。</w:t>
            </w:r>
            <w:r/>
          </w:p>
        </w:tc>
      </w:tr>
      <w:tr>
        <w:trPr/>
        <w:tc>
          <w:tcPr>
            <w:gridSpan w:val="3"/>
            <w:tcW w:w="9282" w:type="dxa"/>
            <w:vAlign w:val="center"/>
            <w:textDirection w:val="lrTb"/>
            <w:noWrap w:val="false"/>
          </w:tcPr>
          <w:p>
            <w:pP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注：按照自然资源部2026年度变更调查实施方案、国土变更调查技术规程作业。</w:t>
            </w:r>
            <w:r/>
          </w:p>
        </w:tc>
      </w:tr>
    </w:tbl>
    <w:p>
      <w:pPr>
        <w:ind w:firstLine="482"/>
        <w:keepLines w:val="0"/>
        <w:keepNext w:val="0"/>
        <w:pageBreakBefore w:val="0"/>
        <w:spacing w:before="144"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耕地资源“一田一码”数据更新调查</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 </w:t>
      </w:r>
      <w:r>
        <w:rPr>
          <w:rFonts w:hint="eastAsia" w:ascii="宋体" w:hAnsi="宋体" w:cs="宋体"/>
          <w:b/>
          <w:color w:val="auto"/>
          <w:sz w:val="21"/>
          <w:szCs w:val="21"/>
          <w:highlight w:val="none"/>
        </w:rPr>
        <w:t xml:space="preserve">技术标准与依据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包括但不限于：</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《关于开展全市2026年耕地资源“一田一码”数据更新调查的通知》</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《南京市2026年耕地资源“一田一码”数据更新调查技术方案》</w:t>
      </w:r>
      <w:r>
        <w:rPr>
          <w:rFonts w:hint="eastAsia" w:ascii="宋体" w:hAnsi="宋体" w:cs="宋体"/>
          <w:color w:val="auto"/>
          <w:szCs w:val="21"/>
          <w:highlight w:val="none"/>
          <w:lang w:eastAsia="zh-CN"/>
        </w:rPr>
        <w:t xml:space="preserve">。</w:t>
      </w:r>
      <w:r/>
    </w:p>
    <w:p>
      <w:pPr>
        <w:ind w:firstLine="422"/>
        <w:keepLines w:val="0"/>
        <w:keepNext w:val="0"/>
        <w:pageBreakBefore w:val="0"/>
        <w:spacing w:line="360" w:lineRule="auto"/>
        <w:widowControl w:val="off"/>
        <w:rPr>
          <w:rFonts w:ascii="宋体" w:hAnsi="宋体" w:cs="宋体"/>
          <w:b/>
          <w:color w:val="auto"/>
          <w:sz w:val="21"/>
          <w:szCs w:val="21"/>
          <w:highlight w:val="none"/>
        </w:rPr>
        <w:outlineLvl w:val="9"/>
      </w:pPr>
      <w:r>
        <w:rPr>
          <w:rFonts w:hint="eastAsia" w:ascii="宋体" w:hAnsi="宋体" w:cs="宋体"/>
          <w:b/>
          <w:color w:val="auto"/>
          <w:sz w:val="21"/>
          <w:szCs w:val="21"/>
          <w:highlight w:val="none"/>
          <w:lang w:val="en-US" w:eastAsia="zh-CN"/>
        </w:rPr>
        <w:t xml:space="preserve">2. </w:t>
      </w:r>
      <w:r>
        <w:rPr>
          <w:rFonts w:hint="eastAsia" w:ascii="宋体" w:hAnsi="宋体" w:cs="宋体"/>
          <w:b/>
          <w:color w:val="auto"/>
          <w:sz w:val="21"/>
          <w:szCs w:val="21"/>
          <w:highlight w:val="none"/>
        </w:rPr>
        <w:t xml:space="preserve">成果要求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提交的成果包括技术报告、数据库成果、表格等成果。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技术报告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调查数据库成果</w:t>
      </w:r>
      <w:r/>
    </w:p>
    <w:p>
      <w:pPr>
        <w:ind w:left="0" w:firstLine="8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1）现状补充调查数据库；</w:t>
      </w:r>
      <w:r/>
    </w:p>
    <w:p>
      <w:pPr>
        <w:ind w:left="0" w:firstLine="8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2）拟恢复补充耕地调查数据库。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表格成果</w:t>
      </w:r>
      <w:r/>
    </w:p>
    <w:p>
      <w:pPr>
        <w:ind w:left="0" w:firstLine="8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1）江宁区XX街道现状耕地补充调查情况统计表；</w:t>
      </w:r>
      <w:r/>
    </w:p>
    <w:p>
      <w:pPr>
        <w:ind w:left="0"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2）江宁区XX街道现状园地补充调查情况统计表；</w:t>
      </w:r>
      <w:r/>
    </w:p>
    <w:p>
      <w:pPr>
        <w:ind w:left="0" w:firstLine="840"/>
        <w:spacing w:line="360" w:lineRule="auto"/>
        <w:rPr>
          <w:rFonts w:asciiTheme="minorEastAsia" w:hAnsiTheme="minorEastAsia" w:eastAsiaTheme="minorEastAsia" w:cstheme="minorEastAsia"/>
          <w:b/>
          <w:color w:val="auto"/>
          <w:szCs w:val="21"/>
          <w:highlight w:val="none"/>
        </w:rPr>
      </w:pPr>
      <w:r>
        <w:rPr>
          <w:rFonts w:hint="eastAsia" w:ascii="宋体" w:hAnsi="宋体" w:cs="宋体"/>
          <w:color w:val="auto"/>
          <w:szCs w:val="21"/>
          <w:highlight w:val="none"/>
        </w:rPr>
        <w:t xml:space="preserve">3）江宁区XX街道拟恢复补充耕地情况统计表。</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8" w:name="_Toc16"/>
      <w:r>
        <w:rPr>
          <w:rFonts w:hint="eastAsia" w:asciiTheme="minorEastAsia" w:hAnsiTheme="minorEastAsia" w:eastAsiaTheme="minorEastAsia" w:cstheme="minorEastAsia"/>
          <w:b/>
          <w:bCs/>
          <w:color w:val="auto"/>
          <w:sz w:val="28"/>
          <w:szCs w:val="28"/>
          <w:highlight w:val="none"/>
          <w:lang w:val="en-US" w:eastAsia="zh-CN"/>
        </w:rPr>
        <w:t xml:space="preserve">四、人员配置要求</w:t>
      </w:r>
      <w:r/>
      <w:bookmarkEnd w:id="678"/>
      <w:r/>
      <w:r/>
    </w:p>
    <w:tbl>
      <w:tblPr>
        <w:tblStyle w:val="697"/>
        <w:tblW w:w="4997" w:type="pct"/>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52"/>
        <w:gridCol w:w="1234"/>
        <w:gridCol w:w="5406"/>
      </w:tblGrid>
      <w:tr>
        <w:trPr/>
        <w:tc>
          <w:tcPr>
            <w:tcW w:w="789"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W w:w="1852"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岗位名称</w:t>
            </w:r>
            <w:r/>
          </w:p>
        </w:tc>
        <w:tc>
          <w:tcPr>
            <w:tcW w:w="1234"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人数</w:t>
            </w:r>
            <w:r/>
          </w:p>
        </w:tc>
        <w:tc>
          <w:tcPr>
            <w:tcW w:w="5407" w:type="dxa"/>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人员要求</w:t>
            </w:r>
            <w:r/>
          </w:p>
        </w:tc>
      </w:tr>
      <w:tr>
        <w:trPr/>
        <w:tc>
          <w:tcPr>
            <w:tcW w:w="789"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852"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项目组成员</w:t>
            </w:r>
            <w:r/>
          </w:p>
        </w:tc>
        <w:tc>
          <w:tcPr>
            <w:tcW w:w="1234"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w:t>
            </w:r>
            <w:r/>
          </w:p>
        </w:tc>
        <w:tc>
          <w:tcPr>
            <w:tcW w:w="5407" w:type="dxa"/>
            <w:vAlign w:val="center"/>
            <w:textDirection w:val="lrTb"/>
            <w:noWrap w:val="false"/>
          </w:tcPr>
          <w:p>
            <w:pPr>
              <w:jc w:val="left"/>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针对项目特点，成立项目组。项目负责人、技术负责人、质量负责人要具有高级职称，管理人员要安全生产证书。项目组（包括检查人员）其他成员不少于25人，其中外业调查不少于15人，内业处理不少于10人。</w:t>
            </w:r>
            <w:r/>
          </w:p>
        </w:tc>
      </w:tr>
    </w:tbl>
    <w:p>
      <w:pPr>
        <w:keepLines w:val="0"/>
        <w:keepNext w:val="0"/>
        <w:pageBreakBefore w:val="0"/>
        <w:spacing w:before="144"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79" w:name="_Toc17"/>
      <w:r>
        <w:rPr>
          <w:rFonts w:hint="eastAsia" w:asciiTheme="minorEastAsia" w:hAnsiTheme="minorEastAsia" w:eastAsiaTheme="minorEastAsia" w:cstheme="minorEastAsia"/>
          <w:b/>
          <w:bCs/>
          <w:color w:val="auto"/>
          <w:sz w:val="28"/>
          <w:szCs w:val="28"/>
          <w:highlight w:val="none"/>
          <w:lang w:val="en-US" w:eastAsia="zh-CN"/>
        </w:rPr>
        <w:t xml:space="preserve">五、服务要求</w:t>
      </w:r>
      <w:r/>
      <w:bookmarkEnd w:id="679"/>
      <w:r/>
      <w:r/>
    </w:p>
    <w:tbl>
      <w:tblPr>
        <w:tblStyle w:val="697"/>
        <w:tblW w:w="4997" w:type="pct"/>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810"/>
        <w:gridCol w:w="6679"/>
      </w:tblGrid>
      <w:tr>
        <w:trPr/>
        <w:tc>
          <w:tcPr>
            <w:tcW w:w="791" w:type="dxa"/>
            <w:vAlign w:val="center"/>
            <w:textDirection w:val="lrTb"/>
            <w:noWrap w:val="false"/>
          </w:tcPr>
          <w:p>
            <w:pPr>
              <w:pStyle w:val="937"/>
              <w:jc w:val="center"/>
              <w:spacing w:line="240" w:lineRule="auto"/>
              <w:rPr>
                <w:rFonts w:asciiTheme="minorEastAsia" w:hAnsiTheme="minorEastAsia" w:eastAsiaTheme="minorEastAsia" w:cstheme="minorEastAsia"/>
                <w:b/>
                <w:bCs/>
                <w:color w:val="auto"/>
                <w:sz w:val="21"/>
                <w:szCs w:val="21"/>
                <w:highlight w:val="none"/>
              </w:rPr>
            </w:pPr>
            <w:r/>
            <w:r>
              <w:rPr>
                <w:rFonts w:hint="eastAsia" w:asciiTheme="minorEastAsia" w:hAnsiTheme="minorEastAsia" w:eastAsiaTheme="minorEastAsia" w:cstheme="minorEastAsia"/>
                <w:b/>
                <w:bCs/>
                <w:color w:val="auto"/>
                <w:sz w:val="21"/>
                <w:szCs w:val="21"/>
                <w:highlight w:val="none"/>
              </w:rPr>
              <w:t xml:space="preserve">序号</w:t>
            </w:r>
            <w:r/>
            <w:r/>
          </w:p>
        </w:tc>
        <w:tc>
          <w:tcPr>
            <w:tcW w:w="1810" w:type="dxa"/>
            <w:vAlign w:val="center"/>
            <w:textDirection w:val="lrTb"/>
            <w:noWrap w:val="false"/>
          </w:tcPr>
          <w:p>
            <w:pPr>
              <w:pStyle w:val="937"/>
              <w:jc w:val="center"/>
              <w:spacing w:line="240" w:lineRule="auto"/>
              <w:rPr>
                <w:rFonts w:asciiTheme="minorEastAsia" w:hAnsiTheme="minorEastAsia" w:eastAsiaTheme="minorEastAsia" w:cstheme="minorEastAsia"/>
                <w:b/>
                <w:bCs/>
                <w:color w:val="auto"/>
                <w:sz w:val="21"/>
                <w:szCs w:val="21"/>
                <w:highlight w:val="none"/>
              </w:rPr>
            </w:pPr>
            <w:r/>
            <w:r>
              <w:rPr>
                <w:rFonts w:hint="eastAsia" w:asciiTheme="minorEastAsia" w:hAnsiTheme="minorEastAsia" w:eastAsiaTheme="minorEastAsia" w:cstheme="minorEastAsia"/>
                <w:b/>
                <w:bCs/>
                <w:color w:val="auto"/>
                <w:sz w:val="21"/>
                <w:szCs w:val="21"/>
                <w:highlight w:val="none"/>
              </w:rPr>
              <w:t xml:space="preserve">名称</w:t>
            </w:r>
            <w:r/>
            <w:r/>
          </w:p>
        </w:tc>
        <w:tc>
          <w:tcPr>
            <w:tcW w:w="6681" w:type="dxa"/>
            <w:textDirection w:val="lrTb"/>
            <w:noWrap w:val="false"/>
          </w:tcPr>
          <w:p>
            <w:pPr>
              <w:pStyle w:val="937"/>
              <w:jc w:val="both"/>
              <w:spacing w:line="240" w:lineRule="auto"/>
              <w:rPr>
                <w:rFonts w:asciiTheme="minorEastAsia" w:hAnsiTheme="minorEastAsia" w:eastAsiaTheme="minorEastAsia" w:cstheme="minorEastAsia"/>
                <w:b/>
                <w:bCs/>
                <w:color w:val="auto"/>
                <w:sz w:val="21"/>
                <w:szCs w:val="21"/>
                <w:highlight w:val="none"/>
              </w:rPr>
            </w:pPr>
            <w:r/>
            <w:r>
              <w:rPr>
                <w:rFonts w:hint="eastAsia" w:asciiTheme="minorEastAsia" w:hAnsiTheme="minorEastAsia" w:eastAsiaTheme="minorEastAsia" w:cstheme="minorEastAsia"/>
                <w:b/>
                <w:bCs/>
                <w:color w:val="auto"/>
                <w:sz w:val="21"/>
                <w:szCs w:val="21"/>
                <w:highlight w:val="none"/>
              </w:rPr>
              <w:t xml:space="preserve">采购需求</w:t>
            </w:r>
            <w:r/>
            <w:r/>
          </w:p>
        </w:tc>
      </w:tr>
      <w:tr>
        <w:trPr/>
        <w:tc>
          <w:tcPr>
            <w:tcW w:w="791"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810"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w:t>
            </w:r>
            <w:r/>
          </w:p>
        </w:tc>
        <w:tc>
          <w:tcPr>
            <w:tcW w:w="6681" w:type="dxa"/>
            <w:textDirection w:val="lrTb"/>
            <w:noWrap w:val="false"/>
          </w:tcPr>
          <w:p>
            <w:pPr>
              <w:jc w:val="left"/>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提供售后服务方案及承诺。</w:t>
            </w:r>
            <w:r/>
          </w:p>
        </w:tc>
      </w:tr>
      <w:tr>
        <w:trPr/>
        <w:tc>
          <w:tcPr>
            <w:tcW w:w="791"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1810"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验收标准和方法（完全响应）</w:t>
            </w:r>
            <w:r/>
          </w:p>
        </w:tc>
        <w:tc>
          <w:tcPr>
            <w:tcW w:w="6681" w:type="dxa"/>
            <w:textDirection w:val="lrTb"/>
            <w:noWrap w:val="false"/>
          </w:tcPr>
          <w:p>
            <w:pPr>
              <w:jc w:val="left"/>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相关成果需通过部、省、市相关质检软件检查，并上报江苏省自然资源厅</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或</w:t>
            </w:r>
            <w:r>
              <w:rPr>
                <w:rFonts w:hint="eastAsia"/>
                <w:color w:val="auto"/>
                <w:highlight w:val="none"/>
              </w:rPr>
              <w:t xml:space="preserve">通过</w:t>
            </w:r>
            <w:r>
              <w:rPr>
                <w:rFonts w:hint="eastAsia"/>
                <w:color w:val="auto"/>
                <w:highlight w:val="none"/>
                <w:lang w:val="en-US" w:eastAsia="zh-CN"/>
              </w:rPr>
              <w:t xml:space="preserve">采购人</w:t>
            </w:r>
            <w:r>
              <w:rPr>
                <w:rFonts w:hint="eastAsia"/>
                <w:color w:val="auto"/>
                <w:highlight w:val="none"/>
              </w:rPr>
              <w:t xml:space="preserve">组织的验收。</w:t>
            </w:r>
            <w:r/>
          </w:p>
        </w:tc>
      </w:tr>
      <w:tr>
        <w:trPr/>
        <w:tc>
          <w:tcPr>
            <w:tcW w:w="791"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W w:w="1810"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技术要求</w:t>
            </w:r>
            <w:r/>
          </w:p>
        </w:tc>
        <w:tc>
          <w:tcPr>
            <w:tcW w:w="6681" w:type="dxa"/>
            <w:textDirection w:val="lrTb"/>
            <w:noWrap w:val="false"/>
          </w:tcPr>
          <w:p>
            <w:pPr>
              <w:jc w:val="left"/>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技术方案、实施方案合理，安全保密措施得当，质量控制严密。</w:t>
            </w:r>
            <w:r/>
          </w:p>
        </w:tc>
      </w:tr>
    </w:tbl>
    <w:p>
      <w:pPr>
        <w:keepLines w:val="0"/>
        <w:keepNext w:val="0"/>
        <w:pageBreakBefore w:val="0"/>
        <w:spacing w:before="144"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80" w:name="_Toc18"/>
      <w:r>
        <w:rPr>
          <w:rFonts w:hint="eastAsia" w:asciiTheme="minorEastAsia" w:hAnsiTheme="minorEastAsia" w:eastAsiaTheme="minorEastAsia" w:cstheme="minorEastAsia"/>
          <w:b/>
          <w:bCs/>
          <w:color w:val="auto"/>
          <w:sz w:val="28"/>
          <w:szCs w:val="28"/>
          <w:highlight w:val="none"/>
          <w:lang w:val="en-US" w:eastAsia="zh-CN"/>
        </w:rPr>
        <w:t xml:space="preserve">六、服务期限</w:t>
      </w:r>
      <w:r/>
      <w:bookmarkEnd w:id="680"/>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1、变更调查、日常变更调查：</w:t>
      </w:r>
      <w:r>
        <w:rPr>
          <w:rFonts w:hint="eastAsia" w:asciiTheme="minorEastAsia" w:hAnsiTheme="minorEastAsia" w:eastAsiaTheme="minorEastAsia" w:cstheme="minorEastAsia"/>
          <w:bCs/>
          <w:color w:val="auto"/>
          <w:szCs w:val="21"/>
          <w:highlight w:val="none"/>
        </w:rPr>
        <w:t xml:space="preserve">总服务期限约为12个月。工作时间节点：2026年11月底前完成日常变更工作；2027年2月底前提交合格成果报自然资源部；2027年6月底前完成整个项目工作。（</w:t>
      </w:r>
      <w:r>
        <w:rPr>
          <w:rFonts w:hint="eastAsia" w:asciiTheme="minorEastAsia" w:hAnsiTheme="minorEastAsia" w:eastAsiaTheme="minorEastAsia" w:cstheme="minorEastAsia"/>
          <w:color w:val="auto"/>
          <w:szCs w:val="21"/>
          <w:highlight w:val="none"/>
        </w:rPr>
        <w:t xml:space="preserve">按照上级主管部门要求的时间节点完成数据上报，具体以甲方通知为准。</w:t>
      </w:r>
      <w:r>
        <w:rPr>
          <w:rFonts w:hint="eastAsia" w:asciiTheme="minorEastAsia" w:hAnsiTheme="minorEastAsia" w:eastAsiaTheme="minorEastAsia" w:cstheme="minorEastAsia"/>
          <w:bCs/>
          <w:color w:val="auto"/>
          <w:szCs w:val="21"/>
          <w:highlight w:val="none"/>
        </w:rPr>
        <w:t xml:space="preserve">）</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2、耕地资源“一田一码”数据更新调查：</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（1）2026年8月15日前，完成疑似耕地不一致图斑的自提工作。</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（2）2026年9月30日前，完成内业整理、外业调查、属性更新、数据建库、区级检查并上报成果。</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（3）2026年10月31日前，完成市级抽检问题整改，并提交最终成果汇总。</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按照上级主管部门要求的时间节点完成数据上报，具体以甲方通知为准。</w:t>
      </w:r>
      <w:r>
        <w:rPr>
          <w:rFonts w:hint="eastAsia" w:asciiTheme="minorEastAsia" w:hAnsiTheme="minorEastAsia" w:eastAsiaTheme="minorEastAsia" w:cstheme="minorEastAsia"/>
          <w:bCs/>
          <w:color w:val="auto"/>
          <w:szCs w:val="21"/>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outlineLvl w:val="2"/>
      </w:pPr>
      <w:r/>
      <w:bookmarkStart w:id="681" w:name="_Toc19"/>
      <w:r>
        <w:rPr>
          <w:rFonts w:hint="eastAsia" w:asciiTheme="minorEastAsia" w:hAnsiTheme="minorEastAsia" w:eastAsiaTheme="minorEastAsia" w:cstheme="minorEastAsia"/>
          <w:b/>
          <w:bCs/>
          <w:color w:val="auto"/>
          <w:sz w:val="28"/>
          <w:szCs w:val="28"/>
          <w:highlight w:val="none"/>
          <w:lang w:val="en-US" w:eastAsia="zh-CN"/>
        </w:rPr>
        <w:t xml:space="preserve">七、付款条件</w:t>
      </w:r>
      <w:r/>
      <w:bookmarkEnd w:id="681"/>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项目合同签订之日起30日内，支付合同额的40%；项目成果通过省级预检并报部合格后，余款全部付清。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注：采购人每次付款前，供应商应向甲方开具等额发票。否则，采购人有权拒绝付款。</w:t>
      </w:r>
      <w:r/>
      <w:r/>
      <w:r/>
      <w:r/>
      <w:r/>
      <w:r/>
      <w:r/>
      <w:r/>
      <w:r/>
      <w:r/>
      <w:r/>
      <w:r/>
      <w:bookmarkEnd w:id="202"/>
      <w:r/>
      <w:r/>
      <w:r/>
    </w:p>
    <w:p>
      <w:pPr>
        <w:ind w:firstLine="420"/>
        <w:spacing w:line="360" w:lineRule="auto"/>
        <w:rPr>
          <w:rFonts w:hint="default" w:asciiTheme="minorEastAsia" w:hAnsiTheme="minorEastAsia" w:eastAsiaTheme="minorEastAsia" w:cstheme="minorEastAsia"/>
          <w:b/>
          <w:color w:val="auto"/>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   </w:t>
      </w:r>
      <w:r/>
    </w:p>
    <w:p>
      <w:pPr>
        <w:jc w:val="left"/>
        <w:keepLines w:val="0"/>
        <w:keepNext w:val="0"/>
        <w:pageBreakBefore w:val="0"/>
        <w:spacing w:before="144" w:line="360" w:lineRule="auto"/>
        <w:widowControl/>
        <w:rPr>
          <w:rFonts w:asciiTheme="minorEastAsia" w:hAnsiTheme="minorEastAsia" w:eastAsiaTheme="minorEastAsia" w:cstheme="minorEastAsia"/>
          <w:b/>
          <w:color w:val="auto"/>
          <w:sz w:val="30"/>
          <w:szCs w:val="30"/>
          <w:highlight w:val="none"/>
        </w:rPr>
        <w:outlineLvl w:val="1"/>
      </w:pPr>
      <w:r/>
      <w:bookmarkStart w:id="682" w:name="_Toc20"/>
      <w:r>
        <w:rPr>
          <w:rFonts w:hint="eastAsia" w:asciiTheme="minorEastAsia" w:hAnsiTheme="minorEastAsia" w:eastAsiaTheme="minorEastAsia" w:cstheme="minorEastAsia"/>
          <w:b/>
          <w:color w:val="auto"/>
          <w:sz w:val="30"/>
          <w:szCs w:val="30"/>
          <w:highlight w:val="none"/>
        </w:rPr>
        <w:t xml:space="preserve">第三部分：采购包2（监理服务）具体内容及需求</w:t>
      </w:r>
      <w:r/>
      <w:bookmarkEnd w:id="682"/>
      <w:r/>
      <w:r/>
    </w:p>
    <w:p>
      <w:pPr>
        <w:spacing w:line="360" w:lineRule="auto"/>
        <w:rPr>
          <w:b/>
          <w:color w:val="auto"/>
          <w:highlight w:val="none"/>
        </w:rPr>
        <w:outlineLvl w:val="2"/>
      </w:pPr>
      <w:r/>
      <w:bookmarkStart w:id="683" w:name="_Toc21"/>
      <w:r>
        <w:rPr>
          <w:rFonts w:hint="eastAsia" w:ascii="宋体" w:hAnsi="宋体" w:cs="宋体"/>
          <w:b/>
          <w:bCs/>
          <w:color w:val="auto"/>
          <w:szCs w:val="21"/>
          <w:highlight w:val="none"/>
        </w:rPr>
        <w:t xml:space="preserve">一、监理服务工作内容</w:t>
      </w:r>
      <w:r/>
      <w:bookmarkEnd w:id="683"/>
      <w:r/>
      <w:r/>
    </w:p>
    <w:p>
      <w:pPr>
        <w:ind w:firstLine="420"/>
        <w:spacing w:line="360" w:lineRule="auto"/>
        <w:rPr>
          <w:rFonts w:ascii="宋体" w:hAnsi="宋体" w:cs="宋体"/>
          <w:color w:val="auto"/>
          <w:szCs w:val="21"/>
          <w:highlight w:val="none"/>
          <w:lang w:val="zh-CN"/>
        </w:rPr>
      </w:pPr>
      <w:r>
        <w:rPr>
          <w:rFonts w:hint="eastAsia" w:ascii="宋体" w:hAnsi="宋体"/>
          <w:color w:val="auto"/>
          <w:szCs w:val="21"/>
          <w:highlight w:val="none"/>
        </w:rPr>
        <w:t xml:space="preserve">本次监理项目要求对江宁区2026年国土变更调查（含日常变更调查）</w:t>
      </w:r>
      <w:r>
        <w:rPr>
          <w:rFonts w:hint="eastAsia" w:ascii="宋体" w:hAnsi="宋体"/>
          <w:color w:val="auto"/>
          <w:szCs w:val="21"/>
          <w:highlight w:val="none"/>
          <w:lang w:eastAsia="zh-CN"/>
        </w:rPr>
        <w:t xml:space="preserve">、2026年耕地资源“一田一码”数据更新调查</w:t>
      </w:r>
      <w:r>
        <w:rPr>
          <w:rFonts w:hint="eastAsia" w:ascii="宋体" w:hAnsi="宋体"/>
          <w:color w:val="auto"/>
          <w:szCs w:val="21"/>
          <w:highlight w:val="none"/>
        </w:rPr>
        <w:t xml:space="preserve">项目全程进行监督检查，主要</w:t>
      </w:r>
      <w:r>
        <w:rPr>
          <w:rFonts w:hint="eastAsia" w:ascii="宋体" w:hAnsi="宋体" w:cs="宋体"/>
          <w:color w:val="auto"/>
          <w:szCs w:val="21"/>
          <w:highlight w:val="none"/>
          <w:lang w:val="zh-CN"/>
        </w:rPr>
        <w:t xml:space="preserve">负责</w:t>
      </w:r>
      <w:r>
        <w:rPr>
          <w:rFonts w:hint="eastAsia" w:ascii="宋体" w:hAnsi="宋体"/>
          <w:color w:val="auto"/>
          <w:szCs w:val="21"/>
          <w:highlight w:val="none"/>
        </w:rPr>
        <w:t xml:space="preserve">江宁区2026年国土变更调查（含日常变更调查）</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2026年耕地资源“一田一码”数据更新调查项目</w:t>
      </w:r>
      <w:r>
        <w:rPr>
          <w:rFonts w:hint="eastAsia" w:ascii="宋体" w:hAnsi="宋体" w:cs="宋体"/>
          <w:color w:val="auto"/>
          <w:szCs w:val="21"/>
          <w:highlight w:val="none"/>
          <w:lang w:val="zh-CN"/>
        </w:rPr>
        <w:t xml:space="preserve">的工作进度和</w:t>
      </w:r>
      <w:r>
        <w:rPr>
          <w:rFonts w:hint="eastAsia" w:ascii="宋体" w:hAnsi="宋体" w:cs="宋体"/>
          <w:color w:val="auto"/>
          <w:szCs w:val="21"/>
          <w:highlight w:val="none"/>
        </w:rPr>
        <w:t xml:space="preserve">过程质量</w:t>
      </w:r>
      <w:r>
        <w:rPr>
          <w:rFonts w:hint="eastAsia" w:ascii="宋体" w:hAnsi="宋体" w:cs="宋体"/>
          <w:color w:val="auto"/>
          <w:szCs w:val="21"/>
          <w:highlight w:val="none"/>
          <w:lang w:val="zh-CN"/>
        </w:rPr>
        <w:t xml:space="preserve">，监理方根据采购人要求按时向采购人提交工作进度和精度报告。</w:t>
      </w:r>
      <w:r>
        <w:rPr>
          <w:rFonts w:hint="eastAsia" w:ascii="宋体" w:hAnsi="宋体" w:cs="宋体"/>
          <w:color w:val="auto"/>
          <w:szCs w:val="21"/>
          <w:highlight w:val="none"/>
          <w:lang w:val="en-US" w:eastAsia="zh-CN"/>
        </w:rPr>
        <w:t xml:space="preserve">并</w:t>
      </w:r>
      <w:r>
        <w:rPr>
          <w:rFonts w:hint="eastAsia" w:ascii="宋体" w:hAnsi="宋体" w:cs="宋体"/>
          <w:color w:val="auto"/>
          <w:szCs w:val="21"/>
          <w:highlight w:val="none"/>
          <w:lang w:val="zh-CN"/>
        </w:rPr>
        <w:t xml:space="preserve">完成采购人交办的其他工作任务。</w:t>
      </w:r>
      <w:r/>
    </w:p>
    <w:p>
      <w:pPr>
        <w:spacing w:line="360" w:lineRule="auto"/>
        <w:rPr>
          <w:rFonts w:asciiTheme="minorEastAsia" w:hAnsiTheme="minorEastAsia" w:eastAsiaTheme="minorEastAsia" w:cstheme="minorEastAsia"/>
          <w:b/>
          <w:color w:val="auto"/>
          <w:szCs w:val="21"/>
          <w:highlight w:val="none"/>
        </w:rPr>
        <w:outlineLvl w:val="2"/>
      </w:pPr>
      <w:r/>
      <w:bookmarkStart w:id="684" w:name="_Toc22"/>
      <w:r>
        <w:rPr>
          <w:rFonts w:hint="eastAsia" w:asciiTheme="minorEastAsia" w:hAnsiTheme="minorEastAsia" w:eastAsiaTheme="minorEastAsia" w:cstheme="minorEastAsia"/>
          <w:b/>
          <w:color w:val="auto"/>
          <w:szCs w:val="21"/>
          <w:highlight w:val="none"/>
        </w:rPr>
        <w:t xml:space="preserve">二、监理服务要求</w:t>
      </w:r>
      <w:r/>
      <w:bookmarkEnd w:id="684"/>
      <w:r/>
      <w:r/>
    </w:p>
    <w:p>
      <w:pPr>
        <w:ind w:firstLine="420"/>
        <w:spacing w:line="360" w:lineRule="auto"/>
        <w:rPr>
          <w:color w:val="auto"/>
          <w:highlight w:val="none"/>
        </w:rPr>
      </w:pPr>
      <w:r>
        <w:rPr>
          <w:rFonts w:hint="eastAsia"/>
          <w:color w:val="auto"/>
          <w:highlight w:val="none"/>
        </w:rPr>
        <w:t xml:space="preserve">供应商要按照调查服务项目目标和要求，遵循国家、地区及行业的有关政策、法规及规范要求，负责本项目的监理工作。采用先进、科学和适合本项目特点和项目管理技巧等手段，对项目的各个层面进行全方位的管理、控制和协调，对项目的调查服务方案、保密工作等方面的质量、进度等进行全面的控制，对调查服务项目的合同执行、文档资料等进行管理，从而使本项目“按期、保质、高效、节约”地完成。</w:t>
      </w:r>
      <w:r/>
    </w:p>
    <w:p>
      <w:pPr>
        <w:ind w:firstLine="420"/>
        <w:spacing w:line="360" w:lineRule="auto"/>
        <w:rPr>
          <w:color w:val="auto"/>
          <w:highlight w:val="none"/>
        </w:rPr>
      </w:pPr>
      <w:r>
        <w:rPr>
          <w:rFonts w:hint="eastAsia"/>
          <w:color w:val="auto"/>
          <w:highlight w:val="none"/>
        </w:rPr>
        <w:t xml:space="preserve">供应商在项目中受采购人委托，代表采购人的利益，控制质量、确保进度，依据合同及项目实施方案对项目的全过程进行监督管理，并站在第三方的立场上，公正地对待调查服务项目的承接供应商，协调采购人和承接供应商之间关系，最终圆满完成项目建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1、各阶段监理主要目标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监理工作应分为项目实施、验收等两个阶段，对项目全过程进行监理。供应商应按照项目建设目标和要求，督促项目承接供应商按时保质完成项目的建设工作。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1.1项目实施阶段的主要监理目标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审核项目实施计划，合理控制项目进度；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审核项目实施方案符合项目质量要求；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监督项目中承接供应商所使用的设备和服务符合项目合同及国家相关法律法规和标准；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监督项目实施过程与项目需求、项目实施方案、项目计划相符，必要时在进行现场监督并记录有关情况，确保项目质量。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1.2项目验收阶段的主要监理目标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促使项目的最终目标、成果符合调查服务合同、法律法规和标准的要求，协助采购人组织验收；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审核调查服务项目承接供应商所提供的项目各阶段形成的技术成果、文档资料的内容符合相关标准。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报送项目承接单位提交的项目进度款的支付依据。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2、监理服务准则要求：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（1）维护国家的荣誉和利益，按照“守法、诚信、公正、科学”的准则执业；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（2）执行所监理项目的相关法律法规、规范、标准和制度；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（3）不收受被监理方的任何礼金等；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（4）不泄漏所监理项目各方认为需要保密的事项；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（5）认真履行监理合同所承诺的义务和承担约定的责任；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（6）坚持公正的立场，公平地处理有关各方的争议；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（7）坚持科学的态度和实事求是的原则；</w:t>
      </w:r>
      <w:r/>
    </w:p>
    <w:p>
      <w:pPr>
        <w:ind w:firstLine="420"/>
        <w:spacing w:line="360" w:lineRule="auto"/>
        <w:rPr>
          <w:rFonts w:hint="eastAsia" w:eastAsia="宋体"/>
          <w:color w:val="auto"/>
          <w:highlight w:val="none"/>
          <w:lang w:eastAsia="zh-CN"/>
        </w:rPr>
      </w:pPr>
      <w:r>
        <w:rPr>
          <w:rFonts w:hint="eastAsia" w:ascii="宋体" w:hAnsi="宋体" w:cs="宋体"/>
          <w:color w:val="auto"/>
          <w:szCs w:val="21"/>
          <w:highlight w:val="none"/>
        </w:rPr>
        <w:t xml:space="preserve">（8）在坚持按监理合同的规定向业主单位提供技术服务的同时，帮助被监理方完成其担负的任务</w:t>
      </w:r>
      <w:r>
        <w:rPr>
          <w:rFonts w:hint="eastAsia" w:ascii="宋体" w:hAnsi="宋体" w:cs="宋体"/>
          <w:color w:val="auto"/>
          <w:szCs w:val="21"/>
          <w:highlight w:val="none"/>
          <w:lang w:eastAsia="zh-CN"/>
        </w:rPr>
        <w:t xml:space="preserve">。</w:t>
      </w:r>
      <w:r/>
    </w:p>
    <w:p>
      <w:pPr>
        <w:spacing w:line="360" w:lineRule="auto"/>
        <w:rPr>
          <w:rFonts w:asciiTheme="minorEastAsia" w:hAnsiTheme="minorEastAsia" w:eastAsiaTheme="minorEastAsia" w:cstheme="minorEastAsia"/>
          <w:b/>
          <w:color w:val="auto"/>
          <w:szCs w:val="21"/>
          <w:highlight w:val="none"/>
        </w:rPr>
        <w:outlineLvl w:val="2"/>
      </w:pPr>
      <w:r/>
      <w:bookmarkStart w:id="685" w:name="_Toc23"/>
      <w:r>
        <w:rPr>
          <w:rFonts w:hint="eastAsia" w:asciiTheme="minorEastAsia" w:hAnsiTheme="minorEastAsia" w:eastAsiaTheme="minorEastAsia" w:cstheme="minorEastAsia"/>
          <w:b/>
          <w:color w:val="auto"/>
          <w:szCs w:val="21"/>
          <w:highlight w:val="none"/>
        </w:rPr>
        <w:t xml:space="preserve">三、人员配置要求</w:t>
      </w:r>
      <w:r/>
      <w:bookmarkEnd w:id="685"/>
      <w:r/>
      <w:r/>
    </w:p>
    <w:tbl>
      <w:tblPr>
        <w:tblStyle w:val="697"/>
        <w:tblW w:w="4997" w:type="pct"/>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52"/>
        <w:gridCol w:w="1234"/>
        <w:gridCol w:w="5406"/>
      </w:tblGrid>
      <w:tr>
        <w:trPr/>
        <w:tc>
          <w:tcPr>
            <w:tcW w:w="789"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W w:w="1852"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岗位名称</w:t>
            </w:r>
            <w:r/>
          </w:p>
        </w:tc>
        <w:tc>
          <w:tcPr>
            <w:tcW w:w="1234" w:type="dxa"/>
            <w:vAlign w:val="center"/>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人数</w:t>
            </w:r>
            <w:r/>
          </w:p>
        </w:tc>
        <w:tc>
          <w:tcPr>
            <w:tcW w:w="5407" w:type="dxa"/>
            <w:textDirection w:val="lrTb"/>
            <w:noWrap w:val="false"/>
          </w:tcPr>
          <w:p>
            <w:pPr>
              <w:jc w:val="center"/>
              <w:spacing w:line="24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人员要求</w:t>
            </w:r>
            <w:r/>
          </w:p>
        </w:tc>
      </w:tr>
      <w:tr>
        <w:trPr/>
        <w:tc>
          <w:tcPr>
            <w:tcW w:w="789"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852" w:type="dxa"/>
            <w:vAlign w:val="center"/>
            <w:textDirection w:val="lrTb"/>
            <w:noWrap w:val="false"/>
          </w:tcPr>
          <w:p>
            <w:pPr>
              <w:jc w:val="center"/>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项目组成员</w:t>
            </w:r>
            <w:r/>
          </w:p>
        </w:tc>
        <w:tc>
          <w:tcPr>
            <w:tcW w:w="1234" w:type="dxa"/>
            <w:vAlign w:val="center"/>
            <w:textDirection w:val="lrTb"/>
            <w:noWrap w:val="false"/>
          </w:tcPr>
          <w:p>
            <w:pPr>
              <w:jc w:val="center"/>
              <w:spacing w:line="24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10</w:t>
            </w:r>
            <w:r/>
          </w:p>
        </w:tc>
        <w:tc>
          <w:tcPr>
            <w:tcW w:w="5407" w:type="dxa"/>
            <w:vAlign w:val="center"/>
            <w:textDirection w:val="lrTb"/>
            <w:noWrap w:val="false"/>
          </w:tcPr>
          <w:p>
            <w:pPr>
              <w:jc w:val="left"/>
              <w:spacing w:line="24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ff0000"/>
                <w:szCs w:val="21"/>
                <w:highlight w:val="none"/>
              </w:rPr>
              <w:t xml:space="preserve">针对项目特点，成立项目组。项目负责人、技术负责人、质量负责人要具有高级职称。项目组（包括检查人员）成员不少于</w:t>
            </w:r>
            <w:r>
              <w:rPr>
                <w:rFonts w:hint="eastAsia" w:asciiTheme="minorEastAsia" w:hAnsiTheme="minorEastAsia" w:eastAsiaTheme="minorEastAsia" w:cstheme="minorEastAsia"/>
                <w:color w:val="ff0000"/>
                <w:szCs w:val="21"/>
                <w:highlight w:val="none"/>
                <w:lang w:val="en-US" w:eastAsia="zh-CN"/>
              </w:rPr>
              <w:t xml:space="preserve">10</w:t>
            </w:r>
            <w:r>
              <w:rPr>
                <w:rFonts w:hint="eastAsia" w:asciiTheme="minorEastAsia" w:hAnsiTheme="minorEastAsia" w:eastAsiaTheme="minorEastAsia" w:cstheme="minorEastAsia"/>
                <w:color w:val="ff0000"/>
                <w:szCs w:val="21"/>
                <w:highlight w:val="none"/>
              </w:rPr>
              <w:t xml:space="preserve">人。</w:t>
            </w:r>
            <w:r/>
          </w:p>
        </w:tc>
      </w:tr>
    </w:tbl>
    <w:p>
      <w:pPr>
        <w:keepLines w:val="0"/>
        <w:keepNext w:val="0"/>
        <w:pageBreakBefore w:val="0"/>
        <w:spacing w:before="144" w:line="360" w:lineRule="auto"/>
        <w:widowControl w:val="off"/>
        <w:rPr>
          <w:rFonts w:asciiTheme="minorEastAsia" w:hAnsiTheme="minorEastAsia" w:eastAsiaTheme="minorEastAsia" w:cstheme="minorEastAsia"/>
          <w:b/>
          <w:color w:val="auto"/>
          <w:szCs w:val="21"/>
          <w:highlight w:val="none"/>
        </w:rPr>
        <w:outlineLvl w:val="2"/>
      </w:pPr>
      <w:r/>
      <w:bookmarkStart w:id="686" w:name="_Toc24"/>
      <w:r>
        <w:rPr>
          <w:rFonts w:hint="eastAsia" w:asciiTheme="minorEastAsia" w:hAnsiTheme="minorEastAsia" w:eastAsiaTheme="minorEastAsia" w:cstheme="minorEastAsia"/>
          <w:b/>
          <w:color w:val="auto"/>
          <w:szCs w:val="21"/>
          <w:highlight w:val="none"/>
        </w:rPr>
        <w:t xml:space="preserve">四、服务期限</w:t>
      </w:r>
      <w:r/>
      <w:bookmarkEnd w:id="686"/>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总服务期限约为12个月。若调查服务合同延期，则本合同期限延长至调查服务工作验收合格后。</w:t>
      </w:r>
      <w:r/>
    </w:p>
    <w:p>
      <w:pPr>
        <w:spacing w:line="360" w:lineRule="auto"/>
        <w:rPr>
          <w:rFonts w:asciiTheme="minorEastAsia" w:hAnsiTheme="minorEastAsia" w:eastAsiaTheme="minorEastAsia" w:cstheme="minorEastAsia"/>
          <w:b/>
          <w:color w:val="auto"/>
          <w:szCs w:val="21"/>
          <w:highlight w:val="none"/>
        </w:rPr>
        <w:outlineLvl w:val="2"/>
      </w:pPr>
      <w:r/>
      <w:bookmarkStart w:id="687" w:name="_Toc25"/>
      <w:r>
        <w:rPr>
          <w:rFonts w:hint="eastAsia" w:asciiTheme="minorEastAsia" w:hAnsiTheme="minorEastAsia" w:eastAsiaTheme="minorEastAsia" w:cstheme="minorEastAsia"/>
          <w:b/>
          <w:color w:val="auto"/>
          <w:szCs w:val="21"/>
          <w:highlight w:val="none"/>
        </w:rPr>
        <w:t xml:space="preserve">五、付款条件</w:t>
      </w:r>
      <w:r/>
      <w:bookmarkEnd w:id="687"/>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项目合同签订之日起30日内，支付合同额的40%；调查服务项目经采购人验收合格，乙方提交所有监理报告后，余款全部付清。</w:t>
      </w:r>
      <w:r/>
    </w:p>
    <w:p>
      <w:pPr>
        <w:ind w:firstLine="420"/>
        <w:jc w:val="left"/>
        <w:spacing w:line="360" w:lineRule="auto"/>
        <w:widowControl/>
        <w:rPr>
          <w:rFonts w:asciiTheme="minorEastAsia" w:hAnsiTheme="minorEastAsia" w:eastAsiaTheme="minorEastAsia" w:cstheme="minorEastAsia"/>
          <w:b/>
          <w:color w:val="auto"/>
          <w:highlight w:val="none"/>
        </w:rPr>
      </w:pPr>
      <w:r>
        <w:rPr>
          <w:rFonts w:hint="eastAsia" w:ascii="宋体" w:hAnsi="宋体" w:cs="宋体"/>
          <w:color w:val="auto"/>
          <w:szCs w:val="21"/>
          <w:highlight w:val="none"/>
        </w:rPr>
        <w:t xml:space="preserve">注：采购人每次付款前，供应商应向甲方开具等额发票。否则，采购人有权拒绝付款。</w:t>
      </w:r>
      <w:r/>
    </w:p>
    <w:p>
      <w:pPr>
        <w:jc w:val="left"/>
        <w:spacing w:line="360" w:lineRule="auto"/>
        <w:widowControl/>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jc w:val="left"/>
        <w:spacing w:line="360" w:lineRule="auto"/>
        <w:widowControl/>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特别说明：</w:t>
      </w:r>
      <w:r/>
    </w:p>
    <w:p>
      <w:pPr>
        <w:pStyle w:val="698"/>
        <w:ind w:firstLine="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1.采购人在项目实施过程中的要求，若项目实施管理过程中中标供应商无法满足，采购人有权依据上述要求解除合同，具体由采购人在项目执行中负责解释及执行。</w:t>
      </w:r>
      <w:r/>
    </w:p>
    <w:p>
      <w:pPr>
        <w:pStyle w:val="698"/>
        <w:ind w:firstLine="0"/>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color w:val="auto"/>
          <w:highlight w:val="none"/>
        </w:rPr>
        <w:t xml:space="preserve">如对采购需求有任何疑问，请在规定的截止时间前与采购人联系</w:t>
      </w:r>
      <w:r/>
    </w:p>
    <w:p>
      <w:pPr>
        <w:ind w:firstLine="422"/>
        <w:spacing w:line="360" w:lineRule="auto"/>
        <w:widowControl/>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ind w:firstLine="803"/>
        <w:jc w:val="center"/>
        <w:rPr>
          <w:rFonts w:asciiTheme="minorEastAsia" w:hAnsiTheme="minorEastAsia" w:eastAsiaTheme="minorEastAsia" w:cstheme="minorEastAsia"/>
          <w:b/>
          <w:color w:val="auto"/>
          <w:sz w:val="40"/>
          <w:szCs w:val="40"/>
          <w:highlight w:val="none"/>
        </w:rPr>
        <w:sectPr>
          <w:headerReference w:type="default" r:id="rId9"/>
          <w:footerReference w:type="default" r:id="rId11"/>
          <w:footnotePr/>
          <w:endnotePr/>
          <w:type w:val="nextPage"/>
          <w:pgSz w:w="11906" w:h="16838" w:orient="portrait"/>
          <w:pgMar w:top="1418" w:right="1418" w:bottom="1418" w:left="1418" w:header="720" w:footer="720" w:gutter="0"/>
          <w:cols w:num="1" w:sep="0" w:space="720" w:equalWidth="1"/>
          <w:docGrid w:linePitch="360"/>
        </w:sectPr>
        <w:outlineLvl w:val="0"/>
      </w:pPr>
      <w:r/>
      <w:r/>
      <w:r/>
      <w:r/>
      <w:r/>
      <w:r/>
      <w:r/>
      <w:r/>
      <w:r/>
      <w:r/>
      <w:r/>
      <w:r/>
      <w:r/>
      <w:r/>
      <w:r/>
      <w:r/>
      <w:r/>
      <w:r/>
      <w:r/>
      <w:r/>
      <w:r/>
      <w:r/>
      <w:r/>
      <w:r/>
      <w:r/>
      <w:r/>
      <w:r/>
      <w:r/>
      <w:r/>
      <w:r/>
      <w:r/>
      <w:r/>
      <w:r/>
      <w:r/>
      <w:r/>
      <w:r/>
      <w:r/>
      <w:r/>
      <w:r/>
      <w:r/>
      <w:r/>
      <w:r/>
      <w:r/>
      <w:r/>
      <w:r/>
    </w:p>
    <w:p>
      <w:pPr>
        <w:ind w:firstLine="803"/>
        <w:jc w:val="center"/>
        <w:rPr>
          <w:rFonts w:asciiTheme="minorEastAsia" w:hAnsiTheme="minorEastAsia" w:eastAsiaTheme="minorEastAsia" w:cstheme="minorEastAsia"/>
          <w:b/>
          <w:color w:val="auto"/>
          <w:sz w:val="40"/>
          <w:szCs w:val="40"/>
          <w:highlight w:val="none"/>
        </w:rPr>
        <w:outlineLvl w:val="0"/>
      </w:pPr>
      <w:r/>
      <w:bookmarkStart w:id="688" w:name="_Toc26"/>
      <w:r>
        <w:rPr>
          <w:rFonts w:hint="eastAsia" w:asciiTheme="minorEastAsia" w:hAnsiTheme="minorEastAsia" w:eastAsiaTheme="minorEastAsia" w:cstheme="minorEastAsia"/>
          <w:b/>
          <w:color w:val="auto"/>
          <w:sz w:val="40"/>
          <w:szCs w:val="40"/>
          <w:highlight w:val="none"/>
        </w:rPr>
        <w:t xml:space="preserve">第五章 政府采购合同格式</w:t>
      </w:r>
      <w:r/>
      <w:bookmarkEnd w:id="688"/>
      <w:r/>
      <w:r/>
    </w:p>
    <w:p>
      <w:pPr>
        <w:spacing w:line="400" w:lineRule="exact"/>
        <w:rPr>
          <w:rFonts w:asciiTheme="minorEastAsia" w:hAnsiTheme="minorEastAsia" w:eastAsiaTheme="minorEastAsia" w:cstheme="minorEastAsia"/>
          <w:color w:val="auto"/>
          <w:sz w:val="36"/>
          <w:szCs w:val="36"/>
          <w:highlight w:val="none"/>
          <w:u w:val="single"/>
          <w:lang w:val="zh-CN"/>
        </w:rPr>
      </w:pPr>
      <w:r>
        <w:rPr>
          <w:rFonts w:asciiTheme="minorEastAsia" w:hAnsiTheme="minorEastAsia" w:eastAsiaTheme="minorEastAsia" w:cstheme="minorEastAsia"/>
          <w:color w:val="auto"/>
          <w:sz w:val="36"/>
          <w:szCs w:val="36"/>
          <w:highlight w:val="none"/>
          <w:u w:val="single"/>
          <w:lang w:val="zh-CN"/>
        </w:rPr>
      </w:r>
      <w:r/>
    </w:p>
    <w:p>
      <w:pPr>
        <w:spacing w:line="400" w:lineRule="exact"/>
        <w:rPr>
          <w:rFonts w:asciiTheme="minorEastAsia" w:hAnsiTheme="minorEastAsia" w:eastAsiaTheme="minorEastAsia" w:cstheme="minorEastAsia"/>
          <w:color w:val="auto"/>
          <w:sz w:val="36"/>
          <w:szCs w:val="36"/>
          <w:highlight w:val="none"/>
          <w:u w:val="single"/>
          <w:lang w:val="zh-CN"/>
        </w:rPr>
      </w:pPr>
      <w:r>
        <w:rPr>
          <w:rFonts w:asciiTheme="minorEastAsia" w:hAnsiTheme="minorEastAsia" w:eastAsiaTheme="minorEastAsia" w:cstheme="minorEastAsia"/>
          <w:color w:val="auto"/>
          <w:sz w:val="36"/>
          <w:szCs w:val="36"/>
          <w:highlight w:val="none"/>
          <w:u w:val="single"/>
          <w:lang w:val="zh-CN"/>
        </w:rPr>
      </w:r>
      <w:r/>
    </w:p>
    <w:p>
      <w:pPr>
        <w:spacing w:line="400" w:lineRule="exact"/>
        <w:rPr>
          <w:rFonts w:asciiTheme="minorEastAsia" w:hAnsiTheme="minorEastAsia" w:eastAsiaTheme="minorEastAsia" w:cstheme="minorEastAsia"/>
          <w:b/>
          <w:bCs/>
          <w:color w:val="auto"/>
          <w:sz w:val="30"/>
          <w:szCs w:val="30"/>
          <w:highlight w:val="none"/>
        </w:rPr>
        <w:outlineLvl w:val="1"/>
      </w:pPr>
      <w:r/>
      <w:bookmarkStart w:id="689" w:name="_Toc27"/>
      <w:r>
        <w:rPr>
          <w:rFonts w:hint="eastAsia" w:asciiTheme="minorEastAsia" w:hAnsiTheme="minorEastAsia" w:eastAsiaTheme="minorEastAsia" w:cstheme="minorEastAsia"/>
          <w:b/>
          <w:bCs/>
          <w:color w:val="auto"/>
          <w:sz w:val="30"/>
          <w:szCs w:val="30"/>
          <w:highlight w:val="none"/>
          <w:u w:val="single"/>
          <w:lang w:val="zh-CN"/>
        </w:rPr>
        <w:t xml:space="preserve">采购包1</w:t>
      </w:r>
      <w:r>
        <w:rPr>
          <w:rFonts w:hint="eastAsia" w:asciiTheme="minorEastAsia" w:hAnsiTheme="minorEastAsia" w:eastAsiaTheme="minorEastAsia" w:cstheme="minorEastAsia"/>
          <w:b/>
          <w:bCs/>
          <w:color w:val="auto"/>
          <w:sz w:val="30"/>
          <w:szCs w:val="30"/>
          <w:highlight w:val="none"/>
          <w:u w:val="single"/>
        </w:rPr>
        <w:t xml:space="preserve">：调查服务</w:t>
      </w:r>
      <w:r/>
      <w:bookmarkEnd w:id="689"/>
      <w:r/>
      <w:r/>
    </w:p>
    <w:p>
      <w:pPr>
        <w:ind w:left="630" w:firstLine="1265"/>
        <w:spacing w:line="400" w:lineRule="exact"/>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ind w:firstLine="883"/>
        <w:jc w:val="center"/>
        <w:spacing w:line="360" w:lineRule="auto"/>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ind w:firstLine="1040"/>
        <w:jc w:val="center"/>
        <w:spacing w:line="360" w:lineRule="auto"/>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 xml:space="preserve">政府采购合同</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（供参考）</w:t>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 xml:space="preserve">项目名称 ：</w:t>
      </w:r>
      <w:r>
        <w:rPr>
          <w:rFonts w:hint="eastAsia" w:asciiTheme="minorEastAsia" w:hAnsiTheme="minorEastAsia" w:eastAsiaTheme="minorEastAsia" w:cstheme="minorEastAsia"/>
          <w:color w:val="auto"/>
          <w:sz w:val="36"/>
          <w:szCs w:val="36"/>
          <w:highlight w:val="none"/>
          <w:u w:val="single"/>
          <w:lang w:val="zh-CN"/>
        </w:rPr>
        <w:t xml:space="preserve">江宁区2026年度国土变更调查（含日常变更调查）</w:t>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 xml:space="preserve">项目编号</w:t>
      </w:r>
      <w:r>
        <w:rPr>
          <w:rFonts w:hint="eastAsia" w:asciiTheme="minorEastAsia" w:hAnsiTheme="minorEastAsia" w:eastAsiaTheme="minorEastAsia" w:cstheme="minorEastAsia"/>
          <w:color w:val="auto"/>
          <w:sz w:val="36"/>
          <w:szCs w:val="36"/>
          <w:highlight w:val="none"/>
          <w:lang w:val="zh-CN"/>
        </w:rPr>
        <w:t xml:space="preserve">：</w:t>
      </w:r>
      <w:r>
        <w:rPr>
          <w:rFonts w:hint="eastAsia" w:asciiTheme="minorEastAsia" w:hAnsiTheme="minorEastAsia" w:eastAsiaTheme="minorEastAsia" w:cstheme="minorEastAsia"/>
          <w:color w:val="auto"/>
          <w:sz w:val="36"/>
          <w:szCs w:val="36"/>
          <w:highlight w:val="none"/>
          <w:u w:val="single"/>
          <w:lang w:val="zh-CN"/>
        </w:rPr>
        <w:t xml:space="preserve">JSZC-320115-NJDX-G2026-0002</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 xml:space="preserve">采购包1</w:t>
      </w:r>
      <w:r>
        <w:rPr>
          <w:rFonts w:hint="eastAsia" w:asciiTheme="minorEastAsia" w:hAnsiTheme="minorEastAsia" w:eastAsiaTheme="minorEastAsia" w:cstheme="minorEastAsia"/>
          <w:color w:val="auto"/>
          <w:sz w:val="36"/>
          <w:szCs w:val="36"/>
          <w:highlight w:val="none"/>
          <w:lang w:val="zh-CN"/>
        </w:rPr>
        <w:t xml:space="preserve">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采购</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服务</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签订日期 ：</w:t>
      </w:r>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643"/>
        <w:jc w:val="center"/>
        <w:spacing w:line="360" w:lineRule="auto"/>
        <w:rPr>
          <w:rFonts w:asciiTheme="minorEastAsia" w:hAnsiTheme="minorEastAsia" w:eastAsiaTheme="minorEastAsia" w:cstheme="minorEastAsia"/>
          <w:b/>
          <w:bCs/>
          <w:color w:val="auto"/>
          <w:sz w:val="32"/>
          <w:szCs w:val="32"/>
          <w:highlight w:val="none"/>
        </w:rPr>
      </w:pPr>
      <w:r/>
      <w:bookmarkStart w:id="286" w:name="_Hlt460313661"/>
      <w:r/>
      <w:bookmarkEnd w:id="286"/>
      <w:r/>
      <w:bookmarkStart w:id="287" w:name="_Hlt460313659"/>
      <w:r/>
      <w:bookmarkEnd w:id="287"/>
      <w:r>
        <w:rPr>
          <w:rFonts w:hint="eastAsia" w:asciiTheme="minorEastAsia" w:hAnsiTheme="minorEastAsia" w:eastAsiaTheme="minorEastAsia" w:cstheme="minorEastAsia"/>
          <w:b/>
          <w:bCs/>
          <w:color w:val="auto"/>
          <w:sz w:val="32"/>
          <w:szCs w:val="32"/>
          <w:highlight w:val="none"/>
        </w:rPr>
        <w:t xml:space="preserve">政府采购合同</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（具体合同条款由采购人和供应商依据采购文件及响应文件拟定，本件仅供格式参考）</w:t>
      </w:r>
      <w:r/>
    </w:p>
    <w:p>
      <w:pPr>
        <w:ind w:firstLine="420"/>
        <w:spacing w:line="360" w:lineRule="auto"/>
        <w:rPr>
          <w:color w:val="auto"/>
          <w:szCs w:val="21"/>
          <w:highlight w:val="none"/>
        </w:rPr>
      </w:pPr>
      <w:r>
        <w:rPr>
          <w:rFonts w:hint="eastAsia"/>
          <w:color w:val="auto"/>
          <w:szCs w:val="21"/>
          <w:highlight w:val="none"/>
        </w:rPr>
        <w:t xml:space="preserve">采购人：南京市规划和自然资源局江宁分局（以下称甲方）                       </w:t>
      </w:r>
      <w:r/>
    </w:p>
    <w:p>
      <w:pPr>
        <w:ind w:firstLine="420"/>
        <w:jc w:val="left"/>
        <w:spacing w:line="360" w:lineRule="auto"/>
        <w:rPr>
          <w:color w:val="auto"/>
          <w:szCs w:val="21"/>
          <w:highlight w:val="none"/>
        </w:rPr>
      </w:pPr>
      <w:r>
        <w:rPr>
          <w:rFonts w:hint="eastAsia"/>
          <w:color w:val="auto"/>
          <w:szCs w:val="21"/>
          <w:highlight w:val="none"/>
        </w:rPr>
        <w:t xml:space="preserve">住所地：南京市江宁区双龙大道1200号</w:t>
      </w:r>
      <w:r/>
    </w:p>
    <w:p>
      <w:pPr>
        <w:ind w:firstLine="420"/>
        <w:jc w:val="left"/>
        <w:spacing w:line="360" w:lineRule="auto"/>
        <w:rPr>
          <w:color w:val="auto"/>
          <w:szCs w:val="21"/>
          <w:highlight w:val="none"/>
        </w:rPr>
      </w:pPr>
      <w:r>
        <w:rPr>
          <w:rFonts w:hint="eastAsia"/>
          <w:color w:val="auto"/>
          <w:szCs w:val="21"/>
          <w:highlight w:val="none"/>
        </w:rPr>
        <w:t xml:space="preserve">供应商：（以下称乙方）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jc w:val="left"/>
        <w:spacing w:line="360" w:lineRule="auto"/>
        <w:rPr>
          <w:color w:val="auto"/>
          <w:szCs w:val="21"/>
          <w:highlight w:val="none"/>
        </w:rPr>
      </w:pPr>
      <w:r>
        <w:rPr>
          <w:color w:val="auto"/>
          <w:szCs w:val="21"/>
          <w:highlight w:val="none"/>
        </w:rPr>
        <w:t xml:space="preserve">根据《中华人民共和国政府采购法</w:t>
      </w:r>
      <w:r>
        <w:rPr>
          <w:rFonts w:hint="eastAsia"/>
          <w:color w:val="auto"/>
          <w:szCs w:val="21"/>
          <w:highlight w:val="none"/>
        </w:rPr>
        <w:t xml:space="preserve">》《</w:t>
      </w:r>
      <w:r>
        <w:rPr>
          <w:color w:val="auto"/>
          <w:szCs w:val="21"/>
          <w:highlight w:val="none"/>
        </w:rPr>
        <w:t xml:space="preserve">中华人民共和国</w:t>
      </w:r>
      <w:r>
        <w:rPr>
          <w:rFonts w:hint="eastAsia"/>
          <w:color w:val="auto"/>
          <w:szCs w:val="21"/>
          <w:highlight w:val="none"/>
        </w:rPr>
        <w:t xml:space="preserve">民法典</w:t>
      </w:r>
      <w:r>
        <w:rPr>
          <w:color w:val="auto"/>
          <w:szCs w:val="21"/>
          <w:highlight w:val="none"/>
        </w:rPr>
        <w:t xml:space="preserve">》等法律法规的规定，甲乙双方按照南京市江宁区政府采购中心的招标结果签订本合同。</w:t>
      </w:r>
      <w:r/>
    </w:p>
    <w:p>
      <w:pPr>
        <w:ind w:firstLine="422"/>
        <w:spacing w:line="360" w:lineRule="auto"/>
        <w:rPr>
          <w:b/>
          <w:color w:val="auto"/>
          <w:szCs w:val="21"/>
          <w:highlight w:val="none"/>
        </w:rPr>
      </w:pPr>
      <w:r>
        <w:rPr>
          <w:b/>
          <w:color w:val="auto"/>
          <w:szCs w:val="21"/>
          <w:highlight w:val="none"/>
        </w:rPr>
        <w:t xml:space="preserve">1.项目概况</w:t>
      </w:r>
      <w:r/>
    </w:p>
    <w:p>
      <w:pPr>
        <w:ind w:firstLine="420"/>
        <w:spacing w:line="360" w:lineRule="auto"/>
        <w:rPr>
          <w:color w:val="auto"/>
          <w:highlight w:val="none"/>
        </w:rPr>
      </w:pPr>
      <w:r>
        <w:rPr>
          <w:color w:val="auto"/>
          <w:szCs w:val="21"/>
          <w:highlight w:val="none"/>
        </w:rPr>
        <w:t xml:space="preserve">1.1 项目名称：</w:t>
      </w:r>
      <w:r>
        <w:rPr>
          <w:rFonts w:hint="eastAsia"/>
          <w:color w:val="auto"/>
          <w:highlight w:val="none"/>
        </w:rPr>
        <w:t xml:space="preserve">江宁区2026年度国土变更调查（含日常变更调查）</w:t>
      </w:r>
      <w:r/>
    </w:p>
    <w:p>
      <w:pPr>
        <w:ind w:firstLine="420"/>
        <w:spacing w:line="360" w:lineRule="auto"/>
        <w:rPr>
          <w:color w:val="auto"/>
          <w:szCs w:val="21"/>
          <w:highlight w:val="none"/>
        </w:rPr>
      </w:pPr>
      <w:r>
        <w:rPr>
          <w:color w:val="auto"/>
          <w:szCs w:val="21"/>
          <w:highlight w:val="none"/>
        </w:rPr>
        <w:t xml:space="preserve">1.2 项目地点：南京市江宁区</w:t>
      </w:r>
      <w:r/>
    </w:p>
    <w:p>
      <w:pPr>
        <w:ind w:firstLine="420"/>
        <w:spacing w:line="360" w:lineRule="auto"/>
        <w:rPr>
          <w:color w:val="auto"/>
          <w:szCs w:val="21"/>
          <w:highlight w:val="none"/>
        </w:rPr>
      </w:pPr>
      <w:r>
        <w:rPr>
          <w:color w:val="auto"/>
          <w:highlight w:val="none"/>
        </w:rPr>
        <w:t xml:space="preserve">1.3 项目内容：</w:t>
      </w:r>
      <w:r>
        <w:rPr>
          <w:rFonts w:hint="eastAsia"/>
          <w:color w:val="auto"/>
          <w:highlight w:val="none"/>
        </w:rPr>
        <w:t xml:space="preserve">江宁区2026年度国土变更调查（含日常变更调查）</w:t>
      </w:r>
      <w:r>
        <w:rPr>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1.4 合同价款：</w:t>
      </w:r>
      <w:r>
        <w:rPr>
          <w:rFonts w:hint="eastAsia"/>
          <w:color w:val="auto"/>
          <w:szCs w:val="21"/>
          <w:highlight w:val="none"/>
        </w:rPr>
        <w:t xml:space="preserve">本合同项下合同总价款为人民币</w:t>
      </w:r>
      <w:r>
        <w:rPr>
          <w:rFonts w:hint="eastAsia"/>
          <w:b/>
          <w:bCs/>
          <w:color w:val="auto"/>
          <w:szCs w:val="21"/>
          <w:highlight w:val="none"/>
          <w:u w:val="single"/>
        </w:rPr>
        <w:t xml:space="preserve">           （</w:t>
      </w:r>
      <w:r>
        <w:rPr>
          <w:rFonts w:ascii="Arial" w:hAnsi="Arial" w:cs="Arial"/>
          <w:b/>
          <w:bCs/>
          <w:color w:val="auto"/>
          <w:szCs w:val="21"/>
          <w:highlight w:val="none"/>
          <w:u w:val="single"/>
        </w:rPr>
        <w:t xml:space="preserve">¥</w:t>
      </w:r>
      <w:r>
        <w:rPr>
          <w:rFonts w:hint="eastAsia"/>
          <w:b/>
          <w:bCs/>
          <w:color w:val="auto"/>
          <w:szCs w:val="21"/>
          <w:highlight w:val="none"/>
          <w:u w:val="single"/>
        </w:rPr>
        <w:t xml:space="preserve">         ）</w:t>
      </w:r>
      <w:r>
        <w:rPr>
          <w:rFonts w:hint="eastAsia" w:ascii="宋体"/>
          <w:color w:val="auto"/>
          <w:szCs w:val="21"/>
          <w:highlight w:val="none"/>
          <w:lang w:val="zh-CN"/>
        </w:rPr>
        <w:t xml:space="preserve">，分项价款在“分项报价表”中有明确规定。</w:t>
      </w:r>
      <w:r>
        <w:rPr>
          <w:rFonts w:hint="eastAsia" w:ascii="宋体"/>
          <w:color w:val="auto"/>
          <w:szCs w:val="21"/>
          <w:highlight w:val="none"/>
        </w:rPr>
        <w:t xml:space="preserve">本项目为固定总价项目。</w:t>
      </w:r>
      <w:r/>
    </w:p>
    <w:p>
      <w:pPr>
        <w:ind w:firstLine="420"/>
        <w:spacing w:line="360" w:lineRule="auto"/>
        <w:rPr>
          <w:color w:val="auto"/>
          <w:highlight w:val="none"/>
          <w:lang w:val="zh-CN"/>
        </w:rPr>
      </w:pPr>
      <w:r>
        <w:rPr>
          <w:color w:val="auto"/>
          <w:szCs w:val="21"/>
          <w:highlight w:val="none"/>
          <w:lang w:val="zh-CN"/>
        </w:rPr>
        <w:t xml:space="preserve">供应商完成</w:t>
      </w:r>
      <w:r>
        <w:rPr>
          <w:rFonts w:hint="eastAsia"/>
          <w:color w:val="auto"/>
          <w:highlight w:val="none"/>
        </w:rPr>
        <w:t xml:space="preserve">江宁区2026年度国土变更调查（含日常变更调查）的所有</w:t>
      </w:r>
      <w:r>
        <w:rPr>
          <w:rFonts w:hint="eastAsia"/>
          <w:color w:val="auto"/>
          <w:szCs w:val="21"/>
          <w:highlight w:val="none"/>
          <w:lang w:val="zh-CN"/>
        </w:rPr>
        <w:t xml:space="preserve">工作</w:t>
      </w:r>
      <w:r>
        <w:rPr>
          <w:color w:val="auto"/>
          <w:szCs w:val="21"/>
          <w:highlight w:val="none"/>
          <w:lang w:val="zh-CN"/>
        </w:rPr>
        <w:t xml:space="preserve">；价格应包括供应商为完成相关服务所承担的全部费用、利润、税金、政策性文件规定及合同内包含的所有风险、责任等各项应有费用，不论其在</w:t>
      </w:r>
      <w:r>
        <w:rPr>
          <w:rFonts w:hint="eastAsia"/>
          <w:color w:val="auto"/>
          <w:szCs w:val="21"/>
          <w:highlight w:val="none"/>
          <w:lang w:val="zh-CN"/>
        </w:rPr>
        <w:t xml:space="preserve">采购</w:t>
      </w:r>
      <w:r>
        <w:rPr>
          <w:color w:val="auto"/>
          <w:szCs w:val="21"/>
          <w:highlight w:val="none"/>
          <w:lang w:val="zh-CN"/>
        </w:rPr>
        <w:t xml:space="preserve">文件中是否有提及。</w:t>
      </w:r>
      <w:r/>
    </w:p>
    <w:p>
      <w:pPr>
        <w:ind w:firstLine="422"/>
        <w:spacing w:line="360" w:lineRule="auto"/>
        <w:rPr>
          <w:b/>
          <w:color w:val="auto"/>
          <w:szCs w:val="21"/>
          <w:highlight w:val="none"/>
        </w:rPr>
      </w:pPr>
      <w:r>
        <w:rPr>
          <w:b/>
          <w:color w:val="auto"/>
          <w:szCs w:val="21"/>
          <w:highlight w:val="none"/>
        </w:rPr>
        <w:t xml:space="preserve">2．定义</w:t>
      </w:r>
      <w:r/>
    </w:p>
    <w:p>
      <w:pPr>
        <w:ind w:firstLine="420"/>
        <w:spacing w:line="360" w:lineRule="auto"/>
        <w:rPr>
          <w:color w:val="auto"/>
          <w:szCs w:val="21"/>
          <w:highlight w:val="none"/>
        </w:rPr>
      </w:pPr>
      <w:r>
        <w:rPr>
          <w:color w:val="auto"/>
          <w:szCs w:val="21"/>
          <w:highlight w:val="none"/>
        </w:rPr>
        <w:t xml:space="preserve">2.l“合同”系指甲方和乙方（以下简称合同双方）签署的、合同格式中列明的合同双方所达成的协议，包括所有的附件、附录、招标、</w:t>
      </w:r>
      <w:r>
        <w:rPr>
          <w:rFonts w:hint="eastAsia"/>
          <w:color w:val="auto"/>
          <w:szCs w:val="21"/>
          <w:highlight w:val="none"/>
        </w:rPr>
        <w:t xml:space="preserve">采购</w:t>
      </w:r>
      <w:r>
        <w:rPr>
          <w:color w:val="auto"/>
          <w:szCs w:val="21"/>
          <w:highlight w:val="none"/>
        </w:rPr>
        <w:t xml:space="preserve">响应文件全部内容及对</w:t>
      </w:r>
      <w:r>
        <w:rPr>
          <w:rFonts w:hint="eastAsia"/>
          <w:color w:val="auto"/>
          <w:szCs w:val="21"/>
          <w:highlight w:val="none"/>
        </w:rPr>
        <w:t xml:space="preserve">采购</w:t>
      </w:r>
      <w:r>
        <w:rPr>
          <w:color w:val="auto"/>
          <w:szCs w:val="21"/>
          <w:highlight w:val="none"/>
        </w:rPr>
        <w:t xml:space="preserve">文件书面修正、澄清的内容等以及构成合同的所有文件。</w:t>
      </w:r>
      <w:r/>
    </w:p>
    <w:p>
      <w:pPr>
        <w:ind w:firstLine="420"/>
        <w:spacing w:line="360" w:lineRule="auto"/>
        <w:rPr>
          <w:color w:val="auto"/>
          <w:szCs w:val="21"/>
          <w:highlight w:val="none"/>
        </w:rPr>
      </w:pPr>
      <w:r>
        <w:rPr>
          <w:color w:val="auto"/>
          <w:szCs w:val="21"/>
          <w:highlight w:val="none"/>
        </w:rPr>
        <w:t xml:space="preserve">2.2“合同价格”系指根据合同规定，在乙方全面正确地履行合同义务后甲方应支付给乙方的价格。</w:t>
      </w:r>
      <w:r/>
    </w:p>
    <w:p>
      <w:pPr>
        <w:ind w:firstLine="420"/>
        <w:spacing w:line="360" w:lineRule="auto"/>
        <w:rPr>
          <w:color w:val="auto"/>
          <w:szCs w:val="21"/>
          <w:highlight w:val="none"/>
        </w:rPr>
      </w:pPr>
      <w:r>
        <w:rPr>
          <w:color w:val="auto"/>
          <w:szCs w:val="21"/>
          <w:highlight w:val="none"/>
        </w:rPr>
        <w:t xml:space="preserve">2.3“甲方”系指采购人。</w:t>
      </w:r>
      <w:r/>
    </w:p>
    <w:p>
      <w:pPr>
        <w:ind w:firstLine="420"/>
        <w:spacing w:line="360" w:lineRule="auto"/>
        <w:rPr>
          <w:color w:val="auto"/>
          <w:szCs w:val="21"/>
          <w:highlight w:val="none"/>
        </w:rPr>
      </w:pPr>
      <w:r>
        <w:rPr>
          <w:color w:val="auto"/>
          <w:szCs w:val="21"/>
          <w:highlight w:val="none"/>
        </w:rPr>
        <w:t xml:space="preserve">2.4“乙方”系指</w:t>
      </w:r>
      <w:r>
        <w:rPr>
          <w:rFonts w:hint="eastAsia"/>
          <w:color w:val="auto"/>
          <w:szCs w:val="21"/>
          <w:highlight w:val="none"/>
        </w:rPr>
        <w:t xml:space="preserve">中标</w:t>
      </w:r>
      <w:r>
        <w:rPr>
          <w:color w:val="auto"/>
          <w:szCs w:val="21"/>
          <w:highlight w:val="none"/>
        </w:rPr>
        <w:t xml:space="preserve">供应商。</w:t>
      </w:r>
      <w:r/>
    </w:p>
    <w:p>
      <w:pPr>
        <w:ind w:firstLine="315"/>
        <w:spacing w:line="360" w:lineRule="auto"/>
        <w:rPr>
          <w:b/>
          <w:color w:val="auto"/>
          <w:szCs w:val="21"/>
          <w:highlight w:val="none"/>
        </w:rPr>
      </w:pPr>
      <w:r>
        <w:rPr>
          <w:color w:val="auto"/>
          <w:szCs w:val="21"/>
          <w:highlight w:val="none"/>
        </w:rPr>
        <w:t xml:space="preserve"> </w:t>
      </w:r>
      <w:r>
        <w:rPr>
          <w:b/>
          <w:color w:val="auto"/>
          <w:szCs w:val="21"/>
          <w:highlight w:val="none"/>
        </w:rPr>
        <w:t xml:space="preserve">3．适用范围</w:t>
      </w:r>
      <w:r/>
    </w:p>
    <w:p>
      <w:pPr>
        <w:ind w:firstLine="420"/>
        <w:spacing w:line="360" w:lineRule="auto"/>
        <w:rPr>
          <w:color w:val="auto"/>
          <w:szCs w:val="21"/>
          <w:highlight w:val="none"/>
        </w:rPr>
      </w:pPr>
      <w:r>
        <w:rPr>
          <w:color w:val="auto"/>
          <w:szCs w:val="21"/>
          <w:highlight w:val="none"/>
        </w:rPr>
        <w:t xml:space="preserve">3.</w:t>
      </w:r>
      <w:r>
        <w:rPr>
          <w:rFonts w:hint="eastAsia"/>
          <w:color w:val="auto"/>
          <w:szCs w:val="21"/>
          <w:highlight w:val="none"/>
        </w:rPr>
        <w:t xml:space="preserve">1</w:t>
      </w:r>
      <w:r>
        <w:rPr>
          <w:color w:val="auto"/>
          <w:szCs w:val="21"/>
          <w:highlight w:val="none"/>
        </w:rPr>
        <w:t xml:space="preserve">本合同条款适用于本次采购项目。</w:t>
      </w:r>
      <w:r/>
    </w:p>
    <w:p>
      <w:pPr>
        <w:ind w:firstLine="422"/>
        <w:spacing w:line="360" w:lineRule="auto"/>
        <w:rPr>
          <w:b/>
          <w:color w:val="auto"/>
          <w:szCs w:val="21"/>
          <w:highlight w:val="none"/>
        </w:rPr>
      </w:pPr>
      <w:r>
        <w:rPr>
          <w:b/>
          <w:color w:val="auto"/>
          <w:szCs w:val="21"/>
          <w:highlight w:val="none"/>
        </w:rPr>
        <w:t xml:space="preserve">4. 项目工期</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1、变更调查、日常变更调查：</w:t>
      </w:r>
      <w:r>
        <w:rPr>
          <w:rFonts w:hint="eastAsia" w:asciiTheme="minorEastAsia" w:hAnsiTheme="minorEastAsia" w:eastAsiaTheme="minorEastAsia" w:cstheme="minorEastAsia"/>
          <w:bCs/>
          <w:color w:val="auto"/>
          <w:szCs w:val="21"/>
          <w:highlight w:val="none"/>
        </w:rPr>
        <w:t xml:space="preserve">总服务期限约为12个月。工作时间节点：2026年11月底前完成日常变更工作；2027年2月底前提交合格成果报自然资源部；2027年6月底前完成整个项目工作。（</w:t>
      </w:r>
      <w:r>
        <w:rPr>
          <w:rFonts w:hint="eastAsia" w:asciiTheme="minorEastAsia" w:hAnsiTheme="minorEastAsia" w:eastAsiaTheme="minorEastAsia" w:cstheme="minorEastAsia"/>
          <w:color w:val="auto"/>
          <w:szCs w:val="21"/>
          <w:highlight w:val="none"/>
        </w:rPr>
        <w:t xml:space="preserve">按照上级主管部门要求的时间节点完成数据上报，具体以甲方通知为准。</w:t>
      </w:r>
      <w:r>
        <w:rPr>
          <w:rFonts w:hint="eastAsia" w:asciiTheme="minorEastAsia" w:hAnsiTheme="minorEastAsia" w:eastAsiaTheme="minorEastAsia" w:cstheme="minorEastAsia"/>
          <w:bCs/>
          <w:color w:val="auto"/>
          <w:szCs w:val="21"/>
          <w:highlight w:val="none"/>
        </w:rPr>
        <w:t xml:space="preserve">）</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2、耕地资源“一田一码”数据更新调查：</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（1）2026年8月15日前，完成疑似耕地不一致图斑的自提工作。</w:t>
      </w:r>
      <w:r/>
    </w:p>
    <w:p>
      <w:pPr>
        <w:ind w:firstLine="420"/>
        <w:spacing w:line="360" w:lineRule="auto"/>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（2）2026年9月30日前，完成内业整理、外业调查、属性更新、数据建库、区级检查并上报成果。</w:t>
      </w:r>
      <w:r/>
    </w:p>
    <w:p>
      <w:pPr>
        <w:ind w:firstLine="409"/>
        <w:spacing w:line="360" w:lineRule="auto"/>
        <w:rPr>
          <w:rFonts w:ascii="宋体" w:hAnsi="宋体" w:cs="宋体"/>
          <w:bCs/>
          <w:color w:val="auto"/>
          <w:highlight w:val="none"/>
        </w:rPr>
      </w:pPr>
      <w:r>
        <w:rPr>
          <w:rFonts w:hint="eastAsia" w:asciiTheme="minorEastAsia" w:hAnsiTheme="minorEastAsia" w:eastAsiaTheme="minorEastAsia" w:cstheme="minorEastAsia"/>
          <w:bCs/>
          <w:color w:val="auto"/>
          <w:szCs w:val="21"/>
          <w:highlight w:val="none"/>
          <w:lang w:val="en-US" w:eastAsia="zh-CN"/>
        </w:rPr>
        <w:t xml:space="preserve">（3）2026年10月31日前，完成市级抽检问题整改，并提交最忠成果汇总。</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按照上级主管部门要求的时间节点完成数据上报，具体以甲方通知为准。</w:t>
      </w:r>
      <w:r>
        <w:rPr>
          <w:rFonts w:hint="eastAsia" w:asciiTheme="minorEastAsia" w:hAnsiTheme="minorEastAsia" w:eastAsiaTheme="minorEastAsia" w:cstheme="minorEastAsia"/>
          <w:bCs/>
          <w:color w:val="auto"/>
          <w:szCs w:val="21"/>
          <w:highlight w:val="none"/>
        </w:rPr>
        <w:t xml:space="preserve">）</w:t>
      </w:r>
      <w:r/>
    </w:p>
    <w:p>
      <w:pPr>
        <w:ind w:firstLine="411"/>
        <w:spacing w:line="360" w:lineRule="auto"/>
        <w:rPr>
          <w:b/>
          <w:color w:val="auto"/>
          <w:szCs w:val="21"/>
          <w:highlight w:val="none"/>
        </w:rPr>
      </w:pPr>
      <w:r>
        <w:rPr>
          <w:b/>
          <w:color w:val="auto"/>
          <w:szCs w:val="21"/>
          <w:highlight w:val="none"/>
        </w:rPr>
        <w:t xml:space="preserve">5. 付款方式</w:t>
      </w:r>
      <w:r/>
    </w:p>
    <w:p>
      <w:pPr>
        <w:ind w:firstLine="420"/>
        <w:spacing w:line="360" w:lineRule="auto"/>
        <w:rPr>
          <w:color w:val="auto"/>
          <w:szCs w:val="21"/>
          <w:highlight w:val="none"/>
        </w:rPr>
      </w:pPr>
      <w:r>
        <w:rPr>
          <w:rFonts w:hint="eastAsia"/>
          <w:color w:val="auto"/>
          <w:szCs w:val="21"/>
          <w:highlight w:val="none"/>
        </w:rPr>
        <w:t xml:space="preserve">本次采购资金由采购人自付，按照以下约定执行：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项目合同签订之日起30日内，支付合同额的40%；项目成果通过省级预检并报部合格后，余款全部付清。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注：采购人每次付款前，供应商应向甲方开具等额发票。否则，采购人有权拒绝付款。</w:t>
      </w:r>
      <w:r/>
    </w:p>
    <w:p>
      <w:pPr>
        <w:ind w:firstLine="422"/>
        <w:spacing w:line="360" w:lineRule="auto"/>
        <w:rPr>
          <w:b/>
          <w:color w:val="auto"/>
          <w:szCs w:val="21"/>
          <w:highlight w:val="none"/>
        </w:rPr>
      </w:pPr>
      <w:r>
        <w:rPr>
          <w:b/>
          <w:color w:val="auto"/>
          <w:szCs w:val="21"/>
          <w:highlight w:val="none"/>
        </w:rPr>
        <w:t xml:space="preserve">6．甲方责任</w:t>
      </w:r>
      <w:r/>
    </w:p>
    <w:p>
      <w:pPr>
        <w:ind w:firstLine="420"/>
        <w:spacing w:line="360" w:lineRule="auto"/>
        <w:rPr>
          <w:color w:val="auto"/>
          <w:szCs w:val="21"/>
          <w:highlight w:val="none"/>
        </w:rPr>
      </w:pPr>
      <w:r>
        <w:rPr>
          <w:color w:val="auto"/>
          <w:szCs w:val="21"/>
          <w:highlight w:val="none"/>
        </w:rPr>
        <w:t xml:space="preserve">6.1甲方配合</w:t>
      </w:r>
      <w:r>
        <w:rPr>
          <w:rFonts w:hint="eastAsia"/>
          <w:color w:val="auto"/>
          <w:szCs w:val="21"/>
          <w:highlight w:val="none"/>
        </w:rPr>
        <w:t xml:space="preserve">规划编制</w:t>
      </w:r>
      <w:r>
        <w:rPr>
          <w:color w:val="auto"/>
          <w:szCs w:val="21"/>
          <w:highlight w:val="none"/>
        </w:rPr>
        <w:t xml:space="preserve">提供相应资料；</w:t>
      </w:r>
      <w:r/>
    </w:p>
    <w:p>
      <w:pPr>
        <w:ind w:firstLine="420"/>
        <w:spacing w:line="360" w:lineRule="auto"/>
        <w:rPr>
          <w:color w:val="auto"/>
          <w:szCs w:val="21"/>
          <w:highlight w:val="none"/>
        </w:rPr>
      </w:pPr>
      <w:r>
        <w:rPr>
          <w:color w:val="auto"/>
          <w:szCs w:val="21"/>
          <w:highlight w:val="none"/>
        </w:rPr>
        <w:t xml:space="preserve">6.2 负责与有关部门的联系和协调。</w:t>
      </w:r>
      <w:r/>
    </w:p>
    <w:p>
      <w:pPr>
        <w:ind w:firstLine="420"/>
        <w:spacing w:line="360" w:lineRule="auto"/>
        <w:rPr>
          <w:color w:val="auto"/>
          <w:szCs w:val="21"/>
          <w:highlight w:val="none"/>
        </w:rPr>
      </w:pPr>
      <w:r>
        <w:rPr>
          <w:color w:val="auto"/>
          <w:szCs w:val="21"/>
          <w:highlight w:val="none"/>
        </w:rPr>
        <w:t xml:space="preserve">6.3及时支付服务费用</w:t>
      </w:r>
      <w:r/>
    </w:p>
    <w:p>
      <w:pPr>
        <w:ind w:firstLine="422"/>
        <w:spacing w:line="360" w:lineRule="auto"/>
        <w:rPr>
          <w:b/>
          <w:color w:val="auto"/>
          <w:szCs w:val="21"/>
          <w:highlight w:val="none"/>
        </w:rPr>
      </w:pPr>
      <w:r>
        <w:rPr>
          <w:b/>
          <w:color w:val="auto"/>
          <w:szCs w:val="21"/>
          <w:highlight w:val="none"/>
        </w:rPr>
        <w:t xml:space="preserve">7．乙方责任</w:t>
      </w:r>
      <w:r/>
    </w:p>
    <w:p>
      <w:pPr>
        <w:ind w:firstLine="420"/>
        <w:spacing w:line="360" w:lineRule="auto"/>
        <w:rPr>
          <w:color w:val="auto"/>
          <w:szCs w:val="21"/>
          <w:highlight w:val="none"/>
        </w:rPr>
      </w:pPr>
      <w:r>
        <w:rPr>
          <w:color w:val="auto"/>
          <w:szCs w:val="21"/>
          <w:highlight w:val="none"/>
        </w:rPr>
        <w:t xml:space="preserve">7.1乙方应当对甲方的意图有深刻、准确和全面的了解和把握，并将其反映在编制成果和相关资料中</w:t>
      </w:r>
      <w:r>
        <w:rPr>
          <w:rFonts w:hint="eastAsia"/>
          <w:color w:val="auto"/>
          <w:szCs w:val="21"/>
          <w:highlight w:val="none"/>
        </w:rPr>
        <w:t xml:space="preserve">。</w:t>
      </w:r>
      <w:r>
        <w:rPr>
          <w:color w:val="auto"/>
          <w:szCs w:val="21"/>
          <w:highlight w:val="none"/>
        </w:rPr>
        <w:t xml:space="preserve"> </w:t>
      </w:r>
      <w:r/>
    </w:p>
    <w:p>
      <w:pPr>
        <w:ind w:firstLine="420"/>
        <w:spacing w:line="360" w:lineRule="auto"/>
        <w:rPr>
          <w:color w:val="auto"/>
          <w:szCs w:val="21"/>
          <w:highlight w:val="none"/>
        </w:rPr>
      </w:pPr>
      <w:r>
        <w:rPr>
          <w:color w:val="auto"/>
          <w:szCs w:val="21"/>
          <w:highlight w:val="none"/>
        </w:rPr>
        <w:t xml:space="preserve">7.2乙方应保证其向甲方提交的成果（包括阶段性和最终性成果）及乙方为实现该成果所使用的必要方法不侵犯第三人的合法权益</w:t>
      </w:r>
      <w:r>
        <w:rPr>
          <w:rFonts w:hint="eastAsia"/>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7.3乙方提供的服务应当符合地方及国家有关标准和规范。</w:t>
      </w:r>
      <w:r/>
    </w:p>
    <w:p>
      <w:pPr>
        <w:ind w:firstLine="420"/>
        <w:spacing w:line="360" w:lineRule="auto"/>
        <w:rPr>
          <w:color w:val="auto"/>
          <w:szCs w:val="21"/>
          <w:highlight w:val="none"/>
        </w:rPr>
      </w:pPr>
      <w:r>
        <w:rPr>
          <w:color w:val="auto"/>
          <w:szCs w:val="21"/>
          <w:highlight w:val="none"/>
        </w:rPr>
        <w:t xml:space="preserve">7.4乙方应根据承担项目任务的特点组成项目组，编制工作大纲，制定项目管理文件，明确职责、目标、计划、程序、内部审查和质量管理等内容，并将目标责任落实到项目总体、专业负责人，检查</w:t>
      </w:r>
      <w:r>
        <w:rPr>
          <w:rFonts w:hint="eastAsia"/>
          <w:color w:val="auto"/>
          <w:szCs w:val="21"/>
          <w:highlight w:val="none"/>
        </w:rPr>
        <w:t xml:space="preserve">服务</w:t>
      </w:r>
      <w:r>
        <w:rPr>
          <w:color w:val="auto"/>
          <w:szCs w:val="21"/>
          <w:highlight w:val="none"/>
        </w:rPr>
        <w:t xml:space="preserve">是否按合同要求完成，确保</w:t>
      </w:r>
      <w:r>
        <w:rPr>
          <w:rFonts w:hint="eastAsia"/>
          <w:color w:val="auto"/>
          <w:szCs w:val="21"/>
          <w:highlight w:val="none"/>
        </w:rPr>
        <w:t xml:space="preserve">服务</w:t>
      </w:r>
      <w:r>
        <w:rPr>
          <w:color w:val="auto"/>
          <w:szCs w:val="21"/>
          <w:highlight w:val="none"/>
        </w:rPr>
        <w:t xml:space="preserve">的有序性和有效性，对</w:t>
      </w:r>
      <w:r>
        <w:rPr>
          <w:rFonts w:hint="eastAsia"/>
          <w:color w:val="auto"/>
          <w:szCs w:val="21"/>
          <w:highlight w:val="none"/>
        </w:rPr>
        <w:t xml:space="preserve">服务</w:t>
      </w:r>
      <w:r>
        <w:rPr>
          <w:color w:val="auto"/>
          <w:szCs w:val="21"/>
          <w:highlight w:val="none"/>
        </w:rPr>
        <w:t xml:space="preserve">质量负全责。</w:t>
      </w:r>
      <w:r/>
    </w:p>
    <w:p>
      <w:pPr>
        <w:ind w:firstLine="420"/>
        <w:spacing w:line="360" w:lineRule="auto"/>
        <w:rPr>
          <w:color w:val="auto"/>
          <w:szCs w:val="21"/>
          <w:highlight w:val="none"/>
        </w:rPr>
      </w:pPr>
      <w:r>
        <w:rPr>
          <w:color w:val="auto"/>
          <w:szCs w:val="21"/>
          <w:highlight w:val="none"/>
        </w:rPr>
        <w:t xml:space="preserve">7.5乙方在工作中应保证成果的及时和有效，服务过程中必须考虑与相关专业的接口配合，保证资料的齐全、稳定、深度和提交时间能满足资料使用者的需要。</w:t>
      </w:r>
      <w:r/>
    </w:p>
    <w:p>
      <w:pPr>
        <w:ind w:firstLine="420"/>
        <w:spacing w:line="360" w:lineRule="auto"/>
        <w:rPr>
          <w:color w:val="auto"/>
          <w:szCs w:val="21"/>
          <w:highlight w:val="none"/>
        </w:rPr>
      </w:pPr>
      <w:r>
        <w:rPr>
          <w:color w:val="auto"/>
          <w:szCs w:val="21"/>
          <w:highlight w:val="none"/>
        </w:rPr>
        <w:t xml:space="preserve">7.6人员要求</w:t>
      </w:r>
      <w:r/>
    </w:p>
    <w:p>
      <w:pPr>
        <w:ind w:firstLine="420"/>
        <w:spacing w:line="360" w:lineRule="auto"/>
        <w:rPr>
          <w:color w:val="auto"/>
          <w:szCs w:val="21"/>
          <w:highlight w:val="none"/>
        </w:rPr>
      </w:pPr>
      <w:r>
        <w:rPr>
          <w:color w:val="auto"/>
          <w:szCs w:val="21"/>
          <w:highlight w:val="none"/>
        </w:rPr>
        <w:t xml:space="preserve">乙方应根据项目任务建立项目组，从组织上保证投入的人力、物力能满足</w:t>
      </w:r>
      <w:r>
        <w:rPr>
          <w:rFonts w:hint="eastAsia"/>
          <w:color w:val="auto"/>
          <w:szCs w:val="21"/>
          <w:highlight w:val="none"/>
        </w:rPr>
        <w:t xml:space="preserve">服务</w:t>
      </w:r>
      <w:r>
        <w:rPr>
          <w:color w:val="auto"/>
          <w:szCs w:val="21"/>
          <w:highlight w:val="none"/>
        </w:rPr>
        <w:t xml:space="preserve">开展的需要。乙方必须保证主要技术骨干保持稳定，未经甲方书面同意不得自行撤换。</w:t>
      </w:r>
      <w:r/>
    </w:p>
    <w:p>
      <w:pPr>
        <w:ind w:firstLine="422"/>
        <w:spacing w:line="360" w:lineRule="auto"/>
        <w:rPr>
          <w:b/>
          <w:color w:val="auto"/>
          <w:szCs w:val="21"/>
          <w:highlight w:val="none"/>
        </w:rPr>
      </w:pPr>
      <w:r>
        <w:rPr>
          <w:b/>
          <w:color w:val="auto"/>
          <w:szCs w:val="21"/>
          <w:highlight w:val="none"/>
        </w:rPr>
        <w:t xml:space="preserve">8．违约责任</w:t>
      </w:r>
      <w:r/>
    </w:p>
    <w:p>
      <w:pPr>
        <w:ind w:firstLine="420"/>
        <w:jc w:val="left"/>
        <w:spacing w:line="360" w:lineRule="auto"/>
        <w:rPr>
          <w:color w:val="auto"/>
          <w:szCs w:val="21"/>
          <w:highlight w:val="none"/>
        </w:rPr>
      </w:pPr>
      <w:r>
        <w:rPr>
          <w:color w:val="auto"/>
          <w:szCs w:val="21"/>
          <w:highlight w:val="none"/>
        </w:rPr>
        <w:t xml:space="preserve">8.1 如果甲方逾期付款，超过10日后，每日应向乙方偿付应付款项的0.2%作为违约金，违约金最高限额为合同总金额的5%。</w:t>
      </w:r>
      <w:r>
        <w:rPr>
          <w:color w:val="auto"/>
          <w:szCs w:val="21"/>
          <w:highlight w:val="none"/>
        </w:rPr>
        <w:t xml:space="preserve">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rPr>
          <w:rFonts w:hint="eastAsia"/>
          <w:color w:val="auto"/>
          <w:szCs w:val="21"/>
          <w:highlight w:val="none"/>
        </w:rPr>
        <w:t xml:space="preserve">如遇</w:t>
      </w:r>
      <w:r>
        <w:rPr>
          <w:color w:val="auto"/>
          <w:szCs w:val="21"/>
          <w:highlight w:val="none"/>
        </w:rPr>
        <w:t xml:space="preserve">年</w:t>
      </w:r>
      <w:r>
        <w:rPr>
          <w:rFonts w:hint="eastAsia"/>
          <w:color w:val="auto"/>
          <w:szCs w:val="21"/>
          <w:highlight w:val="none"/>
        </w:rPr>
        <w:t xml:space="preserve">底财政</w:t>
      </w:r>
      <w:r>
        <w:rPr>
          <w:color w:val="auto"/>
          <w:szCs w:val="21"/>
          <w:highlight w:val="none"/>
        </w:rPr>
        <w:t xml:space="preserve">资金结转</w:t>
      </w:r>
      <w:r>
        <w:rPr>
          <w:rFonts w:hint="eastAsia"/>
          <w:color w:val="auto"/>
          <w:szCs w:val="21"/>
          <w:highlight w:val="none"/>
        </w:rPr>
        <w:t xml:space="preserve">情况</w:t>
      </w:r>
      <w:r>
        <w:rPr>
          <w:color w:val="auto"/>
          <w:szCs w:val="21"/>
          <w:highlight w:val="none"/>
        </w:rPr>
        <w:t xml:space="preserve">，采购人有权提前或推迟支付费用</w:t>
      </w:r>
      <w:r>
        <w:rPr>
          <w:rFonts w:hint="eastAsia"/>
          <w:color w:val="auto"/>
          <w:szCs w:val="21"/>
          <w:highlight w:val="none"/>
        </w:rPr>
        <w:t xml:space="preserve">，推迟的不承担违约金</w:t>
      </w:r>
      <w:r>
        <w:rPr>
          <w:color w:val="auto"/>
          <w:szCs w:val="21"/>
          <w:highlight w:val="none"/>
        </w:rPr>
        <w:t xml:space="preserve">。</w:t>
      </w:r>
      <w:r/>
    </w:p>
    <w:p>
      <w:pPr>
        <w:ind w:firstLine="420"/>
        <w:spacing w:line="360" w:lineRule="auto"/>
        <w:rPr>
          <w:color w:val="auto"/>
          <w:szCs w:val="21"/>
          <w:highlight w:val="none"/>
        </w:rPr>
      </w:pPr>
      <w:r>
        <w:rPr>
          <w:color w:val="auto"/>
          <w:szCs w:val="21"/>
          <w:highlight w:val="none"/>
        </w:rPr>
        <w:t xml:space="preserve">8.2 如果乙方没有按合同规定交工或提供服务，每延迟一天扣除合同总金额的0.2%的违约金，直至按合同交工或提供服务为止。违约金最高限额为合同总金额的5%。</w:t>
      </w:r>
      <w:r/>
    </w:p>
    <w:p>
      <w:pPr>
        <w:ind w:firstLine="422"/>
        <w:spacing w:line="360" w:lineRule="auto"/>
        <w:rPr>
          <w:b/>
          <w:color w:val="auto"/>
          <w:szCs w:val="21"/>
          <w:highlight w:val="none"/>
        </w:rPr>
      </w:pPr>
      <w:r>
        <w:rPr>
          <w:b/>
          <w:color w:val="auto"/>
          <w:szCs w:val="21"/>
          <w:highlight w:val="none"/>
        </w:rPr>
        <w:t xml:space="preserve">9．履约保证金</w:t>
      </w:r>
      <w:r>
        <w:rPr>
          <w:rFonts w:hint="eastAsia"/>
          <w:b/>
          <w:color w:val="auto"/>
          <w:szCs w:val="21"/>
          <w:highlight w:val="none"/>
        </w:rPr>
        <w:t xml:space="preserve">（本项目不采用）</w:t>
      </w:r>
      <w:r/>
    </w:p>
    <w:p>
      <w:pPr>
        <w:ind w:firstLine="420"/>
        <w:spacing w:line="360" w:lineRule="auto"/>
        <w:rPr>
          <w:color w:val="auto"/>
          <w:szCs w:val="21"/>
          <w:highlight w:val="none"/>
        </w:rPr>
      </w:pPr>
      <w:r>
        <w:rPr>
          <w:color w:val="auto"/>
          <w:szCs w:val="21"/>
          <w:highlight w:val="none"/>
        </w:rPr>
        <w:t xml:space="preserve">9.1 乙方在收到</w:t>
      </w:r>
      <w:r>
        <w:rPr>
          <w:rFonts w:hint="eastAsia"/>
          <w:color w:val="auto"/>
          <w:szCs w:val="21"/>
          <w:highlight w:val="none"/>
        </w:rPr>
        <w:t xml:space="preserve">中标</w:t>
      </w:r>
      <w:r>
        <w:rPr>
          <w:color w:val="auto"/>
          <w:szCs w:val="21"/>
          <w:highlight w:val="none"/>
        </w:rPr>
        <w:t xml:space="preserve">通知书</w:t>
      </w:r>
      <w:r>
        <w:rPr>
          <w:rFonts w:hint="eastAsia"/>
          <w:color w:val="auto"/>
          <w:szCs w:val="21"/>
          <w:highlight w:val="none"/>
        </w:rPr>
        <w:t xml:space="preserve">采购</w:t>
      </w:r>
      <w:r>
        <w:rPr>
          <w:color w:val="auto"/>
          <w:szCs w:val="21"/>
          <w:highlight w:val="none"/>
        </w:rPr>
        <w:t xml:space="preserve">保证金自动转为履约保证金。</w:t>
      </w:r>
      <w:r/>
    </w:p>
    <w:p>
      <w:pPr>
        <w:ind w:firstLine="420"/>
        <w:spacing w:line="360" w:lineRule="auto"/>
        <w:rPr>
          <w:color w:val="auto"/>
          <w:szCs w:val="21"/>
          <w:highlight w:val="none"/>
        </w:rPr>
      </w:pPr>
      <w:r>
        <w:rPr>
          <w:color w:val="auto"/>
          <w:szCs w:val="21"/>
          <w:highlight w:val="none"/>
        </w:rPr>
        <w:t xml:space="preserve">9.2 乙方由于过错而导致支付违约金和赔偿损失时可由履约保证金抵顶支付；当违约金和赔偿金额超过履约保证金时，甲方可追偿超过履约保证金的部分。</w:t>
      </w:r>
      <w:r/>
    </w:p>
    <w:p>
      <w:pPr>
        <w:ind w:firstLine="420"/>
        <w:spacing w:line="360" w:lineRule="auto"/>
        <w:rPr>
          <w:color w:val="auto"/>
          <w:szCs w:val="21"/>
          <w:highlight w:val="none"/>
        </w:rPr>
      </w:pPr>
      <w:r>
        <w:rPr>
          <w:color w:val="auto"/>
          <w:szCs w:val="21"/>
          <w:highlight w:val="none"/>
        </w:rPr>
        <w:t xml:space="preserve">9.3项目全部完成通过验收后，乙方没有发生违约行为的，可在验收后10个工作日内向江宁区政府采购中心申请无息退还履约保证金。</w:t>
      </w:r>
      <w:r/>
    </w:p>
    <w:p>
      <w:pPr>
        <w:ind w:firstLine="422"/>
        <w:spacing w:line="360" w:lineRule="auto"/>
        <w:rPr>
          <w:b/>
          <w:color w:val="auto"/>
          <w:szCs w:val="21"/>
          <w:highlight w:val="none"/>
        </w:rPr>
      </w:pPr>
      <w:r>
        <w:rPr>
          <w:b/>
          <w:color w:val="auto"/>
          <w:szCs w:val="21"/>
          <w:highlight w:val="none"/>
        </w:rPr>
        <w:t xml:space="preserve">10．不可抗力</w:t>
      </w:r>
      <w:r/>
    </w:p>
    <w:p>
      <w:pPr>
        <w:ind w:firstLine="420"/>
        <w:spacing w:line="360" w:lineRule="auto"/>
        <w:rPr>
          <w:color w:val="auto"/>
          <w:szCs w:val="21"/>
          <w:highlight w:val="none"/>
        </w:rPr>
      </w:pPr>
      <w:r>
        <w:rPr>
          <w:color w:val="auto"/>
          <w:szCs w:val="21"/>
          <w:highlight w:val="none"/>
        </w:rPr>
        <w:t xml:space="preserve">10.1签约双方任一方由于受诸如战争、严重火灾、洪水、台风、地震等不可抗力事故的影响而不能执行合同时，履行合同的期限应予以延长，延长的期限应相当于事故所影响的时间。</w:t>
      </w:r>
      <w:r/>
    </w:p>
    <w:p>
      <w:pPr>
        <w:ind w:firstLine="420"/>
        <w:spacing w:line="360" w:lineRule="auto"/>
        <w:rPr>
          <w:color w:val="auto"/>
          <w:szCs w:val="21"/>
          <w:highlight w:val="none"/>
        </w:rPr>
      </w:pPr>
      <w:r>
        <w:rPr>
          <w:color w:val="auto"/>
          <w:szCs w:val="21"/>
          <w:highlight w:val="none"/>
        </w:rPr>
        <w:t xml:space="preserve">10.2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22"/>
        <w:spacing w:line="360" w:lineRule="auto"/>
        <w:rPr>
          <w:b/>
          <w:color w:val="auto"/>
          <w:szCs w:val="21"/>
          <w:highlight w:val="none"/>
        </w:rPr>
      </w:pPr>
      <w:r>
        <w:rPr>
          <w:b/>
          <w:color w:val="auto"/>
          <w:szCs w:val="21"/>
          <w:highlight w:val="none"/>
        </w:rPr>
        <w:t xml:space="preserve">11．税费</w:t>
      </w:r>
      <w:r/>
    </w:p>
    <w:p>
      <w:pPr>
        <w:ind w:firstLine="420"/>
        <w:spacing w:line="360" w:lineRule="auto"/>
        <w:rPr>
          <w:color w:val="auto"/>
          <w:szCs w:val="21"/>
          <w:highlight w:val="none"/>
        </w:rPr>
      </w:pPr>
      <w:r>
        <w:rPr>
          <w:color w:val="auto"/>
          <w:szCs w:val="21"/>
          <w:highlight w:val="none"/>
        </w:rPr>
        <w:t xml:space="preserve">11.1与履行本合同有关的一切税费，由乙方承担。</w:t>
      </w:r>
      <w:r/>
    </w:p>
    <w:p>
      <w:pPr>
        <w:ind w:firstLine="422"/>
        <w:spacing w:line="360" w:lineRule="auto"/>
        <w:rPr>
          <w:b/>
          <w:color w:val="auto"/>
          <w:szCs w:val="21"/>
          <w:highlight w:val="none"/>
        </w:rPr>
      </w:pPr>
      <w:r>
        <w:rPr>
          <w:b/>
          <w:color w:val="auto"/>
          <w:szCs w:val="21"/>
          <w:highlight w:val="none"/>
        </w:rPr>
        <w:t xml:space="preserve">12．争议</w:t>
      </w:r>
      <w:r/>
    </w:p>
    <w:p>
      <w:pPr>
        <w:ind w:firstLine="420"/>
        <w:spacing w:line="360" w:lineRule="auto"/>
        <w:rPr>
          <w:rFonts w:ascii="宋体" w:hAnsi="宋体" w:cs="宋体"/>
          <w:color w:val="auto"/>
          <w:szCs w:val="21"/>
          <w:highlight w:val="none"/>
        </w:rPr>
      </w:pPr>
      <w:r>
        <w:rPr>
          <w:color w:val="auto"/>
          <w:szCs w:val="21"/>
          <w:highlight w:val="none"/>
        </w:rPr>
        <w:t xml:space="preserve">12.1</w:t>
      </w:r>
      <w:r>
        <w:rPr>
          <w:rFonts w:hint="eastAsia" w:ascii="宋体" w:hAnsi="宋体" w:cs="宋体"/>
          <w:color w:val="auto"/>
          <w:szCs w:val="21"/>
          <w:highlight w:val="none"/>
        </w:rPr>
        <w:t xml:space="preserve">因履行本合同引起的或与本合同有关的争议，甲、乙双方应首先通过友好协商解决，如果协商不能解决争议，则采取以下第（）种方式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解决争议：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spacing w:line="360" w:lineRule="auto"/>
        <w:rPr>
          <w:color w:val="auto"/>
          <w:szCs w:val="21"/>
          <w:highlight w:val="none"/>
        </w:rPr>
      </w:pPr>
      <w:r>
        <w:rPr>
          <w:rFonts w:hint="eastAsia" w:ascii="宋体" w:hAnsi="宋体" w:cs="宋体"/>
          <w:color w:val="auto"/>
          <w:szCs w:val="21"/>
          <w:highlight w:val="none"/>
        </w:rPr>
        <w:t xml:space="preserve">如没有约定，默认采取第2种方式解决争议。</w:t>
      </w:r>
      <w:r/>
    </w:p>
    <w:p>
      <w:pPr>
        <w:ind w:firstLine="420"/>
        <w:spacing w:line="360" w:lineRule="auto"/>
        <w:rPr>
          <w:color w:val="auto"/>
          <w:szCs w:val="21"/>
          <w:highlight w:val="none"/>
        </w:rPr>
      </w:pPr>
      <w:r>
        <w:rPr>
          <w:color w:val="auto"/>
          <w:szCs w:val="21"/>
          <w:highlight w:val="none"/>
        </w:rPr>
        <w:t xml:space="preserve">12.2 在仲裁和诉讼期间，双方应继续履行争议部分以外的合同内容。</w:t>
      </w:r>
      <w:r/>
    </w:p>
    <w:p>
      <w:pPr>
        <w:ind w:firstLine="422"/>
        <w:spacing w:line="360" w:lineRule="auto"/>
        <w:rPr>
          <w:b/>
          <w:color w:val="auto"/>
          <w:szCs w:val="21"/>
          <w:highlight w:val="none"/>
        </w:rPr>
      </w:pPr>
      <w:r>
        <w:rPr>
          <w:b/>
          <w:color w:val="auto"/>
          <w:szCs w:val="21"/>
          <w:highlight w:val="none"/>
        </w:rPr>
        <w:t xml:space="preserve">13．违约终止合同</w:t>
      </w:r>
      <w:r/>
    </w:p>
    <w:p>
      <w:pPr>
        <w:ind w:firstLine="420"/>
        <w:spacing w:line="360" w:lineRule="auto"/>
        <w:rPr>
          <w:color w:val="auto"/>
          <w:szCs w:val="21"/>
          <w:highlight w:val="none"/>
        </w:rPr>
      </w:pPr>
      <w:r>
        <w:rPr>
          <w:color w:val="auto"/>
          <w:szCs w:val="21"/>
          <w:highlight w:val="none"/>
        </w:rPr>
        <w:t xml:space="preserve">13.1 因解除而终止</w:t>
      </w:r>
      <w:r/>
    </w:p>
    <w:p>
      <w:pPr>
        <w:ind w:firstLine="420"/>
        <w:spacing w:line="360" w:lineRule="auto"/>
        <w:rPr>
          <w:color w:val="auto"/>
          <w:szCs w:val="21"/>
          <w:highlight w:val="none"/>
        </w:rPr>
      </w:pPr>
      <w:r>
        <w:rPr>
          <w:color w:val="auto"/>
          <w:szCs w:val="21"/>
          <w:highlight w:val="none"/>
        </w:rPr>
        <w:t xml:space="preserve">13.1.1 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20"/>
        <w:spacing w:line="360" w:lineRule="auto"/>
        <w:rPr>
          <w:color w:val="auto"/>
          <w:szCs w:val="21"/>
          <w:highlight w:val="none"/>
        </w:rPr>
      </w:pPr>
      <w:r>
        <w:rPr>
          <w:color w:val="auto"/>
          <w:szCs w:val="21"/>
          <w:highlight w:val="none"/>
        </w:rPr>
        <w:t xml:space="preserve">13.1.2 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20"/>
        <w:spacing w:line="360" w:lineRule="auto"/>
        <w:rPr>
          <w:color w:val="auto"/>
          <w:szCs w:val="21"/>
          <w:highlight w:val="none"/>
        </w:rPr>
      </w:pPr>
      <w:r>
        <w:rPr>
          <w:color w:val="auto"/>
          <w:szCs w:val="21"/>
          <w:highlight w:val="none"/>
        </w:rPr>
        <w:t xml:space="preserve">13.1.3 合同一方依本合同约定行使解除权的，合同自解除通知送达另一方之日起终止。违约方应当按本合同约定支付违约金或赔偿损失。</w:t>
      </w:r>
      <w:r/>
    </w:p>
    <w:p>
      <w:pPr>
        <w:ind w:firstLine="420"/>
        <w:spacing w:line="360" w:lineRule="auto"/>
        <w:rPr>
          <w:color w:val="auto"/>
          <w:szCs w:val="21"/>
          <w:highlight w:val="none"/>
        </w:rPr>
      </w:pPr>
      <w:r>
        <w:rPr>
          <w:color w:val="auto"/>
          <w:szCs w:val="21"/>
          <w:highlight w:val="none"/>
        </w:rPr>
        <w:t xml:space="preserve">13.1.4 合同终止后，不妨碍守约方向违约方追究违约责任。</w:t>
      </w:r>
      <w:r/>
    </w:p>
    <w:p>
      <w:pPr>
        <w:ind w:firstLine="420"/>
        <w:spacing w:line="360" w:lineRule="auto"/>
        <w:rPr>
          <w:color w:val="auto"/>
          <w:szCs w:val="21"/>
          <w:highlight w:val="none"/>
        </w:rPr>
      </w:pPr>
      <w:r>
        <w:rPr>
          <w:color w:val="auto"/>
          <w:szCs w:val="21"/>
          <w:highlight w:val="none"/>
        </w:rPr>
        <w:t xml:space="preserve">13.2 有下列情形之一的，合同权利义务终止：</w:t>
      </w:r>
      <w:r/>
    </w:p>
    <w:p>
      <w:pPr>
        <w:ind w:firstLine="420"/>
        <w:spacing w:line="360" w:lineRule="auto"/>
        <w:rPr>
          <w:color w:val="auto"/>
          <w:szCs w:val="21"/>
          <w:highlight w:val="none"/>
        </w:rPr>
      </w:pPr>
      <w:r>
        <w:rPr>
          <w:color w:val="auto"/>
          <w:szCs w:val="21"/>
          <w:highlight w:val="none"/>
        </w:rPr>
        <w:t xml:space="preserve">13.2.1 本合同已按约定履行完毕；</w:t>
      </w:r>
      <w:r/>
    </w:p>
    <w:p>
      <w:pPr>
        <w:ind w:firstLine="420"/>
        <w:spacing w:line="360" w:lineRule="auto"/>
        <w:rPr>
          <w:color w:val="auto"/>
          <w:szCs w:val="21"/>
          <w:highlight w:val="none"/>
        </w:rPr>
      </w:pPr>
      <w:r>
        <w:rPr>
          <w:color w:val="auto"/>
          <w:szCs w:val="21"/>
          <w:highlight w:val="none"/>
        </w:rPr>
        <w:t xml:space="preserve">13.2.2 本合同经各方协商一致而终止；</w:t>
      </w:r>
      <w:r/>
    </w:p>
    <w:p>
      <w:pPr>
        <w:ind w:firstLine="420"/>
        <w:spacing w:line="360" w:lineRule="auto"/>
        <w:rPr>
          <w:color w:val="auto"/>
          <w:szCs w:val="21"/>
          <w:highlight w:val="none"/>
        </w:rPr>
      </w:pPr>
      <w:r>
        <w:rPr>
          <w:color w:val="auto"/>
          <w:szCs w:val="21"/>
          <w:highlight w:val="none"/>
        </w:rPr>
        <w:t xml:space="preserve">13.2.3</w:t>
      </w:r>
      <w:r>
        <w:rPr>
          <w:rFonts w:hint="eastAsia"/>
          <w:color w:val="auto"/>
          <w:szCs w:val="21"/>
          <w:highlight w:val="none"/>
        </w:rPr>
        <w:t xml:space="preserve"> </w:t>
      </w:r>
      <w:r>
        <w:rPr>
          <w:color w:val="auto"/>
          <w:szCs w:val="21"/>
          <w:highlight w:val="none"/>
        </w:rPr>
        <w:t xml:space="preserve">法律法规规定终止的其他情形。</w:t>
      </w:r>
      <w:r/>
    </w:p>
    <w:p>
      <w:pPr>
        <w:ind w:firstLine="422"/>
        <w:spacing w:line="360" w:lineRule="auto"/>
        <w:rPr>
          <w:b/>
          <w:color w:val="auto"/>
          <w:szCs w:val="21"/>
          <w:highlight w:val="none"/>
        </w:rPr>
      </w:pPr>
      <w:r>
        <w:rPr>
          <w:b/>
          <w:color w:val="auto"/>
          <w:szCs w:val="21"/>
          <w:highlight w:val="none"/>
        </w:rPr>
        <w:t xml:space="preserve">14．合同修改</w:t>
      </w:r>
      <w:r/>
    </w:p>
    <w:p>
      <w:pPr>
        <w:ind w:firstLine="420"/>
        <w:spacing w:line="360" w:lineRule="auto"/>
        <w:rPr>
          <w:color w:val="auto"/>
          <w:szCs w:val="21"/>
          <w:highlight w:val="none"/>
        </w:rPr>
      </w:pPr>
      <w:r>
        <w:rPr>
          <w:color w:val="auto"/>
          <w:szCs w:val="21"/>
          <w:highlight w:val="none"/>
        </w:rPr>
        <w:t xml:space="preserve">14.1对合同条款作出任何改动或偏离，均须甲乙双方签署书面的合同修改书。</w:t>
      </w:r>
      <w:r/>
    </w:p>
    <w:p>
      <w:pPr>
        <w:ind w:firstLine="422"/>
        <w:spacing w:line="360" w:lineRule="auto"/>
        <w:rPr>
          <w:b/>
          <w:color w:val="auto"/>
          <w:szCs w:val="21"/>
          <w:highlight w:val="none"/>
        </w:rPr>
      </w:pPr>
      <w:r>
        <w:rPr>
          <w:b/>
          <w:color w:val="auto"/>
          <w:szCs w:val="21"/>
          <w:highlight w:val="none"/>
        </w:rPr>
        <w:t xml:space="preserve">15．适用法律</w:t>
      </w:r>
      <w:r/>
    </w:p>
    <w:p>
      <w:pPr>
        <w:ind w:firstLine="420"/>
        <w:spacing w:line="360" w:lineRule="auto"/>
        <w:rPr>
          <w:color w:val="auto"/>
          <w:szCs w:val="21"/>
          <w:highlight w:val="none"/>
        </w:rPr>
      </w:pPr>
      <w:r>
        <w:rPr>
          <w:color w:val="auto"/>
          <w:szCs w:val="21"/>
          <w:highlight w:val="none"/>
        </w:rPr>
        <w:t xml:space="preserve">15.l本合同应按中华人民共和国的法律解释。</w:t>
      </w:r>
      <w:r/>
    </w:p>
    <w:p>
      <w:pPr>
        <w:ind w:firstLine="422"/>
        <w:spacing w:line="360" w:lineRule="auto"/>
        <w:rPr>
          <w:b/>
          <w:color w:val="auto"/>
          <w:szCs w:val="21"/>
          <w:highlight w:val="none"/>
        </w:rPr>
      </w:pPr>
      <w:r>
        <w:rPr>
          <w:b/>
          <w:color w:val="auto"/>
          <w:szCs w:val="21"/>
          <w:highlight w:val="none"/>
        </w:rPr>
        <w:t xml:space="preserve">16．语言与计量单位</w:t>
      </w:r>
      <w:r/>
    </w:p>
    <w:p>
      <w:pPr>
        <w:ind w:firstLine="420"/>
        <w:spacing w:line="360" w:lineRule="auto"/>
        <w:rPr>
          <w:color w:val="auto"/>
          <w:szCs w:val="21"/>
          <w:highlight w:val="none"/>
        </w:rPr>
      </w:pPr>
      <w:r>
        <w:rPr>
          <w:color w:val="auto"/>
          <w:szCs w:val="21"/>
          <w:highlight w:val="none"/>
        </w:rPr>
        <w:t xml:space="preserve">16.1合同书写应用中文。甲乙双方所有的来往函电以及与合同有关的文件均应以中文书写。</w:t>
      </w:r>
      <w:r/>
    </w:p>
    <w:p>
      <w:pPr>
        <w:ind w:firstLine="420"/>
        <w:spacing w:line="360" w:lineRule="auto"/>
        <w:rPr>
          <w:color w:val="auto"/>
          <w:szCs w:val="21"/>
          <w:highlight w:val="none"/>
        </w:rPr>
      </w:pPr>
      <w:r>
        <w:rPr>
          <w:color w:val="auto"/>
          <w:szCs w:val="21"/>
          <w:highlight w:val="none"/>
        </w:rPr>
        <w:t xml:space="preserve">16.2除技术规格中另有规定外，计量单位均使用</w:t>
      </w:r>
      <w:r>
        <w:rPr>
          <w:rFonts w:hint="eastAsia"/>
          <w:color w:val="auto"/>
          <w:szCs w:val="21"/>
          <w:highlight w:val="none"/>
        </w:rPr>
        <w:t xml:space="preserve">国家法定</w:t>
      </w:r>
      <w:r>
        <w:rPr>
          <w:color w:val="auto"/>
          <w:szCs w:val="21"/>
          <w:highlight w:val="none"/>
        </w:rPr>
        <w:t xml:space="preserve">单位制。</w:t>
      </w:r>
      <w:r/>
    </w:p>
    <w:p>
      <w:pPr>
        <w:ind w:firstLine="422"/>
        <w:spacing w:line="360" w:lineRule="auto"/>
        <w:rPr>
          <w:b/>
          <w:color w:val="auto"/>
          <w:szCs w:val="21"/>
          <w:highlight w:val="none"/>
        </w:rPr>
      </w:pPr>
      <w:r>
        <w:rPr>
          <w:b/>
          <w:color w:val="auto"/>
          <w:szCs w:val="21"/>
          <w:highlight w:val="none"/>
        </w:rPr>
        <w:t xml:space="preserve">17．通知</w:t>
      </w:r>
      <w:r/>
    </w:p>
    <w:p>
      <w:pPr>
        <w:ind w:firstLine="420"/>
        <w:spacing w:line="360" w:lineRule="auto"/>
        <w:rPr>
          <w:color w:val="auto"/>
          <w:szCs w:val="21"/>
          <w:highlight w:val="none"/>
        </w:rPr>
      </w:pPr>
      <w:r>
        <w:rPr>
          <w:color w:val="auto"/>
          <w:szCs w:val="21"/>
          <w:highlight w:val="none"/>
        </w:rPr>
        <w:t xml:space="preserve">17.1本合同任何一方给另一方的通知都应以书面形式发送，而另一方应以书面形式确认并发送到对方明确的地址。</w:t>
      </w:r>
      <w:r/>
    </w:p>
    <w:p>
      <w:pPr>
        <w:ind w:firstLine="422"/>
        <w:spacing w:line="360" w:lineRule="auto"/>
        <w:rPr>
          <w:b/>
          <w:color w:val="auto"/>
          <w:szCs w:val="21"/>
          <w:highlight w:val="none"/>
        </w:rPr>
      </w:pPr>
      <w:r>
        <w:rPr>
          <w:b/>
          <w:color w:val="auto"/>
          <w:szCs w:val="21"/>
          <w:highlight w:val="none"/>
        </w:rPr>
        <w:t xml:space="preserve">18．知识产权及保密</w:t>
      </w:r>
      <w:r/>
    </w:p>
    <w:p>
      <w:pPr>
        <w:ind w:firstLine="420"/>
        <w:spacing w:line="360" w:lineRule="auto"/>
        <w:rPr>
          <w:color w:val="auto"/>
          <w:szCs w:val="21"/>
          <w:highlight w:val="none"/>
        </w:rPr>
      </w:pPr>
      <w:r>
        <w:rPr>
          <w:color w:val="auto"/>
          <w:szCs w:val="21"/>
          <w:highlight w:val="none"/>
        </w:rPr>
        <w:t xml:space="preserve">18.1</w:t>
      </w:r>
      <w:r>
        <w:rPr>
          <w:color w:val="auto"/>
          <w:highlight w:val="none"/>
        </w:rPr>
        <w:t xml:space="preserve"> </w:t>
      </w:r>
      <w:r>
        <w:rPr>
          <w:color w:val="auto"/>
          <w:szCs w:val="21"/>
          <w:highlight w:val="none"/>
        </w:rPr>
        <w:t xml:space="preserve">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firstLine="420"/>
        <w:spacing w:line="360" w:lineRule="auto"/>
        <w:rPr>
          <w:color w:val="auto"/>
          <w:szCs w:val="21"/>
          <w:highlight w:val="none"/>
        </w:rPr>
      </w:pPr>
      <w:r>
        <w:rPr>
          <w:color w:val="auto"/>
          <w:szCs w:val="21"/>
          <w:highlight w:val="none"/>
        </w:rPr>
        <w:t xml:space="preserve">18.2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同时，甲方有权选择解除合同或不解除合同要求乙方提交符合合同要求的替代设计成果。</w:t>
      </w:r>
      <w:r/>
    </w:p>
    <w:p>
      <w:pPr>
        <w:ind w:firstLine="420"/>
        <w:spacing w:line="360" w:lineRule="auto"/>
        <w:rPr>
          <w:color w:val="auto"/>
          <w:szCs w:val="21"/>
          <w:highlight w:val="none"/>
        </w:rPr>
      </w:pPr>
      <w:r>
        <w:rPr>
          <w:color w:val="auto"/>
          <w:szCs w:val="21"/>
          <w:highlight w:val="none"/>
        </w:rPr>
        <w:t xml:space="preserve">18.3乙方应当保证其提交的成果符合国家及地方现有法律、法规、规章政策及行业规范之要求、符合本合同目的。如果因不符合上述要求给甲方或其他第三人造成损失的，乙方应予以赔偿。</w:t>
      </w:r>
      <w:r/>
    </w:p>
    <w:p>
      <w:pPr>
        <w:ind w:firstLine="420"/>
        <w:spacing w:line="360" w:lineRule="auto"/>
        <w:rPr>
          <w:color w:val="auto"/>
          <w:szCs w:val="21"/>
          <w:highlight w:val="none"/>
        </w:rPr>
      </w:pPr>
      <w:r>
        <w:rPr>
          <w:color w:val="auto"/>
          <w:szCs w:val="21"/>
          <w:highlight w:val="none"/>
        </w:rPr>
        <w:t xml:space="preserve">18.4对于乙方为</w:t>
      </w:r>
      <w:r>
        <w:rPr>
          <w:color w:val="auto"/>
          <w:szCs w:val="21"/>
          <w:highlight w:val="none"/>
        </w:rPr>
        <w:t xml:space="preserve">履行本合同向甲方提供的所有阶段性和最终设计成果，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设计成果。未经甲方事前书面许可，乙方不得对上述成果做任何复制、修改、转让、自行或提供给他人做任何方式的使用。乙方违反本条规定的，甲方有权单方解除本合同，乙方应返还甲方所有设计费并赔偿甲方因此受到的损失。</w:t>
      </w:r>
      <w:r/>
    </w:p>
    <w:p>
      <w:pPr>
        <w:ind w:firstLine="420"/>
        <w:spacing w:line="360" w:lineRule="auto"/>
        <w:rPr>
          <w:color w:val="auto"/>
          <w:szCs w:val="21"/>
          <w:highlight w:val="none"/>
        </w:rPr>
      </w:pPr>
      <w:r>
        <w:rPr>
          <w:color w:val="auto"/>
          <w:szCs w:val="21"/>
          <w:highlight w:val="none"/>
        </w:rPr>
        <w:t xml:space="preserve">18.5乙方保证其向甲方提交的成果的组成部分或全部不会侵犯他人的合法权益，也不存在技术缺陷，否则，甲方有权要求乙方赔偿因此给甲方造成的全部损失。</w:t>
      </w:r>
      <w:r/>
    </w:p>
    <w:p>
      <w:pPr>
        <w:ind w:firstLine="420"/>
        <w:spacing w:line="360" w:lineRule="auto"/>
        <w:rPr>
          <w:color w:val="auto"/>
          <w:szCs w:val="21"/>
          <w:highlight w:val="none"/>
        </w:rPr>
      </w:pPr>
      <w:r>
        <w:rPr>
          <w:color w:val="auto"/>
          <w:szCs w:val="21"/>
          <w:highlight w:val="none"/>
        </w:rPr>
        <w:t xml:space="preserve">18.6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r/>
    </w:p>
    <w:p>
      <w:pPr>
        <w:ind w:firstLine="420"/>
        <w:spacing w:line="360" w:lineRule="auto"/>
        <w:rPr>
          <w:color w:val="auto"/>
          <w:szCs w:val="21"/>
          <w:highlight w:val="none"/>
        </w:rPr>
      </w:pPr>
      <w:r>
        <w:rPr>
          <w:color w:val="auto"/>
          <w:szCs w:val="21"/>
          <w:highlight w:val="none"/>
        </w:rPr>
        <w:t xml:space="preserve">18.7如甲方的知识产权遭到他人侵犯的，乙方应协助甲方维护其合法权</w:t>
      </w:r>
      <w:r>
        <w:rPr>
          <w:rFonts w:hint="eastAsia"/>
          <w:color w:val="auto"/>
          <w:szCs w:val="21"/>
          <w:highlight w:val="none"/>
        </w:rPr>
        <w:t xml:space="preserve">。</w:t>
      </w:r>
      <w:r/>
    </w:p>
    <w:p>
      <w:pPr>
        <w:ind w:firstLine="422"/>
        <w:spacing w:line="360" w:lineRule="auto"/>
        <w:rPr>
          <w:b/>
          <w:color w:val="auto"/>
          <w:szCs w:val="21"/>
          <w:highlight w:val="none"/>
        </w:rPr>
      </w:pPr>
      <w:r>
        <w:rPr>
          <w:b/>
          <w:color w:val="auto"/>
          <w:szCs w:val="21"/>
          <w:highlight w:val="none"/>
        </w:rPr>
        <w:t xml:space="preserve">19．合同生效及其他</w:t>
      </w:r>
      <w:r/>
    </w:p>
    <w:p>
      <w:pPr>
        <w:ind w:firstLine="420"/>
        <w:spacing w:line="360" w:lineRule="auto"/>
        <w:rPr>
          <w:color w:val="auto"/>
          <w:szCs w:val="21"/>
          <w:highlight w:val="none"/>
        </w:rPr>
      </w:pPr>
      <w:r>
        <w:rPr>
          <w:color w:val="auto"/>
          <w:szCs w:val="21"/>
          <w:highlight w:val="none"/>
        </w:rPr>
        <w:t xml:space="preserve">19.1除合同中另有说明，本合同经双方法定代表人或其委托代理人签字并加盖公章或合同专用章后，即开始生效。</w:t>
      </w:r>
      <w:r/>
    </w:p>
    <w:p>
      <w:pPr>
        <w:ind w:firstLine="420"/>
        <w:spacing w:line="360" w:lineRule="auto"/>
        <w:rPr>
          <w:color w:val="auto"/>
          <w:szCs w:val="21"/>
          <w:highlight w:val="none"/>
        </w:rPr>
      </w:pPr>
      <w:r>
        <w:rPr>
          <w:color w:val="auto"/>
          <w:szCs w:val="21"/>
          <w:highlight w:val="none"/>
        </w:rPr>
        <w:t xml:space="preserve">19.2</w:t>
      </w:r>
      <w:r>
        <w:rPr>
          <w:rFonts w:hint="eastAsia"/>
          <w:color w:val="auto"/>
          <w:szCs w:val="21"/>
          <w:highlight w:val="none"/>
        </w:rPr>
        <w:t xml:space="preserve">本合同一式肆份，甲方贰份，乙方贰份。</w:t>
      </w:r>
      <w:r/>
    </w:p>
    <w:p>
      <w:pPr>
        <w:ind w:firstLine="422"/>
        <w:spacing w:line="360" w:lineRule="auto"/>
        <w:rPr>
          <w:b/>
          <w:color w:val="auto"/>
          <w:szCs w:val="21"/>
          <w:highlight w:val="none"/>
        </w:rPr>
      </w:pPr>
      <w:r>
        <w:rPr>
          <w:b/>
          <w:color w:val="auto"/>
          <w:szCs w:val="21"/>
          <w:highlight w:val="none"/>
        </w:rPr>
        <w:t xml:space="preserve">20．合同文件及解释顺序</w:t>
      </w:r>
      <w:r/>
    </w:p>
    <w:p>
      <w:pPr>
        <w:ind w:firstLine="420"/>
        <w:spacing w:line="360" w:lineRule="auto"/>
        <w:rPr>
          <w:color w:val="auto"/>
          <w:szCs w:val="21"/>
          <w:highlight w:val="none"/>
        </w:rPr>
      </w:pPr>
      <w:r>
        <w:rPr>
          <w:color w:val="auto"/>
          <w:szCs w:val="21"/>
          <w:highlight w:val="none"/>
        </w:rPr>
        <w:t xml:space="preserve">下列文件均为合同组成文件</w:t>
      </w:r>
      <w:r/>
    </w:p>
    <w:p>
      <w:pPr>
        <w:ind w:firstLine="420"/>
        <w:spacing w:line="360" w:lineRule="auto"/>
        <w:rPr>
          <w:color w:val="auto"/>
          <w:szCs w:val="21"/>
          <w:highlight w:val="none"/>
        </w:rPr>
      </w:pPr>
      <w:r>
        <w:rPr>
          <w:color w:val="auto"/>
          <w:szCs w:val="21"/>
          <w:highlight w:val="none"/>
        </w:rPr>
        <w:t xml:space="preserve">20.1招标文件（包括澄清、答疑、修改和补充通知）</w:t>
      </w:r>
      <w:r/>
    </w:p>
    <w:p>
      <w:pPr>
        <w:ind w:firstLine="420"/>
        <w:spacing w:line="360" w:lineRule="auto"/>
        <w:rPr>
          <w:color w:val="auto"/>
          <w:szCs w:val="21"/>
          <w:highlight w:val="none"/>
        </w:rPr>
      </w:pPr>
      <w:r>
        <w:rPr>
          <w:color w:val="auto"/>
          <w:szCs w:val="21"/>
          <w:highlight w:val="none"/>
        </w:rPr>
        <w:t xml:space="preserve">20.2投标文件（包括修改、澄清）</w:t>
      </w:r>
      <w:r/>
    </w:p>
    <w:p>
      <w:pPr>
        <w:ind w:firstLine="420"/>
        <w:spacing w:line="360" w:lineRule="auto"/>
        <w:rPr>
          <w:color w:val="auto"/>
          <w:szCs w:val="21"/>
          <w:highlight w:val="none"/>
        </w:rPr>
      </w:pPr>
      <w:r>
        <w:rPr>
          <w:color w:val="auto"/>
          <w:szCs w:val="21"/>
          <w:highlight w:val="none"/>
        </w:rPr>
        <w:t xml:space="preserve">20.3中标通知书（包括投标人“回执”）</w:t>
      </w:r>
      <w:r/>
    </w:p>
    <w:p>
      <w:pPr>
        <w:ind w:firstLine="420"/>
        <w:spacing w:line="360" w:lineRule="auto"/>
        <w:rPr>
          <w:color w:val="auto"/>
          <w:szCs w:val="21"/>
          <w:highlight w:val="none"/>
        </w:rPr>
      </w:pPr>
      <w:r>
        <w:rPr>
          <w:color w:val="auto"/>
          <w:szCs w:val="21"/>
          <w:highlight w:val="none"/>
        </w:rPr>
        <w:t xml:space="preserve">20.4双方商定的补充协议或合同期内双方签署的备忘录</w:t>
      </w:r>
      <w:r/>
    </w:p>
    <w:p>
      <w:pPr>
        <w:ind w:firstLine="420"/>
        <w:spacing w:line="360" w:lineRule="auto"/>
        <w:rPr>
          <w:color w:val="auto"/>
          <w:szCs w:val="21"/>
          <w:highlight w:val="none"/>
        </w:rPr>
      </w:pPr>
      <w:r>
        <w:rPr>
          <w:color w:val="auto"/>
          <w:szCs w:val="21"/>
          <w:highlight w:val="none"/>
        </w:rPr>
        <w:t xml:space="preserve">20.5与本合同有关的其他文件</w:t>
      </w:r>
      <w:r/>
    </w:p>
    <w:p>
      <w:pPr>
        <w:ind w:firstLine="420"/>
        <w:jc w:val="left"/>
        <w:spacing w:line="360" w:lineRule="auto"/>
        <w:rPr>
          <w:b/>
          <w:bCs/>
          <w:color w:val="auto"/>
          <w:szCs w:val="21"/>
          <w:highlight w:val="none"/>
          <w:lang w:val="zh-CN"/>
        </w:rPr>
      </w:pPr>
      <w:r>
        <w:rPr>
          <w:b/>
          <w:bCs/>
          <w:color w:val="auto"/>
          <w:szCs w:val="21"/>
          <w:highlight w:val="none"/>
          <w:lang w:val="zh-CN"/>
        </w:rPr>
        <w:t xml:space="preserve">21</w:t>
      </w:r>
      <w:r>
        <w:rPr>
          <w:b/>
          <w:color w:val="auto"/>
          <w:szCs w:val="21"/>
          <w:highlight w:val="none"/>
        </w:rPr>
        <w:t xml:space="preserve">．</w:t>
      </w:r>
      <w:r>
        <w:rPr>
          <w:b/>
          <w:bCs/>
          <w:color w:val="auto"/>
          <w:szCs w:val="21"/>
          <w:highlight w:val="none"/>
          <w:lang w:val="zh-CN"/>
        </w:rPr>
        <w:t xml:space="preserve">合同的变更和终止</w:t>
      </w:r>
      <w:r/>
    </w:p>
    <w:p>
      <w:pPr>
        <w:ind w:firstLine="420"/>
        <w:jc w:val="left"/>
        <w:spacing w:line="360" w:lineRule="auto"/>
        <w:rPr>
          <w:color w:val="auto"/>
          <w:szCs w:val="21"/>
          <w:highlight w:val="none"/>
          <w:lang w:val="zh-CN"/>
        </w:rPr>
      </w:pPr>
      <w:r>
        <w:rPr>
          <w:color w:val="auto"/>
          <w:szCs w:val="21"/>
          <w:highlight w:val="none"/>
          <w:lang w:val="zh-CN"/>
        </w:rPr>
        <w:t xml:space="preserve">21.1 除《政府采购法》第50条第二款规定的情形外，本合同一经签订，甲乙双方不得擅自变更、中止或终止合同。</w:t>
      </w:r>
      <w:r/>
    </w:p>
    <w:p>
      <w:pPr>
        <w:ind w:firstLine="420"/>
        <w:jc w:val="left"/>
        <w:spacing w:line="360" w:lineRule="auto"/>
        <w:rPr>
          <w:color w:val="auto"/>
          <w:szCs w:val="21"/>
          <w:highlight w:val="none"/>
        </w:rPr>
      </w:pPr>
      <w:r>
        <w:rPr>
          <w:color w:val="auto"/>
          <w:szCs w:val="21"/>
          <w:highlight w:val="none"/>
          <w:lang w:val="zh-CN"/>
        </w:rPr>
        <w:t xml:space="preserve">21.2 </w:t>
      </w:r>
      <w:r>
        <w:rPr>
          <w:color w:val="auto"/>
          <w:szCs w:val="21"/>
          <w:highlight w:val="none"/>
        </w:rPr>
        <w:t xml:space="preserve">除发生法律规定的不能预见、不能避免并不能克服的客观情况外，甲乙双方不得放弃或拒绝履行合同。乙方放弃或拒绝履行合同，保证金不予退还，在三年内不得参加南京市江宁区政府采购中心组织的政府采购活动。</w:t>
      </w:r>
      <w:r/>
    </w:p>
    <w:p>
      <w:pPr>
        <w:ind w:firstLine="420"/>
        <w:jc w:val="left"/>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color w:val="auto"/>
          <w:szCs w:val="21"/>
          <w:highlight w:val="none"/>
        </w:rPr>
      </w:pPr>
      <w:r>
        <w:rPr>
          <w:rFonts w:hint="eastAsia"/>
          <w:color w:val="auto"/>
          <w:szCs w:val="21"/>
          <w:highlight w:val="none"/>
        </w:rPr>
        <w:t xml:space="preserve">附件1：采购项目需求</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color w:val="auto"/>
          <w:szCs w:val="21"/>
          <w:highlight w:val="none"/>
        </w:rPr>
      </w:pPr>
      <w:r>
        <w:rPr>
          <w:color w:val="auto"/>
          <w:szCs w:val="21"/>
          <w:highlight w:val="none"/>
        </w:rPr>
      </w:r>
      <w:r/>
    </w:p>
    <w:tbl>
      <w:tblPr>
        <w:tblStyle w:val="69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甲方（采购人）：南京市规划和自然资源局江宁分局（盖章）</w:t>
            </w:r>
            <w:r/>
          </w:p>
          <w:p>
            <w:pPr>
              <w:jc w:val="left"/>
              <w:rPr>
                <w:bCs/>
                <w:color w:val="auto"/>
                <w:szCs w:val="21"/>
                <w:highlight w:val="none"/>
              </w:rPr>
            </w:pPr>
            <w:r>
              <w:rPr>
                <w:rFonts w:hint="eastAsia"/>
                <w:bCs/>
                <w:color w:val="auto"/>
                <w:szCs w:val="21"/>
                <w:highlight w:val="none"/>
              </w:rPr>
              <w:t xml:space="preserve">法定代表人或</w:t>
            </w:r>
            <w:r/>
          </w:p>
          <w:p>
            <w:pPr>
              <w:jc w:val="left"/>
              <w:rPr>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W w:w="4501" w:type="dxa"/>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bCs/>
                <w:color w:val="auto"/>
                <w:szCs w:val="21"/>
                <w:highlight w:val="none"/>
              </w:rPr>
            </w:pPr>
            <w:r>
              <w:rPr>
                <w:bCs/>
                <w:color w:val="auto"/>
                <w:szCs w:val="21"/>
                <w:highlight w:val="none"/>
              </w:rPr>
            </w:r>
            <w:r/>
          </w:p>
          <w:p>
            <w:pPr>
              <w:jc w:val="left"/>
              <w:rPr>
                <w:bCs/>
                <w:color w:val="auto"/>
                <w:szCs w:val="21"/>
                <w:highlight w:val="none"/>
              </w:rPr>
            </w:pPr>
            <w:r>
              <w:rPr>
                <w:rFonts w:hint="eastAsia"/>
                <w:bCs/>
                <w:color w:val="auto"/>
                <w:szCs w:val="21"/>
                <w:highlight w:val="none"/>
              </w:rPr>
              <w:t xml:space="preserve">法定代表人或</w:t>
            </w:r>
            <w:r/>
          </w:p>
          <w:p>
            <w:pPr>
              <w:jc w:val="left"/>
              <w:rPr>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jc w:val="left"/>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center"/>
        <w:spacing w:line="288" w:lineRule="auto"/>
        <w:rPr>
          <w:rFonts w:ascii="宋体" w:hAnsi="宋体"/>
          <w:b/>
          <w:color w:val="auto"/>
          <w:sz w:val="30"/>
          <w:highlight w:val="none"/>
        </w:rPr>
      </w:pPr>
      <w:r>
        <w:rPr>
          <w:rFonts w:hint="eastAsia" w:ascii="宋体" w:hAnsi="宋体"/>
          <w:b/>
          <w:color w:val="auto"/>
          <w:sz w:val="30"/>
          <w:highlight w:val="none"/>
        </w:rPr>
        <w:t xml:space="preserve">《*******合同》补充协议（合同附件）</w:t>
      </w:r>
      <w:r/>
    </w:p>
    <w:p>
      <w:pPr>
        <w:pStyle w:val="708"/>
        <w:jc w:val="left"/>
        <w:spacing w:before="120" w:after="120" w:line="288" w:lineRule="auto"/>
        <w:rPr>
          <w:rFonts w:hAnsi="宋体"/>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color w:val="auto"/>
          <w:sz w:val="30"/>
          <w:szCs w:val="30"/>
          <w:highlight w:val="none"/>
          <w:lang w:val="zh-CN"/>
        </w:rPr>
        <w:br w:type="page" w:clear="all"/>
      </w:r>
      <w:r/>
    </w:p>
    <w:p>
      <w:pPr>
        <w:spacing w:line="400" w:lineRule="exact"/>
        <w:rPr>
          <w:rFonts w:asciiTheme="minorEastAsia" w:hAnsiTheme="minorEastAsia" w:eastAsiaTheme="minorEastAsia" w:cstheme="minorEastAsia"/>
          <w:b/>
          <w:bCs/>
          <w:color w:val="auto"/>
          <w:sz w:val="30"/>
          <w:szCs w:val="30"/>
          <w:highlight w:val="none"/>
          <w:u w:val="single"/>
        </w:rPr>
        <w:outlineLvl w:val="1"/>
      </w:pPr>
      <w:r/>
      <w:bookmarkStart w:id="690" w:name="_Toc28"/>
      <w:r>
        <w:rPr>
          <w:rFonts w:hint="eastAsia" w:asciiTheme="minorEastAsia" w:hAnsiTheme="minorEastAsia" w:eastAsiaTheme="minorEastAsia" w:cstheme="minorEastAsia"/>
          <w:b/>
          <w:bCs/>
          <w:color w:val="auto"/>
          <w:sz w:val="30"/>
          <w:szCs w:val="30"/>
          <w:highlight w:val="none"/>
          <w:u w:val="single"/>
          <w:lang w:val="zh-CN"/>
        </w:rPr>
        <w:t xml:space="preserve">采购包</w:t>
      </w:r>
      <w:r>
        <w:rPr>
          <w:rFonts w:hint="eastAsia" w:asciiTheme="minorEastAsia" w:hAnsiTheme="minorEastAsia" w:eastAsiaTheme="minorEastAsia" w:cstheme="minorEastAsia"/>
          <w:b/>
          <w:bCs/>
          <w:color w:val="auto"/>
          <w:sz w:val="30"/>
          <w:szCs w:val="30"/>
          <w:highlight w:val="none"/>
          <w:u w:val="single"/>
        </w:rPr>
        <w:t xml:space="preserve">2：监理服务</w:t>
      </w:r>
      <w:r/>
      <w:bookmarkEnd w:id="690"/>
      <w:r/>
      <w:r/>
    </w:p>
    <w:p>
      <w:pPr>
        <w:ind w:firstLine="883"/>
        <w:jc w:val="center"/>
        <w:spacing w:line="360" w:lineRule="auto"/>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pStyle w:val="740"/>
        <w:ind w:firstLine="883"/>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pStyle w:val="740"/>
        <w:ind w:firstLine="480"/>
        <w:rPr>
          <w:color w:val="auto"/>
          <w:highlight w:val="none"/>
        </w:rPr>
      </w:pPr>
      <w:r>
        <w:rPr>
          <w:color w:val="auto"/>
          <w:highlight w:val="none"/>
        </w:rPr>
      </w:r>
      <w:r/>
    </w:p>
    <w:p>
      <w:pPr>
        <w:ind w:firstLine="1040"/>
        <w:jc w:val="center"/>
        <w:spacing w:line="360" w:lineRule="auto"/>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 xml:space="preserve">政府采购合同</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（供参考）</w:t>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 xml:space="preserve">项目名称 ：</w:t>
      </w:r>
      <w:r>
        <w:rPr>
          <w:rFonts w:hint="eastAsia" w:asciiTheme="minorEastAsia" w:hAnsiTheme="minorEastAsia" w:eastAsiaTheme="minorEastAsia" w:cstheme="minorEastAsia"/>
          <w:color w:val="auto"/>
          <w:sz w:val="36"/>
          <w:szCs w:val="36"/>
          <w:highlight w:val="none"/>
          <w:u w:val="single"/>
          <w:lang w:val="zh-CN"/>
        </w:rPr>
        <w:t xml:space="preserve">江宁区2026年度国土变更调查（含日常变更调查）</w:t>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 xml:space="preserve">项目编号</w:t>
      </w:r>
      <w:r>
        <w:rPr>
          <w:rFonts w:hint="eastAsia" w:asciiTheme="minorEastAsia" w:hAnsiTheme="minorEastAsia" w:eastAsiaTheme="minorEastAsia" w:cstheme="minorEastAsia"/>
          <w:color w:val="auto"/>
          <w:sz w:val="36"/>
          <w:szCs w:val="36"/>
          <w:highlight w:val="none"/>
          <w:lang w:val="zh-CN"/>
        </w:rPr>
        <w:t xml:space="preserve">：</w:t>
      </w:r>
      <w:r>
        <w:rPr>
          <w:rFonts w:hint="eastAsia" w:asciiTheme="minorEastAsia" w:hAnsiTheme="minorEastAsia" w:eastAsiaTheme="minorEastAsia" w:cstheme="minorEastAsia"/>
          <w:color w:val="auto"/>
          <w:sz w:val="36"/>
          <w:szCs w:val="36"/>
          <w:highlight w:val="none"/>
          <w:u w:val="single"/>
          <w:lang w:val="zh-CN"/>
        </w:rPr>
        <w:t xml:space="preserve">JSZC-320115-NJDX-G2026-0002</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 xml:space="preserve">采购包2</w:t>
      </w:r>
      <w:r>
        <w:rPr>
          <w:rFonts w:hint="eastAsia" w:asciiTheme="minorEastAsia" w:hAnsiTheme="minorEastAsia" w:eastAsiaTheme="minorEastAsia" w:cstheme="minorEastAsia"/>
          <w:color w:val="auto"/>
          <w:sz w:val="36"/>
          <w:szCs w:val="36"/>
          <w:highlight w:val="none"/>
          <w:lang w:val="zh-CN"/>
        </w:rPr>
        <w:t xml:space="preserve">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采购</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 xml:space="preserve">服务</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签订日期 ：</w:t>
      </w:r>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643"/>
        <w:jc w:val="center"/>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政府采购合同</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（具体合同条款由采购人和供应商依据采购文件及响应文件拟定，本件仅供格式参考）</w:t>
      </w:r>
      <w:r/>
    </w:p>
    <w:p>
      <w:pPr>
        <w:ind w:firstLine="420"/>
        <w:spacing w:line="360" w:lineRule="auto"/>
        <w:rPr>
          <w:color w:val="auto"/>
          <w:szCs w:val="21"/>
          <w:highlight w:val="none"/>
        </w:rPr>
      </w:pPr>
      <w:r>
        <w:rPr>
          <w:rFonts w:hint="eastAsia"/>
          <w:color w:val="auto"/>
          <w:szCs w:val="21"/>
          <w:highlight w:val="none"/>
        </w:rPr>
        <w:t xml:space="preserve">采购人：南京市规划和自然资源局江宁分局（以下称甲方）                       </w:t>
      </w:r>
      <w:r/>
    </w:p>
    <w:p>
      <w:pPr>
        <w:ind w:firstLine="420"/>
        <w:jc w:val="left"/>
        <w:spacing w:line="360" w:lineRule="auto"/>
        <w:rPr>
          <w:color w:val="auto"/>
          <w:szCs w:val="21"/>
          <w:highlight w:val="none"/>
        </w:rPr>
      </w:pPr>
      <w:r>
        <w:rPr>
          <w:rFonts w:hint="eastAsia"/>
          <w:color w:val="auto"/>
          <w:szCs w:val="21"/>
          <w:highlight w:val="none"/>
        </w:rPr>
        <w:t xml:space="preserve">住所地：南京市江宁区双龙大道1200号</w:t>
      </w:r>
      <w:r/>
    </w:p>
    <w:p>
      <w:pPr>
        <w:ind w:firstLine="420"/>
        <w:jc w:val="left"/>
        <w:spacing w:line="360" w:lineRule="auto"/>
        <w:rPr>
          <w:color w:val="auto"/>
          <w:szCs w:val="21"/>
          <w:highlight w:val="none"/>
        </w:rPr>
      </w:pPr>
      <w:r>
        <w:rPr>
          <w:rFonts w:hint="eastAsia"/>
          <w:color w:val="auto"/>
          <w:szCs w:val="21"/>
          <w:highlight w:val="none"/>
        </w:rPr>
        <w:t xml:space="preserve">供应商：（以下称乙方）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jc w:val="left"/>
        <w:spacing w:line="360" w:lineRule="auto"/>
        <w:rPr>
          <w:color w:val="auto"/>
          <w:szCs w:val="21"/>
          <w:highlight w:val="none"/>
        </w:rPr>
      </w:pPr>
      <w:r>
        <w:rPr>
          <w:color w:val="auto"/>
          <w:szCs w:val="21"/>
          <w:highlight w:val="none"/>
        </w:rPr>
        <w:t xml:space="preserve">根据《中华人民共和国政府采购法</w:t>
      </w:r>
      <w:r>
        <w:rPr>
          <w:rFonts w:hint="eastAsia"/>
          <w:color w:val="auto"/>
          <w:szCs w:val="21"/>
          <w:highlight w:val="none"/>
        </w:rPr>
        <w:t xml:space="preserve">》《</w:t>
      </w:r>
      <w:r>
        <w:rPr>
          <w:color w:val="auto"/>
          <w:szCs w:val="21"/>
          <w:highlight w:val="none"/>
        </w:rPr>
        <w:t xml:space="preserve">中华人民共和国</w:t>
      </w:r>
      <w:r>
        <w:rPr>
          <w:rFonts w:hint="eastAsia"/>
          <w:color w:val="auto"/>
          <w:szCs w:val="21"/>
          <w:highlight w:val="none"/>
        </w:rPr>
        <w:t xml:space="preserve">民法典</w:t>
      </w:r>
      <w:r>
        <w:rPr>
          <w:color w:val="auto"/>
          <w:szCs w:val="21"/>
          <w:highlight w:val="none"/>
        </w:rPr>
        <w:t xml:space="preserve">》等法律法规的规定，甲乙双方按照南京市江宁区政府采购中心的招标结果签订本合同。</w:t>
      </w:r>
      <w:r/>
    </w:p>
    <w:p>
      <w:pPr>
        <w:ind w:firstLine="422"/>
        <w:jc w:val="left"/>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一、合同内容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1、监理服务内容：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江宁区2026年度国土变更调查（含日常变更调查）项目调查服务的全过程进行监理。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2、合同履行期限：</w:t>
      </w:r>
      <w:r>
        <w:rPr>
          <w:rFonts w:hint="eastAsia" w:asciiTheme="minorEastAsia" w:hAnsiTheme="minorEastAsia" w:eastAsiaTheme="minorEastAsia" w:cstheme="minorEastAsia"/>
          <w:bCs/>
          <w:color w:val="auto"/>
          <w:szCs w:val="21"/>
          <w:highlight w:val="none"/>
        </w:rPr>
        <w:t xml:space="preserve">总服务期限约为12个月。若调查服务合同延期，则本合同期限延长至调查服务工作验收合格后。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3、服务范围：江宁区全域。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4、下列文件为本合同不可分割部分：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（1）成交通知书；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（2）乙方响应文件；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（3）采购文件及其附件；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（4）乙方在谈判过程中所作的其他承诺、声明、书面澄清等。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（5）合同附件（如有）。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w:t>
      </w:r>
      <w:r>
        <w:rPr>
          <w:rFonts w:hint="eastAsia" w:ascii="宋体" w:hAnsi="宋体" w:cs="宋体"/>
          <w:b/>
          <w:color w:val="auto"/>
          <w:szCs w:val="21"/>
          <w:highlight w:val="none"/>
        </w:rPr>
        <w:t xml:space="preserve">合同价格与支付</w:t>
      </w:r>
      <w:r/>
    </w:p>
    <w:p>
      <w:pPr>
        <w:ind w:firstLine="420"/>
        <w:spacing w:line="280" w:lineRule="exact"/>
        <w:rPr>
          <w:color w:val="auto"/>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本合同最终</w:t>
      </w:r>
      <w:r>
        <w:rPr>
          <w:rFonts w:hint="eastAsia" w:ascii="宋体" w:hAnsi="宋体" w:cs="宋体"/>
          <w:color w:val="auto"/>
          <w:szCs w:val="21"/>
          <w:highlight w:val="none"/>
        </w:rPr>
        <w:t xml:space="preserve">合同未人民币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；包含完成该服务项目所需的所有费用，包括但不限于人员费用、交通费、管理费、维护、保险、合理利润、税金、政策性文件规定及合同包含的所有风险、责任等各项应有费用。</w:t>
      </w:r>
      <w:r>
        <w:rPr>
          <w:rFonts w:hint="eastAsia"/>
          <w:b/>
          <w:bCs/>
          <w:color w:val="auto"/>
          <w:szCs w:val="21"/>
          <w:highlight w:val="none"/>
        </w:rPr>
        <w:t xml:space="preserve">合同履约过程中，合同总价不做</w:t>
      </w:r>
      <w:r>
        <w:rPr>
          <w:rFonts w:hint="eastAsia" w:ascii="宋体" w:hAnsi="宋体" w:cs="宋体"/>
          <w:b/>
          <w:color w:val="auto"/>
          <w:szCs w:val="21"/>
          <w:highlight w:val="none"/>
        </w:rPr>
        <w:t xml:space="preserve">变更。</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2、支付方式：</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项目合同签订之日起30日内，支付合同额的40%；调查服务项目经采购人验收合格，乙方提交所有监理报告后，余款全部付清。</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注：采购人每次付款前，供应商应向甲方开具等额发票。否则，采购人有权拒绝付款。</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3、根据现行税法对本合同有关的一切税费均由乙方承担。</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4、支付方式：银行转账、银行汇票或转账支票，具体支付方式甲方有权根据财务安排自主选择。</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5、乙方收款账户： </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开 户 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line="360" w:lineRule="auto"/>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收款账号：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三、人员要求</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1、甲方不允许乙方在项目实施过程中更换现场负责人，如果乙方由于无法控制的原因，必须变更现场负责人时，乙方应提供一名具有同等或更高资历的人员经甲方书面同意后方可替换该职位。</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甲方不允许乙方在项目建设过程中更换主要监理人员（总监、总监代表），如果乙方由于无法控制的原因必须变更主要技术负责人时，乙方应提供一名具有同等或更高资历的人员经甲方书面同意后方可替换该职位。</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3、如果甲方发现乙方现场服务人员存在以下问题，甲方有权书面要求乙方更换该人员。乙方在收到甲方书面通知后，必须及时更换该人员。此外，新更换人员的资历应预先受到甲方认可。</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（1）该人员被发现犯有严重的错误或被指控有犯罪行为；</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（2）有充分资料显示该人员能力与表现无法胜任承担的工作任务。</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4、所有人员的变更均不影响合同价格及合同履约期限。</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四、双方义务和责任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1、甲方义务和责任：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（1）甲方负责提供乙方完成本项目所需的资料，负责相关工作间的协调工作。</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（2）甲方若认为乙方履行合同不力严重影响工程进度，甲方有权要求更换乙方主要服务人员。</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（3）审定乙方技术方案及履行合同情况。</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（4）甲方可指派代表作为项目负责人，与乙方进行及时的联络并监督、协调服务的执行情况。</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（5）无异议情形下，按合同规定向乙方支付服务费用。</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（6）服务期内，如遇特殊情况，甲方有权对监理服务范围、内容及界面做出调整，乙方需无条件服从。</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2、乙方义务和责任：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（1）乙方应按国家技术规范、标准、规程及甲方提出的技术及管理要求进行监理服务。</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（2）乙方应保护甲方及本监理合同涉及的项目有关的知识产权，不得向第三人泄露、转让项目建设单位提交的资料。如发生以上情况并给甲方造成经济损失，甲方有权向乙方索赔。</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（3）乙方履行监理服务时，有权对监理项目存在的问题发出相关监理指令，并且与甲方确认下签发付款凭证、开工、停工、通知单、警告单等。</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（4）乙方向甲方收取的报酬，是其关于本合同的唯一报酬，乙方及其人员不得接受与本合同书有关的或与其承担义务有关的其他津贴、回扣等报酬和非直接支付。</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（5）乙方的监理服务应按照“守法、公平、公正、独立”的原则，开展信息监理工作，维护甲方的合法权益。</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（6）乙方在监理过程中因违反国家法律法规，造成重大质量、安全事故的，应承担相应的经济责任和法律责任。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（7）乙方应根据工作计划及要求及时完成工作并将符合质量要求的文件和图纸资料成果提交给甲方。</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（8）对甲方提出的对响应文件的技术方案、项目人员及项目要求等进行的必要调整和完善意见应积极响应。</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（9）乙方应自己负责实施合同期间其工作人员的食宿、通讯、差旅、交通、水电、资料收集以及用工器具等产生的一切费用。</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（10）乙方负责安全施工，对作业人员安全承担全部责任。乙方随时向甲方报告工作进展情况，发现问题应及时采取措施，保证工作顺利开展。</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（11）响应文件中明确为项目组人员与进场作业人员一致，未经甲方书面同意不得随意更换，如发现未经甲方许可随意更换服务人员，按乙方违约处理。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（12）乙方进场作业人员应服从甲方的现场工作规定和管理制度，对甲方的监督、检查工作应予以积极配合。如果乙方人员不服从甲方管理造成严重后果的，甲方有权解除合同并提出索赔。</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五、质量保证</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1、本项目作业必须符合江苏省、苏州市有关规范、规程和相关技术文件，以及符合“采购文件”要求及响应文件承诺，提交成果资料应详实、准确、全面、科学合理。</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六、违约责任</w:t>
      </w:r>
      <w:r/>
    </w:p>
    <w:p>
      <w:pPr>
        <w:ind w:firstLine="420"/>
        <w:jc w:val="left"/>
        <w:spacing w:line="360" w:lineRule="auto"/>
        <w:tabs>
          <w:tab w:val="left" w:pos="540" w:leader="none"/>
        </w:tabs>
        <w:rPr>
          <w:rFonts w:ascii="宋体" w:hAnsi="宋体" w:cs="宋体"/>
          <w:color w:val="auto"/>
          <w:szCs w:val="21"/>
          <w:highlight w:val="none"/>
        </w:rPr>
      </w:pPr>
      <w:r/>
      <w:r/>
      <w:r/>
      <w:r/>
      <w:r/>
      <w:r/>
      <w:r>
        <w:rPr>
          <w:rFonts w:hint="eastAsia" w:ascii="宋体" w:hAnsi="宋体" w:cs="宋体"/>
          <w:color w:val="auto"/>
          <w:szCs w:val="21"/>
          <w:highlight w:val="none"/>
        </w:rPr>
        <w:t xml:space="preserve">甲乙双方按照《中华人民共和国民法典》的规定承担违约责任。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1、甲方违约责任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（1）合同签订后，由于甲方项目停止而终止合同的，向乙方偿付预算服务费的5%；乙方已进入现场作业，甲方应按完成的实际工作量支付服务费，并按预算服务费的5%向乙方偿付违约金。</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（2）甲方无故逾期支付货款的，每逾期1天应向乙方偿付应付价款总额0.5%的滞纳金，但滞纳金总额累计不得超过应付价款总额的5％；一旦滞纳金总额累计达到应付价款总额的5%，乙方有权解除合同。</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2、乙方违约责任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（1）合同签订后，如乙方擅自中途停止或解除合同，向甲方偿付预算服务费5%；</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（2）乙方应对自己承担的质量和进度负责，如超过合同规定的工期或提交的成果经检查验收后发现其质量不符合规定的技术要求，甲方有权终止合同，并拒绝支付该服务费用，由此产生的损失由乙方负责。</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乙方逾期交付成果的，每逾期1天应向甲方偿付逾期交付成果总额0.5%的违约金，但上述违约金累计不得超过逾期交付成果总额的5%；一旦违约金总额累计达到逾期交付货物货款总额的5%，甲方有权解除合同及不予支付任何款项。</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（4）对于甲方提供的图纸资料、技术资料和资料以及属于甲方的成果，乙方有保密义务，不得向第三方以任何方式泄漏，否则，乙方按合同额的100%赔偿损失并承担法律责任。</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（5）乙方擅自转包、分包本合同标的，甲方有权解除合同及不予支付任何款项，乙方承担服务费的5%的违约金。</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（6）乙方未经甲方书面同意擅自变更人员，视为违约，承担上述条款中的违约责任。</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七、不可抗力</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w:t>
      </w:r>
      <w:r/>
      <w:r/>
      <w:r/>
      <w:r/>
      <w:r/>
      <w:r>
        <w:rPr>
          <w:rFonts w:hint="eastAsia" w:ascii="宋体" w:hAnsi="宋体" w:cs="宋体"/>
          <w:color w:val="auto"/>
          <w:szCs w:val="21"/>
          <w:highlight w:val="none"/>
        </w:rPr>
        <w:t xml:space="preserve">不可抗力，是指不能预见、不能避免并不能克服的客观情况，如战争、动乱、瘟疫、严重火灾、洪水、地震、风暴或其他自然灾害等。</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3、发生不可抗力事件，任何一方均不对因不可抗力无法履行或迟延履行本合同义务而使另一方蒙受的任何损失承担责任，法律另有规定的除外。</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4、合同各方应根据不可抗力对本合同履行的影响程度，协商确定是否终止本合同或是继续履行本合同。</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八、其它</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1、法律和法规</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本合同必须服从国家的现行法律和法规，对合同的解释应以国家的现行法律和法规为准。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2、乙方提交的成果有下列情形之一的，视为乙方违约，甲方有权终止合同及不予支付任何款项：</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（1）提交的成果不符合采购文件规定的。</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（2）提交的成果和文字辨认不清，内容不全或粗制滥造的。</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（3）未经甲方书面同意，逾期上报成果的。</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3、争端的解决：</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可向甲方所在地人民法院提起诉讼。</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4、保密和知识产权</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本项目的交付物及交付物中所有版权、专利权、设计、方法、技术、工艺及文档材料。</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甲方提供/披露的各类技术、信息数据、商业资料、规格说明、图纸、文件及专有技术等。</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（2）乙方不得以任何形式侵害甲方和被监理方的知识产权。</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九、合同的解除和转让</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1、甲方和乙方协商一致，可以解除合同。</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2、有下列情形之一，合同一方可以解除合同：</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3、有权解除合同的一方，应当在违约事实或不可抗力发生之后十天内书面通知对方提出解除合同，合同在书面通知到达对方时或显示对方已获悉时解除。</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4、合同的部分和全部都不得转让等，否则视为乙方违约。</w:t>
      </w:r>
      <w:r/>
    </w:p>
    <w:p>
      <w:pPr>
        <w:ind w:firstLine="422"/>
        <w:jc w:val="left"/>
        <w:spacing w:line="360" w:lineRule="auto"/>
        <w:tabs>
          <w:tab w:val="left" w:pos="5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十、未尽事宜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1、本合同经甲乙双方法定代表人或其代理人签字并加盖公章（或合同章）后生效，多页合同需甲、乙、采购代理机构加盖骑缝章。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3、未尽事宜参照《中华人民共和国民法典》《中华人民共和国招标投标法》等相关法律法规之规定解释。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4、本合同一式肆份，甲方贰份，乙方贰份。</w:t>
      </w:r>
      <w:r/>
    </w:p>
    <w:p>
      <w:pPr>
        <w:ind w:firstLine="420"/>
        <w:jc w:val="left"/>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color w:val="auto"/>
          <w:szCs w:val="21"/>
          <w:highlight w:val="none"/>
        </w:rPr>
      </w:pPr>
      <w:r>
        <w:rPr>
          <w:rFonts w:hint="eastAsia"/>
          <w:color w:val="auto"/>
          <w:szCs w:val="21"/>
          <w:highlight w:val="none"/>
        </w:rPr>
        <w:t xml:space="preserve">附件1：采购项目需求</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color w:val="auto"/>
          <w:szCs w:val="21"/>
          <w:highlight w:val="none"/>
        </w:rPr>
      </w:pPr>
      <w:r>
        <w:rPr>
          <w:color w:val="auto"/>
          <w:szCs w:val="21"/>
          <w:highlight w:val="none"/>
        </w:rPr>
      </w:r>
      <w:r/>
    </w:p>
    <w:tbl>
      <w:tblPr>
        <w:tblStyle w:val="69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甲方（采购人）：南京市规划和自然资源局江宁分局（盖章）</w:t>
            </w:r>
            <w:r/>
          </w:p>
          <w:p>
            <w:pPr>
              <w:jc w:val="left"/>
              <w:rPr>
                <w:bCs/>
                <w:color w:val="auto"/>
                <w:szCs w:val="21"/>
                <w:highlight w:val="none"/>
              </w:rPr>
            </w:pPr>
            <w:r>
              <w:rPr>
                <w:rFonts w:hint="eastAsia"/>
                <w:bCs/>
                <w:color w:val="auto"/>
                <w:szCs w:val="21"/>
                <w:highlight w:val="none"/>
              </w:rPr>
              <w:t xml:space="preserve">法定代表人或</w:t>
            </w:r>
            <w:r/>
          </w:p>
          <w:p>
            <w:pPr>
              <w:jc w:val="left"/>
              <w:rPr>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W w:w="4501" w:type="dxa"/>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bCs/>
                <w:color w:val="auto"/>
                <w:szCs w:val="21"/>
                <w:highlight w:val="none"/>
              </w:rPr>
            </w:pPr>
            <w:r>
              <w:rPr>
                <w:bCs/>
                <w:color w:val="auto"/>
                <w:szCs w:val="21"/>
                <w:highlight w:val="none"/>
              </w:rPr>
            </w:r>
            <w:r/>
          </w:p>
          <w:p>
            <w:pPr>
              <w:jc w:val="left"/>
              <w:rPr>
                <w:bCs/>
                <w:color w:val="auto"/>
                <w:szCs w:val="21"/>
                <w:highlight w:val="none"/>
              </w:rPr>
            </w:pPr>
            <w:r>
              <w:rPr>
                <w:rFonts w:hint="eastAsia"/>
                <w:bCs/>
                <w:color w:val="auto"/>
                <w:szCs w:val="21"/>
                <w:highlight w:val="none"/>
              </w:rPr>
              <w:t xml:space="preserve">法定代表人或</w:t>
            </w:r>
            <w:r/>
          </w:p>
          <w:p>
            <w:pPr>
              <w:jc w:val="left"/>
              <w:rPr>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jc w:val="left"/>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center"/>
        <w:spacing w:line="288" w:lineRule="auto"/>
        <w:rPr>
          <w:rFonts w:ascii="宋体" w:hAnsi="宋体"/>
          <w:b/>
          <w:color w:val="auto"/>
          <w:sz w:val="30"/>
          <w:highlight w:val="none"/>
        </w:rPr>
      </w:pPr>
      <w:r>
        <w:rPr>
          <w:rFonts w:hint="eastAsia" w:ascii="宋体" w:hAnsi="宋体"/>
          <w:b/>
          <w:color w:val="auto"/>
          <w:sz w:val="30"/>
          <w:highlight w:val="none"/>
        </w:rPr>
        <w:t xml:space="preserve">《*******合同》补充协议（合同附件）</w:t>
      </w:r>
      <w:r/>
    </w:p>
    <w:p>
      <w:pPr>
        <w:pStyle w:val="708"/>
        <w:jc w:val="left"/>
        <w:spacing w:before="120" w:after="120" w:line="288" w:lineRule="auto"/>
        <w:rPr>
          <w:rFonts w:hAnsi="宋体"/>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pStyle w:val="740"/>
        <w:ind w:firstLine="480"/>
        <w:rPr>
          <w:color w:val="auto"/>
          <w:highlight w:val="none"/>
        </w:rPr>
      </w:pPr>
      <w:r>
        <w:rPr>
          <w:color w:val="auto"/>
          <w:highlight w:val="none"/>
        </w:rPr>
      </w:r>
      <w:r/>
    </w:p>
    <w:p>
      <w:pPr>
        <w:pStyle w:val="687"/>
        <w:ind w:firstLine="602"/>
        <w:jc w:val="center"/>
        <w:spacing w:before="0" w:after="0" w:line="240" w:lineRule="auto"/>
        <w:rPr>
          <w:rFonts w:asciiTheme="minorEastAsia" w:hAnsiTheme="minorEastAsia" w:eastAsiaTheme="minorEastAsia" w:cstheme="minorEastAsia"/>
          <w:color w:val="auto"/>
          <w:highlight w:val="none"/>
          <w:lang w:val="zh-CN"/>
        </w:rPr>
      </w:pPr>
      <w:r/>
      <w:bookmarkStart w:id="691" w:name="_Toc29"/>
      <w:r>
        <w:rPr>
          <w:rFonts w:hint="eastAsia" w:asciiTheme="minorEastAsia" w:hAnsiTheme="minorEastAsia" w:eastAsiaTheme="minorEastAsia" w:cstheme="minorEastAsia"/>
          <w:bCs w:val="0"/>
          <w:color w:val="auto"/>
          <w:sz w:val="30"/>
          <w:szCs w:val="30"/>
          <w:highlight w:val="none"/>
          <w:lang w:val="zh-CN"/>
        </w:rPr>
        <w:br w:type="page" w:clear="all"/>
      </w:r>
      <w:r>
        <w:rPr>
          <w:rFonts w:hint="eastAsia" w:asciiTheme="minorEastAsia" w:hAnsiTheme="minorEastAsia" w:eastAsiaTheme="minorEastAsia" w:cstheme="minorEastAsia"/>
          <w:bCs w:val="0"/>
          <w:color w:val="auto"/>
          <w:sz w:val="30"/>
          <w:szCs w:val="30"/>
          <w:highlight w:val="none"/>
          <w:lang w:val="zh-CN"/>
        </w:rPr>
        <w:t xml:space="preserve">第六章 </w:t>
      </w:r>
      <w:r>
        <w:rPr>
          <w:rFonts w:hint="eastAsia" w:asciiTheme="minorEastAsia" w:hAnsiTheme="minorEastAsia" w:eastAsiaTheme="minorEastAsia" w:cstheme="minorEastAsia"/>
          <w:bCs w:val="0"/>
          <w:color w:val="auto"/>
          <w:sz w:val="30"/>
          <w:szCs w:val="30"/>
          <w:highlight w:val="none"/>
        </w:rPr>
        <w:t xml:space="preserve">投标书</w:t>
      </w:r>
      <w:r/>
      <w:bookmarkEnd w:id="691"/>
      <w:r/>
      <w:r/>
    </w:p>
    <w:p>
      <w:pPr>
        <w:ind w:firstLine="602"/>
        <w:jc w:val="center"/>
        <w:spacing w:line="360" w:lineRule="auto"/>
        <w:rPr>
          <w:rFonts w:asciiTheme="minorEastAsia" w:hAnsiTheme="minorEastAsia" w:eastAsiaTheme="minorEastAsia" w:cstheme="minorEastAsia"/>
          <w:b/>
          <w:bCs/>
          <w:color w:val="auto"/>
          <w:sz w:val="30"/>
          <w:szCs w:val="30"/>
          <w:highlight w:val="none"/>
          <w:lang w:val="zh-CN"/>
        </w:rPr>
      </w:pPr>
      <w:r>
        <w:rPr>
          <w:rFonts w:asciiTheme="minorEastAsia" w:hAnsiTheme="minorEastAsia" w:eastAsiaTheme="minorEastAsia" w:cstheme="minorEastAsia"/>
          <w:b/>
          <w:bCs/>
          <w:color w:val="auto"/>
          <w:sz w:val="30"/>
          <w:szCs w:val="30"/>
          <w:highlight w:val="none"/>
          <w:lang w:val="zh-CN"/>
        </w:rPr>
      </w:r>
      <w:r/>
    </w:p>
    <w:p>
      <w:pPr>
        <w:ind w:firstLine="602"/>
        <w:jc w:val="cente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 xml:space="preserve">（</w:t>
      </w:r>
      <w:r>
        <w:rPr>
          <w:rFonts w:hint="eastAsia" w:asciiTheme="minorEastAsia" w:hAnsiTheme="minorEastAsia" w:eastAsiaTheme="minorEastAsia" w:cstheme="minorEastAsia"/>
          <w:b/>
          <w:color w:val="auto"/>
          <w:sz w:val="30"/>
          <w:szCs w:val="30"/>
          <w:highlight w:val="none"/>
          <w:lang w:val="zh-CN"/>
        </w:rPr>
        <w:t xml:space="preserve">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 xml:space="preserve">）</w:t>
      </w:r>
      <w:r/>
    </w:p>
    <w:p>
      <w:pPr>
        <w:ind w:firstLine="420"/>
        <w:jc w:val="cente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643"/>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1680"/>
        <w:jc w:val="center"/>
        <w:spacing w:line="360" w:lineRule="auto"/>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 xml:space="preserve">投   标   书</w:t>
      </w:r>
      <w:r/>
    </w:p>
    <w:p>
      <w:pPr>
        <w:ind w:firstLine="480"/>
        <w:jc w:val="center"/>
        <w:spacing w:line="360" w:lineRule="auto"/>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（请在此位置标明“正本”或“副本”字样）</w:t>
      </w:r>
      <w:r/>
    </w:p>
    <w:p>
      <w:pPr>
        <w:ind w:firstLine="723"/>
        <w:jc w:val="center"/>
        <w:spacing w:line="360" w:lineRule="auto"/>
        <w:rPr>
          <w:rFonts w:asciiTheme="minorEastAsia" w:hAnsiTheme="minorEastAsia" w:eastAsiaTheme="minorEastAsia" w:cstheme="minorEastAsia"/>
          <w:b/>
          <w:bCs/>
          <w:color w:val="auto"/>
          <w:sz w:val="36"/>
          <w:szCs w:val="36"/>
          <w:highlight w:val="none"/>
          <w:lang w:val="zh-CN"/>
        </w:rPr>
      </w:pPr>
      <w:r>
        <w:rPr>
          <w:rFonts w:asciiTheme="minorEastAsia" w:hAnsiTheme="minorEastAsia" w:eastAsiaTheme="minorEastAsia" w:cstheme="minorEastAsia"/>
          <w:b/>
          <w:bCs/>
          <w:color w:val="auto"/>
          <w:sz w:val="36"/>
          <w:szCs w:val="36"/>
          <w:highlight w:val="none"/>
          <w:lang w:val="zh-CN"/>
        </w:rPr>
      </w:r>
      <w:r/>
    </w:p>
    <w:p>
      <w:pPr>
        <w:ind w:firstLine="1680"/>
        <w:spacing w:line="360" w:lineRule="auto"/>
        <w:rPr>
          <w:rFonts w:asciiTheme="minorEastAsia" w:hAnsiTheme="minorEastAsia" w:eastAsiaTheme="minorEastAsia" w:cstheme="minorEastAsia"/>
          <w:color w:val="auto"/>
          <w:sz w:val="84"/>
          <w:szCs w:val="84"/>
          <w:highlight w:val="none"/>
          <w:lang w:val="zh-CN"/>
        </w:rPr>
      </w:pPr>
      <w:r>
        <w:rPr>
          <w:rFonts w:asciiTheme="minorEastAsia" w:hAnsiTheme="minorEastAsia" w:eastAsiaTheme="minorEastAsia" w:cstheme="minorEastAsia"/>
          <w:color w:val="auto"/>
          <w:sz w:val="84"/>
          <w:szCs w:val="84"/>
          <w:highlight w:val="none"/>
          <w:lang w:val="zh-CN"/>
        </w:rPr>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 xml:space="preserve">项目名称 ：</w:t>
      </w:r>
      <w:r>
        <w:rPr>
          <w:rFonts w:hint="eastAsia" w:asciiTheme="minorEastAsia" w:hAnsiTheme="minorEastAsia" w:eastAsiaTheme="minorEastAsia" w:cstheme="minorEastAsia"/>
          <w:color w:val="auto"/>
          <w:sz w:val="30"/>
          <w:szCs w:val="30"/>
          <w:highlight w:val="none"/>
          <w:u w:val="single"/>
          <w:lang w:val="zh-CN"/>
        </w:rPr>
        <w:t xml:space="preserve">江宁区2026年度国土变更调查（含日常变更调查）</w:t>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val="zh-CN"/>
        </w:rPr>
        <w:t xml:space="preserve">：</w:t>
      </w:r>
      <w:r>
        <w:rPr>
          <w:rFonts w:hint="eastAsia" w:asciiTheme="minorEastAsia" w:hAnsiTheme="minorEastAsia" w:eastAsiaTheme="minorEastAsia" w:cstheme="minorEastAsia"/>
          <w:color w:val="auto"/>
          <w:sz w:val="30"/>
          <w:szCs w:val="30"/>
          <w:highlight w:val="none"/>
          <w:u w:val="single"/>
          <w:lang w:val="zh-CN"/>
        </w:rPr>
        <w:t xml:space="preserve">JSZC-320115-NJDX-G2026-0002</w:t>
      </w:r>
      <w:r/>
    </w:p>
    <w:p>
      <w:pPr>
        <w:ind w:firstLine="1950"/>
        <w:spacing w:line="360" w:lineRule="auto"/>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采购包号：</w:t>
      </w:r>
      <w:r>
        <w:rPr>
          <w:rFonts w:hint="eastAsia" w:asciiTheme="minorEastAsia" w:hAnsiTheme="minorEastAsia" w:eastAsiaTheme="minorEastAsia" w:cstheme="minorEastAsia"/>
          <w:bCs/>
          <w:color w:val="auto"/>
          <w:sz w:val="30"/>
          <w:szCs w:val="30"/>
          <w:highlight w:val="none"/>
          <w:u w:val="single"/>
          <w:lang w:val="zh-CN"/>
        </w:rPr>
        <w:t xml:space="preserve">采购包1/采购包2 </w:t>
      </w:r>
      <w:r/>
    </w:p>
    <w:p>
      <w:pPr>
        <w:ind w:firstLine="1950"/>
        <w:spacing w:line="360" w:lineRule="auto"/>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投 标 人：</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供应商地址：</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日    期：</w:t>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2891"/>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年月日</w:t>
      </w:r>
      <w:r>
        <w:rPr>
          <w:rFonts w:hint="eastAsia" w:asciiTheme="minorEastAsia" w:hAnsiTheme="minorEastAsia" w:eastAsiaTheme="minorEastAsia" w:cstheme="minorEastAsia"/>
          <w:b/>
          <w:bCs/>
          <w:color w:val="auto"/>
          <w:sz w:val="32"/>
          <w:szCs w:val="32"/>
          <w:highlight w:val="none"/>
        </w:rPr>
        <w:br w:type="page" w:clear="all"/>
      </w:r>
      <w:r/>
    </w:p>
    <w:p>
      <w:pPr>
        <w:jc w:val="left"/>
        <w:widowControl/>
        <w:rPr>
          <w:rFonts w:asciiTheme="minorEastAsia" w:hAnsiTheme="minorEastAsia" w:eastAsiaTheme="minorEastAsia" w:cstheme="minorEastAsia"/>
          <w:b/>
          <w:color w:val="auto"/>
          <w:sz w:val="28"/>
          <w:szCs w:val="28"/>
          <w:highlight w:val="none"/>
        </w:rPr>
        <w:outlineLvl w:val="1"/>
      </w:pPr>
      <w:r/>
      <w:bookmarkStart w:id="692" w:name="_Toc30"/>
      <w:r>
        <w:rPr>
          <w:rFonts w:hint="eastAsia" w:asciiTheme="minorEastAsia" w:hAnsiTheme="minorEastAsia" w:eastAsiaTheme="minorEastAsia" w:cstheme="minorEastAsia"/>
          <w:b/>
          <w:color w:val="auto"/>
          <w:sz w:val="28"/>
          <w:szCs w:val="28"/>
          <w:highlight w:val="none"/>
        </w:rPr>
        <w:t xml:space="preserve">商务部分</w:t>
      </w:r>
      <w:r/>
      <w:bookmarkEnd w:id="692"/>
      <w:r/>
      <w:r/>
    </w:p>
    <w:p>
      <w:pPr>
        <w:spacing w:line="360" w:lineRule="auto"/>
        <w:rPr>
          <w:rFonts w:asciiTheme="minorEastAsia" w:hAnsiTheme="minorEastAsia" w:eastAsiaTheme="minorEastAsia" w:cstheme="minorEastAsia"/>
          <w:b/>
          <w:bCs/>
          <w:color w:val="auto"/>
          <w:sz w:val="24"/>
          <w:highlight w:val="none"/>
          <w:lang w:val="zh-CN"/>
        </w:rPr>
        <w:outlineLvl w:val="2"/>
      </w:pPr>
      <w:r/>
      <w:bookmarkStart w:id="693" w:name="_Toc31"/>
      <w:r>
        <w:rPr>
          <w:rFonts w:hint="eastAsia" w:asciiTheme="minorEastAsia" w:hAnsiTheme="minorEastAsia" w:eastAsiaTheme="minorEastAsia" w:cstheme="minorEastAsia"/>
          <w:b/>
          <w:bCs/>
          <w:color w:val="auto"/>
          <w:sz w:val="24"/>
          <w:highlight w:val="none"/>
          <w:lang w:val="zh-CN"/>
        </w:rPr>
        <w:t xml:space="preserve">一、投标申请及声明格式</w:t>
      </w:r>
      <w:r/>
      <w:bookmarkEnd w:id="693"/>
      <w:r/>
      <w:r/>
    </w:p>
    <w:p>
      <w:pPr>
        <w:ind w:firstLine="720"/>
        <w:jc w:val="center"/>
        <w:rPr>
          <w:rFonts w:asciiTheme="minorEastAsia" w:hAnsiTheme="minorEastAsia" w:eastAsiaTheme="minorEastAsia" w:cstheme="minorEastAsia"/>
          <w:color w:val="auto"/>
          <w:sz w:val="36"/>
          <w:szCs w:val="36"/>
          <w:highlight w:val="none"/>
          <w:lang w:val="zh-CN"/>
        </w:rPr>
      </w:pPr>
      <w:r/>
      <w:bookmarkStart w:id="366" w:name="OLE_LINK26"/>
      <w:r>
        <w:rPr>
          <w:rFonts w:hint="eastAsia" w:asciiTheme="minorEastAsia" w:hAnsiTheme="minorEastAsia" w:eastAsiaTheme="minorEastAsia" w:cstheme="minorEastAsia"/>
          <w:color w:val="auto"/>
          <w:sz w:val="36"/>
          <w:szCs w:val="36"/>
          <w:highlight w:val="none"/>
          <w:lang w:val="zh-CN"/>
        </w:rPr>
        <w:t xml:space="preserve">投标申请及声明</w:t>
      </w:r>
      <w:bookmarkEnd w:id="366"/>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rPr>
        <w:t xml:space="preserve">采购人名称</w:t>
      </w:r>
      <w:r>
        <w:rPr>
          <w:rFonts w:hint="eastAsia" w:asciiTheme="minorEastAsia" w:hAnsiTheme="minorEastAsia" w:eastAsiaTheme="minorEastAsia" w:cstheme="minorEastAsia"/>
          <w:color w:val="auto"/>
          <w:szCs w:val="21"/>
          <w:highlight w:val="none"/>
          <w:lang w:val="zh-CN"/>
        </w:rPr>
        <w:t xml:space="preserve">）</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根据贵方</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single"/>
          <w:lang w:val="zh-CN"/>
        </w:rPr>
        <w:t xml:space="preserve">江宁区2026年度国土变更调查（含日常变更调查）</w:t>
      </w:r>
      <w:r>
        <w:rPr>
          <w:rFonts w:hint="eastAsia" w:asciiTheme="minorEastAsia" w:hAnsiTheme="minorEastAsia" w:eastAsiaTheme="minorEastAsia" w:cstheme="minorEastAsia"/>
          <w:color w:val="auto"/>
          <w:szCs w:val="21"/>
          <w:highlight w:val="none"/>
          <w:u w:val="single"/>
          <w:lang w:val="en-US" w:eastAsia="zh-CN"/>
        </w:rPr>
        <w:t xml:space="preserve">（项目名称）</w:t>
      </w:r>
      <w:r>
        <w:rPr>
          <w:rFonts w:hint="eastAsia" w:asciiTheme="minorEastAsia" w:hAnsiTheme="minorEastAsia" w:eastAsiaTheme="minorEastAsia" w:cstheme="minorEastAsia"/>
          <w:color w:val="auto"/>
          <w:szCs w:val="21"/>
          <w:highlight w:val="none"/>
          <w:u w:val="single"/>
          <w:lang w:eastAsia="zh-CN"/>
        </w:rPr>
        <w:t xml:space="preserve">JSZC-320115-NJDX-G2026-0002（</w:t>
      </w:r>
      <w:r>
        <w:rPr>
          <w:rFonts w:hint="eastAsia" w:asciiTheme="minorEastAsia" w:hAnsiTheme="minorEastAsia" w:eastAsiaTheme="minorEastAsia" w:cstheme="minorEastAsia"/>
          <w:color w:val="auto"/>
          <w:szCs w:val="21"/>
          <w:highlight w:val="none"/>
          <w:u w:val="single"/>
          <w:lang w:val="en-US" w:eastAsia="zh-CN"/>
        </w:rPr>
        <w:t xml:space="preserve">项目编号</w:t>
      </w:r>
      <w:r>
        <w:rPr>
          <w:rFonts w:hint="eastAsia" w:asciiTheme="minorEastAsia" w:hAnsiTheme="minorEastAsia" w:eastAsiaTheme="minorEastAsia" w:cstheme="minorEastAsia"/>
          <w:color w:val="auto"/>
          <w:szCs w:val="21"/>
          <w:highlight w:val="none"/>
          <w:u w:val="single"/>
          <w:lang w:eastAsia="zh-CN"/>
        </w:rPr>
        <w:t xml:space="preserve">）</w:t>
      </w:r>
      <w:r>
        <w:rPr>
          <w:rFonts w:hint="eastAsia" w:asciiTheme="minorEastAsia" w:hAnsiTheme="minorEastAsia" w:eastAsiaTheme="minorEastAsia" w:cstheme="minorEastAsia"/>
          <w:color w:val="auto"/>
          <w:szCs w:val="21"/>
          <w:highlight w:val="none"/>
        </w:rPr>
        <w:t xml:space="preserve">招标文件</w:t>
      </w:r>
      <w:r>
        <w:rPr>
          <w:rFonts w:hint="eastAsia" w:asciiTheme="minorEastAsia" w:hAnsiTheme="minorEastAsia" w:eastAsiaTheme="minorEastAsia" w:cstheme="minorEastAsia"/>
          <w:color w:val="auto"/>
          <w:szCs w:val="21"/>
          <w:highlight w:val="none"/>
          <w:lang w:val="zh-CN"/>
        </w:rPr>
        <w:t xml:space="preserve">邀请，正式授权下述签字人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(姓名和职务)代表供应商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（供应商名称），提交投标文件。</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据此函，签字人兹宣布声明和承诺如下：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b/>
          <w:color w:val="auto"/>
          <w:szCs w:val="21"/>
          <w:highlight w:val="none"/>
          <w:lang w:val="zh-CN"/>
        </w:rPr>
        <w:t xml:space="preserve">我们的资格条件完全符合政府采购法和本次招标要求</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我们</w:t>
      </w:r>
      <w:r>
        <w:rPr>
          <w:rFonts w:hint="eastAsia" w:asciiTheme="minorEastAsia" w:hAnsiTheme="minorEastAsia" w:eastAsiaTheme="minorEastAsia" w:cstheme="minorEastAsia"/>
          <w:color w:val="auto"/>
          <w:szCs w:val="21"/>
          <w:highlight w:val="none"/>
          <w:lang w:val="zh-CN"/>
        </w:rPr>
        <w:t xml:space="preserve">同意并向贵方提供了与投标有关的所有证据和资料。</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szCs w:val="21"/>
          <w:highlight w:val="none"/>
          <w:lang w:val="zh-CN"/>
        </w:rPr>
        <w:t xml:space="preserve">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 xml:space="preserve">不对招标文件本身提出质疑</w:t>
      </w:r>
      <w:r>
        <w:rPr>
          <w:rFonts w:hint="eastAsia" w:asciiTheme="minorEastAsia" w:hAnsiTheme="minorEastAsia" w:eastAsiaTheme="minorEastAsia" w:cstheme="minorEastAsia"/>
          <w:color w:val="auto"/>
          <w:szCs w:val="21"/>
          <w:highlight w:val="none"/>
          <w:lang w:val="zh-CN"/>
        </w:rPr>
        <w:t xml:space="preserve">。否则，属于不诚信和故意扰乱政府采购活动行为，我们将无条件接受处罚。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、与本投标有关的正式联系方式为：</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地址：</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电话：</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传真：</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开户银行：</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银行账号：</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供应商授权代表姓名：</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供应商名称：（电子签章）</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b/>
          <w:color w:val="auto"/>
          <w:szCs w:val="21"/>
          <w:highlight w:val="none"/>
        </w:rPr>
        <w:br w:type="page" w:clear="all"/>
      </w:r>
      <w:r/>
    </w:p>
    <w:p>
      <w:pPr>
        <w:spacing w:line="360" w:lineRule="auto"/>
        <w:rPr>
          <w:rFonts w:asciiTheme="minorEastAsia" w:hAnsiTheme="minorEastAsia" w:eastAsiaTheme="minorEastAsia" w:cstheme="minorEastAsia"/>
          <w:b/>
          <w:bCs/>
          <w:color w:val="auto"/>
          <w:szCs w:val="21"/>
          <w:highlight w:val="none"/>
        </w:rPr>
        <w:outlineLvl w:val="2"/>
      </w:pPr>
      <w:r/>
      <w:bookmarkStart w:id="694" w:name="_Toc32"/>
      <w:r>
        <w:rPr>
          <w:rFonts w:hint="eastAsia" w:asciiTheme="minorEastAsia" w:hAnsiTheme="minorEastAsia" w:eastAsiaTheme="minorEastAsia" w:cstheme="minorEastAsia"/>
          <w:b/>
          <w:bCs/>
          <w:color w:val="auto"/>
          <w:sz w:val="24"/>
          <w:highlight w:val="none"/>
        </w:rPr>
        <w:t xml:space="preserve">二、</w:t>
      </w:r>
      <w:r>
        <w:rPr>
          <w:rFonts w:hint="eastAsia" w:asciiTheme="minorEastAsia" w:hAnsiTheme="minorEastAsia" w:eastAsiaTheme="minorEastAsia" w:cstheme="minorEastAsia"/>
          <w:b/>
          <w:bCs/>
          <w:color w:val="auto"/>
          <w:sz w:val="24"/>
          <w:highlight w:val="none"/>
        </w:rPr>
        <w:t xml:space="preserve">南京市政府采购供应商信用记录表暨信用承诺书</w:t>
      </w:r>
      <w:r/>
      <w:bookmarkEnd w:id="694"/>
      <w:r/>
      <w:r/>
    </w:p>
    <w:p>
      <w:pPr>
        <w:ind w:firstLine="442"/>
        <w:spacing w:line="360" w:lineRule="auto"/>
        <w:rPr>
          <w:rFonts w:asciiTheme="minorEastAsia" w:hAnsiTheme="minorEastAsia" w:eastAsiaTheme="minorEastAsia" w:cstheme="minorEastAsia"/>
          <w:b/>
          <w:bCs/>
          <w:color w:val="auto"/>
          <w:sz w:val="22"/>
          <w:szCs w:val="22"/>
          <w:highlight w:val="none"/>
        </w:rPr>
      </w:pPr>
      <w:r>
        <w:rPr>
          <w:rFonts w:asciiTheme="minorEastAsia" w:hAnsiTheme="minorEastAsia" w:eastAsiaTheme="minorEastAsia" w:cstheme="minorEastAsia"/>
          <w:b/>
          <w:bCs/>
          <w:color w:val="auto"/>
          <w:sz w:val="22"/>
          <w:szCs w:val="22"/>
          <w:highlight w:val="none"/>
        </w:rPr>
      </w:r>
      <w:r/>
    </w:p>
    <w:p>
      <w:pPr>
        <w:ind w:firstLine="442"/>
        <w:spacing w:line="360" w:lineRule="auto"/>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（以下仅为示范格式，直接填写无效，需至“南京市政府采购供应商诚信档案管理系统”在线打印）</w:t>
      </w:r>
      <w:r/>
    </w:p>
    <w:p>
      <w:pPr>
        <w:pStyle w:val="847"/>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bl>
      <w:tblPr>
        <w:tblStyle w:val="697"/>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南京市政府采购供应商信用记录表</w:t>
            </w:r>
            <w:r/>
          </w:p>
          <w:p>
            <w:pPr>
              <w:jc w:val="center"/>
              <w:widowControl/>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供应商名称（盖章）：</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法定代表人（签字）：</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   月    日</w:t>
            </w:r>
            <w:r/>
          </w:p>
        </w:tc>
      </w:tr>
    </w:tbl>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spacing w:line="460" w:lineRule="exact"/>
        <w:rPr>
          <w:rFonts w:asciiTheme="minorEastAsia" w:hAnsiTheme="minorEastAsia" w:eastAsiaTheme="minorEastAsia" w:cstheme="minorEastAsia"/>
          <w:b/>
          <w:bCs/>
          <w:color w:val="auto"/>
          <w:sz w:val="24"/>
          <w:highlight w:val="none"/>
          <w:lang w:val="zh-CN"/>
        </w:rPr>
        <w:outlineLvl w:val="2"/>
      </w:pPr>
      <w:r/>
      <w:bookmarkStart w:id="695" w:name="_Toc33"/>
      <w:r>
        <w:rPr>
          <w:rFonts w:hint="eastAsia" w:asciiTheme="minorEastAsia" w:hAnsiTheme="minorEastAsia" w:eastAsiaTheme="minorEastAsia" w:cstheme="minorEastAsia"/>
          <w:b/>
          <w:bCs/>
          <w:color w:val="auto"/>
          <w:sz w:val="24"/>
          <w:highlight w:val="none"/>
          <w:lang w:val="zh-CN"/>
        </w:rPr>
        <w:br w:type="page" w:clear="all"/>
      </w: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color w:val="auto"/>
          <w:sz w:val="24"/>
          <w:highlight w:val="none"/>
        </w:rPr>
        <w:t xml:space="preserve">企业业绩</w:t>
      </w:r>
      <w:r/>
      <w:bookmarkEnd w:id="695"/>
      <w:r/>
      <w:r/>
    </w:p>
    <w:p>
      <w:pPr>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企业业绩汇总表</w:t>
      </w:r>
      <w:r/>
    </w:p>
    <w:p>
      <w:pPr>
        <w:ind w:firstLine="480"/>
        <w:jc w:val="center"/>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tbl>
      <w:tblPr>
        <w:tblStyle w:val="697"/>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项目名称</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委托人</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合同金额</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合同签订时间</w:t>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bl>
    <w:p>
      <w:pPr>
        <w:ind w:firstLine="482"/>
        <w:jc w:val="cente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 xml:space="preserve">（电子签章）：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日    期：    年    月   日</w:t>
      </w:r>
      <w:r/>
    </w:p>
    <w:p>
      <w:pPr>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注：附合同等业绩证明资料</w:t>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705"/>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 w:val="24"/>
          <w:highlight w:val="none"/>
        </w:rPr>
      </w:pPr>
      <w:r/>
      <w:r/>
      <w:r/>
    </w:p>
    <w:p>
      <w:pPr>
        <w:spacing w:line="360" w:lineRule="auto"/>
        <w:widowControl/>
        <w:rPr>
          <w:rFonts w:ascii="宋体" w:hAnsi="宋体" w:cs="宋体"/>
          <w:b/>
          <w:bCs/>
          <w:color w:val="auto"/>
          <w:sz w:val="24"/>
          <w:highlight w:val="none"/>
        </w:rPr>
        <w:outlineLvl w:val="2"/>
      </w:pPr>
      <w:r/>
      <w:bookmarkStart w:id="696" w:name="_Toc34"/>
      <w:r>
        <w:rPr>
          <w:rFonts w:hint="eastAsia" w:asciiTheme="minorEastAsia" w:hAnsiTheme="minorEastAsia" w:eastAsiaTheme="minorEastAsia" w:cstheme="minorEastAsia"/>
          <w:b/>
          <w:bCs/>
          <w:color w:val="auto"/>
          <w:sz w:val="24"/>
          <w:highlight w:val="none"/>
        </w:rPr>
        <w:t xml:space="preserve">四、</w:t>
      </w:r>
      <w:r>
        <w:rPr>
          <w:rFonts w:hint="eastAsia" w:ascii="宋体" w:hAnsi="宋体" w:cs="宋体"/>
          <w:b/>
          <w:bCs/>
          <w:color w:val="auto"/>
          <w:sz w:val="24"/>
          <w:highlight w:val="none"/>
        </w:rPr>
        <w:t xml:space="preserve">项目组成人员一览表</w:t>
      </w:r>
      <w:r/>
      <w:bookmarkEnd w:id="696"/>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项目组成人员一览表</w:t>
      </w:r>
      <w:r/>
    </w:p>
    <w:tbl>
      <w:tblPr>
        <w:tblStyle w:val="69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6"/>
            <w:tcW w:w="5508" w:type="dxa"/>
            <w:vAlign w:val="center"/>
            <w:textDirection w:val="lrTb"/>
            <w:noWrap w:val="false"/>
          </w:tcPr>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W w:w="4050" w:type="dxa"/>
            <w:vAlign w:val="center"/>
            <w:textDirection w:val="lrTb"/>
            <w:noWrap w:val="false"/>
          </w:tcPr>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c>
          <w:tcPr>
            <w:tcW w:w="637" w:type="dxa"/>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W w:w="876"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姓名</w:t>
            </w:r>
            <w:r/>
          </w:p>
        </w:tc>
        <w:tc>
          <w:tcPr>
            <w:tcW w:w="7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性别</w:t>
            </w:r>
            <w:r/>
          </w:p>
        </w:tc>
        <w:tc>
          <w:tcPr>
            <w:tcW w:w="11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执业资格</w:t>
            </w:r>
            <w:r/>
          </w:p>
        </w:tc>
        <w:tc>
          <w:tcPr>
            <w:tcW w:w="110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类别</w:t>
            </w:r>
            <w:r/>
          </w:p>
        </w:tc>
        <w:tc>
          <w:tcPr>
            <w:tcW w:w="1080"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证书号</w:t>
            </w:r>
            <w:r/>
          </w:p>
        </w:tc>
        <w:tc>
          <w:tcPr>
            <w:tcW w:w="197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技术职称</w:t>
            </w:r>
            <w:r/>
          </w:p>
        </w:tc>
        <w:tc>
          <w:tcPr>
            <w:tcW w:w="2075" w:type="dxa"/>
            <w:vAlign w:val="center"/>
            <w:textDirection w:val="lrTb"/>
            <w:noWrap w:val="false"/>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备    注       （本项目担任职务）</w:t>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340"/>
        </w:trPr>
        <w:tc>
          <w:tcPr>
            <w:tcW w:w="637"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76"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7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10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2075" w:type="dxa"/>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供应商</w:t>
      </w:r>
      <w:r>
        <w:rPr>
          <w:rFonts w:hint="eastAsia" w:ascii="宋体" w:hAnsi="宋体" w:cs="宋体"/>
          <w:color w:val="auto"/>
          <w:szCs w:val="21"/>
          <w:highlight w:val="none"/>
        </w:rPr>
        <w:t xml:space="preserve">（电子签章）：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1、如果行、列数不够，请自行增加。</w:t>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2、“备注”栏，可填写该人员擅长的工程（或工作）种类。</w:t>
      </w:r>
      <w:r/>
    </w:p>
    <w:p>
      <w:pPr>
        <w:jc w:val="right"/>
        <w:rPr>
          <w:rFonts w:ascii="宋体" w:hAnsi="宋体" w:cs="宋体"/>
          <w:color w:val="auto"/>
          <w:szCs w:val="21"/>
          <w:highlight w:val="none"/>
          <w:lang w:val="zh-CN"/>
        </w:rPr>
      </w:pPr>
      <w:r>
        <w:rPr>
          <w:rFonts w:ascii="宋体" w:hAnsi="宋体" w:cs="宋体"/>
          <w:color w:val="auto"/>
          <w:szCs w:val="21"/>
          <w:highlight w:val="none"/>
          <w:lang w:val="zh-CN"/>
        </w:rPr>
      </w:r>
      <w:r/>
    </w:p>
    <w:p>
      <w:pPr>
        <w:spacing w:line="46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pStyle w:val="740"/>
        <w:ind w:firstLine="480"/>
        <w:rPr>
          <w:color w:val="auto"/>
          <w:highlight w:val="none"/>
        </w:rPr>
      </w:pPr>
      <w:r>
        <w:rPr>
          <w:color w:val="auto"/>
          <w:highlight w:val="none"/>
        </w:rPr>
      </w:r>
      <w:r/>
    </w:p>
    <w:p>
      <w:pPr>
        <w:spacing w:line="460" w:lineRule="exact"/>
        <w:rPr>
          <w:rFonts w:asciiTheme="minorEastAsia" w:hAnsiTheme="minorEastAsia" w:eastAsiaTheme="minorEastAsia" w:cstheme="minorEastAsia"/>
          <w:b/>
          <w:bCs/>
          <w:color w:val="auto"/>
          <w:sz w:val="24"/>
          <w:highlight w:val="none"/>
        </w:rPr>
        <w:outlineLvl w:val="2"/>
      </w:pPr>
      <w:r/>
      <w:bookmarkStart w:id="697" w:name="_Toc35"/>
      <w:r>
        <w:rPr>
          <w:rFonts w:hint="eastAsia" w:asciiTheme="minorEastAsia" w:hAnsiTheme="minorEastAsia" w:eastAsiaTheme="minorEastAsia" w:cstheme="minorEastAsia"/>
          <w:b/>
          <w:bCs/>
          <w:color w:val="auto"/>
          <w:sz w:val="24"/>
          <w:highlight w:val="none"/>
        </w:rPr>
        <w:t xml:space="preserve">五、供应商认为需要</w:t>
      </w:r>
      <w:r>
        <w:rPr>
          <w:rFonts w:hint="eastAsia" w:asciiTheme="minorEastAsia" w:hAnsiTheme="minorEastAsia" w:eastAsiaTheme="minorEastAsia" w:cstheme="minorEastAsia"/>
          <w:b/>
          <w:bCs/>
          <w:color w:val="auto"/>
          <w:sz w:val="24"/>
          <w:highlight w:val="none"/>
          <w:lang w:val="zh-CN"/>
        </w:rPr>
        <w:t xml:space="preserve">提供的其他资格证明文件和商务资料</w:t>
      </w:r>
      <w:r/>
      <w:bookmarkEnd w:id="697"/>
      <w:r/>
      <w:r/>
    </w:p>
    <w:p>
      <w:pPr>
        <w:jc w:val="left"/>
        <w:spacing w:line="360" w:lineRule="auto"/>
        <w:widowControl/>
        <w:rPr>
          <w:rFonts w:asciiTheme="minorEastAsia" w:hAnsiTheme="minorEastAsia" w:eastAsiaTheme="minorEastAsia" w:cstheme="minorEastAsia"/>
          <w:b/>
          <w:color w:val="auto"/>
          <w:szCs w:val="21"/>
          <w:highlight w:val="none"/>
        </w:rPr>
        <w:outlineLvl w:val="1"/>
      </w:pPr>
      <w:r/>
      <w:bookmarkStart w:id="698" w:name="_Toc36"/>
      <w:r>
        <w:rPr>
          <w:rFonts w:hint="eastAsia" w:asciiTheme="minorEastAsia" w:hAnsiTheme="minorEastAsia" w:eastAsiaTheme="minorEastAsia" w:cstheme="minorEastAsia"/>
          <w:b/>
          <w:color w:val="auto"/>
          <w:szCs w:val="21"/>
          <w:highlight w:val="none"/>
          <w:lang w:val="zh-CN"/>
        </w:rPr>
        <w:br w:type="page" w:clear="all"/>
      </w:r>
      <w:r>
        <w:rPr>
          <w:rFonts w:hint="eastAsia" w:asciiTheme="minorEastAsia" w:hAnsiTheme="minorEastAsia" w:eastAsiaTheme="minorEastAsia" w:cstheme="minorEastAsia"/>
          <w:b/>
          <w:color w:val="auto"/>
          <w:sz w:val="28"/>
          <w:szCs w:val="28"/>
          <w:highlight w:val="none"/>
        </w:rPr>
        <w:t xml:space="preserve">价格部分</w:t>
      </w:r>
      <w:r/>
      <w:bookmarkEnd w:id="698"/>
      <w:r/>
      <w:r/>
    </w:p>
    <w:p>
      <w:pPr>
        <w:jc w:val="left"/>
        <w:spacing w:line="360" w:lineRule="auto"/>
        <w:widowControl/>
        <w:rPr>
          <w:rFonts w:asciiTheme="minorEastAsia" w:hAnsiTheme="minorEastAsia" w:eastAsiaTheme="minorEastAsia" w:cstheme="minorEastAsia"/>
          <w:b/>
          <w:color w:val="auto"/>
          <w:szCs w:val="21"/>
          <w:highlight w:val="none"/>
          <w:lang w:val="zh-CN"/>
        </w:rPr>
        <w:outlineLvl w:val="2"/>
      </w:pPr>
      <w:r/>
      <w:bookmarkStart w:id="699" w:name="_Toc37"/>
      <w:r>
        <w:rPr>
          <w:rFonts w:hint="eastAsia" w:asciiTheme="minorEastAsia" w:hAnsiTheme="minorEastAsia" w:eastAsiaTheme="minorEastAsia" w:cstheme="minorEastAsia"/>
          <w:b/>
          <w:bCs/>
          <w:color w:val="auto"/>
          <w:sz w:val="24"/>
          <w:highlight w:val="none"/>
        </w:rPr>
        <w:t xml:space="preserve">一</w:t>
      </w:r>
      <w:r>
        <w:rPr>
          <w:rFonts w:hint="eastAsia" w:asciiTheme="minorEastAsia" w:hAnsiTheme="minorEastAsia" w:eastAsiaTheme="minorEastAsia" w:cstheme="minorEastAsia"/>
          <w:b/>
          <w:bCs/>
          <w:color w:val="auto"/>
          <w:sz w:val="24"/>
          <w:highlight w:val="none"/>
          <w:lang w:val="zh-CN"/>
        </w:rPr>
        <w:t xml:space="preserve">、开标一览表</w:t>
      </w:r>
      <w:r/>
      <w:bookmarkEnd w:id="699"/>
      <w:r/>
      <w:r/>
    </w:p>
    <w:p>
      <w:pPr>
        <w:ind w:firstLine="422"/>
        <w:jc w:val="center"/>
        <w:rPr>
          <w:color w:val="auto"/>
          <w:highlight w:val="none"/>
        </w:rPr>
      </w:pPr>
      <w:r>
        <w:rPr>
          <w:rStyle w:val="731"/>
          <w:color w:val="auto"/>
          <w:highlight w:val="none"/>
        </w:rPr>
        <w:t xml:space="preserve">开标一览表</w:t>
      </w:r>
      <w:r/>
    </w:p>
    <w:p>
      <w:pPr>
        <w:pStyle w:val="725"/>
        <w:rPr>
          <w:color w:val="auto"/>
          <w:highlight w:val="none"/>
        </w:rPr>
      </w:pPr>
      <w:r>
        <w:rPr>
          <w:color w:val="auto"/>
          <w:highlight w:val="none"/>
        </w:rPr>
        <w:t xml:space="preserve">投标人全称（CA公章）：供应商名称 </w:t>
      </w:r>
      <w:r/>
    </w:p>
    <w:p>
      <w:pPr>
        <w:pStyle w:val="725"/>
        <w:rPr>
          <w:color w:val="auto"/>
          <w:highlight w:val="none"/>
        </w:rPr>
      </w:pPr>
      <w:r>
        <w:rPr>
          <w:color w:val="auto"/>
          <w:highlight w:val="none"/>
        </w:rPr>
        <w:t xml:space="preserve">项目名称： 项目名称 </w:t>
      </w:r>
      <w:r/>
    </w:p>
    <w:p>
      <w:pPr>
        <w:pStyle w:val="725"/>
        <w:rPr>
          <w:color w:val="auto"/>
          <w:highlight w:val="none"/>
        </w:rPr>
      </w:pPr>
      <w:r>
        <w:rPr>
          <w:color w:val="auto"/>
          <w:highlight w:val="none"/>
        </w:rPr>
        <w:t xml:space="preserve">项目编号： 项目编号 </w:t>
      </w:r>
      <w:r/>
    </w:p>
    <w:p>
      <w:pPr>
        <w:pStyle w:val="725"/>
        <w:rPr>
          <w:color w:val="auto"/>
          <w:highlight w:val="none"/>
        </w:rPr>
      </w:pPr>
      <w:r>
        <w:rPr>
          <w:color w:val="auto"/>
          <w:highlight w:val="none"/>
        </w:rPr>
        <w:t xml:space="preserve">分包号：分包号 </w:t>
      </w:r>
      <w:r/>
    </w:p>
    <w:tbl>
      <w:tblPr>
        <w:tblStyle w:val="697"/>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269"/>
        <w:gridCol w:w="6030"/>
      </w:tblGrid>
      <w:tr>
        <w:trPr>
          <w:tblCellSpacing w:w="15" w:type="dxa"/>
          <w:trHeight w:val="810"/>
        </w:trPr>
        <w:tc>
          <w:tcPr>
            <w:shd w:val="clear" w:color="auto" w:fill="auto"/>
            <w:tcW w:w="898" w:type="pct"/>
            <w:vAlign w:val="center"/>
            <w:textDirection w:val="lrTb"/>
            <w:noWrap w:val="false"/>
          </w:tcPr>
          <w:p>
            <w:pPr>
              <w:pStyle w:val="725"/>
              <w:jc w:val="center"/>
              <w:rPr>
                <w:color w:val="auto"/>
                <w:highlight w:val="none"/>
              </w:rPr>
            </w:pPr>
            <w:r>
              <w:rPr>
                <w:color w:val="auto"/>
                <w:highlight w:val="none"/>
              </w:rPr>
              <w:t xml:space="preserve">投标项目名称</w:t>
            </w:r>
            <w:r/>
          </w:p>
        </w:tc>
        <w:tc>
          <w:tcPr>
            <w:shd w:val="clear" w:color="auto" w:fill="auto"/>
            <w:tcW w:w="2416" w:type="pct"/>
            <w:vAlign w:val="center"/>
            <w:textDirection w:val="lrTb"/>
            <w:noWrap w:val="false"/>
          </w:tcPr>
          <w:p>
            <w:pPr>
              <w:pStyle w:val="725"/>
              <w:jc w:val="center"/>
              <w:rPr>
                <w:color w:val="auto"/>
                <w:highlight w:val="none"/>
              </w:rPr>
            </w:pPr>
            <w:r>
              <w:rPr>
                <w:color w:val="auto"/>
                <w:highlight w:val="none"/>
              </w:rPr>
              <w:t xml:space="preserve">总价（小写）</w:t>
            </w:r>
            <w:r/>
          </w:p>
        </w:tc>
      </w:tr>
      <w:tr>
        <w:trPr>
          <w:tblCellSpacing w:w="15" w:type="dxa"/>
          <w:trHeight w:val="825"/>
        </w:trPr>
        <w:tc>
          <w:tcPr>
            <w:shd w:val="clear" w:color="auto" w:fill="auto"/>
            <w:tcW w:w="898" w:type="pct"/>
            <w:vAlign w:val="center"/>
            <w:textDirection w:val="lrTb"/>
            <w:noWrap w:val="false"/>
          </w:tcPr>
          <w:p>
            <w:pPr>
              <w:jc w:val="center"/>
              <w:widowControl/>
              <w:rPr>
                <w:color w:val="auto"/>
                <w:highlight w:val="none"/>
              </w:rPr>
            </w:pPr>
            <w:r>
              <w:rPr>
                <w:rFonts w:ascii="宋体" w:hAnsi="宋体" w:cs="宋体"/>
                <w:color w:val="auto"/>
                <w:sz w:val="24"/>
                <w:highlight w:val="none"/>
                <w:lang w:bidi="ar"/>
              </w:rPr>
              <w:t xml:space="preserve"> 投标产品名称 </w:t>
            </w:r>
            <w:r/>
          </w:p>
        </w:tc>
        <w:tc>
          <w:tcPr>
            <w:shd w:val="clear" w:color="auto" w:fill="auto"/>
            <w:tcW w:w="2416" w:type="pct"/>
            <w:vAlign w:val="center"/>
            <w:textDirection w:val="lrTb"/>
            <w:noWrap w:val="false"/>
          </w:tcPr>
          <w:p>
            <w:pPr>
              <w:pStyle w:val="725"/>
              <w:rPr>
                <w:color w:val="auto"/>
                <w:highlight w:val="none"/>
              </w:rPr>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元</w:t>
            </w:r>
            <w:r/>
          </w:p>
        </w:tc>
      </w:tr>
    </w:tbl>
    <w:p>
      <w:pPr>
        <w:pStyle w:val="725"/>
        <w:rPr>
          <w:color w:val="auto"/>
          <w:highlight w:val="none"/>
        </w:rPr>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miter/>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 日</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注：本页《开标一览表》仅供参考，以“苏采云”系统生成的开标一览表为准。</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pStyle w:val="705"/>
        <w:jc w:val="both"/>
        <w:rPr>
          <w:rFonts w:asciiTheme="minorEastAsia" w:hAnsiTheme="minorEastAsia" w:eastAsiaTheme="minorEastAsia" w:cstheme="minorEastAsia"/>
          <w:color w:val="auto"/>
          <w:sz w:val="21"/>
          <w:szCs w:val="21"/>
          <w:highlight w:val="none"/>
        </w:rPr>
      </w:pPr>
      <w:r/>
      <w:r/>
      <w:r/>
      <w:r/>
      <w:r/>
      <w:r/>
      <w:r/>
      <w:r/>
      <w:r/>
      <w:r/>
      <w:r/>
      <w:r/>
      <w:r/>
      <w:r/>
    </w:p>
    <w:p>
      <w:pPr>
        <w:spacing w:line="360" w:lineRule="auto"/>
        <w:rPr>
          <w:rFonts w:asciiTheme="minorEastAsia" w:hAnsiTheme="minorEastAsia" w:eastAsiaTheme="minorEastAsia" w:cstheme="minorEastAsia"/>
          <w:b/>
          <w:bCs/>
          <w:color w:val="auto"/>
          <w:sz w:val="28"/>
          <w:szCs w:val="28"/>
          <w:highlight w:val="none"/>
        </w:rPr>
        <w:outlineLvl w:val="1"/>
      </w:pPr>
      <w:r/>
      <w:bookmarkStart w:id="700" w:name="_Toc38"/>
      <w:r>
        <w:rPr>
          <w:rFonts w:hint="eastAsia" w:asciiTheme="minorEastAsia" w:hAnsiTheme="minorEastAsia" w:eastAsiaTheme="minorEastAsia" w:cstheme="minorEastAsia"/>
          <w:b/>
          <w:bCs/>
          <w:color w:val="auto"/>
          <w:sz w:val="24"/>
          <w:highlight w:val="none"/>
          <w:lang w:val="zh-CN"/>
        </w:rPr>
        <w:br w:type="page" w:clear="all"/>
      </w:r>
      <w:r>
        <w:rPr>
          <w:rFonts w:hint="eastAsia" w:asciiTheme="minorEastAsia" w:hAnsiTheme="minorEastAsia" w:eastAsiaTheme="minorEastAsia" w:cstheme="minorEastAsia"/>
          <w:b/>
          <w:bCs/>
          <w:color w:val="auto"/>
          <w:sz w:val="28"/>
          <w:szCs w:val="28"/>
          <w:highlight w:val="none"/>
        </w:rPr>
        <w:t xml:space="preserve">技术部分</w:t>
      </w:r>
      <w:r/>
      <w:bookmarkEnd w:id="700"/>
      <w:r/>
      <w:r/>
    </w:p>
    <w:p>
      <w:pPr>
        <w:spacing w:line="360" w:lineRule="auto"/>
        <w:widowControl/>
        <w:rPr>
          <w:rFonts w:asciiTheme="minorEastAsia" w:hAnsiTheme="minorEastAsia" w:eastAsiaTheme="minorEastAsia" w:cstheme="minorEastAsia"/>
          <w:b/>
          <w:bCs/>
          <w:color w:val="auto"/>
          <w:sz w:val="24"/>
          <w:highlight w:val="none"/>
        </w:rPr>
        <w:outlineLvl w:val="2"/>
      </w:pPr>
      <w:r/>
      <w:bookmarkStart w:id="701" w:name="_Toc39"/>
      <w:r>
        <w:rPr>
          <w:rFonts w:hint="eastAsia" w:asciiTheme="minorEastAsia" w:hAnsiTheme="minorEastAsia" w:eastAsiaTheme="minorEastAsia" w:cstheme="minorEastAsia"/>
          <w:b/>
          <w:bCs/>
          <w:color w:val="auto"/>
          <w:sz w:val="24"/>
          <w:highlight w:val="none"/>
        </w:rPr>
        <w:t xml:space="preserve">一、</w:t>
      </w:r>
      <w:r>
        <w:rPr>
          <w:rFonts w:hint="eastAsia" w:asciiTheme="minorEastAsia" w:hAnsiTheme="minorEastAsia" w:eastAsiaTheme="minorEastAsia" w:cstheme="minorEastAsia"/>
          <w:b/>
          <w:bCs/>
          <w:color w:val="auto"/>
          <w:sz w:val="24"/>
          <w:highlight w:val="none"/>
          <w:lang w:val="zh-CN"/>
        </w:rPr>
        <w:t xml:space="preserve">项目服务方案（格式自拟）</w:t>
      </w:r>
      <w:r/>
      <w:bookmarkEnd w:id="701"/>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由供应商根据招标文件内容要求及服务标准内容自行编写，要求全面、详尽、完整、易于理解。</w:t>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82"/>
        <w:jc w:val="left"/>
        <w:widowControl/>
        <w:rPr>
          <w:rFonts w:asciiTheme="minorEastAsia" w:hAnsiTheme="minorEastAsia" w:eastAsiaTheme="minorEastAsia" w:cstheme="minorEastAsia"/>
          <w:b/>
          <w:bCs/>
          <w:color w:val="auto"/>
          <w:sz w:val="24"/>
          <w:highlight w:val="none"/>
        </w:rPr>
      </w:pPr>
      <w:r/>
      <w:r/>
      <w:r/>
      <w:r/>
      <w:r/>
      <w:r/>
      <w:r/>
      <w:r/>
      <w:r/>
      <w:r/>
      <w:r/>
      <w:r/>
      <w:r/>
      <w:r/>
      <w:r/>
      <w:r/>
      <w:r/>
      <w:r/>
      <w:r/>
      <w:r/>
      <w:r/>
      <w:r/>
      <w:r/>
      <w:r/>
      <w:r/>
    </w:p>
    <w:p>
      <w:pPr>
        <w:rPr>
          <w:rFonts w:asciiTheme="minorEastAsia" w:hAnsiTheme="minorEastAsia" w:eastAsiaTheme="minorEastAsia" w:cstheme="minorEastAsia"/>
          <w:b/>
          <w:bCs/>
          <w:color w:val="auto"/>
          <w:sz w:val="24"/>
          <w:highlight w:val="none"/>
          <w:lang w:val="zh-CN"/>
        </w:rPr>
        <w:outlineLvl w:val="2"/>
      </w:pPr>
      <w:r/>
      <w:bookmarkStart w:id="702" w:name="_Toc40"/>
      <w:r>
        <w:rPr>
          <w:rFonts w:hint="eastAsia" w:ascii="宋体" w:hAnsi="宋体" w:cs="宋体"/>
          <w:b/>
          <w:bCs/>
          <w:color w:val="auto"/>
          <w:sz w:val="24"/>
          <w:highlight w:val="none"/>
        </w:rPr>
        <w:t xml:space="preserve">二、</w:t>
      </w:r>
      <w:r>
        <w:rPr>
          <w:rFonts w:hint="eastAsia" w:asciiTheme="minorEastAsia" w:hAnsiTheme="minorEastAsia" w:eastAsiaTheme="minorEastAsia" w:cstheme="minorEastAsia"/>
          <w:b/>
          <w:bCs/>
          <w:color w:val="auto"/>
          <w:sz w:val="24"/>
          <w:highlight w:val="none"/>
        </w:rPr>
        <w:t xml:space="preserve">质量保证及服务承诺</w:t>
      </w:r>
      <w:r/>
      <w:bookmarkEnd w:id="702"/>
      <w:r/>
      <w:r/>
    </w:p>
    <w:p>
      <w:pPr>
        <w:ind w:firstLine="482"/>
        <w:jc w:val="center"/>
        <w:rPr>
          <w:rFonts w:asciiTheme="minorEastAsia" w:hAnsiTheme="minorEastAsia" w:eastAsiaTheme="minorEastAsia" w:cstheme="minorEastAsia"/>
          <w:b/>
          <w:color w:val="auto"/>
          <w:sz w:val="24"/>
          <w:highlight w:val="none"/>
          <w:lang w:val="zh-CN"/>
        </w:rPr>
      </w:pPr>
      <w:r/>
      <w:bookmarkStart w:id="555" w:name="OLE_LINK29"/>
      <w:r>
        <w:rPr>
          <w:rFonts w:hint="eastAsia" w:asciiTheme="minorEastAsia" w:hAnsiTheme="minorEastAsia" w:eastAsiaTheme="minorEastAsia" w:cstheme="minorEastAsia"/>
          <w:b/>
          <w:color w:val="auto"/>
          <w:sz w:val="24"/>
          <w:highlight w:val="none"/>
          <w:lang w:val="zh-CN"/>
        </w:rPr>
        <w:t xml:space="preserve">质量保证及服务承诺</w:t>
      </w:r>
      <w:bookmarkEnd w:id="555"/>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我公司就项目编号为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的JSZC-320115-NJDX-G2026-0002 采购项目质量保证及服务承诺如下：</w:t>
      </w:r>
      <w:r/>
    </w:p>
    <w:p>
      <w:pPr>
        <w:ind w:firstLine="420"/>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（供应商自拟）</w:t>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lang w:val="zh-CN"/>
        </w:rPr>
        <w:outlineLvl w:val="2"/>
      </w:pPr>
      <w:r/>
      <w:bookmarkStart w:id="703" w:name="_Toc41"/>
      <w:r>
        <w:rPr>
          <w:rFonts w:hint="eastAsia" w:asciiTheme="minorEastAsia" w:hAnsiTheme="minorEastAsia" w:eastAsiaTheme="minorEastAsia" w:cstheme="minorEastAsia"/>
          <w:b/>
          <w:bCs/>
          <w:color w:val="auto"/>
          <w:sz w:val="24"/>
          <w:highlight w:val="none"/>
        </w:rPr>
        <w:t xml:space="preserve">三、</w:t>
      </w:r>
      <w:r/>
      <w:bookmarkStart w:id="557" w:name="OLE_LINK28"/>
      <w:r>
        <w:rPr>
          <w:rFonts w:hint="eastAsia" w:asciiTheme="minorEastAsia" w:hAnsiTheme="minorEastAsia" w:eastAsiaTheme="minorEastAsia" w:cstheme="minorEastAsia"/>
          <w:b/>
          <w:bCs/>
          <w:color w:val="auto"/>
          <w:sz w:val="24"/>
          <w:highlight w:val="none"/>
          <w:lang w:val="zh-CN"/>
        </w:rPr>
        <w:t xml:space="preserve">供应商认为需要提供的其他技术文件或资料</w:t>
      </w:r>
      <w:r/>
      <w:bookmarkEnd w:id="557"/>
      <w:r/>
      <w:bookmarkEnd w:id="703"/>
      <w:r/>
      <w:r/>
    </w:p>
    <w:p>
      <w:pPr>
        <w:jc w:val="left"/>
        <w:widowControl/>
        <w:rPr>
          <w:rFonts w:asciiTheme="minorEastAsia" w:hAnsiTheme="minorEastAsia" w:eastAsiaTheme="minorEastAsia" w:cstheme="minorEastAsia"/>
          <w:b/>
          <w:color w:val="auto"/>
          <w:sz w:val="24"/>
          <w:highlight w:val="none"/>
        </w:rPr>
      </w:pPr>
      <w:r>
        <w:rPr>
          <w:rFonts w:asciiTheme="minorEastAsia" w:hAnsiTheme="minorEastAsia" w:eastAsiaTheme="minorEastAsia" w:cstheme="minorEastAsia"/>
          <w:b/>
          <w:color w:val="auto"/>
          <w:sz w:val="24"/>
          <w:highlight w:val="none"/>
        </w:rPr>
      </w:r>
      <w:r/>
    </w:p>
    <w:p>
      <w:pPr>
        <w:jc w:val="left"/>
        <w:widowControl/>
        <w:rPr>
          <w:rFonts w:asciiTheme="minorEastAsia" w:hAnsiTheme="minorEastAsia" w:eastAsiaTheme="minorEastAsia" w:cstheme="minorEastAsia"/>
          <w:b/>
          <w:bCs/>
          <w:color w:val="auto"/>
          <w:sz w:val="24"/>
          <w:highlight w:val="none"/>
        </w:rPr>
      </w:pPr>
      <w:r/>
      <w:r/>
      <w:r/>
      <w:r/>
      <w:r/>
      <w:r/>
      <w:r/>
      <w:r/>
      <w:r/>
      <w:r/>
      <w:r/>
      <w:r/>
      <w:r/>
      <w:r/>
      <w:r/>
      <w:r/>
      <w:r/>
      <w:r/>
      <w:r/>
      <w:r/>
      <w:r/>
      <w:r/>
      <w:r/>
      <w:r/>
      <w:r/>
      <w:r/>
      <w:r/>
      <w:r/>
      <w:r/>
      <w:r/>
      <w:r/>
      <w:r/>
      <w:r/>
      <w:r/>
      <w:r/>
      <w:r/>
      <w:r/>
      <w:r/>
      <w:r/>
      <w:r/>
      <w:r/>
    </w:p>
    <w:p>
      <w:pPr>
        <w:rPr>
          <w:rFonts w:asciiTheme="minorEastAsia" w:hAnsiTheme="minorEastAsia" w:eastAsiaTheme="minorEastAsia" w:cstheme="minorEastAsia"/>
          <w:b/>
          <w:bCs/>
          <w:color w:val="auto"/>
          <w:sz w:val="24"/>
          <w:highlight w:val="none"/>
        </w:rPr>
      </w:pPr>
      <w:r/>
      <w:r/>
      <w:r>
        <w:rPr>
          <w:rFonts w:hint="eastAsia" w:asciiTheme="minorEastAsia" w:hAnsiTheme="minorEastAsia" w:eastAsiaTheme="minorEastAsia" w:cstheme="minorEastAsia"/>
          <w:b/>
          <w:bCs/>
          <w:color w:val="auto"/>
          <w:sz w:val="24"/>
          <w:highlight w:val="none"/>
        </w:rPr>
        <w:br w:type="page" w:clear="all"/>
      </w:r>
      <w:r/>
    </w:p>
    <w:p>
      <w:pPr>
        <w:spacing w:line="360" w:lineRule="auto"/>
        <w:rPr>
          <w:rFonts w:asciiTheme="minorEastAsia" w:hAnsiTheme="minorEastAsia" w:eastAsiaTheme="minorEastAsia" w:cstheme="minorEastAsia"/>
          <w:b/>
          <w:color w:val="auto"/>
          <w:highlight w:val="none"/>
        </w:rPr>
        <w:outlineLvl w:val="1"/>
      </w:pPr>
      <w:r/>
      <w:bookmarkStart w:id="704" w:name="_Toc42"/>
      <w:r>
        <w:rPr>
          <w:rFonts w:hint="eastAsia" w:asciiTheme="minorEastAsia" w:hAnsiTheme="minorEastAsia" w:eastAsiaTheme="minorEastAsia" w:cstheme="minorEastAsia"/>
          <w:b/>
          <w:bCs/>
          <w:color w:val="auto"/>
          <w:sz w:val="24"/>
          <w:highlight w:val="none"/>
        </w:rPr>
        <w:t xml:space="preserve">附件一、</w:t>
      </w:r>
      <w:r>
        <w:rPr>
          <w:rFonts w:hint="eastAsia" w:asciiTheme="minorEastAsia" w:hAnsiTheme="minorEastAsia" w:eastAsiaTheme="minorEastAsia" w:cstheme="minorEastAsia"/>
          <w:b/>
          <w:color w:val="auto"/>
          <w:sz w:val="24"/>
          <w:highlight w:val="none"/>
        </w:rPr>
        <w:t xml:space="preserve">中小企业声明函格式</w:t>
      </w:r>
      <w:r/>
      <w:bookmarkEnd w:id="704"/>
      <w:r/>
      <w:r/>
    </w:p>
    <w:p>
      <w:pPr>
        <w:ind w:firstLine="562"/>
        <w:jc w:val="center"/>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中小企业声明函</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 法承担相应责任。</w:t>
      </w:r>
      <w:r/>
    </w:p>
    <w:p>
      <w:pPr>
        <w:ind w:firstLine="420"/>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（电子签章）：</w:t>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ind w:firstLine="420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8pt,12.6pt" to="175.0pt,12.7pt" filled="f" strokecolor="#000000" strokeweight="0.75pt">
                <v:stroke dashstyle="solid"/>
              </v:line>
            </w:pict>
          </mc:Fallback>
        </mc:AlternateContent>
      </w:r>
      <w:r/>
    </w:p>
    <w:p>
      <w:pPr>
        <w:ind w:firstLine="422"/>
        <w:jc w:val="left"/>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①从业人员、营业收入、资产总额填报上一年度数据，无上一年度数据的新成立企业可不填报。</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②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highlight w:val="none"/>
        </w:rPr>
        <w:t xml:space="preserve">③本项目所属行业为：其他未列明行业——科学研究和技术服务业。本项目所属行业中小企业划型标准如下：从业人员300人以下的为中小微型企业。其中，从业人员100人及以上的为中型企业；从业人员10人及以上的为小型企业；从业人员10人以下的为微型企业。</w:t>
      </w:r>
      <w:r/>
    </w:p>
    <w:p>
      <w:pPr>
        <w:ind w:firstLine="560"/>
        <w:jc w:val="right"/>
        <w:spacing w:line="360" w:lineRule="auto"/>
        <w:rPr>
          <w:rFonts w:asciiTheme="minorEastAsia" w:hAnsiTheme="minorEastAsia" w:eastAsiaTheme="minorEastAsia" w:cstheme="minorEastAsia"/>
          <w:color w:val="auto"/>
          <w:sz w:val="28"/>
          <w:szCs w:val="28"/>
          <w:highlight w:val="none"/>
          <w:u w:val="single"/>
        </w:rPr>
      </w:pPr>
      <w:r>
        <w:rPr>
          <w:rFonts w:asciiTheme="minorEastAsia" w:hAnsiTheme="minorEastAsia" w:eastAsiaTheme="minorEastAsia" w:cstheme="minorEastAsia"/>
          <w:color w:val="auto"/>
          <w:sz w:val="28"/>
          <w:szCs w:val="28"/>
          <w:highlight w:val="none"/>
          <w:u w:val="single"/>
        </w:rPr>
      </w:r>
      <w:r/>
    </w:p>
    <w:p>
      <w:pPr>
        <w:rPr>
          <w:rFonts w:asciiTheme="minorEastAsia" w:hAnsiTheme="minorEastAsia" w:eastAsiaTheme="minorEastAsia" w:cstheme="minorEastAsia"/>
          <w:b/>
          <w:color w:val="auto"/>
          <w:szCs w:val="21"/>
          <w:highlight w:val="none"/>
        </w:rPr>
        <w:outlineLvl w:val="1"/>
      </w:pPr>
      <w:r/>
      <w:bookmarkStart w:id="705" w:name="_Toc43"/>
      <w:r>
        <w:rPr>
          <w:rFonts w:hint="eastAsia" w:asciiTheme="minorEastAsia" w:hAnsiTheme="minorEastAsia" w:eastAsiaTheme="minorEastAsia" w:cstheme="minorEastAsia"/>
          <w:b/>
          <w:bCs/>
          <w:color w:val="auto"/>
          <w:sz w:val="24"/>
          <w:highlight w:val="none"/>
        </w:rPr>
        <w:br w:type="page" w:clear="all"/>
      </w:r>
      <w:r>
        <w:rPr>
          <w:rFonts w:hint="eastAsia" w:asciiTheme="minorEastAsia" w:hAnsiTheme="minorEastAsia" w:eastAsiaTheme="minorEastAsia" w:cstheme="minorEastAsia"/>
          <w:b/>
          <w:bCs/>
          <w:color w:val="auto"/>
          <w:sz w:val="24"/>
          <w:highlight w:val="none"/>
        </w:rPr>
        <w:t xml:space="preserve">附件二、残疾人福利性单位声明函（如有）</w:t>
      </w:r>
      <w:r/>
      <w:bookmarkEnd w:id="705"/>
      <w:r/>
      <w:r/>
    </w:p>
    <w:p>
      <w:pPr>
        <w:ind w:firstLine="562"/>
        <w:widowControl/>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ind w:firstLine="562"/>
        <w:jc w:val="center"/>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残疾人福利性单位声明函（如有）</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本单位对上述声明的真实性负责。如有虚假，将依法承担相应责任。</w:t>
      </w:r>
      <w:r/>
    </w:p>
    <w:p>
      <w:pPr>
        <w:ind w:firstLine="420"/>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82"/>
        <w:rPr>
          <w:rFonts w:asciiTheme="minorEastAsia" w:hAnsiTheme="minorEastAsia" w:eastAsiaTheme="minorEastAsia" w:cstheme="minorEastAsia"/>
          <w:b/>
          <w:bCs/>
          <w:color w:val="auto"/>
          <w:sz w:val="24"/>
          <w:highlight w:val="none"/>
          <w:lang w:val="zh-CN"/>
        </w:rPr>
      </w:pPr>
      <w:r/>
      <w:r/>
      <w:r/>
      <w:r/>
      <w:r/>
      <w:r/>
      <w:r/>
      <w:r/>
      <w:r/>
      <w:r/>
      <w:r/>
      <w:r/>
      <w:r/>
      <w:r/>
      <w:r/>
      <w:r/>
      <w:r/>
    </w:p>
    <w:p>
      <w:pPr>
        <w:rPr>
          <w:rFonts w:asciiTheme="minorEastAsia" w:hAnsiTheme="minorEastAsia" w:eastAsiaTheme="minorEastAsia" w:cstheme="minorEastAsia"/>
          <w:b/>
          <w:bCs/>
          <w:color w:val="auto"/>
          <w:sz w:val="24"/>
          <w:highlight w:val="none"/>
          <w:lang w:val="zh-CN"/>
        </w:rPr>
        <w:outlineLvl w:val="1"/>
      </w:pPr>
      <w:r/>
      <w:bookmarkStart w:id="706" w:name="_Toc44"/>
      <w:r>
        <w:rPr>
          <w:rFonts w:hint="eastAsia" w:asciiTheme="minorEastAsia" w:hAnsiTheme="minorEastAsia" w:eastAsiaTheme="minorEastAsia" w:cstheme="minorEastAsia"/>
          <w:b/>
          <w:bCs/>
          <w:color w:val="auto"/>
          <w:sz w:val="24"/>
          <w:highlight w:val="none"/>
          <w:lang w:val="zh-CN"/>
        </w:rPr>
        <w:t xml:space="preserve">附件</w:t>
      </w: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r/>
      <w:bookmarkEnd w:id="706"/>
      <w:r/>
      <w:r/>
    </w:p>
    <w:p>
      <w:pPr>
        <w:ind w:firstLine="482"/>
        <w:jc w:val="center"/>
        <w:rPr>
          <w:rFonts w:asciiTheme="minorEastAsia" w:hAnsiTheme="minorEastAsia" w:eastAsiaTheme="minorEastAsia" w:cstheme="minorEastAsia"/>
          <w:b/>
          <w:bCs/>
          <w:color w:val="auto"/>
          <w:sz w:val="24"/>
          <w:highlight w:val="none"/>
          <w:lang w:val="zh-CN"/>
        </w:rPr>
      </w:pPr>
      <w:r>
        <w:rPr>
          <w:rFonts w:asciiTheme="minorEastAsia" w:hAnsiTheme="minorEastAsia" w:eastAsiaTheme="minorEastAsia" w:cstheme="minorEastAsia"/>
          <w:b/>
          <w:bCs/>
          <w:color w:val="auto"/>
          <w:sz w:val="24"/>
          <w:highlight w:val="none"/>
          <w:lang w:val="zh-CN"/>
        </w:rPr>
      </w:r>
      <w:r/>
    </w:p>
    <w:p>
      <w:pPr>
        <w:ind w:firstLine="482"/>
        <w:jc w:val="center"/>
        <w:spacing w:line="460" w:lineRule="exact"/>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asciiTheme="minorEastAsia" w:hAnsiTheme="minorEastAsia" w:eastAsiaTheme="minorEastAsia" w:cstheme="minorEastAsia"/>
          <w:color w:val="auto"/>
          <w:spacing w:val="6"/>
          <w:szCs w:val="21"/>
          <w:highlight w:val="none"/>
        </w:rPr>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主要设备有：     。</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主要专业技术能力有：      。</w:t>
      </w:r>
      <w:r/>
    </w:p>
    <w:p>
      <w:pPr>
        <w:ind w:firstLine="480"/>
        <w:spacing w:line="4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right="420"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82"/>
        <w:spacing w:line="240" w:lineRule="atLeast"/>
        <w:widowControl/>
        <w:rPr>
          <w:rFonts w:asciiTheme="minorEastAsia" w:hAnsiTheme="minorEastAsia" w:eastAsiaTheme="minorEastAsia" w:cstheme="minorEastAsia"/>
          <w:b/>
          <w:color w:val="auto"/>
          <w:sz w:val="24"/>
          <w:highlight w:val="none"/>
        </w:rPr>
      </w:pPr>
      <w:r/>
      <w:r/>
      <w:r/>
      <w:r/>
      <w:r/>
      <w:r/>
      <w:r/>
      <w:r/>
      <w:r/>
      <w:r/>
    </w:p>
    <w:p>
      <w:pPr>
        <w:spacing w:line="360" w:lineRule="auto"/>
        <w:widowControl/>
        <w:rPr>
          <w:rFonts w:asciiTheme="minorEastAsia" w:hAnsiTheme="minorEastAsia" w:eastAsiaTheme="minorEastAsia" w:cstheme="minorEastAsia"/>
          <w:b/>
          <w:color w:val="auto"/>
          <w:sz w:val="24"/>
          <w:highlight w:val="none"/>
        </w:rPr>
        <w:outlineLvl w:val="1"/>
      </w:pPr>
      <w:r/>
      <w:bookmarkStart w:id="707" w:name="_Toc45"/>
      <w:r>
        <w:rPr>
          <w:rFonts w:hint="eastAsia" w:asciiTheme="minorEastAsia" w:hAnsiTheme="minorEastAsia" w:eastAsiaTheme="minorEastAsia" w:cstheme="minorEastAsia"/>
          <w:b/>
          <w:color w:val="auto"/>
          <w:sz w:val="24"/>
          <w:highlight w:val="none"/>
        </w:rPr>
        <w:t xml:space="preserve">附件四：无重大违法记录声明格式</w:t>
      </w:r>
      <w:r/>
      <w:bookmarkEnd w:id="707"/>
      <w:r/>
      <w:r/>
    </w:p>
    <w:p>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 xml:space="preserve">无重大违法记录声明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南京市规划和自然资源局江宁分局：</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13"/>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13"/>
                          </w:pPr>
                          <w:r>
                            <w:fldChar w:fldCharType="begin"/>
                          </w:r>
                          <w:r>
                            <w:instrText xml:space="preserve"> PAGE  \* MERGEFORMAT </w:instrText>
                          </w:r>
                          <w:r>
                            <w:fldChar w:fldCharType="separate"/>
                          </w:r>
                          <w:r>
                            <w:t xml:space="preserve">- 18 -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- 18 -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96"/>
    <w:link w:val="689"/>
    <w:uiPriority w:val="9"/>
    <w:rPr>
      <w:rFonts w:ascii="Arial" w:hAnsi="Arial" w:eastAsia="Arial" w:cs="Arial"/>
      <w:sz w:val="30"/>
      <w:szCs w:val="30"/>
    </w:rPr>
  </w:style>
  <w:style w:type="character" w:styleId="19">
    <w:name w:val="Heading 4 Char"/>
    <w:basedOn w:val="696"/>
    <w:link w:val="690"/>
    <w:uiPriority w:val="9"/>
    <w:rPr>
      <w:rFonts w:ascii="Arial" w:hAnsi="Arial" w:eastAsia="Arial" w:cs="Arial"/>
      <w:b/>
      <w:bCs/>
      <w:sz w:val="26"/>
      <w:szCs w:val="26"/>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6"/>
    <w:link w:val="726"/>
    <w:uiPriority w:val="10"/>
    <w:rPr>
      <w:sz w:val="48"/>
      <w:szCs w:val="48"/>
    </w:rPr>
  </w:style>
  <w:style w:type="character" w:styleId="36">
    <w:name w:val="Subtitle Char"/>
    <w:basedOn w:val="696"/>
    <w:link w:val="719"/>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13"/>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0"/>
    <w:uiPriority w:val="99"/>
    <w:rPr>
      <w:sz w:val="18"/>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7"/>
    <w:uiPriority w:val="0"/>
    <w:qFormat/>
    <w:pPr>
      <w:jc w:val="both"/>
      <w:widowControl w:val="off"/>
    </w:pPr>
    <w:rPr>
      <w:rFonts w:ascii="Calibri" w:hAnsi="Calibri" w:eastAsia="宋体" w:cs="Times New Roman"/>
      <w:sz w:val="21"/>
      <w:szCs w:val="24"/>
      <w:lang w:val="en-US" w:eastAsia="zh-CN" w:bidi="ar-SA"/>
    </w:rPr>
  </w:style>
  <w:style w:type="paragraph" w:styleId="687">
    <w:name w:val="Heading 1"/>
    <w:basedOn w:val="686"/>
    <w:next w:val="686"/>
    <w:link w:val="744"/>
    <w:uiPriority w:val="0"/>
    <w:qFormat/>
    <w:pPr>
      <w:keepLines/>
      <w:keepNext/>
      <w:spacing w:before="340" w:after="330" w:line="576" w:lineRule="auto"/>
      <w:outlineLvl w:val="0"/>
    </w:pPr>
    <w:rPr>
      <w:b/>
      <w:bCs/>
      <w:sz w:val="44"/>
      <w:szCs w:val="44"/>
    </w:rPr>
  </w:style>
  <w:style w:type="paragraph" w:styleId="688">
    <w:name w:val="Heading 2"/>
    <w:basedOn w:val="686"/>
    <w:next w:val="686"/>
    <w:link w:val="745"/>
    <w:uiPriority w:val="0"/>
    <w:qFormat/>
    <w:pPr>
      <w:keepLines/>
      <w:keepNext/>
      <w:spacing w:before="260" w:after="260" w:line="413" w:lineRule="auto"/>
      <w:outlineLvl w:val="1"/>
    </w:pPr>
    <w:rPr>
      <w:rFonts w:ascii="Arial" w:hAnsi="Arial" w:eastAsia="黑体"/>
      <w:b/>
      <w:bCs/>
      <w:sz w:val="32"/>
      <w:szCs w:val="32"/>
    </w:rPr>
  </w:style>
  <w:style w:type="paragraph" w:styleId="689">
    <w:name w:val="Heading 3"/>
    <w:basedOn w:val="686"/>
    <w:next w:val="686"/>
    <w:link w:val="746"/>
    <w:uiPriority w:val="0"/>
    <w:qFormat/>
    <w:pPr>
      <w:keepLines/>
      <w:keepNext/>
      <w:spacing w:before="260" w:after="260" w:line="413" w:lineRule="auto"/>
      <w:outlineLvl w:val="2"/>
    </w:pPr>
    <w:rPr>
      <w:b/>
      <w:bCs/>
      <w:sz w:val="32"/>
      <w:szCs w:val="32"/>
    </w:rPr>
  </w:style>
  <w:style w:type="paragraph" w:styleId="690">
    <w:name w:val="Heading 4"/>
    <w:basedOn w:val="686"/>
    <w:next w:val="698"/>
    <w:link w:val="747"/>
    <w:uiPriority w:val="0"/>
    <w:qFormat/>
    <w:pPr>
      <w:keepLines/>
      <w:keepNext/>
      <w:spacing w:before="120" w:after="120"/>
      <w:outlineLvl w:val="3"/>
    </w:pPr>
    <w:rPr>
      <w:rFonts w:ascii="Arial" w:hAnsi="Arial" w:eastAsia="黑体"/>
      <w:b/>
      <w:sz w:val="28"/>
      <w:szCs w:val="20"/>
    </w:rPr>
  </w:style>
  <w:style w:type="paragraph" w:styleId="691">
    <w:name w:val="Heading 5"/>
    <w:basedOn w:val="686"/>
    <w:next w:val="686"/>
    <w:link w:val="748"/>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92">
    <w:name w:val="Heading 6"/>
    <w:basedOn w:val="686"/>
    <w:next w:val="686"/>
    <w:link w:val="749"/>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93">
    <w:name w:val="Heading 7"/>
    <w:basedOn w:val="686"/>
    <w:next w:val="686"/>
    <w:link w:val="750"/>
    <w:uiPriority w:val="0"/>
    <w:qFormat/>
    <w:pPr>
      <w:ind w:left="1296" w:hanging="1296"/>
      <w:keepLines/>
      <w:keepNext/>
      <w:spacing w:before="240" w:after="64" w:line="317" w:lineRule="auto"/>
      <w:tabs>
        <w:tab w:val="left" w:pos="1296" w:leader="none"/>
      </w:tabs>
      <w:outlineLvl w:val="6"/>
    </w:pPr>
    <w:rPr>
      <w:b/>
      <w:bCs/>
      <w:sz w:val="24"/>
    </w:rPr>
  </w:style>
  <w:style w:type="paragraph" w:styleId="694">
    <w:name w:val="Heading 8"/>
    <w:basedOn w:val="686"/>
    <w:next w:val="686"/>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95">
    <w:name w:val="Heading 9"/>
    <w:basedOn w:val="686"/>
    <w:next w:val="686"/>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86"/>
    <w:uiPriority w:val="0"/>
    <w:qFormat/>
    <w:pPr>
      <w:ind w:firstLine="420"/>
    </w:pPr>
    <w:rPr>
      <w:szCs w:val="20"/>
    </w:rPr>
  </w:style>
  <w:style w:type="paragraph" w:styleId="699">
    <w:name w:val="List Number 2"/>
    <w:basedOn w:val="686"/>
    <w:uiPriority w:val="0"/>
    <w:qFormat/>
    <w:pPr>
      <w:ind w:left="1440" w:hanging="1440"/>
      <w:spacing w:line="360" w:lineRule="auto"/>
      <w:tabs>
        <w:tab w:val="left" w:pos="1440" w:leader="none"/>
      </w:tabs>
    </w:pPr>
    <w:rPr>
      <w:sz w:val="24"/>
    </w:rPr>
  </w:style>
  <w:style w:type="paragraph" w:styleId="700">
    <w:name w:val="List Number"/>
    <w:basedOn w:val="686"/>
    <w:uiPriority w:val="0"/>
    <w:qFormat/>
    <w:pPr>
      <w:ind w:left="2952" w:hanging="432"/>
      <w:tabs>
        <w:tab w:val="left" w:pos="2952" w:leader="none"/>
      </w:tabs>
    </w:pPr>
  </w:style>
  <w:style w:type="paragraph" w:styleId="701">
    <w:name w:val="Document Map"/>
    <w:basedOn w:val="686"/>
    <w:link w:val="751"/>
    <w:uiPriority w:val="0"/>
    <w:qFormat/>
    <w:pPr>
      <w:shd w:val="clear" w:color="auto" w:fill="000080"/>
    </w:pPr>
  </w:style>
  <w:style w:type="paragraph" w:styleId="702">
    <w:name w:val="annotation text"/>
    <w:basedOn w:val="686"/>
    <w:link w:val="752"/>
    <w:uiPriority w:val="0"/>
    <w:qFormat/>
    <w:pPr>
      <w:jc w:val="left"/>
    </w:pPr>
    <w:rPr>
      <w:szCs w:val="20"/>
    </w:rPr>
  </w:style>
  <w:style w:type="paragraph" w:styleId="703">
    <w:name w:val="Salutation"/>
    <w:basedOn w:val="686"/>
    <w:next w:val="686"/>
    <w:uiPriority w:val="0"/>
    <w:qFormat/>
    <w:rPr>
      <w:rFonts w:ascii="仿宋_GB2312" w:eastAsia="仿宋_GB2312"/>
      <w:sz w:val="28"/>
      <w:szCs w:val="20"/>
    </w:rPr>
  </w:style>
  <w:style w:type="paragraph" w:styleId="704">
    <w:name w:val="Body Text 3"/>
    <w:basedOn w:val="686"/>
    <w:uiPriority w:val="0"/>
    <w:qFormat/>
    <w:pPr>
      <w:spacing w:after="120"/>
    </w:pPr>
    <w:rPr>
      <w:sz w:val="16"/>
      <w:szCs w:val="16"/>
    </w:rPr>
  </w:style>
  <w:style w:type="paragraph" w:styleId="705">
    <w:name w:val="Body Text"/>
    <w:basedOn w:val="686"/>
    <w:uiPriority w:val="0"/>
    <w:qFormat/>
    <w:pPr>
      <w:jc w:val="center"/>
    </w:pPr>
    <w:rPr>
      <w:rFonts w:ascii="方正大黑简体" w:eastAsia="方正大黑简体"/>
      <w:position w:val="6"/>
      <w:sz w:val="30"/>
      <w:szCs w:val="20"/>
    </w:rPr>
  </w:style>
  <w:style w:type="paragraph" w:styleId="706">
    <w:name w:val="Body Text Indent"/>
    <w:basedOn w:val="686"/>
    <w:uiPriority w:val="0"/>
    <w:qFormat/>
    <w:pPr>
      <w:ind w:left="420"/>
      <w:spacing w:after="120"/>
    </w:pPr>
  </w:style>
  <w:style w:type="paragraph" w:styleId="707">
    <w:name w:val="toc 3"/>
    <w:basedOn w:val="686"/>
    <w:next w:val="686"/>
    <w:uiPriority w:val="39"/>
    <w:qFormat/>
    <w:pPr>
      <w:ind w:left="840"/>
    </w:pPr>
  </w:style>
  <w:style w:type="paragraph" w:styleId="708">
    <w:name w:val="Plain Text"/>
    <w:basedOn w:val="686"/>
    <w:link w:val="753"/>
    <w:uiPriority w:val="0"/>
    <w:qFormat/>
    <w:rPr>
      <w:rFonts w:ascii="宋体" w:hAnsi="Courier New"/>
      <w:szCs w:val="21"/>
    </w:rPr>
  </w:style>
  <w:style w:type="paragraph" w:styleId="709">
    <w:name w:val="index 3"/>
    <w:basedOn w:val="686"/>
    <w:next w:val="686"/>
    <w:uiPriority w:val="0"/>
    <w:qFormat/>
    <w:pPr>
      <w:ind w:left="840"/>
    </w:pPr>
    <w:rPr>
      <w:szCs w:val="20"/>
    </w:rPr>
  </w:style>
  <w:style w:type="paragraph" w:styleId="710">
    <w:name w:val="Date"/>
    <w:basedOn w:val="686"/>
    <w:next w:val="686"/>
    <w:uiPriority w:val="0"/>
    <w:qFormat/>
    <w:pPr>
      <w:ind w:left="100"/>
    </w:pPr>
    <w:rPr>
      <w:sz w:val="28"/>
      <w:szCs w:val="20"/>
    </w:rPr>
  </w:style>
  <w:style w:type="paragraph" w:styleId="711">
    <w:name w:val="Body Text Indent 2"/>
    <w:basedOn w:val="686"/>
    <w:uiPriority w:val="0"/>
    <w:qFormat/>
    <w:pPr>
      <w:ind w:firstLine="480"/>
      <w:spacing w:line="400" w:lineRule="exact"/>
    </w:pPr>
    <w:rPr>
      <w:rFonts w:ascii="宋体" w:hAnsi="宋体"/>
      <w:sz w:val="24"/>
    </w:rPr>
  </w:style>
  <w:style w:type="paragraph" w:styleId="712">
    <w:name w:val="Balloon Text"/>
    <w:basedOn w:val="686"/>
    <w:link w:val="754"/>
    <w:uiPriority w:val="0"/>
    <w:qFormat/>
    <w:rPr>
      <w:sz w:val="18"/>
      <w:szCs w:val="18"/>
    </w:rPr>
  </w:style>
  <w:style w:type="paragraph" w:styleId="713">
    <w:name w:val="Footer"/>
    <w:basedOn w:val="686"/>
    <w:link w:val="755"/>
    <w:uiPriority w:val="0"/>
    <w:qFormat/>
    <w:pPr>
      <w:jc w:val="left"/>
      <w:tabs>
        <w:tab w:val="center" w:pos="4153" w:leader="none"/>
        <w:tab w:val="right" w:pos="8306" w:leader="none"/>
      </w:tabs>
    </w:pPr>
    <w:rPr>
      <w:sz w:val="18"/>
      <w:szCs w:val="18"/>
    </w:rPr>
  </w:style>
  <w:style w:type="paragraph" w:styleId="714">
    <w:name w:val="Header"/>
    <w:basedOn w:val="686"/>
    <w:link w:val="756"/>
    <w:uiPriority w:val="0"/>
    <w:qFormat/>
    <w:pPr>
      <w:jc w:val="center"/>
      <w:tabs>
        <w:tab w:val="center" w:pos="4153" w:leader="none"/>
        <w:tab w:val="right" w:pos="8306" w:leader="none"/>
      </w:tabs>
      <w:pBdr>
        <w:bottom w:val="single" w:color="auto" w:sz="6" w:space="1"/>
      </w:pBdr>
    </w:pPr>
    <w:rPr>
      <w:sz w:val="18"/>
      <w:szCs w:val="18"/>
    </w:rPr>
  </w:style>
  <w:style w:type="paragraph" w:styleId="715">
    <w:name w:val="Signature"/>
    <w:basedOn w:val="686"/>
    <w:uiPriority w:val="0"/>
    <w:qFormat/>
    <w:pPr>
      <w:jc w:val="center"/>
      <w:spacing w:after="600" w:line="312" w:lineRule="atLeast"/>
    </w:pPr>
    <w:rPr>
      <w:rFonts w:eastAsia="仿宋_GB2312"/>
      <w:sz w:val="24"/>
      <w:szCs w:val="20"/>
    </w:rPr>
  </w:style>
  <w:style w:type="paragraph" w:styleId="716">
    <w:name w:val="toc 1"/>
    <w:basedOn w:val="686"/>
    <w:next w:val="686"/>
    <w:uiPriority w:val="39"/>
    <w:qFormat/>
  </w:style>
  <w:style w:type="paragraph" w:styleId="717">
    <w:name w:val="index heading"/>
    <w:basedOn w:val="686"/>
    <w:next w:val="718"/>
    <w:uiPriority w:val="0"/>
    <w:qFormat/>
    <w:rPr>
      <w:szCs w:val="20"/>
    </w:rPr>
  </w:style>
  <w:style w:type="paragraph" w:styleId="718">
    <w:name w:val="index 1"/>
    <w:basedOn w:val="686"/>
    <w:next w:val="686"/>
    <w:uiPriority w:val="0"/>
    <w:qFormat/>
    <w:pPr>
      <w:jc w:val="center"/>
      <w:tabs>
        <w:tab w:val="left" w:pos="1260" w:leader="none"/>
      </w:tabs>
    </w:pPr>
    <w:rPr>
      <w:rFonts w:ascii="仿宋_GB2312" w:hAnsi="宋体" w:eastAsia="仿宋_GB2312"/>
      <w:sz w:val="30"/>
      <w:szCs w:val="20"/>
    </w:rPr>
  </w:style>
  <w:style w:type="paragraph" w:styleId="719">
    <w:name w:val="Subtitle"/>
    <w:basedOn w:val="686"/>
    <w:next w:val="686"/>
    <w:link w:val="757"/>
    <w:uiPriority w:val="0"/>
    <w:qFormat/>
    <w:pPr>
      <w:jc w:val="center"/>
      <w:spacing w:after="560"/>
      <w:widowControl/>
    </w:pPr>
    <w:rPr>
      <w:rFonts w:ascii="Cambria" w:hAnsi="Cambria"/>
      <w:caps/>
      <w:spacing w:val="20"/>
      <w:sz w:val="18"/>
      <w:szCs w:val="18"/>
      <w:lang w:eastAsia="en-US" w:bidi="en-US"/>
    </w:rPr>
  </w:style>
  <w:style w:type="paragraph" w:styleId="720">
    <w:name w:val="footnote text"/>
    <w:basedOn w:val="686"/>
    <w:uiPriority w:val="0"/>
    <w:qFormat/>
    <w:pPr>
      <w:jc w:val="left"/>
    </w:pPr>
    <w:rPr>
      <w:sz w:val="18"/>
      <w:szCs w:val="18"/>
    </w:rPr>
  </w:style>
  <w:style w:type="paragraph" w:styleId="721">
    <w:name w:val="Body Text Indent 3"/>
    <w:basedOn w:val="686"/>
    <w:uiPriority w:val="0"/>
    <w:qFormat/>
    <w:pPr>
      <w:ind w:left="480"/>
      <w:spacing w:before="120" w:after="120" w:line="264" w:lineRule="auto"/>
    </w:pPr>
    <w:rPr>
      <w:b/>
      <w:bCs/>
      <w:sz w:val="24"/>
      <w:szCs w:val="20"/>
    </w:rPr>
  </w:style>
  <w:style w:type="paragraph" w:styleId="722">
    <w:name w:val="toc 2"/>
    <w:basedOn w:val="686"/>
    <w:next w:val="686"/>
    <w:uiPriority w:val="39"/>
    <w:qFormat/>
    <w:pPr>
      <w:ind w:left="420"/>
    </w:pPr>
  </w:style>
  <w:style w:type="paragraph" w:styleId="723">
    <w:name w:val="Body Text 2"/>
    <w:basedOn w:val="686"/>
    <w:uiPriority w:val="0"/>
    <w:qFormat/>
    <w:pPr>
      <w:jc w:val="center"/>
    </w:pPr>
    <w:rPr>
      <w:b/>
      <w:bCs/>
      <w:sz w:val="72"/>
      <w:szCs w:val="20"/>
    </w:rPr>
  </w:style>
  <w:style w:type="paragraph" w:styleId="724">
    <w:name w:val="HTML Preformatted"/>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25">
    <w:name w:val="Normal (Web)"/>
    <w:basedOn w:val="686"/>
    <w:uiPriority w:val="0"/>
    <w:qFormat/>
    <w:pPr>
      <w:jc w:val="left"/>
      <w:spacing w:before="100" w:beforeAutospacing="1" w:after="100" w:afterAutospacing="1"/>
      <w:widowControl/>
    </w:pPr>
    <w:rPr>
      <w:rFonts w:ascii="宋体" w:hAnsi="宋体" w:cs="宋体"/>
      <w:sz w:val="24"/>
    </w:rPr>
  </w:style>
  <w:style w:type="paragraph" w:styleId="726">
    <w:name w:val="Title"/>
    <w:basedOn w:val="686"/>
    <w:next w:val="686"/>
    <w:uiPriority w:val="0"/>
    <w:qFormat/>
    <w:pPr>
      <w:jc w:val="center"/>
      <w:spacing w:line="420" w:lineRule="exact"/>
      <w:widowControl/>
    </w:pPr>
    <w:rPr>
      <w:rFonts w:eastAsia="黑体"/>
      <w:b/>
      <w:sz w:val="28"/>
      <w:szCs w:val="20"/>
      <w:lang w:val="en-GB"/>
    </w:rPr>
  </w:style>
  <w:style w:type="paragraph" w:styleId="727">
    <w:name w:val="annotation subject"/>
    <w:basedOn w:val="702"/>
    <w:next w:val="702"/>
    <w:uiPriority w:val="0"/>
    <w:qFormat/>
    <w:rPr>
      <w:b/>
      <w:bCs/>
      <w:szCs w:val="24"/>
    </w:rPr>
  </w:style>
  <w:style w:type="paragraph" w:styleId="728">
    <w:name w:val="Body Text First Indent"/>
    <w:basedOn w:val="705"/>
    <w:link w:val="758"/>
    <w:uiPriority w:val="0"/>
    <w:qFormat/>
    <w:pPr>
      <w:ind w:firstLine="420"/>
      <w:jc w:val="both"/>
      <w:spacing w:after="120"/>
    </w:pPr>
    <w:rPr>
      <w:rFonts w:ascii="Calibri" w:eastAsia="宋体"/>
      <w:position w:val="0"/>
      <w:sz w:val="21"/>
      <w:szCs w:val="24"/>
    </w:rPr>
  </w:style>
  <w:style w:type="paragraph" w:styleId="729">
    <w:name w:val="Body Text First Indent 2"/>
    <w:basedOn w:val="706"/>
    <w:uiPriority w:val="0"/>
    <w:qFormat/>
    <w:pPr>
      <w:ind w:firstLine="200"/>
      <w:spacing w:line="360" w:lineRule="auto"/>
    </w:pPr>
    <w:rPr>
      <w:rFonts w:ascii="宋体"/>
    </w:rPr>
  </w:style>
  <w:style w:type="table" w:styleId="730">
    <w:name w:val="Table Grid"/>
    <w:basedOn w:val="6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uiPriority w:val="0"/>
    <w:qFormat/>
    <w:rPr>
      <w:b/>
      <w:bCs/>
    </w:rPr>
  </w:style>
  <w:style w:type="character" w:styleId="732">
    <w:name w:val="page number"/>
    <w:basedOn w:val="696"/>
    <w:uiPriority w:val="0"/>
    <w:qFormat/>
  </w:style>
  <w:style w:type="character" w:styleId="733">
    <w:name w:val="FollowedHyperlink"/>
    <w:uiPriority w:val="0"/>
    <w:qFormat/>
    <w:rPr>
      <w:color w:val="800080"/>
      <w:u w:val="none"/>
    </w:rPr>
  </w:style>
  <w:style w:type="character" w:styleId="734">
    <w:name w:val="Emphasis"/>
    <w:basedOn w:val="696"/>
    <w:uiPriority w:val="20"/>
    <w:qFormat/>
  </w:style>
  <w:style w:type="character" w:styleId="735">
    <w:name w:val="line number"/>
    <w:basedOn w:val="696"/>
    <w:uiPriority w:val="0"/>
    <w:qFormat/>
  </w:style>
  <w:style w:type="character" w:styleId="736">
    <w:name w:val="Hyperlink"/>
    <w:uiPriority w:val="99"/>
    <w:qFormat/>
    <w:rPr>
      <w:color w:val="0000ff"/>
      <w:u w:val="none"/>
    </w:rPr>
  </w:style>
  <w:style w:type="character" w:styleId="737">
    <w:name w:val="HTML Code"/>
    <w:uiPriority w:val="99"/>
    <w:unhideWhenUsed/>
    <w:qFormat/>
    <w:rPr>
      <w:rFonts w:ascii="Courier New" w:hAnsi="Courier New"/>
      <w:sz w:val="20"/>
    </w:rPr>
  </w:style>
  <w:style w:type="character" w:styleId="738">
    <w:name w:val="annotation reference"/>
    <w:uiPriority w:val="0"/>
    <w:qFormat/>
    <w:rPr>
      <w:sz w:val="21"/>
      <w:szCs w:val="21"/>
    </w:rPr>
  </w:style>
  <w:style w:type="character" w:styleId="739">
    <w:name w:val="footnote reference"/>
    <w:uiPriority w:val="0"/>
    <w:qFormat/>
    <w:rPr>
      <w:vertAlign w:val="superscript"/>
    </w:rPr>
  </w:style>
  <w:style w:type="paragraph" w:styleId="740" w:customStyle="1">
    <w:name w:val="正文1"/>
    <w:basedOn w:val="686"/>
    <w:next w:val="686"/>
    <w:uiPriority w:val="0"/>
    <w:qFormat/>
    <w:pPr>
      <w:ind w:firstLine="510"/>
      <w:spacing w:before="156" w:line="360" w:lineRule="auto"/>
    </w:pPr>
    <w:rPr>
      <w:sz w:val="24"/>
      <w:szCs w:val="20"/>
    </w:rPr>
  </w:style>
  <w:style w:type="paragraph" w:styleId="741">
    <w:name w:val="List Paragraph"/>
    <w:basedOn w:val="686"/>
    <w:next w:val="686"/>
    <w:uiPriority w:val="0"/>
    <w:qFormat/>
    <w:pPr>
      <w:ind w:firstLine="420"/>
    </w:pPr>
  </w:style>
  <w:style w:type="paragraph" w:styleId="742" w:customStyle="1">
    <w:name w:val="首行缩进"/>
    <w:basedOn w:val="686"/>
    <w:uiPriority w:val="0"/>
    <w:qFormat/>
    <w:pPr>
      <w:ind w:firstLine="480"/>
    </w:pPr>
    <w:rPr>
      <w:lang w:val="zh-CN"/>
    </w:rPr>
  </w:style>
  <w:style w:type="paragraph" w:styleId="743" w:customStyle="1">
    <w:name w:val="索引 41"/>
    <w:basedOn w:val="686"/>
    <w:next w:val="686"/>
    <w:uiPriority w:val="0"/>
    <w:semiHidden/>
    <w:qFormat/>
    <w:pPr>
      <w:ind w:left="1260"/>
    </w:pPr>
    <w:rPr>
      <w:rFonts w:eastAsia="Calibri" w:cs="宋体"/>
      <w:sz w:val="20"/>
      <w:lang w:val="zh-CN"/>
    </w:rPr>
  </w:style>
  <w:style w:type="character" w:styleId="744" w:customStyle="1">
    <w:name w:val="标题 1 Char"/>
    <w:link w:val="687"/>
    <w:uiPriority w:val="0"/>
    <w:qFormat/>
    <w:rPr>
      <w:rFonts w:eastAsia="宋体"/>
      <w:b/>
      <w:bCs/>
      <w:sz w:val="44"/>
      <w:szCs w:val="44"/>
      <w:lang w:val="en-US" w:eastAsia="zh-CN" w:bidi="ar-SA"/>
    </w:rPr>
  </w:style>
  <w:style w:type="character" w:styleId="745" w:customStyle="1">
    <w:name w:val="标题 2 Char"/>
    <w:link w:val="688"/>
    <w:uiPriority w:val="0"/>
    <w:semiHidden/>
    <w:qFormat/>
    <w:rPr>
      <w:rFonts w:ascii="Arial" w:hAnsi="Arial" w:eastAsia="黑体"/>
      <w:b/>
      <w:bCs/>
      <w:sz w:val="32"/>
      <w:szCs w:val="32"/>
      <w:lang w:val="en-US" w:eastAsia="zh-CN" w:bidi="ar-SA"/>
    </w:rPr>
  </w:style>
  <w:style w:type="character" w:styleId="746" w:customStyle="1">
    <w:name w:val="标题 3 Char2"/>
    <w:link w:val="689"/>
    <w:uiPriority w:val="0"/>
    <w:semiHidden/>
    <w:qFormat/>
    <w:rPr>
      <w:rFonts w:eastAsia="宋体"/>
      <w:b/>
      <w:bCs/>
      <w:sz w:val="32"/>
      <w:szCs w:val="32"/>
      <w:lang w:val="en-US" w:eastAsia="zh-CN" w:bidi="ar-SA"/>
    </w:rPr>
  </w:style>
  <w:style w:type="character" w:styleId="747" w:customStyle="1">
    <w:name w:val="标题 4 Char"/>
    <w:link w:val="690"/>
    <w:uiPriority w:val="0"/>
    <w:qFormat/>
    <w:rPr>
      <w:rFonts w:ascii="Arial" w:hAnsi="Arial" w:eastAsia="黑体"/>
      <w:b/>
      <w:sz w:val="28"/>
      <w:lang w:val="en-US" w:eastAsia="zh-CN" w:bidi="ar-SA"/>
    </w:rPr>
  </w:style>
  <w:style w:type="character" w:styleId="748" w:customStyle="1">
    <w:name w:val="标题 5 Char"/>
    <w:link w:val="691"/>
    <w:uiPriority w:val="0"/>
    <w:semiHidden/>
    <w:qFormat/>
    <w:rPr>
      <w:rFonts w:eastAsia="宋体"/>
      <w:b/>
      <w:bCs/>
      <w:sz w:val="28"/>
      <w:szCs w:val="28"/>
      <w:lang w:val="en-US" w:eastAsia="zh-CN" w:bidi="ar-SA"/>
    </w:rPr>
  </w:style>
  <w:style w:type="character" w:styleId="749" w:customStyle="1">
    <w:name w:val="标题 6 Char"/>
    <w:link w:val="692"/>
    <w:uiPriority w:val="0"/>
    <w:semiHidden/>
    <w:qFormat/>
    <w:rPr>
      <w:rFonts w:ascii="Arial" w:hAnsi="Arial" w:eastAsia="黑体"/>
      <w:b/>
      <w:bCs/>
      <w:sz w:val="24"/>
      <w:szCs w:val="24"/>
      <w:lang w:val="en-US" w:eastAsia="zh-CN" w:bidi="ar-SA"/>
    </w:rPr>
  </w:style>
  <w:style w:type="character" w:styleId="750" w:customStyle="1">
    <w:name w:val="标题 7 Char"/>
    <w:link w:val="693"/>
    <w:uiPriority w:val="0"/>
    <w:semiHidden/>
    <w:qFormat/>
    <w:rPr>
      <w:rFonts w:eastAsia="宋体"/>
      <w:b/>
      <w:bCs/>
      <w:sz w:val="24"/>
      <w:szCs w:val="24"/>
      <w:lang w:val="en-US" w:eastAsia="zh-CN" w:bidi="ar-SA"/>
    </w:rPr>
  </w:style>
  <w:style w:type="character" w:styleId="751" w:customStyle="1">
    <w:name w:val="文档结构图 Char"/>
    <w:link w:val="701"/>
    <w:uiPriority w:val="0"/>
    <w:semiHidden/>
    <w:qFormat/>
    <w:rPr>
      <w:rFonts w:eastAsia="宋体"/>
      <w:sz w:val="21"/>
      <w:szCs w:val="24"/>
      <w:lang w:val="en-US" w:eastAsia="zh-CN" w:bidi="ar-SA"/>
    </w:rPr>
  </w:style>
  <w:style w:type="character" w:styleId="752" w:customStyle="1">
    <w:name w:val="批注文字 Char"/>
    <w:link w:val="702"/>
    <w:uiPriority w:val="0"/>
    <w:qFormat/>
    <w:rPr>
      <w:rFonts w:eastAsia="宋体"/>
      <w:sz w:val="21"/>
      <w:lang w:val="en-US" w:eastAsia="zh-CN" w:bidi="ar-SA"/>
    </w:rPr>
  </w:style>
  <w:style w:type="character" w:styleId="753" w:customStyle="1">
    <w:name w:val="纯文本 Char"/>
    <w:link w:val="708"/>
    <w:uiPriority w:val="0"/>
    <w:qFormat/>
    <w:rPr>
      <w:rFonts w:ascii="宋体" w:hAnsi="Courier New" w:eastAsia="宋体"/>
      <w:sz w:val="21"/>
      <w:szCs w:val="21"/>
      <w:lang w:val="en-US" w:eastAsia="zh-CN" w:bidi="ar-SA"/>
    </w:rPr>
  </w:style>
  <w:style w:type="character" w:styleId="754" w:customStyle="1">
    <w:name w:val="批注框文本 Char"/>
    <w:link w:val="712"/>
    <w:uiPriority w:val="0"/>
    <w:semiHidden/>
    <w:qFormat/>
    <w:rPr>
      <w:rFonts w:eastAsia="宋体"/>
      <w:sz w:val="18"/>
      <w:szCs w:val="18"/>
      <w:lang w:val="en-US" w:eastAsia="zh-CN" w:bidi="ar-SA"/>
    </w:rPr>
  </w:style>
  <w:style w:type="character" w:styleId="755" w:customStyle="1">
    <w:name w:val="页脚 Char"/>
    <w:link w:val="713"/>
    <w:uiPriority w:val="0"/>
    <w:qFormat/>
    <w:rPr>
      <w:rFonts w:eastAsia="宋体"/>
      <w:sz w:val="18"/>
      <w:szCs w:val="18"/>
      <w:lang w:val="en-US" w:eastAsia="zh-CN" w:bidi="ar-SA"/>
    </w:rPr>
  </w:style>
  <w:style w:type="character" w:styleId="756" w:customStyle="1">
    <w:name w:val="页眉 Char"/>
    <w:link w:val="714"/>
    <w:uiPriority w:val="0"/>
    <w:qFormat/>
    <w:rPr>
      <w:rFonts w:eastAsia="宋体"/>
      <w:sz w:val="18"/>
      <w:szCs w:val="18"/>
      <w:lang w:val="en-US" w:eastAsia="zh-CN" w:bidi="ar-SA"/>
    </w:rPr>
  </w:style>
  <w:style w:type="character" w:styleId="757" w:customStyle="1">
    <w:name w:val="副标题 Char"/>
    <w:link w:val="719"/>
    <w:uiPriority w:val="0"/>
    <w:qFormat/>
    <w:rPr>
      <w:rFonts w:ascii="Cambria" w:hAnsi="Cambria" w:eastAsia="宋体"/>
      <w:caps/>
      <w:spacing w:val="20"/>
      <w:sz w:val="18"/>
      <w:szCs w:val="18"/>
      <w:lang w:val="en-US" w:eastAsia="en-US" w:bidi="en-US"/>
    </w:rPr>
  </w:style>
  <w:style w:type="character" w:styleId="758" w:customStyle="1">
    <w:name w:val="正文首行缩进 Char"/>
    <w:link w:val="728"/>
    <w:uiPriority w:val="0"/>
    <w:qFormat/>
    <w:rPr>
      <w:rFonts w:eastAsia="宋体"/>
      <w:sz w:val="21"/>
      <w:szCs w:val="24"/>
      <w:lang w:val="en-US" w:eastAsia="zh-CN" w:bidi="ar-SA"/>
    </w:rPr>
  </w:style>
  <w:style w:type="character" w:styleId="759" w:customStyle="1">
    <w:name w:val="标准文本 Char Char"/>
    <w:uiPriority w:val="0"/>
    <w:qFormat/>
    <w:rPr>
      <w:rFonts w:eastAsia="宋体" w:cs="宋体"/>
      <w:sz w:val="24"/>
      <w:szCs w:val="24"/>
      <w:lang w:val="en-US" w:eastAsia="zh-CN" w:bidi="ar-SA"/>
    </w:rPr>
  </w:style>
  <w:style w:type="character" w:styleId="760"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761" w:customStyle="1">
    <w:name w:val="Body text1"/>
    <w:uiPriority w:val="0"/>
    <w:qFormat/>
    <w:rPr>
      <w:rFonts w:ascii="宋体" w:hAnsi="宋体" w:eastAsia="宋体" w:cs="宋体"/>
      <w:color w:val="000000"/>
      <w:spacing w:val="0"/>
      <w:position w:val="0"/>
      <w:sz w:val="16"/>
      <w:szCs w:val="16"/>
      <w:lang w:val="zh-TW"/>
    </w:rPr>
  </w:style>
  <w:style w:type="character" w:styleId="762" w:customStyle="1">
    <w:name w:val="bds_more"/>
    <w:uiPriority w:val="0"/>
    <w:qFormat/>
    <w:rPr>
      <w:rFonts w:hint="eastAsia" w:ascii="宋体" w:hAnsi="宋体" w:eastAsia="宋体" w:cs="宋体"/>
    </w:rPr>
  </w:style>
  <w:style w:type="character" w:styleId="763" w:customStyle="1">
    <w:name w:val="bds_nopic"/>
    <w:basedOn w:val="696"/>
    <w:uiPriority w:val="0"/>
    <w:qFormat/>
  </w:style>
  <w:style w:type="character" w:styleId="764" w:customStyle="1">
    <w:name w:val="normalfont1"/>
    <w:uiPriority w:val="0"/>
    <w:qFormat/>
    <w:rPr>
      <w:rFonts w:hint="default" w:ascii="ˎ̥" w:hAnsi="ˎ̥"/>
      <w:sz w:val="18"/>
      <w:szCs w:val="18"/>
      <w:u w:val="none"/>
    </w:rPr>
  </w:style>
  <w:style w:type="character" w:styleId="765" w:customStyle="1">
    <w:name w:val="小四 段落 宋体 Char Char Char1"/>
    <w:uiPriority w:val="0"/>
    <w:qFormat/>
    <w:rPr>
      <w:rFonts w:ascii="宋体" w:hAnsi="宋体" w:eastAsia="宋体"/>
      <w:sz w:val="24"/>
      <w:szCs w:val="24"/>
      <w:lang w:val="en-US" w:eastAsia="zh-CN" w:bidi="ar-SA"/>
    </w:rPr>
  </w:style>
  <w:style w:type="character" w:styleId="766" w:customStyle="1">
    <w:name w:val="Body text (6) + Spacing 1 pt"/>
    <w:uiPriority w:val="0"/>
    <w:qFormat/>
    <w:rPr>
      <w:rFonts w:ascii="宋体" w:hAnsi="宋体" w:eastAsia="宋体" w:cs="宋体"/>
      <w:color w:val="000000"/>
      <w:spacing w:val="30"/>
      <w:position w:val="0"/>
      <w:sz w:val="19"/>
      <w:szCs w:val="19"/>
      <w:lang w:val="zh-TW"/>
    </w:rPr>
  </w:style>
  <w:style w:type="character" w:styleId="767" w:customStyle="1">
    <w:name w:val="标题 3 Char"/>
    <w:uiPriority w:val="0"/>
    <w:qFormat/>
    <w:rPr>
      <w:rFonts w:eastAsia="仿宋_GB2312"/>
      <w:b/>
      <w:bCs/>
      <w:sz w:val="28"/>
      <w:szCs w:val="32"/>
      <w:lang w:val="en-US" w:eastAsia="zh-CN" w:bidi="ar-SA"/>
    </w:rPr>
  </w:style>
  <w:style w:type="character" w:styleId="768" w:customStyle="1">
    <w:name w:val="h Char Char"/>
    <w:uiPriority w:val="0"/>
    <w:qFormat/>
    <w:rPr>
      <w:sz w:val="18"/>
      <w:szCs w:val="18"/>
    </w:rPr>
  </w:style>
  <w:style w:type="character" w:styleId="769" w:customStyle="1">
    <w:name w:val="2nd level Char"/>
    <w:uiPriority w:val="0"/>
    <w:qFormat/>
    <w:rPr>
      <w:rFonts w:ascii="Arial" w:hAnsi="Arial" w:eastAsia="黑体"/>
      <w:b/>
      <w:bCs/>
      <w:sz w:val="32"/>
      <w:szCs w:val="32"/>
      <w:lang w:val="en-US" w:eastAsia="zh-CN" w:bidi="ar-SA"/>
    </w:rPr>
  </w:style>
  <w:style w:type="character" w:styleId="770" w:customStyle="1">
    <w:name w:val="font91"/>
    <w:uiPriority w:val="0"/>
    <w:qFormat/>
    <w:rPr>
      <w:rFonts w:hint="default" w:ascii="仿宋_GB2312" w:eastAsia="仿宋_GB2312" w:cs="仿宋_GB2312"/>
      <w:b/>
      <w:color w:val="000000"/>
      <w:sz w:val="36"/>
      <w:szCs w:val="36"/>
      <w:u w:val="none"/>
    </w:rPr>
  </w:style>
  <w:style w:type="character" w:styleId="771" w:customStyle="1">
    <w:name w:val="bds_more1"/>
    <w:basedOn w:val="696"/>
    <w:uiPriority w:val="0"/>
    <w:qFormat/>
  </w:style>
  <w:style w:type="character" w:styleId="772" w:customStyle="1">
    <w:name w:val="font51"/>
    <w:uiPriority w:val="0"/>
    <w:qFormat/>
    <w:rPr>
      <w:rFonts w:ascii="仿宋_GB2312" w:eastAsia="仿宋_GB2312" w:cs="仿宋_GB2312"/>
      <w:color w:val="000000"/>
      <w:sz w:val="48"/>
      <w:szCs w:val="48"/>
      <w:u w:val="none"/>
    </w:rPr>
  </w:style>
  <w:style w:type="character" w:styleId="773" w:customStyle="1">
    <w:name w:val="无间隔 Char"/>
    <w:link w:val="774"/>
    <w:uiPriority w:val="0"/>
    <w:qFormat/>
    <w:rPr>
      <w:rFonts w:eastAsia="微软雅黑"/>
      <w:sz w:val="24"/>
      <w:szCs w:val="22"/>
      <w:lang w:val="en-US" w:eastAsia="zh-CN" w:bidi="ar-SA"/>
    </w:rPr>
  </w:style>
  <w:style w:type="paragraph" w:styleId="774" w:customStyle="1">
    <w:name w:val="无间隔1"/>
    <w:link w:val="773"/>
    <w:uiPriority w:val="0"/>
    <w:qFormat/>
    <w:pPr>
      <w:jc w:val="both"/>
      <w:widowControl w:val="off"/>
    </w:pPr>
    <w:rPr>
      <w:rFonts w:ascii="Calibri" w:hAnsi="Calibri" w:eastAsia="微软雅黑" w:cs="Times New Roman"/>
      <w:sz w:val="24"/>
      <w:szCs w:val="22"/>
      <w:lang w:val="en-US" w:eastAsia="zh-CN" w:bidi="ar-SA"/>
    </w:rPr>
  </w:style>
  <w:style w:type="character" w:styleId="775" w:customStyle="1">
    <w:name w:val="font01"/>
    <w:uiPriority w:val="0"/>
    <w:qFormat/>
    <w:rPr>
      <w:rFonts w:ascii="仿宋_GB2312" w:eastAsia="仿宋_GB2312" w:cs="仿宋_GB2312"/>
      <w:color w:val="000000"/>
      <w:sz w:val="36"/>
      <w:szCs w:val="36"/>
      <w:u w:val="none"/>
    </w:rPr>
  </w:style>
  <w:style w:type="character" w:styleId="776" w:customStyle="1">
    <w:name w:val="Body text + 7.5 pt2"/>
    <w:uiPriority w:val="0"/>
    <w:qFormat/>
    <w:rPr>
      <w:rFonts w:ascii="宋体" w:hAnsi="宋体" w:eastAsia="宋体" w:cs="宋体"/>
      <w:color w:val="000000"/>
      <w:spacing w:val="-30"/>
      <w:position w:val="0"/>
      <w:sz w:val="15"/>
      <w:szCs w:val="15"/>
      <w:lang w:val="en-US"/>
    </w:rPr>
  </w:style>
  <w:style w:type="character" w:styleId="777" w:customStyle="1">
    <w:name w:val="Body text + 8.5 pt"/>
    <w:uiPriority w:val="0"/>
    <w:qFormat/>
    <w:rPr>
      <w:rFonts w:ascii="宋体" w:hAnsi="宋体" w:eastAsia="宋体" w:cs="宋体"/>
      <w:i/>
      <w:iCs/>
      <w:color w:val="000000"/>
      <w:spacing w:val="0"/>
      <w:position w:val="0"/>
      <w:sz w:val="17"/>
      <w:szCs w:val="17"/>
    </w:rPr>
  </w:style>
  <w:style w:type="character" w:styleId="778" w:customStyle="1">
    <w:name w:val="标准小四 Char Char"/>
    <w:uiPriority w:val="0"/>
    <w:qFormat/>
    <w:rPr>
      <w:rFonts w:ascii="Arial" w:hAnsi="Arial" w:eastAsia="宋体"/>
      <w:sz w:val="24"/>
      <w:szCs w:val="21"/>
      <w:lang w:val="en-US" w:eastAsia="zh-CN" w:bidi="ar-SA"/>
    </w:rPr>
  </w:style>
  <w:style w:type="character" w:styleId="779" w:customStyle="1">
    <w:name w:val="Footer Char"/>
    <w:uiPriority w:val="0"/>
    <w:qFormat/>
    <w:rPr>
      <w:rFonts w:cs="Times New Roman"/>
      <w:sz w:val="18"/>
      <w:szCs w:val="18"/>
    </w:rPr>
  </w:style>
  <w:style w:type="character" w:styleId="780" w:customStyle="1">
    <w:name w:val="Table caption (2)"/>
    <w:uiPriority w:val="0"/>
    <w:qFormat/>
    <w:rPr>
      <w:rFonts w:ascii="宋体" w:hAnsi="宋体" w:eastAsia="宋体" w:cs="宋体"/>
      <w:color w:val="000000"/>
      <w:spacing w:val="0"/>
      <w:position w:val="0"/>
      <w:sz w:val="19"/>
      <w:szCs w:val="19"/>
      <w:lang w:val="zh-TW"/>
    </w:rPr>
  </w:style>
  <w:style w:type="character" w:styleId="781" w:customStyle="1">
    <w:name w:val="Char Char2"/>
    <w:uiPriority w:val="0"/>
    <w:qFormat/>
    <w:rPr>
      <w:rFonts w:ascii="宋体" w:hAnsi="Courier New" w:eastAsia="宋体"/>
      <w:sz w:val="21"/>
      <w:szCs w:val="21"/>
      <w:lang w:val="en-US" w:eastAsia="zh-CN" w:bidi="ar-SA"/>
    </w:rPr>
  </w:style>
  <w:style w:type="character" w:styleId="782" w:customStyle="1">
    <w:name w:val="小四 段落 宋体 Char Char Char Char Char Char Char Char"/>
    <w:uiPriority w:val="0"/>
    <w:qFormat/>
    <w:rPr>
      <w:rFonts w:eastAsia="宋体"/>
      <w:sz w:val="24"/>
      <w:szCs w:val="24"/>
      <w:lang w:val="en-US" w:eastAsia="zh-CN" w:bidi="ar-SA"/>
    </w:rPr>
  </w:style>
  <w:style w:type="character" w:styleId="783" w:customStyle="1">
    <w:name w:val="1page sec3 Char"/>
    <w:uiPriority w:val="0"/>
    <w:qFormat/>
    <w:rPr>
      <w:rFonts w:eastAsia="宋体"/>
      <w:sz w:val="18"/>
      <w:lang w:val="en-US" w:eastAsia="zh-CN"/>
    </w:rPr>
  </w:style>
  <w:style w:type="character" w:styleId="784" w:customStyle="1">
    <w:name w:val="标题 3 Char1"/>
    <w:uiPriority w:val="0"/>
    <w:qFormat/>
    <w:rPr>
      <w:rFonts w:eastAsia="宋体"/>
      <w:b/>
      <w:bCs/>
      <w:sz w:val="32"/>
      <w:szCs w:val="32"/>
      <w:lang w:val="en-US" w:eastAsia="zh-CN" w:bidi="ar-SA"/>
    </w:rPr>
  </w:style>
  <w:style w:type="character" w:styleId="785" w:customStyle="1">
    <w:name w:val="样式 首行缩进:  2 字符 Char Char"/>
    <w:link w:val="786"/>
    <w:uiPriority w:val="0"/>
    <w:qFormat/>
    <w:rPr>
      <w:rFonts w:eastAsia="宋体" w:cs="宋体"/>
      <w:sz w:val="24"/>
      <w:lang w:val="en-US" w:eastAsia="zh-CN" w:bidi="ar-SA"/>
    </w:rPr>
  </w:style>
  <w:style w:type="paragraph" w:styleId="786" w:customStyle="1">
    <w:name w:val="样式 首行缩进:  2 字符"/>
    <w:basedOn w:val="686"/>
    <w:link w:val="785"/>
    <w:uiPriority w:val="0"/>
    <w:qFormat/>
    <w:pPr>
      <w:ind w:firstLine="480"/>
      <w:spacing w:line="360" w:lineRule="auto"/>
    </w:pPr>
    <w:rPr>
      <w:rFonts w:cs="宋体"/>
      <w:sz w:val="24"/>
      <w:szCs w:val="20"/>
    </w:rPr>
  </w:style>
  <w:style w:type="character" w:styleId="787" w:customStyle="1">
    <w:name w:val="sect1.2.3 Char1"/>
    <w:uiPriority w:val="0"/>
    <w:qFormat/>
    <w:rPr>
      <w:rFonts w:eastAsia="宋体"/>
      <w:b/>
      <w:bCs/>
      <w:sz w:val="32"/>
      <w:szCs w:val="32"/>
      <w:lang w:val="en-US" w:eastAsia="zh-CN" w:bidi="ar-SA"/>
    </w:rPr>
  </w:style>
  <w:style w:type="character" w:styleId="788" w:customStyle="1">
    <w:name w:val="bds_nopic2"/>
    <w:basedOn w:val="696"/>
    <w:uiPriority w:val="0"/>
    <w:qFormat/>
  </w:style>
  <w:style w:type="character" w:styleId="789" w:customStyle="1">
    <w:name w:val="Title1 Char"/>
    <w:uiPriority w:val="0"/>
    <w:qFormat/>
    <w:rPr>
      <w:rFonts w:eastAsia="宋体"/>
      <w:b/>
      <w:bCs/>
      <w:sz w:val="44"/>
      <w:szCs w:val="44"/>
      <w:lang w:val="en-US" w:eastAsia="zh-CN" w:bidi="ar-SA"/>
    </w:rPr>
  </w:style>
  <w:style w:type="character" w:styleId="790" w:customStyle="1">
    <w:name w:val="1page sec3 Char1"/>
    <w:uiPriority w:val="0"/>
    <w:qFormat/>
    <w:rPr>
      <w:sz w:val="18"/>
      <w:szCs w:val="18"/>
    </w:rPr>
  </w:style>
  <w:style w:type="character" w:styleId="791" w:customStyle="1">
    <w:name w:val="明显引用 Char"/>
    <w:link w:val="792"/>
    <w:uiPriority w:val="0"/>
    <w:qFormat/>
    <w:rPr>
      <w:rFonts w:ascii="Cambria" w:hAnsi="Cambria" w:eastAsia="宋体"/>
      <w:caps/>
      <w:color w:val="622423"/>
      <w:spacing w:val="5"/>
      <w:lang w:val="en-US" w:eastAsia="en-US" w:bidi="en-US"/>
    </w:rPr>
  </w:style>
  <w:style w:type="paragraph" w:styleId="792" w:customStyle="1">
    <w:name w:val="明显引用1"/>
    <w:basedOn w:val="686"/>
    <w:next w:val="686"/>
    <w:link w:val="791"/>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793" w:customStyle="1">
    <w:name w:val="font21"/>
    <w:uiPriority w:val="0"/>
    <w:qFormat/>
    <w:rPr>
      <w:rFonts w:hint="default" w:ascii="仿宋_GB2312" w:eastAsia="仿宋_GB2312" w:cs="仿宋_GB2312"/>
      <w:b/>
      <w:color w:val="000000"/>
      <w:sz w:val="24"/>
      <w:szCs w:val="24"/>
      <w:u w:val="none"/>
    </w:rPr>
  </w:style>
  <w:style w:type="character" w:styleId="794" w:customStyle="1">
    <w:name w:val="3zw"/>
    <w:basedOn w:val="696"/>
    <w:uiPriority w:val="0"/>
    <w:qFormat/>
  </w:style>
  <w:style w:type="character" w:styleId="795" w:customStyle="1">
    <w:name w:val="Body text (6) + 10 pt1"/>
    <w:uiPriority w:val="0"/>
    <w:qFormat/>
    <w:rPr>
      <w:rFonts w:ascii="宋体" w:hAnsi="宋体" w:eastAsia="宋体" w:cs="宋体"/>
      <w:color w:val="000000"/>
      <w:spacing w:val="0"/>
      <w:position w:val="0"/>
      <w:sz w:val="20"/>
      <w:szCs w:val="20"/>
      <w:lang w:val="en-US"/>
    </w:rPr>
  </w:style>
  <w:style w:type="character" w:styleId="796" w:customStyle="1">
    <w:name w:val="正文缩进 Char1"/>
    <w:link w:val="797"/>
    <w:uiPriority w:val="0"/>
    <w:qFormat/>
    <w:rPr>
      <w:rFonts w:eastAsia="宋体"/>
      <w:lang w:bidi="ar-SA"/>
    </w:rPr>
  </w:style>
  <w:style w:type="paragraph" w:styleId="797" w:customStyle="1">
    <w:name w:val="正文缩进1"/>
    <w:basedOn w:val="686"/>
    <w:link w:val="796"/>
    <w:uiPriority w:val="0"/>
    <w:qFormat/>
    <w:pPr>
      <w:ind w:firstLine="420"/>
    </w:pPr>
    <w:rPr>
      <w:sz w:val="20"/>
      <w:szCs w:val="20"/>
    </w:rPr>
  </w:style>
  <w:style w:type="character" w:styleId="798" w:customStyle="1">
    <w:name w:val="font61"/>
    <w:uiPriority w:val="0"/>
    <w:qFormat/>
    <w:rPr>
      <w:rFonts w:hint="default" w:ascii="仿宋_GB2312" w:eastAsia="仿宋_GB2312" w:cs="仿宋_GB2312"/>
      <w:b/>
      <w:color w:val="000000"/>
      <w:sz w:val="28"/>
      <w:szCs w:val="28"/>
      <w:u w:val="none"/>
    </w:rPr>
  </w:style>
  <w:style w:type="character" w:styleId="799" w:customStyle="1">
    <w:name w:val="Heading 2 Char"/>
    <w:uiPriority w:val="0"/>
    <w:qFormat/>
    <w:rPr>
      <w:rFonts w:ascii="Calibri Light" w:hAnsi="Calibri Light" w:eastAsia="宋体" w:cs="Times New Roman"/>
      <w:b/>
      <w:bCs/>
      <w:sz w:val="32"/>
      <w:szCs w:val="32"/>
    </w:rPr>
  </w:style>
  <w:style w:type="character" w:styleId="800" w:customStyle="1">
    <w:name w:val="H2 Char1"/>
    <w:uiPriority w:val="0"/>
    <w:qFormat/>
    <w:rPr>
      <w:rFonts w:ascii="Arial" w:hAnsi="Arial" w:eastAsia="黑体"/>
      <w:b/>
      <w:bCs/>
      <w:sz w:val="32"/>
      <w:szCs w:val="32"/>
      <w:lang w:val="en-US" w:eastAsia="zh-CN" w:bidi="ar-SA"/>
    </w:rPr>
  </w:style>
  <w:style w:type="character" w:styleId="801" w:customStyle="1">
    <w:name w:val="Body text (6)"/>
    <w:uiPriority w:val="0"/>
    <w:qFormat/>
    <w:rPr>
      <w:rFonts w:ascii="宋体" w:hAnsi="宋体" w:eastAsia="宋体" w:cs="宋体"/>
      <w:color w:val="000000"/>
      <w:spacing w:val="0"/>
      <w:position w:val="0"/>
      <w:sz w:val="19"/>
      <w:szCs w:val="19"/>
      <w:u w:val="single"/>
      <w:lang w:val="zh-TW"/>
    </w:rPr>
  </w:style>
  <w:style w:type="character" w:styleId="802"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803" w:customStyle="1">
    <w:name w:val="bds_more2"/>
    <w:basedOn w:val="696"/>
    <w:uiPriority w:val="0"/>
    <w:qFormat/>
  </w:style>
  <w:style w:type="character" w:styleId="804" w:customStyle="1">
    <w:name w:val="content_lineheight1"/>
    <w:basedOn w:val="696"/>
    <w:uiPriority w:val="0"/>
    <w:qFormat/>
  </w:style>
  <w:style w:type="character" w:styleId="805" w:customStyle="1">
    <w:name w:val="apple-style-span"/>
    <w:basedOn w:val="696"/>
    <w:uiPriority w:val="0"/>
    <w:qFormat/>
  </w:style>
  <w:style w:type="character" w:styleId="806" w:customStyle="1">
    <w:name w:val="bds_nopic1"/>
    <w:basedOn w:val="696"/>
    <w:uiPriority w:val="0"/>
    <w:qFormat/>
  </w:style>
  <w:style w:type="character" w:styleId="807" w:customStyle="1">
    <w:name w:val="样式 宋体"/>
    <w:uiPriority w:val="0"/>
    <w:qFormat/>
    <w:rPr>
      <w:rFonts w:ascii="宋体" w:hAnsi="宋体" w:eastAsia="宋体"/>
      <w:sz w:val="24"/>
      <w:szCs w:val="24"/>
    </w:rPr>
  </w:style>
  <w:style w:type="character" w:styleId="808" w:customStyle="1">
    <w:name w:val="t1"/>
    <w:uiPriority w:val="0"/>
    <w:qFormat/>
  </w:style>
  <w:style w:type="character" w:styleId="809" w:customStyle="1">
    <w:name w:val="样式 宋体 小四"/>
    <w:uiPriority w:val="0"/>
    <w:qFormat/>
    <w:rPr>
      <w:rFonts w:ascii="宋体" w:hAnsi="宋体"/>
      <w:sz w:val="24"/>
    </w:rPr>
  </w:style>
  <w:style w:type="character" w:styleId="810" w:customStyle="1">
    <w:name w:val="font81"/>
    <w:uiPriority w:val="0"/>
    <w:qFormat/>
    <w:rPr>
      <w:rFonts w:hint="eastAsia" w:ascii="仿宋" w:hAnsi="仿宋" w:eastAsia="仿宋" w:cs="仿宋"/>
      <w:color w:val="000000"/>
      <w:sz w:val="21"/>
      <w:szCs w:val="21"/>
      <w:u w:val="none"/>
    </w:rPr>
  </w:style>
  <w:style w:type="character" w:styleId="811" w:customStyle="1">
    <w:name w:val="Body text (6)_"/>
    <w:link w:val="812"/>
    <w:uiPriority w:val="0"/>
    <w:qFormat/>
    <w:rPr>
      <w:rFonts w:ascii="宋体" w:hAnsi="宋体" w:eastAsia="宋体" w:cs="宋体"/>
      <w:sz w:val="19"/>
      <w:szCs w:val="19"/>
    </w:rPr>
  </w:style>
  <w:style w:type="paragraph" w:styleId="812" w:customStyle="1">
    <w:name w:val="Body text (6)1"/>
    <w:basedOn w:val="686"/>
    <w:link w:val="811"/>
    <w:uiPriority w:val="0"/>
    <w:qFormat/>
    <w:pPr>
      <w:ind w:hanging="420"/>
      <w:jc w:val="both"/>
      <w:spacing w:line="408" w:lineRule="exact"/>
      <w:shd w:val="clear" w:color="auto" w:fill="ffffff"/>
    </w:pPr>
    <w:rPr>
      <w:rFonts w:ascii="宋体" w:hAnsi="宋体"/>
      <w:sz w:val="19"/>
      <w:szCs w:val="19"/>
    </w:rPr>
  </w:style>
  <w:style w:type="character" w:styleId="8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14" w:customStyle="1">
    <w:name w:val="Header Char"/>
    <w:uiPriority w:val="0"/>
    <w:qFormat/>
    <w:rPr>
      <w:rFonts w:cs="Times New Roman"/>
      <w:sz w:val="18"/>
      <w:szCs w:val="18"/>
    </w:rPr>
  </w:style>
  <w:style w:type="character" w:styleId="815" w:customStyle="1">
    <w:name w:val="小四 段落 宋体 Char Char Char Char1"/>
    <w:uiPriority w:val="0"/>
    <w:qFormat/>
    <w:rPr>
      <w:rFonts w:eastAsia="宋体"/>
      <w:sz w:val="24"/>
      <w:szCs w:val="24"/>
      <w:lang w:val="en-US" w:eastAsia="zh-CN" w:bidi="ar-SA"/>
    </w:rPr>
  </w:style>
  <w:style w:type="character" w:styleId="816" w:customStyle="1">
    <w:name w:val="subtitle1"/>
    <w:uiPriority w:val="0"/>
    <w:qFormat/>
    <w:rPr>
      <w:rFonts w:hint="default" w:ascii="Georgia" w:hAnsi="Georgia"/>
      <w:b/>
      <w:bCs/>
      <w:color w:val="666666"/>
      <w:sz w:val="18"/>
      <w:szCs w:val="18"/>
    </w:rPr>
  </w:style>
  <w:style w:type="character" w:styleId="817" w:customStyle="1">
    <w:name w:val="Table caption (2)_"/>
    <w:link w:val="818"/>
    <w:uiPriority w:val="0"/>
    <w:qFormat/>
    <w:rPr>
      <w:rFonts w:ascii="宋体" w:hAnsi="宋体" w:eastAsia="宋体" w:cs="宋体"/>
      <w:sz w:val="19"/>
      <w:szCs w:val="19"/>
    </w:rPr>
  </w:style>
  <w:style w:type="paragraph" w:styleId="818" w:customStyle="1">
    <w:name w:val="Table caption (2)1"/>
    <w:basedOn w:val="686"/>
    <w:link w:val="817"/>
    <w:uiPriority w:val="0"/>
    <w:qFormat/>
    <w:pPr>
      <w:spacing w:line="0" w:lineRule="atLeast"/>
      <w:shd w:val="clear" w:color="auto" w:fill="ffffff"/>
    </w:pPr>
    <w:rPr>
      <w:rFonts w:ascii="宋体" w:hAnsi="宋体"/>
      <w:sz w:val="19"/>
      <w:szCs w:val="19"/>
    </w:rPr>
  </w:style>
  <w:style w:type="character" w:styleId="819" w:customStyle="1">
    <w:name w:val="font11"/>
    <w:uiPriority w:val="0"/>
    <w:qFormat/>
    <w:rPr>
      <w:rFonts w:ascii="仿宋_GB2312" w:eastAsia="仿宋_GB2312" w:cs="仿宋_GB2312"/>
      <w:color w:val="000000"/>
      <w:sz w:val="24"/>
      <w:szCs w:val="24"/>
      <w:u w:val="none"/>
    </w:rPr>
  </w:style>
  <w:style w:type="character" w:styleId="820" w:customStyle="1">
    <w:name w:val="特点 Char1"/>
    <w:uiPriority w:val="0"/>
    <w:qFormat/>
    <w:rPr>
      <w:rFonts w:eastAsia="宋体"/>
      <w:sz w:val="21"/>
      <w:lang w:val="en-US" w:eastAsia="zh-CN" w:bidi="ar-SA"/>
    </w:rPr>
  </w:style>
  <w:style w:type="character" w:styleId="821"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822" w:customStyle="1">
    <w:name w:val="style131"/>
    <w:uiPriority w:val="0"/>
    <w:qFormat/>
    <w:rPr>
      <w:rFonts w:cs="Times New Roman"/>
      <w:sz w:val="18"/>
      <w:szCs w:val="18"/>
    </w:rPr>
  </w:style>
  <w:style w:type="character" w:styleId="823" w:customStyle="1">
    <w:name w:val="Body text_"/>
    <w:link w:val="824"/>
    <w:uiPriority w:val="0"/>
    <w:qFormat/>
    <w:rPr>
      <w:rFonts w:ascii="宋体" w:hAnsi="宋体" w:eastAsia="宋体" w:cs="宋体"/>
      <w:sz w:val="16"/>
      <w:szCs w:val="16"/>
    </w:rPr>
  </w:style>
  <w:style w:type="paragraph" w:styleId="824" w:customStyle="1">
    <w:name w:val="Body text3"/>
    <w:basedOn w:val="686"/>
    <w:link w:val="823"/>
    <w:uiPriority w:val="0"/>
    <w:qFormat/>
    <w:pPr>
      <w:jc w:val="both"/>
      <w:spacing w:before="300" w:line="360" w:lineRule="exact"/>
      <w:shd w:val="clear" w:color="auto" w:fill="ffffff"/>
    </w:pPr>
    <w:rPr>
      <w:rFonts w:ascii="宋体" w:hAnsi="宋体"/>
      <w:sz w:val="16"/>
      <w:szCs w:val="16"/>
    </w:rPr>
  </w:style>
  <w:style w:type="character" w:styleId="825" w:customStyle="1">
    <w:name w:val="Heading 1 Char"/>
    <w:uiPriority w:val="0"/>
    <w:qFormat/>
    <w:rPr>
      <w:rFonts w:ascii="Times New Roman" w:hAnsi="Times New Roman" w:eastAsia="宋体" w:cs="Times New Roman"/>
      <w:b/>
      <w:bCs/>
      <w:sz w:val="44"/>
      <w:szCs w:val="44"/>
    </w:rPr>
  </w:style>
  <w:style w:type="character" w:styleId="826" w:customStyle="1">
    <w:name w:val="引用 Char"/>
    <w:link w:val="827"/>
    <w:uiPriority w:val="0"/>
    <w:qFormat/>
    <w:rPr>
      <w:rFonts w:ascii="Cambria" w:hAnsi="Cambria" w:eastAsia="宋体"/>
      <w:i/>
      <w:iCs/>
      <w:sz w:val="22"/>
      <w:szCs w:val="22"/>
      <w:lang w:val="en-US" w:eastAsia="en-US" w:bidi="en-US"/>
    </w:rPr>
  </w:style>
  <w:style w:type="paragraph" w:styleId="827" w:customStyle="1">
    <w:name w:val="引用1"/>
    <w:basedOn w:val="686"/>
    <w:next w:val="686"/>
    <w:link w:val="826"/>
    <w:uiPriority w:val="0"/>
    <w:qFormat/>
    <w:pPr>
      <w:jc w:val="left"/>
      <w:spacing w:after="200" w:line="252" w:lineRule="auto"/>
      <w:widowControl/>
    </w:pPr>
    <w:rPr>
      <w:rFonts w:ascii="Cambria" w:hAnsi="Cambria"/>
      <w:i/>
      <w:iCs/>
      <w:sz w:val="22"/>
      <w:szCs w:val="22"/>
      <w:lang w:eastAsia="en-US" w:bidi="en-US"/>
    </w:rPr>
  </w:style>
  <w:style w:type="character" w:styleId="828" w:customStyle="1">
    <w:name w:val="font31"/>
    <w:uiPriority w:val="0"/>
    <w:qFormat/>
    <w:rPr>
      <w:rFonts w:hint="default" w:ascii="仿宋_GB2312" w:eastAsia="仿宋_GB2312" w:cs="仿宋_GB2312"/>
      <w:color w:val="000000"/>
      <w:sz w:val="36"/>
      <w:szCs w:val="36"/>
      <w:u w:val="none"/>
    </w:rPr>
  </w:style>
  <w:style w:type="character" w:styleId="829" w:customStyle="1">
    <w:name w:val="华宇段落1 Char Char Char"/>
    <w:uiPriority w:val="0"/>
    <w:qFormat/>
    <w:rPr>
      <w:rFonts w:eastAsia="宋体"/>
      <w:bCs/>
      <w:sz w:val="24"/>
      <w:szCs w:val="24"/>
      <w:lang w:val="en-US" w:eastAsia="zh-CN" w:bidi="ar-SA"/>
    </w:rPr>
  </w:style>
  <w:style w:type="character" w:styleId="830" w:customStyle="1">
    <w:name w:val="textcontents"/>
    <w:basedOn w:val="696"/>
    <w:uiPriority w:val="0"/>
    <w:qFormat/>
  </w:style>
  <w:style w:type="character" w:styleId="831" w:customStyle="1">
    <w:name w:val="1page sec3 Char2"/>
    <w:uiPriority w:val="0"/>
    <w:qFormat/>
    <w:rPr>
      <w:rFonts w:eastAsia="宋体"/>
      <w:sz w:val="18"/>
      <w:szCs w:val="18"/>
      <w:lang w:val="en-US" w:eastAsia="zh-CN" w:bidi="ar-SA"/>
    </w:rPr>
  </w:style>
  <w:style w:type="character" w:styleId="832" w:customStyle="1">
    <w:name w:val="Body text + 7.5 pt1"/>
    <w:uiPriority w:val="0"/>
    <w:qFormat/>
    <w:rPr>
      <w:rFonts w:ascii="宋体" w:hAnsi="宋体" w:eastAsia="宋体" w:cs="宋体"/>
      <w:color w:val="000000"/>
      <w:spacing w:val="0"/>
      <w:position w:val="0"/>
      <w:sz w:val="15"/>
      <w:szCs w:val="15"/>
      <w:lang w:val="en-US"/>
    </w:rPr>
  </w:style>
  <w:style w:type="character" w:styleId="833" w:customStyle="1">
    <w:name w:val="小四 段落 宋体 Char1"/>
    <w:uiPriority w:val="0"/>
    <w:qFormat/>
    <w:rPr>
      <w:rFonts w:eastAsia="宋体"/>
      <w:sz w:val="24"/>
      <w:szCs w:val="24"/>
      <w:lang w:val="en-US" w:eastAsia="zh-CN" w:bidi="ar-SA"/>
    </w:rPr>
  </w:style>
  <w:style w:type="character" w:styleId="834" w:customStyle="1">
    <w:name w:val="ih151"/>
    <w:uiPriority w:val="0"/>
    <w:qFormat/>
    <w:rPr>
      <w:color w:val="666666"/>
      <w:sz w:val="18"/>
      <w:szCs w:val="18"/>
      <w:u w:val="none"/>
    </w:rPr>
  </w:style>
  <w:style w:type="character" w:styleId="835" w:customStyle="1">
    <w:name w:val="正文 + 宋体 Char"/>
    <w:uiPriority w:val="0"/>
    <w:qFormat/>
    <w:rPr>
      <w:rFonts w:eastAsia="宋体"/>
      <w:sz w:val="21"/>
      <w:szCs w:val="24"/>
      <w:lang w:val="en-US" w:eastAsia="zh-CN" w:bidi="ar-SA"/>
    </w:rPr>
  </w:style>
  <w:style w:type="paragraph" w:styleId="836" w:customStyle="1">
    <w:name w:val="项目符号：一级"/>
    <w:basedOn w:val="837"/>
    <w:next w:val="837"/>
    <w:uiPriority w:val="0"/>
    <w:qFormat/>
    <w:pPr>
      <w:ind w:right="-134"/>
    </w:pPr>
    <w:rPr>
      <w:bCs w:val="0"/>
    </w:rPr>
  </w:style>
  <w:style w:type="paragraph" w:styleId="837" w:customStyle="1">
    <w:name w:val="正文格式"/>
    <w:basedOn w:val="686"/>
    <w:uiPriority w:val="0"/>
    <w:qFormat/>
    <w:pPr>
      <w:ind w:left="178" w:right="44" w:hanging="178"/>
      <w:jc w:val="left"/>
      <w:spacing w:line="360" w:lineRule="auto"/>
      <w:widowControl/>
    </w:pPr>
    <w:rPr>
      <w:rFonts w:ascii="宋体" w:hAnsi="宋体"/>
      <w:bCs/>
      <w:szCs w:val="21"/>
    </w:rPr>
  </w:style>
  <w:style w:type="paragraph" w:styleId="838" w:customStyle="1">
    <w:name w:val="CD 正文"/>
    <w:basedOn w:val="686"/>
    <w:uiPriority w:val="0"/>
    <w:qFormat/>
    <w:pPr>
      <w:jc w:val="left"/>
    </w:pPr>
    <w:rPr>
      <w:rFonts w:ascii="Arial" w:hAnsi="Arial" w:eastAsia="微软雅黑"/>
    </w:rPr>
  </w:style>
  <w:style w:type="paragraph" w:styleId="839" w:customStyle="1">
    <w:name w:val="默认段落字体 Para Char Char Char Char Char Char Char"/>
    <w:basedOn w:val="686"/>
    <w:uiPriority w:val="0"/>
    <w:qFormat/>
    <w:rPr>
      <w:rFonts w:ascii="Tahoma" w:hAnsi="Tahoma"/>
      <w:sz w:val="24"/>
      <w:szCs w:val="20"/>
    </w:rPr>
  </w:style>
  <w:style w:type="paragraph" w:styleId="840" w:customStyle="1">
    <w:name w:val="普通(网站)1"/>
    <w:basedOn w:val="686"/>
    <w:uiPriority w:val="0"/>
    <w:qFormat/>
    <w:pPr>
      <w:jc w:val="left"/>
      <w:spacing w:before="100" w:beforeAutospacing="1" w:after="100" w:afterAutospacing="1"/>
      <w:widowControl/>
    </w:pPr>
    <w:rPr>
      <w:rFonts w:ascii="宋体" w:cs="宋体"/>
      <w:sz w:val="24"/>
    </w:rPr>
  </w:style>
  <w:style w:type="paragraph" w:styleId="841" w:customStyle="1">
    <w:name w:val="样式 标题 3H32nd Subheadl3CTh3Level 3 Headlevel_3PIM 3Headi...2"/>
    <w:basedOn w:val="689"/>
    <w:uiPriority w:val="0"/>
    <w:qFormat/>
    <w:pPr>
      <w:ind w:left="709" w:hanging="709"/>
      <w:jc w:val="left"/>
      <w:spacing w:after="120" w:line="360" w:lineRule="auto"/>
      <w:tabs>
        <w:tab w:val="left" w:pos="709" w:leader="none"/>
      </w:tabs>
    </w:pPr>
    <w:rPr>
      <w:rFonts w:cs="宋体"/>
      <w:sz w:val="30"/>
      <w:szCs w:val="20"/>
    </w:rPr>
  </w:style>
  <w:style w:type="paragraph" w:styleId="842" w:customStyle="1">
    <w:name w:val="xl38"/>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43" w:customStyle="1">
    <w:name w:val="p0"/>
    <w:basedOn w:val="686"/>
    <w:uiPriority w:val="0"/>
    <w:qFormat/>
    <w:pPr>
      <w:widowControl/>
    </w:pPr>
    <w:rPr>
      <w:szCs w:val="21"/>
    </w:rPr>
  </w:style>
  <w:style w:type="paragraph" w:styleId="844" w:customStyle="1">
    <w:name w:val="xl33"/>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45" w:customStyle="1">
    <w:name w:val="项目符号，一级"/>
    <w:basedOn w:val="837"/>
    <w:next w:val="837"/>
    <w:uiPriority w:val="0"/>
    <w:qFormat/>
    <w:pPr>
      <w:ind w:left="376" w:firstLine="0"/>
      <w:spacing w:line="240" w:lineRule="atLeast"/>
      <w:tabs>
        <w:tab w:val="left" w:pos="1320" w:leader="none"/>
      </w:tabs>
    </w:pPr>
    <w:rPr>
      <w:bCs w:val="0"/>
      <w:color w:val="000000"/>
      <w:szCs w:val="24"/>
    </w:rPr>
  </w:style>
  <w:style w:type="paragraph" w:styleId="846" w:customStyle="1">
    <w:name w:val="二级条标题"/>
    <w:basedOn w:val="686"/>
    <w:next w:val="847"/>
    <w:uiPriority w:val="0"/>
    <w:qFormat/>
    <w:pPr>
      <w:ind w:hanging="420"/>
      <w:widowControl/>
      <w:tabs>
        <w:tab w:val="left" w:pos="2240" w:leader="none"/>
      </w:tabs>
      <w:outlineLvl w:val="3"/>
    </w:pPr>
    <w:rPr>
      <w:rFonts w:eastAsia="黑体"/>
      <w:szCs w:val="20"/>
    </w:rPr>
  </w:style>
  <w:style w:type="paragraph" w:styleId="847" w:customStyle="1">
    <w:name w:val="段"/>
    <w:next w:val="686"/>
    <w:uiPriority w:val="0"/>
    <w:qFormat/>
    <w:pPr>
      <w:ind w:firstLine="200"/>
      <w:jc w:val="both"/>
    </w:pPr>
    <w:rPr>
      <w:rFonts w:ascii="宋体" w:hAnsi="Calibri" w:eastAsia="宋体" w:cs="Times New Roman"/>
      <w:sz w:val="21"/>
      <w:lang w:val="en-US" w:eastAsia="zh-CN" w:bidi="ar-SA"/>
    </w:rPr>
  </w:style>
  <w:style w:type="paragraph" w:styleId="848" w:customStyle="1">
    <w:name w:val="默认段落字体 Para Char Char Char Char Char Char Char Char Char1 Char Char Char Char Char Char Char"/>
    <w:basedOn w:val="701"/>
    <w:uiPriority w:val="0"/>
    <w:qFormat/>
    <w:rPr>
      <w:szCs w:val="20"/>
    </w:rPr>
  </w:style>
  <w:style w:type="paragraph" w:styleId="849" w:customStyle="1">
    <w:name w:val="Char Char Char Char Char Char Char1"/>
    <w:basedOn w:val="686"/>
    <w:uiPriority w:val="0"/>
    <w:qFormat/>
    <w:pPr>
      <w:jc w:val="left"/>
    </w:pPr>
    <w:rPr>
      <w:rFonts w:ascii="Tahoma" w:hAnsi="Tahoma"/>
      <w:sz w:val="24"/>
      <w:szCs w:val="20"/>
    </w:rPr>
  </w:style>
  <w:style w:type="paragraph" w:styleId="850" w:customStyle="1">
    <w:name w:val="正文 首行缩进:  2 字符 Char"/>
    <w:basedOn w:val="686"/>
    <w:uiPriority w:val="0"/>
    <w:qFormat/>
    <w:pPr>
      <w:ind w:firstLine="480"/>
      <w:spacing w:line="360" w:lineRule="auto"/>
    </w:pPr>
    <w:rPr>
      <w:rFonts w:cs="宋体"/>
      <w:sz w:val="24"/>
      <w:szCs w:val="20"/>
    </w:rPr>
  </w:style>
  <w:style w:type="paragraph" w:styleId="851" w:customStyle="1">
    <w:name w:val="大标题"/>
    <w:basedOn w:val="686"/>
    <w:next w:val="686"/>
    <w:uiPriority w:val="0"/>
    <w:qFormat/>
    <w:pPr>
      <w:ind w:hanging="420"/>
      <w:pageBreakBefore/>
      <w:spacing w:line="360" w:lineRule="auto"/>
      <w:tabs>
        <w:tab w:val="left" w:pos="420" w:leader="none"/>
      </w:tabs>
      <w:outlineLvl w:val="0"/>
    </w:pPr>
    <w:rPr>
      <w:b/>
      <w:iCs/>
      <w:sz w:val="44"/>
    </w:rPr>
  </w:style>
  <w:style w:type="paragraph" w:styleId="852" w:customStyle="1">
    <w:name w:val="正文--表格内正文"/>
    <w:basedOn w:val="686"/>
    <w:uiPriority w:val="0"/>
    <w:qFormat/>
    <w:pPr>
      <w:jc w:val="center"/>
      <w:spacing w:line="0" w:lineRule="atLeast"/>
    </w:pPr>
    <w:rPr>
      <w:rFonts w:ascii="宋体" w:hAnsi="宋体"/>
      <w:color w:val="000000"/>
      <w:sz w:val="24"/>
    </w:rPr>
  </w:style>
  <w:style w:type="paragraph" w:styleId="853" w:customStyle="1">
    <w:name w:val="样式"/>
    <w:basedOn w:val="686"/>
    <w:uiPriority w:val="0"/>
    <w:qFormat/>
    <w:pPr>
      <w:spacing w:before="120" w:after="120" w:line="360" w:lineRule="auto"/>
    </w:pPr>
    <w:rPr>
      <w:rFonts w:ascii="宋体"/>
      <w:sz w:val="24"/>
      <w:szCs w:val="20"/>
    </w:rPr>
  </w:style>
  <w:style w:type="paragraph" w:styleId="854"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855" w:customStyle="1">
    <w:name w:val="Char Char Char Char Char"/>
    <w:basedOn w:val="686"/>
    <w:uiPriority w:val="0"/>
    <w:qFormat/>
    <w:rPr>
      <w:rFonts w:ascii="Tahoma" w:hAnsi="Tahoma"/>
      <w:sz w:val="24"/>
      <w:szCs w:val="20"/>
    </w:rPr>
  </w:style>
  <w:style w:type="paragraph" w:styleId="856" w:customStyle="1">
    <w:name w:val="表头_5"/>
    <w:basedOn w:val="686"/>
    <w:uiPriority w:val="0"/>
    <w:qFormat/>
    <w:pPr>
      <w:spacing w:line="360" w:lineRule="auto"/>
    </w:pPr>
    <w:rPr>
      <w:b/>
      <w:bCs/>
      <w:sz w:val="28"/>
      <w:szCs w:val="21"/>
    </w:rPr>
  </w:style>
  <w:style w:type="paragraph" w:styleId="857" w:customStyle="1">
    <w:name w:val="标题5，章节第五层"/>
    <w:basedOn w:val="686"/>
    <w:next w:val="68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858" w:customStyle="1">
    <w:name w:val="正文缩进2字符"/>
    <w:basedOn w:val="686"/>
    <w:uiPriority w:val="0"/>
    <w:qFormat/>
    <w:pPr>
      <w:ind w:firstLine="200"/>
      <w:spacing w:line="300" w:lineRule="auto"/>
    </w:pPr>
    <w:rPr>
      <w:rFonts w:ascii="仿宋_GB2312" w:eastAsia="仿宋_GB2312"/>
      <w:sz w:val="32"/>
      <w:szCs w:val="32"/>
    </w:rPr>
  </w:style>
  <w:style w:type="paragraph" w:styleId="859" w:customStyle="1">
    <w:name w:val="xl28"/>
    <w:basedOn w:val="686"/>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860" w:customStyle="1">
    <w:name w:val="条1"/>
    <w:basedOn w:val="686"/>
    <w:uiPriority w:val="0"/>
    <w:qFormat/>
    <w:pPr>
      <w:ind w:left="780" w:hanging="360"/>
      <w:spacing w:before="156" w:line="360" w:lineRule="auto"/>
      <w:tabs>
        <w:tab w:val="left" w:pos="780" w:leader="none"/>
      </w:tabs>
    </w:pPr>
    <w:rPr>
      <w:rFonts w:eastAsia="黑体"/>
      <w:sz w:val="24"/>
      <w:szCs w:val="20"/>
    </w:rPr>
  </w:style>
  <w:style w:type="paragraph" w:styleId="861" w:customStyle="1">
    <w:name w:val="Char"/>
    <w:basedOn w:val="686"/>
    <w:uiPriority w:val="0"/>
    <w:qFormat/>
    <w:pPr>
      <w:spacing w:line="360" w:lineRule="auto"/>
    </w:pPr>
    <w:rPr>
      <w:rFonts w:ascii="Tahoma" w:hAnsi="Tahoma"/>
      <w:sz w:val="24"/>
      <w:szCs w:val="20"/>
    </w:rPr>
  </w:style>
  <w:style w:type="paragraph" w:styleId="862" w:customStyle="1">
    <w:name w:val="正文 + 宋体"/>
    <w:basedOn w:val="686"/>
    <w:uiPriority w:val="0"/>
    <w:qFormat/>
    <w:pPr>
      <w:ind w:firstLine="420"/>
      <w:spacing w:line="360" w:lineRule="auto"/>
    </w:pPr>
  </w:style>
  <w:style w:type="paragraph" w:styleId="863" w:customStyle="1">
    <w:name w:val="标准文本"/>
    <w:basedOn w:val="686"/>
    <w:uiPriority w:val="0"/>
    <w:qFormat/>
    <w:pPr>
      <w:ind w:firstLine="480"/>
      <w:spacing w:line="360" w:lineRule="auto"/>
    </w:pPr>
    <w:rPr>
      <w:rFonts w:cs="宋体"/>
      <w:sz w:val="24"/>
    </w:rPr>
  </w:style>
  <w:style w:type="paragraph" w:styleId="864" w:customStyle="1">
    <w:name w:val="xl40"/>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5" w:customStyle="1">
    <w:name w:val="样式 标题 3H3sect1.2.3BOD 0Heading 3 - oldh3l3CTLevel 3 Head..."/>
    <w:basedOn w:val="689"/>
    <w:uiPriority w:val="0"/>
    <w:qFormat/>
    <w:pPr>
      <w:jc w:val="left"/>
      <w:spacing w:line="240" w:lineRule="auto"/>
    </w:pPr>
    <w:rPr>
      <w:rFonts w:cs="宋体"/>
      <w:sz w:val="30"/>
      <w:szCs w:val="20"/>
    </w:rPr>
  </w:style>
  <w:style w:type="paragraph" w:styleId="866" w:customStyle="1">
    <w:name w:val="正文文本 21"/>
    <w:basedOn w:val="686"/>
    <w:uiPriority w:val="0"/>
    <w:qFormat/>
    <w:pPr>
      <w:ind w:left="720" w:hanging="720"/>
      <w:widowControl/>
    </w:pPr>
    <w:rPr>
      <w:sz w:val="24"/>
      <w:szCs w:val="20"/>
      <w:lang w:val="en-GB"/>
    </w:rPr>
  </w:style>
  <w:style w:type="paragraph" w:styleId="867" w:customStyle="1">
    <w:name w:val="Body text5"/>
    <w:basedOn w:val="686"/>
    <w:uiPriority w:val="0"/>
    <w:qFormat/>
    <w:pPr>
      <w:jc w:val="both"/>
      <w:spacing w:before="600" w:line="470" w:lineRule="exact"/>
      <w:shd w:val="clear" w:color="auto" w:fill="ffffff"/>
    </w:pPr>
    <w:rPr>
      <w:rFonts w:ascii="宋体" w:hAnsi="宋体" w:cs="宋体"/>
      <w:sz w:val="22"/>
      <w:szCs w:val="22"/>
    </w:rPr>
  </w:style>
  <w:style w:type="paragraph" w:styleId="868" w:customStyle="1">
    <w:name w:val="content_lineheight"/>
    <w:basedOn w:val="686"/>
    <w:uiPriority w:val="0"/>
    <w:qFormat/>
    <w:pPr>
      <w:jc w:val="left"/>
      <w:spacing w:before="100" w:beforeAutospacing="1" w:after="100" w:afterAutospacing="1"/>
      <w:widowControl/>
    </w:pPr>
    <w:rPr>
      <w:rFonts w:ascii="宋体" w:hAnsi="宋体"/>
      <w:sz w:val="24"/>
    </w:rPr>
  </w:style>
  <w:style w:type="paragraph" w:styleId="869" w:customStyle="1">
    <w:name w:val="xl42"/>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0" w:customStyle="1">
    <w:name w:val="p16"/>
    <w:basedOn w:val="686"/>
    <w:uiPriority w:val="0"/>
    <w:qFormat/>
    <w:pPr>
      <w:ind w:left="720"/>
      <w:jc w:val="left"/>
      <w:widowControl/>
    </w:pPr>
    <w:rPr>
      <w:rFonts w:ascii="Arial" w:hAnsi="Arial" w:cs="Arial"/>
      <w:sz w:val="24"/>
    </w:rPr>
  </w:style>
  <w:style w:type="paragraph" w:styleId="871" w:customStyle="1">
    <w:name w:val="flType"/>
    <w:basedOn w:val="872"/>
    <w:uiPriority w:val="0"/>
    <w:qFormat/>
    <w:pPr>
      <w:spacing w:after="284"/>
    </w:pPr>
    <w:rPr>
      <w:rFonts w:eastAsia="宋体"/>
      <w:b w:val="0"/>
    </w:rPr>
  </w:style>
  <w:style w:type="paragraph" w:styleId="872" w:customStyle="1">
    <w:name w:val="flName"/>
    <w:basedOn w:val="873"/>
    <w:uiPriority w:val="0"/>
    <w:qFormat/>
    <w:pPr>
      <w:spacing w:before="0" w:line="113" w:lineRule="atLeast"/>
    </w:pPr>
  </w:style>
  <w:style w:type="paragraph" w:styleId="873" w:customStyle="1">
    <w:name w:val="flNote"/>
    <w:basedOn w:val="686"/>
    <w:uiPriority w:val="0"/>
    <w:qFormat/>
    <w:pPr>
      <w:jc w:val="center"/>
      <w:spacing w:before="567" w:line="360" w:lineRule="atLeast"/>
    </w:pPr>
    <w:rPr>
      <w:rFonts w:eastAsia="黑体"/>
      <w:b/>
      <w:sz w:val="24"/>
      <w:szCs w:val="20"/>
    </w:rPr>
  </w:style>
  <w:style w:type="paragraph" w:styleId="874" w:customStyle="1">
    <w:name w:val="马刚标题4"/>
    <w:basedOn w:val="875"/>
    <w:next w:val="686"/>
    <w:uiPriority w:val="0"/>
    <w:qFormat/>
    <w:pPr>
      <w:spacing w:before="100" w:after="40"/>
      <w:tabs>
        <w:tab w:val="left" w:pos="567" w:leader="none"/>
        <w:tab w:val="left" w:pos="735" w:leader="none"/>
        <w:tab w:val="left" w:pos="1050" w:leader="none"/>
      </w:tabs>
      <w:outlineLvl w:val="3"/>
    </w:pPr>
    <w:rPr>
      <w:b w:val="0"/>
    </w:rPr>
  </w:style>
  <w:style w:type="paragraph" w:styleId="875" w:customStyle="1">
    <w:name w:val="马刚标题3"/>
    <w:basedOn w:val="686"/>
    <w:next w:val="68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76" w:customStyle="1">
    <w:name w:val="Char Char Char Char Char Char Char"/>
    <w:basedOn w:val="686"/>
    <w:uiPriority w:val="0"/>
    <w:qFormat/>
    <w:rPr>
      <w:rFonts w:ascii="Tahoma" w:hAnsi="Tahoma"/>
      <w:sz w:val="24"/>
      <w:szCs w:val="20"/>
    </w:rPr>
  </w:style>
  <w:style w:type="paragraph" w:styleId="877" w:customStyle="1">
    <w:name w:val="Char Char1 Char1"/>
    <w:basedOn w:val="686"/>
    <w:uiPriority w:val="0"/>
    <w:qFormat/>
    <w:pPr>
      <w:jc w:val="left"/>
      <w:spacing w:after="160" w:line="240" w:lineRule="exact"/>
      <w:widowControl/>
    </w:pPr>
    <w:rPr>
      <w:rFonts w:ascii="Verdana" w:hAnsi="Verdana"/>
      <w:sz w:val="20"/>
      <w:szCs w:val="20"/>
      <w:lang w:eastAsia="en-US"/>
    </w:rPr>
  </w:style>
  <w:style w:type="paragraph" w:styleId="878" w:customStyle="1">
    <w:name w:val="标题 4宋体"/>
    <w:basedOn w:val="690"/>
    <w:uiPriority w:val="0"/>
    <w:qFormat/>
    <w:pPr>
      <w:jc w:val="left"/>
      <w:keepLines w:val="0"/>
      <w:spacing w:before="0" w:after="0" w:line="360" w:lineRule="auto"/>
    </w:pPr>
    <w:rPr>
      <w:rFonts w:ascii="宋体" w:hAnsi="宋体" w:eastAsia="宋体"/>
      <w:bCs/>
      <w:color w:val="000000"/>
      <w:sz w:val="24"/>
    </w:rPr>
  </w:style>
  <w:style w:type="paragraph" w:styleId="879" w:customStyle="1">
    <w:name w:val="Char1"/>
    <w:basedOn w:val="686"/>
    <w:uiPriority w:val="0"/>
    <w:qFormat/>
    <w:rPr>
      <w:rFonts w:ascii="仿宋_GB2312" w:eastAsia="仿宋_GB2312"/>
      <w:b/>
      <w:sz w:val="32"/>
      <w:szCs w:val="32"/>
    </w:rPr>
  </w:style>
  <w:style w:type="paragraph" w:styleId="880" w:customStyle="1">
    <w:name w:val="标准小四"/>
    <w:basedOn w:val="686"/>
    <w:uiPriority w:val="0"/>
    <w:qFormat/>
    <w:pPr>
      <w:ind w:firstLine="480"/>
      <w:spacing w:line="360" w:lineRule="auto"/>
    </w:pPr>
    <w:rPr>
      <w:rFonts w:ascii="Arial" w:hAnsi="Arial"/>
      <w:sz w:val="24"/>
      <w:szCs w:val="21"/>
    </w:rPr>
  </w:style>
  <w:style w:type="paragraph" w:styleId="881" w:customStyle="1">
    <w:name w:val="公文标题 2"/>
    <w:basedOn w:val="686"/>
    <w:next w:val="882"/>
    <w:uiPriority w:val="0"/>
    <w:qFormat/>
    <w:pPr>
      <w:outlineLvl w:val="1"/>
    </w:pPr>
    <w:rPr>
      <w:rFonts w:ascii="仿宋_GB2312" w:hAnsi="宋体" w:eastAsia="仿宋_GB2312"/>
      <w:sz w:val="28"/>
    </w:rPr>
  </w:style>
  <w:style w:type="paragraph" w:styleId="882" w:customStyle="1">
    <w:name w:val="公文正文"/>
    <w:basedOn w:val="706"/>
    <w:uiPriority w:val="0"/>
    <w:qFormat/>
    <w:pPr>
      <w:ind w:left="0" w:firstLine="200"/>
      <w:spacing w:after="0"/>
    </w:pPr>
    <w:rPr>
      <w:rFonts w:ascii="仿宋_GB2312" w:hAnsi="宋体" w:eastAsia="仿宋_GB2312"/>
      <w:sz w:val="28"/>
    </w:rPr>
  </w:style>
  <w:style w:type="paragraph" w:styleId="883" w:customStyle="1">
    <w:name w:val="项目符号，二级"/>
    <w:basedOn w:val="837"/>
    <w:next w:val="837"/>
    <w:uiPriority w:val="0"/>
    <w:qFormat/>
    <w:pPr>
      <w:ind w:left="1337" w:right="-27" w:firstLine="480"/>
      <w:tabs>
        <w:tab w:val="left" w:pos="1211" w:leader="none"/>
        <w:tab w:val="left" w:pos="1337" w:leader="none"/>
      </w:tabs>
    </w:pPr>
    <w:rPr>
      <w:bCs w:val="0"/>
      <w:color w:val="000000"/>
      <w:sz w:val="24"/>
      <w:szCs w:val="24"/>
    </w:rPr>
  </w:style>
  <w:style w:type="paragraph" w:styleId="884" w:customStyle="1">
    <w:name w:val="表蕊"/>
    <w:basedOn w:val="686"/>
    <w:uiPriority w:val="0"/>
    <w:qFormat/>
    <w:pPr>
      <w:jc w:val="left"/>
      <w:spacing w:line="320" w:lineRule="atLeast"/>
    </w:pPr>
    <w:rPr>
      <w:rFonts w:eastAsia="楷体_GB2312"/>
      <w:spacing w:val="-10"/>
      <w:szCs w:val="20"/>
    </w:rPr>
  </w:style>
  <w:style w:type="paragraph" w:styleId="885" w:customStyle="1">
    <w:name w:val="样式4 Char"/>
    <w:basedOn w:val="686"/>
    <w:uiPriority w:val="0"/>
    <w:qFormat/>
    <w:pPr>
      <w:ind w:firstLine="480"/>
      <w:jc w:val="left"/>
      <w:spacing w:line="360" w:lineRule="auto"/>
      <w:widowControl/>
    </w:pPr>
    <w:rPr>
      <w:rFonts w:cs="宋体"/>
      <w:color w:val="000000"/>
      <w:sz w:val="24"/>
    </w:rPr>
  </w:style>
  <w:style w:type="paragraph" w:styleId="886" w:customStyle="1">
    <w:name w:val="xl39"/>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a0"/>
    <w:basedOn w:val="686"/>
    <w:uiPriority w:val="0"/>
    <w:qFormat/>
    <w:pPr>
      <w:spacing w:before="100" w:beforeAutospacing="1" w:after="100" w:afterAutospacing="1"/>
      <w:widowControl/>
    </w:pPr>
    <w:rPr>
      <w:rFonts w:ascii="宋体" w:hAnsi="宋体" w:cs="宋体"/>
      <w:sz w:val="24"/>
    </w:rPr>
  </w:style>
  <w:style w:type="paragraph" w:styleId="888" w:customStyle="1">
    <w:name w:val="Test2"/>
    <w:basedOn w:val="688"/>
    <w:uiPriority w:val="0"/>
    <w:qFormat/>
    <w:pPr>
      <w:jc w:val="center"/>
      <w:spacing w:line="480" w:lineRule="exact"/>
      <w:widowControl/>
    </w:pPr>
    <w:rPr>
      <w:rFonts w:ascii="黑体"/>
      <w:sz w:val="24"/>
      <w:szCs w:val="24"/>
    </w:rPr>
  </w:style>
  <w:style w:type="paragraph" w:styleId="889" w:customStyle="1">
    <w:name w:val="正文lzq"/>
    <w:basedOn w:val="686"/>
    <w:uiPriority w:val="0"/>
    <w:qFormat/>
    <w:pPr>
      <w:ind w:firstLine="480"/>
      <w:spacing w:line="360" w:lineRule="auto"/>
    </w:pPr>
    <w:rPr>
      <w:sz w:val="24"/>
      <w:szCs w:val="20"/>
    </w:rPr>
  </w:style>
  <w:style w:type="paragraph" w:styleId="890" w:customStyle="1">
    <w:name w:val="正文 首行缩进:  2 字符 Char Char"/>
    <w:basedOn w:val="686"/>
    <w:uiPriority w:val="0"/>
    <w:qFormat/>
    <w:pPr>
      <w:ind w:firstLine="480"/>
      <w:spacing w:line="360" w:lineRule="auto"/>
    </w:pPr>
    <w:rPr>
      <w:rFonts w:ascii="楷体_GB2312" w:eastAsia="楷体_GB2312"/>
      <w:bCs/>
      <w:sz w:val="24"/>
    </w:rPr>
  </w:style>
  <w:style w:type="paragraph" w:styleId="891" w:customStyle="1">
    <w:name w:val="！正文"/>
    <w:basedOn w:val="686"/>
    <w:uiPriority w:val="0"/>
    <w:qFormat/>
    <w:pPr>
      <w:ind w:firstLine="200"/>
      <w:spacing w:line="360" w:lineRule="auto"/>
    </w:pPr>
    <w:rPr>
      <w:sz w:val="28"/>
    </w:rPr>
  </w:style>
  <w:style w:type="paragraph" w:styleId="892" w:customStyle="1">
    <w:name w:val="Char1 Char Char Char"/>
    <w:basedOn w:val="686"/>
    <w:uiPriority w:val="0"/>
    <w:qFormat/>
    <w:rPr>
      <w:rFonts w:ascii="Tahoma" w:hAnsi="Tahoma"/>
      <w:sz w:val="24"/>
      <w:szCs w:val="20"/>
    </w:rPr>
  </w:style>
  <w:style w:type="paragraph" w:styleId="893" w:customStyle="1">
    <w:name w:val="样式 段后: 0.5 行 左  0.75 字符"/>
    <w:basedOn w:val="686"/>
    <w:uiPriority w:val="0"/>
    <w:qFormat/>
    <w:pPr>
      <w:ind w:firstLine="420"/>
      <w:spacing w:line="360" w:lineRule="auto"/>
      <w:widowControl/>
    </w:pPr>
    <w:rPr>
      <w:rFonts w:hAnsi="Arial" w:cs="Arial"/>
      <w:szCs w:val="21"/>
    </w:rPr>
  </w:style>
  <w:style w:type="paragraph" w:styleId="894" w:customStyle="1">
    <w:name w:val="符号与编号 Char Char"/>
    <w:basedOn w:val="686"/>
    <w:uiPriority w:val="0"/>
    <w:qFormat/>
    <w:pPr>
      <w:ind w:left="839" w:hanging="419"/>
      <w:spacing w:line="400" w:lineRule="atLeast"/>
      <w:tabs>
        <w:tab w:val="left" w:pos="840" w:leader="none"/>
      </w:tabs>
    </w:pPr>
    <w:rPr>
      <w:sz w:val="24"/>
    </w:rPr>
  </w:style>
  <w:style w:type="paragraph" w:styleId="895" w:customStyle="1">
    <w:name w:val="三级条标题"/>
    <w:next w:val="686"/>
    <w:uiPriority w:val="0"/>
    <w:qFormat/>
    <w:pPr>
      <w:jc w:val="both"/>
      <w:outlineLvl w:val="4"/>
    </w:pPr>
    <w:rPr>
      <w:rFonts w:ascii="黑体" w:hAnsi="Calibri" w:eastAsia="黑体" w:cs="Times New Roman"/>
      <w:sz w:val="21"/>
      <w:lang w:val="en-US" w:eastAsia="zh-CN" w:bidi="ar-SA"/>
    </w:rPr>
  </w:style>
  <w:style w:type="paragraph" w:styleId="896" w:customStyle="1">
    <w:name w:val="xl36"/>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Char Char Char Char Char Char Char Char Char Char Char1 Char Char Char1"/>
    <w:basedOn w:val="686"/>
    <w:uiPriority w:val="0"/>
    <w:qFormat/>
    <w:pPr>
      <w:ind w:firstLine="200"/>
      <w:jc w:val="left"/>
    </w:pPr>
    <w:rPr>
      <w:rFonts w:ascii="Tahoma" w:hAnsi="Tahoma"/>
      <w:sz w:val="24"/>
    </w:rPr>
  </w:style>
  <w:style w:type="paragraph" w:styleId="898" w:customStyle="1">
    <w:name w:val="Char Char Char Char Char Char Char Char Char"/>
    <w:basedOn w:val="686"/>
    <w:uiPriority w:val="0"/>
    <w:qFormat/>
    <w:rPr>
      <w:szCs w:val="21"/>
    </w:rPr>
  </w:style>
  <w:style w:type="paragraph" w:styleId="899" w:customStyle="1">
    <w:name w:val="符号与编号"/>
    <w:basedOn w:val="686"/>
    <w:uiPriority w:val="0"/>
    <w:qFormat/>
    <w:pPr>
      <w:ind w:left="900" w:hanging="420"/>
      <w:spacing w:line="400" w:lineRule="atLeast"/>
      <w:tabs>
        <w:tab w:val="left" w:pos="900" w:leader="none"/>
      </w:tabs>
    </w:pPr>
    <w:rPr>
      <w:sz w:val="24"/>
    </w:rPr>
  </w:style>
  <w:style w:type="paragraph" w:styleId="900" w:customStyle="1">
    <w:name w:val="列出段落2"/>
    <w:basedOn w:val="686"/>
    <w:uiPriority w:val="0"/>
    <w:qFormat/>
    <w:pPr>
      <w:contextualSpacing/>
      <w:ind w:left="720"/>
      <w:jc w:val="left"/>
      <w:widowControl/>
    </w:pPr>
    <w:rPr>
      <w:rFonts w:ascii="Arial" w:hAnsi="Arial" w:eastAsia="黑体"/>
      <w:sz w:val="24"/>
      <w:lang w:eastAsia="en-US"/>
    </w:rPr>
  </w:style>
  <w:style w:type="paragraph" w:styleId="901" w:customStyle="1">
    <w:name w:val="标题2，章节第二层"/>
    <w:basedOn w:val="686"/>
    <w:next w:val="837"/>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02" w:customStyle="1">
    <w:name w:val="正文 居中"/>
    <w:basedOn w:val="686"/>
    <w:uiPriority w:val="0"/>
    <w:qFormat/>
    <w:pPr>
      <w:jc w:val="center"/>
      <w:spacing w:line="360" w:lineRule="auto"/>
    </w:pPr>
    <w:rPr>
      <w:sz w:val="24"/>
      <w:szCs w:val="20"/>
    </w:rPr>
  </w:style>
  <w:style w:type="paragraph" w:styleId="903" w:customStyle="1">
    <w:name w:val="Char Char2 Char"/>
    <w:basedOn w:val="686"/>
    <w:uiPriority w:val="0"/>
    <w:qFormat/>
    <w:pPr>
      <w:ind w:left="390" w:hanging="390"/>
      <w:keepLines/>
      <w:keepNext/>
      <w:pageBreakBefore/>
      <w:tabs>
        <w:tab w:val="left" w:pos="390" w:leader="none"/>
      </w:tabs>
    </w:pPr>
    <w:rPr>
      <w:rFonts w:ascii="Tahoma" w:hAnsi="Tahoma"/>
      <w:sz w:val="24"/>
      <w:szCs w:val="20"/>
    </w:rPr>
  </w:style>
  <w:style w:type="paragraph" w:styleId="904" w:customStyle="1">
    <w:name w:val="Char Char1"/>
    <w:basedOn w:val="686"/>
    <w:uiPriority w:val="0"/>
    <w:qFormat/>
    <w:pPr>
      <w:jc w:val="left"/>
      <w:spacing w:after="160" w:line="240" w:lineRule="exact"/>
      <w:widowControl/>
    </w:pPr>
    <w:rPr>
      <w:rFonts w:eastAsia="仿宋_GB2312"/>
      <w:sz w:val="28"/>
    </w:rPr>
  </w:style>
  <w:style w:type="paragraph" w:styleId="905"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906" w:customStyle="1">
    <w:name w:val="xl44"/>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7" w:customStyle="1">
    <w:name w:val="样式 样式 首行缩进:  2 字符 + 行距: 1.5 倍行距"/>
    <w:basedOn w:val="686"/>
    <w:uiPriority w:val="0"/>
    <w:qFormat/>
    <w:pPr>
      <w:ind w:firstLine="470"/>
      <w:spacing w:line="360" w:lineRule="auto"/>
    </w:pPr>
    <w:rPr>
      <w:sz w:val="24"/>
      <w:szCs w:val="20"/>
    </w:rPr>
  </w:style>
  <w:style w:type="paragraph" w:styleId="908" w:customStyle="1">
    <w:name w:val="xl37"/>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909" w:customStyle="1">
    <w:name w:val="小四 段落 宋体 Char"/>
    <w:basedOn w:val="700"/>
    <w:uiPriority w:val="0"/>
    <w:qFormat/>
    <w:pPr>
      <w:ind w:left="0" w:right="-33" w:firstLine="600"/>
      <w:jc w:val="left"/>
      <w:tabs>
        <w:tab w:val="clear" w:pos="2952" w:leader="none"/>
      </w:tabs>
    </w:pPr>
    <w:rPr>
      <w:rFonts w:ascii="仿宋_GB2312" w:eastAsia="仿宋_GB2312"/>
      <w:sz w:val="30"/>
      <w:szCs w:val="30"/>
    </w:rPr>
  </w:style>
  <w:style w:type="paragraph" w:styleId="910" w:customStyle="1">
    <w:name w:val="样式 加点正文 + 段前: 0.5 行 段后: 0.5 行1"/>
    <w:basedOn w:val="686"/>
    <w:uiPriority w:val="0"/>
    <w:qFormat/>
    <w:pPr>
      <w:ind w:left="1268" w:hanging="420"/>
      <w:spacing w:line="300" w:lineRule="auto"/>
      <w:tabs>
        <w:tab w:val="left" w:pos="1268" w:leader="none"/>
      </w:tabs>
    </w:pPr>
    <w:rPr>
      <w:sz w:val="24"/>
      <w:szCs w:val="20"/>
    </w:rPr>
  </w:style>
  <w:style w:type="paragraph" w:styleId="911"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912" w:customStyle="1">
    <w:name w:val="样式1"/>
    <w:basedOn w:val="686"/>
    <w:uiPriority w:val="0"/>
    <w:qFormat/>
    <w:pPr>
      <w:ind w:firstLine="480"/>
      <w:spacing w:line="300" w:lineRule="auto"/>
    </w:pPr>
    <w:rPr>
      <w:sz w:val="24"/>
    </w:rPr>
  </w:style>
  <w:style w:type="paragraph" w:styleId="913" w:customStyle="1">
    <w:name w:val="列出段落11"/>
    <w:basedOn w:val="686"/>
    <w:uiPriority w:val="0"/>
    <w:qFormat/>
    <w:pPr>
      <w:contextualSpacing/>
      <w:ind w:left="720"/>
      <w:jc w:val="left"/>
      <w:widowControl/>
    </w:pPr>
    <w:rPr>
      <w:rFonts w:ascii="Arial" w:hAnsi="Arial" w:eastAsia="黑体"/>
      <w:sz w:val="24"/>
      <w:lang w:eastAsia="en-US"/>
    </w:rPr>
  </w:style>
  <w:style w:type="paragraph" w:styleId="914" w:customStyle="1">
    <w:name w:val="Char Char Char1"/>
    <w:basedOn w:val="686"/>
    <w:uiPriority w:val="0"/>
    <w:qFormat/>
    <w:rPr>
      <w:rFonts w:ascii="Tahoma" w:hAnsi="Tahoma"/>
      <w:sz w:val="24"/>
      <w:szCs w:val="20"/>
    </w:rPr>
  </w:style>
  <w:style w:type="paragraph" w:styleId="915" w:customStyle="1">
    <w:name w:val="Char Char Char Char Char Char Char Char Char1"/>
    <w:basedOn w:val="686"/>
    <w:uiPriority w:val="0"/>
    <w:qFormat/>
    <w:pPr>
      <w:ind w:left="360" w:hanging="360"/>
      <w:tabs>
        <w:tab w:val="left" w:pos="360" w:leader="none"/>
      </w:tabs>
    </w:pPr>
    <w:rPr>
      <w:sz w:val="24"/>
    </w:rPr>
  </w:style>
  <w:style w:type="paragraph" w:styleId="916" w:customStyle="1">
    <w:name w:val="xl45"/>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customStyle="1">
    <w:name w:val="马刚标题1"/>
    <w:basedOn w:val="687"/>
    <w:next w:val="68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918" w:customStyle="1">
    <w:name w:val="xl43"/>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9" w:customStyle="1">
    <w:name w:val="Char Char Char Char"/>
    <w:basedOn w:val="686"/>
    <w:uiPriority w:val="0"/>
    <w:qFormat/>
    <w:pPr>
      <w:jc w:val="center"/>
      <w:spacing w:after="160" w:line="240" w:lineRule="exact"/>
      <w:widowControl/>
    </w:pPr>
    <w:rPr>
      <w:rFonts w:ascii="黑体" w:hAnsi="Verdana" w:eastAsia="黑体"/>
      <w:sz w:val="32"/>
      <w:szCs w:val="32"/>
      <w:lang w:eastAsia="en-US"/>
    </w:rPr>
  </w:style>
  <w:style w:type="paragraph" w:styleId="920" w:customStyle="1">
    <w:name w:val="丁华正文"/>
    <w:basedOn w:val="721"/>
    <w:uiPriority w:val="0"/>
    <w:qFormat/>
    <w:pPr>
      <w:ind w:left="0" w:firstLine="510"/>
      <w:spacing w:before="0" w:after="0" w:line="360" w:lineRule="auto"/>
    </w:pPr>
    <w:rPr>
      <w:rFonts w:ascii="宋体" w:hAnsi="Arial"/>
      <w:bCs w:val="0"/>
      <w:color w:val="000000"/>
      <w:szCs w:val="16"/>
    </w:rPr>
  </w:style>
  <w:style w:type="paragraph" w:styleId="921" w:customStyle="1">
    <w:name w:val="Char Char Char Char Char Char Char Char Char Char Char Char Char Char Char Char Char Char Char Char Char Char Char"/>
    <w:basedOn w:val="686"/>
    <w:uiPriority w:val="0"/>
    <w:qFormat/>
    <w:rPr>
      <w:rFonts w:ascii="Tahoma" w:hAnsi="Tahoma"/>
      <w:sz w:val="24"/>
      <w:szCs w:val="20"/>
    </w:rPr>
  </w:style>
  <w:style w:type="paragraph" w:styleId="922" w:customStyle="1">
    <w:name w:val="Char Char Char Char Char Char Char Char Char Char Char Char Char Char"/>
    <w:basedOn w:val="686"/>
    <w:uiPriority w:val="0"/>
    <w:qFormat/>
    <w:rPr>
      <w:rFonts w:ascii="Tahoma" w:hAnsi="Tahoma"/>
      <w:sz w:val="24"/>
      <w:szCs w:val="20"/>
    </w:rPr>
  </w:style>
  <w:style w:type="paragraph" w:styleId="923" w:customStyle="1">
    <w:name w:val="小四 段落 宋体"/>
    <w:basedOn w:val="700"/>
    <w:uiPriority w:val="0"/>
    <w:qFormat/>
    <w:pPr>
      <w:ind w:left="113" w:right="113" w:firstLine="425"/>
      <w:jc w:val="left"/>
      <w:spacing w:line="360" w:lineRule="auto"/>
      <w:tabs>
        <w:tab w:val="clear" w:pos="2952" w:leader="none"/>
      </w:tabs>
    </w:pPr>
    <w:rPr>
      <w:sz w:val="24"/>
    </w:rPr>
  </w:style>
  <w:style w:type="paragraph" w:styleId="924" w:customStyle="1">
    <w:name w:val="小四 段落 宋体 Char Char Char Char"/>
    <w:basedOn w:val="686"/>
    <w:uiPriority w:val="0"/>
    <w:qFormat/>
    <w:pPr>
      <w:ind w:right="-33" w:firstLine="480"/>
      <w:jc w:val="left"/>
      <w:spacing w:line="360" w:lineRule="auto"/>
    </w:pPr>
    <w:rPr>
      <w:sz w:val="24"/>
    </w:rPr>
  </w:style>
  <w:style w:type="paragraph" w:styleId="925" w:customStyle="1">
    <w:name w:val="xl35"/>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6" w:customStyle="1">
    <w:name w:val="样式 样式 标题 3H3sect1.2.3BOD 0Heading 3 - oldh3l3CTLevel 3 Head... +..."/>
    <w:basedOn w:val="686"/>
    <w:uiPriority w:val="0"/>
    <w:qFormat/>
    <w:pPr>
      <w:jc w:val="left"/>
      <w:keepLines/>
      <w:keepNext/>
      <w:outlineLvl w:val="2"/>
    </w:pPr>
    <w:rPr>
      <w:rFonts w:cs="宋体"/>
      <w:b/>
      <w:bCs/>
      <w:sz w:val="24"/>
      <w:szCs w:val="20"/>
    </w:rPr>
  </w:style>
  <w:style w:type="paragraph" w:styleId="927" w:customStyle="1">
    <w:name w:val="Char Char1 Char"/>
    <w:basedOn w:val="686"/>
    <w:uiPriority w:val="0"/>
    <w:qFormat/>
    <w:pPr>
      <w:jc w:val="left"/>
      <w:spacing w:after="160" w:line="240" w:lineRule="exact"/>
      <w:widowControl/>
    </w:pPr>
    <w:rPr>
      <w:rFonts w:ascii="Verdana" w:hAnsi="Verdana"/>
      <w:sz w:val="20"/>
      <w:szCs w:val="20"/>
      <w:lang w:eastAsia="en-US"/>
    </w:rPr>
  </w:style>
  <w:style w:type="paragraph" w:styleId="928" w:customStyle="1">
    <w:name w:val="Char Char11"/>
    <w:basedOn w:val="686"/>
    <w:uiPriority w:val="0"/>
    <w:qFormat/>
    <w:rPr>
      <w:rFonts w:ascii="Tahoma" w:hAnsi="Tahoma"/>
      <w:sz w:val="24"/>
      <w:szCs w:val="20"/>
    </w:rPr>
  </w:style>
  <w:style w:type="paragraph" w:styleId="929" w:customStyle="1">
    <w:name w:val="z-窗体底端1"/>
    <w:basedOn w:val="686"/>
    <w:next w:val="686"/>
    <w:uiPriority w:val="0"/>
    <w:qFormat/>
    <w:pPr>
      <w:jc w:val="center"/>
      <w:widowControl/>
      <w:pBdr>
        <w:top w:val="single" w:color="auto" w:sz="6" w:space="1"/>
      </w:pBdr>
    </w:pPr>
    <w:rPr>
      <w:rFonts w:ascii="Arial" w:hAnsi="Arial" w:cs="Arial"/>
      <w:vanish/>
      <w:sz w:val="16"/>
      <w:szCs w:val="16"/>
    </w:rPr>
  </w:style>
  <w:style w:type="paragraph" w:styleId="930" w:customStyle="1">
    <w:name w:val="xl41"/>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31"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32" w:customStyle="1">
    <w:name w:val="7"/>
    <w:basedOn w:val="686"/>
    <w:next w:val="725"/>
    <w:uiPriority w:val="0"/>
    <w:qFormat/>
    <w:pPr>
      <w:jc w:val="left"/>
      <w:spacing w:before="100" w:beforeAutospacing="1" w:after="100" w:afterAutospacing="1"/>
      <w:widowControl/>
    </w:pPr>
    <w:rPr>
      <w:rFonts w:ascii="宋体" w:hAnsi="宋体"/>
      <w:sz w:val="24"/>
      <w:szCs w:val="20"/>
    </w:rPr>
  </w:style>
  <w:style w:type="paragraph" w:styleId="933" w:customStyle="1">
    <w:name w:val="文档正文"/>
    <w:basedOn w:val="686"/>
    <w:uiPriority w:val="0"/>
    <w:qFormat/>
    <w:pPr>
      <w:spacing w:line="360" w:lineRule="auto"/>
    </w:pPr>
    <w:rPr>
      <w:rFonts w:ascii="宋体" w:hAnsi="宋体"/>
      <w:b/>
      <w:bCs/>
    </w:rPr>
  </w:style>
  <w:style w:type="paragraph" w:styleId="934" w:customStyle="1">
    <w:name w:val="标题4，章节第四层"/>
    <w:basedOn w:val="686"/>
    <w:next w:val="686"/>
    <w:uiPriority w:val="0"/>
    <w:qFormat/>
    <w:pPr>
      <w:spacing w:line="360" w:lineRule="auto"/>
      <w:tabs>
        <w:tab w:val="left" w:pos="0" w:leader="none"/>
      </w:tabs>
      <w:outlineLvl w:val="3"/>
    </w:pPr>
    <w:rPr>
      <w:rFonts w:ascii="宋体" w:hAnsi="宋体"/>
      <w:b/>
      <w:sz w:val="24"/>
    </w:rPr>
  </w:style>
  <w:style w:type="paragraph" w:styleId="935" w:customStyle="1">
    <w:name w:val="默认段落字体 Para Char"/>
    <w:basedOn w:val="686"/>
    <w:uiPriority w:val="0"/>
    <w:qFormat/>
    <w:pPr>
      <w:spacing w:line="360" w:lineRule="auto"/>
    </w:pPr>
    <w:rPr>
      <w:sz w:val="24"/>
    </w:rPr>
  </w:style>
  <w:style w:type="paragraph" w:styleId="936" w:customStyle="1">
    <w:name w:val="表格内文字"/>
    <w:basedOn w:val="686"/>
    <w:uiPriority w:val="0"/>
    <w:qFormat/>
    <w:pPr>
      <w:spacing w:line="300" w:lineRule="atLeast"/>
    </w:pPr>
    <w:rPr>
      <w:sz w:val="18"/>
    </w:rPr>
  </w:style>
  <w:style w:type="paragraph" w:styleId="93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38" w:customStyle="1">
    <w:name w:val="方案正文"/>
    <w:basedOn w:val="686"/>
    <w:uiPriority w:val="0"/>
    <w:qFormat/>
    <w:pPr>
      <w:ind w:firstLine="359"/>
      <w:jc w:val="left"/>
      <w:spacing w:before="156" w:line="360" w:lineRule="auto"/>
    </w:pPr>
    <w:rPr>
      <w:rFonts w:ascii="Arial" w:hAnsi="Arial" w:cs="宋体"/>
      <w:sz w:val="24"/>
      <w:szCs w:val="21"/>
    </w:rPr>
  </w:style>
  <w:style w:type="paragraph" w:styleId="939" w:customStyle="1">
    <w:name w:val="样式 小四 段前: 3 磅 段后: 3 磅 行距: 1.5 倍行距"/>
    <w:basedOn w:val="686"/>
    <w:uiPriority w:val="0"/>
    <w:qFormat/>
    <w:pPr>
      <w:ind w:firstLine="540"/>
      <w:spacing w:before="60" w:after="60" w:line="360" w:lineRule="auto"/>
    </w:pPr>
    <w:rPr>
      <w:rFonts w:cs="宋体"/>
      <w:sz w:val="24"/>
    </w:rPr>
  </w:style>
  <w:style w:type="paragraph" w:styleId="940" w:customStyle="1">
    <w:name w:val="retrait3"/>
    <w:basedOn w:val="686"/>
    <w:uiPriority w:val="0"/>
    <w:qFormat/>
    <w:pPr>
      <w:ind w:left="851"/>
      <w:jc w:val="left"/>
      <w:spacing w:before="20" w:after="20"/>
      <w:widowControl/>
    </w:pPr>
    <w:rPr>
      <w:rFonts w:ascii="Arial" w:hAnsi="Arial"/>
      <w:sz w:val="24"/>
      <w:szCs w:val="20"/>
      <w:lang w:val="en-GB"/>
    </w:rPr>
  </w:style>
  <w:style w:type="paragraph" w:styleId="941" w:customStyle="1">
    <w:name w:val="font6"/>
    <w:basedOn w:val="686"/>
    <w:uiPriority w:val="0"/>
    <w:qFormat/>
    <w:pPr>
      <w:jc w:val="left"/>
      <w:spacing w:before="100" w:beforeAutospacing="1" w:after="100" w:afterAutospacing="1"/>
      <w:widowControl/>
    </w:pPr>
    <w:rPr>
      <w:szCs w:val="21"/>
    </w:rPr>
  </w:style>
  <w:style w:type="paragraph" w:styleId="942" w:customStyle="1">
    <w:name w:val="Table Paragraph"/>
    <w:basedOn w:val="686"/>
    <w:uiPriority w:val="1"/>
    <w:qFormat/>
    <w:rPr>
      <w:rFonts w:ascii="宋体" w:hAnsi="宋体" w:cs="宋体"/>
      <w:lang w:val="zh-CN" w:bidi="zh-CN"/>
    </w:rPr>
  </w:style>
  <w:style w:type="paragraph" w:styleId="943" w:customStyle="1">
    <w:name w:val="正文表标题"/>
    <w:next w:val="847"/>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944" w:customStyle="1">
    <w:name w:val="Char Char Char Char Char Char Char Char Char Char Char"/>
    <w:basedOn w:val="686"/>
    <w:uiPriority w:val="0"/>
    <w:qFormat/>
    <w:rPr>
      <w:rFonts w:ascii="Tahoma" w:hAnsi="Tahoma"/>
      <w:sz w:val="24"/>
      <w:szCs w:val="20"/>
    </w:rPr>
  </w:style>
  <w:style w:type="paragraph" w:styleId="945" w:customStyle="1">
    <w:name w:val="华宇段落1 Char"/>
    <w:basedOn w:val="686"/>
    <w:uiPriority w:val="0"/>
    <w:qFormat/>
    <w:pPr>
      <w:ind w:firstLine="200"/>
      <w:spacing w:line="360" w:lineRule="auto"/>
    </w:pPr>
    <w:rPr>
      <w:bCs/>
      <w:sz w:val="24"/>
    </w:rPr>
  </w:style>
  <w:style w:type="paragraph" w:styleId="946" w:customStyle="1">
    <w:name w:val="丁华标题2"/>
    <w:basedOn w:val="688"/>
    <w:next w:val="920"/>
    <w:uiPriority w:val="0"/>
    <w:qFormat/>
    <w:pPr>
      <w:ind w:left="567" w:hanging="567"/>
      <w:jc w:val="left"/>
      <w:spacing w:before="120" w:after="120"/>
      <w:tabs>
        <w:tab w:val="left" w:pos="567" w:leader="none"/>
      </w:tabs>
    </w:pPr>
    <w:rPr>
      <w:color w:val="000000"/>
      <w:sz w:val="28"/>
      <w:szCs w:val="20"/>
    </w:rPr>
  </w:style>
  <w:style w:type="paragraph" w:styleId="947" w:customStyle="1">
    <w:name w:val="样式3"/>
    <w:basedOn w:val="686"/>
    <w:next w:val="686"/>
    <w:uiPriority w:val="0"/>
    <w:qFormat/>
    <w:pPr>
      <w:spacing w:line="360" w:lineRule="auto"/>
    </w:pPr>
    <w:rPr>
      <w:szCs w:val="20"/>
    </w:rPr>
  </w:style>
  <w:style w:type="paragraph" w:styleId="948" w:customStyle="1">
    <w:name w:val="部分1"/>
    <w:basedOn w:val="686"/>
    <w:uiPriority w:val="0"/>
    <w:qFormat/>
    <w:pPr>
      <w:jc w:val="center"/>
      <w:keepNext/>
      <w:pageBreakBefore/>
      <w:spacing w:line="360" w:lineRule="auto"/>
      <w:tabs>
        <w:tab w:val="left" w:pos="360" w:leader="none"/>
      </w:tabs>
      <w:outlineLvl w:val="0"/>
    </w:pPr>
    <w:rPr>
      <w:rFonts w:eastAsia="黑体"/>
      <w:b/>
      <w:sz w:val="36"/>
      <w:szCs w:val="20"/>
    </w:rPr>
  </w:style>
  <w:style w:type="paragraph" w:styleId="949" w:customStyle="1">
    <w:name w:val="章标题"/>
    <w:next w:val="847"/>
    <w:uiPriority w:val="0"/>
    <w:qFormat/>
    <w:pPr>
      <w:jc w:val="both"/>
      <w:outlineLvl w:val="1"/>
    </w:pPr>
    <w:rPr>
      <w:rFonts w:ascii="Calibri" w:hAnsi="Calibri" w:eastAsia="黑体" w:cs="Times New Roman"/>
      <w:sz w:val="21"/>
      <w:lang w:val="en-US" w:eastAsia="zh-CN" w:bidi="ar-SA"/>
    </w:rPr>
  </w:style>
  <w:style w:type="paragraph" w:styleId="950" w:customStyle="1">
    <w:name w:val="zw"/>
    <w:basedOn w:val="686"/>
    <w:uiPriority w:val="0"/>
    <w:qFormat/>
    <w:pPr>
      <w:ind w:firstLine="480"/>
      <w:jc w:val="left"/>
      <w:spacing w:line="360" w:lineRule="auto"/>
      <w:widowControl/>
    </w:pPr>
    <w:rPr>
      <w:rFonts w:ascii="宋体" w:hAnsi="宋体"/>
      <w:bCs/>
      <w:sz w:val="24"/>
      <w:szCs w:val="20"/>
    </w:rPr>
  </w:style>
  <w:style w:type="paragraph" w:styleId="951" w:customStyle="1">
    <w:name w:val="列出段落1"/>
    <w:basedOn w:val="686"/>
    <w:uiPriority w:val="0"/>
    <w:qFormat/>
    <w:pPr>
      <w:ind w:firstLine="420"/>
    </w:pPr>
    <w:rPr>
      <w:szCs w:val="22"/>
    </w:rPr>
  </w:style>
  <w:style w:type="paragraph" w:styleId="952" w:customStyle="1">
    <w:name w:val="Char Char1 Char Char Char Char1 Char Char Char Char Char Char"/>
    <w:basedOn w:val="686"/>
    <w:uiPriority w:val="0"/>
    <w:qFormat/>
    <w:rPr>
      <w:rFonts w:ascii="Tahoma" w:hAnsi="Tahoma"/>
      <w:sz w:val="24"/>
      <w:szCs w:val="20"/>
    </w:rPr>
  </w:style>
  <w:style w:type="paragraph" w:styleId="953" w:customStyle="1">
    <w:name w:val="font5"/>
    <w:basedOn w:val="686"/>
    <w:uiPriority w:val="0"/>
    <w:qFormat/>
    <w:pPr>
      <w:jc w:val="left"/>
      <w:spacing w:before="100" w:beforeAutospacing="1" w:after="100" w:afterAutospacing="1"/>
      <w:widowControl/>
    </w:pPr>
    <w:rPr>
      <w:rFonts w:ascii="宋体" w:hAnsi="宋体" w:cs="宋体"/>
      <w:sz w:val="18"/>
      <w:szCs w:val="18"/>
    </w:rPr>
  </w:style>
  <w:style w:type="paragraph" w:styleId="954" w:customStyle="1">
    <w:name w:val="a"/>
    <w:basedOn w:val="686"/>
    <w:uiPriority w:val="0"/>
    <w:qFormat/>
    <w:pPr>
      <w:spacing w:before="100" w:beforeAutospacing="1" w:after="100" w:afterAutospacing="1"/>
      <w:widowControl/>
    </w:pPr>
    <w:rPr>
      <w:rFonts w:ascii="宋体" w:hAnsi="宋体" w:cs="宋体"/>
      <w:sz w:val="24"/>
    </w:rPr>
  </w:style>
  <w:style w:type="paragraph" w:styleId="955" w:customStyle="1">
    <w:name w:val="Char Char Char"/>
    <w:basedOn w:val="701"/>
    <w:uiPriority w:val="0"/>
    <w:qFormat/>
    <w:pPr>
      <w:spacing w:line="436" w:lineRule="exact"/>
    </w:pPr>
  </w:style>
  <w:style w:type="paragraph" w:styleId="956" w:customStyle="1">
    <w:name w:val="正文文本 New New"/>
    <w:basedOn w:val="686"/>
    <w:uiPriority w:val="0"/>
    <w:qFormat/>
    <w:pPr>
      <w:ind w:firstLine="200"/>
      <w:spacing w:before="60" w:after="60" w:line="360" w:lineRule="auto"/>
      <w:widowControl/>
    </w:pPr>
    <w:rPr>
      <w:rFonts w:eastAsia="华文楷体"/>
      <w:sz w:val="24"/>
    </w:rPr>
  </w:style>
  <w:style w:type="paragraph" w:styleId="957" w:customStyle="1">
    <w:name w:val="正文2"/>
    <w:basedOn w:val="686"/>
    <w:uiPriority w:val="0"/>
    <w:qFormat/>
    <w:pPr>
      <w:ind w:firstLine="510"/>
      <w:spacing w:before="156" w:line="360" w:lineRule="auto"/>
    </w:pPr>
    <w:rPr>
      <w:sz w:val="24"/>
      <w:szCs w:val="20"/>
    </w:rPr>
  </w:style>
  <w:style w:type="paragraph" w:styleId="958" w:customStyle="1">
    <w:name w:val="插图"/>
    <w:basedOn w:val="686"/>
    <w:uiPriority w:val="0"/>
    <w:qFormat/>
    <w:pPr>
      <w:jc w:val="center"/>
      <w:tabs>
        <w:tab w:val="left" w:pos="1620" w:leader="none"/>
      </w:tabs>
    </w:pPr>
    <w:rPr>
      <w:bCs/>
      <w:color w:val="000000"/>
      <w:szCs w:val="22"/>
    </w:rPr>
  </w:style>
  <w:style w:type="paragraph" w:styleId="959" w:customStyle="1">
    <w:name w:val="样式 标题 2第一章 标题 2Heading 2 HiddenHeading 2 CCBSheading 2H2h2..."/>
    <w:basedOn w:val="68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60" w:customStyle="1">
    <w:name w:val="tableau"/>
    <w:basedOn w:val="686"/>
    <w:uiPriority w:val="0"/>
    <w:qFormat/>
    <w:pPr>
      <w:jc w:val="center"/>
      <w:spacing w:before="20" w:after="20"/>
      <w:widowControl/>
    </w:pPr>
    <w:rPr>
      <w:rFonts w:ascii="Arial" w:hAnsi="Arial"/>
      <w:sz w:val="16"/>
      <w:szCs w:val="20"/>
      <w:lang w:val="en-GB" w:eastAsia="en-US"/>
    </w:rPr>
  </w:style>
  <w:style w:type="paragraph" w:styleId="961" w:customStyle="1">
    <w:name w:val="z-窗体顶端1"/>
    <w:basedOn w:val="686"/>
    <w:next w:val="686"/>
    <w:uiPriority w:val="0"/>
    <w:qFormat/>
    <w:pPr>
      <w:jc w:val="center"/>
      <w:widowControl/>
      <w:pBdr>
        <w:bottom w:val="single" w:color="auto" w:sz="6" w:space="1"/>
      </w:pBdr>
    </w:pPr>
    <w:rPr>
      <w:rFonts w:ascii="Arial" w:hAnsi="Arial" w:cs="Arial"/>
      <w:vanish/>
      <w:sz w:val="16"/>
      <w:szCs w:val="16"/>
    </w:rPr>
  </w:style>
  <w:style w:type="paragraph" w:styleId="962" w:customStyle="1">
    <w:name w:val="样式2"/>
    <w:basedOn w:val="686"/>
    <w:uiPriority w:val="0"/>
    <w:qFormat/>
    <w:pPr>
      <w:ind w:left="200"/>
      <w:spacing w:line="360" w:lineRule="auto"/>
    </w:pPr>
    <w:rPr>
      <w:rFonts w:ascii="宋体" w:hAnsi="宋体"/>
      <w:b/>
      <w:sz w:val="24"/>
    </w:rPr>
  </w:style>
  <w:style w:type="paragraph" w:styleId="963" w:customStyle="1">
    <w:name w:val="标题1，章节第一层"/>
    <w:basedOn w:val="837"/>
    <w:next w:val="837"/>
    <w:uiPriority w:val="0"/>
    <w:qFormat/>
    <w:pPr>
      <w:ind w:left="482"/>
      <w:tabs>
        <w:tab w:val="left" w:pos="693" w:leader="none"/>
      </w:tabs>
      <w:outlineLvl w:val="0"/>
    </w:pPr>
    <w:rPr>
      <w:color w:val="000000"/>
      <w:sz w:val="24"/>
      <w:szCs w:val="24"/>
    </w:rPr>
  </w:style>
  <w:style w:type="paragraph" w:styleId="964" w:customStyle="1">
    <w:name w:val="样式 样式 首行缩进:  0.74 厘米 行距: 1.5 倍行距 + 段后: 0.5 行"/>
    <w:basedOn w:val="686"/>
    <w:uiPriority w:val="0"/>
    <w:qFormat/>
    <w:pPr>
      <w:ind w:firstLine="420"/>
      <w:spacing w:line="360" w:lineRule="auto"/>
    </w:pPr>
    <w:rPr>
      <w:rFonts w:ascii="楷体_GB2312" w:eastAsia="楷体_GB2312"/>
      <w:bCs/>
      <w:sz w:val="24"/>
      <w:szCs w:val="20"/>
    </w:rPr>
  </w:style>
  <w:style w:type="paragraph" w:styleId="965" w:customStyle="1">
    <w:name w:val="宏图高科"/>
    <w:basedOn w:val="686"/>
    <w:uiPriority w:val="0"/>
    <w:qFormat/>
    <w:pPr>
      <w:ind w:firstLine="480"/>
      <w:spacing w:line="360" w:lineRule="auto"/>
    </w:pPr>
    <w:rPr>
      <w:rFonts w:eastAsia="楷体_GB2312"/>
      <w:sz w:val="24"/>
      <w:szCs w:val="20"/>
    </w:rPr>
  </w:style>
  <w:style w:type="paragraph" w:styleId="966" w:customStyle="1">
    <w:name w:val="表格内容"/>
    <w:basedOn w:val="686"/>
    <w:uiPriority w:val="0"/>
    <w:qFormat/>
    <w:pPr>
      <w:jc w:val="center"/>
      <w:spacing w:before="60" w:line="300" w:lineRule="auto"/>
      <w:widowControl/>
    </w:pPr>
    <w:rPr>
      <w:szCs w:val="20"/>
    </w:rPr>
  </w:style>
  <w:style w:type="paragraph" w:styleId="967" w:customStyle="1">
    <w:name w:val="xl32"/>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8" w:customStyle="1">
    <w:name w:val="1"/>
    <w:basedOn w:val="686"/>
    <w:next w:val="723"/>
    <w:uiPriority w:val="0"/>
    <w:qFormat/>
    <w:pPr>
      <w:spacing w:line="360" w:lineRule="auto"/>
    </w:pPr>
    <w:rPr>
      <w:rFonts w:eastAsia="仿宋_GB2312"/>
      <w:sz w:val="24"/>
    </w:rPr>
  </w:style>
  <w:style w:type="paragraph" w:styleId="969" w:customStyle="1">
    <w:name w:val="小四 段落 宋体 Char Char Char"/>
    <w:basedOn w:val="700"/>
    <w:uiPriority w:val="0"/>
    <w:qFormat/>
    <w:pPr>
      <w:ind w:left="0" w:right="-33" w:firstLine="545"/>
      <w:jc w:val="left"/>
      <w:spacing w:line="360" w:lineRule="auto"/>
      <w:tabs>
        <w:tab w:val="clear" w:pos="2952" w:leader="none"/>
      </w:tabs>
    </w:pPr>
    <w:rPr>
      <w:sz w:val="24"/>
    </w:rPr>
  </w:style>
  <w:style w:type="paragraph" w:styleId="970" w:customStyle="1">
    <w:name w:val="Char2"/>
    <w:basedOn w:val="701"/>
    <w:uiPriority w:val="0"/>
    <w:qFormat/>
    <w:rPr>
      <w:rFonts w:ascii="Tahoma" w:hAnsi="Tahoma"/>
      <w:sz w:val="24"/>
    </w:rPr>
  </w:style>
  <w:style w:type="paragraph" w:styleId="971" w:customStyle="1">
    <w:name w:val="方案文档"/>
    <w:basedOn w:val="686"/>
    <w:uiPriority w:val="0"/>
    <w:qFormat/>
    <w:pPr>
      <w:ind w:firstLine="225"/>
      <w:spacing w:before="60" w:after="60" w:line="360" w:lineRule="auto"/>
    </w:pPr>
    <w:rPr>
      <w:rFonts w:ascii="宋体"/>
      <w:color w:val="000000"/>
      <w:sz w:val="24"/>
      <w:szCs w:val="20"/>
    </w:rPr>
  </w:style>
  <w:style w:type="paragraph" w:styleId="972" w:customStyle="1">
    <w:name w:val="标题3，章节第三层"/>
    <w:basedOn w:val="686"/>
    <w:next w:val="837"/>
    <w:uiPriority w:val="0"/>
    <w:qFormat/>
    <w:pPr>
      <w:spacing w:before="78" w:line="300" w:lineRule="auto"/>
      <w:outlineLvl w:val="2"/>
    </w:pPr>
    <w:rPr>
      <w:rFonts w:ascii="Arial" w:hAnsi="Arial" w:eastAsia="华文细黑"/>
      <w:sz w:val="30"/>
    </w:rPr>
  </w:style>
  <w:style w:type="paragraph" w:styleId="973" w:customStyle="1">
    <w:name w:val="Char Char Char Char Char Char Char Char Char Char Char Char Char Char Char Char Char Char Char Char Char"/>
    <w:basedOn w:val="686"/>
    <w:uiPriority w:val="0"/>
    <w:qFormat/>
    <w:rPr>
      <w:rFonts w:ascii="Tahoma" w:hAnsi="Tahoma"/>
      <w:sz w:val="24"/>
      <w:szCs w:val="20"/>
    </w:rPr>
  </w:style>
  <w:style w:type="paragraph" w:styleId="974" w:customStyle="1">
    <w:name w:val="样式 模板正文 + 左侧:  2 字符 段前: 0 磅 行距: 单倍行距"/>
    <w:basedOn w:val="686"/>
    <w:uiPriority w:val="0"/>
    <w:qFormat/>
    <w:pPr>
      <w:ind w:firstLine="200"/>
      <w:spacing w:before="120" w:line="320" w:lineRule="exact"/>
    </w:pPr>
    <w:rPr>
      <w:rFonts w:ascii="Arial" w:hAnsi="Arial" w:cs="宋体"/>
      <w:szCs w:val="20"/>
    </w:rPr>
  </w:style>
  <w:style w:type="paragraph" w:styleId="975" w:customStyle="1">
    <w:name w:val="xl34"/>
    <w:basedOn w:val="6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6" w:customStyle="1">
    <w:name w:val="font7"/>
    <w:basedOn w:val="686"/>
    <w:uiPriority w:val="0"/>
    <w:qFormat/>
    <w:pPr>
      <w:jc w:val="left"/>
      <w:spacing w:before="100" w:beforeAutospacing="1" w:after="100" w:afterAutospacing="1"/>
      <w:widowControl/>
    </w:pPr>
    <w:rPr>
      <w:rFonts w:hint="eastAsia" w:ascii="宋体" w:hAnsi="宋体"/>
      <w:b/>
      <w:bCs/>
      <w:sz w:val="24"/>
    </w:rPr>
  </w:style>
  <w:style w:type="paragraph" w:styleId="977" w:customStyle="1">
    <w:name w:val="列出段落3"/>
    <w:basedOn w:val="686"/>
    <w:uiPriority w:val="34"/>
    <w:qFormat/>
    <w:pPr>
      <w:ind w:firstLine="420"/>
    </w:pPr>
    <w:rPr>
      <w:rFonts w:ascii="等线" w:hAnsi="等线" w:eastAsia="等线" w:cs="黑体"/>
      <w:szCs w:val="22"/>
    </w:rPr>
  </w:style>
  <w:style w:type="paragraph" w:styleId="978" w:customStyle="1">
    <w:name w:val="列出段落4"/>
    <w:basedOn w:val="686"/>
    <w:uiPriority w:val="0"/>
    <w:qFormat/>
    <w:pPr>
      <w:ind w:firstLine="420"/>
    </w:pPr>
    <w:rPr>
      <w:rFonts w:eastAsia="仿宋"/>
      <w:sz w:val="32"/>
      <w:szCs w:val="22"/>
    </w:rPr>
  </w:style>
  <w:style w:type="character" w:styleId="979" w:customStyle="1">
    <w:name w:val="fontstyle01"/>
    <w:basedOn w:val="696"/>
    <w:uiPriority w:val="0"/>
    <w:qFormat/>
    <w:rPr>
      <w:rFonts w:ascii="宋体" w:hAnsi="宋体" w:eastAsia="宋体" w:cs="宋体"/>
      <w:color w:val="ff0000"/>
      <w:sz w:val="22"/>
      <w:szCs w:val="22"/>
    </w:rPr>
  </w:style>
  <w:style w:type="paragraph" w:styleId="980" w:customStyle="1">
    <w:name w:val="Table Text"/>
    <w:basedOn w:val="686"/>
    <w:uiPriority w:val="0"/>
    <w:semiHidden/>
    <w:qFormat/>
    <w:rPr>
      <w:rFonts w:ascii="宋体" w:hAnsi="宋体" w:cs="宋体"/>
      <w:sz w:val="24"/>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列表段落1"/>
    <w:basedOn w:val="686"/>
    <w:uiPriority w:val="99"/>
    <w:qFormat/>
    <w:pPr>
      <w:ind w:firstLine="420"/>
    </w:pPr>
    <w:rPr>
      <w:rFonts w:ascii="Times New Roman" w:hAnsi="Times New Roman"/>
      <w:szCs w:val="20"/>
    </w:rPr>
  </w:style>
  <w:style w:type="paragraph" w:styleId="983" w:customStyle="1">
    <w:name w:val="List Paragraph1"/>
    <w:basedOn w:val="686"/>
    <w:next w:val="686"/>
    <w:uiPriority w:val="0"/>
    <w:qFormat/>
    <w:pPr>
      <w:ind w:firstLine="420"/>
    </w:pPr>
    <w:rPr>
      <w:rFonts w:ascii="Times New Roman" w:hAnsi="Times New Roman"/>
      <w:szCs w:val="21"/>
    </w:rPr>
  </w:style>
  <w:style w:type="paragraph" w:styleId="984" w:customStyle="1">
    <w:name w:val="正文文本缩进1"/>
    <w:basedOn w:val="686"/>
    <w:next w:val="985"/>
    <w:uiPriority w:val="0"/>
    <w:qFormat/>
    <w:pPr>
      <w:ind w:left="420"/>
      <w:spacing w:after="120"/>
    </w:pPr>
    <w:rPr>
      <w:sz w:val="24"/>
    </w:rPr>
  </w:style>
  <w:style w:type="paragraph" w:styleId="985" w:customStyle="1">
    <w:name w:val="正文首行缩进 21"/>
    <w:basedOn w:val="984"/>
    <w:uiPriority w:val="0"/>
    <w:qFormat/>
    <w:pPr>
      <w:ind w:firstLine="200"/>
      <w:spacing w:line="360" w:lineRule="auto"/>
    </w:pPr>
    <w:rPr>
      <w:rFonts w:ascii="宋体"/>
    </w:rPr>
  </w:style>
  <w:style w:type="table" w:styleId="986" w:customStyle="1">
    <w:name w:val="网格型1"/>
    <w:basedOn w:val="987"/>
    <w:uiPriority w:val="0"/>
    <w:qFormat/>
    <w:pPr>
      <w:jc w:val="both"/>
      <w:widowControl w:val="off"/>
    </w:pPr>
    <w:tblPr>
      <w:tblCellMar>
        <w:left w:w="0" w:type="dxa"/>
        <w:top w:w="0" w:type="dxa"/>
        <w:right w:w="0" w:type="dxa"/>
        <w:bottom w:w="0" w:type="dxa"/>
      </w:tblCellMar>
    </w:tblPr>
  </w:style>
  <w:style w:type="table" w:styleId="987" w:customStyle="1">
    <w:name w:val="普通表格1"/>
    <w:uiPriority w:val="0"/>
    <w:semiHidden/>
    <w:qFormat/>
    <w:tblPr>
      <w:tblCellMar>
        <w:left w:w="0" w:type="dxa"/>
        <w:top w:w="0" w:type="dxa"/>
        <w:right w:w="0" w:type="dxa"/>
        <w:bottom w:w="0" w:type="dxa"/>
      </w:tblCellMar>
    </w:tblPr>
  </w:style>
  <w:style w:type="numbering" w:styleId="125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5DE6C1D-B82C-4DD8-AA4D-F89F2DAA68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92</cp:revision>
  <dcterms:created xsi:type="dcterms:W3CDTF">2023-12-14T02:55:00Z</dcterms:created>
  <dcterms:modified xsi:type="dcterms:W3CDTF">2026-06-10T09:06:32Z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E004827B6EB344DA8B4ECAEAF924E0B1_13</vt:lpwstr>
  </property>
  <property fmtid="{D5CDD505-2E9C-101B-9397-08002B2CF9AE}" pid="4" name="KSOTemplateDocerSaveRecord">
    <vt:lpwstr>eyJoZGlkIjoiNmM5MTRjZjRkMjdlMzExYjc2ZDQ4N2Q0MjFkMTBjYzQiLCJ1c2VySWQiOiIyOTEwOTIxNiJ9</vt:lpwstr>
  </property>
</Properties>
</file>