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jc w:val="center"/>
        <w:spacing w:before="120" w:after="120" w:line="360" w:lineRule="auto"/>
        <w:rPr>
          <w:rFonts w:ascii="Arial" w:hAnsi="Arial" w:eastAsia="黑体"/>
          <w:b/>
          <w:bCs/>
          <w:sz w:val="84"/>
          <w:szCs w:val="24"/>
          <w:highlight w:val="none"/>
        </w:rPr>
        <w:outlineLvl w:val="9"/>
      </w:pPr>
      <w:r/>
      <w:bookmarkStart w:id="0" w:name="_Toc8880"/>
      <w:r/>
      <w:bookmarkStart w:id="1" w:name="_Toc19086"/>
      <w:r>
        <w:rPr>
          <w:rFonts w:hint="eastAsia" w:ascii="Arial" w:hAnsi="Arial" w:eastAsia="黑体"/>
          <w:b/>
          <w:bCs/>
          <w:sz w:val="84"/>
          <w:szCs w:val="24"/>
          <w:highlight w:val="none"/>
        </w:rPr>
        <w:t xml:space="preserve">竞争性磋商文件</w:t>
      </w:r>
      <w:bookmarkEnd w:id="0"/>
      <w:r/>
      <w:bookmarkEnd w:id="1"/>
      <w:r/>
      <w:r/>
    </w:p>
    <w:p>
      <w:pPr>
        <w:ind w:left="2244" w:hanging="1606"/>
        <w:jc w:val="left"/>
        <w:spacing w:before="120" w:after="120" w:line="360" w:lineRule="auto"/>
        <w:rPr>
          <w:rFonts w:hint="eastAsia" w:ascii="Arial" w:hAnsi="Arial" w:eastAsia="宋体"/>
          <w:b/>
          <w:bCs/>
          <w:sz w:val="32"/>
          <w:szCs w:val="24"/>
          <w:highlight w:val="none"/>
          <w:lang w:eastAsia="zh-CN"/>
        </w:rPr>
        <w:outlineLvl w:val="9"/>
      </w:pPr>
      <w:r/>
      <w:bookmarkStart w:id="2" w:name="_Toc4837"/>
      <w:r/>
      <w:bookmarkStart w:id="3" w:name="_Toc5249"/>
      <w:r>
        <w:rPr>
          <w:rFonts w:hint="eastAsia" w:ascii="Arial" w:hAnsi="Arial"/>
          <w:b/>
          <w:bCs/>
          <w:sz w:val="32"/>
          <w:szCs w:val="24"/>
          <w:highlight w:val="none"/>
        </w:rPr>
        <w:t xml:space="preserve">项目名称：</w:t>
      </w:r>
      <w:bookmarkEnd w:id="2"/>
      <w:r/>
      <w:bookmarkEnd w:id="3"/>
      <w:r>
        <w:rPr>
          <w:rFonts w:hint="eastAsia" w:ascii="Arial" w:hAnsi="Arial"/>
          <w:b/>
          <w:bCs/>
          <w:sz w:val="32"/>
          <w:szCs w:val="24"/>
          <w:highlight w:val="none"/>
          <w:lang w:eastAsia="zh-CN"/>
        </w:rPr>
        <w:t xml:space="preserve">2026年江浦街道护林防火第三方服务</w:t>
      </w:r>
      <w:r/>
    </w:p>
    <w:p>
      <w:pPr>
        <w:jc w:val="center"/>
        <w:spacing w:before="120" w:after="120" w:line="360" w:lineRule="auto"/>
        <w:rPr>
          <w:rFonts w:hint="eastAsia" w:ascii="Arial" w:hAnsi="Arial"/>
          <w:b/>
          <w:bCs/>
          <w:sz w:val="32"/>
          <w:szCs w:val="24"/>
          <w:highlight w:val="none"/>
          <w:lang w:eastAsia="zh-CN"/>
        </w:rPr>
        <w:outlineLvl w:val="9"/>
      </w:pPr>
      <w:r>
        <w:rPr>
          <w:rFonts w:hint="eastAsia" w:ascii="Arial" w:hAnsi="Arial"/>
          <w:b/>
          <w:bCs/>
          <w:color w:val="000000"/>
          <w:sz w:val="32"/>
          <w:szCs w:val="24"/>
          <w:highlight w:val="none"/>
        </w:rPr>
        <w:t xml:space="preserve">项目编号：</w:t>
      </w:r>
      <w:bookmarkStart w:id="4" w:name="_Toc11153"/>
      <w:r/>
      <w:bookmarkStart w:id="5" w:name="_Toc27358"/>
      <w:r>
        <w:rPr>
          <w:rFonts w:hint="eastAsia" w:ascii="Arial" w:hAnsi="Arial"/>
          <w:b/>
          <w:bCs/>
          <w:sz w:val="32"/>
          <w:szCs w:val="24"/>
          <w:highlight w:val="none"/>
          <w:lang w:eastAsia="zh-CN"/>
        </w:rPr>
        <w:t xml:space="preserve">JSZC-320111-JZCG-C2026-0028</w:t>
      </w:r>
      <w:r>
        <w:rPr>
          <w:rFonts w:hint="eastAsia" w:ascii="Arial" w:hAnsi="Arial"/>
          <w:b/>
          <w:bCs/>
          <w:sz w:val="32"/>
          <w:szCs w:val="24"/>
          <w:highlight w:val="none"/>
          <w:lang w:val="en-US" w:eastAsia="zh-CN"/>
        </w:rPr>
        <w:t xml:space="preserve"> </w:t>
      </w:r>
      <w:r/>
    </w:p>
    <w:p>
      <w:pPr>
        <w:jc w:val="center"/>
        <w:spacing w:before="120" w:after="120" w:line="360" w:lineRule="auto"/>
        <w:rPr>
          <w:b/>
          <w:sz w:val="30"/>
          <w:szCs w:val="30"/>
          <w:highlight w:val="none"/>
        </w:rPr>
        <w:outlineLvl w:val="9"/>
      </w:pPr>
      <w:r>
        <w:rPr>
          <w:rFonts w:hint="eastAsia" w:ascii="Arial" w:hAnsi="Arial"/>
          <w:b/>
          <w:bCs/>
          <w:color w:val="000000"/>
          <w:sz w:val="32"/>
          <w:szCs w:val="24"/>
          <w:highlight w:val="none"/>
        </w:rPr>
        <w:t xml:space="preserve">（</w:t>
      </w:r>
      <w:r>
        <w:rPr>
          <w:rFonts w:hint="eastAsia" w:ascii="宋体" w:hAnsi="宋体" w:cs="宋体"/>
          <w:b/>
          <w:bCs/>
          <w:color w:val="000000"/>
          <w:sz w:val="30"/>
          <w:szCs w:val="30"/>
          <w:highlight w:val="none"/>
        </w:rPr>
        <w:t xml:space="preserve">专门</w:t>
      </w:r>
      <w:r>
        <w:rPr>
          <w:rFonts w:hint="eastAsia"/>
          <w:b/>
          <w:color w:val="000000"/>
          <w:sz w:val="30"/>
          <w:szCs w:val="30"/>
          <w:highlight w:val="none"/>
        </w:rPr>
        <w:t xml:space="preserve">面向中小企业</w:t>
      </w:r>
      <w:r>
        <w:rPr>
          <w:rFonts w:hint="eastAsia" w:ascii="Arial" w:hAnsi="Arial"/>
          <w:b/>
          <w:bCs/>
          <w:color w:val="000000"/>
          <w:sz w:val="32"/>
          <w:szCs w:val="24"/>
          <w:highlight w:val="none"/>
        </w:rPr>
        <w:t xml:space="preserve">）</w:t>
      </w:r>
      <w:bookmarkEnd w:id="4"/>
      <w:r/>
      <w:bookmarkEnd w:id="5"/>
      <w:r/>
      <w:r/>
    </w:p>
    <w:p>
      <w:pPr>
        <w:jc w:val="left"/>
        <w:spacing w:line="360" w:lineRule="auto"/>
        <w:rPr>
          <w:rFonts w:hint="eastAsia" w:ascii="宋体" w:hAnsi="宋体"/>
          <w:sz w:val="24"/>
          <w:szCs w:val="24"/>
          <w:highlight w:val="none"/>
        </w:rPr>
        <w:outlineLvl w:val="9"/>
      </w:pPr>
      <w:r>
        <w:rPr>
          <w:rFonts w:hint="eastAsia" w:ascii="宋体" w:hAnsi="宋体"/>
          <w:sz w:val="24"/>
          <w:szCs w:val="24"/>
          <w:highlight w:val="none"/>
        </w:rPr>
      </w:r>
      <w:r/>
    </w:p>
    <w:p>
      <w:pPr>
        <w:jc w:val="left"/>
        <w:spacing w:line="360" w:lineRule="auto"/>
        <w:rPr>
          <w:rFonts w:hint="eastAsia" w:ascii="宋体" w:hAnsi="宋体"/>
          <w:sz w:val="24"/>
          <w:szCs w:val="24"/>
          <w:highlight w:val="none"/>
        </w:rPr>
        <w:outlineLvl w:val="9"/>
      </w:pPr>
      <w:r>
        <w:rPr>
          <w:rFonts w:hint="eastAsia" w:ascii="宋体" w:hAnsi="宋体"/>
          <w:sz w:val="24"/>
          <w:szCs w:val="24"/>
          <w:highlight w:val="none"/>
        </w:rPr>
      </w:r>
      <w:r/>
    </w:p>
    <w:p>
      <w:pPr>
        <w:jc w:val="left"/>
        <w:spacing w:line="360" w:lineRule="auto"/>
        <w:rPr>
          <w:rFonts w:hint="eastAsia" w:ascii="宋体" w:hAnsi="宋体"/>
          <w:sz w:val="24"/>
          <w:szCs w:val="24"/>
          <w:highlight w:val="none"/>
        </w:rPr>
        <w:outlineLvl w:val="9"/>
      </w:pPr>
      <w:r>
        <w:rPr>
          <w:rFonts w:hint="eastAsia" w:ascii="宋体" w:hAnsi="宋体"/>
          <w:sz w:val="24"/>
          <w:szCs w:val="24"/>
          <w:highlight w:val="none"/>
        </w:rPr>
      </w:r>
      <w:r/>
    </w:p>
    <w:p>
      <w:pPr>
        <w:jc w:val="left"/>
        <w:spacing w:line="360" w:lineRule="auto"/>
        <w:rPr>
          <w:rFonts w:hint="eastAsia" w:ascii="宋体" w:hAnsi="宋体"/>
          <w:sz w:val="24"/>
          <w:szCs w:val="24"/>
          <w:highlight w:val="none"/>
        </w:rPr>
        <w:outlineLvl w:val="9"/>
      </w:pPr>
      <w:r>
        <w:rPr>
          <w:rFonts w:hint="eastAsia" w:ascii="宋体" w:hAnsi="宋体"/>
          <w:sz w:val="24"/>
          <w:szCs w:val="24"/>
          <w:highlight w:val="none"/>
        </w:rPr>
      </w:r>
      <w:r/>
    </w:p>
    <w:p>
      <w:pPr>
        <w:jc w:val="left"/>
        <w:spacing w:line="360" w:lineRule="auto"/>
        <w:rPr>
          <w:rFonts w:hint="eastAsia" w:ascii="宋体" w:hAnsi="宋体"/>
          <w:sz w:val="24"/>
          <w:szCs w:val="24"/>
          <w:highlight w:val="none"/>
        </w:rPr>
        <w:outlineLvl w:val="9"/>
      </w:pPr>
      <w:r>
        <w:rPr>
          <w:rFonts w:hint="eastAsia" w:ascii="宋体" w:hAnsi="宋体"/>
          <w:sz w:val="24"/>
          <w:szCs w:val="24"/>
          <w:highlight w:val="none"/>
        </w:rPr>
      </w:r>
      <w:r/>
    </w:p>
    <w:p>
      <w:pPr>
        <w:jc w:val="left"/>
        <w:spacing w:line="360" w:lineRule="auto"/>
        <w:rPr>
          <w:rFonts w:hint="eastAsia" w:ascii="宋体" w:hAnsi="宋体"/>
          <w:sz w:val="24"/>
          <w:szCs w:val="24"/>
          <w:highlight w:val="none"/>
        </w:rPr>
        <w:outlineLvl w:val="9"/>
      </w:pPr>
      <w:r>
        <w:rPr>
          <w:rFonts w:hint="eastAsia" w:ascii="宋体" w:hAnsi="宋体"/>
          <w:sz w:val="24"/>
          <w:szCs w:val="24"/>
          <w:highlight w:val="none"/>
        </w:rPr>
      </w:r>
      <w:r/>
    </w:p>
    <w:p>
      <w:pPr>
        <w:jc w:val="left"/>
        <w:spacing w:line="360" w:lineRule="auto"/>
        <w:rPr>
          <w:rFonts w:hint="eastAsia" w:ascii="宋体" w:hAnsi="宋体"/>
          <w:sz w:val="24"/>
          <w:szCs w:val="24"/>
          <w:highlight w:val="none"/>
        </w:rPr>
        <w:outlineLvl w:val="9"/>
      </w:pPr>
      <w:r>
        <w:rPr>
          <w:rFonts w:hint="eastAsia" w:ascii="宋体" w:hAnsi="宋体"/>
          <w:sz w:val="24"/>
          <w:szCs w:val="24"/>
          <w:highlight w:val="none"/>
        </w:rPr>
      </w:r>
      <w:r/>
    </w:p>
    <w:p>
      <w:pPr>
        <w:pStyle w:val="1022"/>
        <w:ind w:firstLine="0"/>
        <w:jc w:val="center"/>
        <w:rPr>
          <w:b/>
          <w:bCs/>
          <w:sz w:val="32"/>
          <w:highlight w:val="none"/>
        </w:rPr>
        <w:outlineLvl w:val="9"/>
      </w:pPr>
      <w:r/>
      <w:bookmarkStart w:id="6" w:name="_Toc3085"/>
      <w:r/>
      <w:bookmarkStart w:id="7" w:name="_Toc2405"/>
      <w:r>
        <w:rPr>
          <w:rFonts w:hint="eastAsia"/>
          <w:b/>
          <w:bCs/>
          <w:sz w:val="32"/>
          <w:highlight w:val="none"/>
        </w:rPr>
        <w:t xml:space="preserve">南京市公共资源交易中心浦口分中心</w:t>
      </w:r>
      <w:bookmarkEnd w:id="6"/>
      <w:r/>
      <w:bookmarkEnd w:id="7"/>
      <w:r/>
      <w:r/>
    </w:p>
    <w:p>
      <w:pPr>
        <w:pStyle w:val="1022"/>
        <w:ind w:firstLine="0"/>
        <w:jc w:val="center"/>
        <w:rPr>
          <w:rFonts w:ascii="Times New Roman" w:hAnsi="Times New Roman"/>
          <w:b/>
          <w:bCs/>
          <w:sz w:val="32"/>
          <w:highlight w:val="none"/>
        </w:rPr>
        <w:outlineLvl w:val="9"/>
      </w:pPr>
      <w:r>
        <w:rPr>
          <w:rFonts w:hint="eastAsia" w:ascii="Times New Roman" w:hAnsi="Times New Roman"/>
          <w:b/>
          <w:bCs/>
          <w:sz w:val="32"/>
          <w:highlight w:val="none"/>
          <w:u w:val="single"/>
        </w:rPr>
        <w:t xml:space="preserve"> 2026 </w:t>
      </w:r>
      <w:r>
        <w:rPr>
          <w:rFonts w:hint="eastAsia"/>
          <w:b/>
          <w:bCs/>
          <w:sz w:val="32"/>
          <w:highlight w:val="none"/>
        </w:rPr>
        <w:t xml:space="preserve">年</w:t>
      </w:r>
      <w:r>
        <w:rPr>
          <w:rFonts w:hint="eastAsia"/>
          <w:b/>
          <w:bCs/>
          <w:sz w:val="32"/>
          <w:highlight w:val="none"/>
          <w:u w:val="single"/>
        </w:rPr>
        <w:t xml:space="preserve"> </w:t>
      </w:r>
      <w:r>
        <w:rPr>
          <w:rFonts w:hint="eastAsia" w:ascii="Times New Roman" w:hAnsi="Times New Roman"/>
          <w:b/>
          <w:bCs/>
          <w:sz w:val="32"/>
          <w:highlight w:val="none"/>
          <w:u w:val="single"/>
          <w:lang w:val="en-US" w:eastAsia="zh-CN"/>
        </w:rPr>
        <w:t xml:space="preserve">5</w:t>
      </w:r>
      <w:r>
        <w:rPr>
          <w:rFonts w:hint="eastAsia" w:ascii="Times New Roman" w:hAnsi="Times New Roman"/>
          <w:b/>
          <w:bCs/>
          <w:sz w:val="32"/>
          <w:highlight w:val="none"/>
          <w:u w:val="single"/>
        </w:rPr>
        <w:t xml:space="preserve"> </w:t>
      </w:r>
      <w:r>
        <w:rPr>
          <w:rFonts w:hint="eastAsia" w:ascii="Times New Roman" w:hAnsi="Times New Roman"/>
          <w:b/>
          <w:bCs/>
          <w:sz w:val="32"/>
          <w:highlight w:val="none"/>
        </w:rPr>
        <w:t xml:space="preserve">月</w:t>
      </w:r>
      <w:r/>
    </w:p>
    <w:p>
      <w:pPr>
        <w:jc w:val="left"/>
        <w:spacing w:before="120" w:after="120" w:line="360" w:lineRule="auto"/>
        <w:rPr>
          <w:rFonts w:ascii="Arial" w:hAnsi="Arial"/>
          <w:sz w:val="24"/>
          <w:szCs w:val="24"/>
          <w:highlight w:val="none"/>
          <w:u w:val="single"/>
        </w:rPr>
      </w:pPr>
      <w:r>
        <w:rPr>
          <w:rFonts w:ascii="Arial" w:hAnsi="Arial"/>
          <w:sz w:val="24"/>
          <w:szCs w:val="24"/>
          <w:highlight w:val="none"/>
          <w:u w:val="single"/>
        </w:rPr>
      </w:r>
      <w:r/>
    </w:p>
    <w:p>
      <w:pPr>
        <w:jc w:val="center"/>
        <w:spacing w:before="120" w:after="120" w:line="360" w:lineRule="auto"/>
        <w:rPr>
          <w:rFonts w:ascii="Arial" w:hAnsi="Arial"/>
          <w:sz w:val="24"/>
          <w:szCs w:val="24"/>
          <w:highlight w:val="none"/>
        </w:rPr>
      </w:pPr>
      <w:r>
        <w:rPr>
          <w:rFonts w:ascii="Arial" w:hAnsi="Arial"/>
          <w:sz w:val="24"/>
          <w:szCs w:val="24"/>
          <w:highlight w:val="none"/>
        </w:rPr>
      </w:r>
      <w:r/>
    </w:p>
    <w:p>
      <w:pPr>
        <w:jc w:val="center"/>
        <w:spacing w:line="480" w:lineRule="auto"/>
        <w:rPr>
          <w:rFonts w:ascii="黑体" w:hAnsi="Arial" w:eastAsia="黑体"/>
          <w:b/>
          <w:sz w:val="44"/>
          <w:szCs w:val="21"/>
          <w:highlight w:val="none"/>
        </w:rPr>
        <w:outlineLvl w:val="0"/>
      </w:pPr>
      <w:r>
        <w:rPr>
          <w:szCs w:val="21"/>
          <w:highlight w:val="none"/>
        </w:rPr>
        <w:br w:type="page" w:clear="all"/>
      </w:r>
      <w:bookmarkStart w:id="8" w:name="_Toc30723"/>
      <w:r/>
      <w:bookmarkStart w:id="9" w:name="_Toc20012"/>
      <w:r/>
      <w:bookmarkStart w:id="10" w:name="_Toc120614210"/>
      <w:r/>
      <w:bookmarkStart w:id="11" w:name="_Toc523127445"/>
      <w:r/>
      <w:bookmarkStart w:id="12" w:name="_Toc513029200"/>
      <w:r/>
      <w:bookmarkStart w:id="13" w:name="_Toc479757206"/>
      <w:r/>
      <w:bookmarkStart w:id="14" w:name="_Toc20823272"/>
      <w:r/>
      <w:bookmarkStart w:id="15" w:name="_Toc16938516"/>
      <w:r>
        <w:rPr>
          <w:rFonts w:hint="eastAsia" w:ascii="黑体" w:hAnsi="Arial" w:eastAsia="黑体"/>
          <w:b/>
          <w:sz w:val="44"/>
          <w:szCs w:val="21"/>
          <w:highlight w:val="none"/>
        </w:rPr>
        <w:t xml:space="preserve">总  目  录</w:t>
      </w:r>
      <w:bookmarkEnd w:id="8"/>
      <w:r/>
      <w:bookmarkEnd w:id="9"/>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sdt>
      <w:sdtPr>
        <w15:appearance w15:val="boundingBox"/>
        <w:id w:val="147463156"/>
        <w:docPartObj>
          <w:docPartGallery w:val="Table of Contents"/>
          <w:docPartUnique w:val="true"/>
        </w:docPartObj>
        <w:rPr>
          <w:rFonts w:ascii="宋体" w:hAnsi="宋体"/>
          <w:highlight w:val="none"/>
        </w:rPr>
      </w:sdtPr>
      <w:sdtContent>
        <w:p>
          <w:pPr>
            <w:jc w:val="center"/>
            <w:rPr>
              <w:szCs w:val="21"/>
              <w:highlight w:val="none"/>
            </w:rPr>
          </w:pPr>
          <w:r>
            <w:rPr>
              <w:rFonts w:hint="eastAsia"/>
              <w:szCs w:val="21"/>
              <w:highlight w:val="none"/>
            </w:rPr>
            <w:fldChar w:fldCharType="begin"/>
          </w:r>
          <w:r>
            <w:rPr>
              <w:rFonts w:hint="eastAsia"/>
              <w:szCs w:val="21"/>
              <w:highlight w:val="none"/>
            </w:rPr>
            <w:instrText xml:space="preserve">TOC \o "1-1" \h \u </w:instrText>
          </w:r>
          <w:r>
            <w:rPr>
              <w:rFonts w:hint="eastAsia"/>
              <w:szCs w:val="21"/>
              <w:highlight w:val="none"/>
            </w:rPr>
            <w:fldChar w:fldCharType="separate"/>
          </w:r>
          <w:r/>
        </w:p>
        <w:p>
          <w:pPr>
            <w:pStyle w:val="730"/>
            <w:spacing w:line="360" w:lineRule="auto"/>
            <w:tabs>
              <w:tab w:val="right" w:pos="9522" w:leader="dot"/>
            </w:tabs>
            <w:rPr>
              <w:sz w:val="44"/>
              <w:szCs w:val="44"/>
              <w:highlight w:val="none"/>
            </w:rPr>
          </w:pPr>
          <w:r>
            <w:rPr>
              <w:highlight w:val="none"/>
            </w:rPr>
            <w:fldChar w:fldCharType="begin"/>
          </w:r>
          <w:r>
            <w:rPr>
              <w:highlight w:val="none"/>
            </w:rPr>
            <w:instrText xml:space="preserve"> HYPERLINK \l "_Toc9137" \o "#_Toc9137" </w:instrText>
          </w:r>
          <w:r>
            <w:rPr>
              <w:highlight w:val="none"/>
            </w:rPr>
            <w:fldChar w:fldCharType="separate"/>
          </w:r>
          <w:r>
            <w:rPr>
              <w:rFonts w:hint="eastAsia" w:ascii="黑体" w:hAnsi="黑体" w:eastAsia="黑体" w:cs="黑体"/>
              <w:sz w:val="44"/>
              <w:szCs w:val="44"/>
              <w:highlight w:val="none"/>
            </w:rPr>
            <w:t xml:space="preserve">第一章  磋商邀请</w:t>
          </w:r>
          <w:r>
            <w:rPr>
              <w:sz w:val="44"/>
              <w:szCs w:val="44"/>
              <w:highlight w:val="none"/>
            </w:rPr>
            <w:tab/>
          </w:r>
          <w:r>
            <w:rPr>
              <w:sz w:val="44"/>
              <w:szCs w:val="44"/>
              <w:highlight w:val="none"/>
            </w:rPr>
            <w:fldChar w:fldCharType="begin"/>
          </w:r>
          <w:r>
            <w:rPr>
              <w:sz w:val="44"/>
              <w:szCs w:val="44"/>
              <w:highlight w:val="none"/>
            </w:rPr>
            <w:instrText xml:space="preserve"> PAGEREF _Toc9137 \h </w:instrText>
          </w:r>
          <w:r>
            <w:rPr>
              <w:sz w:val="44"/>
              <w:szCs w:val="44"/>
              <w:highlight w:val="none"/>
            </w:rPr>
            <w:fldChar w:fldCharType="separate"/>
          </w:r>
          <w:r>
            <w:rPr>
              <w:sz w:val="44"/>
              <w:szCs w:val="44"/>
              <w:highlight w:val="none"/>
            </w:rPr>
            <w:t xml:space="preserve">1</w:t>
          </w:r>
          <w:r>
            <w:rPr>
              <w:sz w:val="44"/>
              <w:szCs w:val="44"/>
              <w:highlight w:val="none"/>
            </w:rPr>
            <w:fldChar w:fldCharType="end"/>
          </w:r>
          <w:r>
            <w:rPr>
              <w:sz w:val="44"/>
              <w:szCs w:val="44"/>
              <w:highlight w:val="none"/>
            </w:rPr>
            <w:fldChar w:fldCharType="end"/>
          </w:r>
          <w:r/>
        </w:p>
        <w:p>
          <w:pPr>
            <w:pStyle w:val="730"/>
            <w:spacing w:line="360" w:lineRule="auto"/>
            <w:tabs>
              <w:tab w:val="right" w:pos="9522" w:leader="dot"/>
            </w:tabs>
            <w:rPr>
              <w:sz w:val="44"/>
              <w:szCs w:val="44"/>
              <w:highlight w:val="none"/>
            </w:rPr>
          </w:pPr>
          <w:r>
            <w:rPr>
              <w:highlight w:val="none"/>
            </w:rPr>
            <w:fldChar w:fldCharType="begin"/>
          </w:r>
          <w:r>
            <w:rPr>
              <w:highlight w:val="none"/>
            </w:rPr>
            <w:instrText xml:space="preserve"> HYPERLINK \l "_Toc26819" \o "#_Toc26819" </w:instrText>
          </w:r>
          <w:r>
            <w:rPr>
              <w:highlight w:val="none"/>
            </w:rPr>
            <w:fldChar w:fldCharType="separate"/>
          </w:r>
          <w:r>
            <w:rPr>
              <w:rFonts w:hint="eastAsia" w:ascii="黑体" w:hAnsi="黑体" w:eastAsia="黑体" w:cs="黑体"/>
              <w:sz w:val="44"/>
              <w:szCs w:val="44"/>
              <w:highlight w:val="none"/>
            </w:rPr>
            <w:t xml:space="preserve">第二章  供应商须知</w:t>
          </w:r>
          <w:r>
            <w:rPr>
              <w:sz w:val="44"/>
              <w:szCs w:val="44"/>
              <w:highlight w:val="none"/>
            </w:rPr>
            <w:tab/>
          </w:r>
          <w:r>
            <w:rPr>
              <w:sz w:val="44"/>
              <w:szCs w:val="44"/>
              <w:highlight w:val="none"/>
            </w:rPr>
            <w:fldChar w:fldCharType="begin"/>
          </w:r>
          <w:r>
            <w:rPr>
              <w:sz w:val="44"/>
              <w:szCs w:val="44"/>
              <w:highlight w:val="none"/>
            </w:rPr>
            <w:instrText xml:space="preserve"> PAGEREF _Toc26819 \h </w:instrText>
          </w:r>
          <w:r>
            <w:rPr>
              <w:sz w:val="44"/>
              <w:szCs w:val="44"/>
              <w:highlight w:val="none"/>
            </w:rPr>
            <w:fldChar w:fldCharType="separate"/>
          </w:r>
          <w:r>
            <w:rPr>
              <w:sz w:val="44"/>
              <w:szCs w:val="44"/>
              <w:highlight w:val="none"/>
            </w:rPr>
            <w:t xml:space="preserve">4</w:t>
          </w:r>
          <w:r>
            <w:rPr>
              <w:sz w:val="44"/>
              <w:szCs w:val="44"/>
              <w:highlight w:val="none"/>
            </w:rPr>
            <w:fldChar w:fldCharType="end"/>
          </w:r>
          <w:r>
            <w:rPr>
              <w:sz w:val="44"/>
              <w:szCs w:val="44"/>
              <w:highlight w:val="none"/>
            </w:rPr>
            <w:fldChar w:fldCharType="end"/>
          </w:r>
          <w:r/>
        </w:p>
        <w:p>
          <w:pPr>
            <w:pStyle w:val="730"/>
            <w:spacing w:line="360" w:lineRule="auto"/>
            <w:tabs>
              <w:tab w:val="right" w:pos="9522" w:leader="dot"/>
            </w:tabs>
            <w:rPr>
              <w:sz w:val="44"/>
              <w:szCs w:val="44"/>
              <w:highlight w:val="none"/>
            </w:rPr>
          </w:pPr>
          <w:r>
            <w:rPr>
              <w:highlight w:val="none"/>
            </w:rPr>
            <w:fldChar w:fldCharType="begin"/>
          </w:r>
          <w:r>
            <w:rPr>
              <w:highlight w:val="none"/>
            </w:rPr>
            <w:instrText xml:space="preserve"> HYPERLINK \l "_Toc29980" \o "#_Toc29980" </w:instrText>
          </w:r>
          <w:r>
            <w:rPr>
              <w:highlight w:val="none"/>
            </w:rPr>
            <w:fldChar w:fldCharType="separate"/>
          </w:r>
          <w:r>
            <w:rPr>
              <w:rFonts w:hint="eastAsia" w:ascii="黑体" w:hAnsi="黑体" w:eastAsia="黑体" w:cs="黑体"/>
              <w:sz w:val="44"/>
              <w:szCs w:val="44"/>
              <w:highlight w:val="none"/>
            </w:rPr>
            <w:t xml:space="preserve">第三章  合同文本</w:t>
          </w:r>
          <w:r>
            <w:rPr>
              <w:sz w:val="44"/>
              <w:szCs w:val="44"/>
              <w:highlight w:val="none"/>
            </w:rPr>
            <w:tab/>
          </w:r>
          <w:r>
            <w:rPr>
              <w:sz w:val="44"/>
              <w:szCs w:val="44"/>
              <w:highlight w:val="none"/>
            </w:rPr>
            <w:fldChar w:fldCharType="begin"/>
          </w:r>
          <w:r>
            <w:rPr>
              <w:sz w:val="44"/>
              <w:szCs w:val="44"/>
              <w:highlight w:val="none"/>
            </w:rPr>
            <w:instrText xml:space="preserve"> PAGEREF _Toc29980 \h </w:instrText>
          </w:r>
          <w:r>
            <w:rPr>
              <w:sz w:val="44"/>
              <w:szCs w:val="44"/>
              <w:highlight w:val="none"/>
            </w:rPr>
            <w:fldChar w:fldCharType="separate"/>
          </w:r>
          <w:r>
            <w:rPr>
              <w:sz w:val="44"/>
              <w:szCs w:val="44"/>
              <w:highlight w:val="none"/>
            </w:rPr>
            <w:t xml:space="preserve">18</w:t>
          </w:r>
          <w:r>
            <w:rPr>
              <w:sz w:val="44"/>
              <w:szCs w:val="44"/>
              <w:highlight w:val="none"/>
            </w:rPr>
            <w:fldChar w:fldCharType="end"/>
          </w:r>
          <w:r>
            <w:rPr>
              <w:sz w:val="44"/>
              <w:szCs w:val="44"/>
              <w:highlight w:val="none"/>
            </w:rPr>
            <w:fldChar w:fldCharType="end"/>
          </w:r>
          <w:r/>
        </w:p>
        <w:p>
          <w:pPr>
            <w:pStyle w:val="730"/>
            <w:spacing w:line="360" w:lineRule="auto"/>
            <w:tabs>
              <w:tab w:val="right" w:pos="9522" w:leader="dot"/>
            </w:tabs>
            <w:rPr>
              <w:sz w:val="44"/>
              <w:szCs w:val="44"/>
              <w:highlight w:val="none"/>
            </w:rPr>
          </w:pPr>
          <w:r>
            <w:rPr>
              <w:highlight w:val="none"/>
            </w:rPr>
            <w:fldChar w:fldCharType="begin"/>
          </w:r>
          <w:r>
            <w:rPr>
              <w:highlight w:val="none"/>
            </w:rPr>
            <w:instrText xml:space="preserve"> HYPERLINK \l "_Toc1812" \o "#_Toc1812" </w:instrText>
          </w:r>
          <w:r>
            <w:rPr>
              <w:highlight w:val="none"/>
            </w:rPr>
            <w:fldChar w:fldCharType="separate"/>
          </w:r>
          <w:r>
            <w:rPr>
              <w:rFonts w:hint="eastAsia" w:ascii="黑体" w:hAnsi="黑体" w:eastAsia="黑体" w:cs="黑体"/>
              <w:sz w:val="44"/>
              <w:szCs w:val="44"/>
              <w:highlight w:val="none"/>
            </w:rPr>
            <w:t xml:space="preserve">第四章  采购需求</w:t>
          </w:r>
          <w:r>
            <w:rPr>
              <w:sz w:val="44"/>
              <w:szCs w:val="44"/>
              <w:highlight w:val="none"/>
            </w:rPr>
            <w:tab/>
          </w:r>
          <w:r>
            <w:rPr>
              <w:sz w:val="44"/>
              <w:szCs w:val="44"/>
              <w:highlight w:val="none"/>
            </w:rPr>
            <w:fldChar w:fldCharType="begin"/>
          </w:r>
          <w:r>
            <w:rPr>
              <w:sz w:val="44"/>
              <w:szCs w:val="44"/>
              <w:highlight w:val="none"/>
            </w:rPr>
            <w:instrText xml:space="preserve"> PAGEREF _Toc1812 \h </w:instrText>
          </w:r>
          <w:r>
            <w:rPr>
              <w:sz w:val="44"/>
              <w:szCs w:val="44"/>
              <w:highlight w:val="none"/>
            </w:rPr>
            <w:fldChar w:fldCharType="separate"/>
          </w:r>
          <w:r>
            <w:rPr>
              <w:sz w:val="44"/>
              <w:szCs w:val="44"/>
              <w:highlight w:val="none"/>
            </w:rPr>
            <w:t xml:space="preserve">24</w:t>
          </w:r>
          <w:r>
            <w:rPr>
              <w:sz w:val="44"/>
              <w:szCs w:val="44"/>
              <w:highlight w:val="none"/>
            </w:rPr>
            <w:fldChar w:fldCharType="end"/>
          </w:r>
          <w:r>
            <w:rPr>
              <w:sz w:val="44"/>
              <w:szCs w:val="44"/>
              <w:highlight w:val="none"/>
            </w:rPr>
            <w:fldChar w:fldCharType="end"/>
          </w:r>
          <w:r/>
        </w:p>
        <w:p>
          <w:pPr>
            <w:pStyle w:val="730"/>
            <w:spacing w:line="360" w:lineRule="auto"/>
            <w:tabs>
              <w:tab w:val="right" w:pos="9522" w:leader="dot"/>
            </w:tabs>
            <w:rPr>
              <w:sz w:val="44"/>
              <w:szCs w:val="44"/>
              <w:highlight w:val="none"/>
            </w:rPr>
          </w:pPr>
          <w:r>
            <w:rPr>
              <w:highlight w:val="none"/>
            </w:rPr>
            <w:fldChar w:fldCharType="begin"/>
          </w:r>
          <w:r>
            <w:rPr>
              <w:highlight w:val="none"/>
            </w:rPr>
            <w:instrText xml:space="preserve"> HYPERLINK \l "_Toc8848" \o "#_Toc8848" </w:instrText>
          </w:r>
          <w:r>
            <w:rPr>
              <w:highlight w:val="none"/>
            </w:rPr>
            <w:fldChar w:fldCharType="separate"/>
          </w:r>
          <w:r>
            <w:rPr>
              <w:rFonts w:hint="eastAsia" w:ascii="黑体" w:hAnsi="黑体" w:eastAsia="黑体" w:cs="黑体"/>
              <w:sz w:val="44"/>
              <w:szCs w:val="44"/>
              <w:highlight w:val="none"/>
            </w:rPr>
            <w:t xml:space="preserve">第五章  评审方法与评审标准</w:t>
          </w:r>
          <w:r>
            <w:rPr>
              <w:sz w:val="44"/>
              <w:szCs w:val="44"/>
              <w:highlight w:val="none"/>
            </w:rPr>
            <w:tab/>
          </w:r>
          <w:r>
            <w:rPr>
              <w:sz w:val="44"/>
              <w:szCs w:val="44"/>
              <w:highlight w:val="none"/>
            </w:rPr>
            <w:fldChar w:fldCharType="begin"/>
          </w:r>
          <w:r>
            <w:rPr>
              <w:sz w:val="44"/>
              <w:szCs w:val="44"/>
              <w:highlight w:val="none"/>
            </w:rPr>
            <w:instrText xml:space="preserve"> PAGEREF _Toc8848 \h </w:instrText>
          </w:r>
          <w:r>
            <w:rPr>
              <w:sz w:val="44"/>
              <w:szCs w:val="44"/>
              <w:highlight w:val="none"/>
            </w:rPr>
            <w:fldChar w:fldCharType="separate"/>
          </w:r>
          <w:r>
            <w:rPr>
              <w:sz w:val="44"/>
              <w:szCs w:val="44"/>
              <w:highlight w:val="none"/>
            </w:rPr>
            <w:t xml:space="preserve">24</w:t>
          </w:r>
          <w:r>
            <w:rPr>
              <w:sz w:val="44"/>
              <w:szCs w:val="44"/>
              <w:highlight w:val="none"/>
            </w:rPr>
            <w:fldChar w:fldCharType="end"/>
          </w:r>
          <w:r>
            <w:rPr>
              <w:sz w:val="44"/>
              <w:szCs w:val="44"/>
              <w:highlight w:val="none"/>
            </w:rPr>
            <w:fldChar w:fldCharType="end"/>
          </w:r>
          <w:r/>
        </w:p>
        <w:p>
          <w:pPr>
            <w:pStyle w:val="730"/>
            <w:spacing w:line="360" w:lineRule="auto"/>
            <w:tabs>
              <w:tab w:val="right" w:pos="9522" w:leader="dot"/>
            </w:tabs>
            <w:rPr>
              <w:highlight w:val="none"/>
            </w:rPr>
          </w:pPr>
          <w:r>
            <w:rPr>
              <w:highlight w:val="none"/>
            </w:rPr>
            <w:fldChar w:fldCharType="begin"/>
          </w:r>
          <w:r>
            <w:rPr>
              <w:highlight w:val="none"/>
            </w:rPr>
            <w:instrText xml:space="preserve"> HYPERLINK \l "_Toc1557" \o "#_Toc1557" </w:instrText>
          </w:r>
          <w:r>
            <w:rPr>
              <w:highlight w:val="none"/>
            </w:rPr>
            <w:fldChar w:fldCharType="separate"/>
          </w:r>
          <w:r>
            <w:rPr>
              <w:rFonts w:hint="eastAsia" w:ascii="黑体" w:hAnsi="黑体" w:eastAsia="黑体" w:cs="黑体"/>
              <w:sz w:val="44"/>
              <w:szCs w:val="44"/>
              <w:highlight w:val="none"/>
            </w:rPr>
            <w:t xml:space="preserve">第六章  响应文件格式</w:t>
          </w:r>
          <w:r>
            <w:rPr>
              <w:sz w:val="44"/>
              <w:szCs w:val="44"/>
              <w:highlight w:val="none"/>
            </w:rPr>
            <w:tab/>
          </w:r>
          <w:r>
            <w:rPr>
              <w:sz w:val="44"/>
              <w:szCs w:val="44"/>
              <w:highlight w:val="none"/>
            </w:rPr>
            <w:fldChar w:fldCharType="begin"/>
          </w:r>
          <w:r>
            <w:rPr>
              <w:sz w:val="44"/>
              <w:szCs w:val="44"/>
              <w:highlight w:val="none"/>
            </w:rPr>
            <w:instrText xml:space="preserve"> PAGEREF _Toc1557 \h </w:instrText>
          </w:r>
          <w:r>
            <w:rPr>
              <w:sz w:val="44"/>
              <w:szCs w:val="44"/>
              <w:highlight w:val="none"/>
            </w:rPr>
            <w:fldChar w:fldCharType="separate"/>
          </w:r>
          <w:r>
            <w:rPr>
              <w:sz w:val="44"/>
              <w:szCs w:val="44"/>
              <w:highlight w:val="none"/>
            </w:rPr>
            <w:t xml:space="preserve">32</w:t>
          </w:r>
          <w:r>
            <w:rPr>
              <w:sz w:val="44"/>
              <w:szCs w:val="44"/>
              <w:highlight w:val="none"/>
            </w:rPr>
            <w:fldChar w:fldCharType="end"/>
          </w:r>
          <w:r>
            <w:rPr>
              <w:sz w:val="44"/>
              <w:szCs w:val="44"/>
              <w:highlight w:val="none"/>
            </w:rPr>
            <w:fldChar w:fldCharType="end"/>
          </w:r>
          <w:r/>
        </w:p>
        <w:p>
          <w:pPr>
            <w:pStyle w:val="730"/>
            <w:tabs>
              <w:tab w:val="right" w:pos="9522" w:leader="dot"/>
            </w:tabs>
            <w:rPr>
              <w:highlight w:val="none"/>
            </w:rPr>
          </w:pPr>
          <w:r>
            <w:rPr>
              <w:highlight w:val="none"/>
            </w:rPr>
          </w:r>
          <w:r/>
        </w:p>
        <w:p>
          <w:pPr>
            <w:jc w:val="center"/>
            <w:rPr>
              <w:szCs w:val="21"/>
              <w:highlight w:val="none"/>
            </w:rPr>
          </w:pPr>
          <w:r>
            <w:rPr>
              <w:rFonts w:hint="eastAsia"/>
              <w:szCs w:val="21"/>
              <w:highlight w:val="none"/>
            </w:rPr>
            <w:fldChar w:fldCharType="end"/>
          </w:r>
          <w:r/>
        </w:p>
      </w:sdtContent>
    </w:sdt>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pStyle w:val="705"/>
        <w:jc w:val="center"/>
        <w:rPr>
          <w:rFonts w:hint="eastAsia" w:ascii="黑体" w:hAnsi="黑体" w:eastAsia="黑体" w:cs="黑体"/>
          <w:highlight w:val="none"/>
        </w:rPr>
        <w:sectPr>
          <w:footnotePr/>
          <w:endnotePr/>
          <w:type w:val="nextPage"/>
          <w:pgSz w:w="12240" w:h="15840" w:orient="portrait"/>
          <w:pgMar w:top="1346" w:right="1352" w:bottom="1191" w:left="1366" w:header="0" w:footer="0" w:gutter="0"/>
          <w:cols w:num="1" w:sep="0" w:space="1701" w:equalWidth="0">
            <w:col w:w="9522" w:space="0"/>
          </w:cols>
          <w:docGrid w:linePitch="360"/>
        </w:sectPr>
      </w:pPr>
      <w:r/>
      <w:bookmarkStart w:id="16" w:name="_Toc9137"/>
      <w:r/>
      <w:r/>
    </w:p>
    <w:p>
      <w:pPr>
        <w:pStyle w:val="705"/>
        <w:jc w:val="center"/>
        <w:rPr>
          <w:rFonts w:hint="eastAsia" w:ascii="黑体" w:hAnsi="黑体" w:eastAsia="黑体" w:cs="黑体"/>
          <w:highlight w:val="none"/>
        </w:rPr>
      </w:pPr>
      <w:r>
        <w:rPr>
          <w:rFonts w:hint="eastAsia" w:ascii="黑体" w:hAnsi="黑体" w:eastAsia="黑体" w:cs="黑体"/>
          <w:highlight w:val="none"/>
        </w:rPr>
        <w:t xml:space="preserve">第一章  </w:t>
      </w:r>
      <w:bookmarkEnd w:id="10"/>
      <w:r>
        <w:rPr>
          <w:rFonts w:hint="eastAsia" w:ascii="黑体" w:hAnsi="黑体" w:eastAsia="黑体" w:cs="黑体"/>
          <w:highlight w:val="none"/>
        </w:rPr>
        <w:t xml:space="preserve">磋商邀请</w:t>
      </w:r>
      <w:bookmarkEnd w:id="16"/>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lang w:eastAsia="zh-CN"/>
        </w:rPr>
        <w:t xml:space="preserve">南京市浦口区人民政府江浦街道办事处</w:t>
      </w:r>
      <w:r>
        <w:rPr>
          <w:rFonts w:hint="eastAsia" w:ascii="仿宋" w:hAnsi="仿宋" w:eastAsia="仿宋" w:cs="仿宋"/>
          <w:sz w:val="24"/>
          <w:szCs w:val="24"/>
          <w:highlight w:val="none"/>
        </w:rPr>
        <w:t xml:space="preserve">的委托，南京市公共资源交易中心浦口分中心就</w:t>
      </w:r>
      <w:r>
        <w:rPr>
          <w:rFonts w:hint="eastAsia" w:ascii="仿宋" w:hAnsi="仿宋" w:eastAsia="仿宋" w:cs="仿宋"/>
          <w:sz w:val="24"/>
          <w:szCs w:val="24"/>
          <w:highlight w:val="none"/>
          <w:lang w:eastAsia="zh-CN"/>
        </w:rPr>
        <w:t xml:space="preserve">2026年江浦街道护林防火第三方服务</w:t>
      </w:r>
      <w:r>
        <w:rPr>
          <w:rFonts w:hint="eastAsia" w:ascii="仿宋" w:hAnsi="仿宋" w:eastAsia="仿宋" w:cs="仿宋"/>
          <w:sz w:val="24"/>
          <w:szCs w:val="24"/>
          <w:highlight w:val="none"/>
        </w:rPr>
        <w:t xml:space="preserve">进行竞争性磋商采购，欢迎符合条件的供应商参加磋商。</w:t>
      </w:r>
      <w:r/>
    </w:p>
    <w:p>
      <w:pPr>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rPr>
        <w:t xml:space="preserve">项目概况</w:t>
      </w:r>
      <w:r/>
    </w:p>
    <w:p>
      <w:pPr>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u w:val="single"/>
          <w:lang w:eastAsia="zh-CN"/>
        </w:rPr>
        <w:t xml:space="preserve">南京市浦口区人民政府江浦街道办事处</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lang w:eastAsia="zh-CN"/>
        </w:rPr>
        <w:t xml:space="preserve">2026年江浦街道护林防火第三方服务</w:t>
      </w:r>
      <w:r>
        <w:rPr>
          <w:rFonts w:hint="eastAsia" w:ascii="仿宋" w:hAnsi="仿宋" w:eastAsia="仿宋" w:cs="仿宋"/>
          <w:sz w:val="24"/>
          <w:szCs w:val="24"/>
          <w:highlight w:val="none"/>
        </w:rPr>
        <w:t xml:space="preserve">竞争性磋商项目的潜在供应商可在</w:t>
      </w:r>
      <w:r>
        <w:rPr>
          <w:rFonts w:hint="eastAsia" w:ascii="仿宋" w:hAnsi="仿宋" w:eastAsia="仿宋" w:cs="仿宋"/>
          <w:sz w:val="24"/>
          <w:szCs w:val="24"/>
          <w:highlight w:val="none"/>
          <w:u w:val="single"/>
        </w:rPr>
        <w:t xml:space="preserve">“江苏政府采购网”自行免费下载</w:t>
      </w:r>
      <w:r>
        <w:rPr>
          <w:rFonts w:hint="eastAsia" w:ascii="仿宋" w:hAnsi="仿宋" w:eastAsia="仿宋" w:cs="仿宋"/>
          <w:sz w:val="24"/>
          <w:szCs w:val="24"/>
          <w:highlight w:val="none"/>
        </w:rPr>
        <w:t xml:space="preserve">磋商文件，并于</w:t>
      </w:r>
      <w:r>
        <w:rPr>
          <w:rFonts w:hint="eastAsia" w:ascii="仿宋" w:hAnsi="仿宋" w:eastAsia="仿宋" w:cs="仿宋"/>
          <w:bCs/>
          <w:color w:val="auto"/>
          <w:sz w:val="24"/>
          <w:szCs w:val="24"/>
          <w:highlight w:val="none"/>
          <w:u w:val="single"/>
        </w:rPr>
        <w:t xml:space="preserve">2026年</w:t>
      </w:r>
      <w:r>
        <w:rPr>
          <w:rFonts w:hint="eastAsia" w:ascii="仿宋" w:hAnsi="仿宋" w:eastAsia="仿宋" w:cs="仿宋"/>
          <w:bCs/>
          <w:color w:val="auto"/>
          <w:sz w:val="24"/>
          <w:szCs w:val="24"/>
          <w:highlight w:val="none"/>
          <w:u w:val="single"/>
          <w:lang w:val="en-US" w:eastAsia="zh-CN"/>
        </w:rPr>
        <w:t xml:space="preserve">06 </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12 </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09 </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 30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sz w:val="24"/>
          <w:szCs w:val="24"/>
          <w:highlight w:val="none"/>
        </w:rPr>
        <w:t xml:space="preserve">北京时间）前递交响应文件</w:t>
      </w:r>
      <w:r>
        <w:rPr>
          <w:rFonts w:hint="eastAsia" w:ascii="仿宋" w:hAnsi="仿宋" w:eastAsia="仿宋" w:cs="仿宋"/>
          <w:sz w:val="24"/>
          <w:szCs w:val="24"/>
          <w:highlight w:val="none"/>
        </w:rPr>
        <w:t xml:space="preserve">。</w:t>
      </w:r>
      <w:r/>
    </w:p>
    <w:p>
      <w:pPr>
        <w:ind w:firstLine="482"/>
        <w:keepLines/>
        <w:keepNext/>
        <w:spacing w:line="360" w:lineRule="auto"/>
        <w:rPr>
          <w:rFonts w:hint="eastAsia" w:ascii="仿宋" w:hAnsi="仿宋" w:eastAsia="仿宋" w:cs="仿宋"/>
          <w:b/>
          <w:bCs/>
          <w:sz w:val="24"/>
          <w:szCs w:val="24"/>
          <w:highlight w:val="none"/>
        </w:rPr>
        <w:outlineLvl w:val="2"/>
      </w:pPr>
      <w:r/>
      <w:bookmarkStart w:id="17" w:name="_Toc35393790"/>
      <w:r/>
      <w:bookmarkStart w:id="18" w:name="_Toc28359002"/>
      <w:r/>
      <w:bookmarkStart w:id="19" w:name="_Toc38985263"/>
      <w:r/>
      <w:bookmarkStart w:id="20" w:name="_Toc35393621"/>
      <w:r/>
      <w:bookmarkStart w:id="21" w:name="_Toc28359079"/>
      <w:r/>
      <w:bookmarkStart w:id="22" w:name="_Hlk24379207"/>
      <w:r>
        <w:rPr>
          <w:rFonts w:hint="eastAsia" w:ascii="仿宋" w:hAnsi="仿宋" w:eastAsia="仿宋" w:cs="仿宋"/>
          <w:b/>
          <w:bCs/>
          <w:sz w:val="24"/>
          <w:szCs w:val="24"/>
          <w:highlight w:val="none"/>
        </w:rPr>
        <w:t xml:space="preserve">一、项目基本情况</w:t>
      </w:r>
      <w:bookmarkEnd w:id="17"/>
      <w:r/>
      <w:bookmarkEnd w:id="18"/>
      <w:r/>
      <w:bookmarkEnd w:id="19"/>
      <w:r/>
      <w:bookmarkEnd w:id="20"/>
      <w:r/>
      <w:bookmarkEnd w:id="21"/>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1.项目编号：</w:t>
      </w:r>
      <w:r>
        <w:rPr>
          <w:rFonts w:hint="eastAsia" w:ascii="仿宋" w:hAnsi="仿宋" w:eastAsia="仿宋" w:cs="仿宋"/>
          <w:sz w:val="24"/>
          <w:szCs w:val="24"/>
          <w:highlight w:val="none"/>
          <w:lang w:eastAsia="zh-CN"/>
        </w:rPr>
        <w:t xml:space="preserve">JSZC-320111-JZCG-C2026-0028</w:t>
      </w:r>
      <w:r>
        <w:rPr>
          <w:rFonts w:hint="eastAsia" w:ascii="仿宋" w:hAnsi="仿宋" w:eastAsia="仿宋" w:cs="仿宋"/>
          <w:sz w:val="24"/>
          <w:szCs w:val="24"/>
          <w:highlight w:val="none"/>
          <w:lang w:val="en-US" w:eastAsia="zh-CN"/>
        </w:rPr>
        <w:t xml:space="preserve"> </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2.项目名称：</w:t>
      </w:r>
      <w:bookmarkEnd w:id="22"/>
      <w:r>
        <w:rPr>
          <w:rFonts w:hint="eastAsia" w:ascii="仿宋" w:hAnsi="仿宋" w:eastAsia="仿宋" w:cs="仿宋"/>
          <w:sz w:val="24"/>
          <w:szCs w:val="24"/>
          <w:highlight w:val="none"/>
          <w:lang w:eastAsia="zh-CN"/>
        </w:rPr>
        <w:t xml:space="preserve">2026年江浦街道护林防火第三方服务</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3.预算金额：</w:t>
      </w:r>
      <w:r>
        <w:rPr>
          <w:rFonts w:hint="eastAsia" w:ascii="仿宋" w:hAnsi="仿宋" w:eastAsia="仿宋" w:cs="仿宋"/>
          <w:sz w:val="24"/>
          <w:szCs w:val="24"/>
          <w:highlight w:val="none"/>
          <w:lang w:val="en-US" w:eastAsia="zh-CN"/>
        </w:rPr>
        <w:t xml:space="preserve">132</w:t>
      </w:r>
      <w:r>
        <w:rPr>
          <w:rFonts w:hint="eastAsia" w:ascii="仿宋" w:hAnsi="仿宋" w:eastAsia="仿宋" w:cs="仿宋"/>
          <w:sz w:val="24"/>
          <w:szCs w:val="24"/>
          <w:highlight w:val="none"/>
        </w:rPr>
        <w:t xml:space="preserve">万元</w:t>
      </w:r>
      <w:r/>
    </w:p>
    <w:p>
      <w:pPr>
        <w:ind w:firstLine="480"/>
        <w:spacing w:line="360" w:lineRule="auto"/>
        <w:rPr>
          <w:rFonts w:hint="default"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4.最高限价：132万元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超过最高限价作无效响应处理。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5.采购需求（简介）：</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2026年江浦街道护林防火第三方服务。（详细内容见本磋商文件第四章） </w:t>
      </w:r>
      <w:r/>
    </w:p>
    <w:p>
      <w:pPr>
        <w:ind w:firstLine="480"/>
        <w:spacing w:line="360" w:lineRule="auto"/>
        <w:rPr>
          <w:rFonts w:hint="eastAsia" w:ascii="仿宋" w:hAnsi="仿宋" w:eastAsia="仿宋" w:cs="仿宋"/>
          <w:color w:val="ff0000"/>
          <w:sz w:val="24"/>
          <w:szCs w:val="24"/>
          <w:highlight w:val="none"/>
        </w:rPr>
      </w:pPr>
      <w:r>
        <w:rPr>
          <w:rFonts w:hint="eastAsia" w:ascii="仿宋" w:hAnsi="仿宋" w:eastAsia="仿宋" w:cs="仿宋"/>
          <w:sz w:val="24"/>
          <w:szCs w:val="24"/>
          <w:highlight w:val="none"/>
        </w:rPr>
        <w:t xml:space="preserve">6.合同履行期限：365日历天。</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7.本项目不接受联合体参与磋商。</w:t>
      </w:r>
      <w:r/>
    </w:p>
    <w:p>
      <w:pPr>
        <w:ind w:firstLine="482"/>
        <w:keepLines/>
        <w:keepNext/>
        <w:spacing w:line="360" w:lineRule="auto"/>
        <w:rPr>
          <w:rFonts w:hint="eastAsia" w:ascii="仿宋" w:hAnsi="仿宋" w:eastAsia="仿宋" w:cs="仿宋"/>
          <w:b/>
          <w:bCs/>
          <w:sz w:val="24"/>
          <w:szCs w:val="24"/>
          <w:highlight w:val="none"/>
        </w:rPr>
        <w:outlineLvl w:val="2"/>
      </w:pPr>
      <w:r/>
      <w:bookmarkStart w:id="23" w:name="_Toc35393622"/>
      <w:r/>
      <w:bookmarkStart w:id="24" w:name="_Toc28359080"/>
      <w:r/>
      <w:bookmarkStart w:id="25" w:name="_Toc38985264"/>
      <w:r/>
      <w:bookmarkStart w:id="26" w:name="_Toc28359003"/>
      <w:r/>
      <w:bookmarkStart w:id="27" w:name="_Toc35393791"/>
      <w:r>
        <w:rPr>
          <w:rFonts w:hint="eastAsia" w:ascii="仿宋" w:hAnsi="仿宋" w:eastAsia="仿宋" w:cs="仿宋"/>
          <w:b/>
          <w:bCs/>
          <w:sz w:val="24"/>
          <w:szCs w:val="24"/>
          <w:highlight w:val="none"/>
        </w:rPr>
        <w:t xml:space="preserve">二、申请人的资格要求</w:t>
      </w:r>
      <w:bookmarkEnd w:id="23"/>
      <w:r/>
      <w:bookmarkEnd w:id="24"/>
      <w:r/>
      <w:bookmarkEnd w:id="25"/>
      <w:r/>
      <w:bookmarkEnd w:id="26"/>
      <w:r/>
      <w:bookmarkEnd w:id="27"/>
      <w:r/>
      <w:r/>
    </w:p>
    <w:p>
      <w:pPr>
        <w:ind w:firstLine="480"/>
        <w:spacing w:line="360" w:lineRule="auto"/>
        <w:rPr>
          <w:rFonts w:hint="eastAsia" w:ascii="仿宋" w:hAnsi="仿宋" w:eastAsia="仿宋" w:cs="仿宋"/>
          <w:sz w:val="24"/>
          <w:szCs w:val="24"/>
          <w:highlight w:val="none"/>
        </w:rPr>
      </w:pPr>
      <w:r/>
      <w:bookmarkStart w:id="28" w:name="_Toc28359081"/>
      <w:r/>
      <w:bookmarkStart w:id="29" w:name="_Toc35393792"/>
      <w:r/>
      <w:bookmarkStart w:id="30" w:name="_Toc35393623"/>
      <w:r/>
      <w:bookmarkStart w:id="31" w:name="_Toc38985265"/>
      <w:r/>
      <w:bookmarkStart w:id="32" w:name="_Toc28359004"/>
      <w:r>
        <w:rPr>
          <w:rFonts w:hint="eastAsia" w:ascii="仿宋" w:hAnsi="仿宋" w:eastAsia="仿宋" w:cs="仿宋"/>
          <w:sz w:val="24"/>
          <w:szCs w:val="24"/>
          <w:highlight w:val="none"/>
        </w:rPr>
        <w:t xml:space="preserve">（一）通用资格要求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1.满足《中华人民共和国政府采购法》第二十二条规定，并提供下列材料：</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lang w:val="zh-CN"/>
        </w:rPr>
        <w:t xml:space="preserve">供应商信用承诺函（格式见第六章）。</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1.2法律、行政法规规定的其他条件：无。</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2.落实政府采购政策需满足的资格要求：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专门面向中小微企业采购，供应商应为中小微企业。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360" w:lineRule="auto"/>
        <w:rPr>
          <w:rFonts w:hint="eastAsia" w:ascii="仿宋" w:hAnsi="仿宋" w:eastAsia="仿宋" w:cs="仿宋"/>
          <w:sz w:val="24"/>
          <w:szCs w:val="24"/>
          <w:highlight w:val="none"/>
          <w:u w:val="single"/>
          <w:lang w:val="zh-CN"/>
        </w:rPr>
      </w:pPr>
      <w:r>
        <w:rPr>
          <w:rFonts w:hint="eastAsia" w:ascii="仿宋" w:hAnsi="仿宋" w:eastAsia="仿宋" w:cs="仿宋"/>
          <w:sz w:val="24"/>
          <w:szCs w:val="24"/>
          <w:highlight w:val="none"/>
          <w:lang w:val="zh-CN"/>
        </w:rPr>
        <w:t xml:space="preserve">本项目采购标的对应的中小企业划分标准所属行业为：</w:t>
      </w:r>
      <w:r>
        <w:rPr>
          <w:rFonts w:hint="eastAsia" w:ascii="仿宋" w:hAnsi="仿宋" w:eastAsia="仿宋" w:cs="仿宋"/>
          <w:sz w:val="24"/>
          <w:szCs w:val="24"/>
          <w:highlight w:val="none"/>
          <w:u w:val="single"/>
        </w:rPr>
        <w:t xml:space="preserve">其他未列明行业。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w:t>
      </w:r>
      <w:r>
        <w:rPr>
          <w:rFonts w:hint="eastAsia" w:ascii="仿宋" w:hAnsi="仿宋" w:eastAsia="仿宋" w:cs="仿宋"/>
          <w:sz w:val="24"/>
          <w:szCs w:val="24"/>
          <w:highlight w:val="none"/>
          <w:u w:val="single"/>
        </w:rPr>
        <w:t xml:space="preserve">不接受</w:t>
      </w:r>
      <w:r>
        <w:rPr>
          <w:rFonts w:hint="eastAsia" w:ascii="仿宋" w:hAnsi="仿宋" w:eastAsia="仿宋" w:cs="仿宋"/>
          <w:sz w:val="24"/>
          <w:szCs w:val="24"/>
          <w:highlight w:val="none"/>
        </w:rPr>
        <w:t xml:space="preserve">联合体参与磋商。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（二）本项目的特定资格要求：无。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（三）拒绝下述供应商参加本次采购活动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2.为采购项目提供整体设计、规范编制或者项目管理、监理、检测等服务的供应商，不得参加本项目的采购活动。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ind w:firstLine="482"/>
        <w:keepLines/>
        <w:keepNext/>
        <w:spacing w:line="360" w:lineRule="auto"/>
        <w:rPr>
          <w:rFonts w:hint="eastAsia"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三、获取</w:t>
      </w:r>
      <w:bookmarkEnd w:id="28"/>
      <w:r/>
      <w:bookmarkEnd w:id="29"/>
      <w:r/>
      <w:bookmarkEnd w:id="30"/>
      <w:r/>
      <w:bookmarkEnd w:id="31"/>
      <w:r/>
      <w:bookmarkEnd w:id="32"/>
      <w:r>
        <w:rPr>
          <w:rFonts w:hint="eastAsia" w:ascii="仿宋" w:hAnsi="仿宋" w:eastAsia="仿宋" w:cs="仿宋"/>
          <w:b/>
          <w:bCs/>
          <w:sz w:val="24"/>
          <w:szCs w:val="24"/>
          <w:highlight w:val="none"/>
        </w:rPr>
        <w:t xml:space="preserve">磋商文件</w:t>
      </w:r>
      <w:r/>
    </w:p>
    <w:p>
      <w:pPr>
        <w:ind w:firstLine="480"/>
        <w:spacing w:line="360" w:lineRule="auto"/>
        <w:rPr>
          <w:rFonts w:hint="eastAsia" w:ascii="仿宋" w:hAnsi="仿宋" w:eastAsia="仿宋" w:cs="仿宋"/>
          <w:b/>
          <w:sz w:val="24"/>
          <w:szCs w:val="24"/>
          <w:highlight w:val="none"/>
        </w:rPr>
      </w:pPr>
      <w:r/>
      <w:bookmarkStart w:id="33" w:name="_Toc28359082"/>
      <w:r/>
      <w:bookmarkStart w:id="34" w:name="_Toc28359005"/>
      <w:r/>
      <w:bookmarkStart w:id="35" w:name="_Toc38985266"/>
      <w:r/>
      <w:bookmarkStart w:id="36" w:name="_Toc35393793"/>
      <w:r/>
      <w:bookmarkStart w:id="37" w:name="_Toc35393624"/>
      <w:r>
        <w:rPr>
          <w:rFonts w:hint="eastAsia" w:ascii="仿宋" w:hAnsi="仿宋" w:eastAsia="仿宋" w:cs="仿宋"/>
          <w:sz w:val="24"/>
          <w:szCs w:val="24"/>
          <w:highlight w:val="none"/>
        </w:rPr>
        <w:t xml:space="preserve">1.时间：自磋商文件公告发布之日起。</w:t>
      </w:r>
      <w:r/>
    </w:p>
    <w:p>
      <w:pPr>
        <w:ind w:firstLine="48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2.方式：在“江苏政府采购网”自行免费下载磋商文件。</w:t>
      </w:r>
      <w:r/>
    </w:p>
    <w:p>
      <w:pPr>
        <w:ind w:firstLine="482"/>
        <w:keepLines/>
        <w:keepNext/>
        <w:spacing w:line="360" w:lineRule="auto"/>
        <w:rPr>
          <w:rFonts w:hint="eastAsia"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四、提交</w:t>
      </w:r>
      <w:bookmarkEnd w:id="33"/>
      <w:r/>
      <w:bookmarkEnd w:id="34"/>
      <w:r>
        <w:rPr>
          <w:rFonts w:hint="eastAsia" w:ascii="仿宋" w:hAnsi="仿宋" w:eastAsia="仿宋" w:cs="仿宋"/>
          <w:b/>
          <w:bCs/>
          <w:sz w:val="24"/>
          <w:szCs w:val="24"/>
          <w:highlight w:val="none"/>
        </w:rPr>
        <w:t xml:space="preserve">响应文件截止时间</w:t>
      </w:r>
      <w:bookmarkEnd w:id="35"/>
      <w:r/>
      <w:bookmarkEnd w:id="36"/>
      <w:r/>
      <w:bookmarkEnd w:id="37"/>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2026年</w:t>
      </w:r>
      <w:r>
        <w:rPr>
          <w:rFonts w:hint="eastAsia" w:ascii="仿宋" w:hAnsi="仿宋" w:eastAsia="仿宋" w:cs="仿宋"/>
          <w:bCs/>
          <w:sz w:val="24"/>
          <w:szCs w:val="24"/>
          <w:highlight w:val="none"/>
          <w:u w:val="single"/>
          <w:lang w:val="en-US" w:eastAsia="zh-CN"/>
        </w:rPr>
        <w:t xml:space="preserve">06 </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12 </w:t>
      </w:r>
      <w:r>
        <w:rPr>
          <w:rFonts w:hint="eastAsia" w:ascii="仿宋" w:hAnsi="仿宋" w:eastAsia="仿宋" w:cs="仿宋"/>
          <w:bCs/>
          <w:sz w:val="24"/>
          <w:szCs w:val="24"/>
          <w:highlight w:val="none"/>
          <w:u w:val="single"/>
        </w:rPr>
        <w:t xml:space="preserve">日</w:t>
      </w:r>
      <w:r>
        <w:rPr>
          <w:rFonts w:hint="eastAsia" w:ascii="仿宋" w:hAnsi="仿宋" w:eastAsia="仿宋" w:cs="仿宋"/>
          <w:bCs/>
          <w:sz w:val="24"/>
          <w:szCs w:val="24"/>
          <w:highlight w:val="none"/>
          <w:u w:val="single"/>
          <w:lang w:val="en-US" w:eastAsia="zh-CN"/>
        </w:rPr>
        <w:t xml:space="preserve">09 </w:t>
      </w:r>
      <w:r>
        <w:rPr>
          <w:rFonts w:hint="eastAsia" w:ascii="仿宋" w:hAnsi="仿宋" w:eastAsia="仿宋" w:cs="仿宋"/>
          <w:bCs/>
          <w:sz w:val="24"/>
          <w:szCs w:val="24"/>
          <w:highlight w:val="none"/>
          <w:u w:val="single"/>
        </w:rPr>
        <w:t xml:space="preserve">点</w:t>
      </w:r>
      <w:r>
        <w:rPr>
          <w:rFonts w:hint="eastAsia" w:ascii="仿宋" w:hAnsi="仿宋" w:eastAsia="仿宋" w:cs="仿宋"/>
          <w:bCs/>
          <w:sz w:val="24"/>
          <w:szCs w:val="24"/>
          <w:highlight w:val="none"/>
          <w:u w:val="single"/>
          <w:lang w:val="en-US" w:eastAsia="zh-CN"/>
        </w:rPr>
        <w:t xml:space="preserve">30 </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highlight w:val="none"/>
        </w:rPr>
        <w:t xml:space="preserve">（北京时间）。</w:t>
      </w:r>
      <w:r/>
    </w:p>
    <w:p>
      <w:pPr>
        <w:ind w:firstLine="482"/>
        <w:keepLines/>
        <w:keepNext/>
        <w:spacing w:line="360" w:lineRule="auto"/>
        <w:rPr>
          <w:rFonts w:hint="eastAsia" w:ascii="仿宋" w:hAnsi="仿宋" w:eastAsia="仿宋" w:cs="仿宋"/>
          <w:b/>
          <w:bCs/>
          <w:sz w:val="24"/>
          <w:szCs w:val="24"/>
          <w:highlight w:val="none"/>
        </w:rPr>
        <w:outlineLvl w:val="2"/>
      </w:pPr>
      <w:r/>
      <w:bookmarkStart w:id="38" w:name="_Toc28359084"/>
      <w:r/>
      <w:bookmarkStart w:id="39" w:name="_Toc35393625"/>
      <w:r/>
      <w:bookmarkStart w:id="40" w:name="_Toc38985267"/>
      <w:r/>
      <w:bookmarkStart w:id="41" w:name="_Toc35393794"/>
      <w:r/>
      <w:bookmarkStart w:id="42" w:name="_Toc28359007"/>
      <w:r>
        <w:rPr>
          <w:rFonts w:hint="eastAsia" w:ascii="仿宋" w:hAnsi="仿宋" w:eastAsia="仿宋" w:cs="仿宋"/>
          <w:b/>
          <w:bCs/>
          <w:sz w:val="24"/>
          <w:szCs w:val="24"/>
          <w:highlight w:val="none"/>
        </w:rPr>
        <w:t xml:space="preserve">五、公告期限</w:t>
      </w:r>
      <w:bookmarkEnd w:id="38"/>
      <w:r/>
      <w:bookmarkEnd w:id="39"/>
      <w:r/>
      <w:bookmarkEnd w:id="40"/>
      <w:r/>
      <w:bookmarkEnd w:id="41"/>
      <w:r/>
      <w:bookmarkEnd w:id="42"/>
      <w:r/>
      <w:r/>
    </w:p>
    <w:p>
      <w:pPr>
        <w:ind w:firstLine="480"/>
        <w:spacing w:line="360" w:lineRule="auto"/>
        <w:rPr>
          <w:rFonts w:hint="eastAsia" w:ascii="仿宋" w:hAnsi="仿宋" w:eastAsia="仿宋" w:cs="仿宋"/>
          <w:sz w:val="24"/>
          <w:szCs w:val="24"/>
          <w:highlight w:val="none"/>
        </w:rPr>
      </w:pPr>
      <w:r/>
      <w:bookmarkStart w:id="43" w:name="_Toc35393626"/>
      <w:r/>
      <w:bookmarkStart w:id="44" w:name="_Toc38985268"/>
      <w:r/>
      <w:bookmarkStart w:id="45" w:name="_Toc35393795"/>
      <w:r>
        <w:rPr>
          <w:rFonts w:hint="eastAsia" w:ascii="仿宋" w:hAnsi="仿宋" w:eastAsia="仿宋" w:cs="仿宋"/>
          <w:sz w:val="24"/>
          <w:szCs w:val="24"/>
          <w:highlight w:val="none"/>
        </w:rPr>
        <w:t xml:space="preserve">磋商公告及磋商文件公告期限为自本公告发布之日起</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个工作日。</w:t>
      </w:r>
      <w:r/>
    </w:p>
    <w:p>
      <w:pPr>
        <w:ind w:firstLine="482"/>
        <w:keepLines/>
        <w:keepNext/>
        <w:spacing w:line="360" w:lineRule="auto"/>
        <w:rPr>
          <w:rFonts w:hint="eastAsia"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六、其他补充事宜</w:t>
      </w:r>
      <w:bookmarkEnd w:id="43"/>
      <w:r/>
      <w:bookmarkEnd w:id="44"/>
      <w:r/>
      <w:bookmarkEnd w:id="45"/>
      <w:r/>
      <w:r/>
    </w:p>
    <w:p>
      <w:pPr>
        <w:ind w:firstLine="480"/>
        <w:spacing w:line="360" w:lineRule="auto"/>
        <w:rPr>
          <w:rFonts w:hint="eastAsia" w:ascii="仿宋" w:hAnsi="仿宋" w:eastAsia="仿宋" w:cs="仿宋"/>
          <w:sz w:val="24"/>
          <w:szCs w:val="24"/>
          <w:highlight w:val="none"/>
        </w:rPr>
      </w:pPr>
      <w:r/>
      <w:bookmarkStart w:id="46" w:name="_Toc35393796"/>
      <w:r/>
      <w:bookmarkStart w:id="47" w:name="_Toc38985269"/>
      <w:r/>
      <w:bookmarkStart w:id="48" w:name="_Toc28359008"/>
      <w:r/>
      <w:bookmarkStart w:id="49" w:name="_Toc35393627"/>
      <w:r/>
      <w:bookmarkStart w:id="50" w:name="_Toc28359085"/>
      <w:r>
        <w:rPr>
          <w:rFonts w:hint="eastAsia" w:ascii="仿宋" w:hAnsi="仿宋" w:eastAsia="仿宋" w:cs="仿宋"/>
          <w:sz w:val="24"/>
          <w:szCs w:val="24"/>
          <w:highlight w:val="none"/>
        </w:rPr>
        <w:t xml:space="preserve">1.</w:t>
      </w:r>
      <w:r>
        <w:rPr>
          <w:rFonts w:hint="eastAsia" w:ascii="仿宋" w:hAnsi="仿宋" w:eastAsia="仿宋" w:cs="仿宋"/>
          <w:bCs/>
          <w:sz w:val="24"/>
          <w:szCs w:val="24"/>
          <w:highlight w:val="none"/>
        </w:rPr>
        <w:t xml:space="preserve">本次磋商</w:t>
      </w:r>
      <w:r>
        <w:rPr>
          <w:rFonts w:hint="eastAsia" w:ascii="仿宋" w:hAnsi="仿宋" w:eastAsia="仿宋" w:cs="仿宋"/>
          <w:sz w:val="24"/>
          <w:szCs w:val="24"/>
          <w:highlight w:val="none"/>
        </w:rPr>
        <w:t xml:space="preserve">不收取磋商保证金。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2.现场勘察及答疑：本项目不组织集中勘察及答疑，供应商如对采购需求有疑问，请咨询采购单位联系人。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Style w:val="1009"/>
          <w:rFonts w:hint="eastAsia" w:ascii="仿宋" w:hAnsi="仿宋" w:eastAsia="仿宋" w:cs="仿宋"/>
          <w:sz w:val="24"/>
          <w:szCs w:val="24"/>
          <w:highlight w:val="none"/>
        </w:rPr>
        <w:t xml:space="preserve">下载地址</w:t>
      </w:r>
      <w:r>
        <w:rPr>
          <w:rStyle w:val="1009"/>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 xml:space="preserve">（CTRL+鼠标左键）。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4.有关本次采购的事项若存在变动或修改，请及时关注“江苏政府采购网”（www.ccgp-jiangsu.gov.cn）更正公告。</w:t>
      </w:r>
      <w:r/>
    </w:p>
    <w:p>
      <w:pPr>
        <w:ind w:firstLine="482"/>
        <w:keepLines/>
        <w:keepNext/>
        <w:spacing w:line="360" w:lineRule="auto"/>
        <w:rPr>
          <w:rFonts w:hint="eastAsia" w:ascii="仿宋" w:hAnsi="仿宋" w:eastAsia="仿宋" w:cs="仿宋"/>
          <w:b/>
          <w:bCs/>
          <w:sz w:val="24"/>
          <w:szCs w:val="24"/>
          <w:highlight w:val="none"/>
        </w:rPr>
        <w:outlineLvl w:val="2"/>
      </w:pPr>
      <w:r>
        <w:rPr>
          <w:rFonts w:hint="eastAsia" w:ascii="仿宋" w:hAnsi="仿宋" w:eastAsia="仿宋" w:cs="仿宋"/>
          <w:b/>
          <w:bCs/>
          <w:sz w:val="24"/>
          <w:szCs w:val="24"/>
          <w:highlight w:val="none"/>
        </w:rPr>
        <w:t xml:space="preserve">七、本次磋商联系方式</w:t>
      </w:r>
      <w:bookmarkEnd w:id="46"/>
      <w:r/>
      <w:bookmarkEnd w:id="47"/>
      <w:r/>
      <w:bookmarkEnd w:id="48"/>
      <w:r/>
      <w:bookmarkEnd w:id="49"/>
      <w:r/>
      <w:bookmarkEnd w:id="50"/>
      <w:r/>
      <w:r/>
    </w:p>
    <w:p>
      <w:pPr>
        <w:ind w:firstLine="480"/>
        <w:spacing w:line="360" w:lineRule="auto"/>
        <w:rPr>
          <w:rFonts w:hint="eastAsia" w:ascii="仿宋" w:hAnsi="仿宋" w:eastAsia="仿宋" w:cs="仿宋"/>
          <w:sz w:val="24"/>
          <w:szCs w:val="24"/>
          <w:highlight w:val="none"/>
        </w:rPr>
      </w:pPr>
      <w:r/>
      <w:bookmarkStart w:id="51" w:name="_Toc28359010"/>
      <w:r/>
      <w:bookmarkStart w:id="52" w:name="_Toc28359087"/>
      <w:r>
        <w:rPr>
          <w:rFonts w:hint="eastAsia" w:ascii="仿宋" w:hAnsi="仿宋" w:eastAsia="仿宋" w:cs="仿宋"/>
          <w:sz w:val="24"/>
          <w:szCs w:val="24"/>
          <w:highlight w:val="none"/>
        </w:rPr>
        <w:t xml:space="preserve">1.采购人信息</w:t>
      </w:r>
      <w:r/>
    </w:p>
    <w:p>
      <w:pPr>
        <w:ind w:firstLine="480"/>
        <w:spacing w:line="360" w:lineRule="auto"/>
        <w:rPr>
          <w:rFonts w:hint="eastAsia" w:ascii="仿宋" w:hAnsi="仿宋" w:eastAsia="仿宋" w:cs="仿宋"/>
          <w:sz w:val="24"/>
          <w:szCs w:val="24"/>
          <w:highlight w:val="none"/>
          <w:lang w:eastAsia="zh-CN"/>
        </w:rPr>
      </w:pPr>
      <w:r/>
      <w:bookmarkStart w:id="53" w:name="_Toc28359009"/>
      <w:r/>
      <w:bookmarkStart w:id="54" w:name="_Toc28359086"/>
      <w:r>
        <w:rPr>
          <w:rFonts w:hint="eastAsia" w:ascii="仿宋" w:hAnsi="仿宋" w:eastAsia="仿宋" w:cs="仿宋"/>
          <w:sz w:val="24"/>
          <w:szCs w:val="24"/>
          <w:highlight w:val="none"/>
        </w:rPr>
        <w:t xml:space="preserve">名  称：　</w:t>
      </w:r>
      <w:r>
        <w:rPr>
          <w:rFonts w:hint="eastAsia" w:ascii="仿宋" w:hAnsi="仿宋" w:eastAsia="仿宋" w:cs="仿宋"/>
          <w:sz w:val="24"/>
          <w:szCs w:val="24"/>
          <w:highlight w:val="none"/>
          <w:lang w:eastAsia="zh-CN"/>
        </w:rPr>
        <w:t xml:space="preserve">南京市浦口区人民政府江浦街道办事处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　</w:t>
      </w:r>
      <w:r>
        <w:rPr>
          <w:rFonts w:hint="eastAsia" w:ascii="仿宋" w:hAnsi="仿宋" w:eastAsia="仿宋" w:cs="仿宋"/>
          <w:sz w:val="24"/>
          <w:szCs w:val="24"/>
          <w:highlight w:val="none"/>
          <w:lang w:val="zh-CN"/>
        </w:rPr>
        <w:t xml:space="preserve">浦口区江浦街道珠泉西路5号</w:t>
      </w:r>
      <w:r>
        <w:rPr>
          <w:rFonts w:hint="eastAsia" w:ascii="仿宋" w:hAnsi="仿宋" w:eastAsia="仿宋" w:cs="仿宋"/>
          <w:sz w:val="24"/>
          <w:szCs w:val="24"/>
          <w:highlight w:val="none"/>
        </w:rPr>
        <w:t xml:space="preserve"> </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联系人：　胡先生</w:t>
      </w:r>
      <w:r>
        <w:rPr>
          <w:rFonts w:hint="eastAsia" w:ascii="仿宋" w:hAnsi="仿宋" w:eastAsia="仿宋" w:cs="仿宋"/>
          <w:sz w:val="24"/>
          <w:szCs w:val="24"/>
          <w:highlight w:val="none"/>
          <w:lang w:val="zh-CN"/>
        </w:rPr>
        <w:t xml:space="preserve">　</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联系电话：15996474328</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2.南京市公共资源交易中心浦口分中心信息</w:t>
      </w:r>
      <w:bookmarkEnd w:id="53"/>
      <w:r/>
      <w:bookmarkEnd w:id="54"/>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lang w:val="zh-CN"/>
        </w:rPr>
        <w:t xml:space="preserve">南京市浦口区江浦街道象山路4号浦口市民中心 　</w:t>
      </w:r>
      <w:r>
        <w:rPr>
          <w:rFonts w:hint="eastAsia" w:ascii="仿宋" w:hAnsi="仿宋" w:eastAsia="仿宋" w:cs="仿宋"/>
          <w:sz w:val="24"/>
          <w:szCs w:val="24"/>
          <w:highlight w:val="none"/>
        </w:rPr>
        <w:t xml:space="preserve">　　　　　　　　　</w:t>
      </w:r>
      <w:r/>
    </w:p>
    <w:p>
      <w:pPr>
        <w:ind w:firstLine="48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CN"/>
        </w:rPr>
        <w:t xml:space="preserve"> 杨荣</w:t>
      </w:r>
      <w:r/>
    </w:p>
    <w:p>
      <w:pPr>
        <w:ind w:firstLine="480"/>
        <w:spacing w:line="360" w:lineRule="auto"/>
        <w:rPr>
          <w:rFonts w:ascii="黑体" w:hAnsi="Arial" w:eastAsia="黑体" w:cs="Arial"/>
          <w:b/>
          <w:bCs/>
          <w:sz w:val="44"/>
          <w:szCs w:val="44"/>
          <w:highlight w:val="none"/>
        </w:rPr>
      </w:pPr>
      <w:r>
        <w:rPr>
          <w:rFonts w:hint="eastAsia" w:ascii="仿宋" w:hAnsi="仿宋" w:eastAsia="仿宋" w:cs="仿宋"/>
          <w:color w:val="auto"/>
          <w:sz w:val="24"/>
          <w:szCs w:val="24"/>
          <w:highlight w:val="none"/>
        </w:rPr>
        <w:t xml:space="preserve">联系电话：</w:t>
      </w:r>
      <w:bookmarkEnd w:id="51"/>
      <w:r/>
      <w:bookmarkEnd w:id="52"/>
      <w:r/>
      <w:bookmarkStart w:id="55" w:name="_Toc120614211"/>
      <w:r>
        <w:rPr>
          <w:rFonts w:hint="eastAsia" w:ascii="仿宋" w:hAnsi="仿宋" w:eastAsia="仿宋" w:cs="仿宋"/>
          <w:color w:val="auto"/>
          <w:sz w:val="24"/>
          <w:szCs w:val="24"/>
          <w:highlight w:val="none"/>
          <w:lang w:val="en-US" w:eastAsia="zh-CN"/>
        </w:rPr>
        <w:t xml:space="preserve"> 025-69659043</w:t>
      </w:r>
      <w:r>
        <w:rPr>
          <w:rFonts w:hint="eastAsia" w:ascii="黑体" w:hAnsi="Arial" w:eastAsia="黑体" w:cs="Arial"/>
          <w:b/>
          <w:bCs/>
          <w:sz w:val="44"/>
          <w:szCs w:val="44"/>
          <w:highlight w:val="none"/>
        </w:rPr>
        <w:br w:type="page" w:clear="all"/>
      </w:r>
      <w:r/>
    </w:p>
    <w:p>
      <w:pPr>
        <w:jc w:val="center"/>
        <w:spacing w:line="360" w:lineRule="auto"/>
        <w:rPr>
          <w:rFonts w:hint="eastAsia" w:ascii="黑体" w:hAnsi="黑体" w:eastAsia="黑体" w:cs="黑体"/>
          <w:sz w:val="44"/>
          <w:szCs w:val="44"/>
          <w:highlight w:val="none"/>
        </w:rPr>
        <w:outlineLvl w:val="0"/>
      </w:pPr>
      <w:r/>
      <w:bookmarkStart w:id="56" w:name="_Toc26819"/>
      <w:r>
        <w:rPr>
          <w:rStyle w:val="816"/>
          <w:rFonts w:hint="eastAsia" w:ascii="黑体" w:hAnsi="黑体" w:eastAsia="黑体" w:cs="黑体"/>
          <w:highlight w:val="none"/>
        </w:rPr>
        <w:t xml:space="preserve">第二章  </w:t>
      </w:r>
      <w:bookmarkEnd w:id="11"/>
      <w:r/>
      <w:bookmarkEnd w:id="12"/>
      <w:r/>
      <w:bookmarkEnd w:id="13"/>
      <w:r/>
      <w:bookmarkEnd w:id="14"/>
      <w:r/>
      <w:bookmarkEnd w:id="15"/>
      <w:r/>
      <w:bookmarkEnd w:id="55"/>
      <w:r>
        <w:rPr>
          <w:rStyle w:val="816"/>
          <w:rFonts w:hint="eastAsia" w:ascii="黑体" w:hAnsi="黑体" w:eastAsia="黑体" w:cs="黑体"/>
          <w:highlight w:val="none"/>
        </w:rPr>
        <w:t xml:space="preserve">供应商须知</w:t>
      </w:r>
      <w:bookmarkEnd w:id="56"/>
      <w:r/>
      <w:r/>
    </w:p>
    <w:p>
      <w:pPr>
        <w:ind w:firstLine="480"/>
        <w:jc w:val="left"/>
        <w:spacing w:line="500" w:lineRule="exact"/>
        <w:widowControl/>
        <w:rPr>
          <w:rFonts w:hint="eastAsia" w:ascii="仿宋" w:hAnsi="仿宋" w:eastAsia="仿宋" w:cs="仿宋"/>
          <w:sz w:val="24"/>
          <w:szCs w:val="24"/>
          <w:highlight w:val="none"/>
        </w:rPr>
      </w:pPr>
      <w:r/>
      <w:bookmarkStart w:id="57" w:name="_Toc20823275"/>
      <w:r/>
      <w:bookmarkStart w:id="58" w:name="_Toc120614214"/>
      <w:r/>
      <w:bookmarkStart w:id="59" w:name="_Toc513029203"/>
      <w:r/>
      <w:bookmarkStart w:id="60" w:name="_Toc16938519"/>
      <w:r/>
      <w:bookmarkStart w:id="61" w:name="_Toc120614221"/>
      <w:r/>
      <w:bookmarkStart w:id="62" w:name="_Toc479757207"/>
      <w:r/>
      <w:bookmarkStart w:id="63" w:name="_Toc513029242"/>
      <w:r/>
      <w:bookmarkStart w:id="64" w:name="_Toc20823314"/>
      <w:r/>
      <w:bookmarkStart w:id="65" w:name="_Toc16938558"/>
      <w:r>
        <w:rPr>
          <w:rFonts w:hint="eastAsia" w:ascii="仿宋" w:hAnsi="仿宋" w:eastAsia="仿宋" w:cs="仿宋"/>
          <w:sz w:val="24"/>
          <w:szCs w:val="24"/>
          <w:highlight w:val="none"/>
        </w:rPr>
        <w:t xml:space="preserve">一、总则</w:t>
      </w:r>
      <w:bookmarkEnd w:id="57"/>
      <w:r/>
      <w:bookmarkEnd w:id="58"/>
      <w:r/>
      <w:bookmarkEnd w:id="59"/>
      <w:r/>
      <w:bookmarkEnd w:id="60"/>
      <w:r/>
      <w:r/>
    </w:p>
    <w:p>
      <w:pPr>
        <w:ind w:firstLine="480"/>
        <w:jc w:val="left"/>
        <w:spacing w:line="500" w:lineRule="exact"/>
        <w:widowControl/>
        <w:rPr>
          <w:rFonts w:hint="eastAsia" w:ascii="仿宋" w:hAnsi="仿宋" w:eastAsia="仿宋" w:cs="仿宋"/>
          <w:sz w:val="24"/>
          <w:szCs w:val="24"/>
          <w:highlight w:val="none"/>
        </w:rPr>
      </w:pPr>
      <w:r/>
      <w:bookmarkStart w:id="66" w:name="_Hlt16619475"/>
      <w:r/>
      <w:bookmarkEnd w:id="66"/>
      <w:r/>
      <w:bookmarkStart w:id="67" w:name="_Toc458694821"/>
      <w:r/>
      <w:bookmarkStart w:id="68" w:name="_Toc16938520"/>
      <w:r/>
      <w:bookmarkStart w:id="69" w:name="_Toc20823276"/>
      <w:r/>
      <w:bookmarkStart w:id="70" w:name="_Toc513029204"/>
      <w:r>
        <w:rPr>
          <w:rFonts w:hint="eastAsia" w:ascii="仿宋" w:hAnsi="仿宋" w:eastAsia="仿宋" w:cs="仿宋"/>
          <w:sz w:val="24"/>
          <w:szCs w:val="24"/>
          <w:highlight w:val="none"/>
        </w:rPr>
        <w:t xml:space="preserve">1</w:t>
      </w:r>
      <w:bookmarkEnd w:id="67"/>
      <w:r>
        <w:rPr>
          <w:rFonts w:hint="eastAsia" w:ascii="仿宋" w:hAnsi="仿宋" w:eastAsia="仿宋" w:cs="仿宋"/>
          <w:sz w:val="24"/>
          <w:szCs w:val="24"/>
          <w:highlight w:val="none"/>
        </w:rPr>
        <w:t xml:space="preserve">.采购方式</w:t>
      </w:r>
      <w:bookmarkEnd w:id="68"/>
      <w:r/>
      <w:bookmarkEnd w:id="69"/>
      <w:r/>
      <w:bookmarkEnd w:id="70"/>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1.1本次政府采购活动采取竞争性磋商(以下简称“磋商”)方式，本磋商文件仅适用于磋商公告中所述项目。</w:t>
      </w:r>
      <w:r/>
    </w:p>
    <w:p>
      <w:pPr>
        <w:ind w:firstLine="480"/>
        <w:jc w:val="left"/>
        <w:spacing w:line="500" w:lineRule="exact"/>
        <w:widowControl/>
        <w:rPr>
          <w:rFonts w:hint="eastAsia" w:ascii="仿宋" w:hAnsi="仿宋" w:eastAsia="仿宋" w:cs="仿宋"/>
          <w:sz w:val="24"/>
          <w:szCs w:val="24"/>
          <w:highlight w:val="none"/>
        </w:rPr>
      </w:pPr>
      <w:r/>
      <w:bookmarkStart w:id="71" w:name="_Toc20823277"/>
      <w:r/>
      <w:bookmarkStart w:id="72" w:name="_Toc513029205"/>
      <w:r/>
      <w:bookmarkStart w:id="73" w:name="_Toc16938521"/>
      <w:r>
        <w:rPr>
          <w:rFonts w:hint="eastAsia" w:ascii="仿宋" w:hAnsi="仿宋" w:eastAsia="仿宋" w:cs="仿宋"/>
          <w:sz w:val="24"/>
          <w:szCs w:val="24"/>
          <w:highlight w:val="none"/>
        </w:rPr>
        <w:t xml:space="preserve">2.合格的</w:t>
      </w:r>
      <w:bookmarkEnd w:id="71"/>
      <w:r/>
      <w:bookmarkEnd w:id="72"/>
      <w:r/>
      <w:bookmarkEnd w:id="73"/>
      <w:r>
        <w:rPr>
          <w:rFonts w:hint="eastAsia" w:ascii="仿宋" w:hAnsi="仿宋" w:eastAsia="仿宋" w:cs="仿宋"/>
          <w:sz w:val="24"/>
          <w:szCs w:val="24"/>
          <w:highlight w:val="none"/>
        </w:rPr>
        <w:t xml:space="preserve">供应商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2.1满足磋商公告对供应商资格要求的规定。</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满足本磋商文件规定的实质性要求和条件。</w:t>
      </w:r>
      <w:r/>
    </w:p>
    <w:p>
      <w:pPr>
        <w:ind w:firstLine="480"/>
        <w:jc w:val="left"/>
        <w:spacing w:line="500" w:lineRule="exact"/>
        <w:widowControl/>
        <w:rPr>
          <w:rFonts w:hint="eastAsia" w:ascii="仿宋" w:hAnsi="仿宋" w:eastAsia="仿宋" w:cs="仿宋"/>
          <w:sz w:val="24"/>
          <w:szCs w:val="24"/>
          <w:highlight w:val="none"/>
        </w:rPr>
      </w:pPr>
      <w:r/>
      <w:bookmarkStart w:id="74" w:name="_Toc16938522"/>
      <w:r/>
      <w:bookmarkStart w:id="75" w:name="_Toc20823278"/>
      <w:r/>
      <w:bookmarkStart w:id="76" w:name="_Toc513029206"/>
      <w:r>
        <w:rPr>
          <w:rFonts w:hint="eastAsia" w:ascii="仿宋" w:hAnsi="仿宋" w:eastAsia="仿宋" w:cs="仿宋"/>
          <w:sz w:val="24"/>
          <w:szCs w:val="24"/>
          <w:highlight w:val="none"/>
        </w:rPr>
        <w:t xml:space="preserve">3.适用法律</w:t>
      </w:r>
      <w:bookmarkEnd w:id="74"/>
      <w:r/>
      <w:bookmarkEnd w:id="75"/>
      <w:r/>
      <w:bookmarkEnd w:id="76"/>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本次磋商及由此产生的合同受中华人民共和国有关的法律法规制约和保护。</w:t>
      </w:r>
      <w:r/>
    </w:p>
    <w:p>
      <w:pPr>
        <w:ind w:firstLine="480"/>
        <w:jc w:val="left"/>
        <w:spacing w:line="500" w:lineRule="exact"/>
        <w:widowControl/>
        <w:rPr>
          <w:rFonts w:hint="eastAsia" w:ascii="仿宋" w:hAnsi="仿宋" w:eastAsia="仿宋" w:cs="仿宋"/>
          <w:sz w:val="24"/>
          <w:szCs w:val="24"/>
          <w:highlight w:val="none"/>
        </w:rPr>
      </w:pPr>
      <w:r/>
      <w:bookmarkStart w:id="77" w:name="_Toc16938523"/>
      <w:r/>
      <w:bookmarkStart w:id="78" w:name="_Toc462564067"/>
      <w:r/>
      <w:bookmarkStart w:id="79" w:name="_Toc513029207"/>
      <w:r/>
      <w:bookmarkStart w:id="80" w:name="_Toc20823279"/>
      <w:r>
        <w:rPr>
          <w:rFonts w:hint="eastAsia" w:ascii="仿宋" w:hAnsi="仿宋" w:eastAsia="仿宋" w:cs="仿宋"/>
          <w:sz w:val="24"/>
          <w:szCs w:val="24"/>
          <w:highlight w:val="none"/>
        </w:rPr>
        <w:t xml:space="preserve">4.磋商费用</w:t>
      </w:r>
      <w:bookmarkEnd w:id="77"/>
      <w:r/>
      <w:bookmarkEnd w:id="78"/>
      <w:r/>
      <w:bookmarkEnd w:id="79"/>
      <w:r/>
      <w:bookmarkEnd w:id="80"/>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4.1供应商应自行承担所有与参加磋商有关的费用，无论磋商过程中的做法和结果如何，交易中心在任何情况下均无义务和责任承担这些费用。</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4.2本次磋商交易中心和采购人不收取采购文件工本费与成交服务费。</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5.磋商文件的约束力</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5.1供应商一旦参加本项目采购活动，即被认为接受了本磋商文件的规定和约束。</w:t>
      </w:r>
      <w:r/>
    </w:p>
    <w:p>
      <w:pPr>
        <w:ind w:firstLine="480"/>
        <w:jc w:val="left"/>
        <w:spacing w:line="500" w:lineRule="exact"/>
        <w:widowControl/>
        <w:rPr>
          <w:rFonts w:hint="eastAsia" w:ascii="仿宋" w:hAnsi="仿宋" w:eastAsia="仿宋" w:cs="仿宋"/>
          <w:sz w:val="24"/>
          <w:szCs w:val="24"/>
          <w:highlight w:val="none"/>
        </w:rPr>
      </w:pPr>
      <w:r/>
      <w:bookmarkStart w:id="81" w:name="_Toc120614215"/>
      <w:r/>
      <w:bookmarkStart w:id="82" w:name="_Toc16938525"/>
      <w:r/>
      <w:bookmarkStart w:id="83" w:name="_Toc20823281"/>
      <w:r/>
      <w:bookmarkStart w:id="84" w:name="_Toc513029209"/>
      <w:r>
        <w:rPr>
          <w:rFonts w:hint="eastAsia" w:ascii="仿宋" w:hAnsi="仿宋" w:eastAsia="仿宋" w:cs="仿宋"/>
          <w:sz w:val="24"/>
          <w:szCs w:val="24"/>
          <w:highlight w:val="none"/>
        </w:rPr>
        <w:t xml:space="preserve">二、</w:t>
      </w:r>
      <w:bookmarkEnd w:id="81"/>
      <w:r/>
      <w:bookmarkEnd w:id="82"/>
      <w:r/>
      <w:bookmarkEnd w:id="83"/>
      <w:r/>
      <w:bookmarkEnd w:id="84"/>
      <w:r>
        <w:rPr>
          <w:rFonts w:hint="eastAsia" w:ascii="仿宋" w:hAnsi="仿宋" w:eastAsia="仿宋" w:cs="仿宋"/>
          <w:sz w:val="24"/>
          <w:szCs w:val="24"/>
          <w:highlight w:val="none"/>
        </w:rPr>
        <w:t xml:space="preserve">磋商文件</w:t>
      </w:r>
      <w:r/>
    </w:p>
    <w:p>
      <w:pPr>
        <w:ind w:firstLine="480"/>
        <w:jc w:val="left"/>
        <w:spacing w:line="500" w:lineRule="exact"/>
        <w:widowControl/>
        <w:rPr>
          <w:rFonts w:hint="eastAsia" w:ascii="仿宋" w:hAnsi="仿宋" w:eastAsia="仿宋" w:cs="仿宋"/>
          <w:sz w:val="24"/>
          <w:szCs w:val="24"/>
          <w:highlight w:val="none"/>
        </w:rPr>
      </w:pPr>
      <w:r/>
      <w:bookmarkStart w:id="85" w:name="_Toc513029210"/>
      <w:r/>
      <w:bookmarkStart w:id="86" w:name="_Toc16938526"/>
      <w:r/>
      <w:bookmarkStart w:id="87" w:name="_Toc20823282"/>
      <w:r>
        <w:rPr>
          <w:rFonts w:hint="eastAsia" w:ascii="仿宋" w:hAnsi="仿宋" w:eastAsia="仿宋" w:cs="仿宋"/>
          <w:sz w:val="24"/>
          <w:szCs w:val="24"/>
          <w:highlight w:val="none"/>
        </w:rPr>
        <w:t xml:space="preserve">6.磋商文件构成</w:t>
      </w:r>
      <w:bookmarkEnd w:id="85"/>
      <w:r/>
      <w:bookmarkEnd w:id="86"/>
      <w:r/>
      <w:bookmarkEnd w:id="87"/>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6.1磋商文件由以下部分组成：</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（1）磋商邀请</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（2）供应商须知</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（3）合同文本</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（4）采购需求</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（5）评审方法与评审标准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（6）响应文件格式</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供应商应仔细检查磋商文件是否齐全，如有缺漏请立即与交易中心联系解决。</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500" w:lineRule="exact"/>
        <w:widowControl/>
        <w:rPr>
          <w:rFonts w:hint="eastAsia" w:ascii="仿宋" w:hAnsi="仿宋" w:eastAsia="仿宋" w:cs="仿宋"/>
          <w:sz w:val="24"/>
          <w:szCs w:val="24"/>
          <w:highlight w:val="none"/>
        </w:rPr>
      </w:pPr>
      <w:r/>
      <w:bookmarkStart w:id="88" w:name="_Toc462564070"/>
      <w:r/>
      <w:bookmarkStart w:id="89" w:name="_Toc513029211"/>
      <w:r/>
      <w:bookmarkStart w:id="90" w:name="_Toc20823283"/>
      <w:r/>
      <w:bookmarkStart w:id="91" w:name="_Toc16938527"/>
      <w:r>
        <w:rPr>
          <w:rFonts w:hint="eastAsia" w:ascii="仿宋" w:hAnsi="仿宋" w:eastAsia="仿宋" w:cs="仿宋"/>
          <w:sz w:val="24"/>
          <w:szCs w:val="24"/>
          <w:highlight w:val="none"/>
        </w:rPr>
        <w:t xml:space="preserve">7.磋商文件的澄清</w:t>
      </w:r>
      <w:bookmarkEnd w:id="88"/>
      <w:r/>
      <w:bookmarkEnd w:id="89"/>
      <w:r/>
      <w:bookmarkEnd w:id="90"/>
      <w:r/>
      <w:bookmarkEnd w:id="91"/>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 任何要求对磋商文件进行澄清的供应商，应在磋商截止期五日前按磋商公告中的通讯地址，以书面形式通知交易中心。</w:t>
      </w:r>
      <w:r/>
    </w:p>
    <w:p>
      <w:pPr>
        <w:ind w:firstLine="480"/>
        <w:jc w:val="left"/>
        <w:spacing w:line="500" w:lineRule="exact"/>
        <w:widowControl/>
        <w:rPr>
          <w:rFonts w:hint="eastAsia" w:ascii="仿宋" w:hAnsi="仿宋" w:eastAsia="仿宋" w:cs="仿宋"/>
          <w:sz w:val="24"/>
          <w:szCs w:val="24"/>
          <w:highlight w:val="none"/>
        </w:rPr>
      </w:pPr>
      <w:r/>
      <w:bookmarkStart w:id="92" w:name="_Toc20823284"/>
      <w:r/>
      <w:bookmarkStart w:id="93" w:name="_Toc513029212"/>
      <w:r/>
      <w:bookmarkStart w:id="94" w:name="_Toc16938528"/>
      <w:r/>
      <w:bookmarkStart w:id="95" w:name="_Toc462564071"/>
      <w:r>
        <w:rPr>
          <w:rFonts w:hint="eastAsia" w:ascii="仿宋" w:hAnsi="仿宋" w:eastAsia="仿宋" w:cs="仿宋"/>
          <w:sz w:val="24"/>
          <w:szCs w:val="24"/>
          <w:highlight w:val="none"/>
        </w:rPr>
        <w:t xml:space="preserve">8.磋商文件的澄清和修改</w:t>
      </w:r>
      <w:bookmarkEnd w:id="92"/>
      <w:r/>
      <w:bookmarkEnd w:id="93"/>
      <w:r/>
      <w:bookmarkEnd w:id="94"/>
      <w:r/>
      <w:bookmarkEnd w:id="95"/>
      <w:r/>
      <w:r/>
    </w:p>
    <w:p>
      <w:pPr>
        <w:ind w:firstLine="480"/>
        <w:jc w:val="left"/>
        <w:spacing w:line="500" w:lineRule="exact"/>
        <w:widowControl/>
        <w:rPr>
          <w:rFonts w:hint="eastAsia" w:ascii="仿宋" w:hAnsi="仿宋" w:eastAsia="仿宋" w:cs="仿宋"/>
          <w:sz w:val="24"/>
          <w:szCs w:val="24"/>
          <w:highlight w:val="none"/>
        </w:rPr>
      </w:pPr>
      <w:r/>
      <w:bookmarkStart w:id="96" w:name="_Toc120614216"/>
      <w:r/>
      <w:bookmarkStart w:id="97" w:name="_Toc20823285"/>
      <w:r/>
      <w:bookmarkStart w:id="98" w:name="_Toc513029213"/>
      <w:r/>
      <w:bookmarkStart w:id="99" w:name="_Toc16938529"/>
      <w:r/>
      <w:bookmarkStart w:id="100" w:name="_Toc462564072"/>
      <w:r>
        <w:rPr>
          <w:rFonts w:hint="eastAsia" w:ascii="仿宋" w:hAnsi="仿宋" w:eastAsia="仿宋" w:cs="仿宋"/>
          <w:sz w:val="24"/>
          <w:szCs w:val="24"/>
          <w:highlight w:val="none"/>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8.3交易中心有权按照法定的要求推迟提交响应文件截止时间，并在原公告媒体发布更正公告。</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三、响应文件的编制</w:t>
      </w:r>
      <w:bookmarkEnd w:id="96"/>
      <w:r/>
      <w:bookmarkEnd w:id="97"/>
      <w:r/>
      <w:bookmarkEnd w:id="98"/>
      <w:r/>
      <w:bookmarkEnd w:id="99"/>
      <w:r/>
      <w:bookmarkEnd w:id="100"/>
      <w:r/>
      <w:r/>
    </w:p>
    <w:p>
      <w:pPr>
        <w:ind w:firstLine="480"/>
        <w:jc w:val="left"/>
        <w:spacing w:line="500" w:lineRule="exact"/>
        <w:widowControl/>
        <w:rPr>
          <w:rFonts w:hint="eastAsia" w:ascii="仿宋" w:hAnsi="仿宋" w:eastAsia="仿宋" w:cs="仿宋"/>
          <w:sz w:val="24"/>
          <w:szCs w:val="24"/>
          <w:highlight w:val="none"/>
        </w:rPr>
      </w:pPr>
      <w:r/>
      <w:bookmarkStart w:id="101" w:name="_Toc513029214"/>
      <w:r/>
      <w:bookmarkStart w:id="102" w:name="_Toc462564073"/>
      <w:r/>
      <w:bookmarkStart w:id="103" w:name="_Toc16938530"/>
      <w:r/>
      <w:bookmarkStart w:id="104" w:name="_Toc20823286"/>
      <w:r>
        <w:rPr>
          <w:rFonts w:hint="eastAsia" w:ascii="仿宋" w:hAnsi="仿宋" w:eastAsia="仿宋" w:cs="仿宋"/>
          <w:sz w:val="24"/>
          <w:szCs w:val="24"/>
          <w:highlight w:val="none"/>
        </w:rPr>
        <w:t xml:space="preserve">9.响应文件的语言及度量衡单位</w:t>
      </w:r>
      <w:bookmarkEnd w:id="101"/>
      <w:r/>
      <w:bookmarkEnd w:id="102"/>
      <w:r/>
      <w:bookmarkEnd w:id="103"/>
      <w:r/>
      <w:bookmarkEnd w:id="104"/>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9.1供应商提交的响应文件以及供应商与交易中心就有关磋商的所有来往通知、函件和文件均应使用简体中文。</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9.2 除技术性能另有规定外，响应文件所使用的度量衡单位，均须采用国家法定计量单位。</w:t>
      </w:r>
      <w:r/>
    </w:p>
    <w:p>
      <w:pPr>
        <w:ind w:firstLine="480"/>
        <w:jc w:val="left"/>
        <w:spacing w:line="500" w:lineRule="exact"/>
        <w:widowControl/>
        <w:rPr>
          <w:rFonts w:hint="eastAsia" w:ascii="仿宋" w:hAnsi="仿宋" w:eastAsia="仿宋" w:cs="仿宋"/>
          <w:sz w:val="24"/>
          <w:szCs w:val="24"/>
          <w:highlight w:val="none"/>
        </w:rPr>
      </w:pPr>
      <w:r/>
      <w:bookmarkStart w:id="105" w:name="_Toc20823287"/>
      <w:r/>
      <w:bookmarkStart w:id="106" w:name="_Toc462564074"/>
      <w:r/>
      <w:bookmarkStart w:id="107" w:name="_Toc16938531"/>
      <w:r/>
      <w:bookmarkStart w:id="108" w:name="_Toc513029215"/>
      <w:r>
        <w:rPr>
          <w:rFonts w:hint="eastAsia" w:ascii="仿宋" w:hAnsi="仿宋" w:eastAsia="仿宋" w:cs="仿宋"/>
          <w:sz w:val="24"/>
          <w:szCs w:val="24"/>
          <w:highlight w:val="none"/>
        </w:rPr>
        <w:t xml:space="preserve">10.响应文件构成</w:t>
      </w:r>
      <w:bookmarkEnd w:id="105"/>
      <w:r/>
      <w:bookmarkEnd w:id="106"/>
      <w:r/>
      <w:bookmarkEnd w:id="107"/>
      <w:r/>
      <w:bookmarkEnd w:id="108"/>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10.1供应商编写的响应文件应包括资格证明文件、符合性证明文件、磋商报价明细表、响应及偏离表、其他证明文件、磋商响应函等部分。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 如标书制作工具中格式和内容与“江苏政府采购网”发布的磋商文件不一致，以“江苏政府采购网”发布的磋商文件为准。</w:t>
      </w:r>
      <w:r/>
    </w:p>
    <w:p>
      <w:pPr>
        <w:ind w:firstLine="480"/>
        <w:jc w:val="left"/>
        <w:spacing w:line="500" w:lineRule="exact"/>
        <w:widowControl/>
        <w:rPr>
          <w:rFonts w:hint="eastAsia" w:ascii="仿宋" w:hAnsi="仿宋" w:eastAsia="仿宋" w:cs="仿宋"/>
          <w:sz w:val="24"/>
          <w:szCs w:val="24"/>
          <w:highlight w:val="none"/>
        </w:rPr>
      </w:pPr>
      <w:r/>
      <w:bookmarkStart w:id="109" w:name="_Hlt26668975"/>
      <w:r/>
      <w:bookmarkEnd w:id="109"/>
      <w:r/>
      <w:bookmarkStart w:id="110" w:name="_Hlt26670360"/>
      <w:r/>
      <w:bookmarkEnd w:id="110"/>
      <w:r/>
      <w:bookmarkStart w:id="111" w:name="_Hlt26954838"/>
      <w:r/>
      <w:bookmarkEnd w:id="111"/>
      <w:r/>
      <w:bookmarkStart w:id="112" w:name="_Toc14577354"/>
      <w:r/>
      <w:bookmarkStart w:id="113" w:name="_Toc513029216"/>
      <w:r/>
      <w:bookmarkStart w:id="114" w:name="_Toc14577357"/>
      <w:r/>
      <w:bookmarkStart w:id="115" w:name="_Toc49090509"/>
      <w:r/>
      <w:bookmarkStart w:id="116" w:name="_Toc49090507"/>
      <w:r/>
      <w:bookmarkStart w:id="117" w:name="_Toc513029219"/>
      <w:r/>
      <w:bookmarkStart w:id="118" w:name="_Toc49090508"/>
      <w:r/>
      <w:bookmarkStart w:id="119" w:name="_Toc14577355"/>
      <w:r>
        <w:rPr>
          <w:rFonts w:hint="eastAsia" w:ascii="仿宋" w:hAnsi="仿宋" w:eastAsia="仿宋" w:cs="仿宋"/>
          <w:sz w:val="24"/>
          <w:szCs w:val="24"/>
          <w:highlight w:val="none"/>
        </w:rPr>
        <w:t xml:space="preserve">11.证明磋商响应标的符合磋商文件规定的文件</w:t>
      </w:r>
      <w:bookmarkEnd w:id="112"/>
      <w:r/>
      <w:bookmarkEnd w:id="113"/>
      <w:r/>
      <w:bookmarkEnd w:id="114"/>
      <w:r/>
      <w:bookmarkEnd w:id="115"/>
      <w:r/>
      <w:bookmarkEnd w:id="116"/>
      <w:r/>
      <w:bookmarkEnd w:id="117"/>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11.1供应商应按照法律、法规、规章和规范性文件以及磋商文件要求提交证明文件，证明其响应标的符合磋商文件规定。</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11.2磋商文件对证明文件无明确形式要求的，证明文件可以以文字资料、图纸和数据等形式提交。</w:t>
      </w:r>
      <w:bookmarkEnd w:id="118"/>
      <w:r/>
      <w:bookmarkEnd w:id="119"/>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12.分项报价表（如有）</w:t>
      </w:r>
      <w:r/>
    </w:p>
    <w:p>
      <w:pPr>
        <w:ind w:firstLine="480"/>
        <w:jc w:val="left"/>
        <w:spacing w:line="500" w:lineRule="exact"/>
        <w:widowControl/>
        <w:rPr>
          <w:rFonts w:hint="eastAsia" w:ascii="仿宋" w:hAnsi="仿宋" w:eastAsia="仿宋" w:cs="仿宋"/>
          <w:sz w:val="24"/>
          <w:szCs w:val="24"/>
          <w:highlight w:val="none"/>
        </w:rPr>
      </w:pPr>
      <w:r/>
      <w:bookmarkStart w:id="120" w:name="_Hlt26670486"/>
      <w:r/>
      <w:bookmarkEnd w:id="120"/>
      <w:r/>
      <w:bookmarkStart w:id="121" w:name="_Hlt26954731"/>
      <w:r/>
      <w:bookmarkEnd w:id="121"/>
      <w:r/>
      <w:bookmarkStart w:id="122" w:name="_Hlt26954846"/>
      <w:r/>
      <w:bookmarkEnd w:id="122"/>
      <w:r/>
      <w:bookmarkStart w:id="123" w:name="_Hlt26954848"/>
      <w:r/>
      <w:bookmarkEnd w:id="123"/>
      <w:r/>
      <w:bookmarkStart w:id="124" w:name="_Hlt26670482"/>
      <w:r/>
      <w:bookmarkEnd w:id="124"/>
      <w:r>
        <w:rPr>
          <w:rFonts w:hint="eastAsia" w:ascii="仿宋" w:hAnsi="仿宋" w:eastAsia="仿宋" w:cs="仿宋"/>
          <w:sz w:val="24"/>
          <w:szCs w:val="24"/>
          <w:highlight w:val="none"/>
        </w:rPr>
        <w:t xml:space="preserve">12.1 供应商应按照磋商文件规定格式填报分项报价表。</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 响应文件中的单价和总价无特殊规定的采用人民币报价，以元为单位标注。磋商文件另有规定的按规定执行。</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13.响应及偏离表</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13.1供应商需对磋商文件中的技术要求与商务要求逐项作出响应或偏离说明。</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13.2供应商可在响应文件中提供认为需要的其他技术文件或说明。</w:t>
      </w:r>
      <w:r/>
    </w:p>
    <w:p>
      <w:pPr>
        <w:ind w:firstLine="480"/>
        <w:jc w:val="left"/>
        <w:spacing w:line="500" w:lineRule="exact"/>
        <w:widowControl/>
        <w:rPr>
          <w:rFonts w:hint="eastAsia" w:ascii="仿宋" w:hAnsi="仿宋" w:eastAsia="仿宋" w:cs="仿宋"/>
          <w:sz w:val="24"/>
          <w:szCs w:val="24"/>
          <w:highlight w:val="none"/>
        </w:rPr>
      </w:pPr>
      <w:r/>
      <w:bookmarkStart w:id="125" w:name="_Toc14577359"/>
      <w:r/>
      <w:bookmarkStart w:id="126" w:name="_Toc49090510"/>
      <w:r>
        <w:rPr>
          <w:rFonts w:hint="eastAsia" w:ascii="仿宋" w:hAnsi="仿宋" w:eastAsia="仿宋" w:cs="仿宋"/>
          <w:sz w:val="24"/>
          <w:szCs w:val="24"/>
          <w:highlight w:val="none"/>
        </w:rPr>
        <w:t xml:space="preserve">14.磋商响应函</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zh-CN"/>
        </w:rPr>
        <w:t xml:space="preserve">.1供应商应按照磋商文件规定格式完整、正确填报磋商响应函。</w:t>
      </w:r>
      <w:bookmarkEnd w:id="125"/>
      <w:r/>
      <w:bookmarkEnd w:id="126"/>
      <w:r/>
      <w:r/>
    </w:p>
    <w:p>
      <w:pPr>
        <w:ind w:firstLine="480"/>
        <w:jc w:val="left"/>
        <w:spacing w:line="500" w:lineRule="exact"/>
        <w:widowControl/>
        <w:rPr>
          <w:rFonts w:hint="eastAsia" w:ascii="仿宋" w:hAnsi="仿宋" w:eastAsia="仿宋" w:cs="仿宋"/>
          <w:sz w:val="24"/>
          <w:szCs w:val="24"/>
          <w:highlight w:val="none"/>
        </w:rPr>
      </w:pPr>
      <w:r/>
      <w:bookmarkStart w:id="127" w:name="_Toc49090511"/>
      <w:r/>
      <w:bookmarkStart w:id="128" w:name="_Toc14577360"/>
      <w:r>
        <w:rPr>
          <w:rFonts w:hint="eastAsia" w:ascii="仿宋" w:hAnsi="仿宋" w:eastAsia="仿宋" w:cs="仿宋"/>
          <w:sz w:val="24"/>
          <w:szCs w:val="24"/>
          <w:highlight w:val="none"/>
        </w:rPr>
        <w:t xml:space="preserve">15.磋商有效期</w:t>
      </w:r>
      <w:bookmarkEnd w:id="127"/>
      <w:r/>
      <w:bookmarkEnd w:id="128"/>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15.1磋商有效期为采购公告规定的提交响应文件截止之日起</w:t>
      </w:r>
      <w:r>
        <w:rPr>
          <w:rFonts w:hint="eastAsia" w:ascii="仿宋" w:hAnsi="仿宋" w:eastAsia="仿宋" w:cs="仿宋"/>
          <w:sz w:val="24"/>
          <w:szCs w:val="24"/>
          <w:highlight w:val="none"/>
          <w:lang w:val="zh-CN"/>
        </w:rPr>
        <w:t xml:space="preserve">六十天</w:t>
      </w:r>
      <w:r>
        <w:rPr>
          <w:rFonts w:hint="eastAsia" w:ascii="仿宋" w:hAnsi="仿宋" w:eastAsia="仿宋" w:cs="仿宋"/>
          <w:sz w:val="24"/>
          <w:szCs w:val="24"/>
          <w:highlight w:val="none"/>
        </w:rPr>
        <w:t xml:space="preserve">。磋商有效期比规定短的将被视为非实质性响应磋商文件而被拒绝。</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16.磋商有效期的延长</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jc w:val="left"/>
        <w:spacing w:line="500" w:lineRule="exact"/>
        <w:widowControl/>
        <w:rPr>
          <w:rFonts w:hint="eastAsia" w:ascii="仿宋" w:hAnsi="仿宋" w:eastAsia="仿宋" w:cs="仿宋"/>
          <w:sz w:val="24"/>
          <w:szCs w:val="24"/>
          <w:highlight w:val="none"/>
        </w:rPr>
      </w:pPr>
      <w:r/>
      <w:bookmarkStart w:id="129" w:name="_Toc120614217"/>
      <w:r/>
      <w:bookmarkStart w:id="130" w:name="_Toc513029224"/>
      <w:r/>
      <w:bookmarkStart w:id="131" w:name="_Toc16938540"/>
      <w:r/>
      <w:bookmarkStart w:id="132" w:name="_Toc20823296"/>
      <w:r>
        <w:rPr>
          <w:rFonts w:hint="eastAsia" w:ascii="仿宋" w:hAnsi="仿宋" w:eastAsia="仿宋" w:cs="仿宋"/>
          <w:sz w:val="24"/>
          <w:szCs w:val="24"/>
          <w:highlight w:val="none"/>
        </w:rPr>
        <w:t xml:space="preserve">四、响应文件的递交</w:t>
      </w:r>
      <w:bookmarkEnd w:id="129"/>
      <w:r/>
      <w:bookmarkEnd w:id="130"/>
      <w:r/>
      <w:bookmarkEnd w:id="131"/>
      <w:r/>
      <w:bookmarkEnd w:id="132"/>
      <w:r/>
      <w:r/>
    </w:p>
    <w:p>
      <w:pPr>
        <w:ind w:firstLine="480"/>
        <w:jc w:val="left"/>
        <w:spacing w:line="500" w:lineRule="exact"/>
        <w:widowControl/>
        <w:rPr>
          <w:rFonts w:hint="eastAsia" w:ascii="仿宋" w:hAnsi="仿宋" w:eastAsia="仿宋" w:cs="仿宋"/>
          <w:sz w:val="24"/>
          <w:szCs w:val="24"/>
          <w:highlight w:val="none"/>
        </w:rPr>
      </w:pPr>
      <w:r/>
      <w:bookmarkStart w:id="133" w:name="_Toc20823297"/>
      <w:r/>
      <w:bookmarkStart w:id="134" w:name="_Toc513029225"/>
      <w:r/>
      <w:bookmarkStart w:id="135" w:name="_Toc16938541"/>
      <w:r/>
      <w:bookmarkStart w:id="136" w:name="_Toc462564084"/>
      <w:r>
        <w:rPr>
          <w:rFonts w:hint="eastAsia" w:ascii="仿宋" w:hAnsi="仿宋" w:eastAsia="仿宋" w:cs="仿宋"/>
          <w:sz w:val="24"/>
          <w:szCs w:val="24"/>
          <w:highlight w:val="none"/>
        </w:rPr>
        <w:t xml:space="preserve">17.磋商</w:t>
      </w:r>
      <w:bookmarkEnd w:id="133"/>
      <w:r/>
      <w:bookmarkEnd w:id="134"/>
      <w:r/>
      <w:bookmarkEnd w:id="135"/>
      <w:r/>
      <w:bookmarkEnd w:id="136"/>
      <w:r>
        <w:rPr>
          <w:rFonts w:hint="eastAsia" w:ascii="仿宋" w:hAnsi="仿宋" w:eastAsia="仿宋" w:cs="仿宋"/>
          <w:sz w:val="24"/>
          <w:szCs w:val="24"/>
          <w:highlight w:val="none"/>
        </w:rPr>
        <w:t xml:space="preserve">响应文件的递交</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17.1供应商应当按照《操作手册》规定，在提交响应文件截止时间前制作并上传电子响应文件。</w:t>
      </w:r>
      <w:bookmarkStart w:id="137" w:name="_Toc513029226"/>
      <w:r/>
      <w:bookmarkEnd w:id="137"/>
      <w:r/>
      <w:bookmarkStart w:id="138" w:name="_Toc16938542"/>
      <w:r/>
      <w:bookmarkEnd w:id="138"/>
      <w:r/>
      <w:bookmarkStart w:id="139" w:name="_Toc20823298"/>
      <w:r/>
      <w:bookmarkEnd w:id="139"/>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17.3交易中心可以按照规定，通过修改磋商文件酌情延长提交响应文件截止日期，在此情况下，供应商的所有权利和义务均以延长后新的截止日期为准。</w:t>
      </w:r>
      <w:r/>
    </w:p>
    <w:p>
      <w:pPr>
        <w:ind w:firstLine="480"/>
        <w:jc w:val="left"/>
        <w:spacing w:line="500" w:lineRule="exact"/>
        <w:widowControl/>
        <w:rPr>
          <w:rFonts w:hint="eastAsia" w:ascii="仿宋" w:hAnsi="仿宋" w:eastAsia="仿宋" w:cs="仿宋"/>
          <w:sz w:val="24"/>
          <w:szCs w:val="24"/>
          <w:highlight w:val="none"/>
        </w:rPr>
      </w:pPr>
      <w:r/>
      <w:bookmarkStart w:id="140" w:name="_Toc16938543"/>
      <w:r/>
      <w:bookmarkStart w:id="141" w:name="_Toc20823299"/>
      <w:r/>
      <w:bookmarkStart w:id="142" w:name="_Toc513029227"/>
      <w:r>
        <w:rPr>
          <w:rFonts w:hint="eastAsia" w:ascii="仿宋" w:hAnsi="仿宋" w:eastAsia="仿宋" w:cs="仿宋"/>
          <w:sz w:val="24"/>
          <w:szCs w:val="24"/>
          <w:highlight w:val="none"/>
        </w:rPr>
        <w:t xml:space="preserve">18.响应文件</w:t>
      </w:r>
      <w:bookmarkEnd w:id="140"/>
      <w:r/>
      <w:bookmarkEnd w:id="141"/>
      <w:r/>
      <w:bookmarkEnd w:id="142"/>
      <w:r>
        <w:rPr>
          <w:rFonts w:hint="eastAsia" w:ascii="仿宋" w:hAnsi="仿宋" w:eastAsia="仿宋" w:cs="仿宋"/>
          <w:sz w:val="24"/>
          <w:szCs w:val="24"/>
          <w:highlight w:val="none"/>
        </w:rPr>
        <w:t xml:space="preserve">的拒收</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18.1 交易中心拒绝接收提交响应文件截止时间后上传的任何电子响应文件。</w:t>
      </w:r>
      <w:r/>
    </w:p>
    <w:p>
      <w:pPr>
        <w:ind w:firstLine="480"/>
        <w:jc w:val="left"/>
        <w:spacing w:line="500" w:lineRule="exact"/>
        <w:widowControl/>
        <w:rPr>
          <w:rFonts w:hint="eastAsia" w:ascii="仿宋" w:hAnsi="仿宋" w:eastAsia="仿宋" w:cs="仿宋"/>
          <w:sz w:val="24"/>
          <w:szCs w:val="24"/>
          <w:highlight w:val="none"/>
        </w:rPr>
      </w:pPr>
      <w:r/>
      <w:bookmarkStart w:id="143" w:name="_Toc20823300"/>
      <w:r/>
      <w:bookmarkStart w:id="144" w:name="_Toc513029228"/>
      <w:r/>
      <w:bookmarkStart w:id="145" w:name="_Toc16938544"/>
      <w:r>
        <w:rPr>
          <w:rFonts w:hint="eastAsia" w:ascii="仿宋" w:hAnsi="仿宋" w:eastAsia="仿宋" w:cs="仿宋"/>
          <w:sz w:val="24"/>
          <w:szCs w:val="24"/>
          <w:highlight w:val="none"/>
        </w:rPr>
        <w:t xml:space="preserve">19.响应文件的撤回和修改</w:t>
      </w:r>
      <w:bookmarkEnd w:id="143"/>
      <w:r/>
      <w:bookmarkEnd w:id="144"/>
      <w:r/>
      <w:bookmarkEnd w:id="145"/>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19.1响应文件的撤回</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19.1.1供应商可在提交响应文件截止时间前，撤回其电子响应文件，具体操作方法见《操作手册》。</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19.1.2供应商撤回电子响应文件，则认为其不再参与本项目磋商活动。</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19.2响应文件的修改</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19.2.1 供应商可在提交响应文件截止时间前，对其电子响应文件进行修改，具体操作方法见《操作手册》。</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19.2.2 在提交响应文件截止时间之后，供应商不得对其电子响应文件作任何修改。</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19.3 在提交响应文件截止时间至磋商文件中规定的磋商有效期满之间的这段时间内，供应商不得撤回其响应文件。</w:t>
      </w:r>
      <w:r/>
    </w:p>
    <w:p>
      <w:pPr>
        <w:ind w:firstLine="480"/>
        <w:jc w:val="left"/>
        <w:spacing w:line="500" w:lineRule="exact"/>
        <w:widowControl/>
        <w:rPr>
          <w:rFonts w:hint="eastAsia" w:ascii="仿宋" w:hAnsi="仿宋" w:eastAsia="仿宋" w:cs="仿宋"/>
          <w:sz w:val="24"/>
          <w:szCs w:val="24"/>
          <w:highlight w:val="none"/>
        </w:rPr>
      </w:pPr>
      <w:r/>
      <w:bookmarkStart w:id="146" w:name="_Toc120614218"/>
      <w:r/>
      <w:bookmarkStart w:id="147" w:name="_Toc16938545"/>
      <w:r/>
      <w:bookmarkStart w:id="148" w:name="_Toc20823301"/>
      <w:r/>
      <w:bookmarkStart w:id="149" w:name="_Toc513029229"/>
      <w:r>
        <w:rPr>
          <w:rFonts w:hint="eastAsia" w:ascii="仿宋" w:hAnsi="仿宋" w:eastAsia="仿宋" w:cs="仿宋"/>
          <w:sz w:val="24"/>
          <w:szCs w:val="24"/>
          <w:highlight w:val="none"/>
        </w:rPr>
        <w:t xml:space="preserve">五、响应文件的解密与评审</w:t>
      </w:r>
      <w:bookmarkEnd w:id="146"/>
      <w:r/>
      <w:bookmarkEnd w:id="147"/>
      <w:r/>
      <w:bookmarkEnd w:id="148"/>
      <w:r/>
      <w:bookmarkEnd w:id="149"/>
      <w:r/>
      <w:r/>
    </w:p>
    <w:p>
      <w:pPr>
        <w:ind w:firstLine="480"/>
        <w:jc w:val="left"/>
        <w:spacing w:line="500" w:lineRule="exact"/>
        <w:widowControl/>
        <w:rPr>
          <w:rFonts w:hint="eastAsia" w:ascii="仿宋" w:hAnsi="仿宋" w:eastAsia="仿宋" w:cs="仿宋"/>
          <w:sz w:val="24"/>
          <w:szCs w:val="24"/>
          <w:highlight w:val="none"/>
        </w:rPr>
      </w:pPr>
      <w:r/>
      <w:bookmarkStart w:id="150" w:name="_Toc16938546"/>
      <w:r/>
      <w:bookmarkStart w:id="151" w:name="_Toc20823302"/>
      <w:r/>
      <w:bookmarkStart w:id="152" w:name="_Toc513029230"/>
      <w:r>
        <w:rPr>
          <w:rFonts w:hint="eastAsia" w:ascii="仿宋" w:hAnsi="仿宋" w:eastAsia="仿宋" w:cs="仿宋"/>
          <w:sz w:val="24"/>
          <w:szCs w:val="24"/>
          <w:highlight w:val="none"/>
        </w:rPr>
        <w:t xml:space="preserve">2</w:t>
      </w:r>
      <w:bookmarkEnd w:id="150"/>
      <w:r/>
      <w:bookmarkEnd w:id="151"/>
      <w:r/>
      <w:bookmarkEnd w:id="152"/>
      <w:r>
        <w:rPr>
          <w:rFonts w:hint="eastAsia" w:ascii="仿宋" w:hAnsi="仿宋" w:eastAsia="仿宋" w:cs="仿宋"/>
          <w:sz w:val="24"/>
          <w:szCs w:val="24"/>
          <w:highlight w:val="none"/>
        </w:rPr>
        <w:t xml:space="preserve">0.响应文件解密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 供应商应当按照《操作手册》规定，在苏采云系统规定的时间内对磋商响应文件进行解密。</w:t>
      </w:r>
      <w:r/>
    </w:p>
    <w:p>
      <w:pPr>
        <w:ind w:firstLine="480"/>
        <w:jc w:val="left"/>
        <w:spacing w:line="500" w:lineRule="exact"/>
        <w:widowControl/>
        <w:rPr>
          <w:rFonts w:hint="eastAsia" w:ascii="仿宋" w:hAnsi="仿宋" w:eastAsia="仿宋" w:cs="仿宋"/>
          <w:sz w:val="24"/>
          <w:szCs w:val="24"/>
          <w:highlight w:val="none"/>
        </w:rPr>
      </w:pPr>
      <w:r/>
      <w:bookmarkStart w:id="153" w:name="_Toc20823303"/>
      <w:r/>
      <w:bookmarkStart w:id="154" w:name="_Toc513029231"/>
      <w:r/>
      <w:bookmarkStart w:id="155" w:name="_Toc16938547"/>
      <w:r>
        <w:rPr>
          <w:rFonts w:hint="eastAsia" w:ascii="仿宋" w:hAnsi="仿宋" w:eastAsia="仿宋" w:cs="仿宋"/>
          <w:sz w:val="24"/>
          <w:szCs w:val="24"/>
          <w:highlight w:val="none"/>
        </w:rPr>
        <w:t xml:space="preserve">21.磋商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21.1 交易中心将组织磋商小组对响应文件进行评审。</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 磋商小组由采购人代表和有关技术、经济等方面的专家组成，且人员构成符合政府采购有关规定。</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 磋商小组独立工作，负责评审所有响应文件并推荐成交侯选人，或根据采购人授权直接确定成交供应商。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22.评审过程的保密与公正</w:t>
      </w:r>
      <w:bookmarkEnd w:id="153"/>
      <w:r/>
      <w:bookmarkEnd w:id="154"/>
      <w:r/>
      <w:bookmarkEnd w:id="155"/>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22.1 磋商小组、采购人和交易中心工作人员、相关监督人员等与评审工作有关的人员，对评审情况以及在评审过程中获悉的国家秘密、商业秘密负有保密责任。</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22.2 在评审过程中，供应商不得以任何行为影响磋商评审过程，否则其响应文件将被作为无效响应文件。</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22.3 交易中心和磋商小组不向未成交的供应商解释未成交原因，也不公布评审过程中的相关细节。</w:t>
      </w:r>
      <w:r/>
    </w:p>
    <w:p>
      <w:pPr>
        <w:ind w:firstLine="480"/>
        <w:jc w:val="left"/>
        <w:spacing w:line="500" w:lineRule="exact"/>
        <w:widowControl/>
        <w:rPr>
          <w:rFonts w:hint="eastAsia" w:ascii="仿宋" w:hAnsi="仿宋" w:eastAsia="仿宋" w:cs="仿宋"/>
          <w:sz w:val="24"/>
          <w:szCs w:val="24"/>
          <w:highlight w:val="none"/>
        </w:rPr>
      </w:pPr>
      <w:r/>
      <w:bookmarkStart w:id="156" w:name="_Toc513029232"/>
      <w:r/>
      <w:bookmarkStart w:id="157" w:name="_Toc20823304"/>
      <w:r/>
      <w:bookmarkStart w:id="158" w:name="_Toc16938548"/>
      <w:r>
        <w:rPr>
          <w:rFonts w:hint="eastAsia" w:ascii="仿宋" w:hAnsi="仿宋" w:eastAsia="仿宋" w:cs="仿宋"/>
          <w:sz w:val="24"/>
          <w:szCs w:val="24"/>
          <w:highlight w:val="none"/>
        </w:rPr>
        <w:t xml:space="preserve">23.评审过程中的澄清</w:t>
      </w:r>
      <w:bookmarkEnd w:id="156"/>
      <w:r/>
      <w:bookmarkEnd w:id="157"/>
      <w:r/>
      <w:bookmarkEnd w:id="158"/>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供应商的澄清、说明或者更正不得超出响应文件的范围或者改变响应文件的实质性内容。</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磋商小组并非对每个供应商都作澄清要求。</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23.2 需要供应商进行澄清、说明和补正的，磋商小组将通过苏采云系统向供应商发布</w:t>
      </w:r>
      <w:r>
        <w:rPr>
          <w:rFonts w:hint="eastAsia" w:ascii="仿宋" w:hAnsi="仿宋" w:eastAsia="仿宋" w:cs="仿宋"/>
          <w:sz w:val="24"/>
          <w:szCs w:val="24"/>
          <w:highlight w:val="none"/>
          <w:lang w:val="zh-CN"/>
        </w:rPr>
        <w:t xml:space="preserve">《澄清要求函》</w:t>
      </w:r>
      <w:r>
        <w:rPr>
          <w:rFonts w:hint="eastAsia" w:ascii="仿宋" w:hAnsi="仿宋" w:eastAsia="仿宋" w:cs="仿宋"/>
          <w:sz w:val="24"/>
          <w:szCs w:val="24"/>
          <w:highlight w:val="none"/>
        </w:rPr>
        <w:t xml:space="preserve">，接到</w:t>
      </w:r>
      <w:r>
        <w:rPr>
          <w:rFonts w:hint="eastAsia" w:ascii="仿宋" w:hAnsi="仿宋" w:eastAsia="仿宋" w:cs="仿宋"/>
          <w:sz w:val="24"/>
          <w:szCs w:val="24"/>
          <w:highlight w:val="none"/>
          <w:lang w:val="zh-CN"/>
        </w:rPr>
        <w:t xml:space="preserve">《澄清要求函》</w:t>
      </w:r>
      <w:r>
        <w:rPr>
          <w:rFonts w:hint="eastAsia" w:ascii="仿宋" w:hAnsi="仿宋" w:eastAsia="仿宋" w:cs="仿宋"/>
          <w:sz w:val="24"/>
          <w:szCs w:val="24"/>
          <w:highlight w:val="none"/>
        </w:rPr>
        <w:t xml:space="preserve">的供应商应当按照要求在苏采云系统中提交</w:t>
      </w:r>
      <w:r>
        <w:rPr>
          <w:rFonts w:hint="eastAsia" w:ascii="仿宋" w:hAnsi="仿宋" w:eastAsia="仿宋" w:cs="仿宋"/>
          <w:sz w:val="24"/>
          <w:szCs w:val="24"/>
          <w:highlight w:val="none"/>
          <w:lang w:val="zh-CN"/>
        </w:rPr>
        <w:t xml:space="preserve">《澄清要求函》</w:t>
      </w:r>
      <w:r>
        <w:rPr>
          <w:rFonts w:hint="eastAsia" w:ascii="仿宋" w:hAnsi="仿宋" w:eastAsia="仿宋" w:cs="仿宋"/>
          <w:sz w:val="24"/>
          <w:szCs w:val="24"/>
          <w:highlight w:val="none"/>
        </w:rPr>
        <w:t xml:space="preserve">并加盖电子公章。澄清、说明和更正的内容作为响应文件的补充部分，具体操作方式见《操作手册》。</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23.3 接到磋商小组澄清、说明和更正要求的供应商如未按规定做出澄清、说明和更正，其风险由供应商自行承担。</w:t>
      </w:r>
      <w:r/>
    </w:p>
    <w:p>
      <w:pPr>
        <w:ind w:firstLine="480"/>
        <w:jc w:val="left"/>
        <w:spacing w:line="500" w:lineRule="exact"/>
        <w:widowControl/>
        <w:rPr>
          <w:rFonts w:hint="eastAsia" w:ascii="仿宋" w:hAnsi="仿宋" w:eastAsia="仿宋" w:cs="仿宋"/>
          <w:sz w:val="24"/>
          <w:szCs w:val="24"/>
          <w:highlight w:val="none"/>
        </w:rPr>
      </w:pPr>
      <w:r/>
      <w:bookmarkStart w:id="159" w:name="_Toc513029233"/>
      <w:r/>
      <w:bookmarkStart w:id="160" w:name="_Toc20823305"/>
      <w:r/>
      <w:bookmarkStart w:id="161" w:name="_Toc16938549"/>
      <w:r>
        <w:rPr>
          <w:rFonts w:hint="eastAsia" w:ascii="仿宋" w:hAnsi="仿宋" w:eastAsia="仿宋" w:cs="仿宋"/>
          <w:sz w:val="24"/>
          <w:szCs w:val="24"/>
          <w:highlight w:val="none"/>
        </w:rPr>
        <w:t xml:space="preserve">24.响应文件的审</w:t>
      </w:r>
      <w:bookmarkEnd w:id="159"/>
      <w:r/>
      <w:bookmarkEnd w:id="160"/>
      <w:r/>
      <w:bookmarkEnd w:id="161"/>
      <w:r>
        <w:rPr>
          <w:rFonts w:hint="eastAsia" w:ascii="仿宋" w:hAnsi="仿宋" w:eastAsia="仿宋" w:cs="仿宋"/>
          <w:sz w:val="24"/>
          <w:szCs w:val="24"/>
          <w:highlight w:val="none"/>
        </w:rPr>
        <w:t xml:space="preserve">查</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 响应文件审查分为资格审查和符合性审查。</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24.1.1 资格审查。依据法律法规和磋商文件的规定，对响应文件中的资格证明文件进行审查，以确定供应商是否具备参加磋商的资格。</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24.1.2 符合性审查。依据磋商文件的规定，由磋商小组从响应文件的有效性、完整性和对磋商文件的响应程度进行审查，以确定是否对磋商文件的实质性要求作出响应。</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24.1.3 未通过资格审查或符合性审查的供应商，磋商小组将在苏采云系统中告知具体原因，评审结束后磋商小组将不再告知未通过资格审查或符合性审查的原因。</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 未实质性响应磋商文件的情形</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24.3.1 供应商在苏采云系统规定的时间内未成功解密电子响应文件的。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24.3.2 供应商未按照磋商文件要求上传电子响应文件的。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24.3.3 同一供应商提交两个（含两个）以上不同的响应文件或者最后报价的。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24.3.4 供应商不具备磋商文件中规定资格要求的。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24.3.5 供应商的最后报价超过了采购预算或最高限价的。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24.3.6 不符合磋商文件中规定的实质性要求和条件的（本磋商文件中斜体且有下划线部分</w:t>
      </w:r>
      <w:r>
        <w:rPr>
          <w:rFonts w:hint="eastAsia" w:ascii="仿宋" w:hAnsi="仿宋" w:eastAsia="仿宋" w:cs="仿宋"/>
          <w:sz w:val="24"/>
          <w:szCs w:val="24"/>
          <w:highlight w:val="none"/>
          <w:lang w:val="zh-CN"/>
        </w:rPr>
        <w:t xml:space="preserve">或者打“</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”内容，</w:t>
      </w:r>
      <w:r>
        <w:rPr>
          <w:rFonts w:hint="eastAsia" w:ascii="仿宋" w:hAnsi="仿宋" w:eastAsia="仿宋" w:cs="仿宋"/>
          <w:sz w:val="24"/>
          <w:szCs w:val="24"/>
          <w:highlight w:val="none"/>
        </w:rPr>
        <w:t xml:space="preserve">为实质性要求和条件）。</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24.3.8 响应文件含有采购人不能接受的附加条件的。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0"/>
        <w:jc w:val="left"/>
        <w:spacing w:line="50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关于推动解决政府采购异常低价问题的通知（财库〔2026〕2号），评审委员会启动异常低价投标（响应）审查的情形和具体要求，包括：</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（一）评审过程中出现下列情形之一的，评审委员会应当启动异常低价投标（响应）审查程序：</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3.投标（响应）报价低于采购项目最高限价45%的，即投标（响应）报价&lt;采购项目最高限价×45%；</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4.评审委员会基于专业判断，认为供应商报价过低，有可能影响产品质量或者不能诚信履约的其他情形。</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24.3.10 响应文件未按照磋商文件要求加盖电子公章的。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24.3.11 法律法规及本磋商文件规定的其他无效响应的情形。</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24.4 未实质性响应磋商文件的响应文件按无效响应处理。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24.5 如果响应文件实质上没有响应磋商文件的要求，磋商小组将予以拒绝，供应商不得通过修改或撤销不合要求的偏离或保留而使其成为实质性响应的文件。</w:t>
      </w:r>
      <w:r/>
    </w:p>
    <w:p>
      <w:pPr>
        <w:ind w:firstLine="480"/>
        <w:jc w:val="left"/>
        <w:spacing w:line="500" w:lineRule="exact"/>
        <w:widowControl/>
        <w:rPr>
          <w:rFonts w:hint="eastAsia" w:ascii="仿宋" w:hAnsi="仿宋" w:eastAsia="仿宋" w:cs="仿宋"/>
          <w:sz w:val="24"/>
          <w:szCs w:val="24"/>
          <w:highlight w:val="none"/>
        </w:rPr>
      </w:pPr>
      <w:r/>
      <w:bookmarkStart w:id="162" w:name="_Toc16938550"/>
      <w:r/>
      <w:bookmarkStart w:id="163" w:name="_Toc20823306"/>
      <w:r/>
      <w:bookmarkStart w:id="164" w:name="_Toc513029234"/>
      <w:r>
        <w:rPr>
          <w:rFonts w:hint="eastAsia" w:ascii="仿宋" w:hAnsi="仿宋" w:eastAsia="仿宋" w:cs="仿宋"/>
          <w:sz w:val="24"/>
          <w:szCs w:val="24"/>
          <w:highlight w:val="none"/>
        </w:rPr>
        <w:t xml:space="preserve">24.6 供应商在项目评审全过程中应保持通讯畅通，并安排专人与交易中心及磋商小组联系。</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bookmarkEnd w:id="162"/>
      <w:r/>
      <w:bookmarkEnd w:id="163"/>
      <w:r/>
      <w:bookmarkEnd w:id="164"/>
      <w:r>
        <w:rPr>
          <w:rFonts w:hint="eastAsia" w:ascii="仿宋" w:hAnsi="仿宋" w:eastAsia="仿宋" w:cs="仿宋"/>
          <w:sz w:val="24"/>
          <w:szCs w:val="24"/>
          <w:highlight w:val="none"/>
        </w:rPr>
        <w:t xml:space="preserve">5.磋商程序及评审方法和评审标准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 磋商程序</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 评审方法和评审标准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25.2.1 评审方法。经磋商确定最终采购需求和提交最后报价的供应商后，由磋商小组采用综合评分法对提交最后报价的供应商的响应文件和最后报价进行综合评分。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25.2.2 评审标准</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见本磋商文件第五章规定。</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 采购活动终止的情况</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出现下列情形之一的，本次竞争性磋商采购活动将被终止：</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25.3.1 因情况变化，不再符合规定的竞争性磋商采购方式适用情形的。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25.3.2 出现影响采购公正的违法、违规行为的。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25.3.3 除本磋商文件第二章第25.1.2条第三款规定的情形外，在采购过程中符合要求的供应商或者最后报价未超过采购预算的供应商不足3家的。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25.3.4 在苏采云系统规定时间内成功解密电子响应文件的供应商不足3家的。</w:t>
      </w:r>
      <w:r/>
    </w:p>
    <w:p>
      <w:pPr>
        <w:ind w:firstLine="480"/>
        <w:jc w:val="left"/>
        <w:spacing w:line="500" w:lineRule="exact"/>
        <w:widowControl/>
        <w:rPr>
          <w:rFonts w:hint="eastAsia" w:ascii="仿宋" w:hAnsi="仿宋" w:eastAsia="仿宋" w:cs="仿宋"/>
          <w:sz w:val="24"/>
          <w:szCs w:val="24"/>
          <w:highlight w:val="none"/>
        </w:rPr>
      </w:pPr>
      <w:r/>
      <w:bookmarkStart w:id="165" w:name="_Toc20823307"/>
      <w:r/>
      <w:bookmarkStart w:id="166" w:name="_Toc120614219"/>
      <w:r/>
      <w:bookmarkStart w:id="167" w:name="_Toc513029235"/>
      <w:r/>
      <w:bookmarkStart w:id="168" w:name="_Toc16938551"/>
      <w:r>
        <w:rPr>
          <w:rFonts w:hint="eastAsia" w:ascii="仿宋" w:hAnsi="仿宋" w:eastAsia="仿宋" w:cs="仿宋"/>
          <w:sz w:val="24"/>
          <w:szCs w:val="24"/>
          <w:highlight w:val="none"/>
        </w:rPr>
        <w:t xml:space="preserve">六、</w:t>
      </w:r>
      <w:bookmarkEnd w:id="165"/>
      <w:r/>
      <w:bookmarkEnd w:id="166"/>
      <w:r/>
      <w:bookmarkEnd w:id="167"/>
      <w:r/>
      <w:bookmarkEnd w:id="168"/>
      <w:r>
        <w:rPr>
          <w:rFonts w:hint="eastAsia" w:ascii="仿宋" w:hAnsi="仿宋" w:eastAsia="仿宋" w:cs="仿宋"/>
          <w:sz w:val="24"/>
          <w:szCs w:val="24"/>
          <w:highlight w:val="none"/>
        </w:rPr>
        <w:t xml:space="preserve">成交</w:t>
      </w:r>
      <w:r/>
    </w:p>
    <w:p>
      <w:pPr>
        <w:ind w:firstLine="480"/>
        <w:jc w:val="left"/>
        <w:spacing w:line="500" w:lineRule="exact"/>
        <w:widowControl/>
        <w:rPr>
          <w:rFonts w:hint="eastAsia" w:ascii="仿宋" w:hAnsi="仿宋" w:eastAsia="仿宋" w:cs="仿宋"/>
          <w:sz w:val="24"/>
          <w:szCs w:val="24"/>
          <w:highlight w:val="none"/>
        </w:rPr>
      </w:pPr>
      <w:r/>
      <w:bookmarkStart w:id="169" w:name="_Toc513029238"/>
      <w:r/>
      <w:bookmarkStart w:id="170" w:name="_Toc16938554"/>
      <w:r/>
      <w:bookmarkStart w:id="171" w:name="_Toc20823310"/>
      <w:r>
        <w:rPr>
          <w:rFonts w:hint="eastAsia" w:ascii="仿宋" w:hAnsi="仿宋" w:eastAsia="仿宋" w:cs="仿宋"/>
          <w:sz w:val="24"/>
          <w:szCs w:val="24"/>
          <w:highlight w:val="none"/>
        </w:rPr>
        <w:t xml:space="preserve">2</w:t>
      </w:r>
      <w:bookmarkEnd w:id="169"/>
      <w:r>
        <w:rPr>
          <w:rFonts w:hint="eastAsia" w:ascii="仿宋" w:hAnsi="仿宋" w:eastAsia="仿宋" w:cs="仿宋"/>
          <w:sz w:val="24"/>
          <w:szCs w:val="24"/>
          <w:highlight w:val="none"/>
        </w:rPr>
        <w:t xml:space="preserve">6.确定</w:t>
      </w:r>
      <w:bookmarkEnd w:id="170"/>
      <w:r/>
      <w:bookmarkEnd w:id="171"/>
      <w:r>
        <w:rPr>
          <w:rFonts w:hint="eastAsia" w:ascii="仿宋" w:hAnsi="仿宋" w:eastAsia="仿宋" w:cs="仿宋"/>
          <w:sz w:val="24"/>
          <w:szCs w:val="24"/>
          <w:highlight w:val="none"/>
        </w:rPr>
        <w:t xml:space="preserve">成交单位</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 </w:t>
      </w:r>
      <w:r>
        <w:rPr>
          <w:rFonts w:hint="eastAsia" w:ascii="仿宋" w:hAnsi="仿宋" w:eastAsia="仿宋" w:cs="仿宋"/>
          <w:sz w:val="24"/>
          <w:szCs w:val="24"/>
          <w:highlight w:val="none"/>
          <w:lang w:val="zh-CN"/>
        </w:rPr>
        <w:t xml:space="preserve">按以下第（</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）种方式确定</w:t>
      </w:r>
      <w:r>
        <w:rPr>
          <w:rFonts w:hint="eastAsia" w:ascii="仿宋" w:hAnsi="仿宋" w:eastAsia="仿宋" w:cs="仿宋"/>
          <w:sz w:val="24"/>
          <w:szCs w:val="24"/>
          <w:highlight w:val="none"/>
        </w:rPr>
        <w:t xml:space="preserve">成交供应商</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磋商小组</w:t>
      </w:r>
      <w:r>
        <w:rPr>
          <w:rFonts w:hint="eastAsia" w:ascii="仿宋" w:hAnsi="仿宋" w:eastAsia="仿宋" w:cs="仿宋"/>
          <w:sz w:val="24"/>
          <w:szCs w:val="24"/>
          <w:highlight w:val="none"/>
          <w:lang w:val="zh-CN"/>
        </w:rPr>
        <w:t xml:space="preserve">直接确定排名第一的</w:t>
      </w:r>
      <w:r>
        <w:rPr>
          <w:rFonts w:hint="eastAsia" w:ascii="仿宋" w:hAnsi="仿宋" w:eastAsia="仿宋" w:cs="仿宋"/>
          <w:sz w:val="24"/>
          <w:szCs w:val="24"/>
          <w:highlight w:val="none"/>
        </w:rPr>
        <w:t xml:space="preserve">成交候选供应商</w:t>
      </w:r>
      <w:r>
        <w:rPr>
          <w:rFonts w:hint="eastAsia" w:ascii="仿宋" w:hAnsi="仿宋" w:eastAsia="仿宋" w:cs="仿宋"/>
          <w:sz w:val="24"/>
          <w:szCs w:val="24"/>
          <w:highlight w:val="none"/>
          <w:lang w:val="zh-CN"/>
        </w:rPr>
        <w:t xml:space="preserve">为</w:t>
      </w:r>
      <w:r>
        <w:rPr>
          <w:rFonts w:hint="eastAsia" w:ascii="仿宋" w:hAnsi="仿宋" w:eastAsia="仿宋" w:cs="仿宋"/>
          <w:sz w:val="24"/>
          <w:szCs w:val="24"/>
          <w:highlight w:val="none"/>
        </w:rPr>
        <w:t xml:space="preserve">成交供应商</w:t>
      </w:r>
      <w:r>
        <w:rPr>
          <w:rFonts w:hint="eastAsia" w:ascii="仿宋" w:hAnsi="仿宋" w:eastAsia="仿宋" w:cs="仿宋"/>
          <w:sz w:val="24"/>
          <w:szCs w:val="24"/>
          <w:highlight w:val="none"/>
          <w:lang w:val="zh-CN"/>
        </w:rPr>
        <w:t xml:space="preserve">；</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（2）采购人在</w:t>
      </w:r>
      <w:r>
        <w:rPr>
          <w:rFonts w:hint="eastAsia" w:ascii="仿宋" w:hAnsi="仿宋" w:eastAsia="仿宋" w:cs="仿宋"/>
          <w:sz w:val="24"/>
          <w:szCs w:val="24"/>
          <w:highlight w:val="none"/>
        </w:rPr>
        <w:t xml:space="preserve">磋商小组</w:t>
      </w:r>
      <w:r>
        <w:rPr>
          <w:rFonts w:hint="eastAsia" w:ascii="仿宋" w:hAnsi="仿宋" w:eastAsia="仿宋" w:cs="仿宋"/>
          <w:sz w:val="24"/>
          <w:szCs w:val="24"/>
          <w:highlight w:val="none"/>
          <w:lang w:val="zh-CN"/>
        </w:rPr>
        <w:t xml:space="preserve">推荐的</w:t>
      </w:r>
      <w:r>
        <w:rPr>
          <w:rFonts w:hint="eastAsia" w:ascii="仿宋" w:hAnsi="仿宋" w:eastAsia="仿宋" w:cs="仿宋"/>
          <w:sz w:val="24"/>
          <w:szCs w:val="24"/>
          <w:highlight w:val="none"/>
        </w:rPr>
        <w:t xml:space="preserve">成交候选供应商</w:t>
      </w:r>
      <w:r>
        <w:rPr>
          <w:rFonts w:hint="eastAsia" w:ascii="仿宋" w:hAnsi="仿宋" w:eastAsia="仿宋" w:cs="仿宋"/>
          <w:sz w:val="24"/>
          <w:szCs w:val="24"/>
          <w:highlight w:val="none"/>
          <w:lang w:val="zh-CN"/>
        </w:rPr>
        <w:t xml:space="preserve">中按顺序确定</w:t>
      </w:r>
      <w:r>
        <w:rPr>
          <w:rFonts w:hint="eastAsia" w:ascii="仿宋" w:hAnsi="仿宋" w:eastAsia="仿宋" w:cs="仿宋"/>
          <w:sz w:val="24"/>
          <w:szCs w:val="24"/>
          <w:highlight w:val="none"/>
        </w:rPr>
        <w:t xml:space="preserve">成交供应商</w:t>
      </w:r>
      <w:r>
        <w:rPr>
          <w:rFonts w:hint="eastAsia" w:ascii="仿宋" w:hAnsi="仿宋" w:eastAsia="仿宋" w:cs="仿宋"/>
          <w:sz w:val="24"/>
          <w:szCs w:val="24"/>
          <w:highlight w:val="none"/>
          <w:lang w:val="zh-CN"/>
        </w:rPr>
        <w:t xml:space="preserve">。</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按第二种方式确定</w:t>
      </w:r>
      <w:r>
        <w:rPr>
          <w:rFonts w:hint="eastAsia" w:ascii="仿宋" w:hAnsi="仿宋" w:eastAsia="仿宋" w:cs="仿宋"/>
          <w:sz w:val="24"/>
          <w:szCs w:val="24"/>
          <w:highlight w:val="none"/>
        </w:rPr>
        <w:t xml:space="preserve">成交供应商</w:t>
      </w:r>
      <w:r>
        <w:rPr>
          <w:rFonts w:hint="eastAsia" w:ascii="仿宋" w:hAnsi="仿宋" w:eastAsia="仿宋" w:cs="仿宋"/>
          <w:sz w:val="24"/>
          <w:szCs w:val="24"/>
          <w:highlight w:val="none"/>
          <w:lang w:val="zh-CN"/>
        </w:rPr>
        <w:t xml:space="preserve">的，交易中心自评审结束之日起两个工作日内将评审报告送交采购人，采购人自收到评审报告之日起五个工作日内，在评审报告推荐的</w:t>
      </w:r>
      <w:r>
        <w:rPr>
          <w:rFonts w:hint="eastAsia" w:ascii="仿宋" w:hAnsi="仿宋" w:eastAsia="仿宋" w:cs="仿宋"/>
          <w:sz w:val="24"/>
          <w:szCs w:val="24"/>
          <w:highlight w:val="none"/>
        </w:rPr>
        <w:t xml:space="preserve">成交候选供应商</w:t>
      </w:r>
      <w:r>
        <w:rPr>
          <w:rFonts w:hint="eastAsia" w:ascii="仿宋" w:hAnsi="仿宋" w:eastAsia="仿宋" w:cs="仿宋"/>
          <w:sz w:val="24"/>
          <w:szCs w:val="24"/>
          <w:highlight w:val="none"/>
          <w:lang w:val="zh-CN"/>
        </w:rPr>
        <w:t xml:space="preserve">中按顺序确定</w:t>
      </w:r>
      <w:r>
        <w:rPr>
          <w:rFonts w:hint="eastAsia" w:ascii="仿宋" w:hAnsi="仿宋" w:eastAsia="仿宋" w:cs="仿宋"/>
          <w:sz w:val="24"/>
          <w:szCs w:val="24"/>
          <w:highlight w:val="none"/>
        </w:rPr>
        <w:t xml:space="preserve">成交供应商</w:t>
      </w:r>
      <w:r>
        <w:rPr>
          <w:rFonts w:hint="eastAsia" w:ascii="仿宋" w:hAnsi="仿宋" w:eastAsia="仿宋" w:cs="仿宋"/>
          <w:sz w:val="24"/>
          <w:szCs w:val="24"/>
          <w:highlight w:val="none"/>
          <w:lang w:val="zh-CN"/>
        </w:rPr>
        <w:t xml:space="preserve">。</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26.3 交易中心将在“江苏政府采购网”发布成交结果公告，公告期限为1个工作日。</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 若有充分证据证明，成交供应商出现下列情况之一的，一经查实，将被取消成交资格：</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26.4.1 提供虚假材料谋取成交的。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26.4.2 与评审专家、采购人、其他供应商或者交易中心工作人员恶意串通的。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26.4.3 向评审专家、采购人或交易中心工作人员行贿或者提供其他不正当利益的。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26.4.4 恶意竞争，最后报价明显低于其自身合理成本且又无法提供证明的。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26.4.5 不满足本磋商文件规定的实质性要求，但在评审过程中未被磋商小组发现的。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26.4.6 成交后无正当理由拒不与采购人签订政府采购合同或者未按照磋商文件确定的事项签订政府采购合同的。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26.4.7 将政府采购合同转包的。</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27.成交通知书</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27.1 成交结果确定后，交易中心将向成交供应商发出《成交通知书》。成交供应商可在成交结果公告届满之日起三十日内，登录苏采云系统下载。    </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七、授予合同</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28.签订合同</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28.l 成交供应商应当在《成交通知书》发出之日起三十日内，按照磋商文件确定的事项与采购人签订政府采购合同。采购人于合同签订后2个工作日内通过苏采云系统进行公示。</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 磋商文件、成交供应商的响应文件及磋商过程中有关澄清、承诺文件均作为合同附件。</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 成交供应商因自身原因拒绝与采购人签订合同的，</w:t>
      </w:r>
      <w:r>
        <w:rPr>
          <w:rFonts w:hint="eastAsia" w:ascii="仿宋" w:hAnsi="仿宋" w:eastAsia="仿宋" w:cs="仿宋"/>
          <w:sz w:val="24"/>
          <w:szCs w:val="24"/>
          <w:highlight w:val="none"/>
          <w:lang w:val="zh-CN"/>
        </w:rPr>
        <w:t xml:space="preserve">不得参加采购人</w:t>
      </w:r>
      <w:r>
        <w:rPr>
          <w:rFonts w:hint="eastAsia" w:ascii="仿宋" w:hAnsi="仿宋" w:eastAsia="仿宋" w:cs="仿宋"/>
          <w:sz w:val="24"/>
          <w:szCs w:val="24"/>
          <w:highlight w:val="none"/>
        </w:rPr>
        <w:t xml:space="preserve">重新组织的</w:t>
      </w:r>
      <w:r>
        <w:rPr>
          <w:rFonts w:hint="eastAsia" w:ascii="仿宋" w:hAnsi="仿宋" w:eastAsia="仿宋" w:cs="仿宋"/>
          <w:sz w:val="24"/>
          <w:szCs w:val="24"/>
          <w:highlight w:val="none"/>
          <w:lang w:val="zh-CN"/>
        </w:rPr>
        <w:t xml:space="preserve">采购活动</w:t>
      </w:r>
      <w:r>
        <w:rPr>
          <w:rFonts w:hint="eastAsia" w:ascii="仿宋" w:hAnsi="仿宋" w:eastAsia="仿宋" w:cs="仿宋"/>
          <w:sz w:val="24"/>
          <w:szCs w:val="24"/>
          <w:highlight w:val="none"/>
        </w:rPr>
        <w:t xml:space="preserve">，且将可能被拒绝参加该采购人</w:t>
      </w:r>
      <w:r>
        <w:rPr>
          <w:rFonts w:hint="eastAsia" w:ascii="仿宋" w:hAnsi="仿宋" w:eastAsia="仿宋" w:cs="仿宋"/>
          <w:sz w:val="24"/>
          <w:szCs w:val="24"/>
          <w:highlight w:val="none"/>
          <w:lang w:val="zh-CN"/>
        </w:rPr>
        <w:t xml:space="preserve">一年内</w:t>
      </w:r>
      <w:r>
        <w:rPr>
          <w:rFonts w:hint="eastAsia" w:ascii="仿宋" w:hAnsi="仿宋" w:eastAsia="仿宋" w:cs="仿宋"/>
          <w:sz w:val="24"/>
          <w:szCs w:val="24"/>
          <w:highlight w:val="none"/>
        </w:rPr>
        <w:t xml:space="preserve">的其他</w:t>
      </w:r>
      <w:r>
        <w:rPr>
          <w:rFonts w:hint="eastAsia" w:ascii="仿宋" w:hAnsi="仿宋" w:eastAsia="仿宋" w:cs="仿宋"/>
          <w:sz w:val="24"/>
          <w:szCs w:val="24"/>
          <w:highlight w:val="none"/>
          <w:lang w:val="zh-CN"/>
        </w:rPr>
        <w:t xml:space="preserve">政府采购活动。</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29.标的物的追加</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30.政府采购履约资金扶持政策</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30.1 成交供应商通过</w:t>
      </w:r>
      <w:r>
        <w:rPr>
          <w:rFonts w:hint="eastAsia" w:ascii="仿宋" w:hAnsi="仿宋" w:eastAsia="仿宋" w:cs="仿宋"/>
          <w:sz w:val="24"/>
          <w:szCs w:val="24"/>
          <w:highlight w:val="none"/>
          <w:lang w:val="zh-CN"/>
        </w:rPr>
        <w:t xml:space="preserve">南京市公共资源交易</w:t>
      </w:r>
      <w:r>
        <w:rPr>
          <w:rFonts w:hint="eastAsia" w:ascii="仿宋" w:hAnsi="仿宋" w:eastAsia="仿宋" w:cs="仿宋"/>
          <w:sz w:val="24"/>
          <w:szCs w:val="24"/>
          <w:highlight w:val="none"/>
        </w:rPr>
        <w:t xml:space="preserve">平台</w:t>
      </w:r>
      <w:r>
        <w:rPr>
          <w:rFonts w:hint="eastAsia" w:ascii="仿宋" w:hAnsi="仿宋" w:eastAsia="仿宋" w:cs="仿宋"/>
          <w:sz w:val="24"/>
          <w:szCs w:val="24"/>
          <w:highlight w:val="none"/>
          <w:lang w:val="zh-CN"/>
        </w:rPr>
        <w:t xml:space="preserve">网站“小企业融资平台”，</w:t>
      </w:r>
      <w:r>
        <w:rPr>
          <w:rFonts w:hint="eastAsia" w:ascii="仿宋" w:hAnsi="仿宋" w:eastAsia="仿宋" w:cs="仿宋"/>
          <w:sz w:val="24"/>
          <w:szCs w:val="24"/>
          <w:highlight w:val="none"/>
        </w:rPr>
        <w:t xml:space="preserve">选择相应的金融机构</w:t>
      </w:r>
      <w:r>
        <w:rPr>
          <w:rFonts w:hint="eastAsia" w:ascii="仿宋" w:hAnsi="仿宋" w:eastAsia="仿宋" w:cs="仿宋"/>
          <w:sz w:val="24"/>
          <w:szCs w:val="24"/>
          <w:highlight w:val="none"/>
          <w:lang w:val="zh-CN"/>
        </w:rPr>
        <w:t xml:space="preserve">办理融资贷款。</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30.2 依据《关于在全省政府采购领域推行电子履约保函（保险）的通知》（苏财购〔2023〕150号），需要缴纳履约保证金的，成交供应商</w:t>
      </w:r>
      <w:r>
        <w:rPr>
          <w:rFonts w:hint="eastAsia" w:ascii="仿宋" w:hAnsi="仿宋" w:eastAsia="仿宋" w:cs="仿宋"/>
          <w:sz w:val="24"/>
          <w:szCs w:val="24"/>
          <w:highlight w:val="none"/>
          <w:lang w:val="zh-CN"/>
        </w:rPr>
        <w:t xml:space="preserve">可</w:t>
      </w:r>
      <w:r>
        <w:rPr>
          <w:rFonts w:hint="eastAsia" w:ascii="仿宋" w:hAnsi="仿宋" w:eastAsia="仿宋" w:cs="仿宋"/>
          <w:sz w:val="24"/>
          <w:szCs w:val="24"/>
          <w:highlight w:val="none"/>
        </w:rPr>
        <w:t xml:space="preserve">通过江苏政府采购网“政府采购电子履约保函（保险）综合服务平台”线上办理履约保函（保险）</w:t>
      </w:r>
      <w:r>
        <w:rPr>
          <w:rFonts w:hint="eastAsia" w:ascii="仿宋" w:hAnsi="仿宋" w:eastAsia="仿宋" w:cs="仿宋"/>
          <w:sz w:val="24"/>
          <w:szCs w:val="24"/>
          <w:highlight w:val="none"/>
          <w:lang w:val="zh-CN"/>
        </w:rPr>
        <w:t xml:space="preserve">。</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八、质疑</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31</w:t>
      </w:r>
      <w:r>
        <w:rPr>
          <w:rFonts w:hint="eastAsia" w:ascii="仿宋" w:hAnsi="仿宋" w:eastAsia="仿宋" w:cs="仿宋"/>
          <w:sz w:val="24"/>
          <w:szCs w:val="24"/>
          <w:highlight w:val="none"/>
          <w:lang w:val="zh-CN"/>
        </w:rPr>
        <w:t xml:space="preserve">.提出质疑的供应商应当是参与所质疑项目采购活动的供应商，潜在供应商依法获取其可质疑的采购文件的，可以对采购文件提出质疑。</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32</w:t>
      </w:r>
      <w:r>
        <w:rPr>
          <w:rFonts w:hint="eastAsia" w:ascii="仿宋" w:hAnsi="仿宋" w:eastAsia="仿宋" w:cs="仿宋"/>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sz w:val="24"/>
          <w:szCs w:val="24"/>
          <w:highlight w:val="none"/>
        </w:rPr>
        <w:t xml:space="preserve">按照第3</w:t>
      </w:r>
      <w:r>
        <w:rPr>
          <w:rFonts w:hint="eastAsia" w:ascii="仿宋" w:hAnsi="仿宋" w:eastAsia="仿宋" w:cs="仿宋"/>
          <w:sz w:val="24"/>
          <w:szCs w:val="24"/>
          <w:highlight w:val="none"/>
          <w:lang w:val="zh-CN"/>
        </w:rPr>
        <w:t xml:space="preserve">4</w:t>
      </w:r>
      <w:r>
        <w:rPr>
          <w:rFonts w:hint="eastAsia" w:ascii="仿宋" w:hAnsi="仿宋" w:eastAsia="仿宋" w:cs="仿宋"/>
          <w:sz w:val="24"/>
          <w:szCs w:val="24"/>
          <w:highlight w:val="none"/>
        </w:rPr>
        <w:t xml:space="preserve">条</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第35</w:t>
      </w:r>
      <w:r>
        <w:rPr>
          <w:rFonts w:hint="eastAsia" w:ascii="仿宋" w:hAnsi="仿宋" w:eastAsia="仿宋" w:cs="仿宋"/>
          <w:sz w:val="24"/>
          <w:szCs w:val="24"/>
          <w:highlight w:val="none"/>
          <w:lang w:val="zh-CN"/>
        </w:rPr>
        <w:t xml:space="preserve">条</w:t>
      </w:r>
      <w:r>
        <w:rPr>
          <w:rFonts w:hint="eastAsia" w:ascii="仿宋" w:hAnsi="仿宋" w:eastAsia="仿宋" w:cs="仿宋"/>
          <w:sz w:val="24"/>
          <w:szCs w:val="24"/>
          <w:highlight w:val="none"/>
        </w:rPr>
        <w:t xml:space="preserve">之</w:t>
      </w:r>
      <w:r>
        <w:rPr>
          <w:rFonts w:hint="eastAsia" w:ascii="仿宋" w:hAnsi="仿宋" w:eastAsia="仿宋" w:cs="仿宋"/>
          <w:sz w:val="24"/>
          <w:szCs w:val="24"/>
          <w:highlight w:val="none"/>
          <w:lang w:val="zh-CN"/>
        </w:rPr>
        <w:t xml:space="preserve">规定以书面形式向采购人或交易中心提出质疑。上述应知其权益受到损害之日是指：</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2.1</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对采购文件提出质疑的，为收到采购文件之日或者采购文件公告期限届满之日。</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2.2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对采购过程提出质疑的，为各采购程序环节结束之日。</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2.3</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对成交结果提出质疑的，为成交结果公告期限届满之日。</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33.</w:t>
      </w:r>
      <w:r>
        <w:rPr>
          <w:rFonts w:hint="eastAsia" w:ascii="仿宋" w:hAnsi="仿宋" w:eastAsia="仿宋" w:cs="仿宋"/>
          <w:sz w:val="24"/>
          <w:szCs w:val="24"/>
          <w:highlight w:val="none"/>
          <w:lang w:val="zh-CN"/>
        </w:rPr>
        <w:t xml:space="preserve">供应商应当在法定质疑期内一次性提出针对同一采购程序环节的质疑。供应商如在法定期限内对同一采购程序环节提出多次质疑的，交易中心</w:t>
      </w:r>
      <w:r>
        <w:rPr>
          <w:rFonts w:hint="eastAsia" w:ascii="仿宋" w:hAnsi="仿宋" w:eastAsia="仿宋" w:cs="仿宋"/>
          <w:sz w:val="24"/>
          <w:szCs w:val="24"/>
          <w:highlight w:val="none"/>
        </w:rPr>
        <w:t xml:space="preserve">或</w:t>
      </w:r>
      <w:r>
        <w:rPr>
          <w:rFonts w:hint="eastAsia" w:ascii="仿宋" w:hAnsi="仿宋" w:eastAsia="仿宋" w:cs="仿宋"/>
          <w:sz w:val="24"/>
          <w:szCs w:val="24"/>
          <w:highlight w:val="none"/>
          <w:lang w:val="zh-CN"/>
        </w:rPr>
        <w:t xml:space="preserve">采购人将只对供应商第一次质疑作出答复。</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34.</w:t>
      </w:r>
      <w:r>
        <w:rPr>
          <w:rFonts w:hint="eastAsia" w:ascii="仿宋" w:hAnsi="仿宋" w:eastAsia="仿宋" w:cs="仿宋"/>
          <w:sz w:val="24"/>
          <w:szCs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val="zh-CN"/>
        </w:rPr>
        <w:t xml:space="preserve">格式和内容填写。</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供应商如组成联合体参加采购活动，《质疑函范本》中要求加盖公章之处，联合体各方均须按要求加盖公章。</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w:t>
      </w:r>
      <w:r>
        <w:rPr>
          <w:rFonts w:hint="eastAsia" w:ascii="仿宋" w:hAnsi="仿宋" w:eastAsia="仿宋" w:cs="仿宋"/>
          <w:sz w:val="24"/>
          <w:szCs w:val="24"/>
          <w:highlight w:val="none"/>
          <w:lang w:val="zh-CN"/>
        </w:rPr>
        <w:t xml:space="preserve">供应商（含潜在供应商）对采购方式、采购需求、供应商资格条件及审查结果、评审方法与评审标准、合同文本的询问、质疑向采购人提出，由采购人负责答复。供应商对除上述事项以外其他事项的询问、质疑向交易中心提出，由交易中心负责答复。</w:t>
      </w:r>
      <w:r>
        <w:rPr>
          <w:rFonts w:hint="eastAsia" w:ascii="仿宋" w:hAnsi="仿宋" w:eastAsia="仿宋" w:cs="仿宋"/>
          <w:sz w:val="24"/>
          <w:szCs w:val="24"/>
          <w:highlight w:val="none"/>
        </w:rPr>
        <w:t xml:space="preserve">  </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采购人《质疑</w:t>
      </w:r>
      <w:r>
        <w:rPr>
          <w:rFonts w:hint="eastAsia" w:ascii="仿宋" w:hAnsi="仿宋" w:eastAsia="仿宋" w:cs="仿宋"/>
          <w:sz w:val="24"/>
          <w:szCs w:val="24"/>
          <w:highlight w:val="none"/>
        </w:rPr>
        <w:t xml:space="preserve">函</w:t>
      </w:r>
      <w:r>
        <w:rPr>
          <w:rFonts w:hint="eastAsia" w:ascii="仿宋" w:hAnsi="仿宋" w:eastAsia="仿宋" w:cs="仿宋"/>
          <w:sz w:val="24"/>
          <w:szCs w:val="24"/>
          <w:highlight w:val="none"/>
          <w:lang w:val="zh-CN"/>
        </w:rPr>
        <w:t xml:space="preserve">》接收人及联系方式见采购文件第一章。</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交易中心《质疑函》接收部门为政府采购部（快递运单上的收件人填写“政府采购部”），地址：地址：南京市浦口区象山路4号B座，南京市浦口区江浦街道象山路4号浦口市民中心B幢五楼受理大厅 ，联系电话：</w:t>
      </w:r>
      <w:r>
        <w:rPr>
          <w:rFonts w:hint="eastAsia" w:ascii="仿宋" w:hAnsi="仿宋" w:eastAsia="仿宋" w:cs="仿宋"/>
          <w:sz w:val="24"/>
          <w:szCs w:val="24"/>
          <w:highlight w:val="none"/>
        </w:rPr>
        <w:t xml:space="preserve">025-69659180。</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由采购人负责答复质疑，采购人将《质疑答复函》抄送交易中心。</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36.</w:t>
      </w:r>
      <w:r>
        <w:rPr>
          <w:rFonts w:hint="eastAsia" w:ascii="仿宋" w:hAnsi="仿宋" w:eastAsia="仿宋" w:cs="仿宋"/>
          <w:sz w:val="24"/>
          <w:szCs w:val="24"/>
          <w:highlight w:val="none"/>
          <w:lang w:val="zh-CN"/>
        </w:rPr>
        <w:t xml:space="preserve">以下情形的质疑不予受理：</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36</w:t>
      </w: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内容不符合《政府采购质疑和投诉办法》第十二条规定的质疑。</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36</w:t>
      </w:r>
      <w:r>
        <w:rPr>
          <w:rFonts w:hint="eastAsia" w:ascii="仿宋" w:hAnsi="仿宋" w:eastAsia="仿宋" w:cs="仿宋"/>
          <w:sz w:val="24"/>
          <w:szCs w:val="24"/>
          <w:highlight w:val="none"/>
          <w:lang w:val="zh-CN"/>
        </w:rPr>
        <w:t xml:space="preserve">.2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超出政府采购法定期限的质疑。</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36</w:t>
      </w:r>
      <w:r>
        <w:rPr>
          <w:rFonts w:hint="eastAsia" w:ascii="仿宋" w:hAnsi="仿宋" w:eastAsia="仿宋" w:cs="仿宋"/>
          <w:sz w:val="24"/>
          <w:szCs w:val="24"/>
          <w:highlight w:val="none"/>
          <w:lang w:val="zh-CN"/>
        </w:rPr>
        <w:t xml:space="preserve">.3</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以传真、电子邮件等方式递交的非原件形式的质疑。</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36</w:t>
      </w:r>
      <w:r>
        <w:rPr>
          <w:rFonts w:hint="eastAsia" w:ascii="仿宋" w:hAnsi="仿宋" w:eastAsia="仿宋" w:cs="仿宋"/>
          <w:sz w:val="24"/>
          <w:szCs w:val="24"/>
          <w:highlight w:val="none"/>
          <w:lang w:val="zh-CN"/>
        </w:rPr>
        <w:t xml:space="preserve">.4</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未参加采购活动或在采购活动中自身权益未受到损害的供应商所提出的质疑。</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36</w:t>
      </w:r>
      <w:r>
        <w:rPr>
          <w:rFonts w:hint="eastAsia" w:ascii="仿宋" w:hAnsi="仿宋" w:eastAsia="仿宋" w:cs="仿宋"/>
          <w:sz w:val="24"/>
          <w:szCs w:val="24"/>
          <w:highlight w:val="none"/>
          <w:lang w:val="zh-CN"/>
        </w:rPr>
        <w:t xml:space="preserve">.5</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供应商组成联合体参加采购活动，联合体中任何一方或多方未按要求签字或盖章、加盖公章的质疑。</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6.</w:t>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zh-CN"/>
        </w:rPr>
        <w:t xml:space="preserve"> 法律法规规定的</w:t>
      </w:r>
      <w:r>
        <w:rPr>
          <w:rFonts w:hint="eastAsia" w:ascii="仿宋" w:hAnsi="仿宋" w:eastAsia="仿宋" w:cs="仿宋"/>
          <w:sz w:val="24"/>
          <w:szCs w:val="24"/>
          <w:highlight w:val="none"/>
        </w:rPr>
        <w:t xml:space="preserve">其他</w:t>
      </w:r>
      <w:r>
        <w:rPr>
          <w:rFonts w:hint="eastAsia" w:ascii="仿宋" w:hAnsi="仿宋" w:eastAsia="仿宋" w:cs="仿宋"/>
          <w:sz w:val="24"/>
          <w:szCs w:val="24"/>
          <w:highlight w:val="none"/>
          <w:lang w:val="zh-CN"/>
        </w:rPr>
        <w:t xml:space="preserve">不予受理情形。</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37</w:t>
      </w:r>
      <w:r>
        <w:rPr>
          <w:rFonts w:hint="eastAsia" w:ascii="仿宋" w:hAnsi="仿宋" w:eastAsia="仿宋" w:cs="仿宋"/>
          <w:sz w:val="24"/>
          <w:szCs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jc w:val="left"/>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九、政策功能落实</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38.促进中小企业发展</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38.1 本项目</w:t>
      </w:r>
      <w:r>
        <w:rPr>
          <w:rFonts w:hint="eastAsia" w:ascii="仿宋" w:hAnsi="仿宋" w:eastAsia="仿宋" w:cs="仿宋"/>
          <w:sz w:val="24"/>
          <w:szCs w:val="24"/>
          <w:highlight w:val="none"/>
          <w:lang w:val="zh-CN"/>
        </w:rPr>
        <w:t xml:space="preserve">服务由中小企业承接的，</w:t>
      </w:r>
      <w:r>
        <w:rPr>
          <w:rFonts w:hint="eastAsia" w:ascii="仿宋" w:hAnsi="仿宋" w:eastAsia="仿宋" w:cs="仿宋"/>
          <w:sz w:val="24"/>
          <w:szCs w:val="24"/>
          <w:highlight w:val="none"/>
        </w:rPr>
        <w:t xml:space="preserve">参与磋商的供应商</w:t>
      </w:r>
      <w:r>
        <w:rPr>
          <w:rFonts w:hint="eastAsia" w:ascii="仿宋" w:hAnsi="仿宋" w:eastAsia="仿宋" w:cs="仿宋"/>
          <w:sz w:val="24"/>
          <w:szCs w:val="24"/>
          <w:highlight w:val="none"/>
          <w:lang w:val="zh-CN"/>
        </w:rPr>
        <w:t xml:space="preserve">享受中小企业扶持政策。</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38.2 </w:t>
      </w:r>
      <w:r>
        <w:rPr>
          <w:rFonts w:hint="eastAsia" w:ascii="仿宋" w:hAnsi="仿宋" w:eastAsia="仿宋" w:cs="仿宋"/>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38.3 </w:t>
      </w:r>
      <w:r>
        <w:rPr>
          <w:rFonts w:hint="eastAsia" w:ascii="仿宋" w:hAnsi="仿宋" w:eastAsia="仿宋" w:cs="仿宋"/>
          <w:sz w:val="24"/>
          <w:szCs w:val="24"/>
          <w:highlight w:val="none"/>
          <w:lang w:val="zh-CN"/>
        </w:rPr>
        <w:t xml:space="preserve">中小企业参加政府采购活动，应当出具《中小企业声明函》，否则不享受相关中小企业</w:t>
      </w:r>
      <w:r>
        <w:rPr>
          <w:rFonts w:hint="eastAsia" w:ascii="仿宋" w:hAnsi="仿宋" w:eastAsia="仿宋" w:cs="仿宋"/>
          <w:sz w:val="24"/>
          <w:szCs w:val="24"/>
          <w:highlight w:val="none"/>
        </w:rPr>
        <w:t xml:space="preserve">支持</w:t>
      </w:r>
      <w:r>
        <w:rPr>
          <w:rFonts w:hint="eastAsia" w:ascii="仿宋" w:hAnsi="仿宋" w:eastAsia="仿宋" w:cs="仿宋"/>
          <w:sz w:val="24"/>
          <w:szCs w:val="24"/>
          <w:highlight w:val="none"/>
          <w:lang w:val="zh-CN"/>
        </w:rPr>
        <w:t xml:space="preserve">政策。</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38.4 </w:t>
      </w:r>
      <w:r>
        <w:rPr>
          <w:rFonts w:hint="eastAsia" w:ascii="仿宋" w:hAnsi="仿宋" w:eastAsia="仿宋" w:cs="仿宋"/>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zh-CN"/>
        </w:rPr>
        <w:t xml:space="preserve"> </w:t>
      </w:r>
      <w:r>
        <w:rPr>
          <w:rFonts w:hint="eastAsia" w:ascii="仿宋" w:hAnsi="仿宋" w:eastAsia="仿宋" w:cs="仿宋"/>
          <w:sz w:val="24"/>
          <w:szCs w:val="24"/>
          <w:highlight w:val="none"/>
        </w:rPr>
        <w:t xml:space="preserve">监狱和戒毒企业（简称监狱企业）视同小型、微型企业</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按照</w:t>
      </w:r>
      <w:r>
        <w:rPr>
          <w:rFonts w:hint="eastAsia" w:ascii="仿宋" w:hAnsi="仿宋" w:eastAsia="仿宋" w:cs="仿宋"/>
          <w:sz w:val="24"/>
          <w:szCs w:val="24"/>
          <w:highlight w:val="none"/>
          <w:lang w:val="zh-CN"/>
        </w:rPr>
        <w:t xml:space="preserve">《关于政府采购支持监狱企业发展有关问题的通知》（财库〔2014〕68号）</w:t>
      </w:r>
      <w:r>
        <w:rPr>
          <w:rFonts w:hint="eastAsia" w:ascii="仿宋" w:hAnsi="仿宋" w:eastAsia="仿宋" w:cs="仿宋"/>
          <w:sz w:val="24"/>
          <w:szCs w:val="24"/>
          <w:highlight w:val="none"/>
        </w:rPr>
        <w:t xml:space="preserve">规定，</w:t>
      </w:r>
      <w:r>
        <w:rPr>
          <w:rFonts w:hint="eastAsia" w:ascii="仿宋" w:hAnsi="仿宋" w:eastAsia="仿宋" w:cs="仿宋"/>
          <w:sz w:val="24"/>
          <w:szCs w:val="24"/>
          <w:highlight w:val="none"/>
          <w:lang w:val="zh-CN"/>
        </w:rPr>
        <w:t xml:space="preserve">监狱企业需提供由省级以上监狱管理局、戒毒管理局（含新疆生产建设兵团）出具的属于监狱企业的证明文件。</w:t>
      </w:r>
      <w:r/>
    </w:p>
    <w:p>
      <w:pPr>
        <w:ind w:firstLine="480"/>
        <w:jc w:val="left"/>
        <w:spacing w:line="5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zh-CN"/>
        </w:rPr>
        <w:t xml:space="preserve"> 残疾人福利性单位</w:t>
      </w:r>
      <w:r>
        <w:rPr>
          <w:rFonts w:hint="eastAsia" w:ascii="仿宋" w:hAnsi="仿宋" w:eastAsia="仿宋" w:cs="仿宋"/>
          <w:sz w:val="24"/>
          <w:szCs w:val="24"/>
          <w:highlight w:val="none"/>
        </w:rPr>
        <w:t xml:space="preserve">视同小型、微型企业</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按照《关于促进残疾人就业政府采购政策的通知》（财库〔2017〕141号）规定，残疾人福利单位需</w:t>
      </w:r>
      <w:r>
        <w:rPr>
          <w:rFonts w:hint="eastAsia" w:ascii="仿宋" w:hAnsi="仿宋" w:eastAsia="仿宋" w:cs="仿宋"/>
          <w:sz w:val="24"/>
          <w:szCs w:val="24"/>
          <w:highlight w:val="none"/>
          <w:lang w:val="zh-CN"/>
        </w:rPr>
        <w:t xml:space="preserve">提供《残疾人福利性单位声明函》。</w:t>
      </w:r>
      <w:r/>
    </w:p>
    <w:p>
      <w:pPr>
        <w:ind w:firstLine="480"/>
        <w:jc w:val="left"/>
        <w:spacing w:line="360" w:lineRule="auto"/>
        <w:rPr>
          <w:rFonts w:ascii="黑体" w:eastAsia="黑体"/>
          <w:sz w:val="44"/>
          <w:szCs w:val="44"/>
          <w:highlight w:val="none"/>
        </w:rPr>
      </w:pPr>
      <w:r>
        <w:rPr>
          <w:rFonts w:hint="eastAsia" w:ascii="黑体" w:eastAsia="黑体"/>
          <w:sz w:val="44"/>
          <w:szCs w:val="44"/>
          <w:highlight w:val="none"/>
        </w:rPr>
        <w:br w:type="page" w:clear="all"/>
      </w:r>
      <w:r/>
    </w:p>
    <w:p>
      <w:pPr>
        <w:pStyle w:val="705"/>
        <w:jc w:val="center"/>
        <w:rPr>
          <w:rFonts w:hint="eastAsia" w:ascii="黑体" w:hAnsi="黑体" w:eastAsia="黑体" w:cs="黑体"/>
          <w:highlight w:val="none"/>
        </w:rPr>
      </w:pPr>
      <w:r/>
      <w:bookmarkStart w:id="172" w:name="_Toc29980"/>
      <w:r>
        <w:rPr>
          <w:rFonts w:hint="eastAsia" w:ascii="黑体" w:hAnsi="黑体" w:eastAsia="黑体" w:cs="黑体"/>
          <w:highlight w:val="none"/>
        </w:rPr>
        <w:t xml:space="preserve">第三章  合同</w:t>
      </w:r>
      <w:bookmarkEnd w:id="61"/>
      <w:r/>
      <w:bookmarkEnd w:id="62"/>
      <w:r/>
      <w:bookmarkEnd w:id="63"/>
      <w:r/>
      <w:bookmarkEnd w:id="64"/>
      <w:r/>
      <w:bookmarkEnd w:id="65"/>
      <w:r>
        <w:rPr>
          <w:rFonts w:hint="eastAsia" w:ascii="黑体" w:hAnsi="黑体" w:eastAsia="黑体" w:cs="黑体"/>
          <w:highlight w:val="none"/>
        </w:rPr>
        <w:t xml:space="preserve">文本</w:t>
      </w:r>
      <w:bookmarkEnd w:id="172"/>
      <w:r/>
      <w:r/>
    </w:p>
    <w:p>
      <w:pPr>
        <w:ind w:firstLine="480"/>
        <w:spacing w:line="276" w:lineRule="auto"/>
        <w:rPr>
          <w:rFonts w:hint="eastAsia" w:ascii="仿宋" w:hAnsi="仿宋" w:eastAsia="仿宋" w:cs="仿宋"/>
          <w:bCs/>
          <w:sz w:val="24"/>
          <w:highlight w:val="none"/>
        </w:rPr>
      </w:pPr>
      <w:r/>
      <w:bookmarkStart w:id="173" w:name="_Hlt16619369"/>
      <w:r/>
      <w:bookmarkEnd w:id="173"/>
      <w:r/>
      <w:bookmarkStart w:id="174" w:name="_Toc16938559"/>
      <w:r/>
      <w:bookmarkStart w:id="175" w:name="_Toc20823315"/>
      <w:r/>
      <w:bookmarkStart w:id="176" w:name="_Toc513029243"/>
      <w:r/>
      <w:bookmarkStart w:id="177" w:name="_Hlt16619350"/>
      <w:r/>
      <w:bookmarkStart w:id="178" w:name="_Toc120614244"/>
      <w:r/>
      <w:bookmarkStart w:id="179" w:name="_Toc16938590"/>
      <w:r/>
      <w:bookmarkStart w:id="180" w:name="_Toc20823346"/>
      <w:r/>
      <w:bookmarkStart w:id="181" w:name="_Toc479757211"/>
      <w:r/>
      <w:bookmarkStart w:id="182" w:name="_Toc462564139"/>
      <w:r>
        <w:rPr>
          <w:rFonts w:hint="eastAsia" w:ascii="仿宋" w:hAnsi="仿宋" w:eastAsia="仿宋" w:cs="仿宋"/>
          <w:bCs/>
          <w:sz w:val="24"/>
          <w:highlight w:val="none"/>
        </w:rPr>
        <w:t xml:space="preserve">以下为成交后签定本项目合同的通用条款，供应商不得提出实质性的修改。</w:t>
      </w:r>
      <w:bookmarkEnd w:id="174"/>
      <w:r/>
      <w:bookmarkEnd w:id="175"/>
      <w:r/>
      <w:bookmarkEnd w:id="176"/>
      <w:r/>
      <w:r/>
    </w:p>
    <w:p>
      <w:pPr>
        <w:jc w:val="center"/>
        <w:spacing w:before="145" w:after="145" w:line="276" w:lineRule="auto"/>
        <w:rPr>
          <w:rFonts w:hint="eastAsia" w:ascii="宋体" w:hAnsi="宋体"/>
          <w:b/>
          <w:sz w:val="30"/>
          <w:highlight w:val="none"/>
        </w:rPr>
      </w:pPr>
      <w:r>
        <w:rPr>
          <w:rFonts w:hint="eastAsia" w:ascii="宋体" w:hAnsi="宋体"/>
          <w:b/>
          <w:sz w:val="30"/>
          <w:highlight w:val="none"/>
        </w:rPr>
      </w:r>
      <w:r/>
    </w:p>
    <w:p>
      <w:pPr>
        <w:spacing w:before="22"/>
        <w:rPr>
          <w:rFonts w:hint="eastAsia" w:ascii="仿宋" w:hAnsi="仿宋" w:eastAsia="仿宋"/>
          <w:highlight w:val="none"/>
        </w:rPr>
      </w:pPr>
      <w:r>
        <w:rPr>
          <w:rFonts w:hint="eastAsia" w:ascii="仿宋" w:hAnsi="仿宋" w:eastAsia="仿宋"/>
          <w:highlight w:val="none"/>
        </w:rPr>
      </w:r>
      <w:r/>
    </w:p>
    <w:p>
      <w:pPr>
        <w:spacing w:before="22"/>
        <w:rPr>
          <w:rFonts w:hint="eastAsia" w:ascii="仿宋" w:hAnsi="仿宋" w:eastAsia="仿宋"/>
          <w:highlight w:val="none"/>
        </w:rPr>
      </w:pPr>
      <w:r>
        <w:rPr>
          <w:rFonts w:hint="eastAsia" w:ascii="仿宋" w:hAnsi="仿宋" w:eastAsia="仿宋"/>
          <w:highlight w:val="none"/>
        </w:rPr>
      </w:r>
      <w:r/>
    </w:p>
    <w:p>
      <w:pPr>
        <w:spacing w:before="22"/>
        <w:rPr>
          <w:rFonts w:hint="eastAsia" w:ascii="仿宋" w:hAnsi="仿宋" w:eastAsia="仿宋"/>
          <w:highlight w:val="none"/>
        </w:rPr>
      </w:pPr>
      <w:r>
        <w:rPr>
          <w:rFonts w:hint="eastAsia" w:ascii="仿宋" w:hAnsi="仿宋" w:eastAsia="仿宋"/>
          <w:highlight w:val="none"/>
        </w:rPr>
      </w:r>
      <w:r/>
    </w:p>
    <w:p>
      <w:pPr>
        <w:rPr>
          <w:rFonts w:hint="eastAsia" w:ascii="仿宋" w:hAnsi="仿宋" w:eastAsia="仿宋"/>
          <w:highlight w:val="none"/>
        </w:rPr>
        <w:sectPr>
          <w:footerReference w:type="default" r:id="rId10"/>
          <w:footnotePr/>
          <w:endnotePr/>
          <w:type w:val="nextPage"/>
          <w:pgSz w:w="12240" w:h="15840" w:orient="portrait"/>
          <w:pgMar w:top="1346" w:right="1352" w:bottom="1191" w:left="1366" w:header="0" w:footer="0" w:gutter="0"/>
          <w:pgNumType w:start="1"/>
          <w:cols w:num="1" w:sep="0" w:space="1701" w:equalWidth="0">
            <w:col w:w="9522" w:space="0"/>
          </w:cols>
          <w:docGrid w:linePitch="360"/>
        </w:sectPr>
      </w:pPr>
      <w:r>
        <w:rPr>
          <w:rFonts w:hint="eastAsia" w:ascii="仿宋" w:hAnsi="仿宋" w:eastAsia="仿宋"/>
          <w:highlight w:val="none"/>
        </w:rPr>
      </w:r>
      <w:r/>
    </w:p>
    <w:p>
      <w:pPr>
        <w:spacing w:line="464" w:lineRule="auto"/>
        <w:rPr>
          <w:highlight w:val="none"/>
        </w:rPr>
      </w:pPr>
      <w:r/>
      <w:bookmarkStart w:id="183" w:name="_Toc30740"/>
      <w:r/>
      <w:r/>
    </w:p>
    <w:p>
      <w:pPr>
        <w:spacing w:line="246" w:lineRule="auto"/>
        <w:rPr>
          <w:highlight w:val="none"/>
        </w:rPr>
      </w:pPr>
      <w:r>
        <w:rPr>
          <w:highlight w:val="none"/>
        </w:rPr>
      </w:r>
      <w:r/>
    </w:p>
    <w:p>
      <w:pPr>
        <w:jc w:val="center"/>
        <w:spacing w:before="22"/>
        <w:rPr>
          <w:rFonts w:hint="eastAsia" w:ascii="方正仿宋_GBK" w:hAnsi="方正仿宋_GBK" w:eastAsia="方正仿宋_GBK" w:cs="方正仿宋_GBK"/>
          <w:sz w:val="44"/>
          <w:szCs w:val="44"/>
          <w:highlight w:val="none"/>
          <w:lang w:eastAsia="zh-CN"/>
        </w:rPr>
      </w:pPr>
      <w:r>
        <w:rPr>
          <w:rFonts w:hint="eastAsia" w:ascii="方正仿宋_GBK" w:hAnsi="方正仿宋_GBK" w:eastAsia="方正仿宋_GBK" w:cs="方正仿宋_GBK"/>
          <w:sz w:val="44"/>
          <w:szCs w:val="44"/>
          <w:highlight w:val="none"/>
          <w:lang w:val="en-US" w:eastAsia="zh-CN"/>
        </w:rPr>
        <w:t xml:space="preserve">南京市政府采购合同</w:t>
      </w:r>
      <w:r/>
    </w:p>
    <w:p>
      <w:pPr>
        <w:spacing w:before="22"/>
        <w:rPr>
          <w:highlight w:val="none"/>
          <w:lang w:eastAsia="zh-CN"/>
        </w:rPr>
      </w:pPr>
      <w:r>
        <w:rPr>
          <w:highlight w:val="none"/>
          <w:lang w:eastAsia="zh-CN"/>
        </w:rPr>
      </w:r>
      <w:r/>
    </w:p>
    <w:p>
      <w:pPr>
        <w:spacing w:before="22"/>
        <w:rPr>
          <w:highlight w:val="none"/>
          <w:lang w:eastAsia="zh-CN"/>
        </w:rPr>
      </w:pPr>
      <w:r>
        <w:rPr>
          <w:highlight w:val="none"/>
          <w:lang w:eastAsia="zh-CN"/>
        </w:rPr>
      </w:r>
      <w:r/>
    </w:p>
    <w:p>
      <w:pPr>
        <w:spacing w:before="22"/>
        <w:rPr>
          <w:highlight w:val="none"/>
          <w:lang w:eastAsia="zh-CN"/>
        </w:rPr>
      </w:pPr>
      <w:r>
        <w:rPr>
          <w:highlight w:val="none"/>
          <w:lang w:eastAsia="zh-CN"/>
        </w:rPr>
      </w:r>
      <w:r/>
    </w:p>
    <w:p>
      <w:pPr>
        <w:pStyle w:val="721"/>
        <w:ind w:left="58"/>
        <w:keepLines w:val="0"/>
        <w:keepNext w:val="0"/>
        <w:pageBreakBefore w:val="0"/>
        <w:spacing w:line="560" w:lineRule="exact"/>
        <w:widowControl/>
        <w:rPr>
          <w:rFonts w:hint="eastAsia" w:ascii="仿宋" w:hAnsi="仿宋" w:eastAsia="仿宋" w:cs="仿宋"/>
          <w:sz w:val="24"/>
          <w:szCs w:val="24"/>
          <w:highlight w:val="none"/>
          <w:lang w:eastAsia="zh-CN"/>
        </w:rPr>
      </w:pPr>
      <w:r>
        <w:rPr>
          <w:rFonts w:hint="eastAsia" w:ascii="仿宋" w:hAnsi="仿宋" w:eastAsia="仿宋" w:cs="仿宋"/>
          <w:spacing w:val="-1"/>
          <w:sz w:val="24"/>
          <w:szCs w:val="24"/>
          <w:highlight w:val="none"/>
          <w:lang w:eastAsia="zh-CN"/>
        </w:rPr>
        <w:t xml:space="preserve">项目编号：</w:t>
      </w:r>
      <w:r/>
    </w:p>
    <w:p>
      <w:pPr>
        <w:pStyle w:val="721"/>
        <w:ind w:left="52"/>
        <w:keepLines w:val="0"/>
        <w:keepNext w:val="0"/>
        <w:pageBreakBefore w:val="0"/>
        <w:spacing w:line="560" w:lineRule="exact"/>
        <w:widowControl/>
        <w:rPr>
          <w:rFonts w:hint="eastAsia" w:ascii="仿宋" w:hAnsi="仿宋" w:eastAsia="仿宋" w:cs="仿宋"/>
          <w:sz w:val="24"/>
          <w:szCs w:val="24"/>
          <w:highlight w:val="none"/>
          <w:lang w:eastAsia="zh-CN"/>
        </w:rPr>
      </w:pPr>
      <w:r>
        <w:rPr>
          <w:rFonts w:hint="eastAsia" w:ascii="仿宋" w:hAnsi="仿宋" w:eastAsia="仿宋" w:cs="仿宋"/>
          <w:spacing w:val="-7"/>
          <w:position w:val="17"/>
          <w:sz w:val="24"/>
          <w:szCs w:val="24"/>
          <w:highlight w:val="none"/>
          <w:lang w:eastAsia="zh-CN"/>
        </w:rPr>
        <w:t xml:space="preserve">项目名称：</w:t>
      </w:r>
      <w:r/>
    </w:p>
    <w:p>
      <w:pPr>
        <w:pStyle w:val="721"/>
        <w:ind w:left="57"/>
        <w:keepLines w:val="0"/>
        <w:keepNext w:val="0"/>
        <w:pageBreakBefore w:val="0"/>
        <w:spacing w:line="560" w:lineRule="exact"/>
        <w:widowControl/>
        <w:rPr>
          <w:rFonts w:hint="eastAsia" w:ascii="仿宋" w:hAnsi="仿宋" w:eastAsia="仿宋" w:cs="仿宋"/>
          <w:sz w:val="24"/>
          <w:szCs w:val="24"/>
          <w:highlight w:val="none"/>
          <w:lang w:eastAsia="zh-CN"/>
        </w:rPr>
      </w:pPr>
      <w:r>
        <w:rPr>
          <w:rFonts w:hint="eastAsia" w:ascii="仿宋" w:hAnsi="仿宋" w:eastAsia="仿宋" w:cs="仿宋"/>
          <w:spacing w:val="-9"/>
          <w:position w:val="20"/>
          <w:sz w:val="24"/>
          <w:szCs w:val="24"/>
          <w:highlight w:val="none"/>
          <w:lang w:eastAsia="zh-CN"/>
        </w:rPr>
        <w:t xml:space="preserve">政府采购计划号：</w:t>
      </w:r>
      <w:r/>
    </w:p>
    <w:p>
      <w:pPr>
        <w:pStyle w:val="721"/>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2"/>
          <w:sz w:val="24"/>
          <w:szCs w:val="24"/>
          <w:highlight w:val="none"/>
          <w:lang w:eastAsia="zh-CN"/>
        </w:rPr>
        <w:t xml:space="preserve">采购人</w:t>
      </w:r>
      <w:r>
        <w:rPr>
          <w:rFonts w:hint="eastAsia" w:ascii="仿宋" w:hAnsi="仿宋" w:eastAsia="仿宋" w:cs="仿宋"/>
          <w:sz w:val="24"/>
          <w:szCs w:val="24"/>
          <w:highlight w:val="none"/>
          <w:lang w:eastAsia="zh-CN"/>
        </w:rPr>
        <w:t xml:space="preserve">：（</w:t>
      </w:r>
      <w:r>
        <w:rPr>
          <w:rFonts w:hint="eastAsia" w:ascii="仿宋" w:hAnsi="仿宋" w:eastAsia="仿宋" w:cs="仿宋"/>
          <w:spacing w:val="-2"/>
          <w:sz w:val="24"/>
          <w:szCs w:val="24"/>
          <w:highlight w:val="none"/>
          <w:lang w:eastAsia="zh-CN"/>
        </w:rPr>
        <w:t xml:space="preserve">以下简称甲方）</w:t>
      </w:r>
      <w:r>
        <w:rPr>
          <w:rFonts w:hint="eastAsia" w:ascii="仿宋" w:hAnsi="仿宋" w:eastAsia="仿宋" w:cs="仿宋"/>
          <w:spacing w:val="-2"/>
          <w:sz w:val="24"/>
          <w:szCs w:val="24"/>
          <w:highlight w:val="none"/>
          <w:lang w:val="en-US" w:eastAsia="zh-CN"/>
        </w:rPr>
        <w:t xml:space="preserve">                     </w:t>
      </w:r>
      <w:r>
        <w:rPr>
          <w:rFonts w:hint="eastAsia" w:ascii="仿宋" w:hAnsi="仿宋" w:eastAsia="仿宋" w:cs="仿宋"/>
          <w:spacing w:val="-12"/>
          <w:sz w:val="24"/>
          <w:szCs w:val="24"/>
          <w:highlight w:val="none"/>
          <w:lang w:eastAsia="zh-CN"/>
        </w:rPr>
        <w:t xml:space="preserve">供应商：（以下简称乙方）</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r>
      <w:r/>
    </w:p>
    <w:p>
      <w:pPr>
        <w:pStyle w:val="721"/>
        <w:keepLines w:val="0"/>
        <w:keepNext w:val="0"/>
        <w:pageBreakBefore w:val="0"/>
        <w:spacing w:line="560" w:lineRule="exact"/>
        <w:widowControl/>
        <w:rPr>
          <w:rFonts w:hint="eastAsia" w:ascii="仿宋" w:hAnsi="仿宋" w:eastAsia="仿宋" w:cs="仿宋"/>
          <w:sz w:val="24"/>
          <w:szCs w:val="24"/>
          <w:highlight w:val="none"/>
          <w:lang w:eastAsia="zh-CN"/>
        </w:rPr>
      </w:pPr>
      <w:r>
        <w:rPr>
          <w:rFonts w:hint="eastAsia" w:ascii="仿宋" w:hAnsi="仿宋" w:eastAsia="仿宋" w:cs="仿宋"/>
          <w:spacing w:val="-12"/>
          <w:sz w:val="24"/>
          <w:szCs w:val="24"/>
          <w:highlight w:val="none"/>
          <w:lang w:eastAsia="zh-CN"/>
        </w:rPr>
        <w:t xml:space="preserve">住所地：</w:t>
      </w:r>
      <w:r>
        <w:rPr>
          <w:rFonts w:hint="eastAsia" w:ascii="仿宋" w:hAnsi="仿宋" w:eastAsia="仿宋" w:cs="仿宋"/>
          <w:spacing w:val="-12"/>
          <w:sz w:val="24"/>
          <w:szCs w:val="24"/>
          <w:highlight w:val="none"/>
          <w:lang w:val="en-US" w:eastAsia="zh-CN"/>
        </w:rPr>
        <w:t xml:space="preserve">                                              </w:t>
      </w:r>
      <w:r>
        <w:rPr>
          <w:rFonts w:hint="eastAsia" w:ascii="仿宋" w:hAnsi="仿宋" w:eastAsia="仿宋" w:cs="仿宋"/>
          <w:spacing w:val="-12"/>
          <w:sz w:val="24"/>
          <w:szCs w:val="24"/>
          <w:highlight w:val="none"/>
          <w:lang w:eastAsia="zh-CN"/>
        </w:rPr>
        <w:t xml:space="preserve">住所地：</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r>
      <w:r/>
    </w:p>
    <w:p>
      <w:pPr>
        <w:pStyle w:val="721"/>
        <w:keepLines w:val="0"/>
        <w:keepNext w:val="0"/>
        <w:pageBreakBefore w:val="0"/>
        <w:spacing w:line="560" w:lineRule="exact"/>
        <w:widowControl/>
        <w:rPr>
          <w:rFonts w:hint="eastAsia" w:ascii="仿宋" w:hAnsi="仿宋" w:eastAsia="仿宋" w:cs="仿宋"/>
          <w:spacing w:val="-5"/>
          <w:position w:val="17"/>
          <w:sz w:val="24"/>
          <w:szCs w:val="24"/>
          <w:highlight w:val="none"/>
          <w:lang w:val="en-US" w:eastAsia="zh-CN"/>
        </w:rPr>
      </w:pPr>
      <w:r>
        <w:rPr>
          <w:rFonts w:hint="eastAsia" w:ascii="仿宋" w:hAnsi="仿宋" w:eastAsia="仿宋" w:cs="仿宋"/>
          <w:spacing w:val="-4"/>
          <w:position w:val="17"/>
          <w:sz w:val="24"/>
          <w:szCs w:val="24"/>
          <w:highlight w:val="none"/>
          <w:lang w:eastAsia="zh-CN"/>
        </w:rPr>
        <w:t xml:space="preserve">根据《中华人民共和国政府采购法》《中华人民共和国民</w:t>
      </w:r>
      <w:r>
        <w:rPr>
          <w:rFonts w:hint="eastAsia" w:ascii="仿宋" w:hAnsi="仿宋" w:eastAsia="仿宋" w:cs="仿宋"/>
          <w:spacing w:val="-5"/>
          <w:position w:val="17"/>
          <w:sz w:val="24"/>
          <w:szCs w:val="24"/>
          <w:highlight w:val="none"/>
          <w:lang w:eastAsia="zh-CN"/>
        </w:rPr>
        <w:t xml:space="preserve">法典》等法律法规的规定，甲乙双方经协商签订本合同。</w:t>
      </w:r>
      <w:r/>
    </w:p>
    <w:p>
      <w:pPr>
        <w:pStyle w:val="721"/>
        <w:numPr>
          <w:ilvl w:val="0"/>
          <w:numId w:val="5"/>
        </w:numPr>
        <w:keepLines w:val="0"/>
        <w:keepNext w:val="0"/>
        <w:pageBreakBefore w:val="0"/>
        <w:spacing w:line="560" w:lineRule="exact"/>
        <w:widowControl/>
        <w:rPr>
          <w:rFonts w:hint="eastAsia" w:ascii="仿宋" w:hAnsi="仿宋" w:eastAsia="仿宋" w:cs="仿宋"/>
          <w:spacing w:val="-1"/>
          <w:position w:val="18"/>
          <w:sz w:val="24"/>
          <w:szCs w:val="24"/>
          <w:highlight w:val="none"/>
          <w:lang w:eastAsia="zh-CN"/>
        </w:rPr>
      </w:pPr>
      <w:r>
        <w:rPr>
          <w:rFonts w:hint="eastAsia" w:ascii="仿宋" w:hAnsi="仿宋" w:eastAsia="仿宋" w:cs="仿宋"/>
          <w:spacing w:val="-1"/>
          <w:position w:val="18"/>
          <w:sz w:val="24"/>
          <w:szCs w:val="24"/>
          <w:highlight w:val="none"/>
          <w:lang w:eastAsia="zh-CN"/>
        </w:rPr>
        <w:t xml:space="preserve"> 合同标的</w:t>
      </w:r>
      <w:r/>
    </w:p>
    <w:p>
      <w:pPr>
        <w:pStyle w:val="721"/>
        <w:numPr>
          <w:ilvl w:val="0"/>
          <w:numId w:val="0"/>
        </w:numPr>
        <w:keepLines w:val="0"/>
        <w:keepNext w:val="0"/>
        <w:pageBreakBefore w:val="0"/>
        <w:spacing w:line="560" w:lineRule="exact"/>
        <w:widowControl/>
        <w:rPr>
          <w:rFonts w:hint="eastAsia" w:ascii="仿宋" w:hAnsi="仿宋" w:eastAsia="仿宋" w:cs="仿宋"/>
          <w:spacing w:val="-1"/>
          <w:position w:val="18"/>
          <w:sz w:val="24"/>
          <w:szCs w:val="24"/>
          <w:highlight w:val="none"/>
          <w:lang w:eastAsia="zh-CN"/>
        </w:rPr>
      </w:pPr>
      <w:r>
        <w:rPr>
          <w:rFonts w:hint="eastAsia" w:ascii="仿宋" w:hAnsi="仿宋" w:eastAsia="仿宋" w:cs="仿宋"/>
          <w:spacing w:val="-1"/>
          <w:position w:val="18"/>
          <w:sz w:val="24"/>
          <w:szCs w:val="24"/>
          <w:highlight w:val="none"/>
          <w:lang w:eastAsia="zh-CN"/>
        </w:rPr>
        <w:t xml:space="preserve">乙方提供下列服务：</w:t>
      </w:r>
      <w:r/>
    </w:p>
    <w:tbl>
      <w:tblPr>
        <w:tblStyle w:val="1048"/>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1052"/>
        <w:gridCol w:w="6403"/>
        <w:gridCol w:w="999"/>
        <w:gridCol w:w="1052"/>
      </w:tblGrid>
      <w:tr>
        <w:trPr>
          <w:trHeight w:val="459"/>
        </w:trPr>
        <w:tc>
          <w:tcPr>
            <w:tcW w:w="1052" w:type="dxa"/>
            <w:textDirection w:val="lrTb"/>
            <w:noWrap w:val="false"/>
          </w:tcPr>
          <w:p>
            <w:pPr>
              <w:pStyle w:val="1054"/>
              <w:ind w:left="68"/>
              <w:jc w:val="center"/>
              <w:keepLines w:val="0"/>
              <w:keepNext w:val="0"/>
              <w:pageBreakBefore w:val="0"/>
              <w:spacing w:line="560" w:lineRule="exact"/>
              <w:widowControl/>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序号</w:t>
            </w:r>
            <w:r/>
          </w:p>
        </w:tc>
        <w:tc>
          <w:tcPr>
            <w:tcBorders>
              <w:top w:val="single" w:color="404040" w:sz="2" w:space="0"/>
              <w:left w:val="single" w:color="404040" w:sz="2" w:space="0"/>
              <w:bottom w:val="single" w:color="404040" w:sz="2" w:space="0"/>
              <w:right w:val="single" w:color="404040" w:sz="2" w:space="0"/>
            </w:tcBorders>
            <w:tcW w:w="6403" w:type="dxa"/>
            <w:textDirection w:val="lrTb"/>
            <w:noWrap w:val="false"/>
          </w:tcPr>
          <w:p>
            <w:pPr>
              <w:pStyle w:val="1054"/>
              <w:ind w:left="56"/>
              <w:jc w:val="center"/>
              <w:keepLines w:val="0"/>
              <w:keepNext w:val="0"/>
              <w:pageBreakBefore w:val="0"/>
              <w:spacing w:line="560" w:lineRule="exact"/>
              <w:widowControl/>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名称</w:t>
            </w:r>
            <w:r/>
          </w:p>
        </w:tc>
        <w:tc>
          <w:tcPr>
            <w:tcW w:w="999" w:type="dxa"/>
            <w:textDirection w:val="lrTb"/>
            <w:noWrap w:val="false"/>
          </w:tcPr>
          <w:p>
            <w:pPr>
              <w:pStyle w:val="1054"/>
              <w:ind w:left="5"/>
              <w:jc w:val="center"/>
              <w:keepLines w:val="0"/>
              <w:keepNext w:val="0"/>
              <w:pageBreakBefore w:val="0"/>
              <w:spacing w:line="560" w:lineRule="exact"/>
              <w:widowControl/>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数量</w:t>
            </w:r>
            <w:r/>
          </w:p>
        </w:tc>
        <w:tc>
          <w:tcPr>
            <w:tcW w:w="1052" w:type="dxa"/>
            <w:textDirection w:val="lrTb"/>
            <w:noWrap w:val="false"/>
          </w:tcPr>
          <w:p>
            <w:pPr>
              <w:pStyle w:val="1054"/>
              <w:ind w:left="42"/>
              <w:jc w:val="center"/>
              <w:keepLines w:val="0"/>
              <w:keepNext w:val="0"/>
              <w:pageBreakBefore w:val="0"/>
              <w:spacing w:line="560" w:lineRule="exact"/>
              <w:widowControl/>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单位</w:t>
            </w:r>
            <w:r/>
          </w:p>
        </w:tc>
      </w:tr>
      <w:tr>
        <w:trPr>
          <w:trHeight w:val="528"/>
        </w:trPr>
        <w:tc>
          <w:tcPr>
            <w:tcBorders>
              <w:bottom w:val="single" w:color="404040" w:sz="2" w:space="0"/>
              <w:right w:val="single" w:color="404040" w:sz="2" w:space="0"/>
            </w:tcBorders>
            <w:tcW w:w="1052" w:type="dxa"/>
            <w:textDirection w:val="lrTb"/>
            <w:noWrap w:val="false"/>
          </w:tcPr>
          <w:p>
            <w:pPr>
              <w:pStyle w:val="1054"/>
              <w:ind w:left="87"/>
              <w:jc w:val="center"/>
              <w:keepLines w:val="0"/>
              <w:keepNext w:val="0"/>
              <w:pageBreakBefore w:val="0"/>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404040" w:sz="2" w:space="0"/>
              <w:left w:val="single" w:color="404040" w:sz="2" w:space="0"/>
              <w:bottom w:val="single" w:color="404040" w:sz="2" w:space="0"/>
              <w:right w:val="single" w:color="404040" w:sz="2" w:space="0"/>
            </w:tcBorders>
            <w:tcW w:w="6403" w:type="dxa"/>
            <w:textDirection w:val="lrTb"/>
            <w:noWrap w:val="false"/>
          </w:tcPr>
          <w:p>
            <w:pPr>
              <w:pStyle w:val="1054"/>
              <w:ind w:left="54"/>
              <w:jc w:val="center"/>
              <w:keepLines w:val="0"/>
              <w:keepNext w:val="0"/>
              <w:pageBreakBefore w:val="0"/>
              <w:spacing w:line="56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2026年江浦街道护林防火第三方服务</w:t>
            </w:r>
            <w:r/>
          </w:p>
        </w:tc>
        <w:tc>
          <w:tcPr>
            <w:tcBorders>
              <w:bottom w:val="single" w:color="404040" w:sz="2" w:space="0"/>
              <w:right w:val="single" w:color="404040" w:sz="2" w:space="0"/>
            </w:tcBorders>
            <w:tcW w:w="999" w:type="dxa"/>
            <w:textDirection w:val="lrTb"/>
            <w:noWrap w:val="false"/>
          </w:tcPr>
          <w:p>
            <w:pPr>
              <w:pStyle w:val="1054"/>
              <w:ind w:left="21"/>
              <w:jc w:val="center"/>
              <w:keepLines w:val="0"/>
              <w:keepNext w:val="0"/>
              <w:pageBreakBefore w:val="0"/>
              <w:spacing w:line="56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Borders>
              <w:bottom w:val="single" w:color="404040" w:sz="2" w:space="0"/>
              <w:right w:val="single" w:color="404040" w:sz="2" w:space="0"/>
            </w:tcBorders>
            <w:tcW w:w="1052" w:type="dxa"/>
            <w:textDirection w:val="lrTb"/>
            <w:noWrap w:val="false"/>
          </w:tcPr>
          <w:p>
            <w:pPr>
              <w:pStyle w:val="1054"/>
              <w:ind w:left="44"/>
              <w:jc w:val="center"/>
              <w:keepLines w:val="0"/>
              <w:keepNext w:val="0"/>
              <w:pageBreakBefore w:val="0"/>
              <w:spacing w:line="56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项</w:t>
            </w:r>
            <w:r/>
          </w:p>
        </w:tc>
      </w:tr>
    </w:tbl>
    <w:p>
      <w:pPr>
        <w:pStyle w:val="721"/>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服务内容详见乙方投标（响应）文件。</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第二条  合同总价款</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本合同项下总价款为</w:t>
      </w:r>
      <w:r>
        <w:rPr>
          <w:rFonts w:hint="eastAsia" w:ascii="仿宋" w:hAnsi="仿宋" w:eastAsia="仿宋" w:cs="仿宋"/>
          <w:spacing w:val="-12"/>
          <w:sz w:val="24"/>
          <w:szCs w:val="24"/>
          <w:highlight w:val="none"/>
          <w:u w:val="single"/>
          <w:lang w:eastAsia="zh-CN"/>
        </w:rPr>
        <w:t xml:space="preserve">                         （</w:t>
      </w:r>
      <w:r>
        <w:rPr>
          <w:rFonts w:hint="eastAsia" w:ascii="仿宋" w:hAnsi="仿宋" w:eastAsia="仿宋" w:cs="仿宋"/>
          <w:spacing w:val="-12"/>
          <w:sz w:val="24"/>
          <w:szCs w:val="24"/>
          <w:highlight w:val="none"/>
          <w:lang w:eastAsia="zh-CN"/>
        </w:rPr>
        <w:t xml:space="preserve">大写）人民币。</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如有分项价款，详见《分项报价表》 </w:t>
      </w:r>
      <w:r/>
    </w:p>
    <w:p>
      <w:pPr>
        <w:pStyle w:val="721"/>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本合同总价款包含以下内容：</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（1）完成本服务项目发生的所有含税费用；</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（2）支付给员工的工资和国家强制缴纳的各种社会保障资金；</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（3）乙方应当提供的伴随服务/售后服务费用；</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（4）供应商认为需要的其他费用。</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第三条  合同期限     </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本合同自</w:t>
      </w:r>
      <w:r>
        <w:rPr>
          <w:rFonts w:hint="eastAsia" w:ascii="仿宋" w:hAnsi="仿宋" w:eastAsia="仿宋" w:cs="仿宋"/>
          <w:spacing w:val="-12"/>
          <w:sz w:val="24"/>
          <w:szCs w:val="24"/>
          <w:highlight w:val="none"/>
          <w:u w:val="single"/>
          <w:lang w:eastAsia="zh-CN"/>
        </w:rPr>
        <w:t xml:space="preserve"> </w:t>
      </w:r>
      <w:r>
        <w:rPr>
          <w:rFonts w:hint="eastAsia" w:ascii="仿宋" w:hAnsi="仿宋" w:eastAsia="仿宋" w:cs="仿宋"/>
          <w:spacing w:val="-12"/>
          <w:sz w:val="24"/>
          <w:szCs w:val="24"/>
          <w:highlight w:val="none"/>
          <w:u w:val="single"/>
          <w:lang w:val="en-US" w:eastAsia="zh-CN"/>
        </w:rPr>
        <w:t xml:space="preserve">合同签订之日 </w:t>
      </w:r>
      <w:r>
        <w:rPr>
          <w:rFonts w:hint="eastAsia" w:ascii="仿宋" w:hAnsi="仿宋" w:eastAsia="仿宋" w:cs="仿宋"/>
          <w:spacing w:val="-12"/>
          <w:sz w:val="24"/>
          <w:szCs w:val="24"/>
          <w:highlight w:val="none"/>
          <w:lang w:eastAsia="zh-CN"/>
        </w:rPr>
        <w:t xml:space="preserve">起，合同期限为</w:t>
      </w:r>
      <w:r>
        <w:rPr>
          <w:rFonts w:hint="eastAsia" w:ascii="仿宋" w:hAnsi="仿宋" w:eastAsia="仿宋" w:cs="仿宋"/>
          <w:spacing w:val="-12"/>
          <w:sz w:val="24"/>
          <w:szCs w:val="24"/>
          <w:highlight w:val="none"/>
          <w:u w:val="single"/>
          <w:lang w:eastAsia="zh-CN"/>
        </w:rPr>
        <w:t xml:space="preserve"> 365 </w:t>
      </w:r>
      <w:r>
        <w:rPr>
          <w:rFonts w:hint="eastAsia" w:ascii="仿宋" w:hAnsi="仿宋" w:eastAsia="仿宋" w:cs="仿宋"/>
          <w:spacing w:val="-12"/>
          <w:sz w:val="24"/>
          <w:szCs w:val="24"/>
          <w:highlight w:val="none"/>
          <w:lang w:eastAsia="zh-CN"/>
        </w:rPr>
        <w:t xml:space="preserve">天</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第四条  组成本合同的有关文件</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下列关于南京市政府采购的招标（采购）文件、投标（响应）文件，以及与本次采购活动相关的文件及有关附件是本合同不可分割的组成部分，与本合同具有同等法律效力，这些文件包括但不限于：</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（1）投标（响应）文件和报价表；</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（2）服务一览表；</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（3）交付一览表；</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（4）技术规格响应表；</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（5）投标（响应）承诺；</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（6）服务承诺；</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（7）中标（成交）通知书；</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（8）甲乙双方商定的其他文件。</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第五条  权利保证</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乙方应保证甲方在使用该服务或其任何一部分时不受第三方提出侵犯其专利权、版权、商标权或其他权利的起诉。一旦出现侵权，乙方应承担全部责任。</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第六条  质量保证</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乙方所提供的服务的技术规格应与招标（采购）文件规定的技术规格及所附的“技术规格响应表”相一致；若技术性能无特殊说明，则按国家有关部门最新颁布的标准及规范为准。</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第七条 交付和验收</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1.乙方应当在合同期限内完成服务事项。</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2.验收标准：按行业通行标准和乙方投标（响应）文件的承诺（详见合同附件载明的标准，并不低于国家相关标准）。</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第八条  履约保证金</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1.中标（成交）供应商应按以下第（1）方式向采购人缴纳履约保证金：</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（1）无需缴纳履约保证金；</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（2）投标保证金转为履约保证金；</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（3）以支票、汇票、本票或者金融机构、担保机构出具的保函等非现金形式缴纳履约保证金，金额为。</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2.履约保证金的有效期至时止。</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3.如乙方未能履行合同规定的义务，甲方有权从履约保证金中取得补偿。</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4.履约保证金扣除甲方应得的补偿后的余额，在有效期满后个工作日内无息退还给乙方。</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第九条  合同款支付</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1.本合同项下所有款项均以人民币支付。</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2.本合同项下的采购资金由乙方开具发票，甲方收到发票后按照本条第3款的约定支付，乙方未提供发票或提供发票不合格的，甲方有权拒绝付款并不承担延迟付款的责任，且乙方仍应按约履行合同义务。</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3.付款条件： </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（1）付款方式为</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 合同签订后支付合同价20%，剩余价款按每三个月支付一次，每次支付合同价20%，甲方根据</w:t>
      </w:r>
      <w:r>
        <w:rPr>
          <w:rFonts w:hint="eastAsia" w:ascii="仿宋" w:hAnsi="仿宋" w:eastAsia="仿宋" w:cs="仿宋"/>
          <w:spacing w:val="-12"/>
          <w:sz w:val="24"/>
          <w:szCs w:val="24"/>
          <w:highlight w:val="none"/>
          <w:u w:val="single"/>
          <w:lang w:val="en-US" w:eastAsia="zh-CN"/>
        </w:rPr>
        <w:t xml:space="preserve">验收</w:t>
      </w:r>
      <w:r>
        <w:rPr>
          <w:rFonts w:hint="eastAsia" w:ascii="仿宋" w:hAnsi="仿宋" w:eastAsia="仿宋" w:cs="仿宋"/>
          <w:spacing w:val="-12"/>
          <w:sz w:val="24"/>
          <w:szCs w:val="24"/>
          <w:highlight w:val="none"/>
          <w:u w:val="single"/>
          <w:lang w:eastAsia="zh-CN"/>
        </w:rPr>
        <w:t xml:space="preserve">结果确定每次服务费付款。 </w:t>
      </w:r>
      <w:r>
        <w:rPr>
          <w:rFonts w:hint="eastAsia" w:ascii="仿宋" w:hAnsi="仿宋" w:eastAsia="仿宋" w:cs="仿宋"/>
          <w:spacing w:val="-12"/>
          <w:sz w:val="24"/>
          <w:szCs w:val="24"/>
          <w:highlight w:val="none"/>
          <w:u w:val="single"/>
          <w:lang w:val="en-US" w:eastAsia="zh-CN"/>
        </w:rPr>
        <w:t xml:space="preserve">    </w:t>
      </w:r>
      <w:r>
        <w:rPr>
          <w:rFonts w:hint="eastAsia" w:ascii="仿宋" w:hAnsi="仿宋" w:eastAsia="仿宋" w:cs="仿宋"/>
          <w:spacing w:val="-12"/>
          <w:sz w:val="24"/>
          <w:szCs w:val="24"/>
          <w:highlight w:val="none"/>
          <w:u w:val="single"/>
          <w:lang w:eastAsia="zh-CN"/>
        </w:rPr>
        <w:t xml:space="preserve"> </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第十条  违约责任</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1.甲方无正当理由拒收服务、拒付服务款的，甲方向乙方偿付合同总价的5%违约金。</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2.甲方未按合同规定的期限向乙方支付服务款的，每逾期 1 天甲方向乙方偿付欠款总额的5‰滞纳金，但累计滞纳金总额不超过欠款总额的5%。</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3.甲方逾期退还履约保证金的，除应当退还履约保证金本金外，还应当按中国人民银行同期贷款基准利率上浮 20%后的利率支付超期资金占用费，但因乙方自身原因导致无法及时退还的除外。</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4.如乙方不能交付服务的，甲方有权扣留全部履约保证金；同时乙方应向甲方支付合同总价 5%的违约金。</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5.乙方逾期交付的，每逾期 1 天，乙方向甲方偿付合同总额的 5‰的滞纳金。如乙方逾期交付达 10 天，甲方有权解除合同，解除合同的通知自到达乙方时生效。</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6.乙方所交付的服务不符合合同规定的，甲方有权拒收。甲方拒收的，乙方应向甲方支付合同总款 5%的违约金。</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7.在乙方承诺的或国家规定的质量保证期内（取两者中最长的期限），如经乙方两次整改仍不能达到合同约定的质量标准，乙方应退回全部合同价款，并按本条第 3 款处理，同时，乙方还须赔偿甲方因此遭受的损失。</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8.乙方未按本合同的规定和服务承诺提供伴随服务/售后服务的，应按合同总价款的 5%向甲方承担违约责任。</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9.乙方在承担上述 4-8款一项或多项违约责任后，仍应继续履行合同规定的义务（甲方解除合同的除外）。甲方未能及时追究乙方的任何一项违约责任并不表明甲方放弃追究乙方该项或其他违约责任。</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10.乙方响应属虚假承诺，或经权威部门检测提供的服务不能满足投标（响应）文件要求，或是由于乙方的过错造成合同无法继续履行的，乙方履约保证金不予退还外，还应向甲方支付不少于合同总价 30%赔偿金。</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第十一条  合同的变更和终止</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1.除《中华人民共和国政府采购法》第 50 条规定的情形外，本合同一经签订，甲乙双方不得擅自变更、中止或终止。</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2.除发生法律规定的不能预见、不能避免并不能克服的客观情况外，甲乙双方不得放弃或拒绝履行合同。乙方放弃或拒绝履行合同，履约保证金不予退还，并按规定接受相关部门的处罚。</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第十二条  合同的转让</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乙方不得擅自部分或全部转让其应履行的合同义务。</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第十三条  争议的解决</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1.因服务的质量问题发生争议的，应当邀请国家认可的质量检测机构对服务质量进行鉴定。符合标准的，鉴定费由甲方承担；不符合标准的，鉴定费由乙方承担。</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2.因履行本合同引起的或与本合同有关的争议，甲、乙双方应首先通过友好协商解决，如果协商不能解决争议，则采取以下第</w:t>
      </w:r>
      <w:r>
        <w:rPr>
          <w:rFonts w:hint="eastAsia" w:ascii="仿宋" w:hAnsi="仿宋" w:eastAsia="仿宋" w:cs="仿宋"/>
          <w:spacing w:val="-12"/>
          <w:sz w:val="24"/>
          <w:szCs w:val="24"/>
          <w:highlight w:val="none"/>
          <w:u w:val="single"/>
          <w:lang w:eastAsia="zh-CN"/>
        </w:rPr>
        <w:t xml:space="preserve"> 1 </w:t>
      </w:r>
      <w:r>
        <w:rPr>
          <w:rFonts w:hint="eastAsia" w:ascii="仿宋" w:hAnsi="仿宋" w:eastAsia="仿宋" w:cs="仿宋"/>
          <w:spacing w:val="-12"/>
          <w:sz w:val="24"/>
          <w:szCs w:val="24"/>
          <w:highlight w:val="none"/>
          <w:lang w:eastAsia="zh-CN"/>
        </w:rPr>
        <w:t xml:space="preserve">种方式解决争议：</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（1）向甲方所在地有管辖权的人民法院提起诉讼；</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（2）向南京仲裁委员会按其仲裁规则申请仲裁。</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3.仲裁或诉讼期间，本合同无争议的条款应继续履行。</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第十四条  诚实信用</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乙方应诚实信用，严格按照招标（采购）文件要求和投标（响应）承诺履行合同，不向甲方进行商业贿赂或者提供不正当利益。</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第十五条  合同生效及其他</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1.本合同自双方签字盖章后生效；本合同一式肆份，甲乙双方各执贰份。</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eastAsia="zh-CN"/>
        </w:rPr>
        <w:t xml:space="preserve">2.本合同按照中华人民共和国的现行法律进行解释。</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lang w:eastAsia="zh-CN"/>
        </w:rPr>
      </w:pPr>
      <w:r>
        <w:rPr>
          <w:rFonts w:hint="eastAsia" w:ascii="仿宋" w:hAnsi="仿宋" w:eastAsia="仿宋" w:cs="仿宋"/>
          <w:spacing w:val="-12"/>
          <w:sz w:val="24"/>
          <w:szCs w:val="24"/>
          <w:highlight w:val="none"/>
          <w:lang w:val="en-US" w:eastAsia="zh-CN"/>
        </w:rPr>
        <w:t xml:space="preserve">3</w:t>
      </w:r>
      <w:r>
        <w:rPr>
          <w:rFonts w:hint="eastAsia" w:ascii="仿宋" w:hAnsi="仿宋" w:eastAsia="仿宋" w:cs="仿宋"/>
          <w:spacing w:val="-12"/>
          <w:sz w:val="24"/>
          <w:szCs w:val="24"/>
          <w:highlight w:val="none"/>
          <w:lang w:eastAsia="zh-CN"/>
        </w:rPr>
        <w:t xml:space="preserve">.其他：</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lang w:eastAsia="zh-CN"/>
        </w:rPr>
        <w:t xml:space="preserve">履约</w:t>
      </w:r>
      <w:r>
        <w:rPr>
          <w:rFonts w:hint="eastAsia" w:ascii="仿宋" w:hAnsi="仿宋" w:eastAsia="仿宋" w:cs="仿宋"/>
          <w:spacing w:val="-12"/>
          <w:sz w:val="24"/>
          <w:szCs w:val="24"/>
          <w:highlight w:val="none"/>
          <w:lang w:val="en-US" w:eastAsia="zh-CN"/>
        </w:rPr>
        <w:t xml:space="preserve">验收</w:t>
      </w:r>
      <w:r>
        <w:rPr>
          <w:rFonts w:hint="eastAsia" w:ascii="仿宋" w:hAnsi="仿宋" w:eastAsia="仿宋" w:cs="仿宋"/>
          <w:spacing w:val="-12"/>
          <w:sz w:val="24"/>
          <w:szCs w:val="24"/>
          <w:highlight w:val="none"/>
          <w:lang w:eastAsia="zh-CN"/>
        </w:rPr>
        <w:t xml:space="preserve">要求</w:t>
      </w:r>
      <w:r>
        <w:rPr>
          <w:rFonts w:hint="eastAsia" w:ascii="仿宋" w:hAnsi="仿宋" w:eastAsia="仿宋" w:cs="仿宋"/>
          <w:spacing w:val="-12"/>
          <w:sz w:val="24"/>
          <w:szCs w:val="24"/>
          <w:highlight w:val="none"/>
          <w:u w:val="single"/>
          <w:lang w:eastAsia="zh-CN"/>
        </w:rPr>
        <w:t xml:space="preserve">：（1）乙方若有以下情形之一的，应向甲方支付5000元的违约金，若违约金不足以弥补因此造成甲方的损失或第三方的损失，乙方还应赔偿。</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1）乙方发生超出工作职责范围外的任何行为，造成甲方损失和影响的；</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2）乙方提供服务时有过错，被媒体进行负面报道造成恶劣影响，并经查实的；</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3）其他造成严重后果的情形。</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（2）乙方若有以下情形之一的，甲方按次扣减2000元服务费。</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1）乙方因巡防工作执行不力被上级主管部门检查通报的；</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2）乙方不按规定处置巡护范围内安全隐患，发现不利于森林安全管理事件不上报的；</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3）乙方发生本条第1款约定的任一行为，经甲方三次书面指正仍拒不改正的，甲方有权解除本合同；因解除合同造成损失的，由乙方承担赔偿责任；</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4）乙方违约时，应支付的违约金或赔偿金，甲方可从应付的服务费中扣除，不足部分，有权追偿。</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3）乙方发现巡查范围有祭扫或者野炊人员应及时劝导，无法劝导向所在社区和江浦街道农村工作办报告；辖区内发生火情第一时间赶往现场并组织扑救；如发生火情，半小时内未及时到达现场并组织扑救的，未造成损失影响的2000元／次；如因扑救不及时造成损失严重并且有不良影响的处罚1万元／次：发生重大火情，未按照合同履行职责扑救的，造成重大损失或者人员伤亡的，扣罚10万元，甲方有权根据情况考虑是否直接解除合同。</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（4）确保每个护林网格内有一名护林员在岗在位，熟练掌握使用森林防火APP,对未及时上传打卡及巡查路线的按脱岗处理，每人每次扣罚200元。</w:t>
      </w:r>
      <w:r/>
    </w:p>
    <w:p>
      <w:pPr>
        <w:pStyle w:val="721"/>
        <w:ind w:left="53"/>
        <w:keepLines w:val="0"/>
        <w:keepNext w:val="0"/>
        <w:pageBreakBefore w:val="0"/>
        <w:spacing w:line="560" w:lineRule="exact"/>
        <w:widowControl/>
        <w:rPr>
          <w:rFonts w:hint="eastAsia" w:ascii="仿宋" w:hAnsi="仿宋" w:eastAsia="仿宋" w:cs="仿宋"/>
          <w:spacing w:val="-12"/>
          <w:sz w:val="24"/>
          <w:szCs w:val="24"/>
          <w:highlight w:val="none"/>
          <w:u w:val="single"/>
          <w:lang w:eastAsia="zh-CN"/>
        </w:rPr>
      </w:pPr>
      <w:r>
        <w:rPr>
          <w:rFonts w:hint="eastAsia" w:ascii="仿宋" w:hAnsi="仿宋" w:eastAsia="仿宋" w:cs="仿宋"/>
          <w:spacing w:val="-12"/>
          <w:sz w:val="24"/>
          <w:szCs w:val="24"/>
          <w:highlight w:val="none"/>
          <w:u w:val="single"/>
          <w:lang w:eastAsia="zh-CN"/>
        </w:rPr>
        <w:t xml:space="preserve">（5）对管护林区内发发生的乱征滥占林地，乱砍滥伐林木，乱捕滥猎野生动物，乱采滥挖野生植物等破坏森林资源行为的未及时处理并上报的扣罚500元/次。   </w:t>
      </w:r>
      <w:r/>
    </w:p>
    <w:p>
      <w:pPr>
        <w:spacing w:before="26"/>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spacing w:before="26"/>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26"/>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26"/>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26"/>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26"/>
        <w:rPr>
          <w:rFonts w:hint="eastAsia" w:ascii="仿宋" w:hAnsi="仿宋" w:eastAsia="仿宋" w:cs="仿宋"/>
          <w:sz w:val="24"/>
          <w:szCs w:val="24"/>
          <w:highlight w:val="none"/>
        </w:rPr>
      </w:pPr>
      <w:r>
        <w:rPr>
          <w:rFonts w:hint="eastAsia" w:ascii="仿宋" w:hAnsi="仿宋" w:eastAsia="仿宋" w:cs="仿宋"/>
          <w:sz w:val="24"/>
          <w:szCs w:val="24"/>
          <w:highlight w:val="none"/>
        </w:rPr>
      </w:r>
      <w:r/>
    </w:p>
    <w:tbl>
      <w:tblPr>
        <w:tblStyle w:val="1048"/>
        <w:tblW w:w="64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220"/>
        <w:gridCol w:w="3221"/>
      </w:tblGrid>
      <w:tr>
        <w:trPr>
          <w:trHeight w:val="600"/>
        </w:trPr>
        <w:tc>
          <w:tcPr>
            <w:tcW w:w="3220" w:type="dxa"/>
            <w:textDirection w:val="lrTb"/>
            <w:noWrap w:val="false"/>
          </w:tcPr>
          <w:p>
            <w:pPr>
              <w:pStyle w:val="1054"/>
              <w:ind w:left="31"/>
              <w:spacing w:before="1" w:line="218" w:lineRule="auto"/>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 xml:space="preserve">甲方（采购人</w:t>
            </w:r>
            <w:r>
              <w:rPr>
                <w:rFonts w:hint="eastAsia" w:ascii="仿宋" w:hAnsi="仿宋" w:eastAsia="仿宋" w:cs="仿宋"/>
                <w:spacing w:val="-5"/>
                <w:sz w:val="24"/>
                <w:szCs w:val="24"/>
                <w:highlight w:val="none"/>
              </w:rPr>
              <w:t xml:space="preserve">）：</w:t>
            </w:r>
            <w:r/>
          </w:p>
        </w:tc>
        <w:tc>
          <w:tcPr>
            <w:tcW w:w="3221" w:type="dxa"/>
            <w:textDirection w:val="lrTb"/>
            <w:noWrap w:val="false"/>
          </w:tcPr>
          <w:p>
            <w:pPr>
              <w:pStyle w:val="1054"/>
              <w:jc w:val="right"/>
              <w:spacing w:before="1" w:line="218" w:lineRule="auto"/>
              <w:rPr>
                <w:rFonts w:hint="eastAsia" w:ascii="仿宋" w:hAnsi="仿宋" w:eastAsia="仿宋" w:cs="仿宋"/>
                <w:sz w:val="24"/>
                <w:szCs w:val="24"/>
                <w:highlight w:val="none"/>
              </w:rPr>
            </w:pPr>
            <w:r>
              <w:rPr>
                <w:rFonts w:hint="eastAsia" w:ascii="仿宋" w:hAnsi="仿宋" w:eastAsia="仿宋" w:cs="仿宋"/>
                <w:spacing w:val="-26"/>
                <w:sz w:val="24"/>
                <w:szCs w:val="24"/>
                <w:highlight w:val="none"/>
              </w:rPr>
              <w:t xml:space="preserve">乙方（供应商</w:t>
            </w:r>
            <w:r>
              <w:rPr>
                <w:rFonts w:hint="eastAsia" w:ascii="仿宋" w:hAnsi="仿宋" w:eastAsia="仿宋" w:cs="仿宋"/>
                <w:spacing w:val="-23"/>
                <w:sz w:val="24"/>
                <w:szCs w:val="24"/>
                <w:highlight w:val="none"/>
              </w:rPr>
              <w:t xml:space="preserve">）：</w:t>
            </w:r>
            <w:r/>
          </w:p>
        </w:tc>
      </w:tr>
      <w:tr>
        <w:trPr>
          <w:trHeight w:val="728"/>
        </w:trPr>
        <w:tc>
          <w:tcPr>
            <w:tcW w:w="3220" w:type="dxa"/>
            <w:textDirection w:val="lrTb"/>
            <w:noWrap w:val="false"/>
          </w:tcPr>
          <w:p>
            <w:pPr>
              <w:spacing w:line="281"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54"/>
              <w:ind w:left="7"/>
              <w:spacing w:before="78" w:line="219" w:lineRule="auto"/>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（盖章）</w:t>
            </w:r>
            <w:r/>
          </w:p>
        </w:tc>
        <w:tc>
          <w:tcPr>
            <w:tcW w:w="3221" w:type="dxa"/>
            <w:textDirection w:val="lrTb"/>
            <w:noWrap w:val="false"/>
          </w:tcPr>
          <w:p>
            <w:pPr>
              <w:spacing w:line="281"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54"/>
              <w:ind w:left="1488"/>
              <w:spacing w:before="78" w:line="219" w:lineRule="auto"/>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（盖章）</w:t>
            </w:r>
            <w:r/>
          </w:p>
        </w:tc>
      </w:tr>
      <w:tr>
        <w:trPr>
          <w:trHeight w:val="495"/>
        </w:trPr>
        <w:tc>
          <w:tcPr>
            <w:tcW w:w="3220" w:type="dxa"/>
            <w:textDirection w:val="lrTb"/>
            <w:noWrap w:val="false"/>
          </w:tcPr>
          <w:p>
            <w:pPr>
              <w:pStyle w:val="1054"/>
              <w:spacing w:before="127" w:line="220" w:lineRule="auto"/>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 xml:space="preserve">代表人：</w:t>
            </w:r>
            <w:r/>
          </w:p>
        </w:tc>
        <w:tc>
          <w:tcPr>
            <w:tcW w:w="3221" w:type="dxa"/>
            <w:textDirection w:val="lrTb"/>
            <w:noWrap w:val="false"/>
          </w:tcPr>
          <w:p>
            <w:pPr>
              <w:pStyle w:val="1054"/>
              <w:ind w:left="1481"/>
              <w:spacing w:before="127" w:line="220" w:lineRule="auto"/>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 xml:space="preserve">代表人：</w:t>
            </w:r>
            <w:r/>
          </w:p>
        </w:tc>
      </w:tr>
      <w:tr>
        <w:trPr>
          <w:trHeight w:val="503"/>
        </w:trPr>
        <w:tc>
          <w:tcPr>
            <w:tcW w:w="3220" w:type="dxa"/>
            <w:textDirection w:val="lrTb"/>
            <w:noWrap w:val="false"/>
          </w:tcPr>
          <w:p>
            <w:pPr>
              <w:pStyle w:val="1054"/>
              <w:ind w:left="29"/>
              <w:spacing w:before="128" w:line="222" w:lineRule="auto"/>
              <w:rPr>
                <w:rFonts w:hint="eastAsia" w:ascii="仿宋" w:hAnsi="仿宋" w:eastAsia="仿宋" w:cs="仿宋"/>
                <w:sz w:val="24"/>
                <w:szCs w:val="24"/>
                <w:highlight w:val="none"/>
              </w:rPr>
            </w:pPr>
            <w:r>
              <w:rPr>
                <w:rFonts w:hint="eastAsia" w:ascii="仿宋" w:hAnsi="仿宋" w:eastAsia="仿宋" w:cs="仿宋"/>
                <w:spacing w:val="-21"/>
                <w:sz w:val="24"/>
                <w:szCs w:val="24"/>
                <w:highlight w:val="none"/>
              </w:rPr>
              <w:t xml:space="preserve">电话：</w:t>
            </w:r>
            <w:r/>
          </w:p>
        </w:tc>
        <w:tc>
          <w:tcPr>
            <w:tcW w:w="3221" w:type="dxa"/>
            <w:textDirection w:val="lrTb"/>
            <w:noWrap w:val="false"/>
          </w:tcPr>
          <w:p>
            <w:pPr>
              <w:pStyle w:val="1054"/>
              <w:ind w:left="1510"/>
              <w:spacing w:before="128" w:line="222" w:lineRule="auto"/>
              <w:rPr>
                <w:rFonts w:hint="eastAsia" w:ascii="仿宋" w:hAnsi="仿宋" w:eastAsia="仿宋" w:cs="仿宋"/>
                <w:sz w:val="24"/>
                <w:szCs w:val="24"/>
                <w:highlight w:val="none"/>
              </w:rPr>
            </w:pPr>
            <w:r>
              <w:rPr>
                <w:rFonts w:hint="eastAsia" w:ascii="仿宋" w:hAnsi="仿宋" w:eastAsia="仿宋" w:cs="仿宋"/>
                <w:spacing w:val="-21"/>
                <w:sz w:val="24"/>
                <w:szCs w:val="24"/>
                <w:highlight w:val="none"/>
              </w:rPr>
              <w:t xml:space="preserve">电话：</w:t>
            </w:r>
            <w:r/>
          </w:p>
        </w:tc>
      </w:tr>
      <w:tr>
        <w:trPr>
          <w:trHeight w:val="503"/>
        </w:trPr>
        <w:tc>
          <w:tcPr>
            <w:tcW w:w="3220" w:type="dxa"/>
            <w:textDirection w:val="lrTb"/>
            <w:noWrap w:val="false"/>
          </w:tcPr>
          <w:p>
            <w:pPr>
              <w:pStyle w:val="1054"/>
              <w:ind w:left="1"/>
              <w:spacing w:before="136" w:line="220" w:lineRule="auto"/>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开户银行：</w:t>
            </w:r>
            <w:r/>
          </w:p>
        </w:tc>
        <w:tc>
          <w:tcPr>
            <w:tcW w:w="3221" w:type="dxa"/>
            <w:textDirection w:val="lrTb"/>
            <w:noWrap w:val="false"/>
          </w:tcPr>
          <w:p>
            <w:pPr>
              <w:pStyle w:val="1054"/>
              <w:ind w:left="1483"/>
              <w:spacing w:before="136" w:line="220" w:lineRule="auto"/>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开户银行：</w:t>
            </w:r>
            <w:r/>
          </w:p>
        </w:tc>
      </w:tr>
      <w:tr>
        <w:trPr>
          <w:trHeight w:val="368"/>
        </w:trPr>
        <w:tc>
          <w:tcPr>
            <w:tcW w:w="3220" w:type="dxa"/>
            <w:textDirection w:val="lrTb"/>
            <w:noWrap w:val="false"/>
          </w:tcPr>
          <w:p>
            <w:pPr>
              <w:pStyle w:val="1054"/>
              <w:ind w:left="4"/>
              <w:spacing w:before="129" w:line="176" w:lineRule="auto"/>
              <w:rPr>
                <w:rFonts w:hint="eastAsia" w:ascii="仿宋" w:hAnsi="仿宋" w:eastAsia="仿宋" w:cs="仿宋"/>
                <w:sz w:val="24"/>
                <w:szCs w:val="24"/>
                <w:highlight w:val="none"/>
              </w:rPr>
            </w:pPr>
            <w:r>
              <w:rPr>
                <w:rFonts w:hint="eastAsia" w:ascii="仿宋" w:hAnsi="仿宋" w:eastAsia="仿宋" w:cs="仿宋"/>
                <w:spacing w:val="-15"/>
                <w:sz w:val="24"/>
                <w:szCs w:val="24"/>
                <w:highlight w:val="none"/>
              </w:rPr>
              <w:t xml:space="preserve">账号：</w:t>
            </w:r>
            <w:r/>
          </w:p>
        </w:tc>
        <w:tc>
          <w:tcPr>
            <w:tcW w:w="3221" w:type="dxa"/>
            <w:textDirection w:val="lrTb"/>
            <w:noWrap w:val="false"/>
          </w:tcPr>
          <w:p>
            <w:pPr>
              <w:pStyle w:val="1054"/>
              <w:ind w:left="1485"/>
              <w:spacing w:before="129" w:line="176" w:lineRule="auto"/>
              <w:rPr>
                <w:rFonts w:hint="eastAsia" w:ascii="仿宋" w:hAnsi="仿宋" w:eastAsia="仿宋" w:cs="仿宋"/>
                <w:sz w:val="24"/>
                <w:szCs w:val="24"/>
                <w:highlight w:val="none"/>
              </w:rPr>
            </w:pPr>
            <w:r>
              <w:rPr>
                <w:rFonts w:hint="eastAsia" w:ascii="仿宋" w:hAnsi="仿宋" w:eastAsia="仿宋" w:cs="仿宋"/>
                <w:spacing w:val="-15"/>
                <w:sz w:val="24"/>
                <w:szCs w:val="24"/>
                <w:highlight w:val="none"/>
              </w:rPr>
              <w:t xml:space="preserve">账号：</w:t>
            </w:r>
            <w:r/>
          </w:p>
        </w:tc>
      </w:tr>
    </w:tbl>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签订时间：</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default"/>
          <w:sz w:val="24"/>
          <w:szCs w:val="24"/>
          <w:highlight w:val="none"/>
          <w:lang w:val="en-US" w:eastAsia="zh-CN"/>
        </w:rPr>
      </w:pPr>
      <w:r>
        <w:rPr>
          <w:rFonts w:hint="default"/>
          <w:sz w:val="24"/>
          <w:szCs w:val="24"/>
          <w:highlight w:val="none"/>
          <w:lang w:val="en-US" w:eastAsia="zh-CN"/>
        </w:rPr>
      </w:r>
      <w:r/>
    </w:p>
    <w:p>
      <w:pPr>
        <w:jc w:val="center"/>
        <w:spacing w:before="145" w:after="145" w:line="276" w:lineRule="auto"/>
        <w:rPr>
          <w:rFonts w:hint="eastAsia" w:ascii="宋体" w:hAnsi="宋体"/>
          <w:b/>
          <w:sz w:val="30"/>
          <w:szCs w:val="21"/>
          <w:highlight w:val="none"/>
        </w:rPr>
        <w:outlineLvl w:val="9"/>
      </w:pPr>
      <w:r>
        <w:rPr>
          <w:rFonts w:hint="eastAsia" w:ascii="宋体" w:hAnsi="宋体"/>
          <w:b/>
          <w:sz w:val="30"/>
          <w:szCs w:val="21"/>
          <w:highlight w:val="none"/>
        </w:rPr>
        <w:t xml:space="preserve">《*******合同》补充协议（合同附件）</w:t>
      </w:r>
      <w:bookmarkEnd w:id="183"/>
      <w:r/>
      <w:r/>
    </w:p>
    <w:p>
      <w:pPr>
        <w:pStyle w:val="974"/>
        <w:jc w:val="left"/>
        <w:spacing w:before="120" w:after="120" w:line="276" w:lineRule="auto"/>
        <w:rPr>
          <w:rFonts w:hint="eastAsia" w:hAnsi="宋体"/>
          <w:color w:val="000000"/>
          <w:sz w:val="24"/>
          <w:szCs w:val="24"/>
          <w:highlight w:val="none"/>
        </w:rPr>
        <w:outlineLvl w:val="9"/>
      </w:pPr>
      <w:r>
        <w:rPr>
          <w:rFonts w:hint="eastAsia" w:hAnsi="宋体"/>
          <w:color w:val="000000"/>
          <w:sz w:val="24"/>
          <w:szCs w:val="24"/>
          <w:highlight w:val="none"/>
        </w:rPr>
        <w:t xml:space="preserve">    如遇采购文件及合同未约定事项，双方可友好协商签订补充协议。</w:t>
      </w:r>
      <w:r/>
    </w:p>
    <w:p>
      <w:pPr>
        <w:jc w:val="center"/>
        <w:spacing w:line="360" w:lineRule="auto"/>
        <w:rPr>
          <w:rFonts w:ascii="黑体" w:hAnsi="Courier New" w:eastAsia="黑体" w:cs="Courier New"/>
          <w:bCs/>
          <w:sz w:val="44"/>
          <w:szCs w:val="21"/>
          <w:highlight w:val="none"/>
        </w:rPr>
        <w:outlineLvl w:val="0"/>
      </w:pPr>
      <w:r>
        <w:rPr>
          <w:rFonts w:hint="eastAsia" w:ascii="宋体" w:hAnsi="宋体" w:cs="Courier New"/>
          <w:color w:val="000000"/>
          <w:sz w:val="24"/>
          <w:szCs w:val="24"/>
          <w:highlight w:val="none"/>
        </w:rPr>
        <w:br w:type="page" w:clear="all"/>
      </w:r>
      <w:bookmarkStart w:id="184" w:name="_Toc1812"/>
      <w:r>
        <w:rPr>
          <w:rStyle w:val="816"/>
          <w:rFonts w:hint="eastAsia" w:ascii="黑体" w:hAnsi="黑体" w:eastAsia="黑体" w:cs="黑体"/>
          <w:highlight w:val="none"/>
        </w:rPr>
        <w:t xml:space="preserve">第</w:t>
      </w:r>
      <w:bookmarkEnd w:id="177"/>
      <w:r>
        <w:rPr>
          <w:rStyle w:val="816"/>
          <w:rFonts w:hint="eastAsia" w:ascii="黑体" w:hAnsi="黑体" w:eastAsia="黑体" w:cs="黑体"/>
          <w:highlight w:val="none"/>
        </w:rPr>
        <w:t xml:space="preserve">四章 </w:t>
      </w:r>
      <w:r>
        <w:rPr>
          <w:rStyle w:val="816"/>
          <w:rFonts w:hint="eastAsia" w:ascii="黑体" w:hAnsi="黑体" w:eastAsia="黑体" w:cs="黑体"/>
          <w:highlight w:val="none"/>
          <w:lang w:val="en-US" w:eastAsia="zh-CN"/>
        </w:rPr>
        <w:t xml:space="preserve"> </w:t>
      </w:r>
      <w:r>
        <w:rPr>
          <w:rStyle w:val="816"/>
          <w:rFonts w:hint="eastAsia" w:ascii="黑体" w:hAnsi="黑体" w:eastAsia="黑体" w:cs="黑体"/>
          <w:highlight w:val="none"/>
        </w:rPr>
        <w:t xml:space="preserve">采购需求</w:t>
      </w:r>
      <w:bookmarkEnd w:id="178"/>
      <w:r/>
      <w:bookmarkEnd w:id="179"/>
      <w:r/>
      <w:bookmarkEnd w:id="180"/>
      <w:r/>
      <w:bookmarkEnd w:id="184"/>
      <w:r/>
      <w:bookmarkStart w:id="185" w:name="_Toc49090575"/>
      <w:r/>
      <w:bookmarkStart w:id="186" w:name="_Toc26554093"/>
      <w:r/>
      <w:r/>
    </w:p>
    <w:p>
      <w:pPr>
        <w:keepLines w:val="0"/>
        <w:keepNext w:val="0"/>
        <w:pageBreakBefore w:val="0"/>
        <w:spacing w:line="360" w:lineRule="auto"/>
        <w:widowControl w:val="off"/>
        <w:rPr>
          <w:rFonts w:hint="eastAsia" w:ascii="仿宋" w:hAnsi="仿宋" w:eastAsia="仿宋" w:cs="仿宋"/>
          <w:b/>
          <w:bCs/>
          <w:color w:val="000000"/>
          <w:sz w:val="24"/>
          <w:szCs w:val="24"/>
          <w:highlight w:val="none"/>
        </w:rPr>
      </w:pPr>
      <w:r/>
      <w:bookmarkStart w:id="187" w:name="_Toc8848"/>
      <w:r/>
      <w:bookmarkStart w:id="188" w:name="_Toc120614281"/>
      <w:r>
        <w:rPr>
          <w:rFonts w:hint="eastAsia" w:ascii="仿宋" w:hAnsi="仿宋" w:eastAsia="仿宋" w:cs="仿宋"/>
          <w:b/>
          <w:bCs/>
          <w:color w:val="000000"/>
          <w:sz w:val="24"/>
          <w:szCs w:val="24"/>
          <w:highlight w:val="none"/>
        </w:rPr>
        <w:t xml:space="preserve">一、项目属性：</w:t>
      </w:r>
      <w:r>
        <w:rPr>
          <w:rFonts w:hint="eastAsia" w:ascii="仿宋" w:hAnsi="仿宋" w:eastAsia="仿宋" w:cs="仿宋"/>
          <w:color w:val="000000"/>
          <w:sz w:val="24"/>
          <w:szCs w:val="24"/>
          <w:highlight w:val="none"/>
        </w:rPr>
        <w:t xml:space="preserve">服务类项目</w:t>
      </w:r>
      <w:r/>
    </w:p>
    <w:p>
      <w:pPr>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二、项目概况</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（一）项目背景</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根据《南京市森林消防条例》《江苏省省级森林生态效益补偿资金管理办法》等规定。现需采购江浦街道护林防火第三方服务。</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（二）项目建设遵循标准</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《南京市森林消防条例》</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《江苏省省级森林生态效益补偿资金管理办法》</w:t>
      </w:r>
      <w:r/>
    </w:p>
    <w:p>
      <w:pP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三、</w:t>
      </w:r>
      <w:r>
        <w:rPr>
          <w:rFonts w:hint="eastAsia" w:ascii="仿宋" w:hAnsi="仿宋" w:eastAsia="仿宋" w:cs="仿宋"/>
          <w:b/>
          <w:bCs/>
          <w:color w:val="000000"/>
          <w:sz w:val="24"/>
          <w:szCs w:val="24"/>
          <w:highlight w:val="none"/>
          <w:lang w:val="en-US" w:eastAsia="zh-CN"/>
        </w:rPr>
        <w:t xml:space="preserve">项目</w:t>
      </w:r>
      <w:r>
        <w:rPr>
          <w:rFonts w:hint="eastAsia" w:ascii="仿宋" w:hAnsi="仿宋" w:eastAsia="仿宋" w:cs="仿宋"/>
          <w:b/>
          <w:bCs/>
          <w:color w:val="000000"/>
          <w:sz w:val="24"/>
          <w:szCs w:val="24"/>
          <w:highlight w:val="none"/>
          <w:lang w:eastAsia="zh-CN"/>
        </w:rPr>
        <w:t xml:space="preserve">清单</w:t>
      </w:r>
      <w:r/>
    </w:p>
    <w:tbl>
      <w:tblPr>
        <w:tblStyle w:val="1048"/>
        <w:tblW w:w="524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76"/>
        <w:gridCol w:w="2130"/>
        <w:gridCol w:w="717"/>
        <w:gridCol w:w="1004"/>
        <w:gridCol w:w="1692"/>
        <w:gridCol w:w="1513"/>
        <w:gridCol w:w="903"/>
        <w:gridCol w:w="1078"/>
      </w:tblGrid>
      <w:tr>
        <w:trPr>
          <w:trHeight w:val="732"/>
        </w:trPr>
        <w:tc>
          <w:tcPr>
            <w:tcW w:w="60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序号</w:t>
            </w:r>
            <w:r/>
          </w:p>
        </w:tc>
        <w:tc>
          <w:tcPr>
            <w:tcW w:w="228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分项</w:t>
            </w:r>
            <w:r>
              <w:rPr>
                <w:rFonts w:hint="eastAsia" w:ascii="仿宋" w:hAnsi="仿宋" w:eastAsia="仿宋" w:cs="仿宋"/>
                <w:bCs/>
                <w:color w:val="000000"/>
                <w:sz w:val="24"/>
                <w:szCs w:val="24"/>
                <w:highlight w:val="none"/>
              </w:rPr>
              <w:t xml:space="preserve">名称</w:t>
            </w:r>
            <w:r/>
          </w:p>
        </w:tc>
        <w:tc>
          <w:tcPr>
            <w:tcW w:w="76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数量</w:t>
            </w:r>
            <w:r/>
          </w:p>
        </w:tc>
        <w:tc>
          <w:tcPr>
            <w:tcW w:w="107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单位</w:t>
            </w:r>
            <w:r/>
          </w:p>
        </w:tc>
        <w:tc>
          <w:tcPr>
            <w:tcW w:w="173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单价上限</w:t>
            </w:r>
            <w:r/>
          </w:p>
          <w:p>
            <w:pPr>
              <w:jc w:val="cente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（元）</w:t>
            </w:r>
            <w:r/>
          </w:p>
        </w:tc>
        <w:tc>
          <w:tcPr>
            <w:tcW w:w="163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rPr>
              <w:t xml:space="preserve">所属</w:t>
            </w:r>
            <w:r>
              <w:rPr>
                <w:rFonts w:hint="eastAsia" w:ascii="仿宋" w:hAnsi="仿宋" w:eastAsia="仿宋" w:cs="仿宋"/>
                <w:bCs/>
                <w:color w:val="000000"/>
                <w:sz w:val="24"/>
                <w:szCs w:val="24"/>
                <w:highlight w:val="none"/>
                <w:lang w:eastAsia="zh-CN"/>
              </w:rPr>
              <w:t xml:space="preserve">行业</w:t>
            </w:r>
            <w:r/>
          </w:p>
        </w:tc>
        <w:tc>
          <w:tcPr>
            <w:tcW w:w="96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sz w:val="24"/>
                <w:szCs w:val="24"/>
                <w:highlight w:val="none"/>
                <w:lang w:val="en-US" w:eastAsia="zh-CN"/>
              </w:rPr>
              <w:t xml:space="preserve">属性</w:t>
            </w:r>
            <w:r/>
          </w:p>
        </w:tc>
        <w:tc>
          <w:tcPr>
            <w:tcW w:w="115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备注</w:t>
            </w:r>
            <w:r/>
          </w:p>
        </w:tc>
      </w:tr>
      <w:tr>
        <w:trPr>
          <w:trHeight w:val="638"/>
        </w:trPr>
        <w:tc>
          <w:tcPr>
            <w:tcW w:w="60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p>
        </w:tc>
        <w:tc>
          <w:tcPr>
            <w:tcW w:w="228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2026年江浦街道护林防火第三方服务</w:t>
            </w:r>
            <w:r/>
          </w:p>
        </w:tc>
        <w:tc>
          <w:tcPr>
            <w:tcW w:w="76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w:t>
            </w:r>
            <w:r/>
          </w:p>
        </w:tc>
        <w:tc>
          <w:tcPr>
            <w:tcW w:w="107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项</w:t>
            </w:r>
            <w:r/>
          </w:p>
        </w:tc>
        <w:tc>
          <w:tcPr>
            <w:tcW w:w="173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1320000.00</w:t>
            </w:r>
            <w:r/>
          </w:p>
        </w:tc>
        <w:tc>
          <w:tcPr>
            <w:tcW w:w="163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rPr>
              <w:t xml:space="preserve">其他未列明服务</w:t>
            </w:r>
            <w:r/>
          </w:p>
        </w:tc>
        <w:tc>
          <w:tcPr>
            <w:tcW w:w="96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eastAsia="zh-CN"/>
              </w:rPr>
              <w:t xml:space="preserve">服务</w:t>
            </w:r>
            <w:r/>
          </w:p>
        </w:tc>
        <w:tc>
          <w:tcPr>
            <w:tcW w:w="115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tc>
      </w:tr>
    </w:tbl>
    <w:p>
      <w:pP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四、拟采购标的需要满足的技术、商务要求</w:t>
      </w:r>
      <w:r/>
    </w:p>
    <w:p>
      <w:pPr>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（一）技术要求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1.项目实施内容</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（1）江浦街道有林面积约4.41万亩，其中省、市公益林面积约1.6935万亩，商品林约2.7165万亩。江浦街道与国家级森林公园老山风景区接壤，相连接处11.5公里，</w:t>
      </w:r>
      <w:r>
        <w:rPr>
          <w:rFonts w:hint="eastAsia" w:ascii="仿宋" w:hAnsi="仿宋" w:eastAsia="仿宋" w:cs="仿宋"/>
          <w:sz w:val="24"/>
          <w:szCs w:val="24"/>
          <w:highlight w:val="none"/>
          <w:lang w:val="en-US" w:eastAsia="zh-CN"/>
        </w:rPr>
        <w:t xml:space="preserve">涉及7个社区18个森林防火点位和涉及造成森林防火隐患的周边芦苇、杂草清理，2处森林防火用房；森林防火站点的工作要求每个点全年安排24小时轮流进行值守和巡逻，并对森林防火所巡查的范围进行看护，对森林防火站点防火用具整齐排放、防火站点内及周边环境卫生进行管理，对发现、巡查到的安全隐患的及时整改，无法整改的进行上报；</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（2）成交供应商无条件配备防火物资一批100个灭火器等；</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（3）高旺社区、华光社区2处新建防火站点有人24小时值守；</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（4）根据护林防火需要每年对11.5公里老山森林景区连接处、重点防火区域道路侧10米内清理枯枝、枯叶等易燃物不少于1次；</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（5）成交供应商应具有清晰的组织架构，建立经验丰富、专业全面的服务团队。人员岗位职责应清晰，分工明确、服务规范；</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（6）成交供应商必须恪守职责，严格遵守采购人的管理制度和验收办法；</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（7）采购人有权对成交供应商提供的服务过程、服务质量、服务结果进行监督、检查、指导及验收；</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（8）采购人有权依法对成交供应商违法行为进行调查处理；</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（9）对不能胜任工作或在执行任务中严重违反规定并造成后果的，采购人有权向成交供应商发出书面清退建议；</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（10）成交供应商应根据服务岗位的需要配备物资及装备；</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（12）成交供应商在履行服务期间和上下班路途中，发生的疾病、人身伤害和伤亡等所有事故，均由成交供应商负责处理并承担全部责任，采购人不承担任何责任；</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（13）成交供应商在履行服务的过程中，发生的纠纷自行协调解决；</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（14）成交供应商按照采购人要求定期进行森林防火演练，作为采购人森林防火队伍不断提高防火技能。在遇到火情时第一时间进行处置。</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2.安全责任要求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在工作期间发生的任何工伤和其他事件，其责任及产生的费用由中标单位保障及承担。</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3.验收管理要求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（1）成交供应商若有以下情形之一的，应向采购人支付5000元的违约金，若违约金不足以弥补因此造成采购人的损失或第三方的损失，成交供应商还应赔偿。</w:t>
      </w:r>
      <w:r/>
    </w:p>
    <w:p>
      <w:pPr>
        <w:numPr>
          <w:ilvl w:val="0"/>
          <w:numId w:val="0"/>
        </w:numPr>
        <w:ind w:firstLine="787"/>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1）成交供应商发生超出工作职责范围外的任何行为，造成采购人损失和影响的；</w:t>
      </w:r>
      <w:r/>
    </w:p>
    <w:p>
      <w:pPr>
        <w:numPr>
          <w:ilvl w:val="0"/>
          <w:numId w:val="0"/>
        </w:numPr>
        <w:ind w:firstLine="787"/>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2）成交供应商提供服务时有过错，被媒体进行负面报道造成恶劣影响，并经查实的；</w:t>
      </w:r>
      <w:r/>
    </w:p>
    <w:p>
      <w:pPr>
        <w:numPr>
          <w:ilvl w:val="0"/>
          <w:numId w:val="0"/>
        </w:numPr>
        <w:ind w:firstLine="787"/>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3）其他造成严重后果的情形。</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（2）成交供应商若有以下情形之一的，采购人按次扣减2000元服务费。</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1）成交供应商因巡防工作执行不力被上级主管部门检查通报的；</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2）成交供应商不按规定处置巡护范围内安全隐患，发现不利于森林安全管理事件不上报的；</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3）成交供应商发生本条第1款约定的任一行为，经采购人三次书面指正仍拒不改正的，采购人有权解除本合同；因解除合同造成损失的，由成交供应商承担赔偿责任；</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4）成交供应商违约时，应支付的违约金或赔偿金，采购人可从应付的服务费中扣除，不足部分，有权追偿。</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3）成交供应商发现巡查范围有祭扫或者野炊人员应及时劝导，无法劝导向所在社区和江浦街道农村工作办报告；辖区内发生火情第一时间赶往现场并组织扑救；如发生火情，半小时内未及时到达现场并组织扑救的，未造成损失影响的2000元／次；如因扑救不及时造成损失严重并且有不良影响的处罚1万元／次：发生重大火情，未按照合同履行职责扑救的，造成重大损失或者人员伤亡的，扣罚10万元，采购人有权根据情况考虑是否直接解除合同。</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（4）确保每个护林网格内有一名护林员在岗在位，熟练掌握使用森林防火APP,对未及时上传打卡及巡查路线的按脱岗处理，每人每次扣罚200元。</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（5）对管护林区内发发生的乱征滥占林地，乱砍滥伐林木，乱捕滥猎野生动物，乱采滥挖野生植物等破坏森林资源行为的未及时处理并上报的扣罚500元/次。</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（二）商务要求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1.报价要求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（1）本项目报价采用固定总价合同，投标总报价应包括但不限于服务的人员工资及各种社会福利费（含保险），材料费、机械设备、工器具费，服装费、 通讯费 、交通费，水电费、垃圾清运费，税费等完成本项目的所有费用以及合同实施过程中应预见和不可预见费用。投标供应商应根据上述因素自行考虑含入磋商总价；</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（2）在履行合同期间如成本上涨或降低，业主对价格一律不作调整；</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（3）本次报价须为人民币报价。</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2.交付时间及地点</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（1）交付时间：365</w:t>
      </w:r>
      <w:r>
        <w:rPr>
          <w:rFonts w:hint="eastAsia" w:ascii="仿宋" w:hAnsi="仿宋" w:eastAsia="仿宋" w:cs="仿宋"/>
          <w:sz w:val="24"/>
          <w:szCs w:val="24"/>
          <w:highlight w:val="none"/>
          <w:lang w:val="en-US" w:eastAsia="zh-CN"/>
        </w:rPr>
        <w:t xml:space="preserve">日历天</w:t>
      </w:r>
      <w:r>
        <w:rPr>
          <w:rFonts w:hint="eastAsia" w:ascii="仿宋" w:hAnsi="仿宋" w:eastAsia="仿宋" w:cs="仿宋"/>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（2）交付地点：浦口区江浦街道辖区范围内（采购人指定地点）。</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3.付款条件</w:t>
      </w:r>
      <w:r/>
    </w:p>
    <w:p>
      <w:pPr>
        <w:numPr>
          <w:ilvl w:val="0"/>
          <w:numId w:val="0"/>
        </w:numPr>
        <w:ind w:firstLine="480"/>
        <w:jc w:val="left"/>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合同签订后支付合同价20%，剩余价款按每三个月支付一次，每次支付合同价20%，采购人根据验收结果确定每次服务费付款。 </w:t>
      </w:r>
      <w:r/>
    </w:p>
    <w:p>
      <w:pPr>
        <w:rPr>
          <w:rFonts w:hint="eastAsia" w:ascii="黑体" w:hAnsi="黑体" w:eastAsia="黑体" w:cs="黑体"/>
          <w:highlight w:val="none"/>
        </w:rPr>
      </w:pPr>
      <w:r>
        <w:rPr>
          <w:rFonts w:hint="eastAsia" w:ascii="黑体" w:hAnsi="黑体" w:eastAsia="黑体" w:cs="黑体"/>
          <w:highlight w:val="none"/>
        </w:rPr>
        <w:br w:type="page" w:clear="all"/>
      </w:r>
      <w:r/>
    </w:p>
    <w:p>
      <w:pPr>
        <w:pStyle w:val="705"/>
        <w:jc w:val="center"/>
        <w:rPr>
          <w:rFonts w:hint="eastAsia" w:ascii="黑体" w:hAnsi="黑体" w:eastAsia="黑体" w:cs="黑体"/>
          <w:highlight w:val="none"/>
        </w:rPr>
      </w:pPr>
      <w:r>
        <w:rPr>
          <w:rFonts w:hint="eastAsia" w:ascii="黑体" w:hAnsi="黑体" w:eastAsia="黑体" w:cs="黑体"/>
          <w:highlight w:val="none"/>
        </w:rPr>
        <w:t xml:space="preserve">第五章  评审方法与评审标准</w:t>
      </w:r>
      <w:bookmarkEnd w:id="187"/>
      <w:r/>
      <w:r/>
    </w:p>
    <w:p>
      <w:pPr>
        <w:spacing w:line="288" w:lineRule="auto"/>
        <w:rPr>
          <w:szCs w:val="21"/>
          <w:highlight w:val="none"/>
        </w:rPr>
      </w:pPr>
      <w:r>
        <w:rPr>
          <w:szCs w:val="21"/>
          <w:highlight w:val="none"/>
        </w:rPr>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一、评审方法</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采用综合评分法，对满足磋商文件全部实质性要求的响应文件按评审因素的量化指标评审总分对供应商进行排序。</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经磋商确定最终采购需求和提交最后报价的供应商后，磋商小组成员采用综合评分法独立对提交最后报价的供应商的响应文件和最后报价进行综合评分。</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磋商小组按照评审总分由高到低顺序推荐1名成交候选供应商，并编写评审报告。评审得分相同的，按照最后报价由低到高的顺序推荐。</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二、小微企业价格扣除</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lang w:val="en-US" w:eastAsia="zh-CN"/>
        </w:rPr>
        <w:t xml:space="preserve">本项目专门面向中小企业采购，不执行价格扣除政策，供应商应为中小微企业、监狱企业、残疾人福利性单位。</w:t>
      </w:r>
      <w:r>
        <w:rPr>
          <w:rFonts w:hint="eastAsia" w:ascii="仿宋" w:hAnsi="仿宋" w:eastAsia="仿宋" w:cs="仿宋"/>
          <w:b/>
          <w:bCs/>
          <w:sz w:val="24"/>
          <w:szCs w:val="24"/>
          <w:highlight w:val="none"/>
        </w:rPr>
        <w:br w:type="page" w:clear="all"/>
      </w:r>
      <w:r/>
    </w:p>
    <w:p>
      <w:pPr>
        <w:jc w:val="left"/>
        <w:spacing w:line="360" w:lineRule="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三、评审</w:t>
      </w:r>
      <w:r>
        <w:rPr>
          <w:rFonts w:hint="eastAsia" w:ascii="仿宋" w:hAnsi="仿宋" w:eastAsia="仿宋" w:cs="仿宋"/>
          <w:b/>
          <w:sz w:val="24"/>
          <w:szCs w:val="24"/>
          <w:highlight w:val="none"/>
        </w:rPr>
        <w:t xml:space="preserve">标准</w:t>
      </w:r>
      <w:r/>
    </w:p>
    <w:tbl>
      <w:tblPr>
        <w:tblStyle w:val="1048"/>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57"/>
        <w:gridCol w:w="6547"/>
        <w:gridCol w:w="637"/>
        <w:gridCol w:w="852"/>
      </w:tblGrid>
      <w:tr>
        <w:trPr>
          <w:jc w:val="center"/>
          <w:trHeight w:val="479"/>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b/>
                <w:bCs/>
                <w:spacing w:val="-3"/>
                <w:szCs w:val="22"/>
                <w:highlight w:val="none"/>
              </w:rPr>
            </w:pPr>
            <w:r>
              <w:rPr>
                <w:rFonts w:hint="eastAsia" w:ascii="仿宋" w:hAnsi="仿宋" w:eastAsia="仿宋" w:cs="仿宋"/>
                <w:b/>
                <w:bCs/>
                <w:spacing w:val="-3"/>
                <w:szCs w:val="22"/>
                <w:highlight w:val="none"/>
              </w:rPr>
              <w:t xml:space="preserve">序号</w:t>
            </w:r>
            <w:r/>
          </w:p>
        </w:tc>
        <w:tc>
          <w:tcPr>
            <w:tcW w:w="1057"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b/>
                <w:bCs/>
                <w:spacing w:val="-3"/>
                <w:szCs w:val="22"/>
                <w:highlight w:val="none"/>
              </w:rPr>
            </w:pPr>
            <w:r>
              <w:rPr>
                <w:rFonts w:hint="eastAsia" w:ascii="仿宋" w:hAnsi="仿宋" w:eastAsia="仿宋" w:cs="仿宋"/>
                <w:b/>
                <w:bCs/>
                <w:spacing w:val="-3"/>
                <w:szCs w:val="22"/>
                <w:highlight w:val="none"/>
              </w:rPr>
              <w:t xml:space="preserve">评审因素</w:t>
            </w:r>
            <w:r/>
          </w:p>
        </w:tc>
        <w:tc>
          <w:tcPr>
            <w:tcW w:w="6547"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b/>
                <w:bCs/>
                <w:spacing w:val="-3"/>
                <w:szCs w:val="22"/>
                <w:highlight w:val="none"/>
              </w:rPr>
            </w:pPr>
            <w:r>
              <w:rPr>
                <w:rFonts w:hint="eastAsia" w:ascii="仿宋" w:hAnsi="仿宋" w:eastAsia="仿宋" w:cs="仿宋"/>
                <w:b/>
                <w:bCs/>
                <w:spacing w:val="-3"/>
                <w:szCs w:val="22"/>
                <w:highlight w:val="none"/>
              </w:rPr>
              <w:t xml:space="preserve">评审细则</w:t>
            </w:r>
            <w:r/>
          </w:p>
        </w:tc>
        <w:tc>
          <w:tcPr>
            <w:tcW w:w="637"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b/>
                <w:bCs/>
                <w:spacing w:val="-3"/>
                <w:szCs w:val="22"/>
                <w:highlight w:val="none"/>
              </w:rPr>
            </w:pPr>
            <w:r>
              <w:rPr>
                <w:rFonts w:hint="eastAsia" w:ascii="仿宋" w:hAnsi="仿宋" w:eastAsia="仿宋" w:cs="仿宋"/>
                <w:b/>
                <w:bCs/>
                <w:spacing w:val="-3"/>
                <w:szCs w:val="22"/>
                <w:highlight w:val="none"/>
              </w:rPr>
              <w:t xml:space="preserve">分值</w:t>
            </w:r>
            <w:r/>
          </w:p>
        </w:tc>
        <w:tc>
          <w:tcPr>
            <w:tcW w:w="852" w:type="dxa"/>
            <w:vAlign w:val="center"/>
            <w:textDirection w:val="lrTb"/>
            <w:noWrap w:val="false"/>
          </w:tcPr>
          <w:p>
            <w:pPr>
              <w:jc w:val="center"/>
              <w:keepLines w:val="0"/>
              <w:keepNext w:val="0"/>
              <w:pageBreakBefore w:val="0"/>
              <w:spacing w:before="68" w:line="264" w:lineRule="auto"/>
              <w:widowControl w:val="off"/>
              <w:rPr>
                <w:rFonts w:hint="eastAsia" w:ascii="仿宋" w:hAnsi="仿宋" w:eastAsia="仿宋" w:cs="仿宋"/>
                <w:b/>
                <w:bCs/>
                <w:spacing w:val="-3"/>
                <w:szCs w:val="22"/>
                <w:highlight w:val="none"/>
              </w:rPr>
            </w:pPr>
            <w:r>
              <w:rPr>
                <w:rFonts w:hint="eastAsia" w:ascii="仿宋" w:hAnsi="仿宋" w:eastAsia="仿宋" w:cs="仿宋"/>
                <w:b/>
                <w:bCs/>
                <w:spacing w:val="-3"/>
                <w:szCs w:val="22"/>
                <w:highlight w:val="none"/>
              </w:rPr>
              <w:t xml:space="preserve">类型</w:t>
            </w:r>
            <w:r/>
          </w:p>
        </w:tc>
      </w:tr>
      <w:tr>
        <w:trPr>
          <w:jc w:val="center"/>
          <w:trHeight w:val="460"/>
        </w:trPr>
        <w:tc>
          <w:tcPr>
            <w:gridSpan w:val="5"/>
            <w:tcW w:w="9612" w:type="dxa"/>
            <w:vAlign w:val="top"/>
            <w:textDirection w:val="lrTb"/>
            <w:noWrap w:val="false"/>
          </w:tcPr>
          <w:p>
            <w:pPr>
              <w:ind w:left="114"/>
              <w:keepLines w:val="0"/>
              <w:keepNext w:val="0"/>
              <w:pageBreakBefore w:val="0"/>
              <w:spacing w:before="122" w:line="264" w:lineRule="auto"/>
              <w:widowControl w:val="off"/>
              <w:rPr>
                <w:rFonts w:hint="eastAsia" w:ascii="仿宋" w:hAnsi="仿宋" w:eastAsia="仿宋" w:cs="仿宋"/>
                <w:szCs w:val="21"/>
                <w:highlight w:val="none"/>
              </w:rPr>
            </w:pPr>
            <w:r>
              <w:rPr>
                <w:rFonts w:hint="eastAsia" w:ascii="仿宋" w:hAnsi="仿宋" w:eastAsia="仿宋" w:cs="仿宋"/>
                <w:b/>
                <w:bCs/>
                <w:spacing w:val="-3"/>
                <w:szCs w:val="21"/>
                <w:highlight w:val="none"/>
                <w:lang w:val="en-US" w:eastAsia="zh-CN"/>
              </w:rPr>
              <w:t xml:space="preserve">1.</w:t>
            </w:r>
            <w:r>
              <w:rPr>
                <w:rFonts w:hint="eastAsia" w:ascii="仿宋" w:hAnsi="仿宋" w:eastAsia="仿宋" w:cs="仿宋"/>
                <w:b/>
                <w:bCs/>
                <w:spacing w:val="-3"/>
                <w:szCs w:val="21"/>
                <w:highlight w:val="none"/>
              </w:rPr>
              <w:t xml:space="preserve">价</w:t>
            </w:r>
            <w:r>
              <w:rPr>
                <w:rFonts w:hint="eastAsia" w:ascii="仿宋" w:hAnsi="仿宋" w:eastAsia="仿宋" w:cs="仿宋"/>
                <w:b/>
                <w:bCs/>
                <w:spacing w:val="-2"/>
                <w:szCs w:val="21"/>
                <w:highlight w:val="none"/>
              </w:rPr>
              <w:t xml:space="preserve">格</w:t>
            </w:r>
            <w:r/>
          </w:p>
        </w:tc>
      </w:tr>
      <w:tr>
        <w:trPr>
          <w:jc w:val="center"/>
          <w:trHeight w:val="1030"/>
        </w:trPr>
        <w:tc>
          <w:tcPr>
            <w:tcW w:w="519"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w:t>
            </w:r>
            <w:r/>
          </w:p>
        </w:tc>
        <w:tc>
          <w:tcPr>
            <w:tcW w:w="1057"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价格分</w:t>
            </w:r>
            <w:r/>
          </w:p>
        </w:tc>
        <w:tc>
          <w:tcPr>
            <w:tcW w:w="6547" w:type="dxa"/>
            <w:vAlign w:val="center"/>
            <w:textDirection w:val="lrTb"/>
            <w:noWrap w:val="false"/>
          </w:tcPr>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采用低价优先法计算</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即满足</w:t>
            </w:r>
            <w:r>
              <w:rPr>
                <w:rFonts w:hint="eastAsia" w:ascii="仿宋" w:hAnsi="仿宋" w:eastAsia="仿宋" w:cs="仿宋"/>
                <w:sz w:val="22"/>
                <w:szCs w:val="22"/>
                <w:highlight w:val="none"/>
                <w:lang w:eastAsia="zh-CN"/>
              </w:rPr>
              <w:t xml:space="preserve">采购</w:t>
            </w:r>
            <w:r>
              <w:rPr>
                <w:rFonts w:hint="eastAsia" w:ascii="仿宋" w:hAnsi="仿宋" w:eastAsia="仿宋" w:cs="仿宋"/>
                <w:sz w:val="22"/>
                <w:szCs w:val="22"/>
                <w:highlight w:val="none"/>
              </w:rPr>
              <w:t xml:space="preserve">文件要求且</w:t>
            </w:r>
            <w:r>
              <w:rPr>
                <w:rFonts w:hint="eastAsia" w:ascii="仿宋" w:hAnsi="仿宋" w:eastAsia="仿宋" w:cs="仿宋"/>
                <w:sz w:val="22"/>
                <w:szCs w:val="22"/>
                <w:highlight w:val="none"/>
                <w:lang w:eastAsia="zh-CN"/>
              </w:rPr>
              <w:t xml:space="preserve">最终报价</w:t>
            </w:r>
            <w:r>
              <w:rPr>
                <w:rFonts w:hint="eastAsia" w:ascii="仿宋" w:hAnsi="仿宋" w:eastAsia="仿宋" w:cs="仿宋"/>
                <w:sz w:val="22"/>
                <w:szCs w:val="22"/>
                <w:highlight w:val="none"/>
              </w:rPr>
              <w:t xml:space="preserve">最低的</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报价为评标基准价</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其价格分为满分。其他</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的价格分统一按照下列公式计算：报价得分=(评标基准价/</w:t>
            </w:r>
            <w:r>
              <w:rPr>
                <w:rFonts w:hint="eastAsia" w:ascii="仿宋" w:hAnsi="仿宋" w:eastAsia="仿宋" w:cs="仿宋"/>
                <w:sz w:val="22"/>
                <w:szCs w:val="22"/>
                <w:highlight w:val="none"/>
                <w:lang w:eastAsia="zh-CN"/>
              </w:rPr>
              <w:t xml:space="preserve">最终</w:t>
            </w:r>
            <w:r>
              <w:rPr>
                <w:rFonts w:hint="eastAsia" w:ascii="仿宋" w:hAnsi="仿宋" w:eastAsia="仿宋" w:cs="仿宋"/>
                <w:sz w:val="22"/>
                <w:szCs w:val="22"/>
                <w:highlight w:val="none"/>
              </w:rPr>
              <w:t xml:space="preserve">报价)×</w:t>
            </w:r>
            <w:r>
              <w:rPr>
                <w:rFonts w:hint="eastAsia" w:ascii="仿宋" w:hAnsi="仿宋" w:eastAsia="仿宋" w:cs="仿宋"/>
                <w:sz w:val="22"/>
                <w:szCs w:val="22"/>
                <w:highlight w:val="none"/>
                <w:lang w:val="en-US" w:eastAsia="zh-CN"/>
              </w:rPr>
              <w:t xml:space="preserve">20（小数点保留两位）</w:t>
            </w:r>
            <w:r/>
          </w:p>
        </w:tc>
        <w:tc>
          <w:tcPr>
            <w:tcW w:w="637" w:type="dxa"/>
            <w:vAlign w:val="center"/>
            <w:textDirection w:val="lrTb"/>
            <w:noWrap w:val="false"/>
          </w:tcPr>
          <w:p>
            <w:pPr>
              <w:jc w:val="center"/>
              <w:rPr>
                <w:rFonts w:hint="default"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20</w:t>
            </w:r>
            <w:r/>
          </w:p>
        </w:tc>
        <w:tc>
          <w:tcPr>
            <w:tcW w:w="852" w:type="dxa"/>
            <w:vAlign w:val="center"/>
            <w:textDirection w:val="lrTb"/>
            <w:noWrap w:val="false"/>
          </w:tcPr>
          <w:p>
            <w:pPr>
              <w:jc w:val="center"/>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 xml:space="preserve">价格分</w:t>
            </w:r>
            <w:r/>
          </w:p>
        </w:tc>
      </w:tr>
      <w:tr>
        <w:trPr>
          <w:jc w:val="center"/>
          <w:trHeight w:val="460"/>
        </w:trPr>
        <w:tc>
          <w:tcPr>
            <w:gridSpan w:val="5"/>
            <w:tcW w:w="9612" w:type="dxa"/>
            <w:vAlign w:val="top"/>
            <w:textDirection w:val="lrTb"/>
            <w:noWrap w:val="false"/>
          </w:tcPr>
          <w:p>
            <w:pPr>
              <w:ind w:left="114"/>
              <w:keepLines w:val="0"/>
              <w:keepNext w:val="0"/>
              <w:pageBreakBefore w:val="0"/>
              <w:spacing w:before="123" w:line="264" w:lineRule="auto"/>
              <w:widowControl w:val="off"/>
              <w:rPr>
                <w:rFonts w:hint="eastAsia" w:ascii="仿宋" w:hAnsi="仿宋" w:eastAsia="仿宋" w:cs="仿宋"/>
                <w:szCs w:val="21"/>
                <w:highlight w:val="none"/>
              </w:rPr>
            </w:pPr>
            <w:r>
              <w:rPr>
                <w:rFonts w:hint="eastAsia" w:ascii="仿宋" w:hAnsi="仿宋" w:eastAsia="仿宋" w:cs="仿宋"/>
                <w:b/>
                <w:bCs/>
                <w:spacing w:val="-3"/>
                <w:szCs w:val="21"/>
                <w:highlight w:val="none"/>
                <w:lang w:val="en-US" w:eastAsia="zh-CN"/>
              </w:rPr>
              <w:t xml:space="preserve">2.服务</w:t>
            </w:r>
            <w:r/>
          </w:p>
        </w:tc>
      </w:tr>
      <w:tr>
        <w:trPr>
          <w:jc w:val="center"/>
          <w:trHeight w:val="891"/>
        </w:trPr>
        <w:tc>
          <w:tcPr>
            <w:tcW w:w="519"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2.1</w:t>
            </w:r>
            <w:r/>
          </w:p>
        </w:tc>
        <w:tc>
          <w:tcPr>
            <w:tcW w:w="1057"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项目完成进度计划、保障措施</w:t>
            </w:r>
            <w:r/>
          </w:p>
        </w:tc>
        <w:tc>
          <w:tcPr>
            <w:tcW w:w="6547" w:type="dxa"/>
            <w:vAlign w:val="center"/>
            <w:textDirection w:val="lrTb"/>
            <w:noWrap w:val="false"/>
          </w:tcPr>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对投标人项目完成进度计划、保障措施的合理性、可行性等进行综合评价：</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项目完成进度计划、保障措施的合理性、可行性强得</w:t>
            </w:r>
            <w:r>
              <w:rPr>
                <w:rFonts w:hint="eastAsia" w:ascii="仿宋" w:hAnsi="仿宋" w:eastAsia="仿宋" w:cs="仿宋"/>
                <w:sz w:val="22"/>
                <w:szCs w:val="22"/>
                <w:highlight w:val="none"/>
                <w:lang w:val="en-US" w:eastAsia="zh-CN"/>
              </w:rPr>
              <w:t xml:space="preserve">10</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项目完成进度计划、保障措施的合理性、可行性较强得</w:t>
            </w:r>
            <w:r>
              <w:rPr>
                <w:rFonts w:hint="eastAsia" w:ascii="仿宋" w:hAnsi="仿宋" w:eastAsia="仿宋" w:cs="仿宋"/>
                <w:sz w:val="22"/>
                <w:szCs w:val="22"/>
                <w:highlight w:val="none"/>
                <w:lang w:val="en-US" w:eastAsia="zh-CN"/>
              </w:rPr>
              <w:t xml:space="preserve">7</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项目完成进度计划、保障措施的合理性、可行性一般得</w:t>
            </w: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项目完成进度计划、保障措施不全面的得</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若无此项得0分。</w:t>
            </w:r>
            <w:r/>
          </w:p>
        </w:tc>
        <w:tc>
          <w:tcPr>
            <w:tcW w:w="637"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10</w:t>
            </w:r>
            <w:r/>
          </w:p>
        </w:tc>
        <w:tc>
          <w:tcPr>
            <w:tcW w:w="852" w:type="dxa"/>
            <w:vAlign w:val="center"/>
            <w:textDirection w:val="lrTb"/>
            <w:noWrap w:val="false"/>
          </w:tcPr>
          <w:p>
            <w:pPr>
              <w:jc w:val="center"/>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主观</w:t>
            </w:r>
            <w:r>
              <w:rPr>
                <w:rFonts w:hint="eastAsia" w:ascii="仿宋" w:hAnsi="仿宋" w:eastAsia="仿宋" w:cs="仿宋"/>
                <w:sz w:val="22"/>
                <w:szCs w:val="22"/>
                <w:highlight w:val="none"/>
                <w:lang w:eastAsia="zh-CN"/>
              </w:rPr>
              <w:t xml:space="preserve">分</w:t>
            </w:r>
            <w:r/>
          </w:p>
        </w:tc>
      </w:tr>
      <w:tr>
        <w:trPr>
          <w:jc w:val="center"/>
          <w:trHeight w:val="889"/>
        </w:trPr>
        <w:tc>
          <w:tcPr>
            <w:tcW w:w="519"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2.2</w:t>
            </w:r>
            <w:r/>
          </w:p>
        </w:tc>
        <w:tc>
          <w:tcPr>
            <w:tcW w:w="1057"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服务质量控制</w:t>
            </w:r>
            <w:r/>
          </w:p>
        </w:tc>
        <w:tc>
          <w:tcPr>
            <w:tcW w:w="6547" w:type="dxa"/>
            <w:vAlign w:val="center"/>
            <w:textDirection w:val="lrTb"/>
            <w:noWrap w:val="false"/>
          </w:tcPr>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对投标人服务质量控制措施的科学性和合理性进行综合评价：</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服务质量控制措施完善具体且科学合理的得</w:t>
            </w:r>
            <w:r>
              <w:rPr>
                <w:rFonts w:hint="eastAsia" w:ascii="仿宋" w:hAnsi="仿宋" w:eastAsia="仿宋" w:cs="仿宋"/>
                <w:sz w:val="22"/>
                <w:szCs w:val="22"/>
                <w:highlight w:val="none"/>
                <w:lang w:val="en-US" w:eastAsia="zh-CN"/>
              </w:rPr>
              <w:t xml:space="preserve">10</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服务质量控制措施略有瑕疵的得</w:t>
            </w:r>
            <w:r>
              <w:rPr>
                <w:rFonts w:hint="eastAsia" w:ascii="仿宋" w:hAnsi="仿宋" w:eastAsia="仿宋" w:cs="仿宋"/>
                <w:sz w:val="22"/>
                <w:szCs w:val="22"/>
                <w:highlight w:val="none"/>
                <w:lang w:val="en-US" w:eastAsia="zh-CN"/>
              </w:rPr>
              <w:t xml:space="preserve">7</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服务质量控制措施一般的得</w:t>
            </w: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服务质量控制措施不全面的得</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若无此项得0分。</w:t>
            </w:r>
            <w:r/>
          </w:p>
        </w:tc>
        <w:tc>
          <w:tcPr>
            <w:tcW w:w="637"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10</w:t>
            </w:r>
            <w:r/>
          </w:p>
        </w:tc>
        <w:tc>
          <w:tcPr>
            <w:tcW w:w="85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主观</w:t>
            </w:r>
            <w:r>
              <w:rPr>
                <w:rFonts w:hint="eastAsia" w:ascii="仿宋" w:hAnsi="仿宋" w:eastAsia="仿宋" w:cs="仿宋"/>
                <w:sz w:val="22"/>
                <w:szCs w:val="22"/>
                <w:highlight w:val="none"/>
                <w:lang w:eastAsia="zh-CN"/>
              </w:rPr>
              <w:t xml:space="preserve">分</w:t>
            </w:r>
            <w:r/>
          </w:p>
        </w:tc>
      </w:tr>
      <w:tr>
        <w:trPr>
          <w:jc w:val="center"/>
          <w:trHeight w:val="2045"/>
        </w:trPr>
        <w:tc>
          <w:tcPr>
            <w:tcW w:w="519"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2.3</w:t>
            </w:r>
            <w:r/>
          </w:p>
        </w:tc>
        <w:tc>
          <w:tcPr>
            <w:tcW w:w="1057"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项目组织方案及材料、机械和设备安排方案</w:t>
            </w:r>
            <w:r/>
          </w:p>
        </w:tc>
        <w:tc>
          <w:tcPr>
            <w:tcW w:w="6547" w:type="dxa"/>
            <w:vAlign w:val="center"/>
            <w:textDirection w:val="lrTb"/>
            <w:noWrap w:val="false"/>
          </w:tcPr>
          <w:p>
            <w:pPr>
              <w:jc w:val="left"/>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对投标人项目组织方案及材料、机械和设备安排方案进行评价</w:t>
            </w:r>
            <w:r>
              <w:rPr>
                <w:rFonts w:hint="eastAsia" w:ascii="仿宋" w:hAnsi="仿宋" w:eastAsia="仿宋" w:cs="仿宋"/>
                <w:sz w:val="22"/>
                <w:szCs w:val="22"/>
                <w:highlight w:val="none"/>
                <w:lang w:eastAsia="zh-CN"/>
              </w:rPr>
              <w:t xml:space="preserve">：</w:t>
            </w:r>
            <w:r/>
          </w:p>
          <w:p>
            <w:pPr>
              <w:jc w:val="left"/>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方案合理、完整、针对性强得1</w:t>
            </w:r>
            <w:r>
              <w:rPr>
                <w:rFonts w:hint="eastAsia" w:ascii="仿宋" w:hAnsi="仿宋" w:eastAsia="仿宋" w:cs="仿宋"/>
                <w:sz w:val="22"/>
                <w:szCs w:val="22"/>
                <w:highlight w:val="none"/>
                <w:lang w:val="en-US" w:eastAsia="zh-CN"/>
              </w:rPr>
              <w:t xml:space="preserve">0</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w:t>
            </w:r>
            <w:r/>
          </w:p>
          <w:p>
            <w:pPr>
              <w:jc w:val="left"/>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方案较合理、较完整、针对性较强得</w:t>
            </w:r>
            <w:r>
              <w:rPr>
                <w:rFonts w:hint="eastAsia" w:ascii="仿宋" w:hAnsi="仿宋" w:eastAsia="仿宋" w:cs="仿宋"/>
                <w:sz w:val="22"/>
                <w:szCs w:val="22"/>
                <w:highlight w:val="none"/>
                <w:lang w:val="en-US" w:eastAsia="zh-CN"/>
              </w:rPr>
              <w:t xml:space="preserve">7</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方案基本合理、基本完整、针对性一般得</w:t>
            </w: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方案无针对性的合理性欠缺的得</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若无此项得0分。</w:t>
            </w:r>
            <w:r/>
          </w:p>
        </w:tc>
        <w:tc>
          <w:tcPr>
            <w:tcW w:w="637"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10</w:t>
            </w:r>
            <w:r/>
          </w:p>
        </w:tc>
        <w:tc>
          <w:tcPr>
            <w:tcW w:w="85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主观</w:t>
            </w:r>
            <w:r>
              <w:rPr>
                <w:rFonts w:hint="eastAsia" w:ascii="仿宋" w:hAnsi="仿宋" w:eastAsia="仿宋" w:cs="仿宋"/>
                <w:sz w:val="22"/>
                <w:szCs w:val="22"/>
                <w:highlight w:val="none"/>
                <w:lang w:eastAsia="zh-CN"/>
              </w:rPr>
              <w:t xml:space="preserve">分</w:t>
            </w:r>
            <w:r/>
          </w:p>
        </w:tc>
      </w:tr>
      <w:tr>
        <w:trPr>
          <w:jc w:val="center"/>
          <w:trHeight w:val="868"/>
        </w:trPr>
        <w:tc>
          <w:tcPr>
            <w:tcW w:w="519"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2.4</w:t>
            </w:r>
            <w:r/>
          </w:p>
        </w:tc>
        <w:tc>
          <w:tcPr>
            <w:tcW w:w="1057"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护林防火措施方案</w:t>
            </w:r>
            <w:r/>
          </w:p>
        </w:tc>
        <w:tc>
          <w:tcPr>
            <w:tcW w:w="6547" w:type="dxa"/>
            <w:vAlign w:val="center"/>
            <w:textDirection w:val="lrTb"/>
            <w:noWrap w:val="false"/>
          </w:tcPr>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护林防火措施方案全面合理，具体明确，可操作性强得</w:t>
            </w:r>
            <w:r>
              <w:rPr>
                <w:rFonts w:hint="eastAsia" w:ascii="仿宋" w:hAnsi="仿宋" w:eastAsia="仿宋" w:cs="仿宋"/>
                <w:sz w:val="22"/>
                <w:szCs w:val="22"/>
                <w:highlight w:val="none"/>
                <w:lang w:val="en-US" w:eastAsia="zh-CN"/>
              </w:rPr>
              <w:t xml:space="preserve">12</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方案比较全面合理，具体明确，可操作性较强得</w:t>
            </w:r>
            <w:r>
              <w:rPr>
                <w:rFonts w:hint="eastAsia" w:ascii="仿宋" w:hAnsi="仿宋" w:eastAsia="仿宋" w:cs="仿宋"/>
                <w:sz w:val="22"/>
                <w:szCs w:val="22"/>
                <w:highlight w:val="none"/>
                <w:lang w:val="en-US" w:eastAsia="zh-CN"/>
              </w:rPr>
              <w:t xml:space="preserve">9</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方案基本全面合理，基本具体明确，可操作性一般得</w:t>
            </w: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方案措施有瑕疵粗糙，不明确的得</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若无此项得0分。</w:t>
            </w:r>
            <w:r/>
          </w:p>
        </w:tc>
        <w:tc>
          <w:tcPr>
            <w:tcW w:w="637"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12</w:t>
            </w:r>
            <w:r/>
          </w:p>
        </w:tc>
        <w:tc>
          <w:tcPr>
            <w:tcW w:w="85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主观</w:t>
            </w:r>
            <w:r>
              <w:rPr>
                <w:rFonts w:hint="eastAsia" w:ascii="仿宋" w:hAnsi="仿宋" w:eastAsia="仿宋" w:cs="仿宋"/>
                <w:sz w:val="22"/>
                <w:szCs w:val="22"/>
                <w:highlight w:val="none"/>
                <w:lang w:eastAsia="zh-CN"/>
              </w:rPr>
              <w:t xml:space="preserve">分</w:t>
            </w:r>
            <w:r/>
          </w:p>
        </w:tc>
      </w:tr>
      <w:tr>
        <w:trPr>
          <w:jc w:val="center"/>
          <w:trHeight w:val="2529"/>
        </w:trPr>
        <w:tc>
          <w:tcPr>
            <w:tcW w:w="519"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2.5</w:t>
            </w:r>
            <w:r/>
          </w:p>
        </w:tc>
        <w:tc>
          <w:tcPr>
            <w:tcW w:w="1057"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看护巡查岗位</w:t>
            </w:r>
            <w:r>
              <w:rPr>
                <w:rFonts w:hint="eastAsia" w:ascii="仿宋" w:hAnsi="仿宋" w:eastAsia="仿宋" w:cs="仿宋"/>
                <w:sz w:val="22"/>
                <w:szCs w:val="22"/>
                <w:highlight w:val="none"/>
                <w:lang w:val="en-US" w:eastAsia="zh-CN"/>
              </w:rPr>
              <w:t xml:space="preserve">设置</w:t>
            </w:r>
            <w:r/>
          </w:p>
        </w:tc>
        <w:tc>
          <w:tcPr>
            <w:tcW w:w="6547" w:type="dxa"/>
            <w:vAlign w:val="center"/>
            <w:textDirection w:val="lrTb"/>
            <w:noWrap w:val="false"/>
          </w:tcPr>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看护巡查岗位设置合理，有明确的岗位职责，工作流程完整、针对性强，各类规章制度健全规范的得</w:t>
            </w:r>
            <w:r>
              <w:rPr>
                <w:rFonts w:hint="eastAsia" w:ascii="仿宋" w:hAnsi="仿宋" w:eastAsia="仿宋" w:cs="仿宋"/>
                <w:sz w:val="22"/>
                <w:szCs w:val="22"/>
                <w:highlight w:val="none"/>
                <w:lang w:val="en-US" w:eastAsia="zh-CN"/>
              </w:rPr>
              <w:t xml:space="preserve">12</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岗位设置合理，有明确的岗位职责，工作流程较完整、针对性较强，各类规章制度较健全规范的得</w:t>
            </w:r>
            <w:r>
              <w:rPr>
                <w:rFonts w:hint="eastAsia" w:ascii="仿宋" w:hAnsi="仿宋" w:eastAsia="仿宋" w:cs="仿宋"/>
                <w:sz w:val="22"/>
                <w:szCs w:val="22"/>
                <w:highlight w:val="none"/>
                <w:lang w:val="en-US" w:eastAsia="zh-CN"/>
              </w:rPr>
              <w:t xml:space="preserve">9</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岗位设置较合理，有明确的岗位职责，工作流程不完整、针对性不强，各类规章制度不健全规范的得</w:t>
            </w: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岗位设置不健全，岗位职责模糊、工作流程混乱、各类规章制度杂乱无章的得</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分；</w:t>
            </w:r>
            <w:r/>
          </w:p>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若无此项得0分。</w:t>
            </w:r>
            <w:r/>
          </w:p>
        </w:tc>
        <w:tc>
          <w:tcPr>
            <w:tcW w:w="637"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12</w:t>
            </w:r>
            <w:r/>
          </w:p>
        </w:tc>
        <w:tc>
          <w:tcPr>
            <w:tcW w:w="85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主观</w:t>
            </w:r>
            <w:r>
              <w:rPr>
                <w:rFonts w:hint="eastAsia" w:ascii="仿宋" w:hAnsi="仿宋" w:eastAsia="仿宋" w:cs="仿宋"/>
                <w:sz w:val="22"/>
                <w:szCs w:val="22"/>
                <w:highlight w:val="none"/>
                <w:lang w:eastAsia="zh-CN"/>
              </w:rPr>
              <w:t xml:space="preserve">分</w:t>
            </w:r>
            <w:r/>
          </w:p>
        </w:tc>
      </w:tr>
      <w:tr>
        <w:trPr>
          <w:jc w:val="center"/>
          <w:trHeight w:val="279"/>
        </w:trPr>
        <w:tc>
          <w:tcPr>
            <w:tcW w:w="519"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2.6</w:t>
            </w:r>
            <w:r/>
          </w:p>
        </w:tc>
        <w:tc>
          <w:tcPr>
            <w:tcW w:w="1057"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物资配置方案</w:t>
            </w:r>
            <w:r/>
          </w:p>
        </w:tc>
        <w:tc>
          <w:tcPr>
            <w:tcW w:w="6547" w:type="dxa"/>
            <w:vAlign w:val="center"/>
            <w:textDirection w:val="lrTb"/>
            <w:noWrap w:val="false"/>
          </w:tcPr>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评委根据供应商提供的拟投入本项目的物资装备、用具配置等相关方案</w:t>
            </w:r>
            <w:r>
              <w:rPr>
                <w:rFonts w:hint="eastAsia" w:ascii="仿宋" w:hAnsi="仿宋" w:eastAsia="仿宋" w:cs="仿宋"/>
                <w:sz w:val="22"/>
                <w:szCs w:val="22"/>
                <w:highlight w:val="none"/>
                <w:lang w:val="en-US" w:eastAsia="zh-CN"/>
              </w:rPr>
              <w:t xml:space="preserve">综合评分：</w:t>
            </w:r>
            <w:r/>
          </w:p>
          <w:p>
            <w:pPr>
              <w:jc w:val="left"/>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物资投入充足，方案设定详细、合理、可行、针对性强得</w:t>
            </w:r>
            <w:r>
              <w:rPr>
                <w:rFonts w:hint="eastAsia" w:ascii="仿宋" w:hAnsi="仿宋" w:eastAsia="仿宋" w:cs="仿宋"/>
                <w:sz w:val="22"/>
                <w:szCs w:val="22"/>
                <w:highlight w:val="none"/>
                <w:lang w:val="en-US" w:eastAsia="zh-CN"/>
              </w:rPr>
              <w:t xml:space="preserve">11</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w:t>
            </w:r>
            <w:r/>
          </w:p>
          <w:p>
            <w:pPr>
              <w:jc w:val="left"/>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方案合理、基本可行得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w:t>
            </w:r>
            <w:r/>
          </w:p>
          <w:p>
            <w:pPr>
              <w:jc w:val="left"/>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方案</w:t>
            </w:r>
            <w:r>
              <w:rPr>
                <w:rFonts w:hint="eastAsia" w:ascii="仿宋" w:hAnsi="仿宋" w:eastAsia="仿宋" w:cs="仿宋"/>
                <w:sz w:val="22"/>
                <w:szCs w:val="22"/>
                <w:highlight w:val="none"/>
                <w:lang w:val="en-US" w:eastAsia="zh-CN"/>
              </w:rPr>
              <w:t xml:space="preserve">基本合理，但</w:t>
            </w:r>
            <w:r>
              <w:rPr>
                <w:rFonts w:hint="eastAsia" w:ascii="仿宋" w:hAnsi="仿宋" w:eastAsia="仿宋" w:cs="仿宋"/>
                <w:sz w:val="22"/>
                <w:szCs w:val="22"/>
                <w:highlight w:val="none"/>
              </w:rPr>
              <w:t xml:space="preserve">存在部分缺陷或缺漏得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w:t>
            </w:r>
            <w:r/>
          </w:p>
          <w:p>
            <w:pPr>
              <w:jc w:val="left"/>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方案</w:t>
            </w:r>
            <w:r>
              <w:rPr>
                <w:rFonts w:hint="eastAsia" w:ascii="仿宋" w:hAnsi="仿宋" w:eastAsia="仿宋" w:cs="仿宋"/>
                <w:sz w:val="22"/>
                <w:szCs w:val="22"/>
                <w:highlight w:val="none"/>
                <w:lang w:val="en-US" w:eastAsia="zh-CN"/>
              </w:rPr>
              <w:t xml:space="preserve">基本合理，但</w:t>
            </w:r>
            <w:r>
              <w:rPr>
                <w:rFonts w:hint="eastAsia" w:ascii="仿宋" w:hAnsi="仿宋" w:eastAsia="仿宋" w:cs="仿宋"/>
                <w:sz w:val="22"/>
                <w:szCs w:val="22"/>
                <w:highlight w:val="none"/>
              </w:rPr>
              <w:t xml:space="preserve">存在</w:t>
            </w:r>
            <w:r>
              <w:rPr>
                <w:rFonts w:hint="eastAsia" w:ascii="仿宋" w:hAnsi="仿宋" w:eastAsia="仿宋" w:cs="仿宋"/>
                <w:sz w:val="22"/>
                <w:szCs w:val="22"/>
                <w:highlight w:val="none"/>
                <w:lang w:val="en-US" w:eastAsia="zh-CN"/>
              </w:rPr>
              <w:t xml:space="preserve">较多</w:t>
            </w:r>
            <w:r>
              <w:rPr>
                <w:rFonts w:hint="eastAsia" w:ascii="仿宋" w:hAnsi="仿宋" w:eastAsia="仿宋" w:cs="仿宋"/>
                <w:sz w:val="22"/>
                <w:szCs w:val="22"/>
                <w:highlight w:val="none"/>
              </w:rPr>
              <w:t xml:space="preserve">缺漏得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w:t>
            </w:r>
            <w:bookmarkStart w:id="215" w:name="_GoBack"/>
            <w:r/>
            <w:bookmarkEnd w:id="215"/>
            <w:r>
              <w:rPr>
                <w:rFonts w:hint="eastAsia" w:ascii="仿宋" w:hAnsi="仿宋" w:eastAsia="仿宋" w:cs="仿宋"/>
                <w:sz w:val="22"/>
                <w:szCs w:val="22"/>
                <w:highlight w:val="none"/>
                <w:lang w:eastAsia="zh-CN"/>
              </w:rPr>
              <w:t xml:space="preserve">；</w:t>
            </w:r>
            <w:r/>
          </w:p>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若无此项得0分。</w:t>
            </w:r>
            <w:r/>
          </w:p>
        </w:tc>
        <w:tc>
          <w:tcPr>
            <w:tcW w:w="637"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11</w:t>
            </w:r>
            <w:r/>
          </w:p>
        </w:tc>
        <w:tc>
          <w:tcPr>
            <w:tcW w:w="85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主观</w:t>
            </w:r>
            <w:r>
              <w:rPr>
                <w:rFonts w:hint="eastAsia" w:ascii="仿宋" w:hAnsi="仿宋" w:eastAsia="仿宋" w:cs="仿宋"/>
                <w:sz w:val="22"/>
                <w:szCs w:val="22"/>
                <w:highlight w:val="none"/>
                <w:lang w:eastAsia="zh-CN"/>
              </w:rPr>
              <w:t xml:space="preserve">分</w:t>
            </w:r>
            <w:r/>
          </w:p>
        </w:tc>
      </w:tr>
      <w:tr>
        <w:trPr>
          <w:jc w:val="center"/>
          <w:trHeight w:val="455"/>
        </w:trPr>
        <w:tc>
          <w:tcPr>
            <w:gridSpan w:val="5"/>
            <w:tcW w:w="9612" w:type="dxa"/>
            <w:vAlign w:val="center"/>
            <w:textDirection w:val="lrTb"/>
            <w:noWrap w:val="false"/>
          </w:tcPr>
          <w:p>
            <w:pPr>
              <w:keepLines w:val="0"/>
              <w:keepNext w:val="0"/>
              <w:pageBreakBefore w:val="0"/>
              <w:spacing w:line="264" w:lineRule="auto"/>
              <w:widowControl w:val="off"/>
              <w:rPr>
                <w:rFonts w:hint="eastAsia" w:ascii="仿宋" w:hAnsi="仿宋" w:eastAsia="仿宋" w:cs="仿宋"/>
                <w:szCs w:val="21"/>
                <w:highlight w:val="none"/>
              </w:rPr>
            </w:pPr>
            <w:r>
              <w:rPr>
                <w:rFonts w:hint="eastAsia" w:ascii="仿宋" w:hAnsi="仿宋" w:eastAsia="仿宋" w:cs="仿宋"/>
                <w:b/>
                <w:bCs/>
                <w:spacing w:val="-3"/>
                <w:szCs w:val="21"/>
                <w:highlight w:val="none"/>
                <w:lang w:val="en-US" w:eastAsia="zh-CN"/>
              </w:rPr>
              <w:t xml:space="preserve">3.业绩</w:t>
            </w:r>
            <w:r/>
          </w:p>
        </w:tc>
      </w:tr>
      <w:tr>
        <w:trPr>
          <w:jc w:val="center"/>
          <w:trHeight w:val="1015"/>
        </w:trPr>
        <w:tc>
          <w:tcPr>
            <w:tcW w:w="519"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3.1</w:t>
            </w:r>
            <w:r/>
          </w:p>
        </w:tc>
        <w:tc>
          <w:tcPr>
            <w:tcW w:w="1057"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供应商</w:t>
            </w:r>
            <w:r/>
          </w:p>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业绩</w:t>
            </w:r>
            <w:r/>
          </w:p>
        </w:tc>
        <w:tc>
          <w:tcPr>
            <w:tcW w:w="6547" w:type="dxa"/>
            <w:vAlign w:val="center"/>
            <w:textDirection w:val="lrTb"/>
            <w:noWrap w:val="false"/>
          </w:tcPr>
          <w:p>
            <w:pPr>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供应商提供自 202</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年 </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月以来类似项目</w:t>
            </w:r>
            <w:r>
              <w:rPr>
                <w:rFonts w:hint="eastAsia" w:ascii="仿宋" w:hAnsi="仿宋" w:eastAsia="仿宋" w:cs="仿宋"/>
                <w:sz w:val="22"/>
                <w:szCs w:val="22"/>
                <w:highlight w:val="none"/>
                <w:lang w:val="en-US" w:eastAsia="zh-CN"/>
              </w:rPr>
              <w:t xml:space="preserve">业绩</w:t>
            </w:r>
            <w:r>
              <w:rPr>
                <w:rFonts w:hint="eastAsia" w:ascii="仿宋" w:hAnsi="仿宋" w:eastAsia="仿宋" w:cs="仿宋"/>
                <w:sz w:val="22"/>
                <w:szCs w:val="22"/>
                <w:highlight w:val="none"/>
              </w:rPr>
              <w:t xml:space="preserve">，每提供一个</w:t>
            </w:r>
            <w:r>
              <w:rPr>
                <w:rFonts w:hint="eastAsia" w:ascii="仿宋" w:hAnsi="仿宋" w:eastAsia="仿宋" w:cs="仿宋"/>
                <w:sz w:val="22"/>
                <w:szCs w:val="22"/>
                <w:highlight w:val="none"/>
                <w:lang w:val="en-US" w:eastAsia="zh-CN"/>
              </w:rPr>
              <w:t xml:space="preserve">业绩</w:t>
            </w:r>
            <w:r>
              <w:rPr>
                <w:rFonts w:hint="eastAsia" w:ascii="仿宋" w:hAnsi="仿宋" w:eastAsia="仿宋" w:cs="仿宋"/>
                <w:sz w:val="22"/>
                <w:szCs w:val="22"/>
                <w:highlight w:val="none"/>
              </w:rPr>
              <w:t xml:space="preserve">得</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分，最多得</w:t>
            </w:r>
            <w:r>
              <w:rPr>
                <w:rFonts w:hint="eastAsia" w:ascii="仿宋" w:hAnsi="仿宋" w:eastAsia="仿宋" w:cs="仿宋"/>
                <w:sz w:val="22"/>
                <w:szCs w:val="22"/>
                <w:highlight w:val="none"/>
                <w:lang w:val="en-US" w:eastAsia="zh-CN"/>
              </w:rPr>
              <w:t xml:space="preserve">9</w:t>
            </w:r>
            <w:r>
              <w:rPr>
                <w:rFonts w:hint="eastAsia" w:ascii="仿宋" w:hAnsi="仿宋" w:eastAsia="仿宋" w:cs="仿宋"/>
                <w:sz w:val="22"/>
                <w:szCs w:val="22"/>
                <w:highlight w:val="none"/>
              </w:rPr>
              <w:t xml:space="preserve">分。（时间以合同签订时间为准，提供有效合同，合同页须清晰可见相应内容）</w:t>
            </w:r>
            <w:r/>
          </w:p>
        </w:tc>
        <w:tc>
          <w:tcPr>
            <w:tcW w:w="637"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9</w:t>
            </w:r>
            <w:r/>
          </w:p>
        </w:tc>
        <w:tc>
          <w:tcPr>
            <w:tcW w:w="852" w:type="dxa"/>
            <w:vAlign w:val="center"/>
            <w:textDirection w:val="lrTb"/>
            <w:noWrap w:val="false"/>
          </w:tcPr>
          <w:p>
            <w:pPr>
              <w:jc w:val="center"/>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客观</w:t>
            </w:r>
            <w:r>
              <w:rPr>
                <w:rFonts w:hint="eastAsia" w:ascii="仿宋" w:hAnsi="仿宋" w:eastAsia="仿宋" w:cs="仿宋"/>
                <w:sz w:val="22"/>
                <w:szCs w:val="22"/>
                <w:highlight w:val="none"/>
                <w:lang w:eastAsia="zh-CN"/>
              </w:rPr>
              <w:t xml:space="preserve">分</w:t>
            </w:r>
            <w:r/>
          </w:p>
        </w:tc>
      </w:tr>
      <w:tr>
        <w:trPr>
          <w:jc w:val="center"/>
          <w:trHeight w:val="269"/>
        </w:trPr>
        <w:tc>
          <w:tcPr>
            <w:gridSpan w:val="5"/>
            <w:tcW w:w="9612" w:type="dxa"/>
            <w:vAlign w:val="top"/>
            <w:textDirection w:val="lrTb"/>
            <w:noWrap w:val="false"/>
          </w:tcPr>
          <w:p>
            <w:pPr>
              <w:keepLines w:val="0"/>
              <w:keepNext w:val="0"/>
              <w:pageBreakBefore w:val="0"/>
              <w:spacing w:before="123" w:line="264" w:lineRule="auto"/>
              <w:widowControl w:val="off"/>
              <w:rPr>
                <w:rFonts w:hint="eastAsia" w:ascii="仿宋" w:hAnsi="仿宋" w:eastAsia="仿宋" w:cs="仿宋"/>
                <w:szCs w:val="21"/>
                <w:highlight w:val="none"/>
              </w:rPr>
            </w:pPr>
            <w:r>
              <w:rPr>
                <w:rFonts w:hint="eastAsia" w:ascii="仿宋" w:hAnsi="仿宋" w:eastAsia="仿宋" w:cs="仿宋"/>
                <w:b/>
                <w:bCs/>
                <w:spacing w:val="-3"/>
                <w:szCs w:val="21"/>
                <w:highlight w:val="none"/>
                <w:lang w:val="en-US" w:eastAsia="zh-CN"/>
              </w:rPr>
              <w:t xml:space="preserve">4.履约能力</w:t>
            </w:r>
            <w:r/>
          </w:p>
        </w:tc>
      </w:tr>
      <w:tr>
        <w:trPr>
          <w:jc w:val="center"/>
          <w:trHeight w:val="792"/>
        </w:trPr>
        <w:tc>
          <w:tcPr>
            <w:tcW w:w="519"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w:t>
            </w:r>
            <w:r/>
          </w:p>
        </w:tc>
        <w:tc>
          <w:tcPr>
            <w:tcW w:w="1057"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履约能力</w:t>
            </w:r>
            <w:r/>
          </w:p>
        </w:tc>
        <w:tc>
          <w:tcPr>
            <w:tcW w:w="6547" w:type="dxa"/>
            <w:vAlign w:val="center"/>
            <w:textDirection w:val="lrTb"/>
            <w:noWrap w:val="false"/>
          </w:tcPr>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供应商具有自有或租赁的用于护林防火的设备：</w:t>
            </w:r>
            <w:r/>
          </w:p>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1、具有消防洒水车每有一台得2分，满分4分；</w:t>
            </w:r>
            <w:r/>
          </w:p>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2、具有割草机每一台得1 分，满分1分；</w:t>
            </w:r>
            <w:r/>
          </w:p>
          <w:p>
            <w:pPr>
              <w:jc w:val="lef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3、具有绿篱机每一台得1 分，满分1分。</w:t>
            </w:r>
            <w:r/>
          </w:p>
          <w:p>
            <w:pPr>
              <w:jc w:val="left"/>
              <w:rPr>
                <w:rFonts w:hint="eastAsia" w:ascii="仿宋" w:hAnsi="仿宋" w:eastAsia="仿宋" w:cs="仿宋"/>
                <w:sz w:val="21"/>
                <w:szCs w:val="22"/>
                <w:highlight w:val="none"/>
                <w:lang w:val="en-US" w:eastAsia="zh-CN" w:bidi="ar-SA"/>
              </w:rPr>
            </w:pPr>
            <w:r>
              <w:rPr>
                <w:rFonts w:hint="eastAsia" w:ascii="仿宋" w:hAnsi="仿宋" w:eastAsia="仿宋" w:cs="仿宋"/>
                <w:sz w:val="22"/>
                <w:szCs w:val="22"/>
                <w:highlight w:val="none"/>
                <w:lang w:val="en-US" w:eastAsia="zh-CN"/>
              </w:rPr>
              <w:t xml:space="preserve">（注：投标人自有、租赁设备均予以认可。自有设备需提供清晰的设备购买发票复印件并加盖公章，发票应体现设备具体名称；租赁设备需提供清晰的设备租赁协议、出租方设备权属证明复印件并加盖公章，资料需体现设备具体名称；提供的资料不能体现设备具体名称的不得分）</w:t>
            </w:r>
            <w:r/>
          </w:p>
        </w:tc>
        <w:tc>
          <w:tcPr>
            <w:tcW w:w="637"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6</w:t>
            </w:r>
            <w:r/>
          </w:p>
        </w:tc>
        <w:tc>
          <w:tcPr>
            <w:tcW w:w="852"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客观</w:t>
            </w:r>
            <w:r>
              <w:rPr>
                <w:rFonts w:hint="eastAsia" w:ascii="仿宋" w:hAnsi="仿宋" w:eastAsia="仿宋" w:cs="仿宋"/>
                <w:sz w:val="22"/>
                <w:szCs w:val="22"/>
                <w:highlight w:val="none"/>
                <w:lang w:eastAsia="zh-CN"/>
              </w:rPr>
              <w:t xml:space="preserve">分</w:t>
            </w:r>
            <w:r/>
          </w:p>
        </w:tc>
      </w:tr>
      <w:tr>
        <w:trPr>
          <w:jc w:val="center"/>
          <w:trHeight w:val="464"/>
        </w:trPr>
        <w:tc>
          <w:tcPr>
            <w:tcW w:w="519"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合计</w:t>
            </w:r>
            <w:r/>
          </w:p>
        </w:tc>
        <w:tc>
          <w:tcPr>
            <w:gridSpan w:val="2"/>
            <w:tcW w:w="7604" w:type="dxa"/>
            <w:vAlign w:val="center"/>
            <w:textDirection w:val="lrTb"/>
            <w:noWrap w:val="false"/>
          </w:tcPr>
          <w:p>
            <w:pPr>
              <w:jc w:val="center"/>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r>
            <w:r/>
          </w:p>
        </w:tc>
        <w:tc>
          <w:tcPr>
            <w:gridSpan w:val="2"/>
            <w:tcW w:w="1489"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100分</w:t>
            </w:r>
            <w:r/>
          </w:p>
        </w:tc>
      </w:tr>
    </w:tbl>
    <w:p>
      <w:pPr>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jc w:val="center"/>
        <w:rPr>
          <w:rFonts w:hint="eastAsia" w:ascii="黑体" w:hAnsi="黑体" w:eastAsia="黑体" w:cs="黑体"/>
          <w:sz w:val="40"/>
          <w:szCs w:val="40"/>
          <w:highlight w:val="none"/>
          <w:lang w:val="en-US" w:eastAsia="zh-CN" w:bidi="ar-SA"/>
        </w:rPr>
        <w:outlineLvl w:val="0"/>
      </w:pPr>
      <w:r>
        <w:rPr>
          <w:rFonts w:hint="eastAsia"/>
          <w:highlight w:val="none"/>
        </w:rPr>
        <w:br w:type="page" w:clear="all"/>
      </w:r>
      <w:bookmarkStart w:id="189" w:name="_Toc1557"/>
      <w:r>
        <w:rPr>
          <w:rFonts w:hint="eastAsia" w:ascii="黑体" w:hAnsi="黑体" w:eastAsia="黑体" w:cs="黑体"/>
          <w:sz w:val="40"/>
          <w:szCs w:val="40"/>
          <w:highlight w:val="none"/>
          <w:lang w:val="en-US" w:eastAsia="zh-CN" w:bidi="ar-SA"/>
        </w:rPr>
        <w:t xml:space="preserve">第六章  </w:t>
      </w:r>
      <w:bookmarkEnd w:id="185"/>
      <w:r/>
      <w:bookmarkEnd w:id="186"/>
      <w:r/>
      <w:bookmarkEnd w:id="188"/>
      <w:r>
        <w:rPr>
          <w:rFonts w:hint="eastAsia" w:ascii="黑体" w:hAnsi="黑体" w:eastAsia="黑体" w:cs="黑体"/>
          <w:sz w:val="40"/>
          <w:szCs w:val="40"/>
          <w:highlight w:val="none"/>
          <w:lang w:val="en-US" w:eastAsia="zh-CN" w:bidi="ar-SA"/>
        </w:rPr>
        <w:t xml:space="preserve">响应文件格式</w:t>
      </w:r>
      <w:bookmarkEnd w:id="189"/>
      <w:r/>
      <w:r/>
    </w:p>
    <w:p>
      <w:pPr>
        <w:jc w:val="center"/>
        <w:rPr>
          <w:rFonts w:hint="eastAsia" w:ascii="仿宋" w:hAnsi="仿宋" w:eastAsia="仿宋" w:cs="仿宋"/>
          <w:b/>
          <w:sz w:val="72"/>
          <w:szCs w:val="21"/>
          <w:highlight w:val="none"/>
        </w:rPr>
      </w:pPr>
      <w:r/>
      <w:bookmarkStart w:id="190" w:name="_Hlt26671244"/>
      <w:r/>
      <w:bookmarkEnd w:id="190"/>
      <w:r/>
      <w:bookmarkStart w:id="191" w:name="_Hlt26955039"/>
      <w:r/>
      <w:bookmarkEnd w:id="191"/>
      <w:r/>
      <w:bookmarkStart w:id="192" w:name="_Toc26554094"/>
      <w:r/>
      <w:bookmarkStart w:id="193" w:name="_Toc49090576"/>
      <w:r/>
      <w:bookmarkStart w:id="194" w:name="_Toc120614282"/>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t xml:space="preserve">响  应  文  件</w:t>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ind w:firstLine="1084"/>
        <w:rPr>
          <w:rFonts w:hint="eastAsia" w:ascii="仿宋" w:hAnsi="仿宋" w:eastAsia="仿宋" w:cs="仿宋"/>
          <w:b/>
          <w:sz w:val="36"/>
          <w:szCs w:val="21"/>
          <w:highlight w:val="none"/>
        </w:rPr>
      </w:pPr>
      <w:r>
        <w:rPr>
          <w:rFonts w:hint="eastAsia" w:ascii="仿宋" w:hAnsi="仿宋" w:eastAsia="仿宋" w:cs="仿宋"/>
          <w:b/>
          <w:sz w:val="36"/>
          <w:szCs w:val="21"/>
          <w:highlight w:val="none"/>
        </w:rPr>
        <w:t xml:space="preserve">项 目 名 称：</w:t>
      </w:r>
      <w:r/>
    </w:p>
    <w:p>
      <w:pPr>
        <w:ind w:firstLine="1084"/>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项 目 编 号：</w:t>
      </w:r>
      <w:r/>
    </w:p>
    <w:p>
      <w:pPr>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供应商名称 ：</w:t>
      </w:r>
      <w:r>
        <w:rPr>
          <w:rFonts w:hint="eastAsia" w:ascii="仿宋" w:hAnsi="仿宋" w:eastAsia="仿宋" w:cs="仿宋"/>
          <w:b/>
          <w:sz w:val="36"/>
          <w:szCs w:val="21"/>
          <w:highlight w:val="none"/>
          <w:u w:val="single"/>
        </w:rPr>
        <w:t xml:space="preserve">（加盖CA电子公章）</w:t>
      </w:r>
      <w:r/>
    </w:p>
    <w:p>
      <w:pPr>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日      期 ：</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sz w:val="36"/>
          <w:szCs w:val="21"/>
          <w:highlight w:val="none"/>
          <w:u w:val="single"/>
        </w:rPr>
        <w:br w:type="page" w:clear="all"/>
      </w:r>
      <w:r>
        <w:rPr>
          <w:rFonts w:hint="eastAsia" w:ascii="仿宋" w:hAnsi="仿宋" w:eastAsia="仿宋" w:cs="仿宋"/>
          <w:b/>
          <w:bCs/>
          <w:sz w:val="32"/>
          <w:szCs w:val="32"/>
          <w:highlight w:val="none"/>
        </w:rPr>
        <w:t xml:space="preserve">响应文件目录</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一、供应商信用承诺函</w:t>
      </w: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二、法人授权书</w:t>
      </w: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三、磋商响应函</w:t>
      </w: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四、磋商报价表</w:t>
      </w: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lang w:val="en-US" w:eastAsia="zh-CN"/>
        </w:rPr>
      </w:r>
      <w:r>
        <w:rPr>
          <w:rFonts w:hint="eastAsia" w:ascii="仿宋" w:hAnsi="仿宋" w:eastAsia="仿宋" w:cs="仿宋"/>
          <w:sz w:val="28"/>
          <w:szCs w:val="28"/>
          <w:highlight w:val="none"/>
        </w:rPr>
        <w:t xml:space="preserve">、中小企业声明函（如有）</w:t>
      </w: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lang w:val="en-US" w:eastAsia="zh-CN"/>
        </w:rPr>
      </w:r>
      <w:r>
        <w:rPr>
          <w:rFonts w:hint="eastAsia" w:ascii="仿宋" w:hAnsi="仿宋" w:eastAsia="仿宋" w:cs="仿宋"/>
          <w:sz w:val="28"/>
          <w:szCs w:val="28"/>
          <w:highlight w:val="none"/>
        </w:rPr>
        <w:t xml:space="preserve">、残疾人福利性单位声明函（如有）</w:t>
      </w: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lang w:val="en-US" w:eastAsia="zh-CN"/>
        </w:rPr>
      </w:r>
      <w:r>
        <w:rPr>
          <w:rFonts w:hint="eastAsia" w:ascii="仿宋" w:hAnsi="仿宋" w:eastAsia="仿宋" w:cs="仿宋"/>
          <w:sz w:val="28"/>
          <w:szCs w:val="28"/>
          <w:highlight w:val="none"/>
        </w:rPr>
        <w:t xml:space="preserve">、技术要求响应及偏离表</w:t>
      </w: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lang w:val="en-US" w:eastAsia="zh-CN"/>
        </w:rPr>
      </w:r>
      <w:r>
        <w:rPr>
          <w:rFonts w:hint="eastAsia" w:ascii="仿宋" w:hAnsi="仿宋" w:eastAsia="仿宋" w:cs="仿宋"/>
          <w:sz w:val="28"/>
          <w:szCs w:val="28"/>
          <w:highlight w:val="none"/>
        </w:rPr>
        <w:t xml:space="preserve">、商务要求响应及偏离表</w:t>
      </w:r>
      <w:r/>
    </w:p>
    <w:p>
      <w:pPr>
        <w:ind w:firstLine="560"/>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rPr>
          <w:rFonts w:hint="eastAsia" w:ascii="仿宋" w:hAnsi="仿宋" w:eastAsia="仿宋" w:cs="仿宋"/>
          <w:i/>
          <w:sz w:val="32"/>
          <w:szCs w:val="32"/>
          <w:highlight w:val="none"/>
          <w:u w:val="single"/>
        </w:rPr>
        <w:outlineLvl w:val="1"/>
      </w:pPr>
      <w:r>
        <w:rPr>
          <w:rFonts w:hint="eastAsia" w:ascii="仿宋" w:hAnsi="仿宋" w:eastAsia="仿宋" w:cs="仿宋"/>
          <w:i/>
          <w:sz w:val="32"/>
          <w:szCs w:val="32"/>
          <w:highlight w:val="none"/>
          <w:u w:val="single"/>
        </w:rPr>
        <w:br w:type="page" w:clear="all"/>
      </w:r>
      <w:r>
        <w:rPr>
          <w:rFonts w:hint="eastAsia" w:ascii="仿宋" w:hAnsi="仿宋" w:eastAsia="仿宋" w:cs="仿宋"/>
          <w:i/>
          <w:sz w:val="32"/>
          <w:szCs w:val="32"/>
          <w:highlight w:val="none"/>
          <w:u w:val="single"/>
        </w:rPr>
        <w:t xml:space="preserve">一、供应商信用承诺函</w:t>
      </w:r>
      <w:r/>
    </w:p>
    <w:p>
      <w:pPr>
        <w:jc w:val="center"/>
        <w:spacing w:line="360" w:lineRule="auto"/>
        <w:rPr>
          <w:rFonts w:hint="eastAsia" w:ascii="仿宋" w:hAnsi="仿宋" w:eastAsia="仿宋" w:cs="仿宋"/>
          <w:color w:val="000000"/>
          <w:sz w:val="32"/>
          <w:szCs w:val="32"/>
          <w:highlight w:val="none"/>
          <w:lang w:val="zh-CN"/>
        </w:rPr>
        <w:outlineLvl w:val="9"/>
      </w:pPr>
      <w:r/>
      <w:bookmarkStart w:id="195" w:name="_Toc19276"/>
      <w:r>
        <w:rPr>
          <w:rFonts w:hint="eastAsia" w:ascii="仿宋" w:hAnsi="仿宋" w:eastAsia="仿宋" w:cs="仿宋"/>
          <w:color w:val="000000"/>
          <w:sz w:val="32"/>
          <w:szCs w:val="32"/>
          <w:highlight w:val="none"/>
          <w:lang w:val="zh-CN"/>
        </w:rPr>
        <w:t xml:space="preserve">供应商信用承诺函</w:t>
      </w:r>
      <w:bookmarkEnd w:id="195"/>
      <w:r/>
      <w:r/>
    </w:p>
    <w:p>
      <w:pP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南京市公共资源交易中心浦口分中心：</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我公司（供应商名称）郑重承诺：</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我公司符合下列要求：</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(一)具有独立承担民事责任的能力；</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(二)具有良好的商业信誉和健全的财务会计制度；</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(三)具有履行合同所必需的设备和专业技术能力；</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(四)有依法缴纳税收和社会保障资金的良好记录；</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(五)参加政府采购活动前三年内，在经营活动中没有重大违法记录。</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如果我公司中标（成交），将在中标（成交）结果公示后七个工作日内向采购人提供下列材料核验：</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（1）营业执照副本或事业单位法人登记证书；</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（3）履行合同所必需的设备和专业技术能力证明材料；</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right="180" w:firstLine="360"/>
        <w:jc w:val="righ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供应商名称：（加盖CA电子公章）</w:t>
      </w:r>
      <w:r/>
    </w:p>
    <w:p>
      <w:pPr>
        <w:ind w:firstLine="5760"/>
        <w:spacing w:line="560" w:lineRule="exac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日  期：年___月___日</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4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说明：执行南京市财政局《关于在政府采购活动中推行信用承诺制的通知》（宁财购通</w:t>
      </w:r>
      <w:r>
        <w:rPr>
          <w:rFonts w:hint="eastAsia" w:ascii="仿宋" w:hAnsi="仿宋" w:eastAsia="仿宋" w:cs="仿宋"/>
          <w:b/>
          <w:bCs/>
          <w:szCs w:val="21"/>
          <w:highlight w:val="none"/>
          <w:lang w:val="zh-CN"/>
        </w:rPr>
        <w:t xml:space="preserve">〔202</w:t>
      </w:r>
      <w:r>
        <w:rPr>
          <w:rFonts w:hint="eastAsia" w:ascii="仿宋" w:hAnsi="仿宋" w:eastAsia="仿宋" w:cs="仿宋"/>
          <w:b/>
          <w:bCs/>
          <w:szCs w:val="21"/>
          <w:highlight w:val="none"/>
        </w:rPr>
        <w:t xml:space="preserve">1</w:t>
      </w:r>
      <w:r>
        <w:rPr>
          <w:rFonts w:hint="eastAsia" w:ascii="仿宋" w:hAnsi="仿宋" w:eastAsia="仿宋" w:cs="仿宋"/>
          <w:b/>
          <w:bCs/>
          <w:szCs w:val="21"/>
          <w:highlight w:val="none"/>
          <w:lang w:val="zh-CN"/>
        </w:rPr>
        <w:t xml:space="preserve">〕5号</w:t>
      </w:r>
      <w:r>
        <w:rPr>
          <w:rFonts w:hint="eastAsia" w:ascii="仿宋" w:hAnsi="仿宋" w:eastAsia="仿宋" w:cs="仿宋"/>
          <w:b/>
          <w:bCs/>
          <w:szCs w:val="21"/>
          <w:highlight w:val="none"/>
        </w:rPr>
        <w:t xml:space="preserve">）要求。</w:t>
      </w:r>
      <w:bookmarkEnd w:id="192"/>
      <w:r/>
      <w:bookmarkEnd w:id="193"/>
      <w:r/>
      <w:bookmarkEnd w:id="194"/>
      <w:r/>
      <w:r/>
    </w:p>
    <w:p>
      <w:pPr>
        <w:pStyle w:val="815"/>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Cs/>
          <w:i/>
          <w:sz w:val="32"/>
          <w:szCs w:val="32"/>
          <w:highlight w:val="none"/>
          <w:u w:val="single"/>
        </w:rPr>
      </w:pPr>
      <w:r>
        <w:rPr>
          <w:rFonts w:hint="eastAsia" w:ascii="仿宋" w:hAnsi="仿宋" w:eastAsia="仿宋" w:cs="仿宋"/>
          <w:bCs/>
          <w:i/>
          <w:sz w:val="32"/>
          <w:szCs w:val="32"/>
          <w:highlight w:val="none"/>
          <w:u w:val="single"/>
        </w:rPr>
      </w:r>
      <w:r/>
    </w:p>
    <w:p>
      <w:pPr>
        <w:rPr>
          <w:rFonts w:hint="eastAsia" w:ascii="仿宋" w:hAnsi="仿宋" w:eastAsia="仿宋" w:cs="仿宋"/>
          <w:bCs/>
          <w:i/>
          <w:sz w:val="32"/>
          <w:szCs w:val="32"/>
          <w:highlight w:val="none"/>
          <w:u w:val="single"/>
        </w:rPr>
        <w:outlineLvl w:val="1"/>
      </w:pPr>
      <w:r/>
      <w:bookmarkStart w:id="196" w:name="_Toc120614284"/>
      <w:r>
        <w:rPr>
          <w:rFonts w:hint="eastAsia" w:ascii="仿宋" w:hAnsi="仿宋" w:eastAsia="仿宋" w:cs="仿宋"/>
          <w:i/>
          <w:sz w:val="32"/>
          <w:szCs w:val="32"/>
          <w:highlight w:val="none"/>
          <w:u w:val="single"/>
        </w:rPr>
        <w:t xml:space="preserve">二、法人授权书</w:t>
      </w:r>
      <w:r/>
    </w:p>
    <w:p>
      <w:pPr>
        <w:jc w:val="center"/>
        <w:spacing w:line="360" w:lineRule="auto"/>
        <w:rPr>
          <w:rFonts w:hint="eastAsia" w:ascii="仿宋" w:hAnsi="仿宋" w:eastAsia="仿宋" w:cs="仿宋"/>
          <w:color w:val="000000"/>
          <w:sz w:val="32"/>
          <w:szCs w:val="32"/>
          <w:highlight w:val="none"/>
          <w:lang w:val="zh-CN"/>
        </w:rPr>
        <w:outlineLvl w:val="9"/>
      </w:pPr>
      <w:r/>
      <w:bookmarkStart w:id="197" w:name="_Toc14148"/>
      <w:r>
        <w:rPr>
          <w:rFonts w:hint="eastAsia" w:ascii="仿宋" w:hAnsi="仿宋" w:eastAsia="仿宋" w:cs="仿宋"/>
          <w:color w:val="000000"/>
          <w:sz w:val="32"/>
          <w:szCs w:val="32"/>
          <w:highlight w:val="none"/>
          <w:lang w:val="zh-CN"/>
        </w:rPr>
        <w:t xml:space="preserve">法人授权书</w:t>
      </w:r>
      <w:bookmarkEnd w:id="197"/>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本授权书声明：____________（供应商名称）授权________________（被授权人的姓名）为我方就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本授权书于______年____月____日起生效，特此声明。</w:t>
      </w:r>
      <w:r/>
    </w:p>
    <w:p>
      <w:pPr>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被授权人身份证号码：</w:t>
      </w:r>
      <w:r/>
    </w:p>
    <w:p>
      <w:pPr>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被授权人联系电话：（手机）</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授权单位名称：</w:t>
      </w:r>
      <w:r>
        <w:rPr>
          <w:rFonts w:hint="eastAsia" w:ascii="仿宋" w:hAnsi="仿宋" w:eastAsia="仿宋" w:cs="仿宋"/>
          <w:sz w:val="24"/>
          <w:szCs w:val="24"/>
          <w:highlight w:val="none"/>
          <w:u w:val="single"/>
        </w:rPr>
        <w:t xml:space="preserve">（加盖CA电子公章）</w:t>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单位地址：</w:t>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日期：</w:t>
      </w:r>
      <w:bookmarkStart w:id="198" w:name="_格式3__银行出具的资信证明"/>
      <w:r/>
      <w:bookmarkEnd w:id="198"/>
      <w:r/>
      <w:bookmarkStart w:id="199" w:name="_Hlt26955070"/>
      <w:r/>
      <w:bookmarkEnd w:id="199"/>
      <w:r/>
      <w:bookmarkStart w:id="200" w:name="_Hlt26671380"/>
      <w:r/>
      <w:bookmarkEnd w:id="200"/>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pStyle w:val="815"/>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pStyle w:val="815"/>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pStyle w:val="815"/>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pStyle w:val="815"/>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pStyle w:val="815"/>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pStyle w:val="815"/>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rPr>
          <w:rFonts w:hint="eastAsia" w:ascii="仿宋" w:hAnsi="仿宋" w:eastAsia="仿宋" w:cs="仿宋"/>
          <w:highlight w:val="none"/>
        </w:rPr>
      </w:pPr>
      <w:r>
        <w:rPr>
          <w:rFonts w:hint="eastAsia" w:ascii="仿宋" w:hAnsi="仿宋" w:eastAsia="仿宋" w:cs="仿宋"/>
          <w:highlight w:val="none"/>
        </w:rPr>
      </w:r>
      <w:r/>
    </w:p>
    <w:p>
      <w:pPr>
        <w:jc w:val="left"/>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p>
    <w:p>
      <w:pPr>
        <w:jc w:val="left"/>
        <w:rPr>
          <w:rFonts w:hint="eastAsia" w:ascii="仿宋" w:hAnsi="仿宋" w:eastAsia="仿宋" w:cs="仿宋"/>
          <w:bCs/>
          <w:i/>
          <w:sz w:val="32"/>
          <w:szCs w:val="32"/>
          <w:highlight w:val="none"/>
          <w:u w:val="single"/>
        </w:rPr>
      </w:pPr>
      <w:r>
        <w:rPr>
          <w:rFonts w:hint="eastAsia" w:ascii="仿宋" w:hAnsi="仿宋" w:eastAsia="仿宋" w:cs="仿宋"/>
          <w:bCs/>
          <w:i/>
          <w:sz w:val="32"/>
          <w:szCs w:val="32"/>
          <w:highlight w:val="none"/>
          <w:u w:val="single"/>
        </w:rPr>
      </w:r>
      <w:r/>
    </w:p>
    <w:p>
      <w:pPr>
        <w:jc w:val="left"/>
        <w:rPr>
          <w:rFonts w:hint="eastAsia" w:ascii="仿宋" w:hAnsi="仿宋" w:eastAsia="仿宋" w:cs="仿宋"/>
          <w:bCs/>
          <w:i/>
          <w:sz w:val="32"/>
          <w:szCs w:val="32"/>
          <w:highlight w:val="none"/>
          <w:u w:val="single"/>
        </w:rPr>
      </w:pPr>
      <w:r>
        <w:rPr>
          <w:rFonts w:hint="eastAsia" w:ascii="仿宋" w:hAnsi="仿宋" w:eastAsia="仿宋" w:cs="仿宋"/>
          <w:bCs/>
          <w:i/>
          <w:sz w:val="32"/>
          <w:szCs w:val="32"/>
          <w:highlight w:val="none"/>
          <w:u w:val="single"/>
        </w:rPr>
      </w:r>
      <w:r/>
    </w:p>
    <w:p>
      <w:pPr>
        <w:jc w:val="left"/>
        <w:rPr>
          <w:rFonts w:hint="eastAsia" w:ascii="仿宋" w:hAnsi="仿宋" w:eastAsia="仿宋" w:cs="仿宋"/>
          <w:bCs/>
          <w:i/>
          <w:sz w:val="32"/>
          <w:szCs w:val="32"/>
          <w:highlight w:val="none"/>
          <w:u w:val="single"/>
        </w:rPr>
      </w:pPr>
      <w:r>
        <w:rPr>
          <w:rFonts w:hint="eastAsia" w:ascii="仿宋" w:hAnsi="仿宋" w:eastAsia="仿宋" w:cs="仿宋"/>
          <w:bCs/>
          <w:i/>
          <w:sz w:val="32"/>
          <w:szCs w:val="32"/>
          <w:highlight w:val="none"/>
          <w:u w:val="single"/>
        </w:rPr>
      </w:r>
      <w:r/>
    </w:p>
    <w:p>
      <w:pPr>
        <w:jc w:val="left"/>
        <w:rPr>
          <w:rFonts w:hint="eastAsia" w:ascii="仿宋" w:hAnsi="仿宋" w:eastAsia="仿宋" w:cs="仿宋"/>
          <w:bCs/>
          <w:i/>
          <w:sz w:val="32"/>
          <w:szCs w:val="32"/>
          <w:highlight w:val="none"/>
          <w:u w:val="single"/>
        </w:rPr>
      </w:pPr>
      <w:r>
        <w:rPr>
          <w:rFonts w:hint="eastAsia" w:ascii="仿宋" w:hAnsi="仿宋" w:eastAsia="仿宋" w:cs="仿宋"/>
          <w:bCs/>
          <w:i/>
          <w:sz w:val="32"/>
          <w:szCs w:val="32"/>
          <w:highlight w:val="none"/>
          <w:u w:val="single"/>
        </w:rPr>
      </w:r>
      <w:r/>
    </w:p>
    <w:p>
      <w:pPr>
        <w:jc w:val="left"/>
        <w:rPr>
          <w:rFonts w:hint="eastAsia" w:ascii="仿宋" w:hAnsi="仿宋" w:eastAsia="仿宋" w:cs="仿宋"/>
          <w:bCs/>
          <w:i/>
          <w:sz w:val="32"/>
          <w:szCs w:val="32"/>
          <w:highlight w:val="none"/>
          <w:u w:val="single"/>
        </w:rPr>
      </w:pPr>
      <w:r>
        <w:rPr>
          <w:rFonts w:hint="eastAsia" w:ascii="仿宋" w:hAnsi="仿宋" w:eastAsia="仿宋" w:cs="仿宋"/>
          <w:bCs/>
          <w:i/>
          <w:sz w:val="32"/>
          <w:szCs w:val="32"/>
          <w:highlight w:val="none"/>
          <w:u w:val="single"/>
        </w:rPr>
      </w:r>
      <w:r/>
    </w:p>
    <w:p>
      <w:pPr>
        <w:jc w:val="left"/>
        <w:rPr>
          <w:rFonts w:hint="eastAsia" w:ascii="仿宋" w:hAnsi="仿宋" w:eastAsia="仿宋" w:cs="仿宋"/>
          <w:bCs/>
          <w:i/>
          <w:sz w:val="32"/>
          <w:szCs w:val="32"/>
          <w:highlight w:val="none"/>
          <w:u w:val="single"/>
        </w:rPr>
      </w:pPr>
      <w:r>
        <w:rPr>
          <w:rFonts w:hint="eastAsia" w:ascii="仿宋" w:hAnsi="仿宋" w:eastAsia="仿宋" w:cs="仿宋"/>
          <w:bCs/>
          <w:i/>
          <w:sz w:val="32"/>
          <w:szCs w:val="32"/>
          <w:highlight w:val="none"/>
          <w:u w:val="single"/>
        </w:rPr>
      </w:r>
      <w:r/>
    </w:p>
    <w:p>
      <w:pPr>
        <w:jc w:val="left"/>
        <w:rPr>
          <w:rFonts w:hint="eastAsia" w:ascii="仿宋" w:hAnsi="仿宋" w:eastAsia="仿宋" w:cs="仿宋"/>
          <w:bCs/>
          <w:i/>
          <w:sz w:val="32"/>
          <w:szCs w:val="32"/>
          <w:highlight w:val="none"/>
          <w:u w:val="single"/>
        </w:rPr>
      </w:pPr>
      <w:r>
        <w:rPr>
          <w:rFonts w:hint="eastAsia" w:ascii="仿宋" w:hAnsi="仿宋" w:eastAsia="仿宋" w:cs="仿宋"/>
          <w:bCs/>
          <w:i/>
          <w:sz w:val="32"/>
          <w:szCs w:val="32"/>
          <w:highlight w:val="none"/>
          <w:u w:val="single"/>
        </w:rPr>
      </w:r>
      <w:r/>
    </w:p>
    <w:p>
      <w:pPr>
        <w:jc w:val="left"/>
        <w:rPr>
          <w:rFonts w:hint="eastAsia" w:ascii="仿宋" w:hAnsi="仿宋" w:eastAsia="仿宋" w:cs="仿宋"/>
          <w:bCs/>
          <w:i/>
          <w:sz w:val="32"/>
          <w:szCs w:val="32"/>
          <w:highlight w:val="none"/>
          <w:u w:val="single"/>
        </w:rPr>
      </w:pPr>
      <w:r>
        <w:rPr>
          <w:rFonts w:hint="eastAsia" w:ascii="仿宋" w:hAnsi="仿宋" w:eastAsia="仿宋" w:cs="仿宋"/>
          <w:bCs/>
          <w:i/>
          <w:sz w:val="32"/>
          <w:szCs w:val="32"/>
          <w:highlight w:val="none"/>
          <w:u w:val="single"/>
        </w:rPr>
      </w:r>
      <w:r/>
    </w:p>
    <w:p>
      <w:pPr>
        <w:jc w:val="left"/>
        <w:rPr>
          <w:rFonts w:hint="eastAsia" w:ascii="仿宋" w:hAnsi="仿宋" w:eastAsia="仿宋" w:cs="仿宋"/>
          <w:bCs/>
          <w:i/>
          <w:sz w:val="32"/>
          <w:szCs w:val="32"/>
          <w:highlight w:val="none"/>
          <w:u w:val="single"/>
        </w:rPr>
        <w:outlineLvl w:val="1"/>
      </w:pPr>
      <w:r>
        <w:rPr>
          <w:rFonts w:hint="eastAsia" w:ascii="仿宋" w:hAnsi="仿宋" w:eastAsia="仿宋" w:cs="仿宋"/>
          <w:i/>
          <w:sz w:val="32"/>
          <w:szCs w:val="32"/>
          <w:highlight w:val="none"/>
          <w:u w:val="single"/>
        </w:rPr>
        <w:t xml:space="preserve">三、磋商响应函</w:t>
      </w:r>
      <w:r/>
    </w:p>
    <w:p>
      <w:pPr>
        <w:jc w:val="center"/>
        <w:spacing w:line="360" w:lineRule="auto"/>
        <w:rPr>
          <w:rFonts w:hint="eastAsia" w:ascii="仿宋" w:hAnsi="仿宋" w:eastAsia="仿宋" w:cs="仿宋"/>
          <w:b/>
          <w:i/>
          <w:sz w:val="32"/>
          <w:szCs w:val="32"/>
          <w:highlight w:val="none"/>
          <w:u w:val="single"/>
        </w:rPr>
        <w:outlineLvl w:val="9"/>
      </w:pPr>
      <w:r/>
      <w:bookmarkStart w:id="201" w:name="_Toc24498"/>
      <w:r>
        <w:rPr>
          <w:rFonts w:hint="eastAsia" w:ascii="仿宋" w:hAnsi="仿宋" w:eastAsia="仿宋" w:cs="仿宋"/>
          <w:color w:val="000000"/>
          <w:sz w:val="32"/>
          <w:szCs w:val="32"/>
          <w:highlight w:val="none"/>
        </w:rPr>
        <w:t xml:space="preserve">磋商响应函</w:t>
      </w:r>
      <w:bookmarkEnd w:id="201"/>
      <w:r/>
      <w:r/>
    </w:p>
    <w:p>
      <w:pPr>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致：南京市公共资源交易中心浦口分中心</w:t>
      </w:r>
      <w:r/>
    </w:p>
    <w:p>
      <w:pPr>
        <w:ind w:firstLine="480"/>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根据贵方的</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4"/>
          <w:highlight w:val="none"/>
          <w:u w:val="single"/>
          <w:lang w:eastAsia="zh-CN"/>
        </w:rPr>
        <w:t xml:space="preserve">JSZC-320111-JZCG-C2026-0028</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lang w:val="zh-CN"/>
        </w:rPr>
        <w:t xml:space="preserve">（项目编号）</w:t>
      </w:r>
      <w:r>
        <w:rPr>
          <w:rFonts w:hint="eastAsia" w:ascii="仿宋" w:hAnsi="仿宋" w:eastAsia="仿宋" w:cs="仿宋"/>
          <w:sz w:val="24"/>
          <w:szCs w:val="21"/>
          <w:highlight w:val="none"/>
        </w:rPr>
        <w:t xml:space="preserve">磋商文件，正式授权下述签字人______(姓名)代表我方（供应商的名称），全权处理本次项目磋商的有关事宜。</w:t>
      </w:r>
      <w:r/>
    </w:p>
    <w:p>
      <w:pPr>
        <w:ind w:firstLine="480"/>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据此函，签字人兹宣布同意如下：</w:t>
      </w:r>
      <w:r/>
    </w:p>
    <w:p>
      <w:pPr>
        <w:ind w:firstLine="480"/>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2.我们完全理解贵方不一定将合同授予最低报价的供应商。</w:t>
      </w:r>
      <w:r/>
    </w:p>
    <w:p>
      <w:pPr>
        <w:ind w:firstLine="480"/>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6.一旦我方成交，我方将根据磋商文件的规定，严格履行合同的责任和义务,并保证在磋商文件规定的时间完成项目，交付买方验收、使用。</w:t>
      </w:r>
      <w:r/>
    </w:p>
    <w:p>
      <w:pPr>
        <w:ind w:firstLine="480"/>
        <w:jc w:val="left"/>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7.我方为：¨大型企业¨中型企业¨小型企业 ¨微型企业（对应¨</w:t>
      </w:r>
      <w:r>
        <w:rPr>
          <w:rFonts w:hint="eastAsia" w:ascii="仿宋" w:hAnsi="仿宋" w:eastAsia="仿宋" w:cs="仿宋"/>
          <w:sz w:val="24"/>
          <w:szCs w:val="24"/>
          <w:highlight w:val="none"/>
          <w:lang w:val="zh-CN"/>
        </w:rPr>
        <w:t xml:space="preserve">上打“√”</w:t>
      </w:r>
      <w:r>
        <w:rPr>
          <w:rFonts w:hint="eastAsia" w:ascii="仿宋" w:hAnsi="仿宋" w:eastAsia="仿宋" w:cs="仿宋"/>
          <w:sz w:val="24"/>
          <w:szCs w:val="24"/>
          <w:highlight w:val="none"/>
        </w:rPr>
        <w:t xml:space="preserve">）</w:t>
      </w:r>
      <w:r/>
    </w:p>
    <w:p>
      <w:pPr>
        <w:ind w:firstLine="480"/>
        <w:jc w:val="left"/>
        <w:spacing w:line="42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8.我方与本磋商有关的正式通讯地址为：</w:t>
      </w:r>
      <w:r/>
    </w:p>
    <w:p>
      <w:pPr>
        <w:pStyle w:val="1022"/>
        <w:ind w:left="420"/>
        <w:spacing w:before="0" w:after="0" w:line="42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供应商名称：</w:t>
      </w:r>
      <w:r>
        <w:rPr>
          <w:rFonts w:hint="eastAsia" w:ascii="仿宋" w:hAnsi="仿宋" w:eastAsia="仿宋" w:cs="仿宋"/>
          <w:szCs w:val="21"/>
          <w:highlight w:val="none"/>
          <w:u w:val="single"/>
        </w:rPr>
        <w:t xml:space="preserve">（加盖CA电子公章）</w:t>
      </w:r>
      <w:r/>
    </w:p>
    <w:p>
      <w:pPr>
        <w:pStyle w:val="1022"/>
        <w:ind w:left="420"/>
        <w:spacing w:before="0" w:after="0" w:line="42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地      址：</w:t>
      </w:r>
      <w:r/>
    </w:p>
    <w:p>
      <w:pPr>
        <w:pStyle w:val="1022"/>
        <w:ind w:left="420"/>
        <w:spacing w:before="0" w:after="0" w:line="42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邮      编：</w:t>
      </w:r>
      <w:r/>
    </w:p>
    <w:p>
      <w:pPr>
        <w:pStyle w:val="1022"/>
        <w:ind w:left="420"/>
        <w:spacing w:before="0" w:after="0" w:line="42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电      话：</w:t>
      </w:r>
      <w:r/>
    </w:p>
    <w:p>
      <w:pPr>
        <w:pStyle w:val="1022"/>
        <w:ind w:left="420"/>
        <w:spacing w:before="0" w:after="0" w:line="42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传      真：</w:t>
      </w:r>
      <w:r/>
    </w:p>
    <w:p>
      <w:pPr>
        <w:pStyle w:val="1022"/>
        <w:ind w:left="420"/>
        <w:spacing w:before="0" w:after="0" w:line="42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供应商开户行：</w:t>
      </w:r>
      <w:r/>
    </w:p>
    <w:p>
      <w:pPr>
        <w:pStyle w:val="1022"/>
        <w:ind w:left="420"/>
        <w:spacing w:before="0" w:after="0" w:line="42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账      号：</w:t>
      </w:r>
      <w:r/>
    </w:p>
    <w:p>
      <w:pPr>
        <w:pStyle w:val="1022"/>
        <w:ind w:left="420"/>
        <w:spacing w:before="0" w:after="0" w:line="420" w:lineRule="exact"/>
        <w:rPr>
          <w:rFonts w:hint="eastAsia" w:ascii="仿宋" w:hAnsi="仿宋" w:eastAsia="仿宋" w:cs="仿宋"/>
          <w:szCs w:val="21"/>
          <w:highlight w:val="none"/>
        </w:rPr>
      </w:pPr>
      <w:r>
        <w:rPr>
          <w:rFonts w:hint="eastAsia" w:ascii="仿宋" w:hAnsi="仿宋" w:eastAsia="仿宋" w:cs="仿宋"/>
          <w:szCs w:val="21"/>
          <w:highlight w:val="none"/>
        </w:rPr>
        <w:t xml:space="preserve">日      期：年月日</w:t>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sz w:val="24"/>
          <w:szCs w:val="20"/>
          <w:highlight w:val="none"/>
        </w:rPr>
        <w:outlineLvl w:val="1"/>
      </w:pPr>
      <w:r>
        <w:rPr>
          <w:rFonts w:hint="eastAsia" w:ascii="仿宋" w:hAnsi="仿宋" w:eastAsia="仿宋" w:cs="仿宋"/>
          <w:i/>
          <w:sz w:val="32"/>
          <w:szCs w:val="32"/>
          <w:highlight w:val="none"/>
          <w:u w:val="single"/>
        </w:rPr>
        <w:br w:type="page" w:clear="all"/>
      </w:r>
      <w:r>
        <w:rPr>
          <w:rFonts w:hint="eastAsia" w:ascii="仿宋" w:hAnsi="仿宋" w:eastAsia="仿宋" w:cs="仿宋"/>
          <w:i/>
          <w:sz w:val="32"/>
          <w:szCs w:val="32"/>
          <w:highlight w:val="none"/>
          <w:u w:val="single"/>
        </w:rPr>
        <w:t xml:space="preserve">四、磋商报价表</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                                   </w:t>
      </w:r>
      <w:r/>
    </w:p>
    <w:tbl>
      <w:tblPr>
        <w:tblStyle w:val="715"/>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2735" w:type="dxa"/>
            <w:vAlign w:val="center"/>
            <w:textDirection w:val="lrTb"/>
            <w:noWrap/>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项目内容</w:t>
            </w:r>
            <w:r/>
          </w:p>
        </w:tc>
        <w:tc>
          <w:tcPr>
            <w:tcW w:w="2736" w:type="dxa"/>
            <w:vAlign w:val="center"/>
            <w:textDirection w:val="lrTb"/>
            <w:noWrap/>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总价（小写）</w:t>
            </w:r>
            <w:r/>
          </w:p>
        </w:tc>
      </w:tr>
      <w:tr>
        <w:trPr>
          <w:cantSplit/>
          <w:trHeight w:val="725"/>
        </w:trPr>
        <w:tc>
          <w:tcPr>
            <w:tcW w:w="2735" w:type="dxa"/>
            <w:vAlign w:val="center"/>
            <w:textDirection w:val="lrTb"/>
            <w:noWrap/>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35" w:type="dxa"/>
            <w:vAlign w:val="center"/>
            <w:textDirection w:val="lrTb"/>
            <w:noWrap/>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详见响应文件</w:t>
            </w:r>
            <w:r/>
          </w:p>
        </w:tc>
        <w:tc>
          <w:tcPr>
            <w:tcW w:w="2736" w:type="dxa"/>
            <w:vAlign w:val="center"/>
            <w:textDirection w:val="lrTb"/>
            <w:noWrap/>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725"/>
        </w:trPr>
        <w:tc>
          <w:tcPr>
            <w:tcW w:w="2735" w:type="dxa"/>
            <w:vAlign w:val="center"/>
            <w:textDirection w:val="lrTb"/>
            <w:noWrap/>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总价（大写）：</w:t>
            </w:r>
            <w:r/>
          </w:p>
        </w:tc>
        <w:tc>
          <w:tcPr>
            <w:gridSpan w:val="2"/>
            <w:tcW w:w="5471" w:type="dxa"/>
            <w:vAlign w:val="center"/>
            <w:textDirection w:val="lrTb"/>
            <w:noWrap/>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供应商名称（电子签章）年月日</w:t>
      </w:r>
      <w:r/>
    </w:p>
    <w:p>
      <w:pPr>
        <w:ind w:firstLine="480"/>
        <w:rPr>
          <w:rFonts w:hint="eastAsia" w:ascii="仿宋" w:hAnsi="仿宋" w:eastAsia="仿宋" w:cs="仿宋"/>
          <w:b/>
          <w:i/>
          <w:sz w:val="32"/>
          <w:szCs w:val="32"/>
          <w:highlight w:val="none"/>
          <w:u w:val="single"/>
        </w:rPr>
      </w:pPr>
      <w:r>
        <w:rPr>
          <w:rFonts w:hint="eastAsia" w:ascii="仿宋" w:hAnsi="仿宋" w:eastAsia="仿宋" w:cs="仿宋"/>
          <w:b/>
          <w:i/>
          <w:sz w:val="32"/>
          <w:szCs w:val="32"/>
          <w:highlight w:val="none"/>
          <w:u w:val="single"/>
        </w:rPr>
      </w:r>
      <w:r/>
    </w:p>
    <w:p>
      <w:pPr>
        <w:rPr>
          <w:rFonts w:hint="eastAsia" w:ascii="仿宋" w:hAnsi="仿宋" w:eastAsia="仿宋" w:cs="仿宋"/>
          <w:i/>
          <w:sz w:val="32"/>
          <w:szCs w:val="32"/>
          <w:highlight w:val="none"/>
          <w:u w:val="single"/>
          <w:lang w:val="en-US" w:eastAsia="zh-CN"/>
        </w:rPr>
      </w:pPr>
      <w:r>
        <w:rPr>
          <w:rFonts w:hint="eastAsia" w:ascii="仿宋" w:hAnsi="仿宋" w:eastAsia="仿宋" w:cs="仿宋"/>
          <w:i/>
          <w:sz w:val="32"/>
          <w:szCs w:val="32"/>
          <w:highlight w:val="none"/>
          <w:u w:val="single"/>
          <w:lang w:val="en-US" w:eastAsia="zh-CN"/>
        </w:rPr>
        <w:br w:type="page" w:clear="all"/>
      </w:r>
      <w:r/>
    </w:p>
    <w:p>
      <w:pPr>
        <w:pStyle w:val="998"/>
        <w:ind w:firstLine="480"/>
        <w:jc w:val="both"/>
        <w:keepLines w:val="0"/>
        <w:keepNext w:val="0"/>
        <w:pageBreakBefore w:val="0"/>
        <w:spacing w:before="0" w:beforeAutospacing="0" w:after="0" w:afterAutospacing="0" w:line="360" w:lineRule="auto"/>
        <w:widowControl/>
        <w:rPr>
          <w:rFonts w:hint="eastAsia" w:ascii="仿宋" w:hAnsi="仿宋" w:eastAsia="仿宋" w:cs="仿宋"/>
          <w:i/>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仿宋" w:hAnsi="仿宋" w:eastAsia="仿宋" w:cs="仿宋"/>
          <w:iCs/>
          <w:sz w:val="32"/>
          <w:szCs w:val="32"/>
          <w:highlight w:val="none"/>
        </w:rPr>
        <w:br w:type="page" w:clear="all"/>
      </w:r>
      <w:r>
        <w:rPr>
          <w:rFonts w:hint="eastAsia" w:ascii="仿宋" w:hAnsi="仿宋" w:eastAsia="仿宋" w:cs="仿宋"/>
          <w:i/>
          <w:sz w:val="32"/>
          <w:szCs w:val="32"/>
          <w:highlight w:val="none"/>
          <w:u w:val="single"/>
          <w:lang w:val="en-US" w:eastAsia="zh-CN" w:bidi="ar-SA"/>
        </w:rPr>
        <w:t xml:space="preserve">五、中小企业声明函</w:t>
      </w:r>
      <w:r/>
    </w:p>
    <w:p>
      <w:pPr>
        <w:jc w:val="center"/>
        <w:spacing w:line="360" w:lineRule="auto"/>
        <w:rPr>
          <w:rFonts w:hint="eastAsia" w:ascii="仿宋" w:hAnsi="仿宋" w:eastAsia="仿宋" w:cs="仿宋"/>
          <w:color w:val="000000"/>
          <w:sz w:val="32"/>
          <w:szCs w:val="32"/>
          <w:highlight w:val="none"/>
        </w:rPr>
        <w:outlineLvl w:val="9"/>
      </w:pPr>
      <w:r/>
      <w:bookmarkStart w:id="202" w:name="_Toc983"/>
      <w:r>
        <w:rPr>
          <w:rFonts w:hint="eastAsia" w:ascii="仿宋" w:hAnsi="仿宋" w:eastAsia="仿宋" w:cs="仿宋"/>
          <w:color w:val="000000"/>
          <w:sz w:val="32"/>
          <w:szCs w:val="32"/>
          <w:highlight w:val="none"/>
        </w:rPr>
        <w:t xml:space="preserve">中小企业声明函（服务）</w:t>
      </w:r>
      <w:bookmarkEnd w:id="202"/>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本公司（联合体）郑重声明，根据《政府采购促进中小企业发展管理办法》(财库[2020]46号)的规定，本公司（联合体）参加南京市公共资源交易中心浦口分中心组织的</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采购编号为</w:t>
      </w:r>
      <w:r>
        <w:rPr>
          <w:rFonts w:hint="eastAsia" w:ascii="仿宋" w:hAnsi="仿宋" w:eastAsia="仿宋" w:cs="仿宋"/>
          <w:sz w:val="24"/>
          <w:szCs w:val="24"/>
          <w:highlight w:val="none"/>
          <w:u w:val="single"/>
          <w:lang w:eastAsia="zh-CN"/>
        </w:rPr>
        <w:t xml:space="preserve">JSZC-320111-JZCG-C2026-0028</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（项目名称）（分包号：**）</w:t>
      </w:r>
      <w:r>
        <w:rPr>
          <w:rFonts w:hint="eastAsia" w:ascii="仿宋" w:hAnsi="仿宋" w:eastAsia="仿宋" w:cs="仿宋"/>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360"/>
        <w:spacing w:line="360" w:lineRule="auto"/>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属于行业；承接企业为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，从业人员人，营业收入为万元，资产总额为万元</w:t>
      </w:r>
      <w:r>
        <w:rPr>
          <w:rFonts w:hint="eastAsia" w:ascii="仿宋" w:hAnsi="仿宋" w:eastAsia="仿宋" w:cs="仿宋"/>
          <w:sz w:val="24"/>
          <w:szCs w:val="24"/>
          <w:highlight w:val="none"/>
          <w:vertAlign w:val="superscript"/>
        </w:rPr>
        <w:t xml:space="preserve">1</w:t>
      </w:r>
      <w:r>
        <w:rPr>
          <w:rFonts w:hint="eastAsia" w:ascii="仿宋" w:hAnsi="仿宋" w:eastAsia="仿宋" w:cs="仿宋"/>
          <w:sz w:val="24"/>
          <w:szCs w:val="24"/>
          <w:highlight w:val="none"/>
        </w:rPr>
        <w:t xml:space="preserve">，属于¨中型企业¨小型企业¨微型企业</w:t>
      </w:r>
      <w:r>
        <w:rPr>
          <w:rFonts w:hint="eastAsia" w:ascii="仿宋" w:hAnsi="仿宋" w:eastAsia="仿宋" w:cs="仿宋"/>
          <w:sz w:val="24"/>
          <w:szCs w:val="24"/>
          <w:highlight w:val="none"/>
          <w:u w:val="single"/>
        </w:rPr>
        <w:t xml:space="preserve">；</w:t>
      </w:r>
      <w:r/>
    </w:p>
    <w:p>
      <w:pPr>
        <w:ind w:firstLine="360"/>
        <w:spacing w:line="360" w:lineRule="auto"/>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属于行业；承接企业为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，从业人员人，营业收入为万元，资产总额为万元</w:t>
      </w:r>
      <w:r>
        <w:rPr>
          <w:rFonts w:hint="eastAsia" w:ascii="仿宋" w:hAnsi="仿宋" w:eastAsia="仿宋" w:cs="仿宋"/>
          <w:sz w:val="24"/>
          <w:szCs w:val="24"/>
          <w:highlight w:val="none"/>
          <w:vertAlign w:val="superscript"/>
        </w:rPr>
        <w:t xml:space="preserve">1</w:t>
      </w:r>
      <w:r>
        <w:rPr>
          <w:rFonts w:hint="eastAsia" w:ascii="仿宋" w:hAnsi="仿宋" w:eastAsia="仿宋" w:cs="仿宋"/>
          <w:sz w:val="24"/>
          <w:szCs w:val="24"/>
          <w:highlight w:val="none"/>
        </w:rPr>
        <w:t xml:space="preserve">，属于¨中型企业¨小型企业¨微型企业</w:t>
      </w:r>
      <w:r>
        <w:rPr>
          <w:rFonts w:hint="eastAsia" w:ascii="仿宋" w:hAnsi="仿宋" w:eastAsia="仿宋" w:cs="仿宋"/>
          <w:sz w:val="24"/>
          <w:szCs w:val="24"/>
          <w:highlight w:val="none"/>
          <w:u w:val="single"/>
        </w:rPr>
        <w:t xml:space="preserve">；</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（备注：1.从业人员、营业收入、资产总额填报上一年度数据，无上一年度数据的新成立企业可不填报。2.在所属企业类型前的</w:t>
      </w:r>
      <w:r>
        <w:rPr>
          <w:rFonts w:hint="eastAsia" w:ascii="仿宋" w:hAnsi="仿宋" w:eastAsia="仿宋" w:cs="仿宋"/>
          <w:sz w:val="24"/>
          <w:szCs w:val="24"/>
          <w:highlight w:val="none"/>
          <w:u w:val="single"/>
        </w:rPr>
        <w:t xml:space="preserve">¨内打“√”。</w:t>
      </w:r>
      <w:r>
        <w:rPr>
          <w:rFonts w:hint="eastAsia" w:ascii="仿宋" w:hAnsi="仿宋" w:eastAsia="仿宋" w:cs="仿宋"/>
          <w:sz w:val="24"/>
          <w:szCs w:val="24"/>
          <w:highlight w:val="none"/>
        </w:rPr>
        <w:t xml:space="preserve">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right="180" w:firstLine="360"/>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企业名称：（加盖CA电子公章）</w:t>
      </w:r>
      <w:r/>
    </w:p>
    <w:p>
      <w:pPr>
        <w:ind w:firstLine="576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日  期：年___月___日</w:t>
      </w:r>
      <w:r/>
    </w:p>
    <w:p>
      <w:pPr>
        <w:jc w:val="left"/>
        <w:spacing w:line="360" w:lineRule="auto"/>
        <w:rPr>
          <w:rFonts w:hint="eastAsia" w:ascii="仿宋" w:hAnsi="仿宋" w:eastAsia="仿宋" w:cs="仿宋"/>
          <w:i/>
          <w:sz w:val="32"/>
          <w:szCs w:val="32"/>
          <w:highlight w:val="none"/>
          <w:u w:val="single"/>
          <w:lang w:val="en-US" w:eastAsia="zh-CN" w:bidi="ar-SA"/>
        </w:rPr>
        <w:outlineLvl w:val="1"/>
      </w:pPr>
      <w:r>
        <w:rPr>
          <w:rFonts w:hint="eastAsia" w:ascii="仿宋" w:hAnsi="仿宋" w:eastAsia="仿宋" w:cs="仿宋"/>
          <w:b/>
          <w:sz w:val="32"/>
          <w:szCs w:val="32"/>
          <w:highlight w:val="none"/>
        </w:rPr>
        <w:br w:type="page" w:clear="all"/>
      </w:r>
      <w:r>
        <w:rPr>
          <w:rFonts w:hint="eastAsia" w:ascii="仿宋" w:hAnsi="仿宋" w:eastAsia="仿宋" w:cs="仿宋"/>
          <w:i/>
          <w:sz w:val="32"/>
          <w:szCs w:val="32"/>
          <w:highlight w:val="none"/>
          <w:u w:val="single"/>
          <w:lang w:val="en-US" w:eastAsia="zh-CN" w:bidi="ar-SA"/>
        </w:rPr>
        <w:t xml:space="preserve">六、残疾人福利性单位声明函</w:t>
      </w:r>
      <w:r/>
    </w:p>
    <w:p>
      <w:pPr>
        <w:jc w:val="center"/>
        <w:spacing w:line="360" w:lineRule="auto"/>
        <w:rPr>
          <w:rFonts w:hint="eastAsia" w:ascii="仿宋" w:hAnsi="仿宋" w:eastAsia="仿宋" w:cs="仿宋"/>
          <w:color w:val="000000"/>
          <w:sz w:val="32"/>
          <w:szCs w:val="32"/>
          <w:highlight w:val="none"/>
        </w:rPr>
        <w:outlineLvl w:val="9"/>
      </w:pPr>
      <w:r/>
      <w:bookmarkStart w:id="203" w:name="_Toc22477"/>
      <w:r>
        <w:rPr>
          <w:rFonts w:hint="eastAsia" w:ascii="仿宋" w:hAnsi="仿宋" w:eastAsia="仿宋" w:cs="仿宋"/>
          <w:color w:val="000000"/>
          <w:sz w:val="32"/>
          <w:szCs w:val="32"/>
          <w:highlight w:val="none"/>
        </w:rPr>
        <w:t xml:space="preserve">残疾人福利性单位声明函</w:t>
      </w:r>
      <w:bookmarkEnd w:id="203"/>
      <w:r/>
      <w:r/>
    </w:p>
    <w:p>
      <w:pPr>
        <w:ind w:firstLine="480"/>
        <w:spacing w:line="588"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的项目（分包号：**）采购活动提供本单位承担的服务。</w:t>
      </w:r>
      <w:r/>
    </w:p>
    <w:p>
      <w:pPr>
        <w:ind w:firstLine="480"/>
        <w:spacing w:line="588"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本单位对上述声明的真实性负责。如有虚假，将依法承担相应责任。</w:t>
      </w:r>
      <w:r/>
    </w:p>
    <w:p>
      <w:pPr>
        <w:ind w:firstLine="480"/>
        <w:spacing w:line="588"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0"/>
        <w:spacing w:line="588"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pStyle w:val="1051"/>
        <w:rPr>
          <w:rFonts w:hint="eastAsia" w:ascii="仿宋" w:hAnsi="仿宋" w:eastAsia="仿宋" w:cs="仿宋"/>
          <w:highlight w:val="none"/>
        </w:rPr>
      </w:pPr>
      <w:r>
        <w:rPr>
          <w:rFonts w:hint="eastAsia" w:ascii="仿宋" w:hAnsi="仿宋" w:eastAsia="仿宋" w:cs="仿宋"/>
          <w:highlight w:val="none"/>
        </w:rPr>
      </w:r>
      <w:r/>
    </w:p>
    <w:p>
      <w:pPr>
        <w:ind w:right="180" w:firstLine="360"/>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企业名称：（加盖CA电子公章）</w:t>
      </w:r>
      <w:r/>
    </w:p>
    <w:p>
      <w:pPr>
        <w:ind w:firstLine="576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日  期：年___月___日</w:t>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spacing w:line="460" w:lineRule="exact"/>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p>
    <w:p>
      <w:pPr>
        <w:rPr>
          <w:highlight w:val="none"/>
        </w:rPr>
      </w:pPr>
      <w:r>
        <w:rPr>
          <w:rFonts w:hint="eastAsia" w:ascii="仿宋" w:hAnsi="仿宋" w:eastAsia="仿宋" w:cs="仿宋"/>
          <w:i/>
          <w:sz w:val="32"/>
          <w:szCs w:val="32"/>
          <w:highlight w:val="none"/>
          <w:u w:val="single"/>
        </w:rPr>
        <w:br w:type="page" w:clear="all"/>
      </w:r>
      <w:r/>
    </w:p>
    <w:p>
      <w:pPr>
        <w:rPr>
          <w:rFonts w:hint="eastAsia" w:ascii="仿宋" w:hAnsi="仿宋" w:eastAsia="仿宋" w:cs="仿宋"/>
          <w:i/>
          <w:sz w:val="32"/>
          <w:szCs w:val="32"/>
          <w:highlight w:val="none"/>
          <w:u w:val="single"/>
        </w:rPr>
        <w:outlineLvl w:val="1"/>
      </w:pPr>
      <w:r>
        <w:rPr>
          <w:rFonts w:hint="eastAsia" w:ascii="仿宋" w:hAnsi="仿宋" w:eastAsia="仿宋" w:cs="仿宋"/>
          <w:i/>
          <w:sz w:val="32"/>
          <w:szCs w:val="32"/>
          <w:highlight w:val="none"/>
          <w:u w:val="single"/>
          <w:lang w:val="en-US" w:eastAsia="zh-CN"/>
        </w:rPr>
        <w:t xml:space="preserve">七</w:t>
      </w:r>
      <w:r>
        <w:rPr>
          <w:rFonts w:hint="eastAsia" w:ascii="仿宋" w:hAnsi="仿宋" w:eastAsia="仿宋" w:cs="仿宋"/>
          <w:i/>
          <w:sz w:val="32"/>
          <w:szCs w:val="32"/>
          <w:highlight w:val="none"/>
          <w:u w:val="single"/>
        </w:rPr>
        <w:t xml:space="preserve">、技术要求响应及偏离表</w:t>
      </w:r>
      <w:r/>
    </w:p>
    <w:p>
      <w:pPr>
        <w:jc w:val="center"/>
        <w:spacing w:line="360" w:lineRule="auto"/>
        <w:rPr>
          <w:rFonts w:hint="eastAsia" w:ascii="仿宋" w:hAnsi="仿宋" w:eastAsia="仿宋" w:cs="仿宋"/>
          <w:color w:val="000000"/>
          <w:sz w:val="32"/>
          <w:szCs w:val="32"/>
          <w:highlight w:val="none"/>
        </w:rPr>
        <w:outlineLvl w:val="9"/>
      </w:pPr>
      <w:r/>
      <w:bookmarkStart w:id="204" w:name="_Toc9719"/>
      <w:r>
        <w:rPr>
          <w:rFonts w:hint="eastAsia" w:ascii="仿宋" w:hAnsi="仿宋" w:eastAsia="仿宋" w:cs="仿宋"/>
          <w:color w:val="000000"/>
          <w:sz w:val="32"/>
          <w:szCs w:val="32"/>
          <w:highlight w:val="none"/>
        </w:rPr>
        <w:t xml:space="preserve">技术要求响应及偏离表</w:t>
      </w:r>
      <w:bookmarkEnd w:id="204"/>
      <w:r/>
      <w:r/>
    </w:p>
    <w:tbl>
      <w:tblPr>
        <w:tblStyle w:val="71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016"/>
        <w:gridCol w:w="2000"/>
        <w:gridCol w:w="1435"/>
        <w:gridCol w:w="1173"/>
      </w:tblGrid>
      <w:tr>
        <w:trPr/>
        <w:tc>
          <w:tcPr>
            <w:tcW w:w="545"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401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磋商文件要求</w:t>
            </w:r>
            <w:r/>
          </w:p>
        </w:tc>
        <w:tc>
          <w:tcPr>
            <w:tcW w:w="200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响应情况</w:t>
            </w:r>
            <w:r/>
          </w:p>
        </w:tc>
        <w:tc>
          <w:tcPr>
            <w:tcW w:w="1435"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正偏离、无偏离或负偏离</w:t>
            </w:r>
            <w:r/>
          </w:p>
        </w:tc>
        <w:tc>
          <w:tcPr>
            <w:tcW w:w="1173"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证明</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w:t>
            </w:r>
            <w:r/>
          </w:p>
        </w:tc>
      </w:tr>
      <w:tr>
        <w:trPr>
          <w:trHeight w:val="640"/>
        </w:trPr>
        <w:tc>
          <w:tcPr>
            <w:tcW w:w="54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016" w:type="dxa"/>
            <w:textDirection w:val="lrTb"/>
            <w:noWrap/>
          </w:tcPr>
          <w:p>
            <w:pP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四、拟采购标的需要满足的技术、商务要求</w:t>
            </w:r>
            <w:r/>
          </w:p>
          <w:p>
            <w:pPr>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（一）技术要求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1.项目实施内容</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（1）江浦街道有林面积约4.41万亩，其中省、市公益林面积约1.6935万亩，商品林约2.7165万亩。江浦街道与国家级森林公园老山风景区接壤，相连接处11.5公里，</w:t>
            </w:r>
            <w:r>
              <w:rPr>
                <w:rFonts w:hint="eastAsia" w:ascii="仿宋" w:hAnsi="仿宋" w:eastAsia="仿宋" w:cs="仿宋"/>
                <w:sz w:val="24"/>
                <w:szCs w:val="24"/>
                <w:highlight w:val="none"/>
                <w:lang w:val="en-US" w:eastAsia="zh-CN"/>
              </w:rPr>
              <w:t xml:space="preserve">涉及7个社区18个森林防火点位和涉及造成森林防火隐患的周边芦苇、杂草清理，2处森林防火用房；森林防火站点的工作要求每个点全年安排24小时轮流进行值守和巡逻，并对森林防火所巡查的范围进行看护，对森林防火站点防火用具整齐排放、防火站点内及周边环境卫生进行管理，对发现、巡查到的安全隐患的及时整改，无法整改的进行上报；</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（2）成交供应商无条件配备防火物资一批100个灭火器等；</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（3）高旺社区、华光社区2处新建防火站点有人24小时值守；</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（4）根据护林防火需要每年对11.5公里老山森林景区连接处、重点防火区域道路侧10米内清理枯枝、枯叶等易燃物不少于1次；</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（5）成交供应商应具有清晰的组织架构，建立经验丰富、专业全面的服务团队。人员岗位职责应清晰，分工明确、服务规范；</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（6）成交供应商必须恪守职责，严格遵守采购人的管理制度和验收办法；</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（7）采购人有权对成交供应商提供的服务过程、服务质量、服务结果进行监督、检查、指导及验收；</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（8）采购人有权依法对成交供应商违法行为进行调查处理；</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（9）对不能胜任工作或在执行任务中严重违反规定并造成后果的，采购人有权向成交供应商发出书面清退建议；</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（10）成交供应商应根据服务岗位的需要配备物资及装备；</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（11）成交供应商在履行服务期间和上下班路途中，发生的疾病、人身伤害和伤亡等所有事故，均由成交供应商负责处理并承担全部责任，采购人不承担任何责任；</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（12）成交供应商在履行服务的过程中，发生的纠纷自行协调解决；</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（13）成交供应商按照采购人要求定期进行森林防火演练，作为采购人森林防火队伍不断提高防火技能。在遇到火情时第一时间进行处置。</w:t>
            </w:r>
            <w:r/>
          </w:p>
        </w:tc>
        <w:tc>
          <w:tcPr>
            <w:tcW w:w="2000"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3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40"/>
        </w:trPr>
        <w:tc>
          <w:tcPr>
            <w:tcW w:w="54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016" w:type="dxa"/>
            <w:textDirection w:val="lrTb"/>
            <w:noWrap/>
          </w:tcPr>
          <w:p>
            <w:pP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四、拟采购标的需要满足的技术、商务要求</w:t>
            </w:r>
            <w:r/>
          </w:p>
          <w:p>
            <w:pPr>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（一）技术要求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2.安全责任要求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在工作期间发生的任何工伤和其他事件，其责任及产生的费用由中标单位保障及承担。</w:t>
            </w:r>
            <w:r/>
          </w:p>
        </w:tc>
        <w:tc>
          <w:tcPr>
            <w:tcW w:w="2000"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3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40"/>
        </w:trPr>
        <w:tc>
          <w:tcPr>
            <w:tcW w:w="54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4016" w:type="dxa"/>
            <w:textDirection w:val="lrTb"/>
            <w:noWrap/>
          </w:tcPr>
          <w:p>
            <w:pP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四、拟采购标的需要满足的技术、商务要求</w:t>
            </w:r>
            <w:r/>
          </w:p>
          <w:p>
            <w:pPr>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（一）技术要求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3.验收管理要求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（1）成交供应商若有以下情形之一的，应向采购人支付5000元的违约金，若违约金不足以弥补因此造成采购人的损失或第三方的损失，成交供应商还应赔偿。</w:t>
            </w:r>
            <w:r/>
          </w:p>
          <w:p>
            <w:pPr>
              <w:numPr>
                <w:ilvl w:val="0"/>
                <w:numId w:val="0"/>
              </w:numPr>
              <w:ind w:firstLine="787"/>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1）成交供应商发生超出工作职责范围外的任何行为，造成采购人损失和影响的；</w:t>
            </w:r>
            <w:r/>
          </w:p>
          <w:p>
            <w:pPr>
              <w:numPr>
                <w:ilvl w:val="0"/>
                <w:numId w:val="0"/>
              </w:numPr>
              <w:ind w:firstLine="787"/>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2）成交供应商提供服务时有过错，被媒体进行负面报道造成恶劣影响，并经查实的；</w:t>
            </w:r>
            <w:r/>
          </w:p>
          <w:p>
            <w:pPr>
              <w:numPr>
                <w:ilvl w:val="0"/>
                <w:numId w:val="0"/>
              </w:numPr>
              <w:ind w:firstLine="787"/>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3）其他造成严重后果的情形。</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（2）成交供应商若有以下情形之一的，采购人按次扣减2000元服务费。</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1）成交供应商因巡防工作执行不力被上级主管部门检查通报的；</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2）成交供应商不按规定处置巡护范围内安全隐患，发现不利于森林安全管理事件不上报的；</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3）成交供应商发生本条第1款约定的任一行为，经采购人三次书面指正仍拒不改正的，采购人有权解除本合同；因解除合同造成损失的，由成交供应商承担赔偿责任；</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4）成交供应商违约时，应支付的违约金或赔偿金，采购人可从应付的服务费中扣除，不足部分，有权追偿。</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3）成交供应商发现巡查范围有祭扫或者野炊人员应及时劝导，无法劝导向所在社区和江浦街道农村工作办报告；辖区内发生火情第一时间赶往现场并组织扑救；如发生火情，半小时内未及时到达现场并组织扑救的，未造成损失影响的2000元／次；如因扑救不及时造成损失严重并且有不良影响的处罚1万元／次：发生重大火情，未按照合同履行职责扑救的，造成重大损失或者人员伤亡的，扣罚10万元，采购人有权根据情况考虑是否直接解除合同。</w:t>
            </w:r>
            <w:r/>
          </w:p>
          <w:p>
            <w:pPr>
              <w:numPr>
                <w:ilvl w:val="0"/>
                <w:numId w:val="0"/>
              </w:numPr>
              <w:ind w:left="0" w:firstLine="638"/>
              <w:jc w:val="left"/>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（4）确保每个护林网格内有一名护林员在岗在位，熟练掌握使用森林防火APP,对未及时上传打卡及巡查路线的按脱岗处理，每人每次扣罚200元。</w:t>
            </w:r>
            <w:r/>
          </w:p>
          <w:p>
            <w:pPr>
              <w:jc w:val="center"/>
              <w:rPr>
                <w:rFonts w:hint="eastAsia" w:ascii="仿宋" w:hAnsi="仿宋" w:eastAsia="仿宋" w:cs="仿宋"/>
                <w:sz w:val="24"/>
                <w:szCs w:val="24"/>
                <w:highlight w:val="none"/>
              </w:rPr>
            </w:pPr>
            <w:r>
              <w:rPr>
                <w:rFonts w:hint="eastAsia" w:ascii="仿宋" w:hAnsi="仿宋" w:eastAsia="仿宋" w:cs="仿宋"/>
                <w:b w:val="0"/>
                <w:bCs w:val="0"/>
                <w:sz w:val="24"/>
                <w:szCs w:val="24"/>
                <w:highlight w:val="none"/>
                <w:lang w:val="en-US" w:eastAsia="zh-CN" w:bidi="ar-SA"/>
              </w:rPr>
              <w:t xml:space="preserve">（5）对管护林区内发发生的乱征滥占林地，乱砍滥伐林木，乱捕滥猎野生动物，乱采滥挖野生植物等破坏森林资源行为的未及时处理并上报的扣罚500元/次。</w:t>
            </w:r>
            <w:r/>
          </w:p>
        </w:tc>
        <w:tc>
          <w:tcPr>
            <w:tcW w:w="2000"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3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40"/>
        </w:trPr>
        <w:tc>
          <w:tcPr>
            <w:tcW w:w="54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016"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2000"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3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1022"/>
        <w:ind w:firstLine="0"/>
        <w:spacing w:before="0" w:after="0" w:line="42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供应商名称：</w:t>
      </w:r>
      <w:r>
        <w:rPr>
          <w:rFonts w:hint="eastAsia" w:ascii="仿宋" w:hAnsi="仿宋" w:eastAsia="仿宋" w:cs="仿宋"/>
          <w:szCs w:val="21"/>
          <w:highlight w:val="none"/>
          <w:u w:val="single"/>
        </w:rPr>
        <w:t xml:space="preserve">（加盖CA电子公章）</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 行数不够，可自行添加。</w:t>
      </w:r>
      <w:bookmarkEnd w:id="196"/>
      <w: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jc w:val="left"/>
        <w:rPr>
          <w:rFonts w:hint="eastAsia" w:ascii="仿宋" w:hAnsi="仿宋" w:eastAsia="仿宋" w:cs="仿宋"/>
          <w:i/>
          <w:sz w:val="32"/>
          <w:szCs w:val="32"/>
          <w:highlight w:val="none"/>
          <w:u w:val="single"/>
        </w:rPr>
      </w:pPr>
      <w:r/>
      <w:bookmarkStart w:id="205" w:name="_Hlt26955054"/>
      <w:r/>
      <w:bookmarkEnd w:id="205"/>
      <w:r/>
      <w:r/>
    </w:p>
    <w:p>
      <w:pPr>
        <w:jc w:val="left"/>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p>
    <w:p>
      <w:pPr>
        <w:jc w:val="left"/>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p>
    <w:p>
      <w:pPr>
        <w:jc w:val="left"/>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p>
    <w:p>
      <w:pPr>
        <w:jc w:val="left"/>
        <w:rPr>
          <w:rFonts w:hint="eastAsia" w:ascii="仿宋" w:hAnsi="仿宋" w:eastAsia="仿宋" w:cs="仿宋"/>
          <w:i/>
          <w:sz w:val="32"/>
          <w:szCs w:val="32"/>
          <w:highlight w:val="none"/>
          <w:u w:val="single"/>
        </w:rPr>
      </w:pPr>
      <w:r>
        <w:rPr>
          <w:rFonts w:hint="eastAsia" w:ascii="仿宋" w:hAnsi="仿宋" w:eastAsia="仿宋" w:cs="仿宋"/>
          <w:i/>
          <w:sz w:val="32"/>
          <w:szCs w:val="32"/>
          <w:highlight w:val="none"/>
          <w:u w:val="single"/>
        </w:rPr>
      </w:r>
      <w:r/>
    </w:p>
    <w:p>
      <w:pPr>
        <w:rPr>
          <w:rFonts w:hint="eastAsia" w:ascii="仿宋" w:hAnsi="仿宋" w:eastAsia="仿宋" w:cs="仿宋"/>
          <w:i/>
          <w:sz w:val="32"/>
          <w:szCs w:val="32"/>
          <w:highlight w:val="none"/>
          <w:u w:val="single"/>
          <w:lang w:val="en-US" w:eastAsia="zh-CN"/>
        </w:rPr>
      </w:pPr>
      <w:r>
        <w:rPr>
          <w:rFonts w:hint="eastAsia" w:ascii="仿宋" w:hAnsi="仿宋" w:eastAsia="仿宋" w:cs="仿宋"/>
          <w:i/>
          <w:sz w:val="32"/>
          <w:szCs w:val="32"/>
          <w:highlight w:val="none"/>
          <w:u w:val="single"/>
          <w:lang w:val="en-US" w:eastAsia="zh-CN"/>
        </w:rPr>
        <w:br w:type="page" w:clear="all"/>
      </w:r>
      <w:r/>
    </w:p>
    <w:p>
      <w:pPr>
        <w:jc w:val="left"/>
        <w:rPr>
          <w:rFonts w:hint="eastAsia" w:ascii="仿宋" w:hAnsi="仿宋" w:eastAsia="仿宋" w:cs="仿宋"/>
          <w:i/>
          <w:sz w:val="32"/>
          <w:szCs w:val="32"/>
          <w:highlight w:val="none"/>
          <w:u w:val="single"/>
        </w:rPr>
        <w:outlineLvl w:val="1"/>
      </w:pPr>
      <w:r>
        <w:rPr>
          <w:rFonts w:hint="eastAsia" w:ascii="仿宋" w:hAnsi="仿宋" w:eastAsia="仿宋" w:cs="仿宋"/>
          <w:i/>
          <w:sz w:val="32"/>
          <w:szCs w:val="32"/>
          <w:highlight w:val="none"/>
          <w:u w:val="single"/>
          <w:lang w:val="en-US" w:eastAsia="zh-CN"/>
        </w:rPr>
        <w:t xml:space="preserve">八</w:t>
      </w:r>
      <w:r>
        <w:rPr>
          <w:rFonts w:hint="eastAsia" w:ascii="仿宋" w:hAnsi="仿宋" w:eastAsia="仿宋" w:cs="仿宋"/>
          <w:i/>
          <w:sz w:val="32"/>
          <w:szCs w:val="32"/>
          <w:highlight w:val="none"/>
          <w:u w:val="single"/>
        </w:rPr>
        <w:t xml:space="preserve">、商务要求响应及偏离表</w:t>
      </w:r>
      <w:r/>
    </w:p>
    <w:p>
      <w:pPr>
        <w:jc w:val="center"/>
        <w:spacing w:line="360" w:lineRule="auto"/>
        <w:rPr>
          <w:rFonts w:hint="eastAsia" w:ascii="仿宋" w:hAnsi="仿宋" w:eastAsia="仿宋" w:cs="仿宋"/>
          <w:color w:val="000000"/>
          <w:sz w:val="32"/>
          <w:szCs w:val="32"/>
          <w:highlight w:val="none"/>
        </w:rPr>
        <w:outlineLvl w:val="9"/>
      </w:pPr>
      <w:r/>
      <w:bookmarkStart w:id="206" w:name="_Toc19402"/>
      <w:r>
        <w:rPr>
          <w:rFonts w:hint="eastAsia" w:ascii="仿宋" w:hAnsi="仿宋" w:eastAsia="仿宋" w:cs="仿宋"/>
          <w:color w:val="000000"/>
          <w:sz w:val="32"/>
          <w:szCs w:val="32"/>
          <w:highlight w:val="none"/>
        </w:rPr>
        <w:t xml:space="preserve">商务要求响应及偏离表</w:t>
      </w:r>
      <w:bookmarkEnd w:id="206"/>
      <w:r/>
      <w:r/>
    </w:p>
    <w:tbl>
      <w:tblPr>
        <w:tblStyle w:val="71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91"/>
        <w:gridCol w:w="1625"/>
        <w:gridCol w:w="1535"/>
        <w:gridCol w:w="1173"/>
      </w:tblGrid>
      <w:tr>
        <w:trPr>
          <w:cantSplit/>
        </w:trPr>
        <w:tc>
          <w:tcPr>
            <w:tcW w:w="545" w:type="dxa"/>
            <w:vAlign w:val="center"/>
            <w:textDirection w:val="lrTb"/>
            <w:noWrap/>
          </w:tcPr>
          <w:p>
            <w:pPr>
              <w:jc w:val="center"/>
              <w:rPr>
                <w:rFonts w:hint="eastAsia" w:ascii="仿宋" w:hAnsi="仿宋" w:eastAsia="仿宋" w:cs="仿宋"/>
                <w:sz w:val="24"/>
                <w:szCs w:val="24"/>
                <w:highlight w:val="none"/>
              </w:rPr>
            </w:pPr>
            <w:r/>
            <w:bookmarkStart w:id="207" w:name="_Hlt26782999"/>
            <w:r/>
            <w:bookmarkEnd w:id="207"/>
            <w:r/>
            <w:bookmarkStart w:id="208" w:name="_Hlt26609391"/>
            <w:r/>
            <w:bookmarkEnd w:id="208"/>
            <w:r/>
            <w:bookmarkStart w:id="209" w:name="_Hlt26955064"/>
            <w:r/>
            <w:bookmarkEnd w:id="209"/>
            <w:r/>
            <w:bookmarkStart w:id="210" w:name="_Hlt26671372"/>
            <w:r/>
            <w:bookmarkEnd w:id="210"/>
            <w:r/>
            <w:bookmarkStart w:id="211" w:name="_Hlt26955056"/>
            <w:r/>
            <w:bookmarkEnd w:id="211"/>
            <w:r/>
            <w:bookmarkStart w:id="212" w:name="_Hlt26580838"/>
            <w:r/>
            <w:bookmarkEnd w:id="212"/>
            <w:r/>
            <w:bookmarkStart w:id="213" w:name="_Hlt26671343"/>
            <w:r/>
            <w:bookmarkEnd w:id="213"/>
            <w:r/>
            <w:bookmarkStart w:id="214" w:name="_Hlt24879081"/>
            <w:r/>
            <w:bookmarkEnd w:id="214"/>
            <w:r>
              <w:rPr>
                <w:rFonts w:hint="eastAsia" w:ascii="仿宋" w:hAnsi="仿宋" w:eastAsia="仿宋" w:cs="仿宋"/>
                <w:sz w:val="24"/>
                <w:szCs w:val="24"/>
                <w:highlight w:val="none"/>
              </w:rPr>
              <w:t xml:space="preserve">序号</w:t>
            </w:r>
            <w:r/>
          </w:p>
        </w:tc>
        <w:tc>
          <w:tcPr>
            <w:tcW w:w="42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磋商文件要求</w:t>
            </w:r>
            <w:r/>
          </w:p>
        </w:tc>
        <w:tc>
          <w:tcPr>
            <w:tcW w:w="1625"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响应情况</w:t>
            </w:r>
            <w:r/>
          </w:p>
        </w:tc>
        <w:tc>
          <w:tcPr>
            <w:tcW w:w="1535"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正偏离、无偏离或负偏离</w:t>
            </w:r>
            <w:r/>
          </w:p>
        </w:tc>
        <w:tc>
          <w:tcPr>
            <w:tcW w:w="1173"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证明</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w:t>
            </w:r>
            <w:r/>
          </w:p>
        </w:tc>
      </w:tr>
      <w:tr>
        <w:trPr>
          <w:cantSplit/>
          <w:trHeight w:val="640"/>
        </w:trPr>
        <w:tc>
          <w:tcPr>
            <w:tcW w:w="54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291" w:type="dxa"/>
            <w:textDirection w:val="lrTb"/>
            <w:noWrap/>
          </w:tcPr>
          <w:p>
            <w:pP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四、拟采购标的需要满足的技术、商务要求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1.报价要求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（1）本项目报价采用固定总价合同，投标总报价应包括但不限于服务的人员工资及各种社会福利费（含保险），材料费、机械设备、工器具费，服装费、 通讯费 、交通费，水电费、垃圾清运费，税费等完成本项目的所有费用以及合同实施过程中应预见和不可预见费用。投标供应商应根据上述因素自行考虑含入磋商总价；</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（2）在履行合同期间如成本上涨或降低，业主对价格一律不作调整；</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（3）本次报价须为人民币报价。</w:t>
            </w:r>
            <w:r/>
          </w:p>
        </w:tc>
        <w:tc>
          <w:tcPr>
            <w:tcW w:w="162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291" w:type="dxa"/>
            <w:textDirection w:val="lrTb"/>
            <w:noWrap/>
          </w:tcPr>
          <w:p>
            <w:pP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四、拟采购标的需要满足的技术、商务要求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2.交付时间及地点</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（1）交付时间：1年。</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（2）交付地点：浦口区江浦街道辖区范围内（采购人指定地点）。</w:t>
            </w:r>
            <w:r/>
          </w:p>
        </w:tc>
        <w:tc>
          <w:tcPr>
            <w:tcW w:w="162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textDirection w:val="lrTb"/>
            <w:noWrap/>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W w:w="4291" w:type="dxa"/>
            <w:textDirection w:val="lrTb"/>
            <w:noWrap/>
          </w:tcPr>
          <w:p>
            <w:pP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四、拟采购标的需要满足的技术、商务要求</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3.付款条件</w:t>
            </w:r>
            <w:r/>
          </w:p>
          <w:p>
            <w:pPr>
              <w:numPr>
                <w:ilvl w:val="0"/>
                <w:numId w:val="0"/>
              </w:numPr>
              <w:ind w:firstLine="480"/>
              <w:jc w:val="cente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合同签订后支付合同价20%，剩余价款按每三个月支付一次，每次支付合同价20%，采购人根据验收结果确定每次服务费付款。 </w:t>
            </w:r>
            <w:r/>
          </w:p>
        </w:tc>
        <w:tc>
          <w:tcPr>
            <w:tcW w:w="162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91"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162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5"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73" w:type="dxa"/>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1022"/>
        <w:ind w:firstLine="0"/>
        <w:spacing w:before="0" w:after="0" w:line="42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供应商名称：</w:t>
      </w:r>
      <w:r>
        <w:rPr>
          <w:rFonts w:hint="eastAsia" w:ascii="仿宋" w:hAnsi="仿宋" w:eastAsia="仿宋" w:cs="仿宋"/>
          <w:szCs w:val="21"/>
          <w:highlight w:val="none"/>
          <w:u w:val="single"/>
        </w:rPr>
        <w:t xml:space="preserve">（加盖CA电子公章）</w:t>
      </w:r>
      <w:r/>
    </w:p>
    <w:p>
      <w:pPr>
        <w:rPr>
          <w:rFonts w:hint="eastAsia" w:ascii="仿宋" w:hAnsi="仿宋" w:eastAsia="仿宋" w:cs="仿宋"/>
          <w:b/>
          <w:bCs/>
          <w:sz w:val="32"/>
          <w:szCs w:val="32"/>
          <w:highlight w:val="none"/>
        </w:rPr>
      </w:pPr>
      <w:r>
        <w:rPr>
          <w:rFonts w:hint="eastAsia" w:ascii="仿宋" w:hAnsi="仿宋" w:eastAsia="仿宋" w:cs="仿宋"/>
          <w:sz w:val="24"/>
          <w:szCs w:val="24"/>
          <w:highlight w:val="none"/>
        </w:rPr>
        <w:t xml:space="preserve">注： 行数不够，可自行添加。</w:t>
      </w:r>
      <w:bookmarkEnd w:id="181"/>
      <w:r/>
      <w:bookmarkEnd w:id="182"/>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质疑函范本</w:t>
      </w:r>
      <w:r/>
    </w:p>
    <w:p>
      <w:pPr>
        <w:spacing w:before="29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一、质疑供应商基本信息</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质疑供应商：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地址：邮编：</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联系人：联系电话：</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授权代表：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邮编：</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二、质疑项目基本情况</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质疑项目的编号：包号：</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采购人名称：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三、质疑事项具体内容</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质疑事项1：</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事实依据：</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法律依据：</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质疑事项2</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四、与质疑事项相关的质疑请求</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请求：</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签字(签章)：                   公章：                      </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质疑函制作说明：</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r>
      <w:r/>
    </w:p>
    <w:sectPr>
      <w:headerReference w:type="default" r:id="rId9"/>
      <w:footerReference w:type="default" r:id="rId11"/>
      <w:footerReference w:type="even" r:id="rId12"/>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8"/>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8"/>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3"/>
                            <w:rPr>
                              <w:rStyle w:val="1008"/>
                              <w:rFonts w:hint="eastAsia" w:ascii="宋体" w:hAnsi="宋体"/>
                            </w:rPr>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45</w:t>
                          </w:r>
                          <w:r>
                            <w:rPr>
                              <w:rFonts w:ascii="宋体" w:hAnsi="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rPr>
                        <w:rStyle w:val="1008"/>
                        <w:rFonts w:hint="eastAsia" w:ascii="宋体" w:hAnsi="宋体"/>
                      </w:rPr>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45</w:t>
                    </w:r>
                    <w:r>
                      <w:rPr>
                        <w:rFonts w:ascii="宋体" w:hAnsi="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2">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1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1071"/>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5">
    <w:name w:val="Heading 1"/>
    <w:basedOn w:val="704"/>
    <w:next w:val="704"/>
    <w:link w:val="816"/>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817"/>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818"/>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819"/>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820"/>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821"/>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822"/>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823"/>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824"/>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next w:val="704"/>
    <w:uiPriority w:val="0"/>
    <w:qFormat/>
    <w:pPr>
      <w:ind w:left="720"/>
    </w:p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List Bullet"/>
    <w:basedOn w:val="704"/>
    <w:next w:val="704"/>
    <w:uiPriority w:val="99"/>
    <w:semiHidden/>
    <w:unhideWhenUsed/>
    <w:qFormat/>
    <w:pPr>
      <w:numPr>
        <w:ilvl w:val="0"/>
        <w:numId w:val="1"/>
      </w:numPr>
    </w:pPr>
  </w:style>
  <w:style w:type="paragraph" w:styleId="720">
    <w:name w:val="annotation text"/>
    <w:basedOn w:val="704"/>
    <w:link w:val="1069"/>
    <w:uiPriority w:val="99"/>
    <w:unhideWhenUsed/>
    <w:qFormat/>
    <w:pPr>
      <w:jc w:val="left"/>
    </w:pPr>
  </w:style>
  <w:style w:type="paragraph" w:styleId="721">
    <w:name w:val="Body Text"/>
    <w:basedOn w:val="704"/>
    <w:uiPriority w:val="1"/>
    <w:qFormat/>
    <w:rPr>
      <w:sz w:val="24"/>
      <w:szCs w:val="24"/>
    </w:rPr>
  </w:style>
  <w:style w:type="paragraph" w:styleId="722">
    <w:name w:val="toc 5"/>
    <w:basedOn w:val="704"/>
    <w:next w:val="704"/>
    <w:uiPriority w:val="39"/>
    <w:unhideWhenUsed/>
    <w:qFormat/>
    <w:pPr>
      <w:ind w:left="1134"/>
      <w:spacing w:after="57"/>
    </w:pPr>
  </w:style>
  <w:style w:type="paragraph" w:styleId="723">
    <w:name w:val="toc 3"/>
    <w:basedOn w:val="704"/>
    <w:next w:val="704"/>
    <w:uiPriority w:val="39"/>
    <w:unhideWhenUsed/>
    <w:qFormat/>
    <w:pPr>
      <w:ind w:left="567"/>
      <w:spacing w:after="57"/>
    </w:pPr>
  </w:style>
  <w:style w:type="paragraph" w:styleId="724">
    <w:name w:val="Plain Text"/>
    <w:basedOn w:val="704"/>
    <w:uiPriority w:val="0"/>
    <w:qFormat/>
    <w:rPr>
      <w:rFonts w:ascii="宋体" w:hAnsi="Courier New"/>
    </w:rPr>
  </w:style>
  <w:style w:type="paragraph" w:styleId="725">
    <w:name w:val="toc 8"/>
    <w:basedOn w:val="704"/>
    <w:next w:val="704"/>
    <w:uiPriority w:val="39"/>
    <w:unhideWhenUsed/>
    <w:qFormat/>
    <w:pPr>
      <w:ind w:left="1984"/>
      <w:spacing w:after="57"/>
    </w:pPr>
  </w:style>
  <w:style w:type="paragraph" w:styleId="726">
    <w:name w:val="endnote text"/>
    <w:basedOn w:val="704"/>
    <w:link w:val="943"/>
    <w:uiPriority w:val="99"/>
    <w:semiHidden/>
    <w:unhideWhenUsed/>
    <w:qFormat/>
    <w:rPr>
      <w:sz w:val="20"/>
    </w:rPr>
  </w:style>
  <w:style w:type="paragraph" w:styleId="727">
    <w:name w:val="Balloon Text"/>
    <w:basedOn w:val="704"/>
    <w:link w:val="1060"/>
    <w:uiPriority w:val="99"/>
    <w:semiHidden/>
    <w:unhideWhenUsed/>
    <w:qFormat/>
    <w:rPr>
      <w:sz w:val="18"/>
      <w:szCs w:val="18"/>
    </w:rPr>
  </w:style>
  <w:style w:type="paragraph" w:styleId="728">
    <w:name w:val="Footer"/>
    <w:basedOn w:val="704"/>
    <w:link w:val="835"/>
    <w:uiPriority w:val="99"/>
    <w:unhideWhenUsed/>
    <w:qFormat/>
    <w:pPr>
      <w:tabs>
        <w:tab w:val="center" w:pos="7143" w:leader="none"/>
        <w:tab w:val="right" w:pos="14287" w:leader="none"/>
      </w:tabs>
    </w:pPr>
  </w:style>
  <w:style w:type="paragraph" w:styleId="729">
    <w:name w:val="Header"/>
    <w:basedOn w:val="704"/>
    <w:link w:val="833"/>
    <w:uiPriority w:val="99"/>
    <w:unhideWhenUsed/>
    <w:qFormat/>
    <w:pPr>
      <w:tabs>
        <w:tab w:val="center" w:pos="7143" w:leader="none"/>
        <w:tab w:val="right" w:pos="14287" w:leader="none"/>
      </w:tabs>
    </w:pPr>
  </w:style>
  <w:style w:type="paragraph" w:styleId="730">
    <w:name w:val="toc 1"/>
    <w:basedOn w:val="704"/>
    <w:next w:val="704"/>
    <w:uiPriority w:val="39"/>
    <w:unhideWhenUsed/>
    <w:qFormat/>
    <w:pPr>
      <w:spacing w:after="57"/>
    </w:pPr>
  </w:style>
  <w:style w:type="paragraph" w:styleId="731">
    <w:name w:val="toc 4"/>
    <w:basedOn w:val="704"/>
    <w:next w:val="704"/>
    <w:uiPriority w:val="39"/>
    <w:unhideWhenUsed/>
    <w:qFormat/>
    <w:pPr>
      <w:ind w:left="850"/>
      <w:spacing w:after="57"/>
    </w:pPr>
  </w:style>
  <w:style w:type="paragraph" w:styleId="732">
    <w:name w:val="Subtitle"/>
    <w:basedOn w:val="704"/>
    <w:next w:val="704"/>
    <w:link w:val="828"/>
    <w:uiPriority w:val="11"/>
    <w:qFormat/>
    <w:pPr>
      <w:spacing w:before="200" w:after="200"/>
    </w:pPr>
    <w:rPr>
      <w:sz w:val="24"/>
      <w:szCs w:val="24"/>
    </w:rPr>
  </w:style>
  <w:style w:type="paragraph" w:styleId="733">
    <w:name w:val="footnote text"/>
    <w:basedOn w:val="704"/>
    <w:link w:val="942"/>
    <w:uiPriority w:val="99"/>
    <w:semiHidden/>
    <w:unhideWhenUsed/>
    <w:qFormat/>
    <w:pPr>
      <w:spacing w:after="40"/>
    </w:pPr>
    <w:rPr>
      <w:sz w:val="18"/>
    </w:rPr>
  </w:style>
  <w:style w:type="paragraph" w:styleId="734">
    <w:name w:val="toc 6"/>
    <w:basedOn w:val="704"/>
    <w:next w:val="704"/>
    <w:uiPriority w:val="39"/>
    <w:unhideWhenUsed/>
    <w:qFormat/>
    <w:pPr>
      <w:ind w:left="1417"/>
      <w:spacing w:after="57"/>
    </w:pPr>
  </w:style>
  <w:style w:type="paragraph" w:styleId="735">
    <w:name w:val="table of figures"/>
    <w:basedOn w:val="704"/>
    <w:next w:val="704"/>
    <w:uiPriority w:val="99"/>
    <w:unhideWhenUsed/>
    <w:qFormat/>
  </w:style>
  <w:style w:type="paragraph" w:styleId="736">
    <w:name w:val="toc 2"/>
    <w:basedOn w:val="704"/>
    <w:next w:val="704"/>
    <w:uiPriority w:val="39"/>
    <w:unhideWhenUsed/>
    <w:qFormat/>
    <w:pPr>
      <w:ind w:left="283"/>
      <w:spacing w:after="57"/>
    </w:pPr>
  </w:style>
  <w:style w:type="paragraph" w:styleId="737">
    <w:name w:val="toc 9"/>
    <w:basedOn w:val="704"/>
    <w:next w:val="704"/>
    <w:uiPriority w:val="39"/>
    <w:unhideWhenUsed/>
    <w:qFormat/>
    <w:pPr>
      <w:ind w:left="2268"/>
      <w:spacing w:after="57"/>
    </w:pPr>
  </w:style>
  <w:style w:type="paragraph" w:styleId="738">
    <w:name w:val="Title"/>
    <w:basedOn w:val="704"/>
    <w:next w:val="704"/>
    <w:link w:val="827"/>
    <w:uiPriority w:val="10"/>
    <w:qFormat/>
    <w:pPr>
      <w:contextualSpacing/>
      <w:spacing w:before="300" w:after="200"/>
    </w:pPr>
    <w:rPr>
      <w:sz w:val="48"/>
      <w:szCs w:val="48"/>
    </w:rPr>
  </w:style>
  <w:style w:type="paragraph" w:styleId="739">
    <w:name w:val="annotation subject"/>
    <w:basedOn w:val="720"/>
    <w:next w:val="720"/>
    <w:link w:val="1070"/>
    <w:uiPriority w:val="99"/>
    <w:semiHidden/>
    <w:unhideWhenUsed/>
    <w:qFormat/>
    <w:rPr>
      <w:b/>
      <w:bCs/>
    </w:rPr>
  </w:style>
  <w:style w:type="paragraph" w:styleId="740">
    <w:name w:val="Body Text First Indent"/>
    <w:basedOn w:val="721"/>
    <w:uiPriority w:val="99"/>
    <w:unhideWhenUsed/>
    <w:qFormat/>
    <w:pPr>
      <w:ind w:firstLine="420"/>
      <w:spacing w:after="120"/>
    </w:pPr>
    <w:rPr>
      <w:rFonts w:asciiTheme="minorHAnsi" w:hAnsiTheme="minorHAnsi" w:eastAsiaTheme="minorEastAsia" w:cstheme="minorBidi"/>
      <w:sz w:val="21"/>
      <w:szCs w:val="22"/>
    </w:rPr>
  </w:style>
  <w:style w:type="table" w:styleId="741">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annotation reference"/>
    <w:basedOn w:val="714"/>
    <w:uiPriority w:val="99"/>
    <w:semiHidden/>
    <w:unhideWhenUsed/>
    <w:qFormat/>
    <w:rPr>
      <w:sz w:val="21"/>
      <w:szCs w:val="21"/>
    </w:rPr>
  </w:style>
  <w:style w:type="character" w:styleId="745">
    <w:name w:val="footnote reference"/>
    <w:uiPriority w:val="99"/>
    <w:unhideWhenUsed/>
    <w:qFormat/>
    <w:rPr>
      <w:vertAlign w:val="superscript"/>
    </w:rPr>
  </w:style>
  <w:style w:type="table" w:styleId="746"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5" w:customStyle="1">
    <w:name w:val="TOC Heading"/>
    <w:uiPriority w:val="39"/>
    <w:unhideWhenUsed/>
    <w:qFormat/>
    <w:rPr>
      <w:rFonts w:hint="default" w:ascii="Times New Roman" w:hAnsi="Times New Roman" w:eastAsia="宋体" w:cs="Times New Roman"/>
    </w:rPr>
  </w:style>
  <w:style w:type="table" w:styleId="766"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basedOn w:val="715"/>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basedOn w:val="715"/>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basedOn w:val="715"/>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清单表 1 浅色1"/>
    <w:basedOn w:val="71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清单表 6 彩色1"/>
    <w:basedOn w:val="71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清单表 7 彩色1"/>
    <w:basedOn w:val="71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标题1"/>
    <w:uiPriority w:val="39"/>
    <w:unhideWhenUsed/>
    <w:qFormat/>
    <w:rPr>
      <w:rFonts w:hint="default" w:ascii="Times New Roman" w:hAnsi="Times New Roman" w:eastAsia="宋体" w:cs="Times New Roman"/>
      <w:lang w:val="en-US" w:eastAsia="zh-CN" w:bidi="ar-SA"/>
    </w:rPr>
  </w:style>
  <w:style w:type="paragraph" w:styleId="786" w:customStyle="1">
    <w:name w:val="TOC 标题112"/>
    <w:uiPriority w:val="39"/>
    <w:unhideWhenUsed/>
    <w:qFormat/>
    <w:rPr>
      <w:rFonts w:hint="default" w:ascii="Times New Roman" w:hAnsi="Times New Roman" w:eastAsia="宋体" w:cs="Times New Roman"/>
      <w:lang w:val="en-US" w:eastAsia="zh-CN" w:bidi="ar-SA"/>
    </w:rPr>
  </w:style>
  <w:style w:type="paragraph" w:styleId="787" w:customStyle="1">
    <w:name w:val="标题 41"/>
    <w:basedOn w:val="704"/>
    <w:next w:val="788"/>
    <w:link w:val="807"/>
    <w:uiPriority w:val="0"/>
    <w:qFormat/>
    <w:pPr>
      <w:keepLines/>
      <w:keepNext/>
      <w:spacing w:before="280" w:after="290" w:line="376" w:lineRule="auto"/>
      <w:outlineLvl w:val="3"/>
    </w:pPr>
    <w:rPr>
      <w:rFonts w:ascii="Arial" w:hAnsi="Arial" w:eastAsia="黑体" w:cs="Arial"/>
      <w:b/>
      <w:bCs/>
      <w:sz w:val="28"/>
      <w:szCs w:val="28"/>
    </w:rPr>
  </w:style>
  <w:style w:type="paragraph" w:styleId="788" w:customStyle="1">
    <w:name w:val="正文缩进1"/>
    <w:basedOn w:val="704"/>
    <w:link w:val="952"/>
    <w:uiPriority w:val="0"/>
    <w:qFormat/>
    <w:pPr>
      <w:ind w:firstLine="420"/>
    </w:pPr>
    <w:rPr>
      <w:szCs w:val="21"/>
    </w:rPr>
  </w:style>
  <w:style w:type="character" w:styleId="789" w:customStyle="1">
    <w:name w:val="Heading 1 Char"/>
    <w:basedOn w:val="714"/>
    <w:uiPriority w:val="9"/>
    <w:qFormat/>
    <w:rPr>
      <w:rFonts w:ascii="Arial" w:hAnsi="Arial" w:eastAsia="Arial" w:cs="Arial"/>
      <w:sz w:val="40"/>
      <w:szCs w:val="40"/>
    </w:rPr>
  </w:style>
  <w:style w:type="character" w:styleId="790" w:customStyle="1">
    <w:name w:val="Heading 2 Char"/>
    <w:basedOn w:val="714"/>
    <w:uiPriority w:val="9"/>
    <w:qFormat/>
    <w:rPr>
      <w:rFonts w:ascii="Arial" w:hAnsi="Arial" w:eastAsia="Arial" w:cs="Arial"/>
      <w:sz w:val="34"/>
    </w:rPr>
  </w:style>
  <w:style w:type="character" w:styleId="791" w:customStyle="1">
    <w:name w:val="Heading 3 Char"/>
    <w:basedOn w:val="714"/>
    <w:uiPriority w:val="9"/>
    <w:qFormat/>
    <w:rPr>
      <w:rFonts w:ascii="Arial" w:hAnsi="Arial" w:eastAsia="Arial" w:cs="Arial"/>
      <w:sz w:val="30"/>
      <w:szCs w:val="30"/>
    </w:rPr>
  </w:style>
  <w:style w:type="character" w:styleId="792" w:customStyle="1">
    <w:name w:val="Heading 4 Char"/>
    <w:basedOn w:val="714"/>
    <w:uiPriority w:val="9"/>
    <w:qFormat/>
    <w:rPr>
      <w:rFonts w:ascii="Arial" w:hAnsi="Arial" w:eastAsia="Arial" w:cs="Arial"/>
      <w:b/>
      <w:bCs/>
      <w:sz w:val="26"/>
      <w:szCs w:val="26"/>
    </w:rPr>
  </w:style>
  <w:style w:type="character" w:styleId="793" w:customStyle="1">
    <w:name w:val="Heading 5 Char"/>
    <w:basedOn w:val="714"/>
    <w:uiPriority w:val="9"/>
    <w:qFormat/>
    <w:rPr>
      <w:rFonts w:ascii="Arial" w:hAnsi="Arial" w:eastAsia="Arial" w:cs="Arial"/>
      <w:b/>
      <w:bCs/>
      <w:sz w:val="24"/>
      <w:szCs w:val="24"/>
    </w:rPr>
  </w:style>
  <w:style w:type="character" w:styleId="794" w:customStyle="1">
    <w:name w:val="Heading 6 Char"/>
    <w:basedOn w:val="714"/>
    <w:uiPriority w:val="9"/>
    <w:qFormat/>
    <w:rPr>
      <w:rFonts w:ascii="Arial" w:hAnsi="Arial" w:eastAsia="Arial" w:cs="Arial"/>
      <w:b/>
      <w:bCs/>
      <w:sz w:val="22"/>
      <w:szCs w:val="22"/>
    </w:rPr>
  </w:style>
  <w:style w:type="character" w:styleId="795" w:customStyle="1">
    <w:name w:val="Heading 7 Char"/>
    <w:basedOn w:val="714"/>
    <w:uiPriority w:val="9"/>
    <w:qFormat/>
    <w:rPr>
      <w:rFonts w:ascii="Arial" w:hAnsi="Arial" w:eastAsia="Arial" w:cs="Arial"/>
      <w:b/>
      <w:bCs/>
      <w:i/>
      <w:iCs/>
      <w:sz w:val="22"/>
      <w:szCs w:val="22"/>
    </w:rPr>
  </w:style>
  <w:style w:type="character" w:styleId="796" w:customStyle="1">
    <w:name w:val="Heading 8 Char"/>
    <w:basedOn w:val="714"/>
    <w:uiPriority w:val="9"/>
    <w:qFormat/>
    <w:rPr>
      <w:rFonts w:ascii="Arial" w:hAnsi="Arial" w:eastAsia="Arial" w:cs="Arial"/>
      <w:i/>
      <w:iCs/>
      <w:sz w:val="22"/>
      <w:szCs w:val="22"/>
    </w:rPr>
  </w:style>
  <w:style w:type="character" w:styleId="797" w:customStyle="1">
    <w:name w:val="Heading 9 Char"/>
    <w:basedOn w:val="714"/>
    <w:uiPriority w:val="9"/>
    <w:qFormat/>
    <w:rPr>
      <w:rFonts w:ascii="Arial" w:hAnsi="Arial" w:eastAsia="Arial" w:cs="Arial"/>
      <w:i/>
      <w:iCs/>
      <w:sz w:val="21"/>
      <w:szCs w:val="21"/>
    </w:rPr>
  </w:style>
  <w:style w:type="character" w:styleId="798" w:customStyle="1">
    <w:name w:val="Title Char"/>
    <w:basedOn w:val="714"/>
    <w:uiPriority w:val="10"/>
    <w:qFormat/>
    <w:rPr>
      <w:sz w:val="48"/>
      <w:szCs w:val="48"/>
    </w:rPr>
  </w:style>
  <w:style w:type="character" w:styleId="799" w:customStyle="1">
    <w:name w:val="Subtitle Char"/>
    <w:basedOn w:val="714"/>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14"/>
    <w:uiPriority w:val="99"/>
    <w:qFormat/>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11"/>
    <w:uiPriority w:val="39"/>
    <w:unhideWhenUsed/>
    <w:qFormat/>
    <w:rPr>
      <w:rFonts w:hint="default" w:ascii="Times New Roman" w:hAnsi="Times New Roman" w:eastAsia="宋体" w:cs="Times New Roman"/>
      <w:lang w:val="en-US" w:eastAsia="zh-CN" w:bidi="ar-SA"/>
    </w:rPr>
  </w:style>
  <w:style w:type="character" w:styleId="807" w:customStyle="1">
    <w:name w:val="标题 4 Char"/>
    <w:link w:val="787"/>
    <w:uiPriority w:val="0"/>
    <w:qFormat/>
    <w:rPr>
      <w:rFonts w:ascii="Arial" w:hAnsi="Arial" w:eastAsia="黑体" w:cs="Arial"/>
      <w:b/>
      <w:bCs/>
      <w:sz w:val="28"/>
      <w:szCs w:val="28"/>
    </w:rPr>
  </w:style>
  <w:style w:type="character" w:styleId="808" w:customStyle="1">
    <w:name w:val="标题 1 Char"/>
    <w:link w:val="809"/>
    <w:uiPriority w:val="0"/>
    <w:qFormat/>
    <w:rPr>
      <w:rFonts w:ascii="楷体_GB2312" w:hAnsi="Times New Roman" w:eastAsia="楷体_GB2312" w:cs="Times New Roman"/>
      <w:sz w:val="28"/>
      <w:szCs w:val="28"/>
    </w:rPr>
  </w:style>
  <w:style w:type="paragraph" w:styleId="809" w:customStyle="1">
    <w:name w:val="标题 11"/>
    <w:basedOn w:val="704"/>
    <w:next w:val="704"/>
    <w:link w:val="808"/>
    <w:uiPriority w:val="0"/>
    <w:qFormat/>
    <w:pPr>
      <w:jc w:val="center"/>
      <w:keepNext/>
      <w:outlineLvl w:val="0"/>
    </w:pPr>
    <w:rPr>
      <w:rFonts w:ascii="楷体_GB2312" w:eastAsia="楷体_GB2312"/>
      <w:sz w:val="28"/>
      <w:szCs w:val="28"/>
    </w:rPr>
  </w:style>
  <w:style w:type="character" w:styleId="810" w:customStyle="1">
    <w:name w:val="标题 3 Char"/>
    <w:link w:val="811"/>
    <w:uiPriority w:val="0"/>
    <w:qFormat/>
    <w:rPr>
      <w:rFonts w:ascii="Times New Roman" w:hAnsi="Times New Roman" w:eastAsia="宋体" w:cs="Times New Roman"/>
      <w:b/>
      <w:bCs/>
      <w:sz w:val="32"/>
      <w:szCs w:val="32"/>
    </w:rPr>
  </w:style>
  <w:style w:type="paragraph" w:styleId="811" w:customStyle="1">
    <w:name w:val="标题 31"/>
    <w:basedOn w:val="704"/>
    <w:next w:val="788"/>
    <w:link w:val="810"/>
    <w:uiPriority w:val="0"/>
    <w:qFormat/>
    <w:pPr>
      <w:keepLines/>
      <w:keepNext/>
      <w:spacing w:before="260" w:after="260" w:line="416" w:lineRule="auto"/>
      <w:outlineLvl w:val="2"/>
    </w:pPr>
    <w:rPr>
      <w:b/>
      <w:bCs/>
      <w:sz w:val="32"/>
      <w:szCs w:val="32"/>
    </w:rPr>
  </w:style>
  <w:style w:type="character" w:styleId="812" w:customStyle="1">
    <w:name w:val="标题 2 Char"/>
    <w:link w:val="813"/>
    <w:uiPriority w:val="0"/>
    <w:qFormat/>
    <w:rPr>
      <w:rFonts w:ascii="Arial" w:hAnsi="Arial" w:eastAsia="幼圆" w:cs="Arial"/>
      <w:b/>
      <w:bCs/>
      <w:sz w:val="44"/>
      <w:szCs w:val="44"/>
    </w:rPr>
  </w:style>
  <w:style w:type="paragraph" w:styleId="813" w:customStyle="1">
    <w:name w:val="标题 21"/>
    <w:basedOn w:val="704"/>
    <w:next w:val="788"/>
    <w:link w:val="8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4" w:customStyle="1">
    <w:name w:val="首行缩进"/>
    <w:basedOn w:val="704"/>
    <w:uiPriority w:val="0"/>
    <w:qFormat/>
    <w:pPr>
      <w:ind w:firstLine="420"/>
      <w:spacing w:line="360" w:lineRule="auto"/>
    </w:pPr>
    <w:rPr>
      <w:sz w:val="20"/>
    </w:rPr>
  </w:style>
  <w:style w:type="paragraph" w:styleId="815" w:customStyle="1">
    <w:name w:val="索引 41"/>
    <w:basedOn w:val="704"/>
    <w:next w:val="704"/>
    <w:uiPriority w:val="0"/>
    <w:semiHidden/>
    <w:qFormat/>
    <w:pPr>
      <w:ind w:left="1260"/>
    </w:pPr>
    <w:rPr>
      <w:rFonts w:ascii="Calibri" w:hAnsi="Calibri" w:eastAsia="Calibri" w:cs="宋体"/>
      <w:sz w:val="20"/>
      <w:lang w:val="zh-CN"/>
    </w:rPr>
  </w:style>
  <w:style w:type="character" w:styleId="816" w:customStyle="1">
    <w:name w:val="标题 1 字符"/>
    <w:link w:val="705"/>
    <w:uiPriority w:val="9"/>
    <w:qFormat/>
    <w:rPr>
      <w:rFonts w:ascii="Arial" w:hAnsi="Arial" w:eastAsia="Arial" w:cs="Arial"/>
      <w:sz w:val="40"/>
      <w:szCs w:val="40"/>
    </w:rPr>
  </w:style>
  <w:style w:type="character" w:styleId="817" w:customStyle="1">
    <w:name w:val="标题 2 字符"/>
    <w:link w:val="706"/>
    <w:uiPriority w:val="9"/>
    <w:qFormat/>
    <w:rPr>
      <w:rFonts w:ascii="Arial" w:hAnsi="Arial" w:eastAsia="Arial" w:cs="Arial"/>
      <w:sz w:val="34"/>
    </w:rPr>
  </w:style>
  <w:style w:type="character" w:styleId="818" w:customStyle="1">
    <w:name w:val="标题 3 字符"/>
    <w:link w:val="707"/>
    <w:uiPriority w:val="9"/>
    <w:qFormat/>
    <w:rPr>
      <w:rFonts w:ascii="Arial" w:hAnsi="Arial" w:eastAsia="Arial" w:cs="Arial"/>
      <w:sz w:val="30"/>
      <w:szCs w:val="30"/>
    </w:rPr>
  </w:style>
  <w:style w:type="character" w:styleId="819" w:customStyle="1">
    <w:name w:val="标题 4 字符"/>
    <w:link w:val="708"/>
    <w:uiPriority w:val="9"/>
    <w:qFormat/>
    <w:rPr>
      <w:rFonts w:ascii="Arial" w:hAnsi="Arial" w:eastAsia="Arial" w:cs="Arial"/>
      <w:b/>
      <w:bCs/>
      <w:sz w:val="26"/>
      <w:szCs w:val="26"/>
    </w:rPr>
  </w:style>
  <w:style w:type="character" w:styleId="820" w:customStyle="1">
    <w:name w:val="标题 5 字符"/>
    <w:link w:val="709"/>
    <w:uiPriority w:val="9"/>
    <w:qFormat/>
    <w:rPr>
      <w:rFonts w:ascii="Arial" w:hAnsi="Arial" w:eastAsia="Arial" w:cs="Arial"/>
      <w:b/>
      <w:bCs/>
      <w:sz w:val="24"/>
      <w:szCs w:val="24"/>
    </w:rPr>
  </w:style>
  <w:style w:type="character" w:styleId="821" w:customStyle="1">
    <w:name w:val="标题 6 字符"/>
    <w:link w:val="710"/>
    <w:uiPriority w:val="9"/>
    <w:qFormat/>
    <w:rPr>
      <w:rFonts w:ascii="Arial" w:hAnsi="Arial" w:eastAsia="Arial" w:cs="Arial"/>
      <w:b/>
      <w:bCs/>
      <w:sz w:val="22"/>
      <w:szCs w:val="22"/>
    </w:rPr>
  </w:style>
  <w:style w:type="character" w:styleId="822" w:customStyle="1">
    <w:name w:val="标题 7 字符"/>
    <w:link w:val="711"/>
    <w:uiPriority w:val="9"/>
    <w:qFormat/>
    <w:rPr>
      <w:rFonts w:ascii="Arial" w:hAnsi="Arial" w:eastAsia="Arial" w:cs="Arial"/>
      <w:b/>
      <w:bCs/>
      <w:i/>
      <w:iCs/>
      <w:sz w:val="22"/>
      <w:szCs w:val="22"/>
    </w:rPr>
  </w:style>
  <w:style w:type="character" w:styleId="823" w:customStyle="1">
    <w:name w:val="标题 8 字符"/>
    <w:link w:val="712"/>
    <w:uiPriority w:val="9"/>
    <w:qFormat/>
    <w:rPr>
      <w:rFonts w:ascii="Arial" w:hAnsi="Arial" w:eastAsia="Arial" w:cs="Arial"/>
      <w:i/>
      <w:iCs/>
      <w:sz w:val="22"/>
      <w:szCs w:val="22"/>
    </w:rPr>
  </w:style>
  <w:style w:type="character" w:styleId="824" w:customStyle="1">
    <w:name w:val="标题 9 字符"/>
    <w:link w:val="713"/>
    <w:uiPriority w:val="9"/>
    <w:qFormat/>
    <w:rPr>
      <w:rFonts w:ascii="Arial" w:hAnsi="Arial" w:eastAsia="Arial" w:cs="Arial"/>
      <w:i/>
      <w:iCs/>
      <w:sz w:val="21"/>
      <w:szCs w:val="21"/>
    </w:rPr>
  </w:style>
  <w:style w:type="paragraph" w:styleId="825">
    <w:name w:val="List Paragraph"/>
    <w:basedOn w:val="704"/>
    <w:uiPriority w:val="99"/>
    <w:qFormat/>
    <w:pPr>
      <w:contextualSpacing/>
      <w:ind w:left="720"/>
    </w:p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标题 字符"/>
    <w:link w:val="738"/>
    <w:uiPriority w:val="10"/>
    <w:qFormat/>
    <w:rPr>
      <w:sz w:val="48"/>
      <w:szCs w:val="48"/>
    </w:rPr>
  </w:style>
  <w:style w:type="character" w:styleId="828" w:customStyle="1">
    <w:name w:val="副标题 字符"/>
    <w:link w:val="732"/>
    <w:uiPriority w:val="11"/>
    <w:qFormat/>
    <w:rPr>
      <w:sz w:val="24"/>
      <w:szCs w:val="24"/>
    </w:rPr>
  </w:style>
  <w:style w:type="paragraph" w:styleId="829">
    <w:name w:val="Quote"/>
    <w:basedOn w:val="704"/>
    <w:next w:val="704"/>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04"/>
    <w:next w:val="704"/>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29"/>
    <w:uiPriority w:val="99"/>
    <w:qFormat/>
  </w:style>
  <w:style w:type="character" w:styleId="834" w:customStyle="1">
    <w:name w:val="Footer Char"/>
    <w:uiPriority w:val="99"/>
    <w:qFormat/>
  </w:style>
  <w:style w:type="character" w:styleId="835" w:customStyle="1">
    <w:name w:val="页脚 字符"/>
    <w:link w:val="728"/>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字符"/>
    <w:link w:val="733"/>
    <w:uiPriority w:val="99"/>
    <w:qFormat/>
    <w:rPr>
      <w:sz w:val="18"/>
    </w:rPr>
  </w:style>
  <w:style w:type="character" w:styleId="943" w:customStyle="1">
    <w:name w:val="尾注文本 字符"/>
    <w:link w:val="726"/>
    <w:uiPriority w:val="99"/>
    <w:qFormat/>
    <w:rPr>
      <w:sz w:val="20"/>
    </w:rPr>
  </w:style>
  <w:style w:type="paragraph" w:styleId="944" w:customStyle="1">
    <w:name w:val="TOC 标题11"/>
    <w:uiPriority w:val="39"/>
    <w:unhideWhenUsed/>
    <w:qFormat/>
    <w:rPr>
      <w:rFonts w:hint="default" w:ascii="Times New Roman" w:hAnsi="Times New Roman" w:eastAsia="宋体" w:cs="Times New Roman"/>
      <w:lang w:val="en-US" w:eastAsia="zh-CN" w:bidi="ar-SA"/>
    </w:rPr>
  </w:style>
  <w:style w:type="paragraph" w:styleId="945" w:customStyle="1">
    <w:name w:val="标题 51"/>
    <w:basedOn w:val="704"/>
    <w:next w:val="788"/>
    <w:link w:val="953"/>
    <w:uiPriority w:val="0"/>
    <w:qFormat/>
    <w:pPr>
      <w:keepNext/>
      <w:outlineLvl w:val="4"/>
    </w:pPr>
    <w:rPr>
      <w:rFonts w:ascii="宋体"/>
      <w:color w:val="000000"/>
      <w:sz w:val="28"/>
      <w:szCs w:val="28"/>
    </w:rPr>
  </w:style>
  <w:style w:type="paragraph" w:styleId="946" w:customStyle="1">
    <w:name w:val="标题 61"/>
    <w:basedOn w:val="704"/>
    <w:next w:val="704"/>
    <w:link w:val="95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47" w:customStyle="1">
    <w:name w:val="标题 71"/>
    <w:basedOn w:val="704"/>
    <w:next w:val="704"/>
    <w:link w:val="955"/>
    <w:uiPriority w:val="0"/>
    <w:qFormat/>
    <w:pPr>
      <w:numPr>
        <w:ilvl w:val="6"/>
        <w:numId w:val="2"/>
      </w:numPr>
      <w:keepLines/>
      <w:keepNext/>
      <w:spacing w:before="240" w:after="64" w:line="320" w:lineRule="auto"/>
      <w:outlineLvl w:val="6"/>
    </w:pPr>
    <w:rPr>
      <w:b/>
      <w:bCs/>
      <w:sz w:val="24"/>
      <w:szCs w:val="24"/>
    </w:rPr>
  </w:style>
  <w:style w:type="paragraph" w:styleId="948" w:customStyle="1">
    <w:name w:val="标题 81"/>
    <w:basedOn w:val="704"/>
    <w:next w:val="704"/>
    <w:link w:val="956"/>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49" w:customStyle="1">
    <w:name w:val="标题 91"/>
    <w:basedOn w:val="704"/>
    <w:next w:val="704"/>
    <w:link w:val="957"/>
    <w:uiPriority w:val="0"/>
    <w:qFormat/>
    <w:pPr>
      <w:numPr>
        <w:ilvl w:val="8"/>
        <w:numId w:val="2"/>
      </w:numPr>
      <w:keepLines/>
      <w:keepNext/>
      <w:spacing w:before="240" w:after="64" w:line="320" w:lineRule="auto"/>
      <w:outlineLvl w:val="8"/>
    </w:pPr>
    <w:rPr>
      <w:rFonts w:ascii="Arial" w:hAnsi="Arial" w:eastAsia="黑体"/>
      <w:szCs w:val="21"/>
    </w:rPr>
  </w:style>
  <w:style w:type="character" w:styleId="950" w:customStyle="1">
    <w:name w:val="默认段落字体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character" w:styleId="952" w:customStyle="1">
    <w:name w:val="正文缩进 Char"/>
    <w:link w:val="788"/>
    <w:uiPriority w:val="0"/>
    <w:qFormat/>
    <w:rPr>
      <w:szCs w:val="21"/>
    </w:rPr>
  </w:style>
  <w:style w:type="character" w:styleId="953" w:customStyle="1">
    <w:name w:val="标题 5 Char"/>
    <w:link w:val="945"/>
    <w:uiPriority w:val="0"/>
    <w:qFormat/>
    <w:rPr>
      <w:rFonts w:ascii="宋体" w:hAnsi="Times New Roman" w:eastAsia="宋体" w:cs="Times New Roman"/>
      <w:color w:val="000000"/>
      <w:sz w:val="28"/>
      <w:szCs w:val="28"/>
    </w:rPr>
  </w:style>
  <w:style w:type="character" w:styleId="954" w:customStyle="1">
    <w:name w:val="标题 6 Char"/>
    <w:link w:val="946"/>
    <w:uiPriority w:val="0"/>
    <w:qFormat/>
    <w:rPr>
      <w:rFonts w:ascii="Arial" w:hAnsi="Arial" w:eastAsia="黑体" w:cs="Times New Roman"/>
      <w:b/>
      <w:bCs/>
      <w:sz w:val="24"/>
      <w:szCs w:val="24"/>
    </w:rPr>
  </w:style>
  <w:style w:type="character" w:styleId="955" w:customStyle="1">
    <w:name w:val="标题 7 Char"/>
    <w:link w:val="947"/>
    <w:uiPriority w:val="0"/>
    <w:qFormat/>
    <w:rPr>
      <w:rFonts w:ascii="Times New Roman" w:hAnsi="Times New Roman" w:eastAsia="宋体" w:cs="Times New Roman"/>
      <w:b/>
      <w:bCs/>
      <w:sz w:val="24"/>
      <w:szCs w:val="24"/>
    </w:rPr>
  </w:style>
  <w:style w:type="character" w:styleId="956" w:customStyle="1">
    <w:name w:val="标题 8 Char"/>
    <w:link w:val="948"/>
    <w:uiPriority w:val="0"/>
    <w:qFormat/>
    <w:rPr>
      <w:rFonts w:ascii="Arial" w:hAnsi="Arial" w:eastAsia="黑体" w:cs="Times New Roman"/>
      <w:sz w:val="24"/>
      <w:szCs w:val="24"/>
    </w:rPr>
  </w:style>
  <w:style w:type="character" w:styleId="957" w:customStyle="1">
    <w:name w:val="标题 9 Char"/>
    <w:link w:val="949"/>
    <w:uiPriority w:val="0"/>
    <w:qFormat/>
    <w:rPr>
      <w:rFonts w:ascii="Arial" w:hAnsi="Arial" w:eastAsia="黑体" w:cs="Times New Roman"/>
      <w:szCs w:val="21"/>
    </w:rPr>
  </w:style>
  <w:style w:type="paragraph" w:styleId="958" w:customStyle="1">
    <w:name w:val="列表 31"/>
    <w:basedOn w:val="704"/>
    <w:uiPriority w:val="0"/>
    <w:qFormat/>
    <w:pPr>
      <w:ind w:left="100" w:hanging="200"/>
    </w:pPr>
    <w:rPr>
      <w:szCs w:val="21"/>
    </w:rPr>
  </w:style>
  <w:style w:type="paragraph" w:styleId="959" w:customStyle="1">
    <w:name w:val="目录 71"/>
    <w:basedOn w:val="704"/>
    <w:next w:val="704"/>
    <w:uiPriority w:val="0"/>
    <w:semiHidden/>
    <w:qFormat/>
    <w:pPr>
      <w:ind w:left="1260"/>
      <w:jc w:val="left"/>
    </w:pPr>
    <w:rPr>
      <w:szCs w:val="21"/>
    </w:rPr>
  </w:style>
  <w:style w:type="paragraph" w:styleId="960" w:customStyle="1">
    <w:name w:val="文档结构图1"/>
    <w:basedOn w:val="704"/>
    <w:link w:val="961"/>
    <w:uiPriority w:val="0"/>
    <w:semiHidden/>
    <w:qFormat/>
    <w:pPr>
      <w:shd w:val="clear" w:color="auto" w:fill="000080"/>
    </w:pPr>
    <w:rPr>
      <w:szCs w:val="21"/>
    </w:rPr>
  </w:style>
  <w:style w:type="character" w:styleId="961" w:customStyle="1">
    <w:name w:val="文档结构图 Char"/>
    <w:link w:val="960"/>
    <w:uiPriority w:val="0"/>
    <w:semiHidden/>
    <w:qFormat/>
    <w:rPr>
      <w:rFonts w:ascii="Times New Roman" w:hAnsi="Times New Roman" w:eastAsia="宋体" w:cs="Times New Roman"/>
      <w:szCs w:val="21"/>
      <w:shd w:val="clear" w:color="auto" w:fill="000080"/>
    </w:rPr>
  </w:style>
  <w:style w:type="paragraph" w:styleId="962" w:customStyle="1">
    <w:name w:val="批注文字1"/>
    <w:basedOn w:val="704"/>
    <w:link w:val="963"/>
    <w:uiPriority w:val="0"/>
    <w:unhideWhenUsed/>
    <w:qFormat/>
    <w:pPr>
      <w:jc w:val="left"/>
    </w:pPr>
  </w:style>
  <w:style w:type="character" w:styleId="963" w:customStyle="1">
    <w:name w:val="批注文字 Char"/>
    <w:basedOn w:val="950"/>
    <w:link w:val="962"/>
    <w:uiPriority w:val="99"/>
    <w:semiHidden/>
    <w:qFormat/>
  </w:style>
  <w:style w:type="paragraph" w:styleId="964" w:customStyle="1">
    <w:name w:val="正文文本 31"/>
    <w:basedOn w:val="704"/>
    <w:link w:val="965"/>
    <w:uiPriority w:val="0"/>
    <w:qFormat/>
    <w:rPr>
      <w:rFonts w:ascii="仿宋_GB2312" w:hAnsi="Arial" w:eastAsia="仿宋_GB2312"/>
      <w:sz w:val="32"/>
      <w:szCs w:val="32"/>
    </w:rPr>
  </w:style>
  <w:style w:type="character" w:styleId="965" w:customStyle="1">
    <w:name w:val="正文文本 3 Char"/>
    <w:link w:val="964"/>
    <w:uiPriority w:val="0"/>
    <w:qFormat/>
    <w:rPr>
      <w:rFonts w:ascii="仿宋_GB2312" w:hAnsi="Arial" w:eastAsia="仿宋_GB2312" w:cs="Times New Roman"/>
      <w:sz w:val="32"/>
      <w:szCs w:val="32"/>
    </w:rPr>
  </w:style>
  <w:style w:type="paragraph" w:styleId="966" w:customStyle="1">
    <w:name w:val="正文文本11"/>
    <w:basedOn w:val="704"/>
    <w:link w:val="967"/>
    <w:uiPriority w:val="0"/>
    <w:qFormat/>
    <w:rPr>
      <w:rFonts w:ascii="楷体_GB2312" w:hAnsi="Arial" w:eastAsia="楷体_GB2312"/>
      <w:sz w:val="28"/>
      <w:szCs w:val="28"/>
    </w:rPr>
  </w:style>
  <w:style w:type="character" w:styleId="967" w:customStyle="1">
    <w:name w:val="正文文本 Char"/>
    <w:link w:val="966"/>
    <w:uiPriority w:val="0"/>
    <w:qFormat/>
    <w:rPr>
      <w:rFonts w:ascii="楷体_GB2312" w:hAnsi="Arial" w:eastAsia="楷体_GB2312" w:cs="Times New Roman"/>
      <w:sz w:val="28"/>
      <w:szCs w:val="28"/>
    </w:rPr>
  </w:style>
  <w:style w:type="paragraph" w:styleId="968" w:customStyle="1">
    <w:name w:val="正文文本缩进1"/>
    <w:basedOn w:val="704"/>
    <w:link w:val="969"/>
    <w:uiPriority w:val="0"/>
    <w:unhideWhenUsed/>
    <w:qFormat/>
    <w:pPr>
      <w:ind w:left="420"/>
      <w:spacing w:after="120"/>
    </w:pPr>
  </w:style>
  <w:style w:type="character" w:styleId="969" w:customStyle="1">
    <w:name w:val="正文文本缩进 Char"/>
    <w:basedOn w:val="950"/>
    <w:link w:val="968"/>
    <w:uiPriority w:val="99"/>
    <w:semiHidden/>
    <w:qFormat/>
  </w:style>
  <w:style w:type="paragraph" w:styleId="970" w:customStyle="1">
    <w:name w:val="列表 21"/>
    <w:basedOn w:val="704"/>
    <w:uiPriority w:val="0"/>
    <w:qFormat/>
    <w:pPr>
      <w:ind w:left="100" w:hanging="200"/>
    </w:pPr>
    <w:rPr>
      <w:szCs w:val="21"/>
    </w:rPr>
  </w:style>
  <w:style w:type="paragraph" w:styleId="971" w:customStyle="1">
    <w:name w:val="索引 42"/>
    <w:basedOn w:val="704"/>
    <w:next w:val="704"/>
    <w:uiPriority w:val="0"/>
    <w:semiHidden/>
    <w:qFormat/>
    <w:pPr>
      <w:ind w:left="1260"/>
    </w:pPr>
    <w:rPr>
      <w:rFonts w:ascii="Calibri" w:hAnsi="Calibri" w:eastAsia="Calibri" w:cs="宋体"/>
      <w:sz w:val="20"/>
      <w:lang w:val="zh-CN"/>
    </w:rPr>
  </w:style>
  <w:style w:type="paragraph" w:styleId="972" w:customStyle="1">
    <w:name w:val="目录 51"/>
    <w:basedOn w:val="704"/>
    <w:next w:val="704"/>
    <w:uiPriority w:val="0"/>
    <w:semiHidden/>
    <w:qFormat/>
    <w:pPr>
      <w:ind w:left="840"/>
      <w:jc w:val="left"/>
    </w:pPr>
    <w:rPr>
      <w:szCs w:val="21"/>
    </w:rPr>
  </w:style>
  <w:style w:type="paragraph" w:styleId="973" w:customStyle="1">
    <w:name w:val="目录 31"/>
    <w:basedOn w:val="704"/>
    <w:next w:val="704"/>
    <w:uiPriority w:val="0"/>
    <w:semiHidden/>
    <w:qFormat/>
    <w:pPr>
      <w:ind w:left="420"/>
      <w:jc w:val="left"/>
    </w:pPr>
    <w:rPr>
      <w:i/>
      <w:iCs/>
      <w:szCs w:val="24"/>
    </w:rPr>
  </w:style>
  <w:style w:type="paragraph" w:styleId="974" w:customStyle="1">
    <w:name w:val="纯文本1"/>
    <w:basedOn w:val="704"/>
    <w:link w:val="975"/>
    <w:uiPriority w:val="0"/>
    <w:qFormat/>
    <w:rPr>
      <w:rFonts w:ascii="宋体" w:hAnsi="Courier New" w:cs="Courier New"/>
      <w:szCs w:val="21"/>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704"/>
    <w:next w:val="704"/>
    <w:uiPriority w:val="0"/>
    <w:semiHidden/>
    <w:qFormat/>
    <w:pPr>
      <w:ind w:left="1470"/>
      <w:jc w:val="left"/>
    </w:pPr>
    <w:rPr>
      <w:szCs w:val="21"/>
    </w:rPr>
  </w:style>
  <w:style w:type="paragraph" w:styleId="977" w:customStyle="1">
    <w:name w:val="日期1"/>
    <w:basedOn w:val="704"/>
    <w:next w:val="704"/>
    <w:link w:val="978"/>
    <w:uiPriority w:val="0"/>
    <w:qFormat/>
    <w:rPr>
      <w:sz w:val="24"/>
      <w:szCs w:val="24"/>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704"/>
    <w:link w:val="980"/>
    <w:uiPriority w:val="0"/>
    <w:qFormat/>
    <w:pPr>
      <w:ind w:left="630" w:firstLine="645"/>
    </w:pPr>
    <w:rPr>
      <w:rFonts w:ascii="Arial" w:hAnsi="Arial" w:eastAsia="仿宋_GB2312" w:cs="Arial"/>
      <w:sz w:val="32"/>
      <w:szCs w:val="32"/>
    </w:rPr>
  </w:style>
  <w:style w:type="character" w:styleId="980" w:customStyle="1">
    <w:name w:val="正文文本缩进 2 Char"/>
    <w:link w:val="979"/>
    <w:uiPriority w:val="0"/>
    <w:qFormat/>
    <w:rPr>
      <w:rFonts w:ascii="Arial" w:hAnsi="Arial" w:eastAsia="仿宋_GB2312" w:cs="Arial"/>
      <w:sz w:val="32"/>
      <w:szCs w:val="32"/>
    </w:rPr>
  </w:style>
  <w:style w:type="paragraph" w:styleId="981" w:customStyle="1">
    <w:name w:val="批注框文本1"/>
    <w:basedOn w:val="704"/>
    <w:link w:val="982"/>
    <w:uiPriority w:val="0"/>
    <w:semiHidden/>
    <w:qFormat/>
    <w:rPr>
      <w:sz w:val="18"/>
      <w:szCs w:val="18"/>
    </w:rPr>
  </w:style>
  <w:style w:type="character" w:styleId="982" w:customStyle="1">
    <w:name w:val="批注框文本 Char"/>
    <w:link w:val="981"/>
    <w:uiPriority w:val="0"/>
    <w:semiHidden/>
    <w:qFormat/>
    <w:rPr>
      <w:rFonts w:ascii="Times New Roman" w:hAnsi="Times New Roman" w:eastAsia="宋体" w:cs="Times New Roman"/>
      <w:sz w:val="18"/>
      <w:szCs w:val="18"/>
    </w:rPr>
  </w:style>
  <w:style w:type="paragraph" w:styleId="983" w:customStyle="1">
    <w:name w:val="页脚1"/>
    <w:basedOn w:val="704"/>
    <w:link w:val="984"/>
    <w:uiPriority w:val="0"/>
    <w:qFormat/>
    <w:pPr>
      <w:jc w:val="left"/>
      <w:tabs>
        <w:tab w:val="center" w:pos="4153" w:leader="none"/>
        <w:tab w:val="right" w:pos="8306" w:leader="none"/>
      </w:tabs>
    </w:pPr>
    <w:rPr>
      <w:sz w:val="18"/>
      <w:szCs w:val="18"/>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页眉1"/>
    <w:basedOn w:val="704"/>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0"/>
    <w:qFormat/>
    <w:rPr>
      <w:rFonts w:ascii="Times New Roman" w:hAnsi="Times New Roman" w:eastAsia="宋体" w:cs="Times New Roman"/>
      <w:sz w:val="18"/>
      <w:szCs w:val="18"/>
    </w:rPr>
  </w:style>
  <w:style w:type="paragraph" w:styleId="987"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988" w:customStyle="1">
    <w:name w:val="目录 41"/>
    <w:basedOn w:val="704"/>
    <w:next w:val="704"/>
    <w:uiPriority w:val="0"/>
    <w:semiHidden/>
    <w:qFormat/>
    <w:pPr>
      <w:ind w:left="630"/>
      <w:jc w:val="left"/>
    </w:pPr>
    <w:rPr>
      <w:szCs w:val="21"/>
    </w:rPr>
  </w:style>
  <w:style w:type="paragraph" w:styleId="989" w:customStyle="1">
    <w:name w:val="列表1"/>
    <w:basedOn w:val="704"/>
    <w:uiPriority w:val="0"/>
    <w:qFormat/>
    <w:pPr>
      <w:ind w:left="200" w:hanging="200"/>
    </w:pPr>
    <w:rPr>
      <w:szCs w:val="21"/>
    </w:rPr>
  </w:style>
  <w:style w:type="paragraph" w:styleId="990" w:customStyle="1">
    <w:name w:val="目录 61"/>
    <w:basedOn w:val="704"/>
    <w:next w:val="704"/>
    <w:uiPriority w:val="0"/>
    <w:semiHidden/>
    <w:qFormat/>
    <w:pPr>
      <w:ind w:left="1050"/>
      <w:jc w:val="left"/>
    </w:pPr>
    <w:rPr>
      <w:szCs w:val="21"/>
    </w:rPr>
  </w:style>
  <w:style w:type="paragraph" w:styleId="991" w:customStyle="1">
    <w:name w:val="正文文本缩进 31"/>
    <w:basedOn w:val="704"/>
    <w:link w:val="992"/>
    <w:uiPriority w:val="0"/>
    <w:qFormat/>
    <w:pPr>
      <w:ind w:left="645" w:firstLine="645"/>
    </w:pPr>
    <w:rPr>
      <w:rFonts w:ascii="Arial" w:hAnsi="Arial" w:eastAsia="仿宋_GB2312" w:cs="Arial"/>
      <w:color w:val="ffff00"/>
      <w:sz w:val="32"/>
      <w:szCs w:val="32"/>
    </w:rPr>
  </w:style>
  <w:style w:type="character" w:styleId="992" w:customStyle="1">
    <w:name w:val="正文文本缩进 3 Char"/>
    <w:link w:val="991"/>
    <w:uiPriority w:val="0"/>
    <w:qFormat/>
    <w:rPr>
      <w:rFonts w:ascii="Arial" w:hAnsi="Arial" w:eastAsia="仿宋_GB2312" w:cs="Arial"/>
      <w:color w:val="ffff00"/>
      <w:sz w:val="32"/>
      <w:szCs w:val="32"/>
    </w:rPr>
  </w:style>
  <w:style w:type="paragraph" w:styleId="993" w:customStyle="1">
    <w:name w:val="图表目录1"/>
    <w:basedOn w:val="704"/>
    <w:next w:val="704"/>
    <w:uiPriority w:val="0"/>
    <w:semiHidden/>
    <w:qFormat/>
    <w:pPr>
      <w:ind w:left="840" w:hanging="420"/>
    </w:pPr>
    <w:rPr>
      <w:szCs w:val="21"/>
    </w:rPr>
  </w:style>
  <w:style w:type="paragraph" w:styleId="994" w:customStyle="1">
    <w:name w:val="目录 21"/>
    <w:basedOn w:val="704"/>
    <w:next w:val="704"/>
    <w:uiPriority w:val="0"/>
    <w:semiHidden/>
    <w:qFormat/>
    <w:pPr>
      <w:ind w:left="210"/>
      <w:jc w:val="left"/>
    </w:pPr>
    <w:rPr>
      <w:smallCaps/>
      <w:szCs w:val="24"/>
    </w:rPr>
  </w:style>
  <w:style w:type="paragraph" w:styleId="995" w:customStyle="1">
    <w:name w:val="目录 91"/>
    <w:basedOn w:val="704"/>
    <w:next w:val="704"/>
    <w:uiPriority w:val="0"/>
    <w:semiHidden/>
    <w:qFormat/>
    <w:pPr>
      <w:ind w:left="1680"/>
      <w:jc w:val="left"/>
    </w:pPr>
    <w:rPr>
      <w:szCs w:val="21"/>
    </w:rPr>
  </w:style>
  <w:style w:type="paragraph" w:styleId="996" w:customStyle="1">
    <w:name w:val="正文文本 21"/>
    <w:basedOn w:val="704"/>
    <w:link w:val="997"/>
    <w:uiPriority w:val="0"/>
    <w:qFormat/>
    <w:pPr>
      <w:jc w:val="center"/>
      <w:widowControl/>
    </w:pPr>
    <w:rPr>
      <w:rFonts w:ascii="楷体_GB2312" w:eastAsia="楷体_GB2312"/>
      <w:sz w:val="28"/>
      <w:szCs w:val="28"/>
    </w:rPr>
  </w:style>
  <w:style w:type="character" w:styleId="997" w:customStyle="1">
    <w:name w:val="正文文本 2 Char"/>
    <w:link w:val="996"/>
    <w:uiPriority w:val="0"/>
    <w:qFormat/>
    <w:rPr>
      <w:rFonts w:ascii="楷体_GB2312" w:hAnsi="Times New Roman" w:eastAsia="楷体_GB2312" w:cs="Times New Roman"/>
      <w:sz w:val="28"/>
      <w:szCs w:val="28"/>
    </w:rPr>
  </w:style>
  <w:style w:type="paragraph" w:styleId="998"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999" w:customStyle="1">
    <w:name w:val="索引 11"/>
    <w:basedOn w:val="704"/>
    <w:next w:val="704"/>
    <w:uiPriority w:val="0"/>
    <w:semiHidden/>
    <w:qFormat/>
    <w:pPr>
      <w:spacing w:line="240" w:lineRule="atLeast"/>
    </w:pPr>
    <w:rPr>
      <w:b/>
      <w:bCs/>
      <w:szCs w:val="21"/>
    </w:rPr>
  </w:style>
  <w:style w:type="paragraph" w:styleId="1000" w:customStyle="1">
    <w:name w:val="批注主题1"/>
    <w:basedOn w:val="962"/>
    <w:next w:val="962"/>
    <w:link w:val="1001"/>
    <w:uiPriority w:val="0"/>
    <w:semiHidden/>
    <w:qFormat/>
    <w:rPr>
      <w:b/>
      <w:bCs/>
      <w:szCs w:val="21"/>
    </w:rPr>
  </w:style>
  <w:style w:type="character" w:styleId="1001" w:customStyle="1">
    <w:name w:val="批注主题 Char"/>
    <w:link w:val="1000"/>
    <w:uiPriority w:val="0"/>
    <w:semiHidden/>
    <w:qFormat/>
    <w:rPr>
      <w:rFonts w:ascii="Times New Roman" w:hAnsi="Times New Roman" w:eastAsia="宋体" w:cs="Times New Roman"/>
      <w:b/>
      <w:bCs/>
      <w:szCs w:val="21"/>
    </w:rPr>
  </w:style>
  <w:style w:type="paragraph" w:styleId="1002" w:customStyle="1">
    <w:name w:val="正文首行缩进1"/>
    <w:basedOn w:val="704"/>
    <w:link w:val="1003"/>
    <w:uiPriority w:val="0"/>
    <w:qFormat/>
    <w:pPr>
      <w:ind w:firstLine="200"/>
      <w:spacing w:line="360" w:lineRule="auto"/>
    </w:pPr>
    <w:rPr>
      <w:rFonts w:ascii="仿宋_GB2312" w:eastAsia="仿宋_GB2312"/>
      <w:sz w:val="30"/>
      <w:szCs w:val="30"/>
    </w:rPr>
  </w:style>
  <w:style w:type="character" w:styleId="1003" w:customStyle="1">
    <w:name w:val="正文首行缩进 Char"/>
    <w:link w:val="1002"/>
    <w:uiPriority w:val="0"/>
    <w:qFormat/>
    <w:rPr>
      <w:rFonts w:ascii="仿宋_GB2312" w:hAnsi="Times New Roman" w:eastAsia="仿宋_GB2312" w:cs="Times New Roman"/>
      <w:sz w:val="30"/>
      <w:szCs w:val="30"/>
    </w:rPr>
  </w:style>
  <w:style w:type="paragraph" w:styleId="1004" w:customStyle="1">
    <w:name w:val="正文首行缩进 21"/>
    <w:basedOn w:val="968"/>
    <w:link w:val="1005"/>
    <w:uiPriority w:val="0"/>
    <w:qFormat/>
    <w:pPr>
      <w:ind w:left="0" w:firstLine="420"/>
      <w:spacing w:after="0" w:line="360" w:lineRule="auto"/>
    </w:pPr>
    <w:rPr>
      <w:rFonts w:ascii="宋体" w:hAnsi="宋体"/>
      <w:szCs w:val="20"/>
    </w:rPr>
  </w:style>
  <w:style w:type="character" w:styleId="1005" w:customStyle="1">
    <w:name w:val="正文首行缩进 2 Char"/>
    <w:link w:val="1004"/>
    <w:uiPriority w:val="0"/>
    <w:qFormat/>
    <w:rPr>
      <w:rFonts w:ascii="宋体" w:hAnsi="宋体" w:eastAsia="宋体" w:cs="Times New Roman"/>
      <w:szCs w:val="20"/>
    </w:rPr>
  </w:style>
  <w:style w:type="table" w:styleId="1006" w:customStyle="1">
    <w:name w:val="网格型1"/>
    <w:basedOn w:val="951"/>
    <w:uiPriority w:val="0"/>
    <w:qFormat/>
    <w:pPr>
      <w:jc w:val="both"/>
      <w:widowControl w:val="off"/>
    </w:pPr>
    <w:tblPr/>
  </w:style>
  <w:style w:type="character" w:styleId="1007" w:customStyle="1">
    <w:name w:val="要点1"/>
    <w:uiPriority w:val="0"/>
    <w:qFormat/>
    <w:rPr>
      <w:b/>
      <w:bCs/>
    </w:rPr>
  </w:style>
  <w:style w:type="character" w:styleId="1008" w:customStyle="1">
    <w:name w:val="页码1"/>
    <w:uiPriority w:val="0"/>
    <w:qFormat/>
  </w:style>
  <w:style w:type="character" w:styleId="1009" w:customStyle="1">
    <w:name w:val="已访问的超链接1"/>
    <w:uiPriority w:val="0"/>
    <w:qFormat/>
    <w:rPr>
      <w:color w:val="800080"/>
      <w:u w:val="single"/>
    </w:rPr>
  </w:style>
  <w:style w:type="character" w:styleId="1010" w:customStyle="1">
    <w:name w:val="超链接1"/>
    <w:uiPriority w:val="0"/>
    <w:qFormat/>
    <w:rPr>
      <w:color w:val="0000ff"/>
      <w:u w:val="single"/>
    </w:rPr>
  </w:style>
  <w:style w:type="character" w:styleId="1011" w:customStyle="1">
    <w:name w:val="批注引用1"/>
    <w:uiPriority w:val="0"/>
    <w:semiHidden/>
    <w:qFormat/>
    <w:rPr>
      <w:sz w:val="21"/>
      <w:szCs w:val="21"/>
    </w:rPr>
  </w:style>
  <w:style w:type="character" w:styleId="1012" w:customStyle="1">
    <w:name w:val="font5 Char"/>
    <w:uiPriority w:val="0"/>
    <w:qFormat/>
    <w:rPr>
      <w:rFonts w:ascii="宋体" w:hAnsi="宋体" w:eastAsia="宋体"/>
      <w:sz w:val="28"/>
      <w:szCs w:val="28"/>
      <w:lang w:val="en-US" w:eastAsia="zh-CN" w:bidi="ar-SA"/>
    </w:rPr>
  </w:style>
  <w:style w:type="character" w:styleId="1013" w:customStyle="1">
    <w:name w:val="二级目录 Char"/>
    <w:link w:val="1014"/>
    <w:uiPriority w:val="0"/>
    <w:qFormat/>
    <w:rPr>
      <w:b/>
      <w:sz w:val="30"/>
      <w:szCs w:val="28"/>
    </w:rPr>
  </w:style>
  <w:style w:type="paragraph" w:styleId="1014" w:customStyle="1">
    <w:name w:val="二级目录"/>
    <w:next w:val="704"/>
    <w:link w:val="101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5" w:customStyle="1">
    <w:name w:val="列出段落 Char"/>
    <w:link w:val="1016"/>
    <w:uiPriority w:val="0"/>
    <w:qFormat/>
    <w:rPr>
      <w:rFonts w:ascii="Calibri" w:hAnsi="Calibri"/>
      <w:sz w:val="24"/>
      <w:szCs w:val="24"/>
      <w:lang w:eastAsia="en-US" w:bidi="en-US"/>
    </w:rPr>
  </w:style>
  <w:style w:type="paragraph" w:styleId="1016" w:customStyle="1">
    <w:name w:val="列出段落1"/>
    <w:basedOn w:val="704"/>
    <w:link w:val="1015"/>
    <w:uiPriority w:val="0"/>
    <w:qFormat/>
    <w:pPr>
      <w:contextualSpacing/>
      <w:ind w:left="720"/>
      <w:jc w:val="left"/>
      <w:widowControl/>
    </w:pPr>
    <w:rPr>
      <w:rFonts w:ascii="Calibri" w:hAnsi="Calibri"/>
      <w:sz w:val="24"/>
      <w:szCs w:val="24"/>
      <w:lang w:eastAsia="en-US" w:bidi="en-US"/>
    </w:rPr>
  </w:style>
  <w:style w:type="paragraph" w:styleId="1017" w:customStyle="1">
    <w:name w:val="Body Text(ch)"/>
    <w:basedOn w:val="704"/>
    <w:next w:val="966"/>
    <w:uiPriority w:val="0"/>
    <w:qFormat/>
    <w:pPr>
      <w:spacing w:after="120"/>
    </w:pPr>
    <w:rPr>
      <w:rFonts w:ascii="宋体" w:hAnsi="Arial"/>
      <w:bCs/>
      <w:iCs/>
      <w:szCs w:val="24"/>
    </w:rPr>
  </w:style>
  <w:style w:type="paragraph" w:styleId="1018"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0" w:customStyle="1">
    <w:name w:val="Char"/>
    <w:basedOn w:val="704"/>
    <w:uiPriority w:val="0"/>
    <w:qFormat/>
    <w:pPr>
      <w:ind w:firstLine="200"/>
      <w:tabs>
        <w:tab w:val="left" w:pos="360" w:leader="none"/>
      </w:tabs>
    </w:pPr>
    <w:rPr>
      <w:sz w:val="28"/>
      <w:szCs w:val="30"/>
    </w:rPr>
  </w:style>
  <w:style w:type="paragraph" w:styleId="1021" w:customStyle="1">
    <w:name w:val="Char1"/>
    <w:basedOn w:val="960"/>
    <w:uiPriority w:val="0"/>
    <w:qFormat/>
    <w:rPr>
      <w:rFonts w:ascii="Tahoma" w:hAnsi="Tahoma"/>
      <w:sz w:val="24"/>
      <w:szCs w:val="24"/>
    </w:rPr>
  </w:style>
  <w:style w:type="paragraph" w:styleId="1022"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1023" w:customStyle="1">
    <w:name w:val="table_lines"/>
    <w:basedOn w:val="704"/>
    <w:uiPriority w:val="0"/>
    <w:qFormat/>
    <w:pPr>
      <w:jc w:val="left"/>
      <w:widowControl/>
    </w:pPr>
    <w:rPr>
      <w:sz w:val="20"/>
      <w:szCs w:val="20"/>
      <w:lang w:val="de-DE" w:eastAsia="de-DE"/>
    </w:rPr>
  </w:style>
  <w:style w:type="paragraph" w:styleId="1024"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5"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1026" w:customStyle="1">
    <w:name w:val="Char Char Char Char"/>
    <w:basedOn w:val="960"/>
    <w:uiPriority w:val="0"/>
    <w:qFormat/>
    <w:pPr>
      <w:spacing w:line="360" w:lineRule="auto"/>
    </w:pPr>
    <w:rPr>
      <w:rFonts w:ascii="Tahoma" w:hAnsi="Tahoma"/>
      <w:sz w:val="24"/>
      <w:szCs w:val="24"/>
    </w:rPr>
  </w:style>
  <w:style w:type="paragraph" w:styleId="1027" w:customStyle="1">
    <w:name w:val="列出段落2"/>
    <w:basedOn w:val="704"/>
    <w:link w:val="1063"/>
    <w:uiPriority w:val="34"/>
    <w:qFormat/>
    <w:pPr>
      <w:contextualSpacing/>
      <w:ind w:left="720"/>
      <w:jc w:val="left"/>
      <w:widowControl/>
    </w:pPr>
    <w:rPr>
      <w:rFonts w:ascii="Calibri" w:hAnsi="Calibri"/>
      <w:sz w:val="24"/>
      <w:szCs w:val="24"/>
      <w:lang w:eastAsia="en-US" w:bidi="en-US"/>
    </w:rPr>
  </w:style>
  <w:style w:type="paragraph" w:styleId="1028" w:customStyle="1">
    <w:name w:val="4"/>
    <w:basedOn w:val="704"/>
    <w:next w:val="991"/>
    <w:uiPriority w:val="0"/>
    <w:qFormat/>
    <w:pPr>
      <w:ind w:firstLine="420"/>
      <w:spacing w:line="360" w:lineRule="auto"/>
    </w:pPr>
    <w:rPr>
      <w:color w:val="ff0000"/>
      <w:sz w:val="24"/>
      <w:szCs w:val="24"/>
    </w:rPr>
  </w:style>
  <w:style w:type="paragraph" w:styleId="1029"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1030" w:customStyle="1">
    <w:name w:val="Char Char Char Char Char Char Char Char Char Char"/>
    <w:basedOn w:val="704"/>
    <w:uiPriority w:val="0"/>
    <w:qFormat/>
    <w:pPr>
      <w:spacing w:line="360" w:lineRule="auto"/>
    </w:pPr>
    <w:rPr>
      <w:sz w:val="24"/>
      <w:szCs w:val="20"/>
    </w:rPr>
  </w:style>
  <w:style w:type="paragraph" w:styleId="1031" w:customStyle="1">
    <w:name w:val="样式1"/>
    <w:basedOn w:val="704"/>
    <w:uiPriority w:val="0"/>
    <w:qFormat/>
    <w:pPr>
      <w:numPr>
        <w:ilvl w:val="0"/>
        <w:numId w:val="4"/>
      </w:numPr>
    </w:pPr>
    <w:rPr>
      <w:rFonts w:ascii="宋体" w:hAnsi="宋体"/>
      <w:szCs w:val="21"/>
    </w:rPr>
  </w:style>
  <w:style w:type="paragraph" w:styleId="1032"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1033"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1036"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8"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039"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0"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041"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1042" w:customStyle="1">
    <w:name w:val="Char Char Char Char1"/>
    <w:basedOn w:val="960"/>
    <w:uiPriority w:val="0"/>
    <w:qFormat/>
    <w:pPr>
      <w:spacing w:line="360" w:lineRule="auto"/>
    </w:pPr>
    <w:rPr>
      <w:rFonts w:ascii="Tahoma" w:hAnsi="Tahoma"/>
      <w:sz w:val="24"/>
      <w:szCs w:val="24"/>
    </w:rPr>
  </w:style>
  <w:style w:type="paragraph" w:styleId="1043" w:customStyle="1">
    <w:name w:val="table_1stline"/>
    <w:basedOn w:val="704"/>
    <w:uiPriority w:val="0"/>
    <w:qFormat/>
    <w:pPr>
      <w:jc w:val="left"/>
      <w:spacing w:before="120"/>
      <w:widowControl/>
    </w:pPr>
    <w:rPr>
      <w:bCs/>
      <w:sz w:val="20"/>
      <w:szCs w:val="20"/>
      <w:lang w:val="de-DE" w:eastAsia="de-DE"/>
    </w:rPr>
  </w:style>
  <w:style w:type="paragraph" w:styleId="1044"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45"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48" w:customStyle="1">
    <w:name w:val="Table Normal"/>
    <w:uiPriority w:val="0"/>
    <w:qFormat/>
    <w:tblPr>
      <w:tblCellMar>
        <w:left w:w="0" w:type="dxa"/>
        <w:top w:w="0" w:type="dxa"/>
        <w:right w:w="0" w:type="dxa"/>
        <w:bottom w:w="0" w:type="dxa"/>
      </w:tblCellMar>
    </w:tblPr>
  </w:style>
  <w:style w:type="paragraph" w:styleId="1049" w:customStyle="1">
    <w:name w:val="正文文本 211"/>
    <w:basedOn w:val="704"/>
    <w:uiPriority w:val="99"/>
    <w:qFormat/>
    <w:pPr>
      <w:jc w:val="center"/>
    </w:pPr>
    <w:rPr>
      <w:b/>
      <w:bCs/>
      <w:sz w:val="20"/>
      <w:szCs w:val="20"/>
    </w:rPr>
  </w:style>
  <w:style w:type="paragraph" w:styleId="1050" w:customStyle="1">
    <w:name w:val="正文文本1"/>
    <w:basedOn w:val="704"/>
    <w:next w:val="704"/>
    <w:uiPriority w:val="0"/>
    <w:semiHidden/>
    <w:qFormat/>
    <w:rPr>
      <w:rFonts w:ascii="Arial" w:hAnsi="Arial" w:eastAsia="Arial" w:cs="Arial"/>
      <w:szCs w:val="21"/>
      <w:lang w:eastAsia="en-US"/>
    </w:rPr>
  </w:style>
  <w:style w:type="paragraph" w:styleId="1051" w:customStyle="1">
    <w:name w:val="正文文本12"/>
    <w:basedOn w:val="704"/>
    <w:uiPriority w:val="1"/>
    <w:qFormat/>
    <w:pPr>
      <w:ind w:left="120"/>
    </w:pPr>
    <w:rPr>
      <w:rFonts w:ascii="宋体" w:hAnsi="宋体" w:cs="宋体"/>
      <w:szCs w:val="21"/>
      <w:lang w:val="zh-CN" w:bidi="zh-CN"/>
    </w:rPr>
  </w:style>
  <w:style w:type="paragraph" w:styleId="1052" w:customStyle="1">
    <w:name w:val="Table Paragraph"/>
    <w:basedOn w:val="704"/>
    <w:uiPriority w:val="1"/>
    <w:qFormat/>
  </w:style>
  <w:style w:type="paragraph" w:styleId="1053" w:customStyle="1">
    <w:name w:val="正文文本缩进11"/>
    <w:basedOn w:val="704"/>
    <w:uiPriority w:val="99"/>
    <w:qFormat/>
    <w:pPr>
      <w:ind w:left="420"/>
      <w:spacing w:after="120"/>
    </w:pPr>
    <w:rPr>
      <w:sz w:val="24"/>
    </w:rPr>
  </w:style>
  <w:style w:type="paragraph" w:styleId="1054" w:customStyle="1">
    <w:name w:val="Table Text"/>
    <w:basedOn w:val="704"/>
    <w:uiPriority w:val="0"/>
    <w:semiHidden/>
    <w:qFormat/>
    <w:rPr>
      <w:rFonts w:ascii="宋体" w:hAnsi="宋体" w:cs="宋体"/>
    </w:rPr>
  </w:style>
  <w:style w:type="paragraph" w:styleId="1055" w:customStyle="1">
    <w:name w:val="列表段落1"/>
    <w:basedOn w:val="704"/>
    <w:uiPriority w:val="99"/>
    <w:qFormat/>
    <w:pPr>
      <w:ind w:firstLine="420"/>
    </w:pPr>
  </w:style>
  <w:style w:type="paragraph" w:styleId="1056" w:customStyle="1">
    <w:name w:val="WPSOffice手动目录 1"/>
    <w:uiPriority w:val="0"/>
    <w:qFormat/>
    <w:rPr>
      <w:rFonts w:hint="default" w:ascii="Times New Roman" w:hAnsi="Times New Roman" w:eastAsia="宋体" w:cs="Times New Roman"/>
      <w:lang w:val="en-US" w:eastAsia="zh-CN" w:bidi="ar-SA"/>
    </w:rPr>
  </w:style>
  <w:style w:type="paragraph" w:styleId="1057" w:customStyle="1">
    <w:name w:val="Body text|1"/>
    <w:basedOn w:val="704"/>
    <w:uiPriority w:val="0"/>
    <w:qFormat/>
    <w:pPr>
      <w:ind w:firstLine="400"/>
      <w:spacing w:line="382" w:lineRule="auto"/>
    </w:pPr>
    <w:rPr>
      <w:rFonts w:ascii="宋体" w:hAnsi="宋体" w:cs="宋体"/>
      <w:sz w:val="30"/>
      <w:szCs w:val="30"/>
      <w:lang w:val="zh-TW" w:eastAsia="zh-TW" w:bidi="zh-TW"/>
    </w:rPr>
  </w:style>
  <w:style w:type="character" w:styleId="1058" w:customStyle="1">
    <w:name w:val="fontstyle01"/>
    <w:uiPriority w:val="0"/>
    <w:qFormat/>
    <w:rPr>
      <w:rFonts w:hint="eastAsia" w:ascii="宋体" w:hAnsi="宋体" w:eastAsia="宋体"/>
      <w:color w:val="000000"/>
      <w:sz w:val="18"/>
      <w:szCs w:val="18"/>
    </w:rPr>
  </w:style>
  <w:style w:type="character" w:styleId="1059" w:customStyle="1">
    <w:name w:val="fontstyle21"/>
    <w:uiPriority w:val="0"/>
    <w:qFormat/>
    <w:rPr>
      <w:rFonts w:hint="default" w:ascii="Calibri" w:hAnsi="Calibri" w:cs="Calibri"/>
      <w:color w:val="000000"/>
      <w:sz w:val="28"/>
      <w:szCs w:val="28"/>
    </w:rPr>
  </w:style>
  <w:style w:type="character" w:styleId="1060" w:customStyle="1">
    <w:name w:val="批注框文本 字符"/>
    <w:basedOn w:val="714"/>
    <w:link w:val="727"/>
    <w:uiPriority w:val="99"/>
    <w:semiHidden/>
    <w:qFormat/>
    <w:rPr>
      <w:sz w:val="18"/>
      <w:szCs w:val="18"/>
    </w:rPr>
  </w:style>
  <w:style w:type="character" w:styleId="1061" w:customStyle="1">
    <w:name w:val="NormalCharacter"/>
    <w:uiPriority w:val="0"/>
    <w:qFormat/>
  </w:style>
  <w:style w:type="paragraph" w:styleId="1062" w:customStyle="1">
    <w:name w:val="修订2"/>
    <w:hidden/>
    <w:uiPriority w:val="99"/>
    <w:unhideWhenUsed/>
    <w:qFormat/>
    <w:rPr>
      <w:rFonts w:hint="default" w:ascii="Times New Roman" w:hAnsi="Times New Roman" w:eastAsia="宋体" w:cs="Times New Roman"/>
      <w:sz w:val="21"/>
      <w:szCs w:val="22"/>
      <w:lang w:val="en-US" w:eastAsia="zh-CN" w:bidi="ar-SA"/>
    </w:rPr>
  </w:style>
  <w:style w:type="character" w:styleId="1063" w:customStyle="1">
    <w:name w:val="列表段落 字符"/>
    <w:link w:val="1027"/>
    <w:uiPriority w:val="34"/>
    <w:qFormat/>
    <w:rPr>
      <w:rFonts w:ascii="Calibri" w:hAnsi="Calibri"/>
      <w:sz w:val="24"/>
      <w:szCs w:val="24"/>
      <w:lang w:eastAsia="en-US" w:bidi="en-US"/>
    </w:rPr>
  </w:style>
  <w:style w:type="paragraph" w:styleId="1064" w:customStyle="1">
    <w:name w:val="List Paragraph1"/>
    <w:basedOn w:val="704"/>
    <w:uiPriority w:val="0"/>
    <w:qFormat/>
    <w:pPr>
      <w:ind w:firstLine="420"/>
    </w:pPr>
    <w:rPr>
      <w:rFonts w:ascii="Calibri" w:hAnsi="Calibri"/>
      <w:szCs w:val="21"/>
    </w:rPr>
  </w:style>
  <w:style w:type="character" w:styleId="1065" w:customStyle="1">
    <w:name w:val="font41"/>
    <w:basedOn w:val="714"/>
    <w:uiPriority w:val="0"/>
    <w:qFormat/>
    <w:rPr>
      <w:rFonts w:ascii="Calibri" w:hAnsi="Calibri" w:cs="Calibri"/>
      <w:color w:val="000000"/>
      <w:sz w:val="21"/>
      <w:szCs w:val="21"/>
      <w:u w:val="none"/>
    </w:rPr>
  </w:style>
  <w:style w:type="character" w:styleId="1066" w:customStyle="1">
    <w:name w:val="font21"/>
    <w:basedOn w:val="714"/>
    <w:uiPriority w:val="0"/>
    <w:qFormat/>
    <w:rPr>
      <w:rFonts w:hint="eastAsia" w:ascii="宋体" w:hAnsi="宋体" w:eastAsia="宋体" w:cs="宋体"/>
      <w:color w:val="000000"/>
      <w:sz w:val="21"/>
      <w:szCs w:val="21"/>
      <w:u w:val="none"/>
    </w:rPr>
  </w:style>
  <w:style w:type="paragraph" w:styleId="1067" w:customStyle="1">
    <w:name w:val="Default"/>
    <w:next w:val="704"/>
    <w:uiPriority w:val="0"/>
    <w:qFormat/>
    <w:pPr>
      <w:widowControl w:val="off"/>
    </w:pPr>
    <w:rPr>
      <w:rFonts w:hint="default" w:ascii="宋体" w:hAnsi="Times New Roman" w:eastAsia="宋体" w:cs="宋体"/>
      <w:color w:val="000000"/>
      <w:sz w:val="24"/>
      <w:szCs w:val="24"/>
      <w:lang w:val="en-US" w:eastAsia="zh-CN" w:bidi="ar-SA"/>
    </w:rPr>
  </w:style>
  <w:style w:type="paragraph" w:styleId="1068" w:customStyle="1">
    <w:name w:val="Revision"/>
    <w:hidden/>
    <w:uiPriority w:val="99"/>
    <w:unhideWhenUsed/>
    <w:qFormat/>
    <w:rPr>
      <w:rFonts w:hint="default" w:ascii="Times New Roman" w:hAnsi="Times New Roman" w:eastAsia="宋体" w:cs="Times New Roman"/>
      <w:sz w:val="21"/>
      <w:szCs w:val="22"/>
      <w:lang w:val="en-US" w:eastAsia="zh-CN" w:bidi="ar-SA"/>
    </w:rPr>
  </w:style>
  <w:style w:type="character" w:styleId="1069" w:customStyle="1">
    <w:name w:val="批注文字 字符"/>
    <w:basedOn w:val="714"/>
    <w:link w:val="720"/>
    <w:uiPriority w:val="99"/>
    <w:qFormat/>
    <w:rPr>
      <w:sz w:val="21"/>
      <w:szCs w:val="22"/>
    </w:rPr>
  </w:style>
  <w:style w:type="character" w:styleId="1070" w:customStyle="1">
    <w:name w:val="批注主题 字符"/>
    <w:basedOn w:val="1069"/>
    <w:link w:val="739"/>
    <w:uiPriority w:val="99"/>
    <w:semiHidden/>
    <w:qFormat/>
    <w:rPr>
      <w:b/>
      <w:bCs/>
      <w:sz w:val="21"/>
      <w:szCs w:val="22"/>
    </w:rPr>
  </w:style>
  <w:style w:type="paragraph" w:styleId="1071" w:customStyle="1">
    <w:name w:val="标题 5（有编号）（绿盟科技）"/>
    <w:basedOn w:val="704"/>
    <w:next w:val="1072"/>
    <w:uiPriority w:val="0"/>
    <w:qFormat/>
    <w:pPr>
      <w:numPr>
        <w:ilvl w:val="4"/>
        <w:numId w:val="1"/>
      </w:numPr>
      <w:keepLines/>
      <w:keepNext/>
      <w:spacing w:before="280" w:after="156" w:line="377" w:lineRule="auto"/>
      <w:outlineLvl w:val="4"/>
    </w:pPr>
    <w:rPr>
      <w:rFonts w:eastAsia="黑体"/>
      <w:b/>
      <w:sz w:val="24"/>
      <w:szCs w:val="28"/>
    </w:rPr>
  </w:style>
  <w:style w:type="paragraph" w:styleId="1072" w:customStyle="1">
    <w:name w:val="正文（绿盟科技）"/>
    <w:uiPriority w:val="0"/>
    <w:qFormat/>
    <w:pPr>
      <w:spacing w:line="300" w:lineRule="auto"/>
    </w:pPr>
    <w:rPr>
      <w:rFonts w:hint="default" w:ascii="Arial" w:hAnsi="Arial" w:eastAsia="宋体" w:cs="黑体"/>
      <w:sz w:val="21"/>
      <w:szCs w:val="21"/>
      <w:lang w:val="en-US" w:eastAsia="zh-CN" w:bidi="ar-SA"/>
    </w:rPr>
  </w:style>
  <w:style w:type="numbering" w:styleId="7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C39050-98A7-4FAD-823E-C3B3AAAFF72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杨荣</cp:lastModifiedBy>
  <cp:revision>296</cp:revision>
  <dcterms:created xsi:type="dcterms:W3CDTF">2025-07-11T03:26:00Z</dcterms:created>
  <dcterms:modified xsi:type="dcterms:W3CDTF">2026-05-29T04:09:30Z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1F69E72FF4D94FAD8F5595574AE2C19E_13</vt:lpwstr>
  </property>
  <property fmtid="{D5CDD505-2E9C-101B-9397-08002B2CF9AE}" pid="4" name="KSOTemplateDocerSaveRecord">
    <vt:lpwstr>eyJoZGlkIjoiZWM0OGUxZDlkZTkzMWZkYmY4ODE2YmMxY2Q1ZTVhNWEiLCJ1c2VySWQiOiI1MDY4NTU3NzUifQ==</vt:lpwstr>
  </property>
</Properties>
</file>