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706"/>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706"/>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06"/>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06"/>
              <w:ind w:firstLine="883"/>
              <w:spacing w:line="360" w:lineRule="auto"/>
              <w:rPr>
                <w:rFonts w:hint="eastAsia" w:ascii="宋体" w:hAnsi="宋体" w:eastAsia="宋体" w:cs="宋体"/>
                <w:b/>
                <w:bCs/>
                <w:color w:val="000000"/>
                <w:sz w:val="44"/>
                <w:highlight w:val="none"/>
                <w:lang w:eastAsia="zh-CN"/>
              </w:rPr>
            </w:pPr>
            <w:r>
              <w:rPr>
                <w:rFonts w:hint="eastAsia" w:ascii="宋体" w:hAnsi="宋体" w:cs="宋体"/>
                <w:b/>
                <w:bCs/>
                <w:color w:val="000000"/>
                <w:sz w:val="44"/>
                <w:highlight w:val="none"/>
              </w:rPr>
              <w:t xml:space="preserve">项目编号：</w:t>
            </w:r>
            <w:r>
              <w:rPr>
                <w:rFonts w:hint="eastAsia" w:ascii="宋体" w:hAnsi="宋体" w:cs="宋体"/>
                <w:b/>
                <w:bCs/>
                <w:color w:val="000000"/>
                <w:sz w:val="44"/>
                <w:highlight w:val="none"/>
              </w:rPr>
              <w:t xml:space="preserve">JSZC-320192-JYXJ-G2026-000</w:t>
            </w:r>
            <w:r>
              <w:rPr>
                <w:rFonts w:hint="eastAsia" w:ascii="宋体" w:hAnsi="宋体" w:cs="宋体"/>
                <w:b/>
                <w:bCs/>
                <w:color w:val="000000"/>
                <w:sz w:val="44"/>
                <w:highlight w:val="none"/>
                <w:lang w:val="en-US" w:eastAsia="zh-CN"/>
              </w:rPr>
              <w:t xml:space="preserve">7</w:t>
            </w:r>
            <w:r>
              <w:rPr>
                <w:rFonts w:hint="eastAsia" w:ascii="宋体" w:hAnsi="宋体" w:eastAsia="宋体" w:cs="宋体"/>
                <w:b/>
                <w:bCs/>
                <w:color w:val="000000"/>
                <w:sz w:val="44"/>
                <w:highlight w:val="none"/>
                <w:lang w:eastAsia="zh-CN"/>
              </w:rPr>
            </w:r>
            <w:r/>
          </w:p>
          <w:p>
            <w:pPr>
              <w:pStyle w:val="706"/>
              <w:ind w:left="3087" w:hanging="2209"/>
              <w:spacing w:line="288" w:lineRule="auto"/>
              <w:widowControl/>
              <w:rPr>
                <w:rFonts w:hint="eastAsia" w:ascii="宋体" w:hAnsi="宋体" w:cs="宋体"/>
                <w:b/>
                <w:bCs/>
                <w:color w:val="000000"/>
                <w:sz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江北新区滨江实验学校工程项目功能室设备采购项目</w:t>
            </w:r>
            <w:r>
              <w:rPr>
                <w:rFonts w:hint="eastAsia" w:ascii="宋体" w:hAnsi="宋体" w:cs="宋体"/>
                <w:b/>
                <w:bCs/>
                <w:color w:val="000000"/>
                <w:sz w:val="44"/>
                <w:highlight w:val="none"/>
                <w:lang w:val="zh-CN"/>
              </w:rPr>
            </w:r>
            <w:r/>
          </w:p>
          <w:p>
            <w:pPr>
              <w:pStyle w:val="788"/>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06"/>
              <w:ind w:left="3087" w:hanging="2209"/>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tc>
      </w:tr>
    </w:tbl>
    <w:p>
      <w:pPr>
        <w:pStyle w:val="706"/>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88"/>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06"/>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88"/>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706"/>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88"/>
        <w:rPr>
          <w:rFonts w:hint="eastAsia"/>
          <w:color w:val="000000"/>
          <w:highlight w:val="none"/>
        </w:rPr>
      </w:pPr>
      <w:r>
        <w:rPr>
          <w:rFonts w:hint="eastAsia"/>
          <w:color w:val="000000"/>
          <w:highlight w:val="none"/>
        </w:rPr>
      </w:r>
      <w:r/>
    </w:p>
    <w:p>
      <w:pPr>
        <w:pStyle w:val="706"/>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06"/>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采购人：南京江北新区管理委员会教育局</w:t>
      </w:r>
      <w:r>
        <w:rPr>
          <w:rFonts w:hint="eastAsia" w:ascii="宋体" w:hAnsi="宋体" w:cs="宋体"/>
          <w:b/>
          <w:bCs/>
          <w:color w:val="000000"/>
          <w:sz w:val="36"/>
          <w:szCs w:val="16"/>
          <w:highlight w:val="none"/>
          <w:lang w:val="zh-CN"/>
        </w:rPr>
      </w:r>
      <w:r/>
    </w:p>
    <w:p>
      <w:pPr>
        <w:pStyle w:val="706"/>
        <w:ind w:left="879"/>
        <w:jc w:val="left"/>
        <w:spacing w:line="288" w:lineRule="auto"/>
        <w:widowControl/>
        <w:rPr>
          <w:rFonts w:hint="eastAsia" w:ascii="宋体" w:hAnsi="宋体" w:cs="宋体"/>
          <w:b/>
          <w:bCs/>
          <w:color w:val="000000"/>
          <w:sz w:val="32"/>
          <w:szCs w:val="32"/>
          <w:highlight w:val="none"/>
          <w:lang w:val="zh-CN"/>
        </w:rPr>
      </w:pPr>
      <w:r>
        <w:rPr>
          <w:rFonts w:hint="eastAsia" w:ascii="宋体" w:hAnsi="宋体" w:cs="宋体"/>
          <w:b/>
          <w:bCs/>
          <w:color w:val="000000"/>
          <w:sz w:val="36"/>
          <w:szCs w:val="16"/>
          <w:highlight w:val="none"/>
          <w:lang w:val="zh-CN"/>
        </w:rPr>
        <w:t xml:space="preserve">采购代理机构：</w:t>
      </w:r>
      <w:r>
        <w:rPr>
          <w:rFonts w:hint="eastAsia" w:ascii="宋体" w:hAnsi="宋体" w:cs="宋体"/>
          <w:b/>
          <w:bCs/>
          <w:color w:val="000000"/>
          <w:sz w:val="32"/>
          <w:szCs w:val="32"/>
          <w:highlight w:val="none"/>
          <w:lang w:val="zh-CN"/>
        </w:rPr>
        <w:t xml:space="preserve">益嘉新建设咨询（南京）有限公司</w:t>
      </w:r>
      <w:r>
        <w:rPr>
          <w:rFonts w:hint="eastAsia" w:ascii="宋体" w:hAnsi="宋体" w:cs="宋体"/>
          <w:b/>
          <w:bCs/>
          <w:color w:val="000000"/>
          <w:sz w:val="32"/>
          <w:szCs w:val="32"/>
          <w:highlight w:val="none"/>
          <w:lang w:val="zh-CN"/>
        </w:rPr>
      </w:r>
      <w:r/>
    </w:p>
    <w:p>
      <w:pPr>
        <w:pStyle w:val="706"/>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日期：二〇二六年</w:t>
      </w:r>
      <w:r>
        <w:rPr>
          <w:rFonts w:hint="eastAsia" w:ascii="宋体" w:hAnsi="宋体" w:cs="宋体"/>
          <w:b/>
          <w:bCs/>
          <w:color w:val="000000"/>
          <w:sz w:val="36"/>
          <w:szCs w:val="16"/>
          <w:highlight w:val="none"/>
          <w:lang w:val="en-US" w:eastAsia="zh-CN"/>
        </w:rPr>
        <w:t xml:space="preserve">六</w:t>
      </w:r>
      <w:r>
        <w:rPr>
          <w:rFonts w:hint="eastAsia" w:ascii="宋体" w:hAnsi="宋体" w:cs="宋体"/>
          <w:b/>
          <w:bCs/>
          <w:color w:val="000000"/>
          <w:sz w:val="36"/>
          <w:szCs w:val="16"/>
          <w:highlight w:val="none"/>
          <w:lang w:val="zh-CN"/>
        </w:rPr>
        <w:t xml:space="preserve">月</w:t>
      </w:r>
      <w:r>
        <w:rPr>
          <w:rFonts w:hint="eastAsia" w:ascii="宋体" w:hAnsi="宋体" w:cs="宋体"/>
          <w:b/>
          <w:bCs/>
          <w:color w:val="000000"/>
          <w:sz w:val="36"/>
          <w:szCs w:val="16"/>
          <w:highlight w:val="none"/>
          <w:lang w:val="zh-CN"/>
        </w:rPr>
      </w:r>
      <w:r/>
    </w:p>
    <w:p>
      <w:pPr>
        <w:pStyle w:val="706"/>
        <w:jc w:val="center"/>
        <w:rPr>
          <w:rFonts w:ascii="宋体" w:hAnsi="宋体"/>
          <w:b/>
          <w:bCs/>
          <w:color w:val="000000"/>
          <w:sz w:val="48"/>
          <w:szCs w:val="48"/>
          <w:highlight w:val="none"/>
        </w:rPr>
      </w:pPr>
      <w:r>
        <w:rPr>
          <w:rFonts w:ascii="宋体" w:hAnsi="宋体"/>
          <w:b/>
          <w:bCs/>
          <w:color w:val="000000"/>
          <w:sz w:val="48"/>
          <w:szCs w:val="48"/>
          <w:highlight w:val="none"/>
        </w:rPr>
      </w:r>
      <w:r/>
    </w:p>
    <w:p>
      <w:pPr>
        <w:pStyle w:val="706"/>
        <w:jc w:val="center"/>
        <w:rPr>
          <w:b/>
          <w:bCs/>
          <w:color w:val="000000"/>
          <w:sz w:val="48"/>
          <w:szCs w:val="48"/>
          <w:highlight w:val="none"/>
        </w:rPr>
      </w:pPr>
      <w:r>
        <w:rPr>
          <w:rFonts w:ascii="宋体" w:hAnsi="宋体"/>
          <w:b/>
          <w:bCs/>
          <w:color w:val="000000"/>
          <w:sz w:val="48"/>
          <w:szCs w:val="48"/>
          <w:highlight w:val="none"/>
        </w:rPr>
        <w:t xml:space="preserve">目录</w:t>
      </w:r>
      <w:r>
        <w:rPr>
          <w:b/>
          <w:bCs/>
          <w:color w:val="000000"/>
          <w:sz w:val="48"/>
          <w:szCs w:val="48"/>
          <w:highlight w:val="none"/>
        </w:rPr>
      </w:r>
      <w:r/>
    </w:p>
    <w:p>
      <w:pPr>
        <w:pStyle w:val="762"/>
        <w:tabs>
          <w:tab w:val="right" w:pos="8306" w:leader="dot"/>
        </w:tabs>
      </w:pPr>
      <w:r>
        <w:rPr>
          <w:rFonts w:hint="eastAsia" w:ascii="宋体" w:hAnsi="宋体" w:cs="宋体"/>
          <w:b w:val="0"/>
          <w:bCs/>
          <w:color w:val="000000"/>
          <w:spacing w:val="-10"/>
          <w:sz w:val="24"/>
          <w:szCs w:val="24"/>
          <w:highlight w:val="none"/>
        </w:rPr>
        <w:fldChar w:fldCharType="begin"/>
      </w:r>
      <w:r>
        <w:rPr>
          <w:rFonts w:hint="eastAsia" w:ascii="宋体" w:hAnsi="宋体" w:cs="宋体"/>
          <w:b w:val="0"/>
          <w:bCs/>
          <w:color w:val="000000"/>
          <w:spacing w:val="-10"/>
          <w:sz w:val="24"/>
          <w:szCs w:val="24"/>
          <w:highlight w:val="none"/>
        </w:rPr>
        <w:instrText xml:space="preserve">TOC \o "1-3" \h \u </w:instrText>
      </w:r>
      <w:r>
        <w:rPr>
          <w:rFonts w:hint="eastAsia" w:ascii="宋体" w:hAnsi="宋体" w:cs="宋体"/>
          <w:b w:val="0"/>
          <w:bCs/>
          <w:color w:val="000000"/>
          <w:spacing w:val="-10"/>
          <w:sz w:val="24"/>
          <w:szCs w:val="24"/>
          <w:highlight w:val="none"/>
        </w:rPr>
        <w:fldChar w:fldCharType="separate"/>
      </w: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_Toc28303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rPr>
        <w:t xml:space="preserve">第一章  投标邀请</w:t>
      </w:r>
      <w:r>
        <w:tab/>
      </w:r>
      <w:r>
        <w:fldChar w:fldCharType="begin"/>
      </w:r>
      <w:r>
        <w:instrText xml:space="preserve"> PAGEREF _Toc28303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_Toc15266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eastAsia="zh-CN"/>
        </w:rPr>
        <w:t xml:space="preserve">一、项目基本情况：</w:t>
      </w:r>
      <w:r>
        <w:tab/>
      </w:r>
      <w:r>
        <w:fldChar w:fldCharType="begin"/>
      </w:r>
      <w:r>
        <w:instrText xml:space="preserve"> PAGEREF _Toc15266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_Toc14931 </w:instrText>
      </w:r>
      <w:r>
        <w:rPr>
          <w:rFonts w:hint="eastAsia" w:ascii="宋体" w:hAnsi="宋体" w:cs="宋体"/>
          <w:bCs/>
          <w:spacing w:val="-10"/>
          <w:szCs w:val="24"/>
          <w:highlight w:val="none"/>
        </w:rPr>
        <w:fldChar w:fldCharType="separate"/>
      </w:r>
      <w:r>
        <w:rPr>
          <w:rFonts w:hint="eastAsia" w:ascii="宋体" w:hAnsi="宋体" w:eastAsia="宋体" w:cs="宋体"/>
          <w:bCs w:val="0"/>
          <w:szCs w:val="24"/>
          <w:highlight w:val="none"/>
        </w:rPr>
        <w:t xml:space="preserve">二、申请人的资格要求：</w:t>
      </w:r>
      <w:r>
        <w:tab/>
      </w:r>
      <w:r>
        <w:fldChar w:fldCharType="begin"/>
      </w:r>
      <w:r>
        <w:instrText xml:space="preserve"> PAGEREF _Toc14931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_Toc26160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三、获取招标文件</w:t>
      </w:r>
      <w:r>
        <w:tab/>
      </w:r>
      <w:r>
        <w:fldChar w:fldCharType="begin"/>
      </w:r>
      <w:r>
        <w:instrText xml:space="preserve"> PAGEREF _Toc26160 \h </w:instrText>
      </w:r>
      <w:r>
        <w:fldChar w:fldCharType="separate"/>
      </w:r>
      <w:r>
        <w:t xml:space="preserve">5</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_Toc7609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四、提交投标文件开始时间、开标时间</w:t>
      </w:r>
      <w:r>
        <w:tab/>
      </w:r>
      <w:r>
        <w:fldChar w:fldCharType="begin"/>
      </w:r>
      <w:r>
        <w:instrText xml:space="preserve"> PAGEREF _Toc7609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_Toc27888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五、开启</w:t>
      </w:r>
      <w:r>
        <w:tab/>
      </w:r>
      <w:r>
        <w:fldChar w:fldCharType="begin"/>
      </w:r>
      <w:r>
        <w:instrText xml:space="preserve"> PAGEREF _Toc27888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_Toc26698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六、公告期限</w:t>
      </w:r>
      <w:r>
        <w:tab/>
      </w:r>
      <w:r>
        <w:fldChar w:fldCharType="begin"/>
      </w:r>
      <w:r>
        <w:instrText xml:space="preserve"> PAGEREF _Toc26698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_Toc7147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七、其他补充事宜</w:t>
      </w:r>
      <w:r>
        <w:tab/>
      </w:r>
      <w:r>
        <w:fldChar w:fldCharType="begin"/>
      </w:r>
      <w:r>
        <w:instrText xml:space="preserve"> PAGEREF _Toc7147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_Toc11755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八、对本次招标提出询问，请按以下方式联系</w:t>
      </w:r>
      <w:r>
        <w:tab/>
      </w:r>
      <w:r>
        <w:fldChar w:fldCharType="begin"/>
      </w:r>
      <w:r>
        <w:instrText xml:space="preserve"> PAGEREF _Toc11755 \h </w:instrText>
      </w:r>
      <w:r>
        <w:fldChar w:fldCharType="separate"/>
      </w:r>
      <w:r>
        <w:t xml:space="preserve">7</w:t>
      </w:r>
      <w:r>
        <w:fldChar w:fldCharType="end"/>
      </w:r>
      <w:r>
        <w:rPr>
          <w:rFonts w:hint="eastAsia" w:ascii="宋体" w:hAnsi="宋体" w:cs="宋体"/>
          <w:bCs/>
          <w:color w:val="000000"/>
          <w:spacing w:val="-10"/>
          <w:szCs w:val="24"/>
          <w:highlight w:val="none"/>
        </w:rPr>
        <w:fldChar w:fldCharType="end"/>
      </w:r>
      <w:r/>
    </w:p>
    <w:p>
      <w:pPr>
        <w:pStyle w:val="762"/>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_Toc22385 </w:instrText>
      </w:r>
      <w:r>
        <w:rPr>
          <w:rFonts w:hint="eastAsia" w:ascii="宋体" w:hAnsi="宋体" w:cs="宋体"/>
          <w:bCs/>
          <w:spacing w:val="-10"/>
          <w:szCs w:val="24"/>
          <w:highlight w:val="none"/>
        </w:rPr>
        <w:fldChar w:fldCharType="separate"/>
      </w:r>
      <w:r>
        <w:rPr>
          <w:rFonts w:hint="eastAsia" w:ascii="宋体" w:hAnsi="宋体" w:eastAsia="宋体" w:cs="宋体"/>
          <w:bCs/>
          <w:spacing w:val="-10"/>
          <w:szCs w:val="36"/>
          <w:highlight w:val="none"/>
        </w:rPr>
        <w:t xml:space="preserve">第二章  供应商须知</w:t>
      </w:r>
      <w:r>
        <w:tab/>
      </w:r>
      <w:r>
        <w:fldChar w:fldCharType="begin"/>
      </w:r>
      <w:r>
        <w:instrText xml:space="preserve"> PAGEREF _Toc22385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_Toc18881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一、总则</w:t>
      </w:r>
      <w:r>
        <w:tab/>
      </w:r>
      <w:r>
        <w:fldChar w:fldCharType="begin"/>
      </w:r>
      <w:r>
        <w:instrText xml:space="preserve"> PAGEREF _Toc18881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_Toc15835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二、招标文件</w:t>
      </w:r>
      <w:r>
        <w:tab/>
      </w:r>
      <w:r>
        <w:fldChar w:fldCharType="begin"/>
      </w:r>
      <w:r>
        <w:instrText xml:space="preserve"> PAGEREF _Toc15835 \h </w:instrText>
      </w:r>
      <w:r>
        <w:fldChar w:fldCharType="separate"/>
      </w:r>
      <w:r>
        <w:t xml:space="preserve">12</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_Toc31072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三、投标</w:t>
      </w:r>
      <w:r>
        <w:tab/>
      </w:r>
      <w:r>
        <w:fldChar w:fldCharType="begin"/>
      </w:r>
      <w:r>
        <w:instrText xml:space="preserve"> PAGEREF _Toc31072 \h </w:instrText>
      </w:r>
      <w:r>
        <w:fldChar w:fldCharType="separate"/>
      </w:r>
      <w:r>
        <w:t xml:space="preserve">13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_Toc21636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四、开标、评标与确定中标供应商</w:t>
      </w:r>
      <w:r>
        <w:tab/>
      </w:r>
      <w:r>
        <w:fldChar w:fldCharType="begin"/>
      </w:r>
      <w:r>
        <w:instrText xml:space="preserve"> PAGEREF _Toc21636 \h </w:instrText>
      </w:r>
      <w:r>
        <w:fldChar w:fldCharType="separate"/>
      </w:r>
      <w:r>
        <w:t xml:space="preserve">17</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_Toc23145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五、签订合同</w:t>
      </w:r>
      <w:r>
        <w:tab/>
      </w:r>
      <w:r>
        <w:fldChar w:fldCharType="begin"/>
      </w:r>
      <w:r>
        <w:instrText xml:space="preserve"> PAGEREF _Toc23145 \h </w:instrText>
      </w:r>
      <w:r>
        <w:fldChar w:fldCharType="separate"/>
      </w:r>
      <w:r>
        <w:t xml:space="preserve">22</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_Toc380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六、质疑和投诉</w:t>
      </w:r>
      <w:r>
        <w:tab/>
      </w:r>
      <w:r>
        <w:fldChar w:fldCharType="begin"/>
      </w:r>
      <w:r>
        <w:instrText xml:space="preserve"> PAGEREF _Toc380 \h </w:instrText>
      </w:r>
      <w:r>
        <w:fldChar w:fldCharType="separate"/>
      </w:r>
      <w:r>
        <w:t xml:space="preserve">23</w:t>
      </w:r>
      <w:r>
        <w:fldChar w:fldCharType="end"/>
      </w:r>
      <w:r>
        <w:rPr>
          <w:rFonts w:hint="eastAsia" w:ascii="宋体" w:hAnsi="宋体" w:cs="宋体"/>
          <w:bCs/>
          <w:color w:val="000000"/>
          <w:spacing w:val="-10"/>
          <w:szCs w:val="24"/>
          <w:highlight w:val="none"/>
        </w:rPr>
        <w:fldChar w:fldCharType="end"/>
      </w:r>
      <w:r/>
    </w:p>
    <w:p>
      <w:pPr>
        <w:pStyle w:val="762"/>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_Toc9714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第三章</w:t>
      </w:r>
      <w:r>
        <w:rPr>
          <w:rFonts w:hint="eastAsia" w:ascii="宋体" w:hAnsi="宋体" w:cs="宋体"/>
          <w:bCs/>
          <w:spacing w:val="-10"/>
          <w:szCs w:val="36"/>
          <w:highlight w:val="none"/>
        </w:rPr>
        <w:t xml:space="preserve">  </w:t>
      </w:r>
      <w:r>
        <w:rPr>
          <w:rFonts w:hint="eastAsia" w:ascii="宋体" w:hAnsi="宋体" w:cs="宋体"/>
          <w:bCs/>
          <w:spacing w:val="-10"/>
          <w:szCs w:val="36"/>
          <w:highlight w:val="none"/>
          <w:lang w:val="zh-CN"/>
        </w:rPr>
        <w:t xml:space="preserve">评标方法和标准</w:t>
      </w:r>
      <w:r>
        <w:tab/>
      </w:r>
      <w:r>
        <w:fldChar w:fldCharType="begin"/>
      </w:r>
      <w:r>
        <w:instrText xml:space="preserve"> PAGEREF _Toc9714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_Toc24498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一、采用综合评分法</w:t>
      </w:r>
      <w:r>
        <w:tab/>
      </w:r>
      <w:r>
        <w:fldChar w:fldCharType="begin"/>
      </w:r>
      <w:r>
        <w:instrText xml:space="preserve"> PAGEREF _Toc24498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_Toc8314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二、综合评分法评审评分细则</w:t>
      </w:r>
      <w:r>
        <w:tab/>
      </w:r>
      <w:r>
        <w:fldChar w:fldCharType="begin"/>
      </w:r>
      <w:r>
        <w:instrText xml:space="preserve"> PAGEREF _Toc8314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62"/>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_Toc10679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第四章  采购需求</w:t>
      </w:r>
      <w:r>
        <w:tab/>
      </w:r>
      <w:r>
        <w:fldChar w:fldCharType="begin"/>
      </w:r>
      <w:r>
        <w:instrText xml:space="preserve"> PAGEREF _Toc10679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_Toc10808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一、项目属性：</w:t>
      </w:r>
      <w:r>
        <w:rPr>
          <w:rFonts w:hint="eastAsia" w:ascii="宋体" w:hAnsi="宋体" w:cs="宋体"/>
          <w:szCs w:val="24"/>
          <w:highlight w:val="none"/>
        </w:rPr>
        <w:t xml:space="preserve">货物类项目。</w:t>
      </w:r>
      <w:r>
        <w:tab/>
      </w:r>
      <w:r>
        <w:fldChar w:fldCharType="begin"/>
      </w:r>
      <w:r>
        <w:instrText xml:space="preserve"> PAGEREF _Toc10808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_Toc5951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二、项目概况</w:t>
      </w:r>
      <w:r>
        <w:tab/>
      </w:r>
      <w:r>
        <w:fldChar w:fldCharType="begin"/>
      </w:r>
      <w:r>
        <w:instrText xml:space="preserve"> PAGEREF _Toc5951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_Toc31480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lang w:val="en-US" w:eastAsia="zh-CN"/>
        </w:rPr>
        <w:t xml:space="preserve">三、</w:t>
      </w:r>
      <w:r>
        <w:rPr>
          <w:rFonts w:hint="eastAsia" w:ascii="黑体" w:hAnsi="黑体" w:eastAsia="黑体" w:cs="黑体"/>
          <w:szCs w:val="24"/>
          <w:highlight w:val="none"/>
        </w:rPr>
        <w:t xml:space="preserve">项目清单</w:t>
      </w:r>
      <w:r>
        <w:tab/>
      </w:r>
      <w:r>
        <w:fldChar w:fldCharType="begin"/>
      </w:r>
      <w:r>
        <w:instrText xml:space="preserve"> PAGEREF _Toc31480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_Toc11280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四、拟采购标的需要满足的技术、商务要求</w:t>
      </w:r>
      <w:r>
        <w:tab/>
      </w:r>
      <w:r>
        <w:fldChar w:fldCharType="begin"/>
      </w:r>
      <w:r>
        <w:instrText xml:space="preserve"> PAGEREF _Toc11280 \h </w:instrText>
      </w:r>
      <w:r>
        <w:fldChar w:fldCharType="separate"/>
      </w:r>
      <w:r>
        <w:t xml:space="preserve">33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_Toc11761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lang w:val="en-US" w:eastAsia="zh-CN"/>
        </w:rPr>
        <w:t xml:space="preserve">项目清单</w:t>
      </w:r>
      <w:r>
        <w:tab/>
      </w:r>
      <w:r>
        <w:fldChar w:fldCharType="begin"/>
      </w:r>
      <w:r>
        <w:instrText xml:space="preserve"> PAGEREF _Toc11761 \h </w:instrText>
      </w:r>
      <w:r>
        <w:fldChar w:fldCharType="separate"/>
      </w:r>
      <w:r>
        <w:t xml:space="preserve">35</w:t>
      </w:r>
      <w:r>
        <w:fldChar w:fldCharType="end"/>
      </w:r>
      <w:r>
        <w:rPr>
          <w:rFonts w:hint="eastAsia" w:ascii="宋体" w:hAnsi="宋体" w:cs="宋体"/>
          <w:bCs/>
          <w:color w:val="000000"/>
          <w:spacing w:val="-10"/>
          <w:szCs w:val="24"/>
          <w:highlight w:val="none"/>
        </w:rPr>
        <w:fldChar w:fldCharType="end"/>
      </w:r>
      <w:r/>
    </w:p>
    <w:p>
      <w:pPr>
        <w:pStyle w:val="762"/>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_Toc11007 </w:instrText>
      </w:r>
      <w:r>
        <w:rPr>
          <w:rFonts w:hint="eastAsia" w:ascii="宋体" w:hAnsi="宋体" w:cs="宋体"/>
          <w:bCs/>
          <w:spacing w:val="-10"/>
          <w:szCs w:val="24"/>
          <w:highlight w:val="none"/>
        </w:rPr>
        <w:fldChar w:fldCharType="separate"/>
      </w:r>
      <w:r>
        <w:rPr>
          <w:rFonts w:hint="eastAsia" w:ascii="宋体" w:hAnsi="宋体" w:eastAsia="宋体" w:cs="宋体"/>
          <w:bCs/>
          <w:spacing w:val="-10"/>
          <w:szCs w:val="36"/>
          <w:highlight w:val="none"/>
          <w:lang w:val="zh-CN"/>
        </w:rPr>
        <w:t xml:space="preserve">第五章  合同主要条款及格式</w:t>
      </w:r>
      <w:r>
        <w:tab/>
      </w:r>
      <w:r>
        <w:fldChar w:fldCharType="begin"/>
      </w:r>
      <w:r>
        <w:instrText xml:space="preserve"> PAGEREF _Toc11007 \h </w:instrText>
      </w:r>
      <w:r>
        <w:fldChar w:fldCharType="separate"/>
      </w:r>
      <w:r>
        <w:t xml:space="preserve">135</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_Toc9525 </w:instrText>
      </w:r>
      <w:r>
        <w:rPr>
          <w:rFonts w:hint="eastAsia" w:ascii="宋体" w:hAnsi="宋体" w:cs="宋体"/>
          <w:bCs/>
          <w:spacing w:val="-10"/>
          <w:szCs w:val="24"/>
          <w:highlight w:val="none"/>
        </w:rPr>
        <w:fldChar w:fldCharType="separate"/>
      </w:r>
      <w:r>
        <w:rPr>
          <w:rFonts w:hint="eastAsia" w:ascii="Calibri" w:hAnsi="Calibri" w:cs="方正小标宋简体"/>
          <w:bCs/>
          <w:szCs w:val="32"/>
          <w:highlight w:val="none"/>
        </w:rPr>
        <w:t xml:space="preserve">政府采购合同（货物）</w:t>
      </w:r>
      <w:r>
        <w:tab/>
      </w:r>
      <w:r>
        <w:fldChar w:fldCharType="begin"/>
      </w:r>
      <w:r>
        <w:instrText xml:space="preserve"> PAGEREF _Toc9525 \h </w:instrText>
      </w:r>
      <w:r>
        <w:fldChar w:fldCharType="separate"/>
      </w:r>
      <w:r>
        <w:t xml:space="preserve">135</w:t>
      </w:r>
      <w:r>
        <w:fldChar w:fldCharType="end"/>
      </w:r>
      <w:r>
        <w:rPr>
          <w:rFonts w:hint="eastAsia" w:ascii="宋体" w:hAnsi="宋体" w:cs="宋体"/>
          <w:bCs/>
          <w:color w:val="000000"/>
          <w:spacing w:val="-10"/>
          <w:szCs w:val="24"/>
          <w:highlight w:val="none"/>
        </w:rPr>
        <w:fldChar w:fldCharType="end"/>
      </w:r>
      <w:r/>
    </w:p>
    <w:p>
      <w:pPr>
        <w:pStyle w:val="762"/>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_Toc13858 </w:instrText>
      </w:r>
      <w:r>
        <w:rPr>
          <w:rFonts w:hint="eastAsia" w:ascii="宋体" w:hAnsi="宋体" w:cs="宋体"/>
          <w:bCs/>
          <w:spacing w:val="-10"/>
          <w:szCs w:val="24"/>
          <w:highlight w:val="none"/>
        </w:rPr>
        <w:fldChar w:fldCharType="separate"/>
      </w:r>
      <w:r>
        <w:rPr>
          <w:rFonts w:hint="eastAsia" w:ascii="宋体" w:hAnsi="宋体" w:cs="宋体"/>
          <w:bCs/>
          <w:szCs w:val="36"/>
          <w:highlight w:val="none"/>
          <w:lang w:val="zh-CN"/>
        </w:rPr>
        <w:t xml:space="preserve">第六章  </w:t>
      </w:r>
      <w:r>
        <w:rPr>
          <w:rFonts w:hint="eastAsia" w:ascii="宋体" w:hAnsi="宋体" w:cs="宋体"/>
          <w:bCs/>
          <w:szCs w:val="36"/>
          <w:highlight w:val="none"/>
        </w:rPr>
        <w:t xml:space="preserve">投标文件</w:t>
      </w:r>
      <w:r>
        <w:rPr>
          <w:rFonts w:hint="eastAsia" w:ascii="宋体" w:hAnsi="宋体" w:cs="宋体"/>
          <w:bCs/>
          <w:szCs w:val="36"/>
          <w:highlight w:val="none"/>
          <w:lang w:val="zh-CN"/>
        </w:rPr>
        <w:t xml:space="preserve">格式及附件</w:t>
      </w:r>
      <w:r>
        <w:tab/>
      </w:r>
      <w:r>
        <w:fldChar w:fldCharType="begin"/>
      </w:r>
      <w:r>
        <w:instrText xml:space="preserve"> PAGEREF _Toc13858 \h </w:instrText>
      </w:r>
      <w:r>
        <w:fldChar w:fldCharType="separate"/>
      </w:r>
      <w:r>
        <w:t xml:space="preserve">146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_Toc18853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附件一、投标申请及声明格式</w:t>
      </w:r>
      <w:r>
        <w:tab/>
      </w:r>
      <w:r>
        <w:fldChar w:fldCharType="begin"/>
      </w:r>
      <w:r>
        <w:instrText xml:space="preserve"> PAGEREF _Toc18853 \h </w:instrText>
      </w:r>
      <w:r>
        <w:fldChar w:fldCharType="separate"/>
      </w:r>
      <w:r>
        <w:t xml:space="preserve">147</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_Toc11627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附件二、法定代表人授权书格式</w:t>
      </w:r>
      <w:r>
        <w:tab/>
      </w:r>
      <w:r>
        <w:fldChar w:fldCharType="begin"/>
      </w:r>
      <w:r>
        <w:instrText xml:space="preserve"> PAGEREF _Toc11627 \h </w:instrText>
      </w:r>
      <w:r>
        <w:fldChar w:fldCharType="separate"/>
      </w:r>
      <w:r>
        <w:t xml:space="preserve">148</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_Toc5015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附件三、开标一览表格式</w:t>
      </w:r>
      <w:r>
        <w:tab/>
      </w:r>
      <w:r>
        <w:fldChar w:fldCharType="begin"/>
      </w:r>
      <w:r>
        <w:instrText xml:space="preserve"> PAGEREF _Toc5015 \h </w:instrText>
      </w:r>
      <w:r>
        <w:fldChar w:fldCharType="separate"/>
      </w:r>
      <w:r>
        <w:t xml:space="preserve">149</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_Toc10056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附件四、分项报价表</w:t>
      </w:r>
      <w:r>
        <w:tab/>
      </w:r>
      <w:r>
        <w:fldChar w:fldCharType="begin"/>
      </w:r>
      <w:r>
        <w:instrText xml:space="preserve"> PAGEREF _Toc10056 \h </w:instrText>
      </w:r>
      <w:r>
        <w:fldChar w:fldCharType="separate"/>
      </w:r>
      <w:r>
        <w:t xml:space="preserve">150</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_Toc27017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附件五、技术条款偏离表格式</w:t>
      </w:r>
      <w:r>
        <w:tab/>
      </w:r>
      <w:r>
        <w:fldChar w:fldCharType="begin"/>
      </w:r>
      <w:r>
        <w:instrText xml:space="preserve"> PAGEREF _Toc27017 \h </w:instrText>
      </w:r>
      <w:r>
        <w:fldChar w:fldCharType="separate"/>
      </w:r>
      <w:r>
        <w:t xml:space="preserve">151</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_Toc31476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附件六、商务条款偏离表格式</w:t>
      </w:r>
      <w:r>
        <w:tab/>
      </w:r>
      <w:r>
        <w:fldChar w:fldCharType="begin"/>
      </w:r>
      <w:r>
        <w:instrText xml:space="preserve"> PAGEREF _Toc31476 \h </w:instrText>
      </w:r>
      <w:r>
        <w:fldChar w:fldCharType="separate"/>
      </w:r>
      <w:r>
        <w:t xml:space="preserve">152</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_Toc3483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附件七、核心产品品牌一览表（实质性格式）</w:t>
      </w:r>
      <w:r>
        <w:tab/>
      </w:r>
      <w:r>
        <w:fldChar w:fldCharType="begin"/>
      </w:r>
      <w:r>
        <w:instrText xml:space="preserve"> PAGEREF _Toc3483 \h </w:instrText>
      </w:r>
      <w:r>
        <w:fldChar w:fldCharType="separate"/>
      </w:r>
      <w:r>
        <w:t xml:space="preserve">153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_Toc21150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en-US" w:eastAsia="zh-CN"/>
        </w:rPr>
        <w:t xml:space="preserve">附件八、</w:t>
      </w:r>
      <w:r>
        <w:rPr>
          <w:rFonts w:hint="eastAsia" w:ascii="宋体" w:hAnsi="宋体" w:eastAsia="宋体" w:cs="宋体"/>
          <w:szCs w:val="24"/>
          <w:highlight w:val="none"/>
          <w:lang w:val="zh-CN"/>
        </w:rPr>
        <w:t xml:space="preserve">投标项目供货一览表格式</w:t>
      </w:r>
      <w:r>
        <w:tab/>
      </w:r>
      <w:r>
        <w:fldChar w:fldCharType="begin"/>
      </w:r>
      <w:r>
        <w:instrText xml:space="preserve"> PAGEREF _Toc21150 \h </w:instrText>
      </w:r>
      <w:r>
        <w:fldChar w:fldCharType="separate"/>
      </w:r>
      <w:r>
        <w:t xml:space="preserve">154</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_Toc22436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lang w:val="en-US" w:eastAsia="zh-CN"/>
        </w:rPr>
        <w:t xml:space="preserve">九</w:t>
      </w:r>
      <w:r>
        <w:rPr>
          <w:rFonts w:hint="eastAsia" w:ascii="宋体" w:hAnsi="宋体" w:cs="宋体"/>
          <w:szCs w:val="24"/>
          <w:highlight w:val="none"/>
          <w:lang w:val="zh-CN"/>
        </w:rPr>
        <w:t xml:space="preserve">、供应商类似业绩表</w:t>
      </w:r>
      <w:r>
        <w:tab/>
      </w:r>
      <w:r>
        <w:fldChar w:fldCharType="begin"/>
      </w:r>
      <w:r>
        <w:instrText xml:space="preserve"> PAGEREF _Toc22436 \h </w:instrText>
      </w:r>
      <w:r>
        <w:fldChar w:fldCharType="separate"/>
      </w:r>
      <w:r>
        <w:t xml:space="preserve">155</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_Toc11160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lang w:val="en-US" w:eastAsia="zh-CN"/>
        </w:rPr>
        <w:t xml:space="preserve">十</w:t>
      </w:r>
      <w:r>
        <w:rPr>
          <w:rFonts w:hint="eastAsia" w:ascii="宋体" w:hAnsi="宋体" w:cs="宋体"/>
          <w:szCs w:val="24"/>
          <w:highlight w:val="none"/>
          <w:lang w:val="zh-CN"/>
        </w:rPr>
        <w:t xml:space="preserve">、服务方案</w:t>
      </w:r>
      <w:r>
        <w:tab/>
      </w:r>
      <w:r>
        <w:fldChar w:fldCharType="begin"/>
      </w:r>
      <w:r>
        <w:instrText xml:space="preserve"> PAGEREF _Toc11160 \h </w:instrText>
      </w:r>
      <w:r>
        <w:fldChar w:fldCharType="separate"/>
      </w:r>
      <w:r>
        <w:t xml:space="preserve">156</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_Toc10522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一</w:t>
      </w:r>
      <w:r>
        <w:rPr>
          <w:rFonts w:hint="eastAsia" w:ascii="宋体" w:hAnsi="宋体" w:cs="宋体"/>
          <w:szCs w:val="24"/>
          <w:highlight w:val="none"/>
          <w:lang w:val="zh-CN"/>
        </w:rPr>
        <w:t xml:space="preserve">、资格证明文件</w:t>
      </w:r>
      <w:r>
        <w:tab/>
      </w:r>
      <w:r>
        <w:fldChar w:fldCharType="begin"/>
      </w:r>
      <w:r>
        <w:instrText xml:space="preserve"> PAGEREF _Toc10522 \h </w:instrText>
      </w:r>
      <w:r>
        <w:fldChar w:fldCharType="separate"/>
      </w:r>
      <w:r>
        <w:t xml:space="preserve">157</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_Toc7464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二</w:t>
      </w:r>
      <w:r>
        <w:rPr>
          <w:rFonts w:hint="eastAsia" w:ascii="宋体" w:hAnsi="宋体" w:cs="宋体"/>
          <w:szCs w:val="24"/>
          <w:highlight w:val="none"/>
          <w:lang w:val="zh-CN"/>
        </w:rPr>
        <w:t xml:space="preserve">、政府采购政策</w:t>
      </w:r>
      <w:r>
        <w:tab/>
      </w:r>
      <w:r>
        <w:fldChar w:fldCharType="begin"/>
      </w:r>
      <w:r>
        <w:instrText xml:space="preserve"> PAGEREF _Toc7464 \h </w:instrText>
      </w:r>
      <w:r>
        <w:fldChar w:fldCharType="separate"/>
      </w:r>
      <w:r>
        <w:t xml:space="preserve">159</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_Toc12592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三</w:t>
      </w:r>
      <w:r>
        <w:rPr>
          <w:rFonts w:hint="eastAsia" w:ascii="宋体" w:hAnsi="宋体" w:cs="宋体"/>
          <w:szCs w:val="24"/>
          <w:highlight w:val="none"/>
          <w:lang w:val="zh-CN"/>
        </w:rPr>
        <w:t xml:space="preserve">、南京市政府采购供应商信用记录表暨信用承诺书</w:t>
      </w:r>
      <w:r>
        <w:tab/>
      </w:r>
      <w:r>
        <w:fldChar w:fldCharType="begin"/>
      </w:r>
      <w:r>
        <w:instrText xml:space="preserve"> PAGEREF _Toc12592 \h </w:instrText>
      </w:r>
      <w:r>
        <w:fldChar w:fldCharType="separate"/>
      </w:r>
      <w:r>
        <w:t xml:space="preserve">162</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_Toc17074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四</w:t>
      </w:r>
      <w:r>
        <w:rPr>
          <w:rFonts w:hint="eastAsia" w:ascii="宋体" w:hAnsi="宋体" w:cs="宋体"/>
          <w:szCs w:val="24"/>
          <w:highlight w:val="none"/>
          <w:lang w:val="zh-CN"/>
        </w:rPr>
        <w:t xml:space="preserve">、供应商资格承诺声明函</w:t>
      </w:r>
      <w:r>
        <w:tab/>
      </w:r>
      <w:r>
        <w:fldChar w:fldCharType="begin"/>
      </w:r>
      <w:r>
        <w:instrText xml:space="preserve"> PAGEREF _Toc17074 \h </w:instrText>
      </w:r>
      <w:r>
        <w:fldChar w:fldCharType="separate"/>
      </w:r>
      <w:r>
        <w:t xml:space="preserve">163</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_Toc2763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五</w:t>
      </w:r>
      <w:r>
        <w:rPr>
          <w:rFonts w:hint="eastAsia" w:ascii="宋体" w:hAnsi="宋体" w:cs="宋体"/>
          <w:szCs w:val="24"/>
          <w:highlight w:val="none"/>
          <w:lang w:val="zh-CN"/>
        </w:rPr>
        <w:t xml:space="preserve">、联合体协议</w:t>
      </w:r>
      <w:r>
        <w:tab/>
      </w:r>
      <w:r>
        <w:fldChar w:fldCharType="begin"/>
      </w:r>
      <w:r>
        <w:instrText xml:space="preserve"> PAGEREF _Toc2763 \h </w:instrText>
      </w:r>
      <w:r>
        <w:fldChar w:fldCharType="separate"/>
      </w:r>
      <w:r>
        <w:t xml:space="preserve">164</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_Toc19536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六</w:t>
      </w:r>
      <w:r>
        <w:rPr>
          <w:rFonts w:hint="eastAsia" w:ascii="宋体" w:hAnsi="宋体" w:cs="宋体"/>
          <w:szCs w:val="24"/>
          <w:highlight w:val="none"/>
          <w:lang w:val="zh-CN"/>
        </w:rPr>
        <w:t xml:space="preserve">、关于符合本国产品标准的声明函</w:t>
      </w:r>
      <w:r>
        <w:tab/>
      </w:r>
      <w:r>
        <w:fldChar w:fldCharType="begin"/>
      </w:r>
      <w:r>
        <w:instrText xml:space="preserve"> PAGEREF _Toc19536 \h </w:instrText>
      </w:r>
      <w:r>
        <w:fldChar w:fldCharType="separate"/>
      </w:r>
      <w:r>
        <w:t xml:space="preserve">165</w:t>
      </w:r>
      <w:r>
        <w:fldChar w:fldCharType="end"/>
      </w:r>
      <w:r>
        <w:rPr>
          <w:rFonts w:hint="eastAsia" w:ascii="宋体" w:hAnsi="宋体" w:cs="宋体"/>
          <w:bCs/>
          <w:color w:val="000000"/>
          <w:spacing w:val="-10"/>
          <w:szCs w:val="24"/>
          <w:highlight w:val="none"/>
        </w:rPr>
        <w:fldChar w:fldCharType="end"/>
      </w:r>
      <w:r/>
    </w:p>
    <w:p>
      <w:pPr>
        <w:pStyle w:val="775"/>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_Toc19267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七</w:t>
      </w:r>
      <w:r>
        <w:rPr>
          <w:rFonts w:hint="eastAsia" w:ascii="宋体" w:hAnsi="宋体" w:cs="宋体"/>
          <w:szCs w:val="24"/>
          <w:highlight w:val="none"/>
          <w:lang w:val="zh-CN"/>
        </w:rPr>
        <w:t xml:space="preserve">、</w:t>
      </w:r>
      <w:r>
        <w:rPr>
          <w:rFonts w:hint="eastAsia" w:ascii="宋体" w:hAnsi="宋体" w:cs="宋体"/>
          <w:spacing w:val="15"/>
          <w:szCs w:val="24"/>
          <w:highlight w:val="none"/>
          <w:lang w:val="en-US" w:eastAsia="zh-CN"/>
        </w:rPr>
        <w:t xml:space="preserve">货物质量保证</w:t>
      </w:r>
      <w:r>
        <w:rPr>
          <w:rFonts w:hint="eastAsia" w:ascii="宋体" w:hAnsi="宋体" w:eastAsia="宋体" w:cs="宋体"/>
          <w:bCs/>
          <w:spacing w:val="15"/>
          <w:szCs w:val="24"/>
          <w:highlight w:val="none"/>
        </w:rPr>
        <w:t xml:space="preserve">承诺书</w:t>
      </w:r>
      <w:r>
        <w:tab/>
      </w:r>
      <w:r>
        <w:fldChar w:fldCharType="begin"/>
      </w:r>
      <w:r>
        <w:instrText xml:space="preserve"> PAGEREF _Toc19267 \h </w:instrText>
      </w:r>
      <w:r>
        <w:fldChar w:fldCharType="separate"/>
      </w:r>
      <w:r>
        <w:t xml:space="preserve">166</w:t>
      </w:r>
      <w:r>
        <w:fldChar w:fldCharType="end"/>
      </w:r>
      <w:r>
        <w:rPr>
          <w:rFonts w:hint="eastAsia" w:ascii="宋体" w:hAnsi="宋体" w:cs="宋体"/>
          <w:bCs/>
          <w:color w:val="000000"/>
          <w:spacing w:val="-10"/>
          <w:szCs w:val="24"/>
          <w:highlight w:val="none"/>
        </w:rPr>
        <w:fldChar w:fldCharType="end"/>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fldChar w:fldCharType="end"/>
      </w: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both"/>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r>
      <w:r/>
    </w:p>
    <w:p>
      <w:pPr>
        <w:pStyle w:val="706"/>
        <w:jc w:val="center"/>
        <w:spacing w:line="360" w:lineRule="auto"/>
        <w:rPr>
          <w:rFonts w:hint="eastAsia" w:ascii="宋体" w:hAnsi="宋体" w:cs="宋体"/>
          <w:b/>
          <w:bCs/>
          <w:color w:val="000000"/>
          <w:sz w:val="36"/>
          <w:szCs w:val="36"/>
          <w:highlight w:val="none"/>
          <w:lang w:val="zh-CN"/>
        </w:rPr>
        <w:outlineLvl w:val="0"/>
      </w:pPr>
      <w:r/>
      <w:bookmarkStart w:id="0" w:name="_Toc28303"/>
      <w:r>
        <w:rPr>
          <w:rFonts w:hint="eastAsia" w:ascii="宋体" w:hAnsi="宋体" w:cs="宋体"/>
          <w:b/>
          <w:bCs/>
          <w:color w:val="000000"/>
          <w:spacing w:val="-10"/>
          <w:sz w:val="36"/>
          <w:szCs w:val="36"/>
          <w:highlight w:val="none"/>
        </w:rPr>
        <w:t xml:space="preserve">第一章  投标邀请</w:t>
      </w:r>
      <w:bookmarkEnd w:id="0"/>
      <w:r>
        <w:rPr>
          <w:rFonts w:hint="eastAsia" w:ascii="宋体" w:hAnsi="宋体" w:cs="宋体"/>
          <w:b/>
          <w:bCs/>
          <w:color w:val="000000"/>
          <w:sz w:val="36"/>
          <w:szCs w:val="36"/>
          <w:highlight w:val="none"/>
          <w:lang w:val="zh-CN"/>
        </w:rPr>
      </w:r>
      <w:r/>
    </w:p>
    <w:p>
      <w:pPr>
        <w:pStyle w:val="706"/>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lang w:eastAsia="zh-CN"/>
        </w:rPr>
        <w:t xml:space="preserve">益嘉新建设咨询（南京）有限公司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rPr>
        <w:t xml:space="preserve">南京市江北新区管理委员会教育局</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江北新区滨江实验学校工程项目功能室设备采购项目</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706"/>
        <w:ind w:firstLine="482"/>
        <w:spacing w:line="360" w:lineRule="auto"/>
        <w:rPr>
          <w:rFonts w:hint="eastAsia" w:ascii="宋体" w:hAnsi="宋体" w:eastAsia="宋体" w:cs="宋体"/>
          <w:b/>
          <w:color w:val="000000"/>
          <w:sz w:val="24"/>
          <w:szCs w:val="24"/>
          <w:highlight w:val="none"/>
          <w:lang w:eastAsia="zh-CN"/>
        </w:rPr>
        <w:outlineLvl w:val="1"/>
      </w:pPr>
      <w:r/>
      <w:bookmarkStart w:id="1" w:name="_Toc15266"/>
      <w:r>
        <w:rPr>
          <w:rFonts w:hint="eastAsia" w:ascii="宋体" w:hAnsi="宋体" w:eastAsia="宋体" w:cs="宋体"/>
          <w:b/>
          <w:color w:val="000000"/>
          <w:sz w:val="24"/>
          <w:szCs w:val="24"/>
          <w:highlight w:val="none"/>
          <w:lang w:eastAsia="zh-CN"/>
        </w:rPr>
        <w:t xml:space="preserve">一、项目基本情况：</w:t>
      </w:r>
      <w:bookmarkEnd w:id="1"/>
      <w:r>
        <w:rPr>
          <w:rFonts w:hint="eastAsia" w:ascii="宋体" w:hAnsi="宋体" w:eastAsia="宋体" w:cs="宋体"/>
          <w:b/>
          <w:color w:val="000000"/>
          <w:sz w:val="24"/>
          <w:szCs w:val="24"/>
          <w:highlight w:val="none"/>
          <w:lang w:eastAsia="zh-CN"/>
        </w:rPr>
      </w:r>
      <w:r/>
    </w:p>
    <w:p>
      <w:pPr>
        <w:pStyle w:val="70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zh-CN"/>
        </w:rPr>
        <w:t xml:space="preserve">1、项目编号：JSZC-320192-JYXJ-G2026-000</w:t>
      </w: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r>
      <w:r/>
    </w:p>
    <w:p>
      <w:pPr>
        <w:pStyle w:val="706"/>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2、项目名称：江北新区滨江实验学校工程项目功能室设备采购项目</w:t>
      </w:r>
      <w:r>
        <w:rPr>
          <w:rFonts w:hint="eastAsia" w:ascii="宋体" w:hAnsi="宋体" w:cs="宋体"/>
          <w:bCs/>
          <w:color w:val="000000"/>
          <w:sz w:val="24"/>
          <w:szCs w:val="24"/>
          <w:highlight w:val="none"/>
          <w:lang w:val="zh-CN"/>
        </w:rPr>
      </w:r>
      <w:r/>
    </w:p>
    <w:p>
      <w:pPr>
        <w:pStyle w:val="7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江北新区滨江实验学校工程项目功能室设备采购项目</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7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706"/>
        <w:ind w:firstLine="480"/>
        <w:spacing w:line="360" w:lineRule="auto"/>
        <w:rPr>
          <w:rFonts w:hint="eastAsia"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rPr>
        <w:t xml:space="preserve">5、</w:t>
      </w:r>
      <w:r>
        <w:rPr>
          <w:rFonts w:hint="eastAsia" w:ascii="宋体" w:hAnsi="宋体" w:cs="宋体"/>
          <w:b w:val="0"/>
          <w:bCs/>
          <w:color w:val="000000"/>
          <w:sz w:val="24"/>
          <w:szCs w:val="24"/>
          <w:highlight w:val="none"/>
          <w:lang w:val="zh-CN"/>
        </w:rPr>
        <w:t xml:space="preserve">采购预算：</w:t>
      </w:r>
      <w:r>
        <w:rPr>
          <w:rFonts w:hint="eastAsia" w:ascii="宋体" w:hAnsi="宋体" w:cs="宋体"/>
          <w:b w:val="0"/>
          <w:bCs/>
          <w:color w:val="000000"/>
          <w:sz w:val="24"/>
          <w:szCs w:val="24"/>
          <w:highlight w:val="none"/>
          <w:lang w:val="en-US" w:eastAsia="zh-CN"/>
        </w:rPr>
        <w:t xml:space="preserve">260.073713</w:t>
      </w:r>
      <w:r>
        <w:rPr>
          <w:rFonts w:hint="eastAsia" w:ascii="宋体" w:hAnsi="宋体" w:cs="宋体"/>
          <w:b w:val="0"/>
          <w:bCs/>
          <w:color w:val="000000"/>
          <w:sz w:val="24"/>
          <w:szCs w:val="24"/>
          <w:highlight w:val="none"/>
        </w:rPr>
        <w:t xml:space="preserve">万元</w:t>
      </w:r>
      <w:r>
        <w:rPr>
          <w:rFonts w:hint="eastAsia" w:ascii="宋体" w:hAnsi="宋体" w:cs="宋体"/>
          <w:b w:val="0"/>
          <w:bCs/>
          <w:color w:val="000000"/>
          <w:sz w:val="24"/>
          <w:szCs w:val="24"/>
          <w:highlight w:val="none"/>
          <w:lang w:val="zh-CN"/>
        </w:rPr>
      </w:r>
      <w:r/>
    </w:p>
    <w:p>
      <w:pPr>
        <w:pStyle w:val="706"/>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6、最高限价：</w:t>
      </w:r>
      <w:r>
        <w:rPr>
          <w:rFonts w:hint="eastAsia" w:ascii="宋体" w:hAnsi="宋体" w:cs="宋体"/>
          <w:b w:val="0"/>
          <w:bCs/>
          <w:color w:val="000000"/>
          <w:sz w:val="24"/>
          <w:szCs w:val="24"/>
          <w:highlight w:val="none"/>
          <w:lang w:val="en-US" w:eastAsia="zh-CN"/>
        </w:rPr>
        <w:t xml:space="preserve">260.073713</w:t>
      </w:r>
      <w:r>
        <w:rPr>
          <w:rFonts w:hint="eastAsia" w:ascii="宋体" w:hAnsi="宋体" w:cs="宋体"/>
          <w:b w:val="0"/>
          <w:bCs/>
          <w:color w:val="000000"/>
          <w:sz w:val="24"/>
          <w:szCs w:val="24"/>
          <w:highlight w:val="none"/>
        </w:rPr>
        <w:t xml:space="preserve">万元（超过最高限价的投标报价将被作为无效标处理）</w:t>
      </w:r>
      <w:r>
        <w:rPr>
          <w:rFonts w:hint="eastAsia" w:ascii="宋体" w:hAnsi="宋体" w:cs="宋体"/>
          <w:b w:val="0"/>
          <w:bCs/>
          <w:color w:val="000000"/>
          <w:sz w:val="24"/>
          <w:szCs w:val="24"/>
          <w:highlight w:val="none"/>
        </w:rPr>
      </w:r>
      <w:r/>
    </w:p>
    <w:p>
      <w:pPr>
        <w:pStyle w:val="706"/>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7、合同履行期限：合同签订后</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lang w:val="zh-CN"/>
        </w:rPr>
        <w:t xml:space="preserve">日历天内交付并完成安装调试及验收等相关工作</w:t>
      </w:r>
      <w:r>
        <w:rPr>
          <w:rFonts w:hint="eastAsia" w:ascii="宋体" w:hAnsi="宋体" w:cs="宋体"/>
          <w:bCs/>
          <w:color w:val="000000"/>
          <w:sz w:val="24"/>
          <w:szCs w:val="24"/>
          <w:highlight w:val="none"/>
        </w:rPr>
        <w:t xml:space="preserve">。</w:t>
      </w:r>
      <w:r>
        <w:rPr>
          <w:rFonts w:hint="eastAsia"/>
          <w:color w:val="000000"/>
          <w:highlight w:val="none"/>
        </w:rPr>
      </w:r>
      <w:r/>
    </w:p>
    <w:p>
      <w:pPr>
        <w:pStyle w:val="706"/>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cs="宋体"/>
          <w:bCs/>
          <w:color w:val="000000"/>
          <w:sz w:val="24"/>
          <w:szCs w:val="24"/>
          <w:highlight w:val="none"/>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本项目不接受联合体。</w:t>
      </w:r>
      <w:r>
        <w:rPr>
          <w:rFonts w:hint="eastAsia" w:ascii="宋体" w:hAnsi="宋体" w:eastAsia="宋体" w:cs="宋体"/>
          <w:bCs/>
          <w:color w:val="000000"/>
          <w:sz w:val="24"/>
          <w:szCs w:val="24"/>
          <w:highlight w:val="none"/>
          <w:lang w:val="zh-CN"/>
        </w:rPr>
      </w:r>
      <w:r/>
    </w:p>
    <w:p>
      <w:pPr>
        <w:pStyle w:val="706"/>
        <w:ind w:firstLine="482"/>
        <w:spacing w:line="360" w:lineRule="auto"/>
        <w:rPr>
          <w:rFonts w:hint="eastAsia" w:ascii="宋体" w:hAnsi="宋体" w:eastAsia="宋体" w:cs="宋体"/>
          <w:b/>
          <w:bCs w:val="0"/>
          <w:color w:val="000000"/>
          <w:sz w:val="24"/>
          <w:szCs w:val="24"/>
          <w:highlight w:val="none"/>
        </w:rPr>
        <w:outlineLvl w:val="1"/>
      </w:pPr>
      <w:r/>
      <w:bookmarkStart w:id="2" w:name="_Toc28359013"/>
      <w:r/>
      <w:bookmarkStart w:id="3" w:name="_Toc35393799"/>
      <w:r/>
      <w:bookmarkStart w:id="4" w:name="_Toc28359090"/>
      <w:r/>
      <w:bookmarkStart w:id="5" w:name="_Toc35393630"/>
      <w:r/>
      <w:bookmarkStart w:id="6" w:name="_Toc14931"/>
      <w:r>
        <w:rPr>
          <w:rFonts w:hint="eastAsia" w:ascii="宋体" w:hAnsi="宋体" w:eastAsia="宋体" w:cs="宋体"/>
          <w:b/>
          <w:bCs w:val="0"/>
          <w:color w:val="000000"/>
          <w:sz w:val="24"/>
          <w:szCs w:val="24"/>
          <w:highlight w:val="none"/>
        </w:rPr>
        <w:t xml:space="preserve">二、申请人的资格要求：</w:t>
      </w:r>
      <w:bookmarkEnd w:id="2"/>
      <w:r/>
      <w:bookmarkEnd w:id="3"/>
      <w:r/>
      <w:bookmarkEnd w:id="4"/>
      <w:r/>
      <w:bookmarkEnd w:id="5"/>
      <w:r/>
      <w:bookmarkEnd w:id="6"/>
      <w:r>
        <w:rPr>
          <w:rFonts w:hint="eastAsia" w:ascii="宋体" w:hAnsi="宋体" w:eastAsia="宋体" w:cs="宋体"/>
          <w:b/>
          <w:bCs w:val="0"/>
          <w:color w:val="000000"/>
          <w:sz w:val="24"/>
          <w:szCs w:val="24"/>
          <w:highlight w:val="none"/>
        </w:rPr>
      </w:r>
      <w:r/>
    </w:p>
    <w:p>
      <w:pPr>
        <w:pStyle w:val="706"/>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706"/>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highlight w:val="none"/>
          <w:lang w:val="zh-CN"/>
        </w:rPr>
      </w:r>
      <w:r/>
    </w:p>
    <w:p>
      <w:pPr>
        <w:pStyle w:val="706"/>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（2）具有良好的商业信誉和健全的财务会计制度（提供2024年经审计的财务报告或2024年财务报表，或响应文件提交截止时间前六个月内银行出具的资信证明，成立不满一年无需提供）。</w:t>
      </w:r>
      <w:r>
        <w:rPr>
          <w:rFonts w:hint="eastAsia" w:ascii="宋体" w:hAnsi="宋体" w:cs="宋体"/>
          <w:bCs/>
          <w:color w:val="000000"/>
          <w:sz w:val="24"/>
          <w:szCs w:val="24"/>
          <w:highlight w:val="none"/>
          <w:lang w:val="zh-CN"/>
        </w:rPr>
      </w:r>
      <w:r/>
    </w:p>
    <w:p>
      <w:pPr>
        <w:pStyle w:val="706"/>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highlight w:val="none"/>
          <w:lang w:val="zh-CN"/>
        </w:rPr>
      </w:r>
      <w:r/>
    </w:p>
    <w:p>
      <w:pPr>
        <w:pStyle w:val="706"/>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highlight w:val="none"/>
          <w:lang w:val="zh-CN"/>
        </w:rPr>
      </w:r>
      <w:r/>
    </w:p>
    <w:p>
      <w:pPr>
        <w:pStyle w:val="706"/>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highlight w:val="none"/>
          <w:lang w:val="zh-CN"/>
        </w:rPr>
      </w:r>
      <w:r/>
    </w:p>
    <w:p>
      <w:pPr>
        <w:pStyle w:val="706"/>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7"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7"/>
      <w:r>
        <w:rPr>
          <w:rFonts w:hint="eastAsia" w:ascii="宋体" w:hAnsi="宋体" w:cs="宋体"/>
          <w:color w:val="000000"/>
          <w:sz w:val="24"/>
          <w:szCs w:val="24"/>
          <w:highlight w:val="none"/>
        </w:rPr>
      </w:r>
      <w:r/>
    </w:p>
    <w:p>
      <w:pPr>
        <w:pStyle w:val="1109"/>
        <w:ind w:firstLine="482"/>
        <w:spacing w:line="360" w:lineRule="auto"/>
        <w:rPr>
          <w:rFonts w:hint="eastAsia" w:hAnsi="宋体"/>
          <w:b/>
          <w:bCs/>
          <w:color w:val="000000"/>
          <w:highlight w:val="none"/>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rPr>
        <w:t xml:space="preserve">无</w:t>
      </w:r>
      <w:r>
        <w:rPr>
          <w:rFonts w:hint="eastAsia" w:hAnsi="宋体"/>
          <w:b/>
          <w:bCs/>
          <w:color w:val="000000"/>
          <w:highlight w:val="none"/>
        </w:rPr>
      </w:r>
      <w:r/>
    </w:p>
    <w:p>
      <w:pPr>
        <w:pStyle w:val="7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4、拒绝下述供应商参加本次采购活动：</w:t>
      </w:r>
      <w:r>
        <w:rPr>
          <w:rFonts w:hint="eastAsia" w:ascii="宋体" w:hAnsi="宋体" w:cs="宋体"/>
          <w:b/>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7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highlight w:val="none"/>
        </w:rPr>
      </w:r>
      <w:r/>
    </w:p>
    <w:p>
      <w:pPr>
        <w:pStyle w:val="706"/>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8" w:name="_Toc26160"/>
      <w:r>
        <w:rPr>
          <w:rFonts w:hint="eastAsia" w:ascii="宋体" w:hAnsi="宋体" w:eastAsia="宋体" w:cs="宋体"/>
          <w:b/>
          <w:bCs/>
          <w:color w:val="000000"/>
          <w:sz w:val="24"/>
          <w:szCs w:val="24"/>
          <w:highlight w:val="none"/>
        </w:rPr>
        <w:t xml:space="preserve">三、获取招标文件</w:t>
      </w:r>
      <w:bookmarkEnd w:id="8"/>
      <w:r>
        <w:rPr>
          <w:rFonts w:hint="eastAsia" w:ascii="宋体" w:hAnsi="宋体" w:eastAsia="宋体" w:cs="宋体"/>
          <w:b/>
          <w:bCs/>
          <w:color w:val="000000"/>
          <w:sz w:val="24"/>
          <w:szCs w:val="24"/>
          <w:highlight w:val="none"/>
        </w:rPr>
      </w:r>
      <w:r/>
    </w:p>
    <w:p>
      <w:pPr>
        <w:pStyle w:val="706"/>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706"/>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706"/>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706"/>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706"/>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9" w:name="_Toc7609"/>
      <w:r>
        <w:rPr>
          <w:rFonts w:hint="eastAsia" w:ascii="宋体" w:hAnsi="宋体" w:eastAsia="宋体" w:cs="宋体"/>
          <w:b/>
          <w:bCs/>
          <w:color w:val="000000"/>
          <w:sz w:val="24"/>
          <w:szCs w:val="24"/>
          <w:highlight w:val="none"/>
        </w:rPr>
        <w:t xml:space="preserve">四、提交投标文件开始时间、开标时间</w:t>
      </w:r>
      <w:bookmarkEnd w:id="9"/>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提交投标文件截止时间及开标时间：</w:t>
      </w:r>
      <w:r>
        <w:rPr>
          <w:rFonts w:hint="eastAsia" w:ascii="宋体" w:hAnsi="宋体" w:eastAsia="宋体" w:cs="宋体"/>
          <w:b/>
          <w:bCs/>
          <w:color w:val="000000"/>
          <w:sz w:val="24"/>
          <w:szCs w:val="24"/>
          <w:highlight w:val="none"/>
        </w:rPr>
        <w:t xml:space="preserve">2026年</w:t>
      </w:r>
      <w:r>
        <w:rPr>
          <w:rFonts w:hint="eastAsia" w:ascii="宋体" w:hAnsi="宋体" w:eastAsia="宋体" w:cs="宋体"/>
          <w:b/>
          <w:bCs/>
          <w:color w:val="000000"/>
          <w:sz w:val="24"/>
          <w:szCs w:val="24"/>
          <w:highlight w:val="none"/>
          <w:lang w:val="en-US" w:eastAsia="zh-CN"/>
        </w:rPr>
        <w:t xml:space="preserve">07</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rPr>
        <w:t xml:space="preserve">时</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分（北京时间）</w:t>
      </w:r>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zh-CN"/>
        </w:rPr>
        <w:t xml:space="preserve">递交</w:t>
      </w:r>
      <w:r>
        <w:rPr>
          <w:rFonts w:hint="eastAsia" w:ascii="宋体" w:hAnsi="宋体" w:eastAsia="宋体" w:cs="宋体"/>
          <w:b w:val="0"/>
          <w:bCs w:val="0"/>
          <w:color w:val="000000"/>
          <w:sz w:val="24"/>
          <w:szCs w:val="24"/>
          <w:highlight w:val="none"/>
        </w:rPr>
        <w:t xml:space="preserve">投标文件</w:t>
      </w:r>
      <w:r>
        <w:rPr>
          <w:rFonts w:hint="eastAsia" w:ascii="宋体" w:hAnsi="宋体" w:eastAsia="宋体" w:cs="宋体"/>
          <w:b w:val="0"/>
          <w:bCs w:val="0"/>
          <w:color w:val="000000"/>
          <w:sz w:val="24"/>
          <w:szCs w:val="24"/>
          <w:highlight w:val="none"/>
          <w:lang w:val="zh-CN"/>
        </w:rPr>
        <w:t xml:space="preserve">、开标地点：</w:t>
      </w:r>
      <w:r>
        <w:rPr>
          <w:rFonts w:hint="eastAsia" w:ascii="宋体" w:hAnsi="宋体" w:eastAsia="宋体" w:cs="宋体"/>
          <w:b w:val="0"/>
          <w:bCs w:val="0"/>
          <w:color w:val="000000"/>
          <w:sz w:val="24"/>
          <w:szCs w:val="24"/>
          <w:highlight w:val="none"/>
        </w:rPr>
        <w:t xml:space="preserve">江苏省政府采购管理交易系统（苏采云）</w:t>
      </w:r>
      <w:r>
        <w:rPr>
          <w:rFonts w:hint="eastAsia" w:ascii="宋体" w:hAnsi="宋体" w:eastAsia="宋体" w:cs="宋体"/>
          <w:b w:val="0"/>
          <w:bCs w:val="0"/>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10" w:name="_Toc27888"/>
      <w:r>
        <w:rPr>
          <w:rFonts w:hint="eastAsia" w:ascii="宋体" w:hAnsi="宋体" w:eastAsia="宋体" w:cs="宋体"/>
          <w:b/>
          <w:bCs/>
          <w:color w:val="000000"/>
          <w:sz w:val="24"/>
          <w:szCs w:val="24"/>
          <w:highlight w:val="none"/>
        </w:rPr>
        <w:t xml:space="preserve">五、开启</w:t>
      </w:r>
      <w:bookmarkEnd w:id="10"/>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时间：</w:t>
      </w:r>
      <w:r>
        <w:rPr>
          <w:rFonts w:hint="eastAsia" w:ascii="宋体" w:hAnsi="宋体" w:eastAsia="宋体" w:cs="宋体"/>
          <w:b/>
          <w:bCs/>
          <w:color w:val="000000"/>
          <w:sz w:val="24"/>
          <w:szCs w:val="24"/>
          <w:highlight w:val="none"/>
        </w:rPr>
        <w:t xml:space="preserve">2026年</w:t>
      </w:r>
      <w:r>
        <w:rPr>
          <w:rFonts w:hint="eastAsia" w:ascii="宋体" w:hAnsi="宋体" w:eastAsia="宋体" w:cs="宋体"/>
          <w:b/>
          <w:bCs/>
          <w:color w:val="000000"/>
          <w:sz w:val="24"/>
          <w:szCs w:val="24"/>
          <w:highlight w:val="none"/>
          <w:lang w:val="en-US" w:eastAsia="zh-CN"/>
        </w:rPr>
        <w:t xml:space="preserve">07</w:t>
      </w:r>
      <w:r>
        <w:rPr>
          <w:rFonts w:hint="eastAsia" w:ascii="宋体" w:hAnsi="宋体" w:eastAsia="宋体" w:cs="宋体"/>
          <w:b/>
          <w:bCs/>
          <w:color w:val="000000"/>
          <w:sz w:val="24"/>
          <w:szCs w:val="24"/>
          <w:highlight w:val="none"/>
        </w:rPr>
        <w:t xml:space="preserve">月</w:t>
      </w:r>
      <w:r>
        <w:rPr>
          <w:rFonts w:hint="eastAsia" w:ascii="宋体" w:hAnsi="宋体" w:eastAsia="宋体" w:cs="宋体"/>
          <w:b/>
          <w:bCs/>
          <w:color w:val="000000"/>
          <w:sz w:val="24"/>
          <w:szCs w:val="24"/>
          <w:highlight w:val="none"/>
          <w:lang w:val="en-US" w:eastAsia="zh-CN"/>
        </w:rPr>
        <w:t xml:space="preserve">16</w:t>
      </w:r>
      <w:r>
        <w:rPr>
          <w:rFonts w:hint="eastAsia" w:ascii="宋体" w:hAnsi="宋体" w:eastAsia="宋体" w:cs="宋体"/>
          <w:b/>
          <w:bCs/>
          <w:color w:val="000000"/>
          <w:sz w:val="24"/>
          <w:szCs w:val="24"/>
          <w:highlight w:val="none"/>
        </w:rPr>
        <w:t xml:space="preserve">日</w:t>
      </w:r>
      <w:r>
        <w:rPr>
          <w:rFonts w:hint="eastAsia" w:ascii="宋体" w:hAnsi="宋体" w:eastAsia="宋体" w:cs="宋体"/>
          <w:b/>
          <w:bCs/>
          <w:color w:val="000000"/>
          <w:sz w:val="24"/>
          <w:szCs w:val="24"/>
          <w:highlight w:val="none"/>
          <w:lang w:val="en-US" w:eastAsia="zh-CN"/>
        </w:rPr>
        <w:t xml:space="preserve">09</w:t>
      </w:r>
      <w:r>
        <w:rPr>
          <w:rFonts w:hint="eastAsia" w:ascii="宋体" w:hAnsi="宋体" w:eastAsia="宋体" w:cs="宋体"/>
          <w:b/>
          <w:bCs/>
          <w:color w:val="000000"/>
          <w:sz w:val="24"/>
          <w:szCs w:val="24"/>
          <w:highlight w:val="none"/>
        </w:rPr>
        <w:t xml:space="preserve">时</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t xml:space="preserve">（北京时间）</w:t>
      </w:r>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地点：“苏采云”网上开标大厅</w:t>
      </w:r>
      <w:r>
        <w:rPr>
          <w:rFonts w:hint="eastAsia" w:ascii="宋体" w:hAnsi="宋体" w:eastAsia="宋体" w:cs="宋体"/>
          <w:b w:val="0"/>
          <w:bCs w:val="0"/>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11" w:name="_Toc26698"/>
      <w:r>
        <w:rPr>
          <w:rFonts w:hint="eastAsia" w:ascii="宋体" w:hAnsi="宋体" w:eastAsia="宋体" w:cs="宋体"/>
          <w:b/>
          <w:bCs/>
          <w:color w:val="000000"/>
          <w:sz w:val="24"/>
          <w:szCs w:val="24"/>
          <w:highlight w:val="none"/>
        </w:rPr>
        <w:t xml:space="preserve">六、公告期限</w:t>
      </w:r>
      <w:bookmarkEnd w:id="11"/>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自本公告在法定媒体发布之日起五个工作日</w:t>
      </w:r>
      <w:r>
        <w:rPr>
          <w:rFonts w:hint="eastAsia" w:ascii="宋体" w:hAnsi="宋体" w:eastAsia="宋体" w:cs="宋体"/>
          <w:b w:val="0"/>
          <w:bCs w:val="0"/>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12" w:name="_Toc7147"/>
      <w:r>
        <w:rPr>
          <w:rFonts w:hint="eastAsia" w:ascii="宋体" w:hAnsi="宋体" w:eastAsia="宋体" w:cs="宋体"/>
          <w:b/>
          <w:bCs/>
          <w:color w:val="000000"/>
          <w:sz w:val="24"/>
          <w:szCs w:val="24"/>
          <w:highlight w:val="none"/>
        </w:rPr>
        <w:t xml:space="preserve">七、其他补充事宜</w:t>
      </w:r>
      <w:bookmarkEnd w:id="12"/>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1．是否接受进口产品：不接受。</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2．集中考察现场及答疑时间、地点：采购人不统一组织现场踏勘。</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3．政府采购信用承诺</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 w:val="0"/>
          <w:bCs w:val="0"/>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（1）符合国家相关规定的财务状况报告；</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（2）依法缴纳税收的证明材料；</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（3）依法缴纳社会保障资金的证明材料；</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（4）具备履行政府采购合同所必需的设备和专业技术能力的证明材料；</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（5）参加政府采购活动前三年内在经营活动中没有重大违法记录的证明材料；</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（6）未被列入失信被执行人、重大税收违法失信主体、政府采购严重违法失信行为记录名单的证明材料。</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供应商涉及以下情形的，不适用信用承诺：</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（1）供应商被列入严重失信主体名单；</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（2）被相关监管部门作出行政处罚且尚在处罚有效期内；</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（3）其他法律、行政法规规定的不适用信用承诺的情形。</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 w:val="0"/>
          <w:bCs w:val="0"/>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13" w:name="_Toc11755"/>
      <w:r>
        <w:rPr>
          <w:rFonts w:hint="eastAsia" w:ascii="宋体" w:hAnsi="宋体" w:eastAsia="宋体" w:cs="宋体"/>
          <w:b/>
          <w:bCs/>
          <w:color w:val="000000"/>
          <w:sz w:val="24"/>
          <w:szCs w:val="24"/>
          <w:highlight w:val="none"/>
        </w:rPr>
        <w:t xml:space="preserve">八、对本次招标提出询问，请按以下方式联系</w:t>
      </w:r>
      <w:bookmarkEnd w:id="13"/>
      <w:r>
        <w:rPr>
          <w:rFonts w:hint="eastAsia" w:ascii="宋体" w:hAnsi="宋体" w:eastAsia="宋体" w:cs="宋体"/>
          <w:b/>
          <w:bCs/>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1.采购人信息</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名称：南京江北新区管理委员会教育局</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地址：南京市浦口区行知路8号</w:t>
      </w:r>
      <w:r>
        <w:rPr>
          <w:rFonts w:hint="eastAsia" w:ascii="宋体" w:hAnsi="宋体" w:eastAsia="宋体" w:cs="宋体"/>
          <w:b w:val="0"/>
          <w:bCs w:val="0"/>
          <w:color w:val="000000"/>
          <w:sz w:val="24"/>
          <w:szCs w:val="24"/>
          <w:highlight w:val="none"/>
        </w:rPr>
      </w:r>
      <w:r/>
    </w:p>
    <w:p>
      <w:pPr>
        <w:pStyle w:val="706"/>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val="en-US" w:eastAsia="zh-CN"/>
        </w:rPr>
        <w:t xml:space="preserve">奚老师</w:t>
      </w:r>
      <w:r>
        <w:rPr>
          <w:rFonts w:ascii="宋体" w:hAnsi="宋体" w:eastAsia="宋体" w:cs="宋体"/>
          <w:b w:val="0"/>
          <w:bCs w:val="0"/>
          <w:color w:val="000000"/>
          <w:sz w:val="24"/>
          <w:szCs w:val="24"/>
          <w:highlight w:val="none"/>
          <w:lang w:val="en-US" w:eastAsia="zh-CN"/>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联系电话：025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58882126</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2.采购代理机构信息</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lang w:eastAsia="zh-CN"/>
        </w:rPr>
        <w:t xml:space="preserve">益嘉新建设咨询（南京）有限公司</w:t>
      </w:r>
      <w:r>
        <w:rPr>
          <w:rFonts w:hint="eastAsia" w:ascii="宋体" w:hAnsi="宋体" w:eastAsia="宋体" w:cs="宋体"/>
          <w:b w:val="0"/>
          <w:bCs w:val="0"/>
          <w:color w:val="000000"/>
          <w:sz w:val="24"/>
          <w:szCs w:val="24"/>
          <w:highlight w:val="none"/>
          <w:lang w:eastAsia="zh-CN"/>
        </w:rPr>
      </w:r>
      <w:r/>
    </w:p>
    <w:p>
      <w:pPr>
        <w:pStyle w:val="706"/>
        <w:ind w:firstLine="480"/>
        <w:spacing w:line="360" w:lineRule="auto"/>
        <w:rPr>
          <w:rFonts w:hint="eastAsia" w:ascii="宋体" w:hAnsi="宋体" w:eastAsia="宋体" w:cs="宋体"/>
          <w:b w:val="0"/>
          <w:bCs w:val="0"/>
          <w:color w:val="000000"/>
          <w:sz w:val="24"/>
          <w:szCs w:val="24"/>
          <w:highlight w:val="none"/>
        </w:rPr>
      </w:pPr>
      <w:r/>
      <w:bookmarkStart w:id="14" w:name="OLE_LINK20"/>
      <w:r>
        <w:rPr>
          <w:rFonts w:hint="eastAsia" w:ascii="宋体" w:hAnsi="宋体" w:eastAsia="宋体" w:cs="宋体"/>
          <w:b w:val="0"/>
          <w:bCs w:val="0"/>
          <w:color w:val="000000"/>
          <w:sz w:val="24"/>
          <w:szCs w:val="24"/>
          <w:highlight w:val="none"/>
        </w:rPr>
        <w:t xml:space="preserve">地址：</w:t>
      </w:r>
      <w:r>
        <w:rPr>
          <w:rFonts w:hint="eastAsia" w:ascii="宋体" w:hAnsi="宋体" w:eastAsia="宋体" w:cs="宋体"/>
          <w:b w:val="0"/>
          <w:bCs w:val="0"/>
          <w:color w:val="000000"/>
          <w:sz w:val="24"/>
          <w:szCs w:val="24"/>
          <w:highlight w:val="none"/>
          <w:lang w:val="en-US" w:eastAsia="zh-CN"/>
        </w:rPr>
        <w:t xml:space="preserve">南京市建邺区乐山路190号江苏华坤大厦16楼</w:t>
      </w:r>
      <w:r>
        <w:rPr>
          <w:rFonts w:hint="eastAsia" w:ascii="宋体" w:hAnsi="宋体" w:eastAsia="宋体" w:cs="宋体"/>
          <w:b w:val="0"/>
          <w:bCs w:val="0"/>
          <w:color w:val="000000"/>
          <w:sz w:val="24"/>
          <w:szCs w:val="24"/>
          <w:highlight w:val="none"/>
        </w:rPr>
      </w:r>
      <w:r/>
    </w:p>
    <w:p>
      <w:pPr>
        <w:pStyle w:val="706"/>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val="en-US" w:eastAsia="zh-CN"/>
        </w:rPr>
        <w:t xml:space="preserve">孟工</w:t>
      </w:r>
      <w:r>
        <w:rPr>
          <w:rFonts w:ascii="宋体" w:hAnsi="宋体" w:eastAsia="宋体" w:cs="宋体"/>
          <w:b w:val="0"/>
          <w:bCs w:val="0"/>
          <w:color w:val="000000"/>
          <w:sz w:val="24"/>
          <w:szCs w:val="24"/>
          <w:highlight w:val="none"/>
          <w:lang w:val="en-US" w:eastAsia="zh-CN"/>
        </w:rPr>
      </w:r>
      <w:r/>
    </w:p>
    <w:p>
      <w:pPr>
        <w:pStyle w:val="706"/>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w:t>
      </w:r>
      <w:bookmarkEnd w:id="14"/>
      <w:r>
        <w:rPr>
          <w:rFonts w:hint="eastAsia" w:ascii="宋体" w:hAnsi="宋体" w:eastAsia="宋体" w:cs="宋体"/>
          <w:b w:val="0"/>
          <w:bCs w:val="0"/>
          <w:color w:val="000000"/>
          <w:sz w:val="24"/>
          <w:szCs w:val="24"/>
          <w:highlight w:val="none"/>
          <w:lang w:val="en-US" w:eastAsia="zh-CN"/>
        </w:rPr>
        <w:t xml:space="preserve">15996312499</w:t>
      </w:r>
      <w:r>
        <w:rPr>
          <w:rFonts w:ascii="宋体" w:hAnsi="宋体" w:eastAsia="宋体" w:cs="宋体"/>
          <w:b w:val="0"/>
          <w:bCs w:val="0"/>
          <w:color w:val="000000"/>
          <w:sz w:val="24"/>
          <w:szCs w:val="24"/>
          <w:highlight w:val="none"/>
          <w:lang w:val="en-US" w:eastAsia="zh-CN"/>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3.项目联系方式</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项目联系人：</w:t>
      </w:r>
      <w:r>
        <w:rPr>
          <w:rFonts w:hint="eastAsia" w:ascii="宋体" w:hAnsi="宋体" w:eastAsia="宋体" w:cs="宋体"/>
          <w:b w:val="0"/>
          <w:bCs w:val="0"/>
          <w:color w:val="000000"/>
          <w:sz w:val="24"/>
          <w:szCs w:val="24"/>
          <w:highlight w:val="none"/>
          <w:lang w:val="en-US" w:eastAsia="zh-CN"/>
        </w:rPr>
        <w:t xml:space="preserve">孟工</w:t>
      </w:r>
      <w:r>
        <w:rPr>
          <w:rFonts w:hint="eastAsia" w:ascii="宋体" w:hAnsi="宋体" w:eastAsia="宋体" w:cs="宋体"/>
          <w:b w:val="0"/>
          <w:bCs w:val="0"/>
          <w:color w:val="000000"/>
          <w:sz w:val="24"/>
          <w:szCs w:val="24"/>
          <w:highlight w:val="none"/>
        </w:rPr>
      </w:r>
      <w:r/>
    </w:p>
    <w:p>
      <w:pPr>
        <w:pStyle w:val="706"/>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电话：</w:t>
      </w:r>
      <w:r>
        <w:rPr>
          <w:rFonts w:hint="eastAsia" w:ascii="宋体" w:hAnsi="宋体" w:eastAsia="宋体" w:cs="宋体"/>
          <w:b w:val="0"/>
          <w:bCs w:val="0"/>
          <w:color w:val="000000"/>
          <w:sz w:val="24"/>
          <w:szCs w:val="24"/>
          <w:highlight w:val="none"/>
          <w:lang w:val="en-US" w:eastAsia="zh-CN"/>
        </w:rPr>
        <w:t xml:space="preserve">15996312499</w:t>
      </w:r>
      <w:r>
        <w:rPr>
          <w:rFonts w:hint="eastAsia" w:ascii="宋体" w:hAnsi="宋体" w:eastAsia="宋体" w:cs="宋体"/>
          <w:b w:val="0"/>
          <w:bCs w:val="0"/>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706"/>
        <w:jc w:val="center"/>
        <w:spacing w:line="360" w:lineRule="auto"/>
        <w:rPr>
          <w:rFonts w:hint="eastAsia" w:ascii="宋体" w:hAnsi="宋体" w:eastAsia="宋体" w:cs="宋体"/>
          <w:b/>
          <w:bCs/>
          <w:color w:val="000000"/>
          <w:spacing w:val="-10"/>
          <w:sz w:val="36"/>
          <w:szCs w:val="36"/>
          <w:highlight w:val="none"/>
        </w:rPr>
        <w:outlineLvl w:val="0"/>
      </w:pPr>
      <w:r/>
      <w:bookmarkStart w:id="15" w:name="_Toc22385"/>
      <w:r>
        <w:rPr>
          <w:rFonts w:hint="eastAsia" w:ascii="宋体" w:hAnsi="宋体" w:eastAsia="宋体" w:cs="宋体"/>
          <w:b/>
          <w:bCs/>
          <w:color w:val="000000"/>
          <w:spacing w:val="-10"/>
          <w:sz w:val="36"/>
          <w:szCs w:val="36"/>
          <w:highlight w:val="none"/>
        </w:rPr>
        <w:t xml:space="preserve">第二章  供应商须知</w:t>
      </w:r>
      <w:bookmarkEnd w:id="15"/>
      <w:r>
        <w:rPr>
          <w:rFonts w:hint="eastAsia" w:ascii="宋体" w:hAnsi="宋体" w:eastAsia="宋体" w:cs="宋体"/>
          <w:b/>
          <w:bCs/>
          <w:color w:val="000000"/>
          <w:spacing w:val="-10"/>
          <w:sz w:val="36"/>
          <w:szCs w:val="36"/>
          <w:highlight w:val="none"/>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16" w:name="_Toc18881"/>
      <w:r/>
      <w:bookmarkStart w:id="17" w:name="_Hlk156125564"/>
      <w:r>
        <w:rPr>
          <w:rFonts w:hint="eastAsia" w:ascii="宋体" w:hAnsi="宋体" w:eastAsia="宋体" w:cs="宋体"/>
          <w:b/>
          <w:bCs/>
          <w:color w:val="000000"/>
          <w:sz w:val="24"/>
          <w:szCs w:val="24"/>
          <w:highlight w:val="none"/>
        </w:rPr>
        <w:t xml:space="preserve">一、总则</w:t>
      </w:r>
      <w:bookmarkEnd w:id="16"/>
      <w:r>
        <w:rPr>
          <w:rFonts w:hint="eastAsia" w:ascii="宋体" w:hAnsi="宋体" w:eastAsia="宋体" w:cs="宋体"/>
          <w:b/>
          <w:bCs/>
          <w:color w:val="000000"/>
          <w:sz w:val="24"/>
          <w:szCs w:val="24"/>
          <w:highlight w:val="none"/>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1.适用法律</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2.定义</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“供应商”“投标人”是指参加投标竞争，并符合招标文件规定资格条件的法人、其他组织或者自然人。</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3.政策功能</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3.1促进中小企业发展。在政府采购活动中，供应商提供的货物、工程或者服务符合下列情形的，享受中小企业扶持政策：</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（1）在货物采购项目中，货物由中小企业制造，即货物由中小企业生产且使用该中小企</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业商号或者注册商标；</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（2）在工程采购项目中，工程由中小企业承建，即工程施工单位为中小企业；</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bidi="ar"/>
        </w:rPr>
        <w:t xml:space="preserve">（4）以联合体形式参加政府采购活动，联</w:t>
      </w:r>
      <w:r>
        <w:rPr>
          <w:rFonts w:hint="eastAsia" w:ascii="宋体" w:hAnsi="宋体" w:cs="宋体"/>
          <w:color w:val="000000"/>
          <w:sz w:val="24"/>
          <w:szCs w:val="24"/>
          <w:highlight w:val="none"/>
          <w:lang w:bidi="ar"/>
        </w:rPr>
        <w:t xml:space="preserve">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highlight w:val="none"/>
        </w:rPr>
      </w:r>
      <w:r/>
    </w:p>
    <w:p>
      <w:pPr>
        <w:pStyle w:val="706"/>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3.8实施本国产品标准及相关政策</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3.8.2本国产品应当符合以下条件：</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（1）在中国境内生产</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（2）在中国境内生产的组件成本占比达到规定比例</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（3）特定产品的关键组件、关键工序符合相关要求</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3.8.3本国产品标准的适用范围</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3.8.4对本国产品的支持政策</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3.8.5政策执行要求</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highlight w:val="none"/>
          <w:lang w:bidi="ar"/>
        </w:rPr>
      </w:r>
      <w:r/>
    </w:p>
    <w:p>
      <w:pPr>
        <w:pStyle w:val="706"/>
        <w:ind w:firstLine="480"/>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highlight w:val="none"/>
          <w:lang w:bidi="ar"/>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18" w:name="_Toc15835"/>
      <w:r>
        <w:rPr>
          <w:rFonts w:hint="eastAsia" w:ascii="宋体" w:hAnsi="宋体" w:eastAsia="宋体" w:cs="宋体"/>
          <w:b/>
          <w:bCs/>
          <w:color w:val="000000"/>
          <w:sz w:val="24"/>
          <w:szCs w:val="24"/>
          <w:highlight w:val="none"/>
        </w:rPr>
        <w:t xml:space="preserve">二、招标文件</w:t>
      </w:r>
      <w:bookmarkEnd w:id="18"/>
      <w:r>
        <w:rPr>
          <w:rFonts w:hint="eastAsia" w:ascii="宋体" w:hAnsi="宋体" w:eastAsia="宋体" w:cs="宋体"/>
          <w:b/>
          <w:bCs/>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4.招标文件组成</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4.1招标文件由投标邀请、供应商须知、评标办法、采购需求、合同条款、附件等组成。</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5.3供应商应在投标截止时间前关注原采购信息发布媒体有关本招标项目有无变更公告。</w:t>
      </w:r>
      <w:r>
        <w:rPr>
          <w:rFonts w:hint="eastAsia" w:ascii="宋体" w:hAnsi="宋体" w:cs="宋体"/>
          <w:color w:val="000000"/>
          <w:sz w:val="24"/>
          <w:szCs w:val="24"/>
          <w:highlight w:val="none"/>
        </w:rPr>
      </w:r>
      <w:r/>
    </w:p>
    <w:p>
      <w:pPr>
        <w:pStyle w:val="706"/>
        <w:ind w:firstLine="482"/>
        <w:spacing w:line="360" w:lineRule="auto"/>
        <w:rPr>
          <w:rFonts w:hint="eastAsia" w:ascii="宋体" w:hAnsi="宋体" w:eastAsia="宋体" w:cs="宋体"/>
          <w:b/>
          <w:bCs/>
          <w:color w:val="000000"/>
          <w:sz w:val="24"/>
          <w:szCs w:val="24"/>
          <w:highlight w:val="none"/>
        </w:rPr>
        <w:outlineLvl w:val="1"/>
      </w:pPr>
      <w:r/>
      <w:bookmarkStart w:id="19" w:name="_Toc31072"/>
      <w:r>
        <w:rPr>
          <w:rFonts w:hint="eastAsia" w:ascii="宋体" w:hAnsi="宋体" w:eastAsia="宋体" w:cs="宋体"/>
          <w:b/>
          <w:bCs/>
          <w:color w:val="000000"/>
          <w:sz w:val="24"/>
          <w:szCs w:val="24"/>
          <w:highlight w:val="none"/>
        </w:rPr>
        <w:t xml:space="preserve">三、投标</w:t>
      </w:r>
      <w:bookmarkEnd w:id="19"/>
      <w:r>
        <w:rPr>
          <w:rFonts w:hint="eastAsia" w:ascii="宋体" w:hAnsi="宋体" w:eastAsia="宋体" w:cs="宋体"/>
          <w:b/>
          <w:bCs/>
          <w:color w:val="000000"/>
          <w:sz w:val="24"/>
          <w:szCs w:val="24"/>
          <w:highlight w:val="none"/>
        </w:rPr>
      </w:r>
      <w:r/>
    </w:p>
    <w:p>
      <w:pPr>
        <w:pStyle w:val="706"/>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w:t>
      </w:r>
      <w:r>
        <w:rPr>
          <w:rFonts w:hint="eastAsia" w:ascii="宋体" w:hAnsi="宋体" w:cs="宋体"/>
          <w:b/>
          <w:color w:val="000000"/>
          <w:sz w:val="24"/>
          <w:szCs w:val="24"/>
          <w:highlight w:val="none"/>
          <w:lang w:val="zh-CN"/>
        </w:rPr>
      </w:r>
      <w:r/>
    </w:p>
    <w:p>
      <w:pPr>
        <w:pStyle w:val="706"/>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6.1供应商应由其法定代表人或法定代表人授权委托人在规定的投标时间内，按时递交投标文件。</w:t>
      </w:r>
      <w:r>
        <w:rPr>
          <w:rFonts w:hint="eastAsia" w:ascii="宋体" w:hAnsi="宋体" w:cs="宋体"/>
          <w:bCs/>
          <w:color w:val="000000"/>
          <w:sz w:val="24"/>
          <w:szCs w:val="24"/>
          <w:highlight w:val="none"/>
          <w:lang w:val="zh-CN"/>
        </w:rPr>
      </w:r>
      <w:r/>
    </w:p>
    <w:p>
      <w:pPr>
        <w:pStyle w:val="706"/>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供应商应当对招标文件提出的要求和条件作出实质性响应，</w:t>
      </w:r>
      <w:r>
        <w:rPr>
          <w:rFonts w:hint="eastAsia" w:ascii="宋体" w:hAnsi="宋体" w:cs="宋体"/>
          <w:bCs/>
          <w:color w:val="000000"/>
          <w:sz w:val="24"/>
          <w:szCs w:val="24"/>
          <w:highlight w:val="none"/>
        </w:rPr>
        <w:t xml:space="preserve">并在投标文件中逐条应答。</w:t>
      </w:r>
      <w:r>
        <w:rPr>
          <w:rFonts w:hint="eastAsia" w:ascii="宋体" w:hAnsi="宋体" w:cs="宋体"/>
          <w:bCs/>
          <w:color w:val="000000"/>
          <w:sz w:val="24"/>
          <w:szCs w:val="24"/>
          <w:highlight w:val="none"/>
          <w:lang w:val="zh-CN"/>
        </w:rPr>
      </w:r>
      <w:r/>
    </w:p>
    <w:p>
      <w:pPr>
        <w:pStyle w:val="706"/>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highlight w:val="none"/>
          <w:lang w:val="zh-CN"/>
        </w:rPr>
      </w:r>
      <w:r/>
    </w:p>
    <w:p>
      <w:pPr>
        <w:pStyle w:val="706"/>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供应商应逐一说明投标产品品牌、型号、产地、性能参数。</w:t>
      </w:r>
      <w:r>
        <w:rPr>
          <w:rFonts w:hint="eastAsia" w:ascii="宋体" w:hAnsi="宋体" w:cs="宋体"/>
          <w:bCs/>
          <w:color w:val="000000"/>
          <w:sz w:val="24"/>
          <w:szCs w:val="24"/>
          <w:highlight w:val="none"/>
          <w:lang w:val="zh-CN"/>
        </w:rPr>
      </w:r>
      <w:r/>
    </w:p>
    <w:p>
      <w:pPr>
        <w:pStyle w:val="706"/>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投标产品属于国家认定的节能产品、环保产品、信息安全产品，应附认证证书复印件。</w:t>
      </w:r>
      <w:r>
        <w:rPr>
          <w:rFonts w:hint="eastAsia" w:ascii="宋体" w:hAnsi="宋体" w:cs="宋体"/>
          <w:bCs/>
          <w:color w:val="000000"/>
          <w:sz w:val="24"/>
          <w:szCs w:val="24"/>
          <w:highlight w:val="none"/>
          <w:lang w:val="zh-CN"/>
        </w:rPr>
      </w:r>
      <w:r/>
    </w:p>
    <w:p>
      <w:pPr>
        <w:pStyle w:val="706"/>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供应商拟在中标后将中标项目的非主体、非关键性工作交由他人完成的，应当在投标文件中载明。</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7.2供应商所使用的计量单位应为国家法定计量单位。</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7.3供应商应用人民币报价。</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7.4供应商所使用的技术标准应遵循国家最新标准及规范。</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highlight w:val="none"/>
        </w:rPr>
      </w:r>
      <w:r/>
    </w:p>
    <w:p>
      <w:pPr>
        <w:pStyle w:val="706"/>
        <w:ind w:firstLine="482"/>
        <w:jc w:val="left"/>
        <w:spacing w:line="360" w:lineRule="auto"/>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rPr>
        <w:t xml:space="preserve">9.2本项目招标代理费</w:t>
      </w:r>
      <w:r>
        <w:rPr>
          <w:rFonts w:hint="eastAsia" w:ascii="宋体" w:hAnsi="宋体" w:cs="宋体"/>
          <w:b/>
          <w:bCs w:val="0"/>
          <w:color w:val="000000"/>
          <w:sz w:val="24"/>
          <w:szCs w:val="24"/>
          <w:highlight w:val="none"/>
          <w:lang w:val="zh-CN"/>
        </w:rPr>
        <w:t xml:space="preserve">及</w:t>
      </w:r>
      <w:r>
        <w:rPr>
          <w:rFonts w:hint="eastAsia" w:ascii="宋体" w:hAnsi="宋体" w:cs="宋体"/>
          <w:b/>
          <w:bCs w:val="0"/>
          <w:color w:val="000000"/>
          <w:sz w:val="24"/>
          <w:szCs w:val="24"/>
          <w:highlight w:val="none"/>
        </w:rPr>
        <w:t xml:space="preserve">其</w:t>
      </w:r>
      <w:r>
        <w:rPr>
          <w:rFonts w:hint="eastAsia" w:ascii="宋体" w:hAnsi="宋体" w:cs="宋体"/>
          <w:b/>
          <w:bCs w:val="0"/>
          <w:color w:val="000000"/>
          <w:sz w:val="24"/>
          <w:szCs w:val="24"/>
          <w:highlight w:val="none"/>
          <w:lang w:val="zh-CN"/>
        </w:rPr>
        <w:t xml:space="preserve">相关</w:t>
      </w:r>
      <w:r>
        <w:rPr>
          <w:rFonts w:hint="eastAsia" w:ascii="宋体" w:hAnsi="宋体" w:cs="宋体"/>
          <w:b/>
          <w:bCs w:val="0"/>
          <w:color w:val="000000"/>
          <w:sz w:val="24"/>
          <w:szCs w:val="24"/>
          <w:highlight w:val="none"/>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bCs w:val="0"/>
          <w:color w:val="000000"/>
          <w:sz w:val="24"/>
          <w:szCs w:val="24"/>
          <w:highlight w:val="none"/>
          <w:lang w:val="zh-CN"/>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（1）★投标函（投标申请及声明，格式见附件）；</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（2）★法定代表人授权委托书（格式见附件）及委托代理人的身份证扫描件；</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（3）★第一章投标邀请规定的资格证明材料；</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（4）★《南京市政府采购供应商信用记录表暨信用承诺书》；</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color w:val="000000"/>
          <w:highlight w:val="none"/>
        </w:rPr>
      </w:pPr>
      <w:r>
        <w:rPr>
          <w:rFonts w:hint="eastAsia" w:ascii="宋体" w:hAnsi="宋体" w:cs="宋体"/>
          <w:color w:val="000000"/>
          <w:sz w:val="24"/>
          <w:szCs w:val="24"/>
          <w:highlight w:val="none"/>
          <w:lang w:bidi="ar"/>
        </w:rPr>
        <w:t xml:space="preserve">（5）《关于符合本国产品标准的声明函》</w:t>
      </w:r>
      <w:r>
        <w:rPr>
          <w:rFonts w:hint="eastAsia"/>
          <w:color w:val="000000"/>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（6）供应商认为需要提供的其他资格证明文件和商务资料。</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12.2若技术性能无特殊说明，则按国家有关部门最新颁布的标准及规范为准。</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12.3提供的技术如与招标文件要求有不符之处，应说明其差别之所在并逐条说明。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bidi="ar"/>
        </w:rPr>
        <w:t xml:space="preserve">12.4</w:t>
      </w:r>
      <w:r>
        <w:rPr>
          <w:rFonts w:hint="eastAsia" w:ascii="宋体" w:hAnsi="宋体" w:cs="宋体"/>
          <w:bCs/>
          <w:color w:val="000000"/>
          <w:sz w:val="24"/>
          <w:szCs w:val="24"/>
          <w:highlight w:val="none"/>
          <w:lang w:val="zh-CN"/>
        </w:rPr>
        <w:t xml:space="preserve">投标文件应按照招标文件要求技术资料、文件和有关证明，</w:t>
      </w:r>
      <w:r>
        <w:rPr>
          <w:rFonts w:hint="eastAsia" w:ascii="宋体" w:hAnsi="宋体" w:cs="宋体"/>
          <w:color w:val="000000"/>
          <w:sz w:val="24"/>
          <w:szCs w:val="24"/>
          <w:highlight w:val="none"/>
          <w:lang w:val="zh-CN"/>
        </w:rPr>
        <w:t xml:space="preserve">包括但不限于下列文件，其中加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rPr>
          <w:rFonts w:hint="eastAsia" w:ascii="宋体" w:hAnsi="宋体" w:cs="宋体"/>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（1）★项目实施方案（格式自拟）；</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（2）★《技术条款偏离表》；</w:t>
      </w:r>
      <w:r>
        <w:rPr>
          <w:rFonts w:hint="eastAsia" w:ascii="宋体" w:hAnsi="宋体" w:cs="宋体"/>
          <w:color w:val="000000"/>
          <w:sz w:val="24"/>
          <w:szCs w:val="24"/>
          <w:highlight w:val="none"/>
          <w:lang w:val="zh-CN"/>
        </w:rPr>
      </w:r>
      <w:r/>
    </w:p>
    <w:p>
      <w:pPr>
        <w:pStyle w:val="787"/>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）★《供货一览表》；</w:t>
      </w:r>
      <w:r>
        <w:rPr>
          <w:rFonts w:hint="eastAsia" w:ascii="宋体" w:hAnsi="宋体" w:cs="宋体"/>
          <w:color w:val="000000"/>
          <w:sz w:val="24"/>
          <w:highlight w:val="none"/>
          <w:lang w:val="zh-CN"/>
        </w:rPr>
      </w:r>
      <w:r/>
    </w:p>
    <w:p>
      <w:pPr>
        <w:pStyle w:val="787"/>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）★货物质量保证承诺书；</w:t>
      </w:r>
      <w:r>
        <w:rPr>
          <w:rFonts w:hint="eastAsia" w:ascii="宋体" w:hAnsi="宋体" w:cs="宋体"/>
          <w:color w:val="000000"/>
          <w:sz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）验收标准；</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）供应商认为需要提供的其他技术资料。</w:t>
      </w:r>
      <w:r>
        <w:rPr>
          <w:rFonts w:hint="eastAsia" w:ascii="宋体" w:hAnsi="宋体" w:cs="宋体"/>
          <w:b/>
          <w:color w:val="000000"/>
          <w:sz w:val="24"/>
          <w:szCs w:val="24"/>
          <w:highlight w:val="none"/>
          <w:lang w:val="zh-CN"/>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13.投标文件的价格部分</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13.1供应商应对清单中的产品和服务分别报价，每一项产品和服务仅接受一个价格。</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13.3供应商的任何错漏、优惠、竞争性报价不得作为减轻责任、减少服务、增加收费、降低质量的理由。</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w:t>
      </w:r>
      <w:r>
        <w:rPr>
          <w:rFonts w:hint="eastAsia" w:ascii="宋体" w:hAnsi="宋体" w:cs="宋体"/>
          <w:color w:val="000000"/>
          <w:sz w:val="24"/>
          <w:szCs w:val="24"/>
          <w:highlight w:val="none"/>
          <w:lang w:bidi="ar"/>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16.1自开标之日起九十日内投标有效。</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17.投标报价</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17.1供应商应对招标文件内的《产品清单》分别报价，并汇总报价。</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706"/>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采购代理机构拒绝接收提交响应文件截止时间后上传的任何电子响应文件。</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.投标文件的修改和撤回</w:t>
      </w:r>
      <w:r>
        <w:rPr>
          <w:rFonts w:hint="eastAsia" w:ascii="宋体" w:hAnsi="宋体" w:cs="宋体"/>
          <w:b/>
          <w:bCs/>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.2响应文件的修改</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eastAsia="宋体" w:cs="宋体"/>
          <w:b/>
          <w:bCs/>
          <w:color w:val="000000"/>
          <w:sz w:val="24"/>
          <w:szCs w:val="24"/>
          <w:highlight w:val="none"/>
        </w:rPr>
        <w:outlineLvl w:val="1"/>
      </w:pPr>
      <w:r/>
      <w:bookmarkStart w:id="20" w:name="_Toc21636"/>
      <w:r>
        <w:rPr>
          <w:rFonts w:hint="eastAsia" w:ascii="宋体" w:hAnsi="宋体" w:eastAsia="宋体" w:cs="宋体"/>
          <w:b/>
          <w:bCs/>
          <w:color w:val="000000"/>
          <w:sz w:val="24"/>
          <w:szCs w:val="24"/>
          <w:highlight w:val="none"/>
        </w:rPr>
        <w:t xml:space="preserve">四、开标、评标与确定中标供应商</w:t>
      </w:r>
      <w:bookmarkEnd w:id="20"/>
      <w:r>
        <w:rPr>
          <w:rFonts w:hint="eastAsia" w:ascii="宋体" w:hAnsi="宋体" w:eastAsia="宋体" w:cs="宋体"/>
          <w:b/>
          <w:bCs/>
          <w:color w:val="000000"/>
          <w:sz w:val="24"/>
          <w:szCs w:val="24"/>
          <w:highlight w:val="none"/>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.开标</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706"/>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21.评标</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21.1评标组织</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w:t>
      </w:r>
      <w:r>
        <w:rPr>
          <w:rFonts w:hint="eastAsia" w:ascii="宋体" w:hAnsi="宋体" w:cs="宋体"/>
          <w:color w:val="000000"/>
          <w:sz w:val="24"/>
          <w:szCs w:val="24"/>
          <w:highlight w:val="none"/>
          <w:lang w:val="zh-CN"/>
        </w:rPr>
      </w:r>
      <w:r/>
    </w:p>
    <w:p>
      <w:pPr>
        <w:pStyle w:val="706"/>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w:t>
      </w:r>
      <w:r>
        <w:rPr>
          <w:rFonts w:hint="eastAsia" w:ascii="宋体" w:hAnsi="宋体" w:cs="宋体"/>
          <w:color w:val="000000"/>
          <w:sz w:val="24"/>
          <w:szCs w:val="24"/>
          <w:highlight w:val="none"/>
          <w:lang w:val="zh-CN"/>
        </w:rPr>
      </w:r>
      <w:r/>
    </w:p>
    <w:p>
      <w:pPr>
        <w:pStyle w:val="706"/>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w:t>
      </w:r>
      <w:r>
        <w:rPr>
          <w:rFonts w:hint="eastAsia" w:ascii="宋体" w:hAnsi="宋体" w:cs="宋体"/>
          <w:color w:val="000000"/>
          <w:sz w:val="24"/>
          <w:szCs w:val="24"/>
          <w:highlight w:val="none"/>
          <w:lang w:val="zh-CN"/>
        </w:rPr>
      </w:r>
      <w:r/>
    </w:p>
    <w:p>
      <w:pPr>
        <w:pStyle w:val="706"/>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w:t>
      </w:r>
      <w:r>
        <w:rPr>
          <w:rFonts w:hint="eastAsia" w:ascii="宋体" w:hAnsi="宋体" w:cs="宋体"/>
          <w:color w:val="000000"/>
          <w:sz w:val="24"/>
          <w:szCs w:val="24"/>
          <w:highlight w:val="none"/>
          <w:lang w:val="zh-CN"/>
        </w:rPr>
      </w:r>
      <w:r/>
    </w:p>
    <w:p>
      <w:pPr>
        <w:pStyle w:val="706"/>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w:t>
      </w:r>
      <w:r>
        <w:rPr>
          <w:rFonts w:hint="eastAsia" w:ascii="宋体" w:hAnsi="宋体" w:cs="宋体"/>
          <w:color w:val="000000"/>
          <w:sz w:val="24"/>
          <w:szCs w:val="24"/>
          <w:highlight w:val="none"/>
          <w:lang w:val="zh-CN"/>
        </w:rPr>
      </w:r>
      <w:r/>
    </w:p>
    <w:p>
      <w:pPr>
        <w:pStyle w:val="706"/>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21.2评标程序</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21.2.1投标文件的资格审查</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21.2.1.1采购人代表依法对投标人的资格进行审查。</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21.2.1.4投标文件有下列情况之一的，在资格性审查时按照无效投标处理</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21.2.2投标文件的符合性审查</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21.2.2.2实质性要求是指本招标文件中带“★”的商务和技术要求。</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21.2.2.4投标文件有下列情况之一的，在符合性审查时按照无效投标处理：</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21.2.2.5有下列情形之一的予以废标：</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706"/>
        <w:ind w:left="0"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bCs/>
          <w:color w:val="000000"/>
          <w:sz w:val="24"/>
          <w:szCs w:val="24"/>
          <w:highlight w:val="none"/>
        </w:rPr>
        <w:t xml:space="preserve">21.2.2.6</w:t>
      </w: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eastAsia="宋体" w:cs="宋体"/>
          <w:b w:val="0"/>
          <w:bCs w:val="0"/>
          <w:color w:val="000000"/>
          <w:sz w:val="24"/>
          <w:szCs w:val="24"/>
          <w:highlight w:val="none"/>
          <w:lang w:val="en-US" w:eastAsia="zh-CN"/>
        </w:rPr>
      </w:r>
      <w:r/>
    </w:p>
    <w:p>
      <w:pPr>
        <w:pStyle w:val="706"/>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06"/>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06"/>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(3)投标(响应)报价低于采购项目最高限价45%的，即投标(响应)报价≤采购项目最高限价*45%</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06"/>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szCs w:val="24"/>
          <w:highlight w:val="none"/>
          <w:lang w:val="en-US" w:eastAsia="zh-CN"/>
        </w:rPr>
      </w:r>
      <w:r/>
    </w:p>
    <w:p>
      <w:pPr>
        <w:pStyle w:val="706"/>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具体要求按《关于推动解决政府采购异常低价问题的通知》(财库【2026】2号)执行</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21.2.5比较与评价。</w:t>
      </w:r>
      <w:r>
        <w:rPr>
          <w:rFonts w:hint="eastAsia" w:ascii="宋体" w:hAnsi="宋体" w:cs="宋体"/>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21.3评标方法和标准</w:t>
      </w:r>
      <w:r>
        <w:rPr>
          <w:rFonts w:hint="eastAsia" w:ascii="宋体" w:hAnsi="宋体" w:cs="宋体"/>
          <w:color w:val="000000"/>
          <w:sz w:val="24"/>
          <w:szCs w:val="24"/>
          <w:highlight w:val="none"/>
          <w:lang w:val="zh-CN"/>
        </w:rPr>
      </w:r>
      <w:r/>
    </w:p>
    <w:p>
      <w:pPr>
        <w:pStyle w:val="706"/>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706"/>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w:t>
      </w:r>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21" w:name="_Hlk44576646"/>
      <w:r>
        <w:rPr>
          <w:rFonts w:hint="eastAsia" w:ascii="宋体" w:hAnsi="宋体" w:eastAsia="宋体" w:cs="宋体"/>
          <w:color w:val="000000"/>
          <w:sz w:val="24"/>
          <w:szCs w:val="24"/>
          <w:highlight w:val="none"/>
        </w:rPr>
        <w:t xml:space="preserve">投标文件满足招标文件全部实质性要求，</w:t>
      </w:r>
      <w:bookmarkEnd w:id="21"/>
      <w:r/>
      <w:bookmarkStart w:id="22"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22"/>
      <w:r>
        <w:rPr>
          <w:rFonts w:hint="eastAsia" w:ascii="宋体" w:hAnsi="宋体" w:eastAsia="宋体" w:cs="宋体"/>
          <w:color w:val="000000"/>
          <w:sz w:val="24"/>
          <w:szCs w:val="24"/>
          <w:highlight w:val="none"/>
        </w:rPr>
      </w:r>
      <w:r/>
    </w:p>
    <w:p>
      <w:pPr>
        <w:pStyle w:val="706"/>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23.中标通知书</w:t>
      </w:r>
      <w:r>
        <w:rPr>
          <w:rFonts w:hint="eastAsia" w:ascii="宋体" w:hAnsi="宋体" w:eastAsia="宋体" w:cs="宋体"/>
          <w:b/>
          <w:bCs/>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23.l中标结果确定后，采购代理机构将向中标人发出中标通知书。中标人可在中标结果公告届满之日起三十日内,登录苏采云系统下载。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706"/>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b/>
          <w:bCs/>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24.2任何单位和个人不得非法干预、影响评标办法的确定，以及评标过程和结果。</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06"/>
        <w:ind w:firstLine="482"/>
        <w:jc w:val="left"/>
        <w:spacing w:line="360" w:lineRule="auto"/>
        <w:rPr>
          <w:rFonts w:hint="eastAsia" w:ascii="宋体" w:hAnsi="宋体" w:eastAsia="宋体" w:cs="宋体"/>
          <w:b/>
          <w:bCs/>
          <w:color w:val="000000"/>
          <w:sz w:val="24"/>
          <w:szCs w:val="24"/>
          <w:highlight w:val="none"/>
        </w:rPr>
        <w:outlineLvl w:val="1"/>
      </w:pPr>
      <w:r/>
      <w:bookmarkStart w:id="23" w:name="_Toc23145"/>
      <w:r/>
      <w:bookmarkStart w:id="24" w:name="_Hlk176188663"/>
      <w:r>
        <w:rPr>
          <w:rFonts w:hint="eastAsia" w:ascii="宋体" w:hAnsi="宋体" w:eastAsia="宋体" w:cs="宋体"/>
          <w:b/>
          <w:bCs/>
          <w:color w:val="000000"/>
          <w:sz w:val="24"/>
          <w:szCs w:val="24"/>
          <w:highlight w:val="none"/>
        </w:rPr>
        <w:t xml:space="preserve">五、签订合同</w:t>
      </w:r>
      <w:bookmarkEnd w:id="23"/>
      <w:r/>
      <w:bookmarkEnd w:id="24"/>
      <w:r>
        <w:rPr>
          <w:rFonts w:hint="eastAsia" w:ascii="宋体" w:hAnsi="宋体" w:eastAsia="宋体" w:cs="宋体"/>
          <w:b/>
          <w:bCs/>
          <w:color w:val="000000"/>
          <w:sz w:val="24"/>
          <w:szCs w:val="24"/>
          <w:highlight w:val="none"/>
        </w:rPr>
      </w:r>
      <w:r/>
    </w:p>
    <w:p>
      <w:pPr>
        <w:pStyle w:val="706"/>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b/>
          <w:bCs/>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bookmarkStart w:id="25" w:name="_Hlk128053131"/>
      <w:r>
        <w:rPr>
          <w:rFonts w:hint="eastAsia" w:ascii="宋体" w:hAnsi="宋体" w:eastAsia="宋体" w:cs="宋体"/>
          <w:color w:val="000000"/>
          <w:sz w:val="24"/>
          <w:szCs w:val="24"/>
          <w:highlight w:val="none"/>
        </w:rPr>
        <w:t xml:space="preserve">25.3</w:t>
      </w:r>
      <w:bookmarkStart w:id="26"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25"/>
      <w:r/>
      <w:bookmarkEnd w:id="26"/>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25.4政府采购合同履行中，采购人需追加与合同标的相同的</w:t>
      </w:r>
      <w:bookmarkStart w:id="27" w:name="_Hlk176352307"/>
      <w:r>
        <w:rPr>
          <w:rFonts w:hint="eastAsia" w:ascii="宋体" w:hAnsi="宋体" w:eastAsia="宋体" w:cs="宋体"/>
          <w:color w:val="000000"/>
          <w:sz w:val="24"/>
          <w:szCs w:val="24"/>
          <w:highlight w:val="none"/>
        </w:rPr>
        <w:t xml:space="preserve">服务（包含与服务相关的货物）</w:t>
      </w:r>
      <w:bookmarkEnd w:id="27"/>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706"/>
        <w:ind w:firstLine="482"/>
        <w:jc w:val="left"/>
        <w:spacing w:line="360" w:lineRule="auto"/>
        <w:rPr>
          <w:rFonts w:hint="eastAsia" w:ascii="宋体" w:hAnsi="宋体" w:eastAsia="宋体" w:cs="宋体"/>
          <w:b/>
          <w:bCs/>
          <w:color w:val="000000"/>
          <w:sz w:val="24"/>
          <w:szCs w:val="24"/>
          <w:highlight w:val="none"/>
        </w:rPr>
        <w:outlineLvl w:val="1"/>
      </w:pPr>
      <w:r/>
      <w:bookmarkStart w:id="28" w:name="_Toc380"/>
      <w:r>
        <w:rPr>
          <w:rFonts w:hint="eastAsia" w:ascii="宋体" w:hAnsi="宋体" w:eastAsia="宋体" w:cs="宋体"/>
          <w:b/>
          <w:bCs/>
          <w:color w:val="000000"/>
          <w:sz w:val="24"/>
          <w:szCs w:val="24"/>
          <w:highlight w:val="none"/>
        </w:rPr>
        <w:t xml:space="preserve">六、质疑和投诉</w:t>
      </w:r>
      <w:bookmarkEnd w:id="28"/>
      <w:r>
        <w:rPr>
          <w:rFonts w:hint="eastAsia" w:ascii="宋体" w:hAnsi="宋体" w:eastAsia="宋体" w:cs="宋体"/>
          <w:b/>
          <w:bCs/>
          <w:color w:val="000000"/>
          <w:sz w:val="24"/>
          <w:szCs w:val="24"/>
          <w:highlight w:val="none"/>
        </w:rPr>
      </w:r>
      <w:r/>
    </w:p>
    <w:p>
      <w:pPr>
        <w:pStyle w:val="706"/>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26.质疑</w:t>
      </w:r>
      <w:r>
        <w:rPr>
          <w:rFonts w:hint="eastAsia" w:ascii="宋体" w:hAnsi="宋体" w:eastAsia="宋体" w:cs="宋体"/>
          <w:b/>
          <w:bCs/>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bookmarkStart w:id="29"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7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26.7采购代理机构在收到投标人的书面质疑后将及时组织调查核实，在七个工作日内作出答复，并以书面或在网站公告形式通知质疑投标人和其他有关投标人，答复的内容不涉及商业秘密。</w:t>
      </w:r>
      <w:bookmarkEnd w:id="29"/>
      <w:r>
        <w:rPr>
          <w:rFonts w:hint="eastAsia" w:ascii="宋体" w:hAnsi="宋体" w:eastAsia="宋体" w:cs="宋体"/>
          <w:color w:val="000000"/>
          <w:sz w:val="24"/>
          <w:szCs w:val="24"/>
          <w:highlight w:val="none"/>
        </w:rPr>
      </w:r>
      <w:r/>
    </w:p>
    <w:p>
      <w:pPr>
        <w:pStyle w:val="706"/>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27.投诉</w:t>
      </w:r>
      <w:r>
        <w:rPr>
          <w:rFonts w:hint="eastAsia" w:ascii="宋体" w:hAnsi="宋体" w:eastAsia="宋体" w:cs="宋体"/>
          <w:b/>
          <w:bCs/>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27.1质疑投标人对采购代理机构的答复不满意或者采购代理机构</w:t>
      </w:r>
      <w:r>
        <w:rPr>
          <w:rFonts w:hint="eastAsia" w:ascii="宋体" w:hAnsi="宋体" w:cs="宋体"/>
          <w:color w:val="000000"/>
          <w:sz w:val="24"/>
          <w:szCs w:val="24"/>
          <w:highlight w:val="none"/>
        </w:rPr>
        <w:t xml:space="preserve">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27.4投诉人在全国范围12个月内3次以上投诉查无实据的，由财政部门列入不良行为记录名单。</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70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0"/>
      </w:pPr>
      <w:r/>
      <w:bookmarkStart w:id="30" w:name="_Toc9714"/>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30"/>
      <w:r>
        <w:rPr>
          <w:rFonts w:hint="eastAsia" w:ascii="宋体" w:hAnsi="宋体" w:cs="宋体"/>
          <w:b/>
          <w:bCs/>
          <w:color w:val="000000"/>
          <w:spacing w:val="-10"/>
          <w:sz w:val="36"/>
          <w:szCs w:val="36"/>
          <w:highlight w:val="none"/>
          <w:lang w:val="zh-CN"/>
        </w:rPr>
      </w:r>
      <w:r/>
    </w:p>
    <w:p>
      <w:pPr>
        <w:pStyle w:val="706"/>
        <w:jc w:val="left"/>
        <w:spacing w:line="360" w:lineRule="auto"/>
        <w:rPr>
          <w:rFonts w:hint="eastAsia" w:ascii="宋体" w:hAnsi="宋体" w:cs="宋体"/>
          <w:b/>
          <w:bCs/>
          <w:color w:val="000000"/>
          <w:sz w:val="24"/>
          <w:szCs w:val="24"/>
          <w:highlight w:val="none"/>
          <w:lang w:val="zh-CN"/>
        </w:rPr>
        <w:outlineLvl w:val="1"/>
      </w:pPr>
      <w:r/>
      <w:bookmarkStart w:id="31" w:name="_Toc24498"/>
      <w:r>
        <w:rPr>
          <w:rFonts w:hint="eastAsia" w:ascii="宋体" w:hAnsi="宋体" w:cs="宋体"/>
          <w:b/>
          <w:bCs/>
          <w:color w:val="000000"/>
          <w:sz w:val="24"/>
          <w:szCs w:val="24"/>
          <w:highlight w:val="none"/>
          <w:lang w:val="zh-CN"/>
        </w:rPr>
        <w:t xml:space="preserve">一、采用综合评分法</w:t>
      </w:r>
      <w:bookmarkEnd w:id="31"/>
      <w:r>
        <w:rPr>
          <w:rFonts w:hint="eastAsia" w:ascii="宋体" w:hAnsi="宋体" w:cs="宋体"/>
          <w:b/>
          <w:bCs/>
          <w:color w:val="000000"/>
          <w:sz w:val="24"/>
          <w:szCs w:val="24"/>
          <w:highlight w:val="none"/>
          <w:lang w:val="zh-CN"/>
        </w:rPr>
      </w:r>
      <w:r/>
    </w:p>
    <w:p>
      <w:pPr>
        <w:pStyle w:val="706"/>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highlight w:val="none"/>
          <w:lang w:val="zh-CN"/>
        </w:rPr>
      </w:r>
      <w:r/>
    </w:p>
    <w:p>
      <w:pPr>
        <w:pStyle w:val="706"/>
        <w:jc w:val="left"/>
        <w:spacing w:line="360" w:lineRule="auto"/>
        <w:rPr>
          <w:rFonts w:hint="eastAsia" w:ascii="宋体" w:hAnsi="宋体" w:cs="宋体"/>
          <w:b/>
          <w:bCs/>
          <w:color w:val="000000"/>
          <w:sz w:val="24"/>
          <w:szCs w:val="24"/>
          <w:highlight w:val="none"/>
          <w:lang w:val="zh-CN"/>
        </w:rPr>
        <w:outlineLvl w:val="1"/>
      </w:pPr>
      <w:r/>
      <w:bookmarkStart w:id="32" w:name="_Toc8314"/>
      <w:r>
        <w:rPr>
          <w:rFonts w:hint="eastAsia" w:ascii="宋体" w:hAnsi="宋体" w:cs="宋体"/>
          <w:b/>
          <w:bCs/>
          <w:color w:val="000000"/>
          <w:sz w:val="24"/>
          <w:szCs w:val="24"/>
          <w:highlight w:val="none"/>
          <w:lang w:val="zh-CN"/>
        </w:rPr>
        <w:t xml:space="preserve">二、综合评分法评审评分细则</w:t>
      </w:r>
      <w:bookmarkEnd w:id="32"/>
      <w:r>
        <w:rPr>
          <w:rFonts w:hint="eastAsia" w:ascii="宋体" w:hAnsi="宋体" w:cs="宋体"/>
          <w:b/>
          <w:bCs/>
          <w:color w:val="000000"/>
          <w:sz w:val="24"/>
          <w:szCs w:val="24"/>
          <w:highlight w:val="none"/>
          <w:lang w:val="zh-CN"/>
        </w:rPr>
      </w:r>
      <w:r/>
    </w:p>
    <w:tbl>
      <w:tblPr>
        <w:tblW w:w="5721" w:type="pct"/>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13" w:type="dxa"/>
          <w:top w:w="57" w:type="dxa"/>
          <w:right w:w="113" w:type="dxa"/>
          <w:bottom w:w="57" w:type="dxa"/>
        </w:tblCellMar>
        <w:tblLook w:val="04A0" w:firstRow="1" w:lastRow="0" w:firstColumn="1" w:lastColumn="0" w:noHBand="0" w:noVBand="1"/>
      </w:tblPr>
      <w:tblGrid>
        <w:gridCol w:w="601"/>
        <w:gridCol w:w="1314"/>
        <w:gridCol w:w="7116"/>
        <w:gridCol w:w="731"/>
      </w:tblGrid>
      <w:tr>
        <w:trPr>
          <w:trHeight w:val="200"/>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序号</w:t>
            </w:r>
            <w:r>
              <w:rPr>
                <w:rFonts w:ascii="宋体" w:hAnsi="宋体"/>
                <w:b/>
                <w:bCs/>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评审因素</w:t>
            </w:r>
            <w:r>
              <w:rPr>
                <w:rFonts w:ascii="宋体" w:hAnsi="宋体"/>
                <w:b/>
                <w:bCs/>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评审标准</w:t>
            </w:r>
            <w:r>
              <w:rPr>
                <w:rFonts w:ascii="宋体" w:hAnsi="宋体"/>
                <w:b/>
                <w:bCs/>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widowControl/>
              <w:rPr>
                <w:rFonts w:ascii="宋体" w:hAnsi="宋体"/>
                <w:b/>
                <w:bCs/>
                <w:color w:val="000000"/>
                <w:highlight w:val="none"/>
              </w:rPr>
            </w:pPr>
            <w:r>
              <w:rPr>
                <w:rFonts w:hint="eastAsia" w:ascii="宋体" w:hAnsi="宋体"/>
                <w:b/>
                <w:bCs/>
                <w:color w:val="000000"/>
                <w:highlight w:val="none"/>
              </w:rPr>
              <w:t xml:space="preserve">分值</w:t>
            </w:r>
            <w:r>
              <w:rPr>
                <w:rFonts w:ascii="宋体" w:hAnsi="宋体"/>
                <w:b/>
                <w:bCs/>
                <w:color w:val="000000"/>
                <w:highlight w:val="none"/>
              </w:rPr>
            </w:r>
            <w:r/>
          </w:p>
        </w:tc>
      </w:tr>
      <w:tr>
        <w:trPr>
          <w:trHeight w:val="90"/>
        </w:trPr>
        <w:tc>
          <w:tcPr>
            <w:gridSpan w:val="4"/>
            <w:tcMar>
              <w:left w:w="113" w:type="dxa"/>
              <w:top w:w="57" w:type="dxa"/>
              <w:right w:w="113" w:type="dxa"/>
              <w:bottom w:w="57" w:type="dxa"/>
            </w:tcMar>
            <w:tcW w:w="9762"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b/>
                <w:bCs/>
                <w:color w:val="000000"/>
                <w:highlight w:val="none"/>
              </w:rPr>
              <w:t xml:space="preserve">1.价格部分</w:t>
            </w:r>
            <w:r>
              <w:rPr>
                <w:rFonts w:ascii="宋体" w:hAnsi="宋体"/>
                <w:color w:val="000000"/>
                <w:highlight w:val="none"/>
              </w:rPr>
            </w:r>
            <w:r/>
          </w:p>
        </w:tc>
      </w:tr>
      <w:tr>
        <w:trPr>
          <w:trHeight w:val="1005"/>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价格</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color w:val="000000"/>
                <w:highlight w:val="none"/>
              </w:rPr>
              <w:t xml:space="preserve">满足招标文件要求且投标价格最低的投标报价为评标基准价，其价格分为满分，其他投标人的价格分按下列公式计算：投标报价得分＝（评标基准价/投标报价）×30</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30</w:t>
            </w:r>
            <w:r>
              <w:rPr>
                <w:rFonts w:ascii="宋体" w:hAnsi="宋体"/>
                <w:color w:val="000000"/>
                <w:highlight w:val="none"/>
              </w:rPr>
            </w:r>
            <w:r/>
          </w:p>
        </w:tc>
      </w:tr>
      <w:tr>
        <w:trPr>
          <w:trHeight w:val="399"/>
        </w:trPr>
        <w:tc>
          <w:tcPr>
            <w:gridSpan w:val="4"/>
            <w:tcMar>
              <w:left w:w="113" w:type="dxa"/>
              <w:top w:w="57" w:type="dxa"/>
              <w:right w:w="113" w:type="dxa"/>
              <w:bottom w:w="57" w:type="dxa"/>
            </w:tcMar>
            <w:tcW w:w="9762"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b/>
                <w:bCs/>
                <w:color w:val="000000"/>
                <w:highlight w:val="none"/>
              </w:rPr>
              <w:t xml:space="preserve">2.技术部分</w:t>
            </w:r>
            <w:r>
              <w:rPr>
                <w:rFonts w:ascii="宋体" w:hAnsi="宋体"/>
                <w:color w:val="000000"/>
                <w:highlight w:val="none"/>
              </w:rPr>
            </w:r>
            <w:r/>
          </w:p>
        </w:tc>
      </w:tr>
      <w:tr>
        <w:trPr>
          <w:trHeight w:val="1826"/>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2.1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技术响应</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ind w:left="-2"/>
              <w:jc w:val="left"/>
              <w:spacing w:line="320" w:lineRule="exact"/>
              <w:rPr>
                <w:rFonts w:ascii="宋体" w:hAnsi="宋体"/>
                <w:color w:val="000000"/>
                <w:highlight w:val="none"/>
              </w:rPr>
            </w:pPr>
            <w:r>
              <w:rPr>
                <w:rFonts w:hint="eastAsia" w:ascii="宋体" w:hAnsi="宋体" w:cs="仿宋"/>
                <w:color w:val="000000"/>
                <w:spacing w:val="-5"/>
                <w:highlight w:val="none"/>
              </w:rPr>
              <w:t xml:space="preserve">技术参数满足全部采购要求的得满分</w:t>
            </w:r>
            <w:r>
              <w:rPr>
                <w:rFonts w:hint="eastAsia" w:ascii="宋体" w:hAnsi="宋体"/>
                <w:color w:val="000000"/>
                <w:highlight w:val="none"/>
                <w:lang w:val="en-US" w:eastAsia="zh-CN"/>
              </w:rPr>
              <w:t xml:space="preserve">20</w:t>
            </w:r>
            <w:r>
              <w:rPr>
                <w:rFonts w:hint="eastAsia" w:ascii="宋体" w:hAnsi="宋体"/>
                <w:color w:val="000000"/>
                <w:highlight w:val="none"/>
              </w:rPr>
              <w:t xml:space="preserve">分；标注“▲”的为重要技术指标，每有一项负偏离扣2分；其他非重要参数负偏离的，每项扣1分，扣完为止。</w:t>
            </w:r>
            <w:r>
              <w:rPr>
                <w:rFonts w:ascii="宋体" w:hAnsi="宋体"/>
                <w:color w:val="000000"/>
                <w:highlight w:val="none"/>
              </w:rPr>
            </w:r>
            <w:r/>
          </w:p>
          <w:p>
            <w:pPr>
              <w:pStyle w:val="706"/>
              <w:ind w:left="-2"/>
              <w:jc w:val="left"/>
              <w:spacing w:line="320" w:lineRule="exact"/>
              <w:rPr>
                <w:rFonts w:ascii="宋体" w:hAnsi="宋体"/>
                <w:color w:val="000000"/>
                <w:highlight w:val="none"/>
              </w:rPr>
            </w:pPr>
            <w:r>
              <w:rPr>
                <w:rFonts w:hint="eastAsia" w:ascii="宋体" w:hAnsi="宋体"/>
                <w:color w:val="000000"/>
                <w:highlight w:val="none"/>
              </w:rPr>
              <w:t xml:space="preserve">标注“▲”的内容须提供技术支撑材料（如检测报告复印件或彩页、白皮书等并加盖公章，如文件有要求的按文件要求提供）未提供技术支持资料的，评审时不予认可。</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20</w:t>
            </w:r>
            <w:r>
              <w:rPr>
                <w:rFonts w:ascii="宋体" w:hAnsi="宋体" w:eastAsia="宋体"/>
                <w:color w:val="000000"/>
                <w:highlight w:val="none"/>
                <w:lang w:val="en-US" w:eastAsia="zh-CN"/>
              </w:rPr>
            </w:r>
            <w:r/>
          </w:p>
        </w:tc>
      </w:tr>
      <w:tr>
        <w:trPr>
          <w:trHeight w:val="2060"/>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.2</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spacing w:val="-2"/>
                <w:highlight w:val="none"/>
              </w:rPr>
              <w:t xml:space="preserve">检测报告</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widowControl/>
              <w:rPr>
                <w:rFonts w:ascii="宋体" w:hAnsi="宋体"/>
                <w:color w:val="000000"/>
                <w:highlight w:val="none"/>
              </w:rPr>
            </w:pPr>
            <w:r>
              <w:rPr>
                <w:rFonts w:hint="eastAsia" w:ascii="宋体" w:hAnsi="宋体"/>
                <w:color w:val="000000"/>
                <w:highlight w:val="none"/>
              </w:rPr>
              <w:t xml:space="preserve">投标人提供检验结果为合格或符合的以下产品检测报告：</w:t>
            </w:r>
            <w:r>
              <w:rPr>
                <w:rFonts w:ascii="宋体" w:hAnsi="宋体"/>
                <w:color w:val="000000"/>
                <w:highlight w:val="none"/>
              </w:rPr>
            </w:r>
            <w:r/>
          </w:p>
          <w:p>
            <w:pPr>
              <w:pStyle w:val="706"/>
              <w:ind w:left="-2"/>
              <w:jc w:val="left"/>
              <w:spacing w:line="320" w:lineRule="exact"/>
              <w:rPr>
                <w:rFonts w:ascii="宋体" w:hAnsi="宋体" w:cs="仿宋"/>
                <w:color w:val="000000"/>
                <w:spacing w:val="-5"/>
                <w:highlight w:val="none"/>
              </w:rPr>
            </w:pPr>
            <w:r>
              <w:rPr>
                <w:rFonts w:ascii="宋体" w:hAnsi="宋体" w:cs="仿宋"/>
                <w:color w:val="000000"/>
                <w:spacing w:val="-5"/>
                <w:highlight w:val="none"/>
              </w:rPr>
              <w:t xml:space="preserve">1</w:t>
            </w:r>
            <w:r>
              <w:rPr>
                <w:rFonts w:hint="eastAsia" w:ascii="宋体" w:hAnsi="宋体" w:cs="仿宋"/>
                <w:color w:val="000000"/>
                <w:spacing w:val="-5"/>
                <w:highlight w:val="none"/>
              </w:rPr>
              <w:t xml:space="preserve">、移动盘点车：具有“CMA”标识的软件测试报告（提供加盖厂家公章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），依据 GB/T25000.51-2016《系统与软件工程系统与软件质量要求和评价(SQuaRE)第51部分：就绪可用软件产品(RUSP)的质量要求和测试细则》，测试报告中需包含以下功能检测：上架、盘点、顺架、检索、注销、注销、剔旧、层架标、图书归还等功能。</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ascii="宋体" w:hAnsi="宋体" w:cs="仿宋"/>
                <w:color w:val="000000"/>
                <w:spacing w:val="-5"/>
                <w:highlight w:val="none"/>
              </w:rPr>
              <w:t xml:space="preserve">2</w:t>
            </w:r>
            <w:r>
              <w:rPr>
                <w:rFonts w:hint="eastAsia" w:ascii="宋体" w:hAnsi="宋体" w:cs="仿宋"/>
                <w:color w:val="000000"/>
                <w:spacing w:val="-5"/>
                <w:highlight w:val="none"/>
              </w:rPr>
              <w:t xml:space="preserve">、RFID图书标签：具有“CMA”或“CNAS”标识的检验报告（</w:t>
            </w:r>
            <w:r>
              <w:rPr>
                <w:rFonts w:hint="eastAsia" w:ascii="宋体" w:hAnsi="宋体" w:cs="仿宋"/>
                <w:color w:val="000000"/>
                <w:spacing w:val="-5"/>
                <w:highlight w:val="none"/>
              </w:rPr>
              <w:t xml:space="preserve">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），依据</w:t>
            </w:r>
            <w:bookmarkStart w:id="33" w:name="OLE_LINK1"/>
            <w:r>
              <w:rPr>
                <w:rFonts w:hint="eastAsia" w:ascii="宋体" w:hAnsi="宋体" w:cs="仿宋"/>
                <w:color w:val="000000"/>
                <w:spacing w:val="-5"/>
                <w:highlight w:val="none"/>
              </w:rPr>
              <w:t xml:space="preserve">GB/T2423.1-2008</w:t>
            </w:r>
            <w:bookmarkEnd w:id="33"/>
            <w:r>
              <w:rPr>
                <w:rFonts w:hint="eastAsia" w:ascii="宋体" w:hAnsi="宋体" w:cs="仿宋"/>
                <w:color w:val="000000"/>
                <w:spacing w:val="-5"/>
                <w:highlight w:val="none"/>
              </w:rPr>
              <w:t xml:space="preserve">《电工电子产品环境试验 第2部分：试验方法 实验A：低温》和GB/T2423.2-2008《电工电子产品环境试验 第2部分：试验方法 实验B：高温》，检测报告中需包含以下项目检测：</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（1）贮存温度下限，样品在温度为（-30±2）℃的情况下达到稳定后保持2h，试验结束后外观完好，读取数据正常；</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（2）贮存温度上限，样品在温度为（75±2）℃的情况下达到稳定后保持2h，试验结束后外观完好，读取数据正常。</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3、馆员工作站：具有“CMA”或“CNAS”标识的检测报告（</w:t>
            </w:r>
            <w:r>
              <w:rPr>
                <w:rFonts w:hint="eastAsia" w:ascii="宋体" w:hAnsi="宋体" w:cs="仿宋"/>
                <w:color w:val="000000"/>
                <w:spacing w:val="-5"/>
                <w:highlight w:val="none"/>
              </w:rPr>
              <w:t xml:space="preserve">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），依据GB4943.1-2022《音视频、信息技术和通信技术设备第1部分：安全要求》，检测报告中需包含以下项目检测：</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（1）接触电流和保护导体电流，金属外壳（接地）≤0.053mA；显示屏（接地）≤0.003mA；网口焊针（非接地）≤0.005mA；</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（2）抗电强度，L-N（保险丝接地）以及L-N-金属外壳（接地）的耐压≥2500V；</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4、学生凳：具有“CMA”或“CNAS”标识的检测报告（</w:t>
            </w:r>
            <w:r>
              <w:rPr>
                <w:rFonts w:hint="eastAsia" w:ascii="宋体" w:hAnsi="宋体" w:cs="仿宋"/>
                <w:color w:val="000000"/>
                <w:spacing w:val="-5"/>
                <w:highlight w:val="none"/>
              </w:rPr>
              <w:t xml:space="preserve">提供加盖厂家公章</w:t>
            </w:r>
            <w:r>
              <w:rPr>
                <w:rFonts w:hint="eastAsia" w:ascii="宋体" w:hAnsi="宋体" w:cs="仿宋"/>
                <w:color w:val="000000"/>
                <w:spacing w:val="-5"/>
                <w:highlight w:val="none"/>
                <w:lang w:val="en-US" w:eastAsia="zh-CN"/>
              </w:rPr>
              <w:t xml:space="preserve">的检测报告，以扫描件形式编入至投标文件中</w:t>
            </w:r>
            <w:r>
              <w:rPr>
                <w:rFonts w:hint="eastAsia" w:ascii="宋体" w:hAnsi="宋体" w:cs="仿宋"/>
                <w:color w:val="000000"/>
                <w:spacing w:val="-5"/>
                <w:highlight w:val="none"/>
              </w:rPr>
              <w:t xml:space="preserve">）且符合以下要求，依据GB/T 3325-2024、GB/T 10125-2021</w:t>
            </w:r>
            <w:r>
              <w:rPr>
                <w:rFonts w:hint="eastAsia" w:ascii="宋体" w:hAnsi="宋体" w:cs="仿宋"/>
                <w:color w:val="000000"/>
                <w:spacing w:val="-5"/>
                <w:highlight w:val="none"/>
              </w:rPr>
              <w:t xml:space="preserve">、GB/T 40908-2021检测标准，检测报告中需包含以下项目检测：形状和位置公差、外观性能-金属件、塑料件、可触及区域、安全性能-结构安全-基本结构安全、产品表面理化性能-金属喷漆（塑）涂层、力学性能检测合格；500h中性盐雾耐腐蚀等级10级；三-(1-氮杂环丙基)氧化膦（TEPA）、三-(2-氯乙基)磷酸酯（TCEP）、二-(2，3-二溴丙基）磷酸酯（DDBPP）、三-(1，3-二氯丙基)磷酸酯（TDCPP）、三-(邻甲苯基)磷酸酯（TOCP）、三-(2，3-二溴丙基)磷酸酯（TDBPP）均未检出。</w:t>
            </w:r>
            <w:r>
              <w:rPr>
                <w:rFonts w:ascii="宋体" w:hAnsi="宋体" w:cs="仿宋"/>
                <w:color w:val="000000"/>
                <w:spacing w:val="-5"/>
                <w:highlight w:val="none"/>
              </w:rPr>
            </w:r>
            <w:r/>
          </w:p>
          <w:p>
            <w:pPr>
              <w:pStyle w:val="706"/>
              <w:jc w:val="left"/>
              <w:spacing w:line="320" w:lineRule="exact"/>
              <w:widowControl/>
              <w:rPr>
                <w:rFonts w:ascii="宋体" w:hAnsi="宋体"/>
                <w:color w:val="000000"/>
                <w:highlight w:val="none"/>
              </w:rPr>
            </w:pPr>
            <w:r>
              <w:rPr>
                <w:rFonts w:hint="eastAsia" w:ascii="宋体" w:hAnsi="宋体"/>
                <w:color w:val="000000"/>
                <w:highlight w:val="none"/>
              </w:rPr>
              <w:t xml:space="preserve">以上每提供一个得1分，最多得4分，不满足不得分。</w:t>
            </w:r>
            <w:r>
              <w:rPr>
                <w:rFonts w:ascii="宋体" w:hAnsi="宋体"/>
                <w:color w:val="000000"/>
                <w:highlight w:val="none"/>
              </w:rPr>
            </w:r>
            <w:r/>
          </w:p>
          <w:p>
            <w:pPr>
              <w:pStyle w:val="706"/>
              <w:jc w:val="left"/>
              <w:spacing w:line="320" w:lineRule="exact"/>
              <w:widowControl/>
              <w:rPr>
                <w:rFonts w:ascii="宋体" w:hAnsi="宋体"/>
                <w:color w:val="000000"/>
                <w:highlight w:val="none"/>
              </w:rPr>
            </w:pPr>
            <w:r>
              <w:rPr>
                <w:rFonts w:hint="eastAsia" w:ascii="宋体" w:hAnsi="宋体"/>
                <w:color w:val="000000"/>
                <w:highlight w:val="none"/>
              </w:rPr>
              <w:t xml:space="preserve">注：所提供检测报告中“产品名称和检测内容”与评分细则规定不同时，应提供符合上述要求内容(功能)的说明及关键信息，否则不予认可。以上检测报告功能参数可以进行明显标注，采用如箭头、标红或下划线等标注方式，方便评委查看。</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r>
      <w:tr>
        <w:trPr>
          <w:trHeight w:val="1811"/>
        </w:trPr>
        <w:tc>
          <w:tcPr>
            <w:tcMar>
              <w:left w:w="113" w:type="dxa"/>
              <w:top w:w="57" w:type="dxa"/>
              <w:right w:w="113" w:type="dxa"/>
              <w:bottom w:w="57" w:type="dxa"/>
            </w:tcMar>
            <w:tcW w:w="308" w:type="dxa"/>
            <w:vAlign w:val="center"/>
            <w:textDirection w:val="lrTb"/>
            <w:noWrap w:val="false"/>
          </w:tcPr>
          <w:p>
            <w:pPr>
              <w:pStyle w:val="706"/>
              <w:jc w:val="center"/>
              <w:spacing w:line="320" w:lineRule="exact"/>
              <w:rPr>
                <w:rFonts w:ascii="宋体" w:hAnsi="宋体"/>
                <w:color w:val="000000"/>
                <w:spacing w:val="-2"/>
                <w:highlight w:val="none"/>
              </w:rPr>
            </w:pPr>
            <w:r>
              <w:rPr>
                <w:rFonts w:hint="eastAsia" w:ascii="宋体" w:hAnsi="宋体"/>
                <w:color w:val="000000"/>
                <w:spacing w:val="-2"/>
                <w:highlight w:val="none"/>
              </w:rPr>
              <w:t xml:space="preserve">2.</w:t>
            </w:r>
            <w:r>
              <w:rPr>
                <w:rFonts w:ascii="宋体" w:hAnsi="宋体"/>
                <w:color w:val="000000"/>
                <w:spacing w:val="-2"/>
                <w:highlight w:val="none"/>
              </w:rPr>
              <w:t xml:space="preserve">3</w:t>
            </w:r>
            <w:r>
              <w:rPr>
                <w:rFonts w:ascii="宋体" w:hAnsi="宋体"/>
                <w:color w:val="000000"/>
                <w:spacing w:val="-2"/>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spacing w:val="-2"/>
                <w:highlight w:val="none"/>
              </w:rPr>
              <w:t xml:space="preserve">视频演示</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1227"/>
              <w:jc w:val="both"/>
              <w:spacing w:line="320" w:lineRule="exact"/>
              <w:widowControl w:val="off"/>
              <w:rPr>
                <w:rFonts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投标时提供</w:t>
            </w:r>
            <w:r>
              <w:rPr>
                <w:rFonts w:hint="eastAsia" w:ascii="宋体" w:hAnsi="宋体" w:eastAsia="宋体"/>
                <w:b/>
                <w:bCs/>
                <w:color w:val="000000"/>
                <w:sz w:val="21"/>
                <w:szCs w:val="21"/>
                <w:highlight w:val="none"/>
              </w:rPr>
              <w:t xml:space="preserve">图书馆管理平台软件</w:t>
            </w:r>
            <w:r>
              <w:rPr>
                <w:rFonts w:hint="eastAsia" w:ascii="宋体" w:hAnsi="宋体" w:eastAsia="宋体"/>
                <w:bCs/>
                <w:color w:val="000000"/>
                <w:sz w:val="21"/>
                <w:szCs w:val="21"/>
                <w:highlight w:val="none"/>
              </w:rPr>
              <w:t xml:space="preserve">功能演示视频，演示所需设备需响应供应商自备，演示所产生的费用由响应供应商自理，演示时间不超过15分钟。逐条演示，部分满足或不满足的不得分，本项最高</w:t>
            </w:r>
            <w:r>
              <w:rPr>
                <w:rFonts w:hint="eastAsia" w:ascii="宋体" w:hAnsi="宋体" w:eastAsia="宋体"/>
                <w:bCs/>
                <w:color w:val="000000"/>
                <w:sz w:val="21"/>
                <w:szCs w:val="21"/>
                <w:highlight w:val="none"/>
                <w:lang w:val="en-US" w:eastAsia="zh-CN"/>
              </w:rPr>
              <w:t xml:space="preserve">8</w:t>
            </w:r>
            <w:r>
              <w:rPr>
                <w:rFonts w:hint="eastAsia" w:ascii="宋体" w:hAnsi="宋体" w:eastAsia="宋体"/>
                <w:bCs/>
                <w:color w:val="000000"/>
                <w:sz w:val="21"/>
                <w:szCs w:val="21"/>
                <w:highlight w:val="none"/>
              </w:rPr>
              <w:t xml:space="preserve">分。</w:t>
            </w:r>
            <w:r>
              <w:rPr>
                <w:rFonts w:ascii="宋体" w:hAnsi="宋体" w:eastAsia="宋体"/>
                <w:bCs/>
                <w:color w:val="000000"/>
                <w:sz w:val="21"/>
                <w:szCs w:val="21"/>
                <w:highlight w:val="none"/>
              </w:rPr>
            </w:r>
            <w:r/>
          </w:p>
          <w:p>
            <w:pPr>
              <w:pStyle w:val="706"/>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1、学年管理，演示学年管理功能模块，通过新建学年，系统自动将学生所在年级进行升级，如一（1）班的学生自动升级到二（1）班，毕业班自动毕业；再将学年退回至上一学年，同时二（1）班的学生又退回到一（1）班。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2、图书清查，演示图书清查功能模块，先检索图书信息，设置图书清查分类（非法、不适宜、外观差）、填写清查后调整馆藏地，选择清查处理方式（剔旧或注销），完成清查流程。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3、清查明细，演示清查明细功能模块，选择指定时间段、馆藏地点等查询条件，查询该范围内图书的清查明细信息，操作导出图书清查明细表，确保导出文件可正常打开且信息无误。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4、清查明细汇总，演示清查明细汇总功能模块，分别按二十二大类、五大部类、馆藏地点三种方式，选取指定时间段，生成图书清查汇总统计信息，确保统计数据准确对应查询条件。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5、图书馆基本情况，演示图书馆基本情况统计功能模块，检索后可查看本单位已填写的基本情况、所有馆员信息、所有馆舍信息，确保各类信息完整显示、可正常查阅。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6、图书馆藏书情况，演示图书馆藏书情况统计功能模块，选择指定年份，分别查看并展示该年份图书的增减情况、藏书结构、生均藏书、年生均购书、工具书信息，确保统计数据准确、展示清晰。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7、图书馆使用情况，演示图书馆使用情况统计功能模块，选择指定学年，分别查看并展示该学年图书的借阅率、流通率、阅览情况、各大类图书利用率等信息，确保各类统计数据完整、准确。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8、检查标准参照，演示检查标准参照功能模块，选择指定检查标准进行参照比对，查看比对结果，包括生均藏书情况、报刊征订种数、工具书、年生均购书、馆藏图书结构比例、借阅情况等内容，确认系统自动计算的达标缺口数值准确无误。演示成功得1分，无演示或演示不成功不得分。</w:t>
            </w:r>
            <w:r>
              <w:rPr>
                <w:rFonts w:ascii="宋体" w:hAnsi="宋体" w:cs="仿宋"/>
                <w:color w:val="000000"/>
                <w:spacing w:val="-5"/>
                <w:highlight w:val="none"/>
              </w:rPr>
            </w:r>
            <w:r/>
          </w:p>
          <w:p>
            <w:pPr>
              <w:pStyle w:val="706"/>
              <w:ind w:left="-2"/>
              <w:jc w:val="left"/>
              <w:spacing w:line="320" w:lineRule="exact"/>
              <w:rPr>
                <w:rFonts w:ascii="宋体" w:hAnsi="宋体" w:cs="仿宋"/>
                <w:color w:val="000000"/>
                <w:spacing w:val="-5"/>
                <w:highlight w:val="none"/>
              </w:rPr>
            </w:pPr>
            <w:r>
              <w:rPr>
                <w:rFonts w:hint="eastAsia" w:ascii="宋体" w:hAnsi="宋体" w:cs="仿宋"/>
                <w:color w:val="000000"/>
                <w:spacing w:val="-5"/>
                <w:highlight w:val="none"/>
              </w:rPr>
              <w:t xml:space="preserve">9、教育部推荐书目，演示教育部推荐书目功能模块，根据学校类型选择目录名称进行检索，展示推荐目录图书明细，确保能清晰显示书名、作者、出版社、ISBN、中图分类号、读者对象等完整信息。演示成功得</w:t>
            </w:r>
            <w:r>
              <w:rPr>
                <w:rFonts w:hint="eastAsia" w:ascii="宋体" w:hAnsi="宋体" w:cs="仿宋"/>
                <w:color w:val="000000"/>
                <w:spacing w:val="-5"/>
                <w:highlight w:val="none"/>
                <w:lang w:val="en-US" w:eastAsia="zh-CN"/>
              </w:rPr>
              <w:t xml:space="preserve">0.5</w:t>
            </w:r>
            <w:r>
              <w:rPr>
                <w:rFonts w:hint="eastAsia" w:ascii="宋体" w:hAnsi="宋体" w:cs="仿宋"/>
                <w:color w:val="000000"/>
                <w:spacing w:val="-5"/>
                <w:highlight w:val="none"/>
              </w:rPr>
              <w:t xml:space="preserve">分，无演示或演示不成功不得分。</w:t>
            </w:r>
            <w:r>
              <w:rPr>
                <w:rFonts w:ascii="宋体" w:hAnsi="宋体" w:cs="仿宋"/>
                <w:color w:val="000000"/>
                <w:spacing w:val="-5"/>
                <w:highlight w:val="none"/>
              </w:rPr>
            </w:r>
            <w:r/>
          </w:p>
          <w:p>
            <w:pPr>
              <w:pStyle w:val="706"/>
              <w:ind w:left="-2"/>
              <w:jc w:val="left"/>
              <w:spacing w:line="320" w:lineRule="exact"/>
              <w:rPr>
                <w:rFonts w:hint="eastAsia" w:ascii="宋体" w:hAnsi="宋体" w:cs="仿宋"/>
                <w:color w:val="000000"/>
                <w:spacing w:val="-5"/>
                <w:highlight w:val="none"/>
              </w:rPr>
            </w:pPr>
            <w:r>
              <w:rPr>
                <w:rFonts w:hint="eastAsia" w:ascii="宋体" w:hAnsi="宋体" w:cs="仿宋"/>
                <w:color w:val="000000"/>
                <w:spacing w:val="-5"/>
                <w:highlight w:val="none"/>
              </w:rPr>
              <w:t xml:space="preserve">10、教育部推荐书目统计，演示教育部推荐书目统计功能模块，对教育部推荐书目开展现有馆藏统计比对分析，梳理统计对比结果，涵盖ISBN、书名、作者等基础信息，以及标准配备数量、现有馆藏数量、数量差值等比对数据，确保数据精准、展示清晰。演示成功得</w:t>
            </w:r>
            <w:r>
              <w:rPr>
                <w:rFonts w:hint="eastAsia" w:ascii="宋体" w:hAnsi="宋体" w:cs="仿宋"/>
                <w:color w:val="000000"/>
                <w:spacing w:val="-5"/>
                <w:highlight w:val="none"/>
                <w:lang w:val="en-US" w:eastAsia="zh-CN"/>
              </w:rPr>
              <w:t xml:space="preserve">0.5</w:t>
            </w:r>
            <w:r>
              <w:rPr>
                <w:rFonts w:hint="eastAsia" w:ascii="宋体" w:hAnsi="宋体" w:cs="仿宋"/>
                <w:color w:val="000000"/>
                <w:spacing w:val="-5"/>
                <w:highlight w:val="none"/>
              </w:rPr>
              <w:t xml:space="preserve">分，未进行演示或演示未成功不得分。</w:t>
            </w:r>
            <w:r>
              <w:rPr>
                <w:rFonts w:hint="eastAsia" w:ascii="宋体" w:hAnsi="宋体" w:cs="仿宋"/>
                <w:color w:val="000000"/>
                <w:spacing w:val="-5"/>
                <w:highlight w:val="none"/>
              </w:rPr>
            </w:r>
            <w:r/>
          </w:p>
          <w:p>
            <w:pPr>
              <w:pStyle w:val="706"/>
              <w:ind w:left="-2"/>
              <w:jc w:val="left"/>
              <w:spacing w:line="320" w:lineRule="exact"/>
              <w:rPr>
                <w:rFonts w:hint="eastAsia" w:ascii="宋体" w:hAnsi="宋体" w:cs="仿宋"/>
                <w:color w:val="000000"/>
                <w:spacing w:val="-5"/>
                <w:highlight w:val="none"/>
              </w:rPr>
            </w:pPr>
            <w:r>
              <w:rPr>
                <w:rFonts w:hint="eastAsia" w:ascii="宋体" w:hAnsi="宋体" w:cs="仿宋"/>
                <w:color w:val="000000"/>
                <w:spacing w:val="-5"/>
                <w:highlight w:val="none"/>
                <w:lang w:val="en-US" w:eastAsia="zh-CN"/>
              </w:rPr>
              <w:t xml:space="preserve">注：未提供视频文件或因投标人自身原因视频文件无法打开或视频画面不清晰无法辨认的，本项不得分。</w:t>
            </w:r>
            <w:r>
              <w:rPr>
                <w:rFonts w:hint="eastAsia" w:ascii="宋体" w:hAnsi="宋体" w:cs="仿宋"/>
                <w:color w:val="000000"/>
                <w:spacing w:val="-5"/>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8</w:t>
            </w:r>
            <w:r>
              <w:rPr>
                <w:rFonts w:ascii="宋体" w:hAnsi="宋体" w:eastAsia="宋体"/>
                <w:color w:val="000000"/>
                <w:highlight w:val="none"/>
                <w:lang w:val="en-US" w:eastAsia="zh-CN"/>
              </w:rPr>
            </w:r>
            <w:r/>
          </w:p>
        </w:tc>
      </w:tr>
      <w:tr>
        <w:trPr>
          <w:trHeight w:val="359"/>
        </w:trPr>
        <w:tc>
          <w:tcPr>
            <w:tcMar>
              <w:left w:w="113" w:type="dxa"/>
              <w:top w:w="57" w:type="dxa"/>
              <w:right w:w="113" w:type="dxa"/>
              <w:bottom w:w="57" w:type="dxa"/>
            </w:tcMar>
            <w:tcW w:w="308" w:type="dxa"/>
            <w:vAlign w:val="center"/>
            <w:textDirection w:val="lrTb"/>
            <w:noWrap w:val="false"/>
          </w:tcPr>
          <w:p>
            <w:pPr>
              <w:pStyle w:val="706"/>
              <w:jc w:val="center"/>
              <w:spacing w:line="320" w:lineRule="exact"/>
              <w:rPr>
                <w:rFonts w:ascii="宋体" w:hAnsi="宋体"/>
                <w:color w:val="000000"/>
                <w:spacing w:val="-2"/>
                <w:highlight w:val="none"/>
              </w:rPr>
            </w:pPr>
            <w:r>
              <w:rPr>
                <w:rFonts w:hint="eastAsia" w:ascii="宋体" w:hAnsi="宋体"/>
                <w:color w:val="000000"/>
                <w:spacing w:val="-2"/>
                <w:highlight w:val="none"/>
              </w:rPr>
              <w:t xml:space="preserve">2</w:t>
            </w:r>
            <w:r>
              <w:rPr>
                <w:rFonts w:ascii="宋体" w:hAnsi="宋体"/>
                <w:color w:val="000000"/>
                <w:spacing w:val="-2"/>
                <w:highlight w:val="none"/>
              </w:rPr>
              <w:t xml:space="preserve">.4</w:t>
            </w:r>
            <w:r>
              <w:rPr>
                <w:rFonts w:ascii="宋体" w:hAnsi="宋体"/>
                <w:color w:val="000000"/>
                <w:spacing w:val="-2"/>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rPr>
                <w:rFonts w:ascii="宋体" w:hAnsi="宋体"/>
                <w:color w:val="000000"/>
                <w:spacing w:val="-2"/>
                <w:highlight w:val="none"/>
              </w:rPr>
            </w:pPr>
            <w:r>
              <w:rPr>
                <w:rFonts w:hint="eastAsia" w:ascii="宋体" w:hAnsi="宋体"/>
                <w:color w:val="000000"/>
                <w:spacing w:val="-2"/>
                <w:highlight w:val="none"/>
              </w:rPr>
              <w:t xml:space="preserve">样品</w:t>
            </w:r>
            <w:r>
              <w:rPr>
                <w:rFonts w:ascii="宋体" w:hAnsi="宋体"/>
                <w:color w:val="000000"/>
                <w:spacing w:val="-2"/>
                <w:highlight w:val="none"/>
              </w:rPr>
            </w:r>
            <w:r/>
          </w:p>
        </w:tc>
        <w:tc>
          <w:tcPr>
            <w:tcMar>
              <w:left w:w="113" w:type="dxa"/>
              <w:top w:w="57" w:type="dxa"/>
              <w:right w:w="113" w:type="dxa"/>
              <w:bottom w:w="57" w:type="dxa"/>
            </w:tcMar>
            <w:tcW w:w="3645" w:type="dxa"/>
            <w:vAlign w:val="center"/>
            <w:textDirection w:val="lrTb"/>
            <w:noWrap w:val="false"/>
          </w:tcPr>
          <w:p>
            <w:pPr>
              <w:pStyle w:val="706"/>
              <w:spacing w:line="280" w:lineRule="exact"/>
              <w:rPr>
                <w:rFonts w:ascii="宋体" w:hAnsi="宋体"/>
                <w:color w:val="000000"/>
                <w:highlight w:val="none"/>
              </w:rPr>
            </w:pPr>
            <w:r>
              <w:rPr>
                <w:rFonts w:hint="eastAsia" w:ascii="宋体" w:hAnsi="宋体"/>
                <w:color w:val="000000"/>
                <w:highlight w:val="none"/>
              </w:rPr>
              <w:t xml:space="preserve">评委根据投标人提供的成品样品（地理专用教室的</w:t>
            </w:r>
            <w:r>
              <w:rPr>
                <w:rFonts w:hint="eastAsia" w:ascii="宋体" w:hAnsi="宋体"/>
                <w:b/>
                <w:bCs/>
                <w:color w:val="000000"/>
                <w:highlight w:val="none"/>
              </w:rPr>
              <w:t xml:space="preserve">学生凳</w:t>
            </w:r>
            <w:r>
              <w:rPr>
                <w:rFonts w:hint="eastAsia" w:ascii="宋体" w:hAnsi="宋体"/>
                <w:bCs/>
                <w:color w:val="000000"/>
                <w:highlight w:val="none"/>
              </w:rPr>
              <w:t xml:space="preserve">、计算机教室1的</w:t>
            </w:r>
            <w:r>
              <w:rPr>
                <w:rFonts w:hint="eastAsia" w:ascii="宋体" w:hAnsi="宋体"/>
                <w:b/>
                <w:bCs/>
                <w:color w:val="000000"/>
                <w:highlight w:val="none"/>
              </w:rPr>
              <w:t xml:space="preserve">定制电脑桌</w:t>
            </w:r>
            <w:r>
              <w:rPr>
                <w:rFonts w:hint="eastAsia" w:ascii="宋体" w:hAnsi="宋体"/>
                <w:color w:val="000000"/>
                <w:highlight w:val="none"/>
              </w:rPr>
              <w:t xml:space="preserve">）综合评分：</w:t>
            </w:r>
            <w:r>
              <w:rPr>
                <w:rFonts w:ascii="宋体" w:hAnsi="宋体"/>
                <w:color w:val="000000"/>
                <w:highlight w:val="none"/>
              </w:rPr>
            </w:r>
            <w:r/>
          </w:p>
          <w:p>
            <w:pPr>
              <w:pStyle w:val="706"/>
              <w:jc w:val="left"/>
              <w:spacing w:line="280" w:lineRule="exact"/>
              <w:widowControl/>
              <w:rPr>
                <w:rFonts w:hint="eastAsia" w:ascii="宋体" w:hAnsi="宋体" w:cs="仿宋"/>
                <w:color w:val="000000"/>
                <w:spacing w:val="-5"/>
                <w:highlight w:val="none"/>
              </w:rPr>
            </w:pPr>
            <w:r>
              <w:rPr>
                <w:rFonts w:hint="eastAsia" w:ascii="宋体" w:hAnsi="宋体" w:cs="仿宋"/>
                <w:color w:val="000000"/>
                <w:spacing w:val="-5"/>
                <w:highlight w:val="none"/>
              </w:rPr>
              <w:t xml:space="preserve">1、成品样品无异味，耐磨性强，外观质感及边缘处理完善，表面平整度及光泽度高，结构稳定，强度高、承重性好的，得</w:t>
            </w:r>
            <w:r>
              <w:rPr>
                <w:rFonts w:hint="eastAsia" w:ascii="宋体" w:hAnsi="宋体" w:cs="仿宋"/>
                <w:color w:val="000000"/>
                <w:spacing w:val="-5"/>
                <w:highlight w:val="none"/>
                <w:lang w:val="en-US" w:eastAsia="zh-CN"/>
              </w:rPr>
              <w:t xml:space="preserve">4</w:t>
            </w:r>
            <w:r>
              <w:rPr>
                <w:rFonts w:hint="eastAsia" w:ascii="宋体" w:hAnsi="宋体" w:cs="仿宋"/>
                <w:color w:val="000000"/>
                <w:spacing w:val="-5"/>
                <w:highlight w:val="none"/>
              </w:rPr>
              <w:t xml:space="preserve">分；</w:t>
            </w:r>
            <w:r>
              <w:rPr>
                <w:rFonts w:hint="eastAsia" w:ascii="宋体" w:hAnsi="宋体" w:cs="仿宋"/>
                <w:color w:val="000000"/>
                <w:spacing w:val="-5"/>
                <w:highlight w:val="none"/>
              </w:rPr>
            </w:r>
            <w:r/>
          </w:p>
          <w:p>
            <w:pPr>
              <w:pStyle w:val="706"/>
              <w:jc w:val="left"/>
              <w:spacing w:line="280" w:lineRule="exact"/>
              <w:widowControl/>
              <w:rPr>
                <w:rFonts w:hint="eastAsia" w:ascii="宋体" w:hAnsi="宋体" w:cs="仿宋"/>
                <w:color w:val="000000"/>
                <w:spacing w:val="-5"/>
                <w:highlight w:val="none"/>
              </w:rPr>
            </w:pPr>
            <w:r>
              <w:rPr>
                <w:rFonts w:hint="eastAsia" w:ascii="宋体" w:hAnsi="宋体" w:cs="仿宋"/>
                <w:color w:val="000000"/>
                <w:spacing w:val="-5"/>
                <w:highlight w:val="none"/>
              </w:rPr>
              <w:t xml:space="preserve">2、成品样品基本无异味，耐磨性欠缺，外观质感及边缘处理基本完善，表面平整度及光泽度基本符合要求，结构基本稳定，强度及承重基本符合要求的，得</w:t>
            </w:r>
            <w:r>
              <w:rPr>
                <w:rFonts w:hint="eastAsia" w:ascii="宋体" w:hAnsi="宋体" w:cs="仿宋"/>
                <w:color w:val="000000"/>
                <w:spacing w:val="-5"/>
                <w:highlight w:val="none"/>
                <w:lang w:val="en-US" w:eastAsia="zh-CN"/>
              </w:rPr>
              <w:t xml:space="preserve">2</w:t>
            </w:r>
            <w:r>
              <w:rPr>
                <w:rFonts w:hint="eastAsia" w:ascii="宋体" w:hAnsi="宋体" w:cs="仿宋"/>
                <w:color w:val="000000"/>
                <w:spacing w:val="-5"/>
                <w:highlight w:val="none"/>
              </w:rPr>
              <w:t xml:space="preserve">分；</w:t>
            </w:r>
            <w:r>
              <w:rPr>
                <w:rFonts w:hint="eastAsia" w:ascii="宋体" w:hAnsi="宋体" w:cs="仿宋"/>
                <w:color w:val="000000"/>
                <w:spacing w:val="-5"/>
                <w:highlight w:val="none"/>
              </w:rPr>
            </w:r>
            <w:r/>
          </w:p>
          <w:p>
            <w:pPr>
              <w:pStyle w:val="706"/>
              <w:jc w:val="left"/>
              <w:spacing w:line="280" w:lineRule="exact"/>
              <w:widowControl/>
              <w:rPr>
                <w:rFonts w:hint="eastAsia" w:ascii="宋体" w:hAnsi="宋体" w:cs="仿宋"/>
                <w:color w:val="000000"/>
                <w:spacing w:val="-5"/>
                <w:highlight w:val="none"/>
              </w:rPr>
            </w:pPr>
            <w:r>
              <w:rPr>
                <w:rFonts w:ascii="宋体" w:hAnsi="宋体" w:cs="仿宋"/>
                <w:color w:val="000000"/>
                <w:spacing w:val="-5"/>
                <w:highlight w:val="none"/>
              </w:rPr>
              <w:t xml:space="preserve">3</w:t>
            </w:r>
            <w:r>
              <w:rPr>
                <w:rFonts w:hint="eastAsia" w:ascii="宋体" w:hAnsi="宋体" w:cs="仿宋"/>
                <w:color w:val="000000"/>
                <w:spacing w:val="-5"/>
                <w:highlight w:val="none"/>
              </w:rPr>
              <w:t xml:space="preserve">、成品样品有异味，不耐磨，外观质感及边缘处理不完善，表面不平整度，结构不稳定，强度及承重不符合要求的，得1分；</w:t>
            </w:r>
            <w:r>
              <w:rPr>
                <w:rFonts w:hint="eastAsia" w:ascii="宋体" w:hAnsi="宋体" w:cs="仿宋"/>
                <w:color w:val="000000"/>
                <w:spacing w:val="-5"/>
                <w:highlight w:val="none"/>
              </w:rPr>
            </w:r>
            <w:r/>
          </w:p>
          <w:p>
            <w:pPr>
              <w:pStyle w:val="706"/>
              <w:jc w:val="left"/>
              <w:spacing w:line="280" w:lineRule="exact"/>
              <w:widowControl/>
              <w:rPr>
                <w:rFonts w:hint="eastAsia" w:ascii="宋体" w:hAnsi="宋体" w:cs="仿宋"/>
                <w:color w:val="000000"/>
                <w:spacing w:val="-5"/>
                <w:highlight w:val="none"/>
              </w:rPr>
            </w:pPr>
            <w:r>
              <w:rPr>
                <w:rFonts w:hint="eastAsia" w:ascii="宋体" w:hAnsi="宋体" w:cs="仿宋"/>
                <w:color w:val="000000"/>
                <w:spacing w:val="-5"/>
                <w:highlight w:val="none"/>
              </w:rPr>
              <w:t xml:space="preserve">4、成品样品不全或不符合本项目评审要求的不得分。</w:t>
            </w:r>
            <w:r>
              <w:rPr>
                <w:rFonts w:hint="eastAsia" w:ascii="宋体" w:hAnsi="宋体" w:cs="仿宋"/>
                <w:color w:val="000000"/>
                <w:spacing w:val="-5"/>
                <w:highlight w:val="none"/>
              </w:rPr>
            </w:r>
            <w:r/>
          </w:p>
          <w:p>
            <w:pPr>
              <w:pStyle w:val="1227"/>
              <w:jc w:val="both"/>
              <w:spacing w:line="320" w:lineRule="exact"/>
              <w:widowControl w:val="off"/>
              <w:rPr>
                <w:rFonts w:ascii="宋体" w:hAnsi="宋体" w:eastAsia="宋体"/>
                <w:bCs/>
                <w:color w:val="000000"/>
                <w:sz w:val="21"/>
                <w:szCs w:val="21"/>
                <w:highlight w:val="none"/>
              </w:rPr>
            </w:pPr>
            <w:r>
              <w:rPr>
                <w:rFonts w:hint="eastAsia" w:ascii="宋体" w:hAnsi="宋体" w:eastAsia="宋体" w:cs="仿宋"/>
                <w:color w:val="000000"/>
                <w:spacing w:val="-5"/>
                <w:sz w:val="21"/>
                <w:szCs w:val="21"/>
                <w:highlight w:val="none"/>
              </w:rPr>
              <w:t xml:space="preserve">本项最多得</w:t>
            </w:r>
            <w:r>
              <w:rPr>
                <w:rFonts w:hint="eastAsia" w:ascii="宋体" w:hAnsi="宋体" w:eastAsia="宋体" w:cs="仿宋"/>
                <w:color w:val="000000"/>
                <w:spacing w:val="-5"/>
                <w:sz w:val="21"/>
                <w:szCs w:val="21"/>
                <w:highlight w:val="none"/>
                <w:lang w:val="en-US" w:eastAsia="zh-CN"/>
              </w:rPr>
              <w:t xml:space="preserve">4</w:t>
            </w:r>
            <w:r>
              <w:rPr>
                <w:rFonts w:hint="eastAsia" w:ascii="宋体" w:hAnsi="宋体" w:eastAsia="宋体" w:cs="仿宋"/>
                <w:color w:val="000000"/>
                <w:spacing w:val="-5"/>
                <w:sz w:val="21"/>
                <w:szCs w:val="21"/>
                <w:highlight w:val="none"/>
              </w:rPr>
              <w:t xml:space="preserve">分。未在截止时间前及规定地点提交样品的不得分。</w:t>
            </w:r>
            <w:r>
              <w:rPr>
                <w:rFonts w:ascii="宋体" w:hAnsi="宋体" w:eastAsia="宋体"/>
                <w:bCs/>
                <w:color w:val="000000"/>
                <w:sz w:val="21"/>
                <w:szCs w:val="21"/>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eastAsia="zh-CN"/>
              </w:rPr>
            </w:r>
            <w:r/>
          </w:p>
        </w:tc>
      </w:tr>
      <w:tr>
        <w:trPr>
          <w:trHeight w:val="194"/>
        </w:trPr>
        <w:tc>
          <w:tcPr>
            <w:gridSpan w:val="4"/>
            <w:tcMar>
              <w:left w:w="113" w:type="dxa"/>
              <w:top w:w="57" w:type="dxa"/>
              <w:right w:w="113" w:type="dxa"/>
              <w:bottom w:w="57" w:type="dxa"/>
            </w:tcMar>
            <w:tcW w:w="9762"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b/>
                <w:color w:val="000000"/>
                <w:highlight w:val="none"/>
              </w:rPr>
              <w:t xml:space="preserve">3.服务方案</w:t>
            </w:r>
            <w:r>
              <w:rPr>
                <w:rFonts w:hint="eastAsia" w:ascii="宋体" w:hAnsi="宋体"/>
                <w:b/>
                <w:color w:val="000000"/>
                <w:highlight w:val="none"/>
              </w:rPr>
              <w:tab/>
            </w:r>
            <w:r>
              <w:rPr>
                <w:rFonts w:ascii="宋体" w:hAnsi="宋体"/>
                <w:color w:val="000000"/>
                <w:highlight w:val="none"/>
              </w:rPr>
            </w:r>
            <w:r/>
          </w:p>
        </w:tc>
      </w:tr>
      <w:tr>
        <w:trPr>
          <w:trHeight w:val="926"/>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3.1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项目实施方案</w:t>
            </w:r>
            <w:r>
              <w:rPr>
                <w:rFonts w:ascii="宋体" w:hAnsi="宋体"/>
                <w:color w:val="000000"/>
                <w:highlight w:val="none"/>
              </w:rPr>
            </w:r>
            <w:r/>
          </w:p>
        </w:tc>
        <w:tc>
          <w:tcPr>
            <w:tcMar>
              <w:left w:w="113" w:type="dxa"/>
              <w:top w:w="57" w:type="dxa"/>
              <w:right w:w="113" w:type="dxa"/>
              <w:bottom w:w="57" w:type="dxa"/>
            </w:tcMar>
            <w:tcW w:w="3645" w:type="dxa"/>
            <w:vAlign w:val="top"/>
            <w:textDirection w:val="lrTb"/>
            <w:noWrap w:val="false"/>
          </w:tcPr>
          <w:p>
            <w:pPr>
              <w:pStyle w:val="706"/>
              <w:jc w:val="left"/>
              <w:spacing w:line="320" w:lineRule="exact"/>
              <w:rPr>
                <w:rFonts w:ascii="宋体" w:hAnsi="宋体"/>
                <w:color w:val="000000"/>
                <w:highlight w:val="none"/>
              </w:rPr>
            </w:pPr>
            <w:r>
              <w:rPr>
                <w:rFonts w:hint="eastAsia" w:ascii="宋体" w:hAnsi="宋体"/>
                <w:color w:val="000000"/>
                <w:highlight w:val="none"/>
              </w:rPr>
              <w:t xml:space="preserve">评委根据投标人提供的项目实施方案综合评分，包括：</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1.货物配送和安装实施计划</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包括：①货物配送和安装人员车辆配置、货物组织和运输计划表②场地差异响应预案</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（1）上述每项内容描述具体，针对性和可操作性强，充分贴合本项目实施要求的，得1.5分；</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（2）上述每项内容描述较具体，针对性和可操作性较强，基本符合本项目实施要求的，得1分；</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（3）上述每项内容描述单一，有一定针对性和可操作性的，得0.5分；</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（4）上述每项内容不可行或者未提供的，不得分。</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2.过程管理方案</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包括：①数字管理工具和施工影像记录②每日问题追踪</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（1）上述每项内容描述具体，针对性和可操作性强，充分贴合本项目实施要求的，得1.5分；</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（2）上述每项内容描述较具体，针对性和可操作性较强，基本符合本项目实施要求的，得1分；</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（3）上述每项内容描述单一，有一定针对性和可操作性的，得0.5分；</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（4）上述每项内容不可行或者未提供的，不得分。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1614"/>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hint="eastAsia" w:ascii="宋体" w:hAnsi="宋体" w:eastAsia="宋体"/>
                <w:color w:val="000000"/>
                <w:highlight w:val="none"/>
                <w:lang w:eastAsia="zh-CN"/>
              </w:rPr>
            </w:pPr>
            <w:r>
              <w:rPr>
                <w:rFonts w:hint="eastAsia" w:ascii="宋体" w:hAnsi="宋体"/>
                <w:color w:val="000000"/>
                <w:highlight w:val="none"/>
              </w:rPr>
              <w:t xml:space="preserve">3.</w:t>
            </w:r>
            <w:r>
              <w:rPr>
                <w:rFonts w:hint="eastAsia" w:ascii="宋体" w:hAnsi="宋体"/>
                <w:color w:val="000000"/>
                <w:highlight w:val="none"/>
                <w:lang w:val="en-US" w:eastAsia="zh-CN"/>
              </w:rPr>
              <w:t xml:space="preserve">2</w:t>
            </w:r>
            <w:r>
              <w:rPr>
                <w:rFonts w:hint="eastAsia" w:ascii="宋体" w:hAnsi="宋体" w:eastAsia="宋体"/>
                <w:color w:val="000000"/>
                <w:highlight w:val="none"/>
                <w:lang w:eastAsia="zh-CN"/>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质量保证措施</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rPr>
                <w:rFonts w:hint="eastAsia" w:ascii="宋体" w:hAnsi="宋体"/>
                <w:color w:val="000000"/>
                <w:highlight w:val="none"/>
              </w:rPr>
            </w:pPr>
            <w:r>
              <w:rPr>
                <w:rFonts w:hint="eastAsia" w:ascii="宋体" w:hAnsi="宋体"/>
                <w:color w:val="000000"/>
                <w:highlight w:val="none"/>
              </w:rPr>
              <w:t xml:space="preserve">根据投标人提供的质量保证方案 (至少包含生产工艺、质量施行规范、质量保障承诺等) 进行综合评分。</w:t>
            </w:r>
            <w:r>
              <w:rPr>
                <w:rFonts w:hint="eastAsia" w:ascii="宋体" w:hAnsi="宋体"/>
                <w:color w:val="000000"/>
                <w:highlight w:val="none"/>
              </w:rPr>
            </w:r>
            <w:r/>
          </w:p>
          <w:p>
            <w:pPr>
              <w:pStyle w:val="706"/>
              <w:jc w:val="left"/>
              <w:spacing w:line="320" w:lineRule="exact"/>
              <w:rPr>
                <w:rFonts w:hint="eastAsia" w:ascii="宋体" w:hAnsi="宋体"/>
                <w:color w:val="000000"/>
                <w:highlight w:val="none"/>
              </w:rPr>
            </w:pPr>
            <w:r>
              <w:rPr>
                <w:rFonts w:hint="eastAsia" w:ascii="宋体" w:hAnsi="宋体"/>
                <w:color w:val="000000"/>
                <w:highlight w:val="none"/>
              </w:rPr>
              <w:t xml:space="preserve">方案全面，科学、合理、可行，针对性强的，得 6 分；</w:t>
            </w:r>
            <w:r>
              <w:rPr>
                <w:rFonts w:hint="eastAsia" w:ascii="宋体" w:hAnsi="宋体"/>
                <w:color w:val="000000"/>
                <w:highlight w:val="none"/>
              </w:rPr>
            </w:r>
            <w:r/>
          </w:p>
          <w:p>
            <w:pPr>
              <w:pStyle w:val="706"/>
              <w:jc w:val="left"/>
              <w:spacing w:line="320" w:lineRule="exact"/>
              <w:rPr>
                <w:rFonts w:hint="eastAsia" w:ascii="宋体" w:hAnsi="宋体"/>
                <w:color w:val="000000"/>
                <w:highlight w:val="none"/>
              </w:rPr>
            </w:pPr>
            <w:r>
              <w:rPr>
                <w:rFonts w:hint="eastAsia" w:ascii="宋体" w:hAnsi="宋体"/>
                <w:color w:val="000000"/>
                <w:highlight w:val="none"/>
              </w:rPr>
              <w:t xml:space="preserve">（1）方案</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全面，</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科学、合理、可行，有一定针对性的,得</w:t>
            </w:r>
            <w:r>
              <w:rPr>
                <w:rFonts w:hint="eastAsia" w:ascii="宋体" w:hAnsi="宋体"/>
                <w:color w:val="000000"/>
                <w:highlight w:val="none"/>
                <w:lang w:val="en-US" w:eastAsia="zh-CN"/>
              </w:rPr>
              <w:t xml:space="preserve">4</w:t>
            </w:r>
            <w:r>
              <w:rPr>
                <w:rFonts w:hint="eastAsia" w:ascii="宋体" w:hAnsi="宋体"/>
                <w:color w:val="000000"/>
                <w:highlight w:val="none"/>
              </w:rPr>
              <w:t xml:space="preserve">分；</w:t>
            </w:r>
            <w:r>
              <w:rPr>
                <w:rFonts w:hint="eastAsia"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2</w:t>
            </w:r>
            <w:r>
              <w:rPr>
                <w:rFonts w:hint="eastAsia" w:ascii="宋体" w:hAnsi="宋体"/>
                <w:color w:val="000000"/>
                <w:highlight w:val="none"/>
              </w:rPr>
              <w:t xml:space="preserve">）</w:t>
            </w:r>
            <w:r>
              <w:rPr>
                <w:rFonts w:hint="eastAsia" w:ascii="宋体" w:hAnsi="宋体"/>
                <w:color w:val="000000"/>
                <w:highlight w:val="none"/>
              </w:rPr>
              <w:t xml:space="preserve">方案基本全面，基本科学、合理、可行，得</w:t>
            </w:r>
            <w:r>
              <w:rPr>
                <w:rFonts w:hint="eastAsia" w:ascii="宋体" w:hAnsi="宋体"/>
                <w:color w:val="000000"/>
                <w:highlight w:val="none"/>
                <w:lang w:val="en-US" w:eastAsia="zh-CN"/>
              </w:rPr>
              <w:t xml:space="preserve">2</w:t>
            </w:r>
            <w:r>
              <w:rPr>
                <w:rFonts w:hint="eastAsia" w:ascii="宋体" w:hAnsi="宋体"/>
                <w:color w:val="000000"/>
                <w:highlight w:val="none"/>
              </w:rPr>
              <w:t xml:space="preserve">分；</w:t>
            </w:r>
            <w:r>
              <w:rPr>
                <w:rFonts w:ascii="宋体" w:hAnsi="宋体"/>
                <w:color w:val="000000"/>
                <w:highlight w:val="none"/>
              </w:rPr>
            </w:r>
            <w:r/>
          </w:p>
          <w:p>
            <w:pPr>
              <w:pStyle w:val="706"/>
              <w:jc w:val="left"/>
              <w:spacing w:line="320" w:lineRule="exact"/>
              <w:rPr>
                <w:rFonts w:ascii="宋体" w:hAnsi="宋体"/>
                <w:color w:val="000000"/>
                <w:spacing w:val="-6"/>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w:t>
            </w:r>
            <w:r>
              <w:rPr>
                <w:rFonts w:hint="eastAsia" w:ascii="宋体" w:hAnsi="宋体"/>
                <w:color w:val="000000"/>
                <w:highlight w:val="none"/>
              </w:rPr>
              <w:t xml:space="preserve">方案不全面、不科学、不合理、不可行、缺乏针对性或未提供的不得分。</w:t>
            </w:r>
            <w:r>
              <w:rPr>
                <w:rFonts w:ascii="宋体" w:hAnsi="宋体"/>
                <w:color w:val="000000"/>
                <w:spacing w:val="-6"/>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2290"/>
        </w:trPr>
        <w:tc>
          <w:tcPr>
            <w:tcMar>
              <w:left w:w="113" w:type="dxa"/>
              <w:top w:w="57" w:type="dxa"/>
              <w:right w:w="113" w:type="dxa"/>
              <w:bottom w:w="57" w:type="dxa"/>
            </w:tcMar>
            <w:tcW w:w="308" w:type="dxa"/>
            <w:vAlign w:val="center"/>
            <w:vMerge w:val="restart"/>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3.3</w:t>
            </w:r>
            <w:r>
              <w:rPr>
                <w:rFonts w:ascii="宋体" w:hAnsi="宋体"/>
                <w:color w:val="000000"/>
                <w:highlight w:val="none"/>
              </w:rPr>
            </w:r>
            <w:r/>
          </w:p>
        </w:tc>
        <w:tc>
          <w:tcPr>
            <w:tcMar>
              <w:left w:w="113" w:type="dxa"/>
              <w:top w:w="57" w:type="dxa"/>
              <w:right w:w="113" w:type="dxa"/>
              <w:bottom w:w="57" w:type="dxa"/>
            </w:tcMar>
            <w:tcW w:w="672" w:type="dxa"/>
            <w:vAlign w:val="center"/>
            <w:vMerge w:val="restart"/>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售后服务</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rPr>
                <w:rFonts w:hint="eastAsia" w:ascii="宋体" w:hAnsi="宋体"/>
                <w:color w:val="000000"/>
                <w:highlight w:val="none"/>
              </w:rPr>
            </w:pPr>
            <w:r>
              <w:rPr>
                <w:rFonts w:hint="eastAsia" w:ascii="宋体" w:hAnsi="宋体"/>
                <w:color w:val="000000"/>
                <w:highlight w:val="none"/>
              </w:rPr>
              <w:t xml:space="preserve">评委根据投标人针对此项目情况提供的售后服务方案综合评分，包含：</w:t>
            </w:r>
            <w:r>
              <w:rPr>
                <w:rFonts w:hint="eastAsia" w:ascii="宋体" w:hAnsi="宋体"/>
                <w:color w:val="000000"/>
                <w:highlight w:val="none"/>
              </w:rPr>
            </w:r>
            <w:r/>
          </w:p>
          <w:p>
            <w:pPr>
              <w:pStyle w:val="706"/>
              <w:numPr>
                <w:ilvl w:val="0"/>
                <w:numId w:val="7"/>
              </w:numPr>
              <w:jc w:val="left"/>
              <w:spacing w:line="320" w:lineRule="exact"/>
              <w:tabs>
                <w:tab w:val="left" w:pos="312" w:leader="none"/>
              </w:tabs>
              <w:rPr>
                <w:rFonts w:hint="eastAsia" w:ascii="宋体" w:hAnsi="宋体"/>
                <w:color w:val="000000"/>
                <w:highlight w:val="none"/>
              </w:rPr>
            </w:pPr>
            <w:r>
              <w:rPr>
                <w:rFonts w:hint="eastAsia" w:ascii="宋体" w:hAnsi="宋体"/>
                <w:color w:val="000000"/>
                <w:highlight w:val="none"/>
              </w:rPr>
              <w:t xml:space="preserve">服务体系及网络构建《服务资源及人员配置表》（包括但不限于本地化网点、专人对接、服务流程图）；</w:t>
            </w:r>
            <w:r>
              <w:rPr>
                <w:rFonts w:hint="eastAsia" w:ascii="宋体" w:hAnsi="宋体"/>
                <w:color w:val="000000"/>
                <w:highlight w:val="none"/>
              </w:rPr>
            </w:r>
            <w:r/>
          </w:p>
          <w:p>
            <w:pPr>
              <w:pStyle w:val="706"/>
              <w:numPr>
                <w:ilvl w:val="0"/>
                <w:numId w:val="7"/>
              </w:numPr>
              <w:jc w:val="left"/>
              <w:spacing w:line="320" w:lineRule="exact"/>
              <w:tabs>
                <w:tab w:val="left" w:pos="312" w:leader="none"/>
              </w:tabs>
              <w:rPr>
                <w:rFonts w:ascii="宋体" w:hAnsi="宋体"/>
                <w:color w:val="000000"/>
                <w:highlight w:val="none"/>
              </w:rPr>
            </w:pPr>
            <w:r>
              <w:rPr>
                <w:rFonts w:hint="eastAsia" w:ascii="宋体" w:hAnsi="宋体"/>
                <w:color w:val="000000"/>
                <w:highlight w:val="none"/>
              </w:rPr>
              <w:t xml:space="preserve">2.故障响应与处理机制《定向常见故障分级处理与响应表》（包括但不限于不同级别故障响应时限、备品备件保障、报修渠道）；</w:t>
            </w:r>
            <w:r>
              <w:rPr>
                <w:rFonts w:ascii="宋体" w:hAnsi="宋体"/>
                <w:color w:val="000000"/>
                <w:highlight w:val="none"/>
              </w:rPr>
            </w:r>
            <w:r/>
          </w:p>
          <w:p>
            <w:pPr>
              <w:pStyle w:val="706"/>
              <w:numPr>
                <w:ilvl w:val="0"/>
                <w:numId w:val="7"/>
              </w:numPr>
              <w:jc w:val="left"/>
              <w:spacing w:line="320" w:lineRule="exact"/>
              <w:tabs>
                <w:tab w:val="left" w:pos="312" w:leader="none"/>
              </w:tabs>
              <w:rPr>
                <w:rFonts w:ascii="宋体" w:hAnsi="宋体"/>
                <w:color w:val="000000"/>
                <w:highlight w:val="none"/>
              </w:rPr>
            </w:pPr>
            <w:r>
              <w:rPr>
                <w:rFonts w:hint="eastAsia" w:ascii="宋体" w:hAnsi="宋体"/>
                <w:color w:val="000000"/>
                <w:highlight w:val="none"/>
              </w:rPr>
              <w:t xml:space="preserve">3.主动运维与服务反馈《巡检与用户反馈闭环机制表》（包括但不限于定期巡检安排、问题追踪机制、用户满意度调查与改进记录）。以上每项内容逐条阐述。</w:t>
            </w:r>
            <w:r>
              <w:rPr>
                <w:rFonts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（1）上述每项内容完整，科学合理、操作性强的，得2分；</w:t>
            </w:r>
            <w:r>
              <w:rPr>
                <w:rFonts w:ascii="宋体" w:hAnsi="宋体"/>
                <w:color w:val="000000"/>
                <w:highlight w:val="none"/>
              </w:rPr>
            </w:r>
            <w:r/>
          </w:p>
          <w:p>
            <w:pPr>
              <w:pStyle w:val="706"/>
              <w:jc w:val="left"/>
              <w:spacing w:line="320" w:lineRule="exact"/>
              <w:rPr>
                <w:rFonts w:hint="eastAsia" w:ascii="宋体" w:hAnsi="宋体"/>
                <w:color w:val="000000"/>
                <w:highlight w:val="none"/>
              </w:rPr>
            </w:pPr>
            <w:r>
              <w:rPr>
                <w:rFonts w:hint="eastAsia" w:ascii="宋体" w:hAnsi="宋体"/>
                <w:color w:val="000000"/>
                <w:highlight w:val="none"/>
              </w:rPr>
              <w:t xml:space="preserve">（2）上述每项内容</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完整，</w:t>
            </w:r>
            <w:r>
              <w:rPr>
                <w:rFonts w:hint="eastAsia" w:ascii="宋体" w:hAnsi="宋体"/>
                <w:color w:val="000000"/>
                <w:highlight w:val="none"/>
                <w:lang w:val="en-US" w:eastAsia="zh-CN"/>
              </w:rPr>
              <w:t xml:space="preserve">相对</w:t>
            </w:r>
            <w:r>
              <w:rPr>
                <w:rFonts w:hint="eastAsia" w:ascii="宋体" w:hAnsi="宋体"/>
                <w:color w:val="000000"/>
                <w:highlight w:val="none"/>
              </w:rPr>
              <w:t xml:space="preserve">科学合理，有</w:t>
            </w:r>
            <w:r>
              <w:rPr>
                <w:rFonts w:hint="eastAsia" w:ascii="宋体" w:hAnsi="宋体"/>
                <w:color w:val="000000"/>
                <w:highlight w:val="none"/>
                <w:lang w:val="en-US" w:eastAsia="zh-CN"/>
              </w:rPr>
              <w:t xml:space="preserve">一定</w:t>
            </w:r>
            <w:r>
              <w:rPr>
                <w:rFonts w:hint="eastAsia" w:ascii="宋体" w:hAnsi="宋体"/>
                <w:color w:val="000000"/>
                <w:highlight w:val="none"/>
              </w:rPr>
              <w:t xml:space="preserve">可操作性的，得</w:t>
            </w:r>
            <w:r>
              <w:rPr>
                <w:rFonts w:hint="eastAsia" w:ascii="宋体" w:hAnsi="宋体"/>
                <w:color w:val="000000"/>
                <w:highlight w:val="none"/>
                <w:lang w:val="en-US" w:eastAsia="zh-CN"/>
              </w:rPr>
              <w:t xml:space="preserve">1.5</w:t>
            </w:r>
            <w:r>
              <w:rPr>
                <w:rFonts w:hint="eastAsia" w:ascii="宋体" w:hAnsi="宋体"/>
                <w:color w:val="000000"/>
                <w:highlight w:val="none"/>
              </w:rPr>
              <w:t xml:space="preserve">分；</w:t>
            </w:r>
            <w:r>
              <w:rPr>
                <w:rFonts w:hint="eastAsia" w:ascii="宋体" w:hAnsi="宋体"/>
                <w:color w:val="000000"/>
                <w:highlight w:val="none"/>
              </w:rPr>
            </w:r>
            <w:r/>
          </w:p>
          <w:p>
            <w:pPr>
              <w:pStyle w:val="706"/>
              <w:jc w:val="left"/>
              <w:spacing w:line="320" w:lineRule="exact"/>
              <w:rPr>
                <w:rFonts w:hint="eastAsia"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）上述每项内容</w:t>
            </w:r>
            <w:r>
              <w:rPr>
                <w:rFonts w:hint="eastAsia" w:ascii="宋体" w:hAnsi="宋体"/>
                <w:color w:val="000000"/>
                <w:highlight w:val="none"/>
                <w:lang w:val="en-US" w:eastAsia="zh-CN"/>
              </w:rPr>
              <w:t xml:space="preserve">较</w:t>
            </w:r>
            <w:r>
              <w:rPr>
                <w:rFonts w:hint="eastAsia" w:ascii="宋体" w:hAnsi="宋体"/>
                <w:color w:val="000000"/>
                <w:highlight w:val="none"/>
              </w:rPr>
              <w:t xml:space="preserve">完整，较科学合理，可操作性</w:t>
            </w:r>
            <w:r>
              <w:rPr>
                <w:rFonts w:hint="eastAsia" w:ascii="宋体" w:hAnsi="宋体"/>
                <w:color w:val="000000"/>
                <w:highlight w:val="none"/>
                <w:lang w:val="en-US" w:eastAsia="zh-CN"/>
              </w:rPr>
              <w:t xml:space="preserve">一般</w:t>
            </w:r>
            <w:r>
              <w:rPr>
                <w:rFonts w:hint="eastAsia" w:ascii="宋体" w:hAnsi="宋体"/>
                <w:color w:val="000000"/>
                <w:highlight w:val="none"/>
              </w:rPr>
              <w:t xml:space="preserve">的，得1分；</w:t>
            </w:r>
            <w:r>
              <w:rPr>
                <w:rFonts w:hint="eastAsia" w:ascii="宋体" w:hAnsi="宋体"/>
                <w:color w:val="000000"/>
                <w:highlight w:val="none"/>
              </w:rPr>
            </w:r>
            <w:r/>
          </w:p>
          <w:p>
            <w:pPr>
              <w:pStyle w:val="706"/>
              <w:jc w:val="left"/>
              <w:spacing w:line="320" w:lineRule="exact"/>
              <w:rPr>
                <w:rFonts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4</w:t>
            </w:r>
            <w:r>
              <w:rPr>
                <w:rFonts w:hint="eastAsia" w:ascii="宋体" w:hAnsi="宋体"/>
                <w:color w:val="000000"/>
                <w:highlight w:val="none"/>
              </w:rPr>
              <w:t xml:space="preserve">）上述每项内容不科学合理、无操作性或未提供的不得分。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403"/>
        </w:trPr>
        <w:tc>
          <w:tcPr>
            <w:tcW w:w="308" w:type="dxa"/>
            <w:vAlign w:val="center"/>
            <w:vMerge w:val="continue"/>
            <w:textDirection w:val="lrTb"/>
            <w:noWrap w:val="false"/>
          </w:tcPr>
          <w:p>
            <w:pPr>
              <w:pStyle w:val="706"/>
              <w:jc w:val="left"/>
              <w:spacing w:line="320" w:lineRule="exact"/>
              <w:widowControl/>
              <w:rPr>
                <w:rFonts w:ascii="宋体" w:hAnsi="宋体"/>
                <w:color w:val="000000"/>
                <w:highlight w:val="none"/>
              </w:rPr>
            </w:pPr>
            <w:r>
              <w:rPr>
                <w:rFonts w:ascii="宋体" w:hAnsi="宋体"/>
                <w:color w:val="000000"/>
                <w:highlight w:val="none"/>
              </w:rPr>
            </w:r>
            <w:r/>
          </w:p>
        </w:tc>
        <w:tc>
          <w:tcPr>
            <w:tcW w:w="672" w:type="dxa"/>
            <w:vAlign w:val="center"/>
            <w:vMerge w:val="continue"/>
            <w:textDirection w:val="lrTb"/>
            <w:noWrap w:val="false"/>
          </w:tcPr>
          <w:p>
            <w:pPr>
              <w:pStyle w:val="706"/>
              <w:jc w:val="left"/>
              <w:spacing w:line="320" w:lineRule="exact"/>
              <w:widowControl/>
              <w:rPr>
                <w:rFonts w:ascii="宋体" w:hAnsi="宋体"/>
                <w:color w:val="000000"/>
                <w:highlight w:val="none"/>
              </w:rPr>
            </w:pP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widowControl/>
              <w:rPr>
                <w:rFonts w:ascii="宋体" w:hAnsi="宋体"/>
                <w:color w:val="000000"/>
                <w:highlight w:val="none"/>
              </w:rPr>
            </w:pPr>
            <w:r>
              <w:rPr>
                <w:rFonts w:hint="eastAsia" w:ascii="宋体" w:hAnsi="宋体"/>
                <w:color w:val="000000"/>
                <w:highlight w:val="none"/>
              </w:rPr>
              <w:t xml:space="preserve">投标人具有本地化服务能力，得1分，未提供不得分（提供承诺书</w:t>
            </w:r>
            <w:r>
              <w:rPr>
                <w:rFonts w:hint="eastAsia" w:ascii="宋体" w:hAnsi="宋体"/>
                <w:color w:val="000000"/>
                <w:highlight w:val="none"/>
                <w:lang w:val="en-US" w:eastAsia="zh-CN"/>
              </w:rPr>
              <w:t xml:space="preserve">原件编入至投标文件中</w:t>
            </w:r>
            <w:r>
              <w:rPr>
                <w:rFonts w:hint="eastAsia" w:ascii="宋体" w:hAnsi="宋体"/>
                <w:color w:val="000000"/>
                <w:highlight w:val="none"/>
              </w:rPr>
              <w:t xml:space="preserve">，承诺书格式自拟）。</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3.4</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质保期</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color w:val="000000"/>
                <w:highlight w:val="none"/>
              </w:rPr>
              <w:t xml:space="preserve">在免费质保期基础上，每增加一年免费质保期加0.5分，此项最高得1分。需提供投标人承诺书原件并加盖公章</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以扫描件形式编入至投标文件 中</w:t>
            </w:r>
            <w:r>
              <w:rPr>
                <w:rFonts w:hint="eastAsia" w:ascii="宋体" w:hAnsi="宋体"/>
                <w:color w:val="000000"/>
                <w:highlight w:val="none"/>
              </w:rPr>
              <w:t xml:space="preserve">，未提供书面承诺函的不得分。</w:t>
            </w:r>
            <w:r>
              <w:rPr>
                <w:rFonts w:hint="eastAsia" w:ascii="宋体" w:hAnsi="宋体"/>
                <w:color w:val="000000"/>
                <w:highlight w:val="none"/>
              </w:rPr>
              <w:t xml:space="preserve">（若投标文件中出现前后不一致的情况，以最低免费质保期作为评分依据）。</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r>
      <w:tr>
        <w:trPr>
          <w:trHeight w:val="403"/>
        </w:trPr>
        <w:tc>
          <w:tcPr>
            <w:gridSpan w:val="4"/>
            <w:tcMar>
              <w:left w:w="113" w:type="dxa"/>
              <w:top w:w="57" w:type="dxa"/>
              <w:right w:w="113" w:type="dxa"/>
              <w:bottom w:w="57" w:type="dxa"/>
            </w:tcMar>
            <w:tcW w:w="9762"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b/>
                <w:color w:val="000000"/>
                <w:highlight w:val="none"/>
              </w:rPr>
              <w:t xml:space="preserve">4.业绩</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业绩</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color w:val="000000"/>
                <w:highlight w:val="none"/>
              </w:rPr>
              <w:t xml:space="preserve">投标人自2022年1月1日以来（合同签订时间为准）</w:t>
            </w:r>
            <w:r>
              <w:rPr>
                <w:rFonts w:hint="eastAsia" w:ascii="宋体" w:hAnsi="宋体"/>
                <w:color w:val="000000"/>
                <w:highlight w:val="none"/>
                <w:lang w:val="en-US" w:eastAsia="zh-CN"/>
              </w:rPr>
              <w:t xml:space="preserve">承担过</w:t>
            </w:r>
            <w:r>
              <w:rPr>
                <w:rFonts w:hint="eastAsia" w:ascii="宋体" w:hAnsi="宋体"/>
                <w:color w:val="000000"/>
                <w:highlight w:val="none"/>
              </w:rPr>
              <w:t xml:space="preserve">类似本项目业绩 (必须同时提供中标通知书、合同</w:t>
            </w:r>
            <w:r>
              <w:rPr>
                <w:rFonts w:hint="eastAsia" w:ascii="宋体" w:hAnsi="宋体"/>
                <w:color w:val="000000"/>
                <w:highlight w:val="none"/>
                <w:lang w:val="en-US" w:eastAsia="zh-CN"/>
              </w:rPr>
              <w:t xml:space="preserve">原件，以扫描件形式编入至投标文件中；</w:t>
            </w:r>
            <w:r>
              <w:rPr>
                <w:rFonts w:hint="eastAsia" w:ascii="宋体" w:hAnsi="宋体"/>
                <w:color w:val="000000"/>
                <w:highlight w:val="none"/>
              </w:rPr>
              <w:t xml:space="preserve">如有缺项视为该业绩无效)，</w:t>
            </w:r>
            <w:r>
              <w:rPr>
                <w:rFonts w:hint="eastAsia" w:ascii="宋体" w:hAnsi="宋体"/>
                <w:color w:val="000000"/>
                <w:highlight w:val="none"/>
              </w:rPr>
              <w:t xml:space="preserve">每提供一份业绩得1分，最高得2分。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r>
      <w:tr>
        <w:trPr>
          <w:trHeight w:val="403"/>
        </w:trPr>
        <w:tc>
          <w:tcPr>
            <w:gridSpan w:val="4"/>
            <w:tcMar>
              <w:left w:w="113" w:type="dxa"/>
              <w:top w:w="57" w:type="dxa"/>
              <w:right w:w="113" w:type="dxa"/>
              <w:bottom w:w="57" w:type="dxa"/>
            </w:tcMar>
            <w:tcW w:w="9762" w:type="dxa"/>
            <w:vAlign w:val="center"/>
            <w:textDirection w:val="lrTb"/>
            <w:noWrap w:val="false"/>
          </w:tcPr>
          <w:p>
            <w:pPr>
              <w:pStyle w:val="706"/>
              <w:jc w:val="left"/>
              <w:spacing w:line="320" w:lineRule="exact"/>
              <w:rPr>
                <w:rFonts w:ascii="宋体" w:hAnsi="宋体"/>
                <w:b/>
                <w:color w:val="000000"/>
                <w:highlight w:val="none"/>
              </w:rPr>
            </w:pPr>
            <w:r>
              <w:rPr>
                <w:rFonts w:hint="eastAsia" w:ascii="宋体" w:hAnsi="宋体"/>
                <w:b/>
                <w:color w:val="000000"/>
                <w:highlight w:val="none"/>
              </w:rPr>
              <w:t xml:space="preserve">5.</w:t>
            </w:r>
            <w:r>
              <w:rPr>
                <w:rFonts w:hint="eastAsia" w:ascii="宋体" w:hAnsi="宋体"/>
                <w:b/>
                <w:color w:val="000000"/>
                <w:highlight w:val="none"/>
              </w:rPr>
              <w:t xml:space="preserve"> 履约能力及认证证书</w:t>
            </w:r>
            <w:r>
              <w:rPr>
                <w:rFonts w:ascii="宋体" w:hAnsi="宋体"/>
                <w:b/>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5.1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履约能力</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rPr>
                <w:rFonts w:hint="eastAsia" w:ascii="宋体" w:hAnsi="宋体" w:eastAsia="宋体"/>
                <w:color w:val="000000"/>
                <w:highlight w:val="none"/>
                <w:lang w:eastAsia="zh-CN"/>
              </w:rPr>
            </w:pPr>
            <w:r>
              <w:rPr>
                <w:rFonts w:hint="eastAsia" w:ascii="宋体" w:hAnsi="宋体"/>
                <w:color w:val="000000"/>
                <w:highlight w:val="none"/>
              </w:rPr>
              <w:t xml:space="preserve">投标人具有安全生产标准化证书，得1分；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提供有效证书，以扫描件形式编入至投标文件中</w:t>
            </w:r>
            <w:r>
              <w:rPr>
                <w:rFonts w:hint="eastAsia" w:ascii="宋体" w:hAnsi="宋体"/>
                <w:color w:val="000000"/>
                <w:highlight w:val="none"/>
                <w:lang w:eastAsia="zh-CN"/>
              </w:rPr>
              <w:t xml:space="preserve">）</w:t>
            </w:r>
            <w:r>
              <w:rPr>
                <w:rFonts w:hint="eastAsia" w:ascii="宋体" w:hAnsi="宋体" w:eastAsia="宋体"/>
                <w:color w:val="000000"/>
                <w:highlight w:val="none"/>
                <w:lang w:eastAsia="zh-CN"/>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5.2</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widowControl/>
              <w:rPr>
                <w:rFonts w:ascii="宋体" w:hAnsi="宋体"/>
                <w:color w:val="000000"/>
                <w:highlight w:val="none"/>
              </w:rPr>
            </w:pPr>
            <w:r>
              <w:rPr>
                <w:rFonts w:hint="eastAsia" w:ascii="宋体" w:hAnsi="宋体"/>
                <w:color w:val="000000"/>
                <w:highlight w:val="none"/>
              </w:rPr>
              <w:t xml:space="preserve">认证证书</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投标人或所投产品生产商提供所投家具产品</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有害物质限量认证证书</w:t>
            </w:r>
            <w:r>
              <w:rPr>
                <w:rFonts w:hint="eastAsia" w:ascii="宋体" w:hAnsi="宋体" w:eastAsia="宋体" w:cs="宋体"/>
                <w:b w:val="0"/>
                <w:bCs w:val="0"/>
                <w:color w:val="000000"/>
                <w:sz w:val="21"/>
                <w:szCs w:val="21"/>
                <w:highlight w:val="none"/>
              </w:rPr>
              <w:t xml:space="preserve">” （认证单元至少包含金属家具、木质家具</w:t>
            </w:r>
            <w:r>
              <w:rPr>
                <w:rFonts w:hint="eastAsia" w:ascii="宋体" w:hAnsi="宋体" w:eastAsia="宋体" w:cs="宋体"/>
                <w:b w:val="0"/>
                <w:bCs w:val="0"/>
                <w:color w:val="000000"/>
                <w:sz w:val="21"/>
                <w:szCs w:val="21"/>
                <w:highlight w:val="none"/>
                <w:lang w:val="en-US" w:eastAsia="zh-CN"/>
              </w:rPr>
              <w:t xml:space="preserve">类</w:t>
            </w:r>
            <w:r>
              <w:rPr>
                <w:rFonts w:hint="eastAsia" w:ascii="宋体" w:hAnsi="宋体" w:eastAsia="宋体" w:cs="宋体"/>
                <w:b w:val="0"/>
                <w:bCs w:val="0"/>
                <w:color w:val="000000"/>
                <w:sz w:val="21"/>
                <w:szCs w:val="21"/>
                <w:highlight w:val="none"/>
              </w:rPr>
              <w:t xml:space="preserve">）</w:t>
            </w:r>
            <w:r>
              <w:rPr>
                <w:rFonts w:hint="eastAsia" w:ascii="宋体" w:hAnsi="宋体"/>
                <w:color w:val="000000"/>
                <w:highlight w:val="none"/>
              </w:rPr>
              <w:t xml:space="preserve">的得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分，不满足不得分。</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706"/>
              <w:jc w:val="left"/>
              <w:spacing w:line="32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投标人或所投产品生产商提供所投家具产品“低 VOCs 家具产品认证证书” （认证单元至少包含</w:t>
            </w:r>
            <w:r>
              <w:rPr>
                <w:rFonts w:hint="eastAsia" w:ascii="宋体" w:hAnsi="宋体" w:eastAsia="宋体" w:cs="宋体"/>
                <w:b w:val="0"/>
                <w:bCs w:val="0"/>
                <w:color w:val="000000"/>
                <w:sz w:val="21"/>
                <w:szCs w:val="21"/>
                <w:highlight w:val="none"/>
                <w:lang w:val="en-US" w:eastAsia="zh-CN"/>
              </w:rPr>
              <w:t xml:space="preserve">木家具、</w:t>
            </w:r>
            <w:r>
              <w:rPr>
                <w:rFonts w:hint="eastAsia" w:ascii="宋体" w:hAnsi="宋体" w:eastAsia="宋体" w:cs="宋体"/>
                <w:b w:val="0"/>
                <w:bCs w:val="0"/>
                <w:color w:val="000000"/>
                <w:sz w:val="21"/>
                <w:szCs w:val="21"/>
                <w:highlight w:val="none"/>
              </w:rPr>
              <w:t xml:space="preserve">金属家具</w:t>
            </w:r>
            <w:r>
              <w:rPr>
                <w:rFonts w:hint="eastAsia" w:ascii="宋体" w:hAnsi="宋体" w:eastAsia="宋体" w:cs="宋体"/>
                <w:b w:val="0"/>
                <w:bCs w:val="0"/>
                <w:color w:val="000000"/>
                <w:sz w:val="21"/>
                <w:szCs w:val="21"/>
                <w:highlight w:val="none"/>
                <w:lang w:val="en-US" w:eastAsia="zh-CN"/>
              </w:rPr>
              <w:t xml:space="preserve">类</w:t>
            </w:r>
            <w:r>
              <w:rPr>
                <w:rFonts w:hint="eastAsia" w:ascii="宋体" w:hAnsi="宋体" w:eastAsia="宋体" w:cs="宋体"/>
                <w:b w:val="0"/>
                <w:bCs w:val="0"/>
                <w:color w:val="000000"/>
                <w:sz w:val="21"/>
                <w:szCs w:val="21"/>
                <w:highlight w:val="none"/>
              </w:rPr>
              <w:t xml:space="preserve">）</w:t>
            </w:r>
            <w:r>
              <w:rPr>
                <w:rFonts w:hint="eastAsia" w:ascii="宋体" w:hAnsi="宋体" w:eastAsia="宋体" w:cs="Times New Roman"/>
                <w:color w:val="000000"/>
                <w:highlight w:val="none"/>
              </w:rPr>
              <w:t xml:space="preserve">的得</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分，不满足不得分。</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p>
            <w:pPr>
              <w:pStyle w:val="706"/>
              <w:jc w:val="left"/>
              <w:spacing w:line="3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w:t>
            </w:r>
            <w:r>
              <w:rPr>
                <w:rFonts w:hint="eastAsia" w:ascii="宋体" w:hAnsi="宋体" w:eastAsia="宋体" w:cs="宋体"/>
                <w:b w:val="0"/>
                <w:bCs w:val="0"/>
                <w:color w:val="000000"/>
                <w:sz w:val="21"/>
                <w:szCs w:val="21"/>
                <w:highlight w:val="none"/>
              </w:rPr>
              <w:t xml:space="preserve">投标人或所投产品生产商提供所投家具产品“人类工效学产品认证证书”（认证单元至少包含桌台类、柜架类）</w:t>
            </w:r>
            <w:r>
              <w:rPr>
                <w:rFonts w:hint="eastAsia" w:ascii="宋体" w:hAnsi="宋体" w:eastAsia="宋体" w:cs="Times New Roman"/>
                <w:color w:val="000000"/>
                <w:highlight w:val="none"/>
              </w:rPr>
              <w:t xml:space="preserve">的得</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分，不满足不得分。</w:t>
            </w:r>
            <w:r>
              <w:rPr>
                <w:rFonts w:hint="eastAsia" w:ascii="宋体" w:hAnsi="宋体" w:eastAsia="宋体" w:cs="Times New Roman"/>
                <w:color w:val="000000"/>
                <w:highlight w:val="none"/>
                <w:lang w:val="en-US" w:eastAsia="zh-CN"/>
              </w:rPr>
            </w:r>
            <w:r/>
          </w:p>
          <w:p>
            <w:pPr>
              <w:pStyle w:val="706"/>
              <w:jc w:val="left"/>
              <w:spacing w:line="3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注：1.须提供有效的认证证书，以扫描件形式编入至投标文件中；同时</w:t>
            </w:r>
            <w:r>
              <w:rPr>
                <w:rFonts w:hint="eastAsia" w:ascii="宋体" w:hAnsi="宋体" w:eastAsia="宋体" w:cs="Times New Roman"/>
                <w:color w:val="000000"/>
                <w:highlight w:val="none"/>
              </w:rPr>
              <w:t xml:space="preserve">须提供有效的全国认证认可信息服务平台查询截图</w:t>
            </w:r>
            <w:r>
              <w:rPr>
                <w:rFonts w:hint="eastAsia" w:ascii="宋体" w:hAnsi="宋体" w:eastAsia="宋体" w:cs="Times New Roman"/>
                <w:color w:val="000000"/>
                <w:highlight w:val="none"/>
                <w:lang w:val="en-US" w:eastAsia="zh-CN"/>
              </w:rPr>
              <w:t xml:space="preserve">以扫描件形式编入至投标文件中；</w:t>
            </w:r>
            <w:r>
              <w:rPr>
                <w:rFonts w:hint="eastAsia" w:ascii="宋体" w:hAnsi="宋体" w:eastAsia="宋体" w:cs="Times New Roman"/>
                <w:color w:val="000000"/>
                <w:highlight w:val="none"/>
              </w:rPr>
              <w:t xml:space="preserve">未提供不得分。</w:t>
            </w:r>
            <w:r>
              <w:rPr>
                <w:rFonts w:hint="eastAsia" w:ascii="宋体" w:hAnsi="宋体" w:eastAsia="宋体" w:cs="Times New Roman"/>
                <w:color w:val="000000"/>
                <w:highlight w:val="none"/>
              </w:rPr>
            </w:r>
            <w:r/>
          </w:p>
          <w:p>
            <w:pPr>
              <w:pStyle w:val="706"/>
              <w:jc w:val="left"/>
              <w:spacing w:line="3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2.</w:t>
            </w:r>
            <w:r>
              <w:rPr>
                <w:rFonts w:hint="eastAsia" w:ascii="宋体" w:hAnsi="宋体" w:eastAsia="宋体" w:cs="Times New Roman"/>
                <w:color w:val="000000"/>
                <w:highlight w:val="none"/>
              </w:rPr>
              <w:t xml:space="preserve">所提供证书“认证范围”与评标标准给定名称不同时，应提供符合上述要求的内容（功能）说明及关键信息，否则不予认可。为方便评委评审，功能参数可用箭头、标红或下划线等进行明显标注。</w:t>
            </w:r>
            <w:r>
              <w:rPr>
                <w:rFonts w:hint="eastAsia" w:ascii="宋体" w:hAnsi="宋体" w:eastAsia="宋体" w:cs="Times New Roman"/>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r>
            <w:r/>
          </w:p>
        </w:tc>
      </w:tr>
      <w:tr>
        <w:trPr>
          <w:trHeight w:val="403"/>
        </w:trPr>
        <w:tc>
          <w:tcPr>
            <w:gridSpan w:val="4"/>
            <w:tcMar>
              <w:left w:w="113" w:type="dxa"/>
              <w:top w:w="57" w:type="dxa"/>
              <w:right w:w="113" w:type="dxa"/>
              <w:bottom w:w="57" w:type="dxa"/>
            </w:tcMar>
            <w:tcW w:w="9762" w:type="dxa"/>
            <w:vAlign w:val="center"/>
            <w:textDirection w:val="lrTb"/>
            <w:noWrap w:val="false"/>
          </w:tcPr>
          <w:p>
            <w:pPr>
              <w:pStyle w:val="706"/>
              <w:jc w:val="left"/>
              <w:spacing w:line="320" w:lineRule="exact"/>
              <w:rPr>
                <w:rFonts w:ascii="宋体" w:hAnsi="宋体"/>
                <w:color w:val="000000"/>
                <w:highlight w:val="none"/>
              </w:rPr>
            </w:pPr>
            <w:r>
              <w:rPr>
                <w:rFonts w:hint="eastAsia" w:ascii="宋体" w:hAnsi="宋体"/>
                <w:b/>
                <w:color w:val="000000"/>
                <w:highlight w:val="none"/>
              </w:rPr>
              <w:t xml:space="preserve">6.节能环保</w:t>
            </w:r>
            <w:r>
              <w:rPr>
                <w:rFonts w:ascii="宋体" w:hAnsi="宋体"/>
                <w:color w:val="000000"/>
                <w:highlight w:val="none"/>
              </w:rPr>
            </w:r>
            <w:r/>
          </w:p>
        </w:tc>
      </w:tr>
      <w:tr>
        <w:trPr>
          <w:trHeight w:val="403"/>
        </w:trPr>
        <w:tc>
          <w:tcPr>
            <w:tcMar>
              <w:left w:w="113" w:type="dxa"/>
              <w:top w:w="57" w:type="dxa"/>
              <w:right w:w="113" w:type="dxa"/>
              <w:bottom w:w="57" w:type="dxa"/>
            </w:tcMar>
            <w:tcW w:w="308"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6.1</w:t>
            </w:r>
            <w:r>
              <w:rPr>
                <w:rFonts w:ascii="宋体" w:hAnsi="宋体"/>
                <w:color w:val="000000"/>
                <w:highlight w:val="none"/>
              </w:rPr>
            </w:r>
            <w:r/>
          </w:p>
        </w:tc>
        <w:tc>
          <w:tcPr>
            <w:tcMar>
              <w:left w:w="113" w:type="dxa"/>
              <w:top w:w="57" w:type="dxa"/>
              <w:right w:w="113" w:type="dxa"/>
              <w:bottom w:w="57" w:type="dxa"/>
            </w:tcMar>
            <w:tcW w:w="672"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环境标志产品</w:t>
            </w:r>
            <w:r>
              <w:rPr>
                <w:rFonts w:ascii="宋体" w:hAnsi="宋体"/>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left"/>
              <w:spacing w:line="320" w:lineRule="exact"/>
              <w:widowControl/>
              <w:rPr>
                <w:rFonts w:ascii="宋体" w:hAnsi="宋体"/>
                <w:color w:val="000000"/>
                <w:highlight w:val="none"/>
              </w:rPr>
            </w:pPr>
            <w:r>
              <w:rPr>
                <w:rFonts w:hint="eastAsia" w:ascii="宋体" w:hAnsi="宋体"/>
                <w:color w:val="000000"/>
                <w:highlight w:val="none"/>
              </w:rPr>
              <w:t xml:space="preserve">投标产品属于财政部、生态环境部公布的《环境标志产品品目清单》（财库〔2019〕18号）范围内的，投标人提供国家确定的认证机构出具的、处于有效期内的该环境标志产品认证证书的，有1个得1分，最多得2分。</w:t>
            </w: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r>
      <w:tr>
        <w:trPr>
          <w:trHeight w:val="303"/>
        </w:trPr>
        <w:tc>
          <w:tcPr>
            <w:gridSpan w:val="2"/>
            <w:tcMar>
              <w:left w:w="113" w:type="dxa"/>
              <w:top w:w="57" w:type="dxa"/>
              <w:right w:w="113" w:type="dxa"/>
              <w:bottom w:w="57" w:type="dxa"/>
            </w:tcMar>
            <w:tcW w:w="1915" w:type="dxa"/>
            <w:vAlign w:val="center"/>
            <w:textDirection w:val="lrTb"/>
            <w:noWrap w:val="false"/>
          </w:tcPr>
          <w:p>
            <w:pPr>
              <w:pStyle w:val="706"/>
              <w:jc w:val="center"/>
              <w:spacing w:line="320" w:lineRule="exact"/>
              <w:rPr>
                <w:rFonts w:ascii="宋体" w:hAnsi="宋体"/>
                <w:b/>
                <w:color w:val="000000"/>
                <w:highlight w:val="none"/>
              </w:rPr>
            </w:pPr>
            <w:r>
              <w:rPr>
                <w:rFonts w:hint="eastAsia" w:ascii="宋体" w:hAnsi="宋体"/>
                <w:b/>
                <w:color w:val="000000"/>
                <w:spacing w:val="-3"/>
                <w:highlight w:val="none"/>
              </w:rPr>
              <w:t xml:space="preserve">合</w:t>
            </w:r>
            <w:r>
              <w:rPr>
                <w:rFonts w:hint="eastAsia" w:ascii="宋体" w:hAnsi="宋体"/>
                <w:b/>
                <w:color w:val="000000"/>
                <w:spacing w:val="-2"/>
                <w:highlight w:val="none"/>
              </w:rPr>
              <w:t xml:space="preserve">计</w:t>
            </w:r>
            <w:r>
              <w:rPr>
                <w:rFonts w:ascii="宋体" w:hAnsi="宋体"/>
                <w:b/>
                <w:color w:val="000000"/>
                <w:highlight w:val="none"/>
              </w:rPr>
            </w:r>
            <w:r/>
          </w:p>
        </w:tc>
        <w:tc>
          <w:tcPr>
            <w:tcMar>
              <w:left w:w="113" w:type="dxa"/>
              <w:top w:w="57" w:type="dxa"/>
              <w:right w:w="113" w:type="dxa"/>
              <w:bottom w:w="57" w:type="dxa"/>
            </w:tcMar>
            <w:tcW w:w="3645" w:type="dxa"/>
            <w:vAlign w:val="center"/>
            <w:textDirection w:val="lrTb"/>
            <w:noWrap w:val="false"/>
          </w:tcPr>
          <w:p>
            <w:pPr>
              <w:pStyle w:val="706"/>
              <w:jc w:val="center"/>
              <w:spacing w:line="320" w:lineRule="exact"/>
              <w:widowControl/>
              <w:rPr>
                <w:rFonts w:ascii="宋体" w:hAnsi="宋体"/>
                <w:color w:val="000000"/>
                <w:highlight w:val="none"/>
              </w:rPr>
            </w:pPr>
            <w:r>
              <w:rPr>
                <w:rFonts w:ascii="宋体" w:hAnsi="宋体"/>
                <w:color w:val="000000"/>
                <w:highlight w:val="none"/>
              </w:rPr>
            </w:r>
            <w:r/>
          </w:p>
        </w:tc>
        <w:tc>
          <w:tcPr>
            <w:tcMar>
              <w:left w:w="113" w:type="dxa"/>
              <w:top w:w="57" w:type="dxa"/>
              <w:right w:w="113" w:type="dxa"/>
              <w:bottom w:w="57" w:type="dxa"/>
            </w:tcMar>
            <w:tcW w:w="373" w:type="dxa"/>
            <w:vAlign w:val="center"/>
            <w:textDirection w:val="lrTb"/>
            <w:noWrap w:val="false"/>
          </w:tcPr>
          <w:p>
            <w:pPr>
              <w:pStyle w:val="706"/>
              <w:jc w:val="center"/>
              <w:spacing w:line="320" w:lineRule="exact"/>
              <w:rPr>
                <w:rFonts w:ascii="宋体" w:hAnsi="宋体"/>
                <w:b/>
                <w:color w:val="000000"/>
                <w:highlight w:val="none"/>
              </w:rPr>
            </w:pPr>
            <w:r>
              <w:rPr>
                <w:rFonts w:hint="eastAsia" w:ascii="宋体" w:hAnsi="宋体"/>
                <w:b/>
                <w:color w:val="000000"/>
                <w:highlight w:val="none"/>
              </w:rPr>
              <w:t xml:space="preserve">100</w:t>
            </w:r>
            <w:r>
              <w:rPr>
                <w:rFonts w:ascii="宋体" w:hAnsi="宋体"/>
                <w:b/>
                <w:color w:val="000000"/>
                <w:highlight w:val="none"/>
              </w:rPr>
            </w:r>
            <w:r/>
          </w:p>
        </w:tc>
      </w:tr>
      <w:tr>
        <w:trPr>
          <w:trHeight w:val="567"/>
        </w:trPr>
        <w:tc>
          <w:tcPr>
            <w:gridSpan w:val="4"/>
            <w:tcW w:w="9762" w:type="dxa"/>
            <w:vAlign w:val="center"/>
            <w:textDirection w:val="lrTb"/>
            <w:noWrap w:val="false"/>
          </w:tcPr>
          <w:p>
            <w:pPr>
              <w:pStyle w:val="706"/>
              <w:jc w:val="left"/>
              <w:spacing w:line="320" w:lineRule="exact"/>
              <w:rPr>
                <w:rFonts w:ascii="宋体" w:hAnsi="宋体" w:eastAsia="宋体"/>
                <w:color w:val="000000"/>
                <w:sz w:val="24"/>
                <w:szCs w:val="24"/>
                <w:highlight w:val="none"/>
                <w:lang w:val="en-US" w:eastAsia="zh-CN"/>
              </w:rPr>
            </w:pPr>
            <w:r>
              <w:rPr>
                <w:rFonts w:ascii="宋体" w:hAnsi="宋体"/>
                <w:b/>
                <w:bCs/>
                <w:color w:val="000000"/>
                <w:sz w:val="24"/>
                <w:szCs w:val="24"/>
                <w:highlight w:val="none"/>
                <w:lang w:val="zh-CN"/>
              </w:rPr>
              <w:t xml:space="preserve">需要补充的其他内容：</w:t>
            </w:r>
            <w:r>
              <w:rPr>
                <w:rFonts w:ascii="宋体" w:hAnsi="宋体" w:eastAsia="宋体"/>
                <w:color w:val="000000"/>
                <w:sz w:val="24"/>
                <w:szCs w:val="24"/>
                <w:highlight w:val="none"/>
                <w:lang w:val="en-US" w:eastAsia="zh-CN"/>
              </w:rPr>
            </w:r>
            <w:r/>
          </w:p>
        </w:tc>
      </w:tr>
      <w:tr>
        <w:trPr>
          <w:trHeight w:val="274"/>
        </w:trPr>
        <w:tc>
          <w:tcPr>
            <w:gridSpan w:val="4"/>
            <w:tcW w:w="9762" w:type="dxa"/>
            <w:vAlign w:val="center"/>
            <w:textDirection w:val="lrTb"/>
            <w:noWrap w:val="false"/>
          </w:tcPr>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w:t>
            </w:r>
            <w:r>
              <w:rPr>
                <w:rFonts w:hint="eastAsia" w:ascii="宋体" w:hAnsi="宋体"/>
                <w:color w:val="000000"/>
                <w:sz w:val="22"/>
                <w:szCs w:val="22"/>
                <w:highlight w:val="none"/>
                <w:lang w:val="en-US" w:eastAsia="zh-CN"/>
              </w:rPr>
              <w:t xml:space="preserve">主观分</w:t>
            </w:r>
            <w:r>
              <w:rPr>
                <w:rFonts w:hint="eastAsia" w:ascii="宋体" w:hAnsi="宋体"/>
                <w:color w:val="000000"/>
                <w:sz w:val="22"/>
                <w:szCs w:val="22"/>
                <w:highlight w:val="none"/>
                <w:lang w:val="zh-CN"/>
              </w:rPr>
              <w:t xml:space="preserve">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706"/>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70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70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70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70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706"/>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w:t>
            </w:r>
            <w:r>
              <w:rPr>
                <w:rFonts w:hint="eastAsia" w:ascii="宋体" w:hAnsi="宋体"/>
                <w:b/>
                <w:bCs/>
                <w:color w:val="000000"/>
                <w:sz w:val="22"/>
                <w:szCs w:val="22"/>
                <w:highlight w:val="none"/>
                <w:lang w:val="en-US" w:eastAsia="zh-CN"/>
              </w:rPr>
              <w:t xml:space="preserve">评分标准要求</w:t>
            </w:r>
            <w:r>
              <w:rPr>
                <w:rFonts w:hint="eastAsia" w:ascii="宋体" w:hAnsi="宋体"/>
                <w:b/>
                <w:bCs/>
                <w:color w:val="000000"/>
                <w:sz w:val="22"/>
                <w:szCs w:val="22"/>
                <w:highlight w:val="none"/>
                <w:lang w:val="zh-CN"/>
              </w:rPr>
              <w:t xml:space="preserve">为依据。</w:t>
            </w:r>
            <w:r>
              <w:rPr>
                <w:rFonts w:hint="eastAsia" w:ascii="宋体" w:hAnsi="宋体"/>
                <w:b/>
                <w:bCs/>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706"/>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lang w:val="en-US" w:eastAsia="zh-CN"/>
              </w:rPr>
              <w:t xml:space="preserve">2</w:t>
            </w:r>
            <w:r>
              <w:rPr>
                <w:rFonts w:hint="eastAsia" w:ascii="宋体" w:hAnsi="宋体"/>
                <w:b/>
                <w:bCs/>
                <w:color w:val="000000"/>
                <w:sz w:val="22"/>
                <w:szCs w:val="22"/>
                <w:highlight w:val="none"/>
                <w:lang w:val="zh-CN"/>
              </w:rPr>
              <w:t xml:space="preserve">）供应商提供的合同、检测报告等扫描件中的内容应该清晰，如因供应商提供的资料不清晰，导致评标委员会无法辨认，责任由供应商承担。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706"/>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9．根据省财政厅《关于推动解决政府采购异常低价问题相关工作的通知》(苏财购(2025)62号)要求，评审过程中出现下列情形之一的，评审委员会应当启动异常低价投标(响应)审查程序:</w:t>
            </w:r>
            <w:r>
              <w:rPr>
                <w:rFonts w:hint="eastAsia" w:ascii="宋体" w:hAnsi="宋体"/>
                <w:bCs/>
                <w:color w:val="000000"/>
                <w:sz w:val="22"/>
                <w:szCs w:val="22"/>
                <w:highlight w:val="none"/>
                <w:lang w:val="zh-CN"/>
              </w:rPr>
            </w:r>
            <w:r/>
          </w:p>
          <w:p>
            <w:pPr>
              <w:pStyle w:val="706"/>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（1）投标（响应）报价低于采购项目预算50%的，即投标（响应）报价&lt;采购项目预算×50%；</w:t>
            </w:r>
            <w:r>
              <w:rPr>
                <w:rFonts w:hint="eastAsia" w:ascii="宋体" w:hAnsi="宋体"/>
                <w:bCs/>
                <w:color w:val="000000"/>
                <w:sz w:val="22"/>
                <w:szCs w:val="22"/>
                <w:highlight w:val="none"/>
                <w:lang w:val="zh-CN"/>
              </w:rPr>
            </w:r>
            <w:r/>
          </w:p>
          <w:p>
            <w:pPr>
              <w:pStyle w:val="706"/>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（2）投标（响应）报价低于采购项目最高限价45%的，即投标（响应）报价&lt;采购项目最高限价×45%；</w:t>
            </w:r>
            <w:r>
              <w:rPr>
                <w:rFonts w:hint="eastAsia" w:ascii="宋体" w:hAnsi="宋体"/>
                <w:bCs/>
                <w:color w:val="000000"/>
                <w:sz w:val="22"/>
                <w:szCs w:val="22"/>
                <w:highlight w:val="none"/>
                <w:lang w:val="zh-CN"/>
              </w:rPr>
            </w:r>
            <w:r/>
          </w:p>
          <w:p>
            <w:pPr>
              <w:pStyle w:val="706"/>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（3）评审委员会认定的供应商报价过低、有可能影响产品质量或者不能诚信履约的其他情形。</w:t>
            </w:r>
            <w:r>
              <w:rPr>
                <w:rFonts w:hint="eastAsia" w:ascii="宋体" w:hAnsi="宋体"/>
                <w:bCs/>
                <w:color w:val="000000"/>
                <w:sz w:val="22"/>
                <w:szCs w:val="22"/>
                <w:highlight w:val="none"/>
                <w:lang w:val="zh-CN"/>
              </w:rPr>
            </w:r>
            <w:r/>
          </w:p>
          <w:p>
            <w:pPr>
              <w:pStyle w:val="706"/>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10</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706"/>
              <w:ind w:firstLine="440"/>
              <w:spacing w:line="360" w:lineRule="auto"/>
              <w:rPr>
                <w:color w:val="000000"/>
                <w:highlight w:val="none"/>
                <w:lang w:val="zh-CN"/>
              </w:rPr>
            </w:pPr>
            <w:r>
              <w:rPr>
                <w:rFonts w:hint="eastAsia" w:ascii="宋体" w:hAnsi="宋体"/>
                <w:color w:val="000000"/>
                <w:sz w:val="22"/>
                <w:szCs w:val="21"/>
                <w:highlight w:val="none"/>
              </w:rPr>
              <w:t xml:space="preserve">11</w:t>
            </w:r>
            <w:r>
              <w:rPr>
                <w:rFonts w:hint="eastAsia" w:ascii="宋体" w:hAnsi="宋体"/>
                <w:color w:val="000000"/>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highlight w:val="none"/>
                <w:lang w:val="zh-CN"/>
              </w:rPr>
            </w:r>
            <w:r/>
          </w:p>
        </w:tc>
      </w:tr>
    </w:tbl>
    <w:p>
      <w:pPr>
        <w:pStyle w:val="805"/>
        <w:rPr>
          <w:rFonts w:hint="eastAsia" w:cs="宋体"/>
          <w:color w:val="000000"/>
          <w:szCs w:val="21"/>
          <w:highlight w:val="none"/>
        </w:rPr>
      </w:pPr>
      <w:r>
        <w:rPr>
          <w:rFonts w:hint="eastAsia" w:cs="宋体"/>
          <w:color w:val="000000"/>
          <w:szCs w:val="21"/>
          <w:highlight w:val="none"/>
        </w:rPr>
      </w:r>
      <w:r/>
    </w:p>
    <w:p>
      <w:pPr>
        <w:pStyle w:val="810"/>
        <w:rPr>
          <w:rFonts w:hint="eastAsia" w:ascii="宋体" w:hAnsi="宋体"/>
          <w:color w:val="000000"/>
          <w:szCs w:val="21"/>
          <w:highlight w:val="none"/>
        </w:rPr>
      </w:pPr>
      <w:r>
        <w:rPr>
          <w:rFonts w:hint="eastAsia" w:ascii="宋体" w:hAnsi="宋体"/>
          <w:color w:val="000000"/>
          <w:szCs w:val="21"/>
          <w:highlight w:val="none"/>
        </w:rPr>
      </w:r>
      <w:r/>
    </w:p>
    <w:p>
      <w:pPr>
        <w:pStyle w:val="706"/>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6"/>
        <w:jc w:val="center"/>
        <w:spacing w:line="360" w:lineRule="auto"/>
        <w:rPr>
          <w:rFonts w:hint="eastAsia" w:ascii="宋体" w:hAnsi="宋体" w:cs="宋体"/>
          <w:b/>
          <w:bCs/>
          <w:color w:val="000000"/>
          <w:spacing w:val="-10"/>
          <w:sz w:val="36"/>
          <w:szCs w:val="36"/>
          <w:highlight w:val="none"/>
          <w:lang w:val="zh-CN"/>
        </w:rPr>
        <w:outlineLvl w:val="0"/>
      </w:pPr>
      <w:r/>
      <w:bookmarkStart w:id="34" w:name="_Toc10679"/>
      <w:r>
        <w:rPr>
          <w:rFonts w:hint="eastAsia" w:ascii="宋体" w:hAnsi="宋体" w:cs="宋体"/>
          <w:b/>
          <w:bCs/>
          <w:color w:val="000000"/>
          <w:spacing w:val="-10"/>
          <w:sz w:val="36"/>
          <w:szCs w:val="36"/>
          <w:highlight w:val="none"/>
          <w:lang w:val="zh-CN"/>
        </w:rPr>
        <w:t xml:space="preserve">第四章  采购需求</w:t>
      </w:r>
      <w:bookmarkEnd w:id="34"/>
      <w:r>
        <w:rPr>
          <w:rFonts w:hint="eastAsia" w:ascii="宋体" w:hAnsi="宋体" w:cs="宋体"/>
          <w:b/>
          <w:bCs/>
          <w:color w:val="000000"/>
          <w:spacing w:val="-10"/>
          <w:sz w:val="36"/>
          <w:szCs w:val="36"/>
          <w:highlight w:val="none"/>
          <w:lang w:val="zh-CN"/>
        </w:rPr>
      </w:r>
      <w:r/>
    </w:p>
    <w:p>
      <w:pPr>
        <w:pStyle w:val="706"/>
        <w:ind w:firstLine="0"/>
        <w:jc w:val="left"/>
        <w:keepLines w:val="0"/>
        <w:keepNext w:val="0"/>
        <w:pageBreakBefore w:val="0"/>
        <w:widowControl w:val="off"/>
        <w:rPr>
          <w:rFonts w:hint="eastAsia" w:ascii="黑体" w:hAnsi="黑体" w:eastAsia="黑体" w:cs="黑体"/>
          <w:color w:val="000000"/>
          <w:sz w:val="24"/>
          <w:szCs w:val="24"/>
          <w:highlight w:val="none"/>
        </w:rPr>
        <w:outlineLvl w:val="1"/>
      </w:pPr>
      <w:r/>
      <w:bookmarkStart w:id="35" w:name="_Toc10808"/>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bookmarkEnd w:id="35"/>
      <w:r>
        <w:rPr>
          <w:rFonts w:hint="eastAsia" w:ascii="黑体" w:hAnsi="黑体" w:eastAsia="黑体" w:cs="黑体"/>
          <w:color w:val="000000"/>
          <w:sz w:val="24"/>
          <w:szCs w:val="24"/>
          <w:highlight w:val="none"/>
        </w:rPr>
      </w:r>
      <w:r/>
    </w:p>
    <w:p>
      <w:pPr>
        <w:pStyle w:val="706"/>
        <w:ind w:firstLine="0"/>
        <w:jc w:val="left"/>
        <w:keepLines w:val="0"/>
        <w:keepNext w:val="0"/>
        <w:pageBreakBefore w:val="0"/>
        <w:widowControl w:val="off"/>
        <w:rPr>
          <w:rFonts w:hint="eastAsia" w:ascii="黑体" w:hAnsi="黑体" w:eastAsia="黑体" w:cs="黑体"/>
          <w:color w:val="000000"/>
          <w:sz w:val="24"/>
          <w:szCs w:val="24"/>
          <w:highlight w:val="none"/>
        </w:rPr>
        <w:outlineLvl w:val="1"/>
      </w:pPr>
      <w:r/>
      <w:bookmarkStart w:id="36" w:name="_Toc5951"/>
      <w:r>
        <w:rPr>
          <w:rFonts w:hint="eastAsia" w:ascii="黑体" w:hAnsi="黑体" w:eastAsia="黑体" w:cs="黑体"/>
          <w:color w:val="000000"/>
          <w:sz w:val="24"/>
          <w:szCs w:val="24"/>
          <w:highlight w:val="none"/>
        </w:rPr>
        <w:t xml:space="preserve">二、项目概况</w:t>
      </w:r>
      <w:bookmarkEnd w:id="36"/>
      <w:r>
        <w:rPr>
          <w:rFonts w:hint="eastAsia" w:ascii="黑体" w:hAnsi="黑体" w:eastAsia="黑体" w:cs="黑体"/>
          <w:color w:val="000000"/>
          <w:sz w:val="24"/>
          <w:szCs w:val="24"/>
          <w:highlight w:val="none"/>
        </w:rPr>
      </w:r>
      <w:r/>
    </w:p>
    <w:p>
      <w:pPr>
        <w:pStyle w:val="706"/>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706"/>
        <w:ind w:firstLine="0"/>
        <w:jc w:val="left"/>
        <w:keepLines w:val="0"/>
        <w:keepNext w:val="0"/>
        <w:pageBreakBefore w:val="0"/>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bCs/>
          <w:color w:val="000000"/>
          <w:sz w:val="24"/>
          <w:szCs w:val="24"/>
          <w:highlight w:val="none"/>
          <w:lang w:eastAsia="zh-CN"/>
        </w:rPr>
        <w:t xml:space="preserve">江北新区滨江实验学校工程项目功能室设备采购项目，</w:t>
      </w:r>
      <w:r>
        <w:rPr>
          <w:rFonts w:hint="eastAsia" w:ascii="宋体" w:hAnsi="宋体" w:eastAsia="宋体" w:cs="宋体"/>
          <w:bCs/>
          <w:color w:val="000000"/>
          <w:sz w:val="24"/>
          <w:szCs w:val="24"/>
          <w:highlight w:val="none"/>
        </w:rPr>
        <w:t xml:space="preserve">根据学校</w:t>
      </w:r>
      <w:r>
        <w:rPr>
          <w:rFonts w:hint="eastAsia" w:ascii="宋体" w:hAnsi="宋体" w:eastAsia="宋体" w:cs="宋体"/>
          <w:bCs/>
          <w:color w:val="000000"/>
          <w:sz w:val="24"/>
          <w:szCs w:val="24"/>
          <w:highlight w:val="none"/>
          <w:lang w:eastAsia="zh-CN"/>
        </w:rPr>
        <w:t xml:space="preserve">实际</w:t>
      </w:r>
      <w:r>
        <w:rPr>
          <w:rFonts w:hint="eastAsia" w:ascii="宋体" w:hAnsi="宋体" w:eastAsia="宋体" w:cs="宋体"/>
          <w:bCs/>
          <w:color w:val="000000"/>
          <w:sz w:val="24"/>
          <w:szCs w:val="24"/>
          <w:highlight w:val="none"/>
        </w:rPr>
        <w:t xml:space="preserve">需求，配置相关设备，满足学校的教育教学需要。</w:t>
      </w:r>
      <w:r>
        <w:rPr>
          <w:rFonts w:hint="eastAsia" w:ascii="宋体" w:hAnsi="宋体" w:eastAsia="宋体" w:cs="宋体"/>
          <w:bCs/>
          <w:color w:val="000000"/>
          <w:sz w:val="24"/>
          <w:szCs w:val="24"/>
          <w:highlight w:val="none"/>
          <w:lang w:eastAsia="zh-CN"/>
        </w:rPr>
      </w:r>
      <w:r/>
    </w:p>
    <w:p>
      <w:pPr>
        <w:pStyle w:val="706"/>
        <w:numPr>
          <w:ilvl w:val="0"/>
          <w:numId w:val="0"/>
        </w:numPr>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rPr>
          <w:rFonts w:hint="eastAsia" w:ascii="宋体" w:hAnsi="宋体" w:cs="宋体"/>
          <w:bCs/>
          <w:color w:val="000000"/>
          <w:sz w:val="24"/>
          <w:szCs w:val="24"/>
          <w:highlight w:val="none"/>
        </w:rPr>
      </w:r>
      <w:r/>
    </w:p>
    <w:p>
      <w:pPr>
        <w:pStyle w:val="706"/>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706"/>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706"/>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p>
      <w:pPr>
        <w:pStyle w:val="706"/>
        <w:numPr>
          <w:ilvl w:val="0"/>
          <w:numId w:val="0"/>
        </w:numPr>
        <w:jc w:val="left"/>
        <w:keepLines w:val="0"/>
        <w:keepNext w:val="0"/>
        <w:pageBreakBefore w:val="0"/>
        <w:widowControl w:val="off"/>
        <w:rPr>
          <w:rFonts w:hint="eastAsia" w:ascii="黑体" w:hAnsi="黑体" w:eastAsia="黑体" w:cs="黑体"/>
          <w:color w:val="000000"/>
          <w:sz w:val="24"/>
          <w:szCs w:val="24"/>
          <w:highlight w:val="none"/>
          <w:lang w:eastAsia="zh-CN"/>
        </w:rPr>
        <w:outlineLvl w:val="1"/>
      </w:pPr>
      <w:r/>
      <w:bookmarkStart w:id="37" w:name="_Toc31480"/>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项目清单</w:t>
      </w:r>
      <w:bookmarkEnd w:id="37"/>
      <w:r>
        <w:rPr>
          <w:rFonts w:hint="eastAsia" w:ascii="黑体" w:hAnsi="黑体" w:eastAsia="黑体" w:cs="黑体"/>
          <w:color w:val="000000"/>
          <w:sz w:val="24"/>
          <w:szCs w:val="24"/>
          <w:highlight w:val="none"/>
          <w:lang w:eastAsia="zh-CN"/>
        </w:rPr>
      </w:r>
      <w:r/>
    </w:p>
    <w:p>
      <w:pPr>
        <w:pStyle w:val="810"/>
        <w:ind w:firstLine="0"/>
        <w:jc w:val="left"/>
        <w:keepLines w:val="0"/>
        <w:keepNext w:val="0"/>
        <w:pageBreakBefore w:val="0"/>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val="en-US" w:eastAsia="zh-CN"/>
        </w:rPr>
        <w:t xml:space="preserve">附后</w:t>
      </w:r>
      <w:r>
        <w:rPr>
          <w:rFonts w:hint="eastAsia" w:ascii="黑体" w:hAnsi="黑体" w:eastAsia="黑体" w:cs="黑体"/>
          <w:color w:val="000000"/>
          <w:sz w:val="24"/>
          <w:szCs w:val="24"/>
          <w:highlight w:val="none"/>
          <w:lang w:eastAsia="zh-CN"/>
        </w:rPr>
        <w:t xml:space="preserve">）</w:t>
      </w:r>
      <w:r>
        <w:rPr>
          <w:rFonts w:hint="eastAsia" w:ascii="黑体" w:hAnsi="黑体" w:eastAsia="黑体" w:cs="黑体"/>
          <w:color w:val="000000"/>
          <w:sz w:val="24"/>
          <w:szCs w:val="24"/>
          <w:highlight w:val="none"/>
          <w:lang w:eastAsia="zh-CN"/>
        </w:rPr>
      </w:r>
      <w:r/>
    </w:p>
    <w:p>
      <w:pPr>
        <w:pStyle w:val="706"/>
        <w:ind w:firstLine="0"/>
        <w:jc w:val="left"/>
        <w:keepLines w:val="0"/>
        <w:keepNext w:val="0"/>
        <w:pageBreakBefore w:val="0"/>
        <w:widowControl w:val="off"/>
        <w:rPr>
          <w:rFonts w:hint="eastAsia" w:ascii="宋体" w:hAnsi="宋体" w:cs="宋体"/>
          <w:b/>
          <w:color w:val="000000"/>
          <w:sz w:val="24"/>
          <w:szCs w:val="24"/>
          <w:highlight w:val="none"/>
        </w:rPr>
        <w:outlineLvl w:val="1"/>
      </w:pPr>
      <w:r/>
      <w:bookmarkStart w:id="38" w:name="_Toc11280"/>
      <w:r>
        <w:rPr>
          <w:rFonts w:hint="eastAsia" w:ascii="黑体" w:hAnsi="黑体" w:eastAsia="黑体" w:cs="黑体"/>
          <w:color w:val="000000"/>
          <w:sz w:val="24"/>
          <w:szCs w:val="24"/>
          <w:highlight w:val="none"/>
        </w:rPr>
        <w:t xml:space="preserve">四、拟采购标的需要满足的技术、商务要求</w:t>
      </w:r>
      <w:bookmarkEnd w:id="38"/>
      <w:r>
        <w:rPr>
          <w:rFonts w:hint="eastAsia" w:ascii="宋体" w:hAnsi="宋体" w:cs="宋体"/>
          <w:b/>
          <w:color w:val="000000"/>
          <w:sz w:val="24"/>
          <w:szCs w:val="24"/>
          <w:highlight w:val="none"/>
        </w:rPr>
      </w:r>
      <w:r/>
    </w:p>
    <w:p>
      <w:pPr>
        <w:pStyle w:val="706"/>
        <w:ind w:firstLine="0"/>
        <w:jc w:val="left"/>
        <w:keepLines w:val="0"/>
        <w:keepNext w:val="0"/>
        <w:pageBreakBefore w:val="0"/>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706"/>
        <w:ind w:firstLine="0"/>
        <w:jc w:val="left"/>
        <w:keepLines w:val="0"/>
        <w:keepNext w:val="0"/>
        <w:pageBreakBefore w:val="0"/>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详见项目清单表内容</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olor w:val="000000"/>
          <w:sz w:val="24"/>
          <w:highlight w:val="none"/>
        </w:rPr>
        <w:t xml:space="preserve">★</w:t>
      </w:r>
      <w:r>
        <w:rPr>
          <w:rFonts w:hint="eastAsia" w:ascii="宋体" w:hAnsi="宋体" w:cs="宋体"/>
          <w:color w:val="000000"/>
          <w:sz w:val="24"/>
          <w:szCs w:val="24"/>
          <w:highlight w:val="none"/>
        </w:rPr>
        <w:t xml:space="preserve">2（二）商务要求</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1、质保期：</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本项目所有产品质保期不得低于 </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年，费用包含在投标总价中。（自验收报告签字确认日起，开始进入质保期）。</w:t>
      </w:r>
      <w:r>
        <w:rPr>
          <w:rFonts w:hint="eastAsia" w:ascii="宋体" w:hAnsi="宋体" w:eastAsia="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2、质保要求：</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免费维护期要求：</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（1）免费维护期内因材料本身缺陷造成各种故障应由投标人免费进行维护、保养、更换。</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（2）投标人接到维护请求，应在2小时内响应，4小时内维护（修）人员到达现场。</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质保期内如同一故障发生三次，或在10天内无法修复，中标供应商应无条件换货。</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质保期结束后，中标供应商仍应负责提供终身维修服务，保证零配件的供给，但只能收取配件费。</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3、报价模式：</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应是本采购文件所包含确定的全部工作内容及本采购文件未说明但完成该项目必须包含的所有全部费用的价格体现。投标报价应包含但不限于人工费、设计费、安装费、机械费、材料费、设备费、已完工程保护费、间接费、措施费（已列出的除外）、管理费、风险费、人员劳保费用、意外保险及第三方责任险和人工费、</w:t>
      </w:r>
      <w:r>
        <w:rPr>
          <w:rFonts w:hint="eastAsia" w:ascii="宋体" w:hAnsi="宋体" w:cs="宋体"/>
          <w:color w:val="000000"/>
          <w:sz w:val="24"/>
          <w:szCs w:val="24"/>
          <w:highlight w:val="none"/>
          <w:lang w:val="en-US" w:eastAsia="zh-CN"/>
        </w:rPr>
        <w:t xml:space="preserve">售后服务、伴随服务等</w:t>
      </w:r>
      <w:r>
        <w:rPr>
          <w:rFonts w:hint="eastAsia" w:ascii="宋体" w:hAnsi="宋体" w:cs="宋体"/>
          <w:color w:val="000000"/>
          <w:sz w:val="24"/>
          <w:szCs w:val="24"/>
          <w:highlight w:val="none"/>
        </w:rPr>
        <w:t xml:space="preserve">各种税费、支付给员工的工资和国家强制缴纳的各种社会保障资金等以及政策性文件规定市场风险、政策调整风险的各项应有费用以及供应商认为需要的其他费用等。投标人的任何错漏、优惠、竞争性报价不得作为减轻责任、减少服务、增加收费、降低质量的理由。</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4、付款条件：</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详见合同条款。</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5、交付时间地点：</w:t>
      </w:r>
      <w:r>
        <w:rPr>
          <w:rFonts w:hint="eastAsia" w:ascii="宋体" w:hAnsi="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合同签订后30日历天内交付并完成安装调试及验收等相关工作。</w:t>
      </w:r>
      <w:r>
        <w:rPr>
          <w:rFonts w:hint="eastAsia" w:ascii="宋体" w:hAnsi="宋体" w:eastAsia="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所有设计方案满足采购人需求且货物安装到位通过验收并交付使用，严格按照投标文件与采购文件对比验收，保留邀请第三方质检部门验收的权利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交货地点：投标人负责将货物运到采购人指定地点，由投标人负责办理运输和装卸等，费用由投标人负责，由采购人组织验收，检验不合格或不符合质量要求，投标人除无条件退货、返工外，还应承担采购人的一切损失。投标人所提供的货物开箱后，如采购人发现有任何问题（如外观有损伤），投标人必须立即以同样型号的设备在采购人商定的时间内更换，确保其使用。</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6、项目管理：</w:t>
      </w:r>
      <w:r>
        <w:rPr>
          <w:rFonts w:hint="eastAsia" w:ascii="宋体" w:hAnsi="宋体" w:eastAsia="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（1）、项目实施完成，供应商应完成文档整理，竣工文档是验收的必要条件。投标人必须承诺接受“南京市教育装备项目管理平台 ”的信息化过程管理，在“南京市教育装备云服务平台”中公开投标文件、合同与合同清单。</w:t>
      </w:r>
      <w:r>
        <w:rPr>
          <w:rFonts w:hint="eastAsia" w:ascii="宋体" w:hAnsi="宋体" w:eastAsia="宋体" w:cs="宋体"/>
          <w:color w:val="000000"/>
          <w:sz w:val="24"/>
          <w:szCs w:val="24"/>
          <w:highlight w:val="none"/>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（2）、投标人必须承诺对所有进入固定资产的设备，按南京市的统一要求，通过“南京市教育装备项目管理平台”(南京市教育装备项目管理平台网址 http://nj.cneefix.com)制作二维码标签，并张贴到设备上。</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验收标准与要求</w:t>
      </w:r>
      <w:r>
        <w:rPr>
          <w:rFonts w:ascii="宋体" w:hAnsi="宋体" w:eastAsia="宋体" w:cs="宋体"/>
          <w:color w:val="000000"/>
          <w:sz w:val="24"/>
          <w:szCs w:val="24"/>
          <w:highlight w:val="none"/>
          <w:lang w:val="en-US"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项目实施完成，供应商应完成文档整理，竣工文档是验收的必要条件；</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验收的相关数据及中标产品信息，供应商应及时填入网络管理平台；</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（三）样品要求</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1.供应商</w:t>
      </w:r>
      <w:r>
        <w:rPr>
          <w:rFonts w:hint="eastAsia" w:ascii="宋体" w:hAnsi="宋体" w:eastAsia="宋体" w:cs="宋体"/>
          <w:color w:val="000000"/>
          <w:sz w:val="24"/>
          <w:szCs w:val="24"/>
          <w:highlight w:val="none"/>
          <w:lang w:val="en-US" w:eastAsia="zh-CN"/>
        </w:rPr>
        <w:t xml:space="preserve">按照评分办法要求提供样品</w:t>
      </w:r>
      <w:r>
        <w:rPr>
          <w:rFonts w:hint="eastAsia" w:ascii="宋体" w:hAnsi="宋体" w:eastAsia="宋体" w:cs="宋体"/>
          <w:color w:val="000000"/>
          <w:sz w:val="24"/>
          <w:szCs w:val="24"/>
          <w:highlight w:val="none"/>
          <w:lang w:eastAsia="zh-CN"/>
        </w:rPr>
        <w:t xml:space="preserve">（所有的制作标准和要求与本次采购项目一致）</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2.样品提交地点：南京市建邺区乐山路190号江苏华坤大厦16楼</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3.样品提交时间：投标截止时间前半小时开始接收，投标截止时间后不再接受。</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4.其他说明</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（1）样品上如有和供应商名称有关的信息，应提前覆盖或处理，未在规定地点及截止时间前按要求提交的样品将被拒收，样品评审不得分。</w:t>
      </w:r>
      <w:r>
        <w:rPr>
          <w:rFonts w:hint="eastAsia" w:ascii="宋体" w:hAnsi="宋体" w:eastAsia="宋体" w:cs="宋体"/>
          <w:color w:val="000000"/>
          <w:sz w:val="24"/>
          <w:szCs w:val="24"/>
          <w:highlight w:val="none"/>
          <w:lang w:eastAsia="zh-CN"/>
        </w:rPr>
      </w:r>
      <w:r/>
    </w:p>
    <w:p>
      <w:pPr>
        <w:pStyle w:val="706"/>
        <w:ind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（2）样品的所有费用由供应商承担，评标结束后，供应商应最迟于次日取回，否则按废品处理，后果自负。中标供应商的样品由采购人封存、保管，作为履约验收的参考。</w:t>
      </w:r>
      <w:r>
        <w:rPr>
          <w:rFonts w:hint="eastAsia" w:ascii="宋体" w:hAnsi="宋体" w:eastAsia="宋体" w:cs="宋体"/>
          <w:color w:val="000000"/>
          <w:sz w:val="24"/>
          <w:szCs w:val="24"/>
          <w:highlight w:val="none"/>
          <w:lang w:eastAsia="zh-CN"/>
        </w:rPr>
      </w:r>
      <w:r/>
    </w:p>
    <w:p>
      <w:pPr>
        <w:pStyle w:val="810"/>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810"/>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810"/>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810"/>
        <w:jc w:val="center"/>
        <w:rPr>
          <w:rFonts w:hint="eastAsia" w:ascii="黑体" w:hAnsi="黑体" w:eastAsia="黑体" w:cs="黑体"/>
          <w:color w:val="000000"/>
          <w:sz w:val="24"/>
          <w:szCs w:val="24"/>
          <w:highlight w:val="none"/>
          <w:lang w:val="en-US" w:eastAsia="zh-CN"/>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黑体"/>
          <w:color w:val="000000"/>
          <w:sz w:val="24"/>
          <w:szCs w:val="24"/>
          <w:highlight w:val="none"/>
          <w:lang w:val="en-US" w:eastAsia="zh-CN"/>
        </w:rPr>
      </w:r>
      <w:r/>
    </w:p>
    <w:p>
      <w:pPr>
        <w:pStyle w:val="810"/>
        <w:jc w:val="center"/>
        <w:rPr>
          <w:rFonts w:hint="eastAsia" w:ascii="黑体" w:hAnsi="黑体" w:eastAsia="黑体" w:cs="黑体"/>
          <w:color w:val="000000"/>
          <w:sz w:val="24"/>
          <w:szCs w:val="24"/>
          <w:highlight w:val="none"/>
          <w:lang w:val="en-US" w:eastAsia="zh-CN"/>
        </w:rPr>
        <w:outlineLvl w:val="1"/>
      </w:pPr>
      <w:r/>
      <w:bookmarkStart w:id="39" w:name="_Toc11761"/>
      <w:r>
        <w:rPr>
          <w:rFonts w:hint="eastAsia" w:ascii="黑体" w:hAnsi="黑体" w:eastAsia="黑体" w:cs="黑体"/>
          <w:color w:val="000000"/>
          <w:sz w:val="24"/>
          <w:szCs w:val="24"/>
          <w:highlight w:val="none"/>
          <w:lang w:val="en-US" w:eastAsia="zh-CN"/>
        </w:rPr>
        <w:t xml:space="preserve">项目清单</w:t>
      </w:r>
      <w:bookmarkEnd w:id="39"/>
      <w:r>
        <w:rPr>
          <w:rFonts w:hint="eastAsia" w:ascii="黑体" w:hAnsi="黑体" w:eastAsia="黑体" w:cs="黑体"/>
          <w:color w:val="000000"/>
          <w:sz w:val="24"/>
          <w:szCs w:val="24"/>
          <w:highlight w:val="none"/>
          <w:lang w:val="en-US" w:eastAsia="zh-CN"/>
        </w:rPr>
      </w:r>
      <w:r/>
    </w:p>
    <w:tbl>
      <w:tblPr>
        <w:tblW w:w="147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038"/>
        <w:gridCol w:w="2736"/>
        <w:gridCol w:w="5167"/>
        <w:gridCol w:w="741"/>
        <w:gridCol w:w="541"/>
        <w:gridCol w:w="1151"/>
        <w:gridCol w:w="1117"/>
        <w:gridCol w:w="868"/>
        <w:gridCol w:w="833"/>
      </w:tblGrid>
      <w:tr>
        <w:trPr>
          <w:trHeight w:val="255"/>
        </w:trPr>
        <w:tc>
          <w:tcPr>
            <w:tcW w:w="533" w:type="dxa"/>
            <w:vAlign w:val="center"/>
            <w:textDirection w:val="lrTb"/>
            <w:noWrap w:val="false"/>
          </w:tcPr>
          <w:p>
            <w:pPr>
              <w:pStyle w:val="706"/>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分项名称</w:t>
            </w:r>
            <w:r>
              <w:rPr>
                <w:rFonts w:hint="eastAsia" w:ascii="宋体" w:hAnsi="宋体" w:cs="宋体"/>
                <w:b/>
                <w:bCs/>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规格</w:t>
            </w:r>
            <w:r>
              <w:rPr>
                <w:rFonts w:hint="eastAsia" w:ascii="宋体" w:hAnsi="宋体" w:cs="宋体"/>
                <w:b/>
                <w:bCs/>
                <w:color w:val="000000"/>
                <w:szCs w:val="21"/>
                <w:highlight w:val="none"/>
              </w:rPr>
            </w:r>
            <w:r/>
          </w:p>
        </w:tc>
        <w:tc>
          <w:tcPr>
            <w:tcW w:w="5167"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功能、性能、配置不低于以下要求</w:t>
            </w:r>
            <w:r>
              <w:rPr>
                <w:rFonts w:hint="eastAsia" w:ascii="宋体" w:hAnsi="宋体" w:cs="宋体"/>
                <w:b/>
                <w:bCs/>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产品类型</w:t>
            </w:r>
            <w:r>
              <w:rPr>
                <w:rFonts w:hint="eastAsia" w:ascii="宋体" w:hAnsi="宋体" w:cs="宋体"/>
                <w:b/>
                <w:bCs/>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所属行业</w:t>
            </w:r>
            <w:r>
              <w:rPr>
                <w:rFonts w:hint="eastAsia" w:ascii="宋体" w:hAnsi="宋体" w:cs="宋体"/>
                <w:b/>
                <w:bCs/>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属性</w:t>
            </w:r>
            <w:r>
              <w:rPr>
                <w:rFonts w:hint="eastAsia" w:ascii="宋体" w:hAnsi="宋体" w:cs="宋体"/>
                <w:b/>
                <w:bCs/>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hint="eastAsia" w:ascii="宋体" w:hAnsi="宋体" w:cs="宋体"/>
                <w:b/>
                <w:bCs/>
                <w:color w:val="000000"/>
                <w:szCs w:val="21"/>
                <w:highlight w:val="none"/>
              </w:rPr>
            </w:r>
            <w:r/>
          </w:p>
        </w:tc>
      </w:tr>
      <w:tr>
        <w:trPr>
          <w:trHeight w:val="255"/>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图书阅览室</w:t>
            </w:r>
            <w:r>
              <w:rPr>
                <w:rFonts w:hint="eastAsia" w:ascii="宋体" w:hAnsi="宋体" w:cs="宋体"/>
                <w:color w:val="000000"/>
                <w:szCs w:val="21"/>
                <w:highlight w:val="none"/>
              </w:rPr>
            </w:r>
            <w:r/>
          </w:p>
        </w:tc>
      </w:tr>
      <w:tr>
        <w:trPr>
          <w:trHeight w:val="255"/>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1275"/>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900×300×2000mm±10mm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立柱采用≥1.2mm，隔板、侧板、顶板≥0.8mm，挂板≥1.0mm的冷轧钢板制作，表面静电环氧喷塑处理，无味，安全环保，层板可根据需求调节层高，便于摆放物品，加高底座增加柜体稳定性有效防止物品受潮。卡扣设计,无需螺丝，安装快捷方便,结实稳固。</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4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定制阅览桌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2100×1200×750mm±10mm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台面采用≥25mm三聚氰胺环保饰面板加工制作，边角倒圆，1.5mm厚PVC封边条机械封边；台下区域桌腿采用≥60×30mm门字形钢架，横梁采用≥60×50mm（其中两头≥60×20mm）矩形管，整体焊接而成，表面采用静电喷涂工艺，长时间使用也不会产生表面漆剥落现象。桌面带阅读一体灯1500×85×500mm，低压24VLED灯带光源，功率12W*4，单人单控按压型照明开关，充电器为220V，10A强电输入，输出5v，2.1A*4个。</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04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休闲椅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485×515×845mm±10mm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1.椅架：≥φ22mm钢管×1.5mm，厚1.5mm；220度高温静电喷涂，采用特殊工艺经过除锈、酸洗、磷化等防锈处理制成冷轧无缝钢管；管材表面精细光滑、无脱焊无飞渣、牢固抗冲击不变形。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2.胶壳：材质采用全新PP工程一体成型，环保不褪色，质地轻、抗裂性强。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3.椅背由：靠背、椅座、内座、3件套组成，内座可选：ABS彩色胶板、布垫座板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4.脚垫:高脚垫设计，保护地板，方便移动，减少噪音 。                                                                                                            </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阅读边桌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30350×600×800mm±10mm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1.桌面：台面采用≥25mm三聚氰胺环保饰面板加工制作，1.5mm厚PVC封边条机械封边；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2.桌架：桌腿：采用≥60×30×1.2mm门字形钢架。横梁：采用≥40×20×1.2mm方管。钢架整体采用静电粉末喷涂处理；配置脚垫。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吧台凳</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400×360×800mm±10mm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1.凳面：400×360mm。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2.高度：800mm。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3.全新PP料+玻纤注塑一体成型，木脚采用坚固耐磨弯曲木配装防滑脚垫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53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电子阅览桌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2.台面参数：台面采用≥25mm三聚氰胺环保饰面板加工制作，1.5mm厚PVC封边条机械封边；台面下设理线架。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3.台身参数：桌腿采用≥60×30×1.2mm门字形钢架，横梁采用40×20×1.2mm方管，两侧面设有主机拖架和课本架，均采用0.8mm冷轧钢板加工完成。钢架整体采用静电粉末喷涂处理。</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材料桌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1200×600×565～805mm±10mm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1.桌脚：外管≥80×40×1.5mm。可调节高度：565～805mmH；</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2.桌面：25mm厚三聚氰胺板贴可擦写白饭；</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3.钢架整体采用静电粉末喷涂处理。</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刊物架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1200×300×1200mm±10mm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2.柜体参数：柜体采用≥18mm厚三聚氰胺环保饰面板加工制作，1.5mm厚PVC封边条机械封边；设收纳矮柜模块，台面可置物，书刊展示区域则做跳色处理，以起视觉中心的视觉效果。</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移动书柜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1010×450×900mm±10mm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2.柜体参数：基材三聚氰胺饰面刨花板，顶板厚度≥25mm，层板厚度≥18mm，1.5mm厚PVC封边条机械封边。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3.三合一连接件，带可活动万向轮，方便移动。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花瓣椅子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450×420×770mm±10mm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1.材质：一体成型泡棉+实木架；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2.工艺：座背采用一体射出成型泡棉，外包为亲肤绒布。凳面分为木板层、高弹海绵层、乳胶层。实木四腿结构。</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馆员边台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1.台面：采用≥25mm三聚氰胺饰面板，1.5mm厚PVC封边条机械封边。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2.柜体参数：基材≥18mm厚三聚氰胺饰面板，截面均用1.5mm厚PVC封边条机械封边。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4.三合一连接件，镀镍阻尼铰链，45mm宽三节走珠静音导轨。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矮书架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900×300×1200mm±10mm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2.柜体参数：基材25mm厚三聚氰胺饰面刨花板，截面均用1.5mm厚PVC封边条机械封边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90"/>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专用设备</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自助借还设备及其软件（人脸识别）</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1.设备须采用高增益近场天线，在确保优异多标签读取性能同时避免误读；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2.应用软件保证连续使用160小时以上无故障；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3.按需可选择多种登录：支持二维码、人脸识别和一卡通等多种读取方式；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4.可非接触式快速识别粘贴在文献上的超高频RFID标签；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5.系统可以被馆员设定为仅有借书功能，或仅有还书功能。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6.具备防止一书登录多书借出功能。具防止抽换图书功能，防止读者在自助借还处理过程中抽换书籍；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 配合后台应用系统使读者有使用密码的功能。保护读者隐私，可选择显示读者姓名、读者条码号等非隐私信息；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 提供自动续连功能，在网络短暂故障恢复后，自动连接流通系统服务器，并恢复自助服务；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9.支持字体主题切换功能，为了更好的适应不同年龄段人员进行书籍借还操作，提供中号、大号、特大号三种字体大小样式；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10.设备具备借书、还书、续借功能：进行借书、还书、续借操作，且能正确完成；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1.工作频率：920-925MHz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2.符合标准：ISO/IEC 18000-6C</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3.重量：≤130kg（标准版），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4.显示屏：不小于27寸触摸屏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5.工作温度：-10℃～+40℃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6.储存温度：0℃～50℃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7.工作湿度：10%～85%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8.电    源：AC220V±10%</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OPAC图书查询机</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1、不小于43寸电容触摸屏。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2、机柜材质：冷轧钢制柜体，外表面优质汽车金属烤漆，防磁、防静电，经久耐用。整机颜色：黑白机身。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配置不低于I5的CPU、4G的内存、128G的固态硬盘。音响配置：采用双声道，立体声环绕功放系统。风扇配置：工控正轴式流风扇，无噪音，循环散热，散热快，延长使用寿命。接口形式：RJ45或RJ11的网络接口，带无线网WIFI。配有屏幕保护软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4、提供题名、著者、索取号、出版社等多个检索入口，读者可以查询馆藏书刊的位置信息、状态信息等。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5、读者可登陆系统查询本人的适用规则、借阅书刊信息、借阅历史等。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RFID安全门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1.可与图书馆现有的图书馆管理软件实现无缝联接；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2.可以非接触式的快速识别粘贴在流通资料上的RFID标签；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3.可以对图书馆内的印刷品、视听出版物、CD及DVD等流通资料进行安全扫描操作，不能损坏粘贴在流通资料中的磁性介质的资料；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 设备系统具有高侦测性能，能够进行三维监测；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 内置红外检测，识别运动方向，并进行人数统计。具备人数统计功能，支持多种显示模式：在馆人数、出馆人数、进馆人数、在馆人数+进馆人数、进馆人数+出馆人数；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 系统在人员经过时，自动开启监测，在无人经过时，自动休眠；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7.门禁须自带一体式嵌入式≥17.3寸超薄显示屏，分辨率：1920×1080，实时显示进出馆人数、报警书籍信息等内容，空余时间可轮播广告图片；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8.支持报警书籍信息的显示功能：设备自带的显示屏可显示非法书籍的条码号、书名等信息；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9.具备声光报警功能：当检测到未办理借阅手续的图书时会进行声光报警；报警音量可调节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 馆方可根据实际情况，设定设备系统采用在线或离线工作模式；在线模式可根据运行环 境自动切换工作模式；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 支持设定进出馆方向；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 工作频率：920～925MHz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 输出功率：0~33dBm，步进1dBm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 显示屏：≥17.3寸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 分辨率：1920×1080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 报警方式：声、光报警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 报警信息显示：可显示报警对象的条码号、题名等信息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 广告轮播：待机时可轮播广告图片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 工作电压：AV220V±10%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 通讯接口：RJ45、串口RS232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 外型美观：面板采用钢化玻璃面板，外形美观大方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 良好的读取性能：系统采用RFID（UHF）超高频技术，配备高性能主副通道天线，读取成功率高，无盲点.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三、技术需求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1、▲所投设备具有有效的RFID安全门监测系统软件著作权登记证书</w:t>
            </w:r>
            <w:r>
              <w:rPr>
                <w:rFonts w:hint="eastAsia" w:ascii="宋体" w:hAnsi="宋体" w:cs="宋体"/>
                <w:color w:val="000000"/>
                <w:szCs w:val="21"/>
                <w:highlight w:val="none"/>
              </w:rPr>
              <w:t xml:space="preserve">（提供复印件加盖厂家公章</w:t>
            </w:r>
            <w:r>
              <w:rPr>
                <w:rFonts w:hint="eastAsia" w:ascii="宋体" w:hAnsi="宋体" w:cs="宋体"/>
                <w:color w:val="000000"/>
                <w:szCs w:val="21"/>
                <w:highlight w:val="none"/>
                <w:lang w:val="en-US" w:eastAsia="zh-CN"/>
              </w:rPr>
              <w:t xml:space="preserve">扫描件编入至投标文件中</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46"/>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安全门底座</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配套安全门禁使用，更美观</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52"/>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移动还书箱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一、功能需求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1.还书箱面板可根据放置书籍重量的增减而自动升降，从而让图书馆馆员不必长时间弯腰进行图书的分拣及搬运工作，可以减轻其工作的强度。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2.还书箱带静态制动脚轮，可以在坡度小于10度的不平整地面上工作。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3.还书箱把手高度及宽度设计符合人机工程学，易于推行及转向控制。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二、性能需求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1.四个万向轮，靠近把手的两个带刹车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2.容积：书车有效容积：≤120L</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3.存放书量：≥100册（厚度小于30mm）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4.推手高度：≥700mm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5.推手宽度：≥250mm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6.轮子直径：不小于3寸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7.地面滚动阻力（空载）≤5kg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8.地面滚动阻力（满载）≤15kg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9.工作温度：-10℃～＋40℃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10.工作湿度：10%～90% 无凝露</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移动盘点车</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1、可对超高频RFID标签非接触式的进行阅读，快速识别粘贴在文献上的超高频RFID标签， 快速识别粘贴在架位上的RFID架标及层标；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2、设备配套软件须能实现资料搜索、资料错架检查、顺架、保存典藏结果等功能；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3、设备手持天线与主机通过有线连接进行数据传输；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4、触摸屏尺寸≥21.5吋，分辨率：1920×1080（16:9）；可自适应旋转，根据屏幕旋转的 方向屏幕可自适应旋转，横竖屏切换更加便捷；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5、推车式盘点设备轻便可移动，适合不同书架通道； 6、设备在找到目标图书，定位正确架位，发生报警提示时都必须同时提供声音、画面提示， 声音音量可以调节；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7、提供顺架、盘点、新书上架、倒架、上架指导、剔旧、图书查找等功能；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8、设备双天线设计，手持天线用来定位、顺架、盘点；台面天线用来还回图书的上架识别操作，方便馆员应对不同的使用场景。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设备须采用一体式双天线设计。手持天线用于日常顺架、倒架、盘点等工作；台面天线能同时读取放置在台面上的多本图书，并在一体式触摸屏上显示对应书名、定位信息等相关数据，从台面抽离的书，会在屏幕上显示标红，方便使用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1、工作频率：920～925MHz；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2、盘点设备RFID标签阅读器阅读范围半径：0-50mm；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3、防冲突性：允许工作区间内多个标签的可靠识读；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4、盘点车手持天线能自动判定图书距离，当遇到图书时自动打开读取，在10CM左右范围不产生误读，避免读取上下层和前后书架图书误读；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5、移动方便：产品底部须安装有4个静音万向轮；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6、扩展功能强：设备外部至少配备2个USB接口1个网络接口；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7、触摸显示屏：≥21.5寸；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设备为推车式一体化设备，设备集成（触摸屏、主机、读取设备、电池设备）稳定可靠。且设备屏幕可实现旋转：屏幕可实现360°上下旋转、左右旋转，采用羽翼式的旋转支架设计，外形更加美观，产品更有科技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9、电池电量状况可监测：可通过电量显示屏实时查看电池电量状态；开启盘点软件后可在软件界面看到实时的电池剩余电量状态；在低于设定值时，可弹窗及语音提示用户；充满电后亦有弹窗及语音提示用户；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10、手柄重量：≤300克；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11、工作温度：0℃-50℃；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12、存储温度：-10℃-60℃；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13、WIFI：符合IEEE802.11g标准；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14、整机重量：≤45kg；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15、设备侧面提供放置水杯的支架，以便工作人员放置水杯；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16、设备正面有两层临时书架，方便图书临时周转；</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17、设备背面有储物背包，方便存放馆员日常工作用的工具，方便馆员工作开展。</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136"/>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RFID层架标</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1、标签为无源标签，具有良好的互换性与兼容性。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2、标签中有存储器，存储在其中的信息可重复读、写。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3、标签可以非接触式的读取和写入。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4、标签具有一定的抗冲突性，能保证多个标签的同时可靠识别。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5、标签具有较高的安全性，防止存储在其中的信息资料被泄露。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6、具有不可改写的唯一序列号（TID）；</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7、芯片具有高的灵敏度、大的存储空间等特性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1.符合标准：ISO/IEC 18000-6C</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2.工作频率：860～960MHz；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3.标签材料：PC胶壳+水晶滴塑+Inlay+不干胶底纸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4.工作模式：R/W（可进行读取和写作操作）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5.工作湿度：≤80%；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6.有效识读距离：符合盘点设备读取要求；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7.内存可擦写100,000 次以上。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8.数据保持时间：不低于10年。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枚</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RFID图书标签</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1、标签为无源超高频标签，工作频率：860～960MHz（通用于全球 UHF超高频频段），具有良好的互换性与兼容性；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2、标签中有存储器，存储在其中的信息可重复读、写；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3、标签可以非接触式的读取和写入；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4、标签具有一定的抗冲突性，能保证多个标签的同时可靠识别；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5、提供密码保护，防止存储在其中的信息资料被非法改写；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6、具有不可改写的唯一的96位序列号（TID）；</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1.符合标准：ISO/IEC 18000-6C</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2.工作频率：860～960MHz；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3.标签粘贴隐蔽，粘贴到位后不易撕毁、脱落，安装于图书内页夹缝中；</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4.工作模式：读写，支持密集读写器模式；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5.存储温度：-20℃—+50℃；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6.工作湿度：≤80%；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7.极化方式：线极化；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8.有效识读距离：符合自助借还、书架、安全门等设备读取要求；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9.有效使用寿命：图书正常的借阅、弯折，可以使用10年以上；内存可擦写100,000次以上；</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枚</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读者证</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1.标签为无源标签，须符合国际相关行业标准，具有良好的互换性与兼容性。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2.标签中有存储器，存储在其中的信息可重复读、写。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3.标签可以非接触式的读取和写入。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4.标签具有一定的抗冲突性，能保证多个标签的同时可靠识别。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5.具备防冲突功能。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6.借书证图案、文字说明根据图书馆的要求生产。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1、符合ISO/IEC 18000-6C标准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2、工作频率:860～960MHz（通用于全球UHF频段。）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3、提供密码保护，防止存储在其中的信息资料被非法改写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4、具有不可改写的唯一序列号（TID）</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5、可印制图书馆定制内容(借书证图案、文字说明)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6、电子标签通过非接触式工作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7、可重复擦写次数：≥10万次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9、工作温度范围：-10℃～70℃</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2000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RFID图书标签及读者证数据转换</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1、在图书书脊位置粘贴RFID电子标签，通过馆员工作站给图书电子标签写入图书数据（数据转换），并与RFID系统及图书管理系统准确对接。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2、所有图书加工完毕后，需按照图书馆原有的排列方式归回原架，并整齐摆放。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3、层架标签加工服务：根据需求和馆方确定编码规则；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4、通过馆员工作站给图书电子标签写入层架信息；把相应的层架标签正确粘贴在相对应的层架上。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5、标签安装工作须建立质量管控抽查机制，除加工工人外须安排至少一名质量监督专员，每天对加工图书进行两次质量抽检。</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69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图书馆管理平台软件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南京市中小学图书馆服务平台：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系统采用B/S架构，以确保系统的可访问性、可扩展性和维护便捷性。学校管理员和读者通过自己的用户登录信息，使用标准的Web浏览器访问服务平台，选择图书馆管理系统模块并执行相应的业务操作和日常管理服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2、服务器端软件系统应具备良好的跨平台兼容性，全面支持信息技术应用创新（信创）产业生态，支持部署在主流的国产操作系统（如银河麒麟、统信UOS等）、国产数据库（如达梦、阿里云等）和硬件平台上。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3、单位管理：支持单位性质（公办、民办）、单位类型（小学、初中、高中、其他）和不同单位类型学制的设置；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系统设置：支持图书、过刊、期刊、音像条码的首字符和长度设置；支持集体借阅启用和禁用设置，以及集体借阅对象的设置；支持借书、还书、注销、剔旧、盘库操作成功和失败提示音的设置；支持阅览室默认自动登出时间的设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5、学年管理：支持读者按学年进行管理，新建学年时，毕业班学生能够自动毕业，其他年级学生能够自动升级；支持学年建立错误时可退回至上一学年；</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6、馆员管理：支持对图书馆馆员（馆员信息至少包含姓名、专职兼职、上岗证书、到馆时间、是否正式职工、手机号码等）的登记管理；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7、库室设置：支持书库及阅览室的管理，库室信息至少包含库室名称、开馆时间、建筑面积、阅览室座位数、库室类型（如学生书库、工具书库等）、读者可使用的电脑台数、库室建立的时间等；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8、架位管理：支持书架的管理，可自行添加书架信息（如书架编号、书架所在书库名称、每层书架条码号、每层书架电子标签ID号等）；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9、操作日志：支持系统操作日志记录和查看功能，至少包含用户登录、用户管理、读者管理、书刊管理的操作日志；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10、工作量统计：支持馆员工作量的统计，至少包含图书编目上架、借出、归还、期刊征订和新刊登到、题录登记工作量的统计；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11、部门管理：支持将读者（教职工）按照部门进行分类，便于对读者的管理与设置，可统一设置读者借阅规则；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12、年级管理：支持专职院校按照学制进行的专业和班级管理；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13、班级管理：支持将读者（学生）按照班级进行分类管理，便于对学生的统一管理与设置；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读者管理：支持读者管理，至少包含批量导入Excel读者名单、批量修改读者基本信息、批量调整读者所在班级、读者导出功能；支持读者注销、取消注销、停借、取消停借、挂失、取消挂失、重置读者密码等功能；读者字段信息至少包含，姓名、性别、部门/班级、借阅规则、读者照片、一卡通卡面号、一卡通物理号、工号/学籍号、身份证号、手机号、办证日期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15、读者统计：支持根据指定的学年和读者状态读者，按班级、年级、部门、性别统计读者；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16、总括单管理：支持书刊总括单或批次号的管理，总括单字段信息至少包含总括单编号、名称、来源、实洋、码洋、书刊册数、凭证单据、制单人、制单日期等；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17、图书编目：支持图书编目入库管理，图书目录信息至少包含，ISBN、正题名、副题名、第一</w:t>
            </w:r>
            <w:r>
              <w:rPr>
                <w:rFonts w:hint="eastAsia" w:ascii="宋体" w:hAnsi="宋体" w:cs="宋体"/>
                <w:color w:val="000000"/>
                <w:szCs w:val="21"/>
                <w:highlight w:val="none"/>
              </w:rPr>
              <w:t xml:space="preserve">责任者、其他责任者、分类索书号、出版年月、出版者、出版地、页数、图、定价、附件、版本版次、尺寸、分辑名、分辑号、丛编正题名、丛编责任者、分类说明；系统自带图书编目库不少于300万册；具有联机编目功能；支持Excel文件批量导入，可导入字段至少包含ISBN、正题名、条码号、副题名、第一责任者、其他责任者、分类索书号、出版年月、出版者、出版地、页数、图、定价、附件、版本版次、尺寸、分辑名、分辑号、丛编正题名、丛编责任者；图书上架时支持馆藏地点、总括单的选择；支持条码号、电子芯片ID号、复本数、图片的录入和上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过刊编目：支持过刊编目入库管理，过刊录入信息至少包含ISSN、刊名、邮发代号、分类索书号、合订期数、单本价格、合订本价格、全年定价、出版地、出版周期、主板单位、期刊年份、创刊时间、开本、语种、分类说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音像编目 支持音像编目入库管理，音像信息至少包含ISRC、正题名、第一责任者、其他责任者、版本版次、出版者、出版年月、出版地、播放时间、制式、尺寸、分辑名、分辑号、丛编正题名、丛编责任者、分类索书号、定价、分类说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19、打印条码：支持打印条形码，支持自定义条码中的学校名称；支持连续条码号、补缺条码号、指定条码号检索；支持根据自定义纸张尺寸进行打印的排版；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20、打印书标：支持根据单个条码、条码范围、编目时间、编目人员查询条件，查询需打印的书标信息。用户可以自定义纸张尺寸，和书标纸张的行数和列数，通过上下左右微调功能，可以调整书标的准确打印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21、入库明细：支持根据入库时间、馆藏地点、总括单、入库人，查询书刊入库明细信息；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22、入库明细汇总：支持按图书二十二大类、五大部类、馆藏地点、图书目录、入库时间统计方式，统计书刊入库汇总信息；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23、推荐书目管理：支持根据读者的阅读情况、不同图书的阅读对象等，定期可以为读者整理推荐书目；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24、图书推荐：支持图书推荐功能，可按不同年龄的阅读对象推荐图书，支持图片和推荐理由的录入；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25、书刊批量处理：支持批量修改书刊的编目和上架信息，如总括单、馆藏地等；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26、校对：可以根据图书的条码来修改图书的编目和上架信息，可以修改当前图书的单价、馆藏地、总括单、编目信息，以及单本图书的上架目录；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27、条码更换：支持图书条码更换功能，支持批量调整图书的馆藏地点、总括单；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28、删除：支持按图书书名、作者、出版社、出版时间、入库时间、总括单、馆藏地点、条码号等字段信息，进行图书的剔旧、注销操作；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29、剔旧：支持破旧或不适合流通的图书且未确定是否注销前进行标记处理；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30、剔旧明细：支持根据时间段、馆藏地点等条件，查询指定时间范围内书刊的剔旧明细信息；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31、剔旧明细汇总：能够按二十二大类、五大部类、馆藏地点的方式，统计指定时间范围内图书的剔旧汇总信息；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32、注销：支持将图书馆中丢失、陈旧过时、或不适合公开流通等书刊分离出来，按不同情况分别处理；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33、注销明细：能够让用户对指定时间范围内，指定书库（或全馆）内图书、过刊、音像和期刊的注销情况进行查询和导出；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34、注销明细汇总：支持将在指定时间范围内，统计注销的种数和册数，统计方式有按二十二大类统计、按五大部类统计或按书库统计；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35、图书清查：支持图书清查功能，可设置图书清查分类（非法、不适宜、外观差），图书清查时可调整图书的馆藏地点；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36、清查明细：能够根据时间段、馆藏地点等条件，查询指定时间内图书的清查明细信息；支持图书清查明细表的导出；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37、清查明细汇总：能够按二十二大类、五大部类、馆藏地点的方式，统计指定时间内图书清查的汇总信息；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38、盘库：支持图书盘库功能，图书盘库时可修改图书的馆藏地点，在盘库过程中可方便的查询已盘库和未盘库的图书明细信息；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39、已盘库明细：支持根据指定时间、书刊类型、图书分类和馆藏地点查询已盘图书库记录，同时支持数据清空和恢复、导出已盘点记录与明细表；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40、未盘库明细：支持根据书刊类型、图书分类和馆藏地点查询未盘图书库记录，针对未盘点的图书，确认丢失或不在图书馆进行注销处理，同时导出未盘点记录与明细表；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41、盘库统计：支持根据书刊类型、按二十二大类统计方式、馆藏地点、盘库名称，统计指定时间内图书盘库的汇总信息；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42、报刊类型：支持对征订的报刊进行分类管理和统计；支持根据不同的报刊类型设置默认登到书库；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43、报刊征订：支持报刊征订功能，可批量导入报刊征订信息，报刊字段信息至少包含邮发代号、ISSN、报刊名称、CN、出版周期、征订期数、征订份数、每份定价、总价、单本价格、主办单位、出版地、创刊日期、语种、开本、排架号等；同时支持对已征订的报刊进行取消征订和续订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44、征订明细：支持根据报刊征订年份和其他检索条件，查询报刊的征订明细信息；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45、新刊登到：支持报刊登到功能，每期报刊可在系统中进行登到，登到时可指定报刊的登到地点和排架号；支持增刊和赠刊的登到管理；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46、登到明细：能够根据期刊征订年份和其他检索条件，查询期刊的登到明细信息，如期刊的登到期数、登到时间、期刊状态、期刊定价、登到书库、登到时间等信息；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47、期刊装订：支持期刊装订功能，针对已登到的期刊可选择指定期数进行装订上架；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48、期刊拆刊：对于已装订的期刊，系统中支持将在期刊装订过程中装订错误的期刊进行拆刊处理；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49、打印刊脊：能够根据单个条码、条码范围、编目时间、编目人员查询条件，查询需打印的刊脊信息；支持自定义纸张尺寸和刊脊的列数；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50、期刊题录：支持期刊题录的收录功能，题录字段信息至少包含刊名、期数、页码、题名、学科、作者、关键字等；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51、期刊淘汰：支持期刊淘汰功能，可根据征订年份批量淘汰期刊，期刊淘汰时可录入期刊淘汰原因；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52、期刊淘汰明细：针对已淘汰的期刊，能够查询到期刊淘汰明细信息；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53、题录统计：能够根据指定年份统计特定年份的题录数量；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54、期刊统计：能够根据指定时间段和统计方式，统计最近年期刊及报纸的征订种数；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55、定义借阅规则：支持自定义图书的借还规则，规则内容包含可借书库、可借书刊类型、借阅册数、借阅期限、续借次数、有效预约天数、可借书库、超期罚款金额等；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56、分配借阅规则：支持为不同的部门、班级、读者，指定相应的借阅规则；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57、归还期限调整：支持借阅过程中对于非固定节假日，通过手动调整的方法进行统一向后延续归还时间；</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58、借还：支持常规的图书借阅和归还功能，支持其他相关功能的快速跳转；</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59、快速借阅：支持图书快速借阅功能；提供借阅成功提示及借阅明细查看功能。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60、快速归还：支持图书快速归还功能；提供归还成功提示及归还明细查看功能。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61、期刊无条码归还：针对没有粘贴条码的期刊，进行特定的无码归还操作；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62、集体借阅：支持集体借阅功能，提供班级名称，可进行批量借阅图书；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63、预约：针对已借出且无在馆库存的图书，支持读者进行预约借阅功能，提前锁定图书，预防还回后他人再次借阅；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64、预约管理：支持查询或取消读者的预约信息；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65、赔书：支持对已借出且书刊损坏或丢失的图书，进行赔书处理；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66、赔书查询：支持查询使用赔书处理方式的记录明细；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67、收缴罚款：支持收缴罚金（如超期罚款、赔书罚款）功能；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68、罚款查询：支持查询已收和未收罚金的详细信息；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69、在借查询：支持查询指定时间内，已经借出且没有归还的图书信息，针对没有归还的图书，系统支持统一归还；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70、流通查询：支持查询指定时间内，图书的借还历史明细信息；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71、超期汇总：支持图书超期汇总和超期明细信息的查询；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72、读者借阅史：支持对读者流通史的明细信息查询；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73、图书流通史：支持对图书流通史的明细信息查询；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74、阅览登到：支持阅览室的管理，如进入阅览室的签到、有利于图书馆做出相应的工作安排；阅览明细、阅览统计等；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75、阅览明细：可查询指定日期内，读者进入阅览室的详细情况；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76、阅览统计：根据指定时间，按班级统计阅览室的到馆人次及到馆率；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77、阅览跟踪：能够统计各个部门在每个阅览室的阅览情况，便于了解每个阅览室的阅览情况和在各个部门中受欢迎的程度；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78、借阅率统计：支持统计特定查询条件下的图书借阅率；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79、流通率统计：支持统计特定查询条件下的图书流通率；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80、读者借阅排行榜：支持查询在指定时间段内和其他特定查询条件下的读者借阅排行榜；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81、图书流通排行榜：支持查询在指定时间段内和其他特定查询条件下的图书流通排行榜；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82、分库借阅情况：支持按书库分类统计，各书库的在馆图书、借出图书、注销图书、现有图书情况；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83、总括统计：支持按年份统计各总括单的详细信息，如册数、码洋、制单人、制单日期等；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84、馆藏统计：支持按馆藏地点、二十二大类、五大部类、指定图书类别的方式，统计图书的种数、册数、金额；</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85、图书变化统计：支持按馆藏地点、二十二大类、五大部类、指定图书类别的方式，统计图书在指定时间内的增加、减少、结存情况；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86、书刊检索：支持从分类索书号、标题、作者、出版日期等多个检索点入手，查询特定书目的书籍信息、馆藏情况与借阅情况；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87、推荐书目：能够根据选择的推荐目录，查看当前推荐目录单中详细的图书信息；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88、题录检索：支持从题名、刊名、邮发代号、征订年份等多个检索点入手，检索馆中是否符合条件的期刊题录，显示该期刊题录的详细信息，方便读者查阅相关题录的期刊；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89、图书馆基本情况：支持图书馆基本情况统计，能够统计本单位基本情况、所有馆员信息、所有馆舍信息；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90、图书馆藏书情况：支持图书馆藏书情况统计，能够统计指定年份下图书的增减情况、藏书结构、生均藏书、年生均购书、工具书信息；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91、图书馆使用情况：支持图书馆使用情况统计，能够统计指定学年下图书的借阅率、流通率、阅览情况、各大类图书利用率等信息；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92、检查标准参照：能够根据指定检查标准进行参照比对，比对结果包含生均藏书情况、报刊征订种数、工具书、年生均购书、馆藏图书结构比例、借阅情况借阅情况；同时进行达标对比，计算达标缺口数值；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93、教育部推荐书目：提供教育部推荐书目的完整列表，支持按学校类型、目录名称检索；支持书目详情查看，包括书名、作者、出版社、ISBN、中图分类号、读者对象等信息。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94、教育部推荐书目统计：支持对教育部推荐书目进行统计分析，包含标准、现有和差值比对。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95、图书征订：能够显示指定采购计划，支持不同供应商及目录检索；支持多种检索条件，至少包含书名、作者、ISBN、出版社、出版年月、读者对象等；支持图书明细，包含馆藏比对，修改征订数量等。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96、图书征订明细：支持查看图书征订的详细信息，包含征订批次、采购方式、书名、作者、ISBN、数量等；支持在线提交图书订单；支持单个及批量取消征订；支持不同列名显示设置及导出数据。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97、图书征订统计：支持不同统计方式进行统计，包含二十二大类、五大部类、日期、征订人员等；统计信息包含名称、种数、册数、码洋及实洋等信息。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98、图书征订配货率：支持统计图书征订的配货率；支持数据导出。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99自采图书到货率：支持统计自采图书的到货率（使用总括单编目信息比对）；支持数据导出。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100、MARC管理：提供Marc数据导入功能，可一次将指定Marc数据文件导入至系统中，便于图书编目；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101、MARC明细：对Marc数据管理，可查询导入Marc数据记录的明细信息，也可对不需要的Marc数据进行删除操作；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102、MARC导出：将系统中现有图书编目信息导出成Marc数据文件格式，可提供给其他学校或单位使用，实现了图书编目信息的共享；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103、电子芯片批次：能够通过批次号对电子标签进行分批次管理，便于对图书上的电子标签追溯来源；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104、绑定电子标签：能够通过指定型号的电子标签绑定设备，将电子标签的ID号和图书的条码号进行绑定；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105、绑定芯片统计：可以根据年份，按批次号分类统计电子标签的绑定数量，支持导出；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106、投标产品具有图书馆管理软件著作权登记证书（提供复印件加盖厂家公章）；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107、投标产品具有中国软件评测中心2023年以来出具的软件产品登记测试报告（提供复印件加盖厂家公章），依据 GB/T25000.51-2016《系统与软件工程 系统与软件质量要求和评价(SQuaRE)第51部分：就绪可用软件产品(RUSP)的质量要求和测试细则》，测试报告中需包含以下功能检测：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(1).电子芯片批次、绑定电子标签、绑定芯片统计功能；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(2).图书清查、清查明细、清查明细汇总功能；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(3).图书馆基本情况分析、图书馆藏书情况分析、图书馆使用情况分析功能；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(4).检查标准参照（可以根据选择的检查标准，统计分析图书馆现有藏书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情况、馆藏结果、图书借阅情况、每年购书情况、生均藏书情况是否达标）功能；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(5).学年管理、馆员管理、架位管理、操作日志、工作量统计功能；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(6).报刊类型、报刊征订、征订明细、新刊登到、登到明细、期刊装订、期刊拆刊、打印刊脊、期刊题录、期刊淘汰、期刊淘汰明细、题录统计、期刊统计功能；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(7).定义借阅规则、分配借阅规则、归还期限调整、借还、期刊无条码借还、集体借阅功能；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108、投标产品具有“CMA”或“CNAS”标识的软件检测报告（提供复印件加盖厂家公章），依据GB/T25000.51-2016《系统与软件工程 系统与软件质量要求和评价(SQuaRE)第51部分：就绪可用软件产品(RUSP)的质量要求和测试细则》，测试报告中需包含以下功能检测：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(1).读者管理（部门管理、年级管理、班级管理、读者管理、读者统计）；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(2).书刊管理（书刊批量处理、校对、条码更换、删除）；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(3).图书征订（装备推荐书目、装备推荐书目统计、自采图书到货率）；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(4).智能设备（电子芯片批次、绑定电子标签、绑定芯片统计）。</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1277"/>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馆员工作站</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1.应用软件保证连续使用 160小时以上无故障;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2.可以对图书标签防盗位进行复位或置位操作;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3.具有操作人员的权限管理功能；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4.提供准确的工作统计，如操作数量、操作类型、成功与否的操作统计等。操作结束后可根据需要查询借书，还书，续借，查询收据及统计分析结果；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5.具备图书查询功能，可根据注册日期、图书类型、条码号、责任者、主题词、中法分类号、题名、馆藏地、出版社等条件检索图书数据，并导出相应清单，方便客户掌握；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6.具备借阅查询功能，可根据操作类型、操作时间、条码号、题名、读者证号、终端地址等条件检索数据，并可导出对应数据清单；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7.具备借阅统计功能，可根据借阅日期、终端名称等条件检索借还量，并可导出对应清单，方便客户掌握图书借还数据；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二、性能要求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1.符合标准：ISO/IEC 18000-6C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2.工作频率：920MHz~925MHz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3.功率调节范围：9~33dBm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4.显示器：≥ 21.5吋触摸一体机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5.内存（RAM+ROM）：8GB+128GB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6.通信接口：RJ45网口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7.电源：110-240V AC 50/60Hz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8.工作温度：0℃—+50℃；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9.存储温度：-10℃—+60℃；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10.工作湿度：≤90% RH（无凝露）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三、技术要求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1.▲投标产品具有RFID馆员工作台系统软件著作权登记证书（提供复印件加盖厂家公章</w:t>
            </w:r>
            <w:r>
              <w:rPr>
                <w:rFonts w:hint="eastAsia" w:ascii="宋体" w:hAnsi="宋体" w:cs="宋体"/>
                <w:color w:val="000000"/>
                <w:szCs w:val="21"/>
                <w:highlight w:val="none"/>
                <w:lang w:val="en-US" w:eastAsia="zh-CN"/>
              </w:rPr>
              <w:t xml:space="preserve">扫描件编入至投标文件中</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外文阅览室</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移动书写椅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600×700×845mm±10mm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1.胶壳：材质采用PP加纤材质，环保不褪色，抗裂性强。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2.椅架：采用≥32×18×1.5mm厚冷锻方圆钢管，220度高温静电喷涂，处理精细光滑、牢固抗冲击不变形。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3.可活动万向轮，方便移动。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4.写字板：全铝合金支架+白色PP面板，隐藏式杯托。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5.功能：座垫可上翻堆叠摆放，节省空间。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8500×300×3100mm±10mm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教师阅读室</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茶吧台1</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7300×600×800mm±10mm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1.台面：采用≥15mm岩板，主要由石英石+岗石+黏土混合，经1200度高温烧制而成，经久耐用，耐磨防刮，不渗水，易清洁污渍、环保无污染。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1.柜体：采用≥16mm三聚氰胺环保饰面板加工制作，1.5mm厚PVC封边条机械封边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2.铰链：采用静音阻尼铰链，整体二段缓冲+三维调节+防腐防锈，高强承重，十万次开合测试。</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茶吧台2</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3700×600×800mm±10mm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1.台面：采用≥15mm岩板，主要由石英石+岗石+黏土混合，经1200度高温烧制而成，经久耐用，耐磨防刮，不渗水，易清洁污渍、环保无污染。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1.柜体：采用≥16mm三聚氰胺环保饰面板加工制作，1.5mm厚PVC封边条机械封边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2.铰链：采用静音阻尼铰链，整体二段缓冲+三维调节+防腐防锈，高强承重，十万次开合测试。</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吧台椅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H690mm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1.椅身：采用全新PP料+玻纤注塑一体成型；人机工学设计，贴合人体曲线。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2.椅腿：采用金属椅腿，承重力强，表面静电粉末喷涂处理，漆面平滑坚硬，不易脱落；配防滑脚垫。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刊物架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1210×300×1200mm±10mm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2.柜体参数：柜体采用18mm厚三聚氰胺环保饰面板加工制作，1.5mm厚PVC封边条机械封边；设收纳矮柜模块，台面可置物，书刊展示区域则做跳色处理，以起视觉中心的视觉效果。</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中央书柜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600×600×350mm±10mm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卡座书柜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680×450×900mm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2.柜身参数：采用三聚氰胺环保饰面板加工制作，顶板厚度≥25mm,层板厚度≥18mm，1.5mm厚PVC封边条机械封边。坐垫靠背采用高密度回弹海绵软包，外包高弹性莱卡布。</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图书馆椅子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485×515×845mm±10mm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1.椅架：≥φ22mm钢管×1.5mm，厚1.5mm；220度高温静电喷涂，采用特殊工艺经过除锈、酸洗、磷化等防锈处理制成冷轧无缝钢管；管材表面精细光滑、无脱焊无飞渣、牢固抗冲击不变形。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2.胶壳：材质采用全新PP工程一体成型，环保不褪色，质地轻、抗裂性强。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3.椅背由：靠背、椅座、内座、3件套组成，内座可选：ABS彩色胶板、布垫座板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4.脚垫:高脚垫设计，保护地板，方便移动，减少噪音 。                                                                                                            </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阅览桌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1400×800×750mm±10mm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台面采用≥25mm三聚氰胺环保饰面板加工制作，边角倒圆，1.5mm厚PVC封边条机械封边；台下区域桌腿采用≥60×30mm门字形钢架，横梁采用≥60×50mm（其中两头≥60×20mm）矩形管，整体焊接而成，表面采用静电喷涂工艺，长时间使用也不会产生表面漆剥落现象。</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卡座</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2200×660×（450-900）mm±10mm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框架：三聚氰胺环保饰面板；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填充：高弹力海绵；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覆面：抗污科技布饰面；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配件：尼龙脚钉。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历史专用教室</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1.桌面：采用25mm橡胶木实木制作。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身参数：桌腿采用≥32×32mm木方制作。榫卯结构，搭配插接活动隔板、传统格栅型制挡板、艺术造型门板。产品采用环保油漆，根据款式使用全封闭或半开放工艺，三底二面，半亚光涂饰，做到视面平整光滑，光泽柔和。</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2400×200×150mm±10mm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7000×600×800mm±10mm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课桌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1.桌面：采用橡胶木实木制作。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2.桌架：采用实木，环保，安全；木纹通达清晰，木质坚韧，结构稳固，具有耐磨.耐压.耐撞击等优点。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方凳</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400×300×450mm±10mm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采用橡胶木实木制作，整体采用榫卯结构，环保、安全。木纹通达清晰，木质坚韧，结构稳固，具有耐磨.耐压.耐撞击等优点。所有实木均要进行蒸汽脱脂干燥处理，含水量≤12%，做到不开裂翘曲和虫蛀防腐。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产品采用环保油漆，根据款式使用全封闭或半开放工艺，三底二面，半亚光涂饰，做到视面平整光滑，光泽柔和。</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展示柜1</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1450×400×3100mm±10mm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3.其他：柜门搭配历史图文。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展示柜2</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4500×400×3100mm±10mm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3.其他：柜门搭配历史图文。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殷墟甲骨文模型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一甲一骨，高度仿真制作。不小于200*190mm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汉竹木简模型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高度仿真，盒装。-</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地动仪模型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动仪用精铜制成，圆经八尺，合盖隆起，形似酒樽。表面作金黄色，上部铸有八条金龙，分别伏在东、西、南、北及东北、东南、西北、西南八个方向。龙倒伏，龙首向下，龙嘴各街一颗小铜球，与地上仰蹲张嘴的蟾蜍相对。地动仪空腔中央，立一根铜柱，上粗下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铜柱周围有八根横杆，称为“八道”，各与一龙头相连。铜柱是震摆装置，八道用来控制和传导铜柱运动的方向。在地动仪受到地震波冲击时，铜柱就倒向发生地震的方向，推动同一方向的横杆和龙头，使龙嘴张开，铜球下落到蟾蜍嘴中，并发出响声，以提示人们注意发生了地震及地震的时间和方向。1:10高仿，用途：水平摆放，供观赏认知。不小于340*280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人面鱼纹陶瓷盆模型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人面鱼纹彩陶盆，由细泥红陶制成，敞口卷唇，口沿处绘间断黑彩带，内壁以黑彩绘出两组对称。不小于380*140mm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四羊方尊模型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四羊方尊器身方形，方口，大沿，颈饰口沿外侈，每边边长为524mm，其边长几乎接近器身583mm的高度。长颈，高圈足。颈部高耸，四边上装</w:t>
            </w:r>
            <w:r>
              <w:rPr>
                <w:rFonts w:hint="eastAsia" w:ascii="宋体" w:hAnsi="宋体" w:cs="宋体"/>
                <w:color w:val="000000"/>
                <w:szCs w:val="21"/>
                <w:highlight w:val="none"/>
              </w:rPr>
              <w:t xml:space="preserve">饰有蕉叶纹、三角夔纹和兽面纹。尊的中部是器的重心所在。尊四角各塑一羊。肩部四角是四个卷角羊头，羊头与羊颈伸出于器外，羊身与羊腿附着于尊腹部及圈足上。尊腹即为羊的前胸，羊腿则附于圈足上，承担着尊体的重量。羊的前胸及颈背部饰鳞纹，两侧饰有美丽的长冠凤纹，圈足上是夔纹。方尊肩饰高浮雕蛇身而有爪的龙纹，尊四面正中即两羊比邻处，各一双角龙首探出器表，从方尊每边右肩蜿蜒于前居的中间。全体饰有细雷纹。器四角和四面中心线合范处均设计成长棱脊，其作用是以此来掩盖合范时可能产生的对合不正的纹饰。不小于420*420*580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司母戊鼎模型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材质：锌铜合金；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规格不小于：长18cm、宽14cm、高22cm，实际测量尺寸误差不超过1cm；按照原物1:6进行仿制。</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货币模型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秦统一八枚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曲辕犁模型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曲辕犁由11个用木头或金属制作的部件组成。曲辕犁一直沿用至清朝，未作很大改进，其原理为机引铧式犁采用。曲辕犁和以前的耕犁相比，有几处重大改进。首先是将直辕、长辕改为曲辕、短辕，并在辕头安装可以自由转动的犁盘。不小于590*380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古钱币模型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八种古钱币，材质：青铜。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最小模型长3cm、宽2cm，秦半两直径3.5cm；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3个裤币：6.7×3cm、6×3.8cm、8×3.5cm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3个刀币：长12.5cm宽1.6cm、长13cm宽1.5cm、长16.5宽2.8cm。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筒车模型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筒车又称“水转筒车”。一种以水流作动力，取水灌田的工具亦称“水转筒车”。据史料记载，筒车发明于隋而胜于唐，距今已有1000多年的历史。这种靠水力自动的古老筒车，在家乡郁郁葱葱的山简、溪流间构成了一幅幅远古的田园春色图，为中国古代人民杰出发明，利用水力冲击大水轮并带动轮缘上的竹筒或木筒从河中提水的工具。不小于430*170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辘轳模型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辘轳是我国古代利用人力灌溉的工具。据《物原》记载，周朝初年的史官史佚作辘轳，湖北大冶铜缘山发现的春秋末朝到战国初期的古矿井遗址表明，当时已使用了辘轳提水工具。这种可用手柄摇转的轴，轴的转动能使绕着绳子一端的水桶轻松的吊上或放下，说明它比桔槔的功能更先进。本模型根据汉代代石刻《辘轳井画像》仿制而成。不小于370*200*225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连击水碓模型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连击水碓是西方汉(前206-公元前8年)时代出现的粮食加工工具，它以水为动力带动四组碓头同时工作，主要为谷类去皮。水碓利用水力舂米功效比手舂高百倍，比脚舂高十倍。不但提高功效，而且还提高了米质。本模型按中国古代科技文物资料仿制。不小于440*250*300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冶铁水排模型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乐汉建武七年，杜诗创制出水排。这是利用水的冲力通过杠杆带动皮囊为炼铁炉鼓风。这组机械综合利用了轮轴、凸轴、杠杆与弹杆。水力鼓风可提高炉温，对冶铁业的发展作用巨大。体现了东汉时期科学技术的发展。本模型按古代科技文物资料仿制。不小于500*170*265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桔槔模型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我国古代提水的器具，创造于春秋时期。《庄子》一书记载：孔子的弟子贡路过汉阴，向一老农介绍说：“有一种汲水的器械用力小，功效大，可日灌四百畦”。他介绍的就是这种名叫桔槔的汲水器具，它是利用杠杆的原理，能较省力的提上重物——水。体现了我国古代劳动人们的聪明智慧。本模型是根据画像石刻《桔槔汲水图》的资料仿制而成》。不小于370*200*330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纺车模型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纺车在古代称纬车或繀车，它的发明大约可以追溯到战国时期，伴随着华夏子孙的文明脚步，延续了2300多年的历史。它直到上世纪的七十年代仍然是中国农民赖以裹体遮羞，最原始的纺织工具。不小于350mm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水磨模型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水磨是汉族民间用水力带动的石磨。流行于全国大部分地区农村。磨用石制成,分上下两片，呈圆形，上爿较下爿为薄，两爿相合处，凿有齿槽。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一种古老的磨面粉工具，主要由上下扇磨盘、转轴、水轮盘、支架构成。上磨盘悬吊于支架上，下磨盘安装在转轴上，转轴另一端装有水轮盘，以水的势能冲转水轮盘，从而带动下磨盘的转动。磨盘多用坚硬的石块制作，上下磨盘上刻有相反的螺旋纹，通过下磨盘的转动，达到粉碎谷物的目的。不小于440*240*270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司南模型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材质：铜质、木框；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规格不小于：22×22×9cm，实际测量尺寸误差不超过1cm。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黑陶高柄杯模型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材质：黑陶；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规格不小于：高度19cm，口径10cm，实际测量尺寸误差不超过1cm。按照原物1:1仿制。</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景德镇青花瓷盘</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规格不小于：直径25cm，景德镇青花瓷盘，实际测量尺寸误差不超过1cm。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景德镇五彩瓷瓶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材质：陶瓷；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规格不小于：高度30cm，肚径21cm，实际测量尺寸误差不超过1cm。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微软雅黑" w:hAnsi="微软雅黑" w:eastAsia="微软雅黑" w:cs="宋体"/>
                <w:color w:val="000000"/>
                <w:sz w:val="18"/>
                <w:szCs w:val="18"/>
                <w:highlight w:val="none"/>
              </w:rPr>
            </w:pPr>
            <w:r>
              <w:rPr>
                <w:rFonts w:hint="eastAsia" w:ascii="宋体" w:hAnsi="宋体" w:cs="宋体"/>
                <w:b/>
                <w:bCs/>
                <w:color w:val="000000"/>
                <w:szCs w:val="21"/>
                <w:highlight w:val="none"/>
              </w:rPr>
              <w:t xml:space="preserve">史地辅房</w:t>
            </w:r>
            <w:r>
              <w:rPr>
                <w:rFonts w:hint="eastAsia" w:ascii="微软雅黑" w:hAnsi="微软雅黑" w:eastAsia="微软雅黑" w:cs="宋体"/>
                <w:color w:val="000000"/>
                <w:sz w:val="18"/>
                <w:szCs w:val="18"/>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微软雅黑" w:hAnsi="微软雅黑" w:eastAsia="微软雅黑" w:cs="宋体"/>
                <w:color w:val="000000"/>
                <w:sz w:val="18"/>
                <w:szCs w:val="18"/>
                <w:highlight w:val="none"/>
              </w:rPr>
            </w:pPr>
            <w:r>
              <w:rPr>
                <w:rFonts w:hint="eastAsia" w:ascii="宋体" w:hAnsi="宋体" w:cs="宋体"/>
                <w:color w:val="000000"/>
                <w:szCs w:val="21"/>
                <w:highlight w:val="none"/>
              </w:rPr>
              <w:t xml:space="preserve">基础设备</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仪器柜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1.产品结构：全钢结构。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2.每个柜体均应为完整独立的落地型全钢制柜体设计。柜体采用钢材裸板厚度≥1.0mm级冷轧钢板冲折制作，表面经磷化等防腐处理后再经环氧树脂静电粉末喷涂；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3.柜体内部带≥0.8mm的调节钢质层板。上部柜门为制质柜门镶嵌5mm可视钢化玻璃。下部全钢柜门。上下柜门带锁。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置物架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1.框架：采用金属框架，壁厚≥1.2mm，表面静电粉末喷涂处理，漆面平滑坚硬，不易脱落。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2.层板：采用≥16mm三聚氰胺环保饰面板加工制作，1.5mm厚PVC封边条机械封边。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操作台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2400×1200×780mm±10mm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1.台面参数：采用≥25mm三聚氰胺环保饰面板加工制作，1.5mm厚PVC封边条机械封边。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2、柜体参数：柜体采用16mm三聚氰胺环保饰面板加工制作，1.5mm厚PVC封边条机械封边。，立腿采用≥50×50×1.2mm，横梁≥30×30×1.2mm的钢管加工制作。</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收纳柜1</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收纳柜2</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4250×400×2000mm±10mm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微软雅黑" w:hAnsi="微软雅黑" w:eastAsia="微软雅黑" w:cs="宋体"/>
                <w:color w:val="000000"/>
                <w:sz w:val="18"/>
                <w:szCs w:val="18"/>
                <w:highlight w:val="none"/>
              </w:rPr>
            </w:pPr>
            <w:r>
              <w:rPr>
                <w:rFonts w:hint="eastAsia" w:ascii="微软雅黑" w:hAnsi="微软雅黑" w:eastAsia="微软雅黑" w:cs="宋体"/>
                <w:color w:val="000000"/>
                <w:sz w:val="18"/>
                <w:szCs w:val="18"/>
                <w:highlight w:val="none"/>
              </w:rPr>
              <w:t xml:space="preserve">　</w:t>
            </w:r>
            <w:r>
              <w:rPr>
                <w:rFonts w:hint="eastAsia" w:ascii="微软雅黑" w:hAnsi="微软雅黑" w:eastAsia="微软雅黑" w:cs="宋体"/>
                <w:color w:val="000000"/>
                <w:sz w:val="18"/>
                <w:szCs w:val="18"/>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地理专用教室</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1.产品结构：铝木结构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2.台面参数：采用≥12mm厚纤丝理化板，台面立面倒角。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▲纤丝理化板技术要求满足：</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（1）台面甲醛含量≤0.005mg/m³，依据GB/T 39600-2021判定为ENF级。TVOC释放量检测：参照HJ571-2010标准，总挥发性有机化合物TVOC释放量为未检出。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（2）台面物理性指标达到 GB/T7911-2024 检测标准或依据GB/T 17657-2022检测方法，满足 耐磨性能≥4级1150r、耐沸水5级、耐干热5级、耐水蒸气5级、耐龟裂5级、耐湿热5级、抗拉强度横向测试结果≥120 Mpa纵向测试结果≥150 Mpa，静曲强度横向测试结果≥14Mpa纵向测试结果≥180 Mpa，弯曲弹性模量≥1200 Mpa；耐臭氧（72h）外观无明显变化；尺寸稳定性横向、纵向≤0.03%；漆膜附着力：六级；提供“密度</w:t>
            </w:r>
            <w:r>
              <w:rPr>
                <w:rFonts w:hint="eastAsia" w:ascii="宋体" w:hAnsi="宋体" w:cs="宋体"/>
                <w:color w:val="000000"/>
                <w:szCs w:val="21"/>
                <w:highlight w:val="none"/>
              </w:rPr>
              <w:t xml:space="preserve">”检测且结果需 ≥1.43g/cm³，面板握钉力≥3300N；浸渍剥离实验中满足无分层情况出现；表面耐冷热循环：表面无裂纹及鼓泡；台面板“静曲强度—浸渍-冰冻-干燥处理法”检测结果≥82MPa。提供放射性核素限量：提供依据 GB 6566-2010 《建筑材料放射性核素限量》中规定的A类装饰装修材料技术指标，其中内照射指数结果及外照射指数均：＜0.1；台面板“比活度”测试依据GB 6566-2010检测标准:“钾-40”比活度测试检测结果＜26Bq/kg、“钍-232”比活度测试检测结果＜3.5Bq/kg。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（3）抗霉菌性能检测：参照JC/T 2039-2010标准，黑曲霉、土曲霉、宛氏拟青霉、绳状青霉、出芽短梗霉、球毛壳霉、长枝木霉等不少于7种霉菌检测等级为0级。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（4）抗细菌性能检测：参照JC/T 2039-2010标准，大肠埃希氏菌、金黄色葡萄球菌、白色念珠菌、铜绿假单胞菌、肺炎克雷伯氏菌、鼠伤寒沙门氏菌、枯草芽孢杆菌、耐甲氧西林金黄色葡萄球菌、肠沙门氏菌肠亚种、粪肠球菌、宋氏志贺氏菌、白色葡萄球菌、变异库克菌、表皮葡萄球菌等不少于14种菌种检测抗菌率≥99.99%。</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投标时提供封面带CMA或CNAS标识的第三方检测机构出具有检测报告复印件加盖厂家公章。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厚三聚氰胺环保饰面板加工制作，1.5mm厚PVC封边条机械封边。配备柜门、抽屉及键盘位。预留总控电源位置和多媒体设备（如显示器、主机、实物展台等）专用存储空间。下裙条（≥78mm）采用铝合金模具成型，内镶嵌板材16mm厚三聚氰胺环保饰面板，增加强度，板材距地≥20mm，防水耐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2400×200×150mm±10mm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6950×600×800mm±10mm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1.产品结构：铝木结构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2.台面参数：采用≥12mm厚纤丝理化板板，台面立面倒角。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3.台身参数：对开门柜，采用≥16mm厚三聚氰胺环保饰面板加工制作，1.5mm厚PVC封边条机械封边。下裙条（≥78mm）采用铝合金模具成型，内镶嵌板材16mm厚三聚氰胺环保饰面板，增加强度，板材距地≥20mm，防水耐用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展示柜1</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1500×400×3100mm±10mm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3.其他：柜门搭配地图图文。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展示吊柜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学生拼接桌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1400×1212×760mm±10mm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边长700×760mm梯形桌两张组成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2、台面参数：采用≥12mm厚纤丝理化板。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3、台身参数：立腿钢管规格≥50×25×1.2mm框架表面静电粉末喷涂处理，配可调底脚。台身下书斗采用≥16mm厚三聚氰胺环保饰面板加工制作，1.5mm厚PVC封边条机械封边。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学生凳</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Φ300×（400～450）mm±10mm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1、材质：采用环保型ABS改性塑料一次性注塑成型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2、尺寸：300×30mm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3、表面细纹咬花，防滑不发光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B：椭圆型钢架弯弧成型，四脚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1、材质及形状：椭圆形钢管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2、尺寸:15×35×1.2mm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3、全圆满焊接完成，结构牢固，经高温粉体烤漆处理，长时间使用也不会产生表面烤漆剥落现象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C：脚垫 1、材质：采用PP加耐磨纤维质塑料，实心倒勾式一体射出成型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D:凳面可通过隐藏式旋转螺杆来升降凳子高度，升降高度：最低 ≤ 400mm，最高≥450mm，为避免螺杆腐蚀，螺杆采用隐藏式保护设计。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1、传动系统：螺旋丝杆传动，升降过程平稳顺滑，具备优异的承载能力与长期使用可靠性。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2、核心连接件规格：凳面连接端采用 ø50</w:t>
            </w:r>
            <w:r>
              <w:rPr>
                <w:rFonts w:hint="eastAsia" w:ascii="MS Mincho" w:hAnsi="MS Mincho" w:eastAsia="MS Mincho" w:cs="MS Mincho"/>
                <w:color w:val="000000"/>
                <w:szCs w:val="21"/>
                <w:highlight w:val="none"/>
              </w:rPr>
              <w:t xml:space="preserve">​</w:t>
            </w:r>
            <w:r>
              <w:rPr>
                <w:rFonts w:hint="eastAsia" w:ascii="宋体" w:hAnsi="宋体" w:cs="宋体"/>
                <w:color w:val="000000"/>
                <w:szCs w:val="21"/>
                <w:highlight w:val="none"/>
              </w:rPr>
              <w:t xml:space="preserve"> 隐蔽式螺母，作为核心承力接口。传动螺杆采用 不低于M19</w:t>
            </w:r>
            <w:r>
              <w:rPr>
                <w:rFonts w:hint="eastAsia" w:ascii="MS Mincho" w:hAnsi="MS Mincho" w:eastAsia="MS Mincho" w:cs="MS Mincho"/>
                <w:color w:val="000000"/>
                <w:szCs w:val="21"/>
                <w:highlight w:val="none"/>
              </w:rPr>
              <w:t xml:space="preserve">​</w:t>
            </w:r>
            <w:r>
              <w:rPr>
                <w:rFonts w:hint="eastAsia" w:ascii="宋体" w:hAnsi="宋体" w:cs="宋体"/>
                <w:color w:val="000000"/>
                <w:szCs w:val="21"/>
                <w:highlight w:val="none"/>
              </w:rPr>
              <w:t xml:space="preserve"> 的高强度传动螺杆，确保传动轴心的强度和稳定性。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3、全隐蔽式设计：螺杆外部配有 直径不小于32mm</w:t>
            </w:r>
            <w:r>
              <w:rPr>
                <w:rFonts w:hint="eastAsia" w:ascii="MS Mincho" w:hAnsi="MS Mincho" w:eastAsia="MS Mincho" w:cs="MS Mincho"/>
                <w:color w:val="000000"/>
                <w:szCs w:val="21"/>
                <w:highlight w:val="none"/>
              </w:rPr>
              <w:t xml:space="preserve">​</w:t>
            </w:r>
            <w:r>
              <w:rPr>
                <w:rFonts w:hint="eastAsia" w:ascii="宋体" w:hAnsi="宋体" w:cs="宋体"/>
                <w:color w:val="000000"/>
                <w:szCs w:val="21"/>
                <w:highlight w:val="none"/>
              </w:rPr>
              <w:t xml:space="preserve"> 的连接保护套，能有效隔绝外部灰尘、杂物侵入螺纹传动部位，并防止润滑油污染，从而避免了因污物导致的螺纹磨损、卡死等问题，显著提升产品的耐用性和免维护性。</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8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定制岩石矿物标本</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至少包含：三大类岩石(岩浆岩、变质岩、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沉积岩)，常见矿物(磁铁矿、黑钨矿、蓝铜矿、方铅矿、滑石、石英、云母、正长石、方解石、斜长石、磷灰石等)。不少于120种</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定制土壤标本</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至少包括红壤、砖红壤、紫色土、黑钙土水稻土、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砂质土、腐殖土、蒙脱石粘土、壤土、 棕红壤、黄棕壤、草甸土、黄土、褐士、 灰潮土、 黄绵土、 玄武岩土、沼泽土、红色石灰土、铝矾土。不低于20种，盒装尺寸：310*220mm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展示柜2</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5140×400×3100mm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3.其他：柜门搭配地理图文。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05"/>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普教仪器</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温度表支架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温度计支架，金属制，能竖直固定干湿球温度表（预留空间：350mm×150mm×50mm），水平固定最高温度表和最低温度表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百叶箱支架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百叶箱支架底面高度应为1250mm；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百叶箱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木质，箱内宽466mm，深462mm，高618mm；箱顶盖板尺寸780mm×720mm；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钢卷尺</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1．由尺带和尺盒组成，尺带进出灵活，弹性适宜，附有止动装置，尺带有防锈镀层。</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布卷尺</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摇卷盒式，量程 0 m～30 m，分度值 10 mm。尺带宽度 20 mm，厚度 0.45 mm±0.18 mm，刻度清晰，边缘平直，耐磨损。转盘、摇柄和尺芯应选用金属和符合 GB/T 12672 要求的 ABS 工程塑料或同等以上的其他材料。尺带应采用布质纤维材料。尺盒和尺架应选用金属、皮革（包括人造革）和符合 GB/T 12672 要求的 ABS 工程塑料或同等以上的其他材料。允差、抗拉能力等其他性能指标应符合 QB/T 1519-2011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应由温度感应元件双金属片、自记钟、外壳和底座等组成。温度感应元件双金属片表面应平滑光洁、四周平整，两种金属的接合处应无缝隙，镀层应均匀，不应有斑点、气孔、划痕等现象。在打开温度计外壳取下自记钟后，仪器在结构上应能保证不致翻倒或自动扣上。笔杆应平直、光洁、具有弹性，且能使笔尖对自记纸有适当的压力，笔尖划线应流利，不刮纸、不断线，划线宽度不应超过 0.3 mm。笔挡应能在极限位置之间平衡地移动，其极限位置允许笔尖离开自记纸距离不小于 6 mm,且不碰外壳，笔挡离开笔杆距离应不少于 2 mm。笔尖的调节</w:t>
            </w:r>
            <w:r>
              <w:rPr>
                <w:rFonts w:hint="eastAsia" w:ascii="宋体" w:hAnsi="宋体" w:cs="宋体"/>
                <w:color w:val="000000"/>
                <w:szCs w:val="21"/>
                <w:highlight w:val="none"/>
              </w:rPr>
              <w:t xml:space="preserve">螺钉应转动灵活，能使笔尖在自记纸的全范围内平稳移动，并可固定笔尖于任意位置而不松动。自记钟的中心轴应与底板垂直，当笔尖在自记纸上全程范围内划弧线时，弧线应与时间标度线吻合或平行，其最大偏差应不超过相邻两时间标度线间距的 1/3 （日记型）或 1/4 （周记型）。传动系统应准确灵活。当温度、湿度变化时，笔尖能在自记纸上平稳地移动，由于传动系统的间隙和摩擦而引起的笔尖在自记纸上的最大阶梯差值，温度不超过 0.5℃。温度示值允许误差不超过 ±1.0℃。其他性能指标应符合 JB/T 6862-2014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寒暑表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测量范围-50℃～50℃，分度值1℃，允许误差1℃</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最高温度表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应由温度感应元件双金属片、自记钟、外壳和底座等组成。温度感应元件双金属片表面应平滑光洁、四周平整，两种金属的接合处应无缝隙，镀层应均匀，不应有斑点、气孔、划痕等现象。在打开温度计外壳取下自记钟后，仪器在结构上应能保证不致翻倒或自动扣上。笔杆应平直、光洁、具有弹性，且能使笔尖对自记纸有适当的压力，笔尖划线应流利，不刮纸、不断线，划线宽度不应超过 0.3 mm。笔挡应能在极限位置之间平衡地移动，其极限位置允许笔尖离开自记纸距离不小于 6 mm,且不碰外壳，笔挡离开笔杆距离应不少于 2 mm。笔尖的调节</w:t>
            </w:r>
            <w:r>
              <w:rPr>
                <w:rFonts w:hint="eastAsia" w:ascii="宋体" w:hAnsi="宋体" w:cs="宋体"/>
                <w:color w:val="000000"/>
                <w:szCs w:val="21"/>
                <w:highlight w:val="none"/>
              </w:rPr>
              <w:t xml:space="preserve">螺钉应转动灵活，能使笔尖在自记纸的全范围内平稳移动，并可固定笔尖于任意位置而不松动。自记钟的中心轴应与底板垂直，当笔尖在自记纸上全程范围内划弧线时，弧线应与时间标度线吻合或平行，其最大偏差应不超过相邻两时间标度线间距的 1/3 （日记型）或 1/4 （周记型）。传动系统应准确灵活。当温度、湿度变化时，笔尖能在自记纸上平稳地移动，由于传动系统的间隙和摩擦而引起的笔尖在自记纸上的最大阶梯差值，温度不超过 0.5℃。温度示值允许误差不超过 ±1.0℃。其他性能指标应符合 JB/T 6862-2014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最低温度表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温度表主要由安全泡、标度板、毛细管、套管、感温泡和感温液体等组成。量程 -50 ℃～40 ℃，分度值 0.5 ℃。感温液体为有机液体。温度表玻璃应无色透明、光滑，感温液体不应发生化学变化，不应出现混浊和气泡逸出现象。温度表的毛细管应正直，内径均匀，表面光洁，毛细管内液柱应随温度的升降均匀移动，不应出现中断、滞留现象。毛细管上部应设有安全泡。安全泡顶部应呈梨形。在温度表测量范围上下限标度线之外，至少应延伸刻画四条短标度线。其他性能指标应符合 GB/T 8747-2010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干湿球温度计</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温度表主要由安全泡、标度板、毛细管、套管、感温泡和感温液体等组成。量程 -35 ℃</w:t>
            </w:r>
            <w:r>
              <w:rPr>
                <w:rFonts w:hint="eastAsia" w:ascii="宋体" w:hAnsi="宋体" w:cs="宋体"/>
                <w:color w:val="000000"/>
                <w:szCs w:val="21"/>
                <w:highlight w:val="none"/>
              </w:rPr>
              <w:t xml:space="preserve">～45 ℃，分度值 0.2 ℃；测量湿度 0%～100%，示值允许误差 ±0.2 ℃。感温液体为汞，应符合 GB 913-1985 中 1.1(一号汞)的规定。温度表玻璃应无色透明、光滑，感温液体不应发生化学变化，不应出现混浊和气泡逸出现象。温度表的毛细管应正直，内径均匀，表面光洁，毛细管内液柱应随温度的升降均匀移动，不应出现中断、滞留现象。毛细管上部应设有安全泡。安全泡顶部应呈梨形。在温度表测量范围上下限标度线之外，至少应延伸刻画四条短标度线。其他性能指标应符合 GB/T 8747-2010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地面温度表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温度表主要由安全泡、标度板、毛细管、套管、感温泡和感温液</w:t>
            </w:r>
            <w:r>
              <w:rPr>
                <w:rFonts w:hint="eastAsia" w:ascii="宋体" w:hAnsi="宋体" w:cs="宋体"/>
                <w:color w:val="000000"/>
                <w:szCs w:val="21"/>
                <w:highlight w:val="none"/>
              </w:rPr>
              <w:t xml:space="preserve">体等组成。量程 -35 ℃～80 ℃，分度值 0.5 ℃，示值允许误差 ±0.4 ℃。感温液体为汞，应符合 GB 913-1985 中 1.1(一号汞)的规定。温度表玻璃应无色透明、光滑，感温液体不应发生化学变化，不应出现混浊和气泡逸出现象。温度表的毛细管应正直，内径均匀，表面光洁，毛细管内液柱应随温度的升降均匀移动，不应出现中断、滞留现象。毛细管上部应设有安全泡。安全泡顶部应呈梨形。在温度表测量范围上下限标度线之外，至少应延伸刻画四条短标度线。其他性能指标应符合 GB/T 8747-2010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自记温度计</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温度计应由温度感应元件双金属片、自记钟、外壳和底座等组成。温度感应元件双金属片表面应平滑光洁、四周平整，两种金属的接合处应无缝隙，镀层应均匀，不应有斑点、气孔、划痕等现象。在打开温度计外壳取下自记钟后，仪器在结构上应能保证不致翻倒或自动扣上。笔杆应平直、光洁、具有弹性，且能使笔尖对自记纸有适当的压力，笔尖划线应流利，不刮纸、不断线，划线宽度不应超过 0.3 mm。笔挡应能在极限位置之间平衡地移动，其极限位置允许笔尖离开自记纸距离不小于 6 mm,且不碰外壳，笔挡离开笔杆距离应不少于 2 mm。笔尖的调节</w:t>
            </w:r>
            <w:r>
              <w:rPr>
                <w:rFonts w:hint="eastAsia" w:ascii="宋体" w:hAnsi="宋体" w:cs="宋体"/>
                <w:color w:val="000000"/>
                <w:szCs w:val="21"/>
                <w:highlight w:val="none"/>
              </w:rPr>
              <w:t xml:space="preserve">螺钉应转动灵活，能使笔尖在自记纸的全范围内平稳移动，并可固定笔尖于任意位置而不松动。自记钟的中心轴应与底板垂直，当笔尖在自记纸上全程范围内划弧线时，弧线应与时间标度线吻合或平行，其最大偏差应不超过相邻两时间标度线间距的 1/3 （日记型）或 1/4 （周记型）。传动系统应准确灵活。当温度、湿度变化时，笔尖能在自记纸上平稳地移动，由于传动系统的间隙和摩擦而引起的笔尖在自记纸上的最大阶梯差值，温度不超过 0.5℃。温度示值允许误差不超过 ±1.0℃。其他性能指标应符合 JB/T 6862-2014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地质罗盘</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1.方位测量机构：由罗盘、照门与准星等组成。2.方位分划外圈为360°分划制，最小格值2°</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指南针</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罗盘式，铜制外壳，直径50mm，厚16mm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空盒气压表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测量范围：870～1050 hPa。允许误差：当 1010 hPa点差值为 0.0 hPa时，960 hPa和 1050 hPa 两端点的差值不得超过±1.5 hPa，相邻各整 10 hPa分度点间的差值变化不得超过±0.7 hPa；当 920 hPa 点差值为0 hPa 时，870 hPa 与 960 hPa 两端点</w:t>
            </w:r>
            <w:r>
              <w:rPr>
                <w:rFonts w:hint="eastAsia" w:ascii="宋体" w:hAnsi="宋体" w:cs="宋体"/>
                <w:color w:val="000000"/>
                <w:szCs w:val="21"/>
                <w:highlight w:val="none"/>
              </w:rPr>
              <w:t xml:space="preserve">的差值不得超过±1.5 hPa,相邻各整 10 hPa 分度点间的差值变化不得超过±0.7 hPa。温度系数不得超过±0.13 hPa/℃。传动部件应灵活，当气压改变时，笔尖在自记纸上应能作相应平稳的移动。笔尖在自记纸上的最大阶梯差不得超过 0.5 hPa。膜盒组在气压 870～1050 hPa 内，误差应符合膜盒组的工艺文件。笔杆应平直、光洁，具有弹性。笔尖划线应流利，不刮纸，不断线，划线宽度应不超过 0.3 mm。笔挡应能平稳地移动于规定的任意位置，其极限位置是：向外能使笔尖离开自记纸不小于 4 mm,</w:t>
            </w:r>
            <w:r>
              <w:rPr>
                <w:rFonts w:hint="eastAsia" w:ascii="宋体" w:hAnsi="宋体" w:cs="宋体"/>
                <w:color w:val="000000"/>
                <w:szCs w:val="21"/>
                <w:highlight w:val="none"/>
              </w:rPr>
              <w:t xml:space="preserve">且不碰外壳；向内能使笔挡离开笔杆不小于 2 mm。笔位调节螺钉应转动灵活，能使笔尖在自记纸的全程范围作相应的平稳移动，并可停留于任意位置而不松动。自记钟的中心轴应与底板垂直，当笔尖在自记纸的全程范围内划弧线时，弧线应与时间标线吻合或平行，其最大偏差不得超过相邻两时间标线间距的 1/3（日记型）或 1/4（周记型）。打开气压计的外壳取下自记钟时，整机不得翻倒，并外壳闭锁应正常。气压计所用的自记钟，应符合JB/T 9452的规定。其他性能指标应符合 QX/T 26-2004 标准的规定。建议分度值 1 hPa。</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毛发表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单发。1.湿度范围：0-100%。2.测量精度：±5%。3.测量误差：±5%（℃。</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蒸发器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规格：蒸发器面积312cm。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雨量器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雨量器承水口内径 200 mm（面积为 314 cm2），刃口角度为 40°～45°。承水器内壁应圆滑，承水口呈正圆形。承水口刃口不得有毛刺或碰伤等现象。承水器能保证在正常使用中不会因风力影响而脱开筒体。所有与水接触的零部件应光滑，连接部不得有渗漏水现象。其他性能指标应符合 JB/T 9458-2015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轻风表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轻便磁感风向风速表，三杯。磁感风表的风向最大允许误差为±22.5°，风速最大允许误差为±(0.5 m/s+0.05 v)。注：v为标准风速值，m/s。风向表示值误差风向表示值误差应不超过±22</w:t>
            </w:r>
            <w:r>
              <w:rPr>
                <w:rFonts w:hint="eastAsia" w:ascii="宋体" w:hAnsi="宋体" w:cs="宋体"/>
                <w:color w:val="000000"/>
                <w:szCs w:val="21"/>
                <w:highlight w:val="none"/>
              </w:rPr>
              <w:t xml:space="preserve">.5°。风向表测量范围风向表测量范围为 0～360°。风向标启动风速风向标启动风速应不大于 1.7 m/s。风速表示值误差风速表示值误差应不超过 ±(0.5 m/s+0.05 v)。风速表测量误差应不超过±(0.5 m/s+0.02 v)。注：本规范中，风速表测量误差为风速表示值经线性回归修正后的误差。风速表测量范围为 2~30 m/s。风杯启动风速应不大于 1.7 m/s。三个风杯及杯臂的几何形状应相同，相邻两臂间的夹角应为120°。风杯的切口平面与转动平面应相互垂直，风杯的转动平面与风速表中心轴线应相互</w:t>
            </w:r>
            <w:r>
              <w:rPr>
                <w:rFonts w:hint="eastAsia" w:ascii="宋体" w:hAnsi="宋体" w:cs="宋体"/>
                <w:color w:val="000000"/>
                <w:szCs w:val="21"/>
                <w:highlight w:val="none"/>
              </w:rPr>
              <w:t xml:space="preserve">垂直。风速指针应平直，尖端宽度不应大于刻线宽度，且其尖端应能盖住最短刻线的 1/2～3/4。风向标转动应灵活平稳，风向指针转动时不碰护盖。风向罗盘转动灵活，在自由状态下，其“S”刻线应指向地磁南极。风杯旋转应平稳，不得有可观察出的跳动。风杯转轴处于水平状态时，拨动风杯至随机选择的位置，在自由状态下，风杯应能保持静止。风速指针应转动平稳，转动时不得与风速度盘、护罩相互碰撞。当风速表倾斜角度不大于45° 时，风速指针的回零误差应不大于 0.5 m/s。其他性能指标应符合 JJF 1450-2014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测量标杆</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11m～1.5m，带可拆卸式基座</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噪声测定仪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1.测量范围：A环境40～130dB。2.分辩率：0.1dB。3.准确度：±2dB (1KHz)。4.响应时间选择：FAST(快)/SLOW(慢)。5.频率范围：300～8000Hz。6.显示：4 位液晶及条码显示。7.信号输出：AC/DC； AC:0.707Vrms。8.操作/储存环境件杀：-10℃ ～60℃ ；&lt; 70% R.H。9.尺寸：(70mmx180mmx30mm)±2mm。10.重量：150g。11.工作电源：DC9V电池。</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地球运行仪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产品为地球公转和自转的模型，在教学中用以演示昼夜长短和太阳高度的纬度分布和季节变化，从而说明四季和五带的成因。模型由可运行的地球仪和象征性的太阳组成，在适当的地方标出节气，并表明二分、二至。2、地球仪直径140～160㎜，应能区分出陆地和海洋，经、纬线间隔均为15°并标有回归线和极圈。</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晨昏仪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能直观形象的演示昼、夜半球；2.能直观形象演示昼夜的季节变化；特别是四季点（冬至、夏至、春、秋分）晨昏圈的位置应准确无误；3.能连续演示和观察晨昏圈的季节移动特点。4.晨昏圈上标有理论晨昏线，实际晨昏线、民用晨昏线和天文晨昏线。5. 利用各圈线间相对位置变化，显示地球上各地任一日期的各种晨昏时刻，同时完成地方时与标准时，世界时换算。</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太阳视运动仪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太阳视运动仪能直接反映太阳视运动轨迹。2.设有基座、立架、半环形支架，基座上设有螺旋支脚、罗盘和气泡式水平器。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模型示太阳、地球和月球。地轴与黄道面夹角66.5°，白道面与黄道面交角5°09'，可适当放大，有季节盘指示，能演示日食、月食</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平面政区地球仪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由球体、弓形支架和底座三部分组成。2.球体直径320mm±5.0mm，平面比例尺为1：40000000，地轴倾角为66.5°。</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平面地形地球仪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由球体、弓形支架和底座三部分组成。2.球体直径320mm±5.0mm，平面比例尺为1：40000000，地轴倾角为66.5°，并垂直于赤道面。</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平面地形地球仪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2.球体直径160mm±3.0mm，平面比例尺为1：90000000，地轴倾角为66.5°，并垂直于赤道面。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3.弓形支架上纬度刻度清晰，底座放置平稳，在10°斜面上不得倾倒。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4.球体表面应作防潮处理，不得有裂纹、皱纹、气泡和脱落等缺陷。所有图符、文字、线段不得有错位、重叠。</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立体地形地球仪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由球体、弓形支架和底座三部分组成。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2.球体直径320mm，允差5.0mm，平面比例尺1/40000000,垂直比例尺1/800,000-1/1,000,000。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3.弓形支架上纬度刻度清晰，底座放置平稳，在10°斜面上不得倾倒。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4.海洋、陆地、山脉地形应立体表示，并依椐海拔高度客观科学示色；地球仪上示山体部分的材质应坚硬。</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平面两用地球仪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1.产品由球体、支架和底座组成，比例尺为1:40000000，地形/政区两用；球体Φ320mm，地轴倾角为66.5°。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2.球体表面应作防潮处理，不得有裂纹、皱纹、气泡和脱落等缺陷；</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充气式填充地球仪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1.采用塑胶球制成充气式填充地球仪。</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 球体为正圆形，足气直径为210mm ，比例尺为1：60000000。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 产品富有弹性，色彩柔和，字迹清晰。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4.球体气密性应良好，充气4小时后无明显漏气现象。</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经纬度模型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1、由24条经线和9条纬线构成的空心网状球体。内装有固定的本初子午线平面板和赤道平面板，以及可转动的经线平面板和纬度指针。2、球体为正球体，直径320mm，装在支架上。</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天球仪</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产品按天球直径分为 Φ320 mm、Φ214 mm 和 Φ142 mm 三种规格。采用地心天球结构。天球透明，与其中的地球模型同心、同轴，并装在由地平圈、子午圈和地平高度尺组成的坐标筐架中。地球模型与轴同定，天球可绕轴作 360°</w:t>
            </w:r>
            <w:r>
              <w:rPr>
                <w:rFonts w:hint="eastAsia" w:ascii="宋体" w:hAnsi="宋体" w:cs="宋体"/>
                <w:color w:val="000000"/>
                <w:szCs w:val="21"/>
                <w:highlight w:val="none"/>
              </w:rPr>
              <w:t xml:space="preserve">转动，子午圈可在子午面内作 360°滑动，其配合应松紧适度，且能停止在任一位置上。球体在轴上应不窜动、不晃动。模型整体应有一定的稳度。天球球面上的天体和星库的标绘以诺吞星图为准，星见连线和星座区域界限，应基本合理。Φ320 mm 的天球，配装不大于 Φ60 mm 的地球模型。其他规格的天球，所配地球模型大小要适当。地球模型上应标有经纬网及水陆分线，赤道（红色）应明显。地平圈、子午圈和地平高度尺分度值 1°，地平圈上标明四方点，地平圈、子午圈垂直。其他性能指标应符合 JY/T 0003-1990 标准的规定。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等高线地形图判读模型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组合式，尺寸不小于580mm×400mm的模型组成。</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中国政区拼接及组合模型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产品各部件应拼接灵活、紧密。2.产品的疆界位置、走向等，应按照地图出版社最新版地图描绘。3.比例：1：6000000。</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中国政区拼接模型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产品各部件应拼接灵活、紧密。2.产品的疆界位置、走向等，应按照地图出版社最新版地图描绘。3. 比例：1：20000000</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板块构造及地表形态模型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规格≥160*210mm2.利用该模型的五个方面，可直观演示海底地形、地壳结构、地壳运动、地形变化、板块构造学说、火山地震的形成与分布，地球表面海陆轮廓的形成等内容。3 产品外观、结构、性能等要求应符合JY0001标准的有关技术要求。</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褶皱构造及其地貌演变模型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.外型尺寸不小于长：500mm±10mm,宽：200mm±5mm，高：140mm±5mm。2. 清晰演示岩层最初的状态、---水平岩层的新老关系—上新下老，遭受外力侵蚀后，出露岩层的变化，外力侵蚀作用时间愈长，出露岩层越老。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断裂构造及地垒地堑发育模型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.整体部分尺寸不小于450mm×200mm×140mm。2. 由框架、断崖景观、操纵杆构成。</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地球内部结构模型</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1.模型采用高分子材料制成。无开裂变形现象。2.球体直径不小于32cm。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活动星空盘</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可手动调节观看时间、日期、月份；带指南针定方位；三种观看模式(星座连线观看、神话星图观看、双重模式观看)；可探索30个以上星座</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教学示范矿物标本</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1、供中学地理教学用2、42种</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教学示范土壤标本</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1.用于地理教学使用的土壤标本。2. 5种</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数字化仪器</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28</w:t>
            </w:r>
            <w:r>
              <w:rPr>
                <w:rFonts w:ascii="宋体" w:hAnsi="宋体" w:eastAsia="宋体" w:cs="宋体"/>
                <w:color w:val="000000"/>
                <w:szCs w:val="21"/>
                <w:highlight w:val="none"/>
                <w:lang w:val="en-US" w:eastAsia="zh-CN"/>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地理AR沙盘</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1300×1000×2200mm±10mm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1.硬件要求：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1）配套主机性能不低于：CPU i5、8g内存、1TB硬盘、独立显卡、win10 64位；无线键盘、无线鼠标；23寸显示器，屏幕比例16:9 分辨率1920×1080；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2）投影机：分辨率不低于800×600，亮度不低于3000流明，对比度1300：1；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3）附件应包含：移动展示架≥1300mm*1000mm*2200mm、防触电插座、海沙不少于120kg、实验工具箱。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2.功能要求：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当用户在沙盘中堆砌沙子呈任意相态时，距离传感器应实现对下方沙子的高度进行实时测量，投影机应依据模型高度投射分层设色图，进而演示不同地形地貌。随着沙盘内沙子的变动，追踪器应捕捉其形态变化，投射的色彩和等高线也应发生相应的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2）当用户将手掌悬浮在沙盘上方，系统应实现虚拟积雨云的生成并产生雨水，沙盘区应显示流水效果。依据地形地势和流体的运动规律，虚拟雨水落到沙子上之后，应汇集到山谷再流向洼地。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3）系统软件应支持火山喷发模拟，并能够进行火山活动地表和地下剖面的同步动态演示。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4）系统应配置平面显示器，用于虚拟呈现沙盘中的3D场景。要求支持山体垂直自然带的显示，支持虚拟仿真开车从山下到山顶，自然带应随着高度变化而变化。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3.课程要求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要求提供至少3节基于新课标的活动课。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4.实验活动要求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应配备用于探究土壤和地下水被污染过程的实验活动套装，应提供不少于四个活动设计，至少应包含：土壤污染模拟实验、地下潜水污染模拟试验、地下水污染实验、对比承压水井和自流井主题实验，以及实验报告、实验指导书。实验活动应引导学生梳理出人类活动对环境污染的影响，如说出人类哪些活动可以直接导致土壤和地下水水质的污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5.配套指导资料</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为方便用户使用，应配套提供地理AR沙盘操作指导视频，以供用户学习使用。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6.提供地理AR沙盘教学系统的封面带CMA或CNAS标识的第三方检测机构出具有检测报告复印件加盖厂家公章。</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心理辅导中心</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团体辅导室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团体拼接桌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1.台面：采用≥25mm三聚氰胺环保饰面板加工制作，1.5mm厚PVC封边条机械封边。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3.桌架：桌腿圆型钢管φ42-15±1mmｘ1.2mm的锥形管，经高温粉体烤漆，长时间使用也不会产生表面漆剥落现象。</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椅子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400×410×450mm±5mm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1.规格：座高：450mm±5mm，座深：410mm±5mm，座宽：400mm±5mm；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2.椅背/椅座板：PP+20%玻纤，一体注塑成型；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3.椅架：正圆国标钢管≥φ32/φ25×1.8mm，酸洗磷化静电喷粉工艺；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4.脚套/升降护套：PP，一体注塑成型；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5.功能：按国标高度孔位可调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6.颜色：背座PANTONE色可选/脚套/升降护套深灰色</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5800×600×800mm±10mm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3.台身参数：采用≥16mm三聚氰胺环保饰面板加工制作，1.5mm厚PVC封边条机械封边。设柜门，柜门斜切拉手，分区合理，收纳便捷；设抽盒收纳模块，多层置物，不叠加不遮挡，取用方便。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定制高柜1</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8700×400×3100mm±10mm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定制高柜2</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2500×400×3100mm±10mm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沙盘室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3.台身参数：对开门柜，采用≥16mm厚三聚氰胺环保饰面板加工制作，1.5mm厚PVC封边条机械封边。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椅子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490×490×800mm±10mm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1.全新PP料+玻纤注塑一体成型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2.椅脚：木脚采用坚固耐磨弯曲木配置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3.座垫：高级耐磨弹力布座饰面、高密度海绵</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个体实木沙盘</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1、1个个体实木心理沙盘，使用尺寸：≥长 720mm×宽 570mm×深70mm，边框厚度≥15mm，沙盘含架子整体高度≥750mm。专用三底两面环保漆；底部为蓝色，外部为实木色，表面光滑不伤手、防水、耐磨不掉色。</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团体实木沙盘</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1、1个团体实木沙盘，使用尺寸≥ 1150mm×宽 720mm×深80mm，边框厚度≥15mm，沙盘含架子整体高度≥750mm。专用三底两面环保漆；底部为蓝色，外部为实木色，表面光滑不伤手、防水、耐磨不掉色。</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实木沙具柜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1500×300×1000mm±10mm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1、实木沙具架，沙具架规格：1500*300*1000mm（±3cm），柜体采用5层8阶设计，既美观又便于分类摆放选取沙具。</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心理沙具</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1、心理沙具种类：18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3200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指导手册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1、专业沙盘游戏指导手册1本。</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册</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沙子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1、精选原色水洗砂80公斤，颗粒光滑、大小均匀、高温消毒  。</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KG</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选取工具</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1、沙具选取框1套 （沙具选取框4个，清理刷4个）。</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团体工作管理系统</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1、团体工作管理系统1套。</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1.1、支持对沙盘游戏类产品进行资产编号、照片、资产分类、购入日期、创建时间、批量导入导出等操作。；</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1.2、支持新增个体辅导活动功能，实现辅导缘由、辅导目标、设备辅导信息等功能；</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1.3、支持AI自动解读分析沙盘游戏的基本情况和结果报告功能；</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1.4、支持与互联网大数据平台进行对接学习心理沙盘游戏教学视频内容包括但不限于（沙盘游戏初体验和自我察觉、沙盘治疗为何有效、沙盘游戏的设置及操作性意义、个体沙盘实操的体验和督导、沙盘游戏的心理学原理、沙盘游戏咨询师的要求与素养、个体沙盘作品的评估与分析、不同年龄段阶段儿童青少年的沙游作品特征、沙盘游戏在心理辅导中的应用、团体沙盘游戏操作技术、沙盘游戏在在情商智商方面的应用、团体沙盘游戏的操作和督导、沙盘游戏在家庭关系治疗中的应用、团体沙盘游戏中可能的问题及应对方法）。</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家庭辅导室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定制高柜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5600×400×2000mm±10mm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1500×1500×750mm±10mm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主台：1500×700×750mm；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副台：1500×500×620mm；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2、台面参数：采用≥25mm三聚氰胺环保饰面板加工制作，1.5mm厚PVC封边条机械封边；设电源插座，两端螺丝固定；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静电喷涂钢架方管框架带底脚，下设前挡板。副台采用≥16mm三聚氰胺环保饰面板加工制作，副台预留主机箱位置，配备散热孔，设三组抽屉和一个开门；五金件：阻尼铰链、三节静音滑轨。(配备柜门锁两个)。</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加密资料柜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900×420×1850mm±10mm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板材均采用≥16mm三聚氰胺环保饰面板加工制作，1.5mm厚PVC封边条机械封边，上下对开门设计，配备柜门锁。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茶几</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1200×600×450mm±10mm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1.桌面：采用≥18mm三聚氰胺环保饰面板加工制作，1.5mm厚PVC封边条机械封边。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2.桌架：采用金属支架，表面静电粉末喷涂处理，漆面平滑坚硬，不易脱落；配置防滑脚垫。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1170×660×770mm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1700×660×770mm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1.材质：混纺材质。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2.风格：现代简约风。</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圆形茶几（高）</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600×600×500mm±10mm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等待区+测评教教室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圆形茶几（矮）</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600×600×350mm±10mm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洞洞板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采用冷轧钢板，表面静电粉末喷涂处理，漆面平滑坚硬，不易脱落。</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刊物架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1210×300×1200mm±10mm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2.柜体参数：柜体采用≥18mm厚三聚氰胺环保饰面板加工制作，1.5mm厚PVC封边条机械封边；设收纳矮柜模块，台面可置物，书刊展示区域则做跳色处理，以起视觉中心的视觉效果。</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3200×470×800mm±10mm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3.台身参数：采用≥16mm三聚氰胺环保饰面板加工制作，1.5mm厚PVC封边条机械封边。设柜门，柜门斜切拉手，分区合理，收纳便捷；设抽盒收纳模块，多层置物，不叠加不遮挡，取用方便。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4200×600×800mm±10mm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1.桌面：台面采用≥25mm三聚氰胺环保饰面板加工制作，1.5mm厚PVC封边条机械封边；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2.桌架：桌腿：采用≥60×30×1.2mm门字形钢架。横梁：采用≥40×20×1.2mm方管。钢架整体采用静电粉末喷涂处理；配置脚垫。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休闲椅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490×490×800mm±10mm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1.全新PP料+玻纤注塑一体成型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2.椅脚：木脚采用坚固耐磨弯曲木配置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3.座垫：高级耐磨弹力布座饰面、高密度海绵</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收纳柜1</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1600×400×2000mm±10mm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收纳柜2</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2700×400×2000mm±10mm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个人辅导室+音乐放松区</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3650×400×2000mm±10mm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2.五金：采用阻尼铰链。</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加密资料柜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900×420×1850mm±10mm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板材均采用≥16mm三聚氰胺环保饰面板加工制作，1.5mm厚PVC封边条机械封边，上下对开门设计，配备柜门锁。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3000×600×800mm±10mm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3.台身参数：对开门柜，采用≥16mm厚三聚氰胺环保饰面板加工制作，1.5mm厚PVC封边条机械封边。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4.五金件：采用铝合金一字隐藏式拉手、阻尼铰链、五金轨道（三节滑轨）。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吊柜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2000×300×800mm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1170×660×770mm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茶几</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1200×600×450mm±10mm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1.桌面：采用≥18mm三聚氰胺环保饰面板加工制作，1.5mm厚PVC封边条机械封边。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2.桌架：采用金属支架，表面静电粉末喷涂处理，漆面平滑坚硬，不易脱落；配置防滑脚垫。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圆形茶几（矮）</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600×600×350mm±10mm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采用实木，环保，安全；木纹通达清晰，木质坚韧，结构稳固，具有耐磨.耐压.耐撞击等优点；桌脚配置脚垫。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心理咨询办公室</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1500×1500×750mm±10mm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主台：1500×700×750mm；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副台：1500×500×620mm；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2、台面参数：采用≥25mm三聚氰胺环保饰面板加工制作，1.5mm厚PVC封边条机械封边；设电源插座，两端螺丝固定；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静电喷涂钢架方管框架带底脚，下设前挡板。副台采用≥16mm三聚氰胺环保饰面板加工制作，副台预留主机箱位置，配备散热孔，设三组抽屉和一个开门；五金件：阻尼铰链、三节静音滑轨。(配备柜门锁两个)。</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双面毛毡垫</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板，正面采用50%/95%两种羊毛材质，可满足不同的书写需求，毛毡做工精细，平整，服帖桌面，不起球，不翘边；背面采用仿真皮革，柔软平整，支撑力强，适合书写小楷或画画；尺寸根据需求自由定制，数控切割，精准光滑。</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茶几</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1200×600×450mm±10mm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1.桌面：采用≥18mm三聚氰胺环保饰面板加工制作，1.5mm厚PVC封边条机械封边。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2.桌架：采用金属支架，表面静电粉末喷涂处理，漆面平滑坚硬，不易脱落；配置防滑脚垫。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640×660×770mm±10mm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双人沙发</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1170×660×770mm±10mm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1.软包：采用木质框架，高弹海棉芯材，外包布艺饰面。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2.支脚：采用金属材质，表面静电粉末喷涂处理，漆面平滑坚硬，不易脱落；配置防滑脚垫。</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1.材质：混纺材质。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2.风格：现代简约风。</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办公资料柜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板材均采用≥16mm三聚氰胺环保饰面板加工制作，1.5mm厚PVC封边条机械封边。下设对开门收纳空间，配备柜门锁一个；上设铝框玻璃门，白框白玻收纳空间。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书柜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3000×400×2000mm±10mm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2.柜身参数：≥25mm三聚氰胺环保饰面板加工制作，1.5mm厚PVC封边条机械封边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2600×500×800mm±10mm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3.台身参数：采用≥16mm三聚氰胺环保饰面板加工制作，1.5mm厚PVC封边条机械封边。设柜门，柜门斜切拉手，分区合理，收纳便捷；设抽盒收纳模块，多层置物，不叠加不遮挡，取用方便。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专用设备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3D音乐按摩椅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1、音乐按摩椅尺寸直立尺寸：1560×750×1000mm±10mm，平躺尺寸：1700X750X850mm，额定功率60W，可承受重量及身高：100kg/180cm，毛重/净重：62/74.5kg，表层材质：PU皮，采用背部揉捶双头机芯，电机个数：5个电机 （颈部机芯2个电机，背部2个电机，电动推杆1个），噪音级别：&lt;55分贝，音响配置：蓝牙音响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2、气囊数：肩部4个，手臂8个， 臀部2个，腿部8个；气阀：1组3联气阀</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3、按摩手法：揉捏 、锤打、推拿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4、按摩程序：总裁养生，女王纤体，肩周改善，腰背呵护，安享睡眠，零重力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5、按摩强度：三档可调，气囊强度：三档可调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6、按摩方式：座部按摩：臀部滚轮按摩，足部按摩：气囊+脚底滚轮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7、采用安卓系统，≥10.1寸屏幕，系统内存：≥6G；储存空间：≥128G；支持任意格式音乐、心理文章，心理图片、心理电影播放，可连接WiFi。运行速度流畅，多点式触摸屏，使用方便，携带方便，视觉体验出众。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10大心理音乐，包括：</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（1）改善失眠、促进睡眠 ：脑波音乐、深度睡眠音乐，放松音乐等；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（2）消除寂寞、减少失落感 ：心灵音乐馆之-谣風、池清凉、唱遍山月、春芽等；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（3）消除悲伤、抚慰心灵：α脑波音乐；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（4）消除愤怒、消除心灵淤塞:纯音乐之-你的笑颜、夕阳箫鼓、小霓裳等；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（5）消除浮躁、促进内心平静：大自然背景声（小桥流水、鸟语花香、荷塘月色、寂静山林等）；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（6）消除紧张、焦虑：自信训练。（减压音乐等）；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（7）消除自卑、提升自信：（冥想合放松音乐）；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（8）缓解身心疲劳：（天韵五行音乐等）；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（9）接触忧郁、情绪：（嘎达梅林、假日海滩、云水禅心等）；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（10）陶冶心情、醒脑提神：（旺盛的自愈力、自律与决心、释放压力、内在调和等）。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-2心理训练包括三大真人放松训练、专注度训练、社交投射训练（共分为爱心、鼓励、问候、笑脸、谢谢5大类别，由不少于20个学生运用语言、行为传递积极向上的正能量，从而潜移默化达到提升用户社交能力、增强自我自信品质效果）；趣味测试内不少于10个趣味量表测试，通过趣味诙谐的语言和正面肯定的模式让用户增进用户自我自信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-3放松助手包括呼吸助手与睡眠训练助手，呼吸助手按舒缓、稍快两种训练模式，通过动画将语音提示形象展现，用户根据语音提示的节奏进行模仿训练，可有效地缓解压力，预防心肺问题，适合所有人群，尤指运动极少，轻度焦虑者；睡眠训练助手内置36种场景音乐，8种不同播放时长选择，用户可根据需求选择相应的场景音乐及播放时长进行想象放松，缓解躯体紧张，帮助大脑放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8-4个人中心：管理员可查看用户信息、用户记录可查看用户的报告时间及报告类型。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产品配置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1、音乐按摩椅1台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2、支架1个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3、音乐放松管理系统1套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4、遮光眼罩2个</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5、音乐导论书籍1本</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38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交互式AI心理机器人系统</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一、软件功能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系统包含唤醒功能、语音功能、人机交互、倾听模式、心理陪伴、预约功能、自主导航、学习资源、趣味测评、导览点介绍、智能回充等模块；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1、支持特定的语音指令唤醒机器人，采用多重声纹识别与降噪算法，在适中距离背景噪声环境下，精准响应预先设定的唤醒词；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2、支持管理员灵活配置唤醒指令库；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3、支持语音交互；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4、支持自然语言处理，执行各项语音指令，并译成文字。能对导航、资源点播、功能调用等功能的语音指令；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5、支持交互过程文字转译，提供语音+视觉双通道互动体验；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6、支持短听模式和长听模式的切换；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7、支持自动判别说话起止，实现自由对话，并在静默时降低拾音敏感度以节省资源；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8、支持AI心理咨询服务，通过自然语言交互实现心理辅导功能。内置专业心理学知识库和心理大模型，能够模拟心理咨询节奏进行交流，具备情绪识别能力；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9、支持共情回应与积极引导功能，包含海量结构化抚慰语料、正念引导与积极心理学内容；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10、支持预约功能：通过语音预约心理老师、查询预约时段、师资信息等；完成预约，系统提供明确的预约确认与提醒；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11、支持学习中心：提供心理健康教育资源，包括视频课程和音频课程等；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12、支持趣味测评问卷，提供不少于9个维度的专业量表，提供结果解读与建设性建议；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13、支持电子地图系统：提供获取心理咨询室地理位置信息，展示各功能室分布情况；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14、支持导览点介绍：提供室内地图，标注各功能设施位置。为每个导览点关联介绍视频，了解各功能室详细信息；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15、支持导览点导航：提供室内导航服务，提供语音指令输入。系统可实时规划最优路径，通过智能算法进行路径指引和关键点语音播报；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16、搭载全自动导航避障系统，通过激光传感器实现环境感知，支持自主实时建图与精确定位。采用导航避障算法，在复杂动态环境中也能识别障碍物，生成移动路径；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17、支持智能电量管理系统：提供自动回充功能，确保设备持续待命（续航时间8-12小时）；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18、支持账号密码登录，刷脸登录。支持绑定手机号找回密码，系统默认用游客身份访问直接进入系统首页；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19、支持与云平台实现用户数据对接，实现用户信息的录入、保存、批量导入、删除、报告查看，数据分析等管理功能。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二、硬件参数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1、使用终端：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（1）尺寸：≥长300mm*宽150mm；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（2）摄像头：1300万头部拍照摄像头1个，支持拍照、视频通话；200万广角彩色摄像头1个，支持检测人脸&amp;人体；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（3）头部俯仰范围：-15°-40°；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（4）导航传感器：回充摄像头、重定位摄像头、激光雷达；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2、标准建图面积：&lt;5000㎡；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3、续航时间：≥12小时；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4、充电时间：关机充电≤4.5小时；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5、整机尺寸：≥长400mm*宽400mm*高1000mm；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6、充电桩尺寸：≥长200mm×宽220mm×高250mm。</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942"/>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AI 自习舱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舱体：</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外部尺寸 ： ≥W1320*D1070*H2420mm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内部尺寸 ： ≥W1137*D880*H2031 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标配开门方向：右开门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舱体配置：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1、框架：航空 6063 铝合金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2、玻璃：夹胶玻璃 (4+0.76隔音胶片+4)，电控雾化膜，丝印图案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3、顶部： ≥0.9mm喷粉裱板+声学包(2层2300g的多孔吸音棉及密封处理)+3.5mm1800g隔音板+350g绒+9mm厚1800g吸音板+2mm厚400g面料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4、墙体： ≥1mm钢制喷粉裱板+声学包(2层2300g的多孔吸音棉及密封处理)+3.5mm1800g隔音板+350g绒+9mm厚1800g吸音板+2mm厚400g面料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5、底部：E0级25+9mm实木多层板+黑色ABS封边+钢架+25mm重型调节脚+万向轮+地毯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6、喷涂：奥地利老虎粉末静电喷涂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7、总耗电量：30W不含外接设备，接入电器小于1000W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8、顶灯4000K色温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9、底部风扇：0.84W，1500转*1个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10、顶部风扇：3.36W，2000转*1个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11、通风量：2.35m³/min，83.04CFM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12、降噪分贝数：DS,A 30.3dB (IS023351 -1:2020)A级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13、电插锁门禁系统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14、标配隐藏式闭门器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15、毫米波人体感应灯：精准人体探测：采用毫米波感应技术，支持人体微动静止检测，多级灵敏度可调，有效过滤风扇、小型宠物干扰，杜绝误触发。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多参数自由可调：感应距离、无人延时、环境光感阈值、静止检测档位均可蓝牙自定义设置；无人延时5s～2min多档位可选，光感阈值10Lux～500Lux可调。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家具配置：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1、MFC木纹桌板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2、钢制喷粉一体机台面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3、沙发：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尺寸： ≥W850*D647*H890（SH420）mm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材质：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1、沙发座布料：Gabriel Mozart进口一级环保布料，纯手工包制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2、沙发靠背面料：类羊毛毛毡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3、沙发填充物：高回弹海绵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4、沙发框架：木质板材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5、3500k靠背灯带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空调新风系统：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具备良好的通风散热设计，须配备空调系统，支持时段与温度智能调节。智能程序控制：按时段与温度自动切换。每日24:00-7:00强制关机；温度＜10℃关机；10℃≤温度≤28℃仅风扇运行；＞28℃启动空调制冷。工作电压 220V，额定功率400W，制冷量 1300W，制冷剂R290，产品尺寸460 x 285 x 230mm，工作模式制冷-除湿-送风。</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解压聊愈: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1.内置四类主动式心理调节工具我方系统内置潜意识投射探索、情绪可视化表达、正念放松引导、积极心理暗示与能量唤醒4 种主动式心理调节工具，全覆盖业务需求：① 所有工具共享同一对话上下文联动机制，用户无需重复录入背景信息；② 调节内容依托实时对话语义动态生成，不采用固化预置内容；③ 正念放松、能量唤醒模块可生成个性化专属音频，非通用模板音频文件；④ 可结合单次对话情绪表达、认知特征生成专属心理分析解读，严格匹配演示标准，评审响应不偏离要求。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2.具备心理学技法智能动态触发机制本系统搭载心理学技法动态触发能力，依托对话语义智能研判用户心理状态，自动匹配适配专业心理技法开展干预引导：① 全程基于对话内容全自动识别触发，无需用户手动选择干预模式及切换功能；② 支持认知重构、教练技术、行为激活等多元专业技法，以引导任务、反思练习、情景模拟等互动形式落地干预；③ 干预内容贴合实时对话场景，针对性强，无随机推送、固定顺序推送情况；④ 支持全程持续情绪与心理状态识别，可随对话进程动态切换、叠加适配专业技法，严格按演示内容标准响应评审，无偏离。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个人心理成长档案及对话回溯功能我方系统可长期留存用户全量对话记录，自动生成连续化个人心理成长档案，支持用户端完整回溯历史对话轨迹；配备时间轴可视化视图，直观呈现对话历程、情绪波动曲线，可纵向追溯观测用户心理状态演变趋势，完全按演示要求适配评审，响应无偏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4.高精度多维度情绪感知适配能力系统具备成熟情绪感知识别能力，可精准识别兴奋、开心、感动、平静等不少于 4 种情绪状态，并依据情绪识别结果智能自适应调整应答策略，严格遵循演示评审标准，响应内容不偏离要求。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专注世界: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一、功能描述与技术参数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1.尺寸重量≤110 克，采用嵌入式 ARM 架构设计，高度集成多种功能应用，包括脑电数据采集实时传输、脑电采集实时参数调节、状态灯显示控制、佩戴检测、电量检测报警等功能。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2.内置 1 路 128 倍可变增益脑电采集系统，配合 24 位高精度 ADC 以及 MIT 最新神经网络模型，可以实现高达 1：2,147,483,648 对比度的精准脑波检测。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3.采用带主动电路的特殊金属电极；高精度硬件电路，底噪声达到医疗级别 1uV， 稳定可靠的采集用户脑电波数据。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4.内置 RGB 颜色脑电专注力显示状态灯，实时显示当前用户专注力状态。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5.实时高效传输脑电数据。超低功耗，满电工作时间可达 8 小时。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6.采用带有实时温度保护的充电管理技术，整机电路管理系统包含比通常安规更严格的多重过压/过流/短路保护电路，确保产品安全可靠。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7.采用自适应调节的结构设计，配合固定头带使用，最大限度的满足幼/小/中学生不同头围的需求，满足绝大多数人群的使用。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8.产品电极采用自适应弹性伸缩结构设计，佩戴舒适可靠。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一、功能描述和配置要求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含注意力课程资源（含脑放松训练、神经反馈训练、认知能力训练模块），配合脑智训练设备，可完成脑智训练和课程教学，系统含软件客户端和数据后台。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二、技术参数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1.产品具有对应的软件著作权。包含《专注力训练方法》教师手册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1）支持每个学生单独账号进入系统，做个性化区分；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2）包含专业的脑放松训练内容，脑放松训练需要可以使用硬件设备采集的脑电信息给予相应提示，不少于20个训练素材，并且可持续更新；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3）包含神经反馈训练内容，训练内容需要使用硬件设备采集的脑电专注信息给予相应反馈提示，不少于10个训练素材，并且可持续更新；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4）包含不同的认知能力训练内容，至少含3个纬度的训练内容；不少于25个训练素材，并且保持对这些内容的后台更新能力，更新内容无需更新软件客户端；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5）包含可以以班集体进行训练的内容，同时使用所有同学的脑电数据进行脑放松和神经反馈训练；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6）实时记录和历史记录的专注值报告，从脑机训练设备采集的EEG数据经过专注值算法平台得到准确的专注力数值；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7）脑电数据可真实反应实时课堂状态，可用来评估课上训练、教学成果，能够通过课堂报告分析课堂效果；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8）训练过程中可以显示每个同学的实时数值，可以显示经过统计分析的实时报告；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9）报告统计内容要包含不同维度的数值，至少三个特征值；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10）具有完善的奖励系统，能在学生学习过程中，根据成绩表现、状态表现、任务完成情况进行虚拟币的奖励，以激励学生；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预警机制: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五、安全预警体系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1.需构建L1（正常波动）至L5（高危崩溃）的5级风险预警逻辑体系；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2.高风险预警与多通道即时告警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系统应具备风险自动分级识别能力，可在对话中识别高风险状态（如明确的自伤、自杀意念等），并自动触发告警机制：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告警触发后应在10分钟内，同时通过至少两种即时通知通道（如微信公众号信息推送、自动语音电话等）向预设安全责任人发出告警；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告警推送内容应包含该用户的告警简报，简报内容至少涵盖用户基本信息、本次主诉摘要、近期对话脉络及初步干预建议等结构化信息，便于快速研判；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其他软件系统: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（三）伴学辅助：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1.支持语音交互方式的学科疑问解答、常识咨询，具备结构化响应能力，留存历史问答记录。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2.需具备针对未成年人的内容安全过滤机制，确保回答内容的适龄性与安全性。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（四）歌唱放松：</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1.需内置适合青少年的正版音乐资源库，系统应具备不良内容自动过滤功能。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2.支持原唱/伴奏一键切换，支持歌词同步显示。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（五）自动化日报与周报：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1.系统应支持自动生成学校维度的日报与周报，无需人工导出统计。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2.日报内容须包含：今日使用人次、平均时长、学生情绪分布比例（如开心/焦虑/平静占比等）。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8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智能体感反馈放松训练系统</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一、软件功能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1、支持用户名密码登录、人脸识别登录；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2、系统分为智能放松、自主放松、放松训练及数据中心等不少于4个模块；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（1）支持智能定制放松：采集使用者的生理指标对用户进行分析，并定制使用者的放松方案。智能动态放松：可通过采集使用者当前的生理指标对用户进行分析，并为使用者调整音乐放松方案；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（2）支持自主放松功能：拥有中国风、消除紧张焦虑、消除浮躁、伤感音乐、国外名曲、缓解身心疲劳、解除忧郁等多种音乐类型；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（3）支持反馈生理指标信号：可对生理指标状态进行反馈，包括血氧、脉率、PNN50、QRS、R-R和HRV心率变异性生理指标。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（4）支持放松训练功能：包含想象放松、呼吸放松、鼻腔放松、肌肉放松等；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①想象放松：包含大海、田野及草原等场景；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②呼吸放松、鼻腔放松、肌肉放松：提供训练视频，配合放松音效教学；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（5）支持数据中心：可对用户历次放松训练的数据进行备份，按时间查看用户详细的放松训练数据，对放松训练报告可按图片方式保存，可选择删除放松训练报告；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3、支持图文报告生成：记录训练者训练的过程，包括生理指标数值和图形曲线，可生成训练报告，并且可导出和打印报告；</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4、支持对音乐控制（音量+、音量-），按摩控制（打开/关闭电源），功能椅控制（长按伸展/长按收缩），头罩（打开/关闭），蓝牙连接（开始/断开连接）解绑蓝牙等切换；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5、支持与云平台实现用户数据对接，实现用户信息的录入、保存、批量导入、删除、报告查看，数据分析等管理功能。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二、硬件参数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1、放松椅：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（1）未展开尺寸：≥长1000mm*宽800mm*高1000mm（不含头罩）；展开尺寸：≥长1700mm*宽800mm*高800mm（不含头罩）；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（2）材质：头等舱设计开发的小牛皮座椅，实木框架，内置阻燃棉；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（3独立电动控制系统：靠背、腿部电动控制设计，靠背100度-170度，腿部90度-170度任意调节）；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（4）高品质播放系统：内置高品质音响，环绕式播放心理放松音乐；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（5）多功能控制器：自动及音乐同步两种体感模式，通过蓝牙输入音频，实现对音频、震动、音源、歌曲、座椅姿势、加热等功能切换；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2、头罩：尺寸≥长750mm*宽720mm*高330mm；材质为PMMA+ABS；可通过遥控手柄调节；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3、使用终端：尺寸：≥长240mm*120mm；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无线采集器：OLED显示，尺寸≥55mm*35mm，测量血氧饱和度和脉率，血氧饱和度测量范围0-100%，脉率测量范围25-250bpm。采集终端可直观显示：蓝牙指示灯、蜂鸣器指示灯、电量指示灯、血氧饱和度值、脉率值、脉搏强度血氧波形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宣泄沙包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整体高度 170CM；上半部分靶体外表材质为硅胶，底座桶内可填充水或沙。</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AI心育大数据平台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一、系统简介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自开通之日起使用期6年，校园心育系统基于科学心理学、云计算、物联网、人工智能以及大数据，为学校或者区县级及以上教育系统搭建的心理大数据云平台，可实现心育工作在教育系统的纵向互通，在家校社的横向互联。</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平台围绕心育工作的</w:t>
            </w:r>
            <w:r>
              <w:rPr>
                <w:rFonts w:hint="eastAsia" w:ascii="宋体" w:hAnsi="宋体" w:cs="宋体"/>
                <w:color w:val="000000"/>
                <w:szCs w:val="21"/>
                <w:highlight w:val="none"/>
              </w:rPr>
              <w:t xml:space="preserve">相关组织和人员，紧扣心育工作相关举措，打造了一个从心理筛查、心理评估、预警管理、学生心理发展、教育教学、家庭教育、心育科研等功能的心育闭环平台。平台人员涵盖教育管理者、教师（心理老师、班主任等所有教师）、学生、家长，社会力量等。在教育系统内实现心理普查测评、危机管理、心理辅导管理、心理课堂、教师成长、设备管理、心理档案、心育大数据统计、展示、分析研究等功能；在家校间实现心理普查、智慧家长培育、家校观察、家校心育活动互动等家校共育功能；在家校社实现科学心理技术、实用心理资源、实效心育经验、心理师资的共享共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平台可以有效提高心育工作管理水平和工作效率；可形成大量的心育数据，助力教育研究；可调动更多力量参与心育工作，形成纵向互通，横向互联的全面心育模式；可全面普及科学心理知识，惠及更多学生、教师与家长，从而实现心理预防教育，心理健康辅导，心理教育优化的建设目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二、技术概述：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2.1系统架构：整个系统基于B/S架构，采用应用服务器+数据库+客户端浏览器的运行模式。服务器端通过在计算机阿里云云端集群上搭建基于Spring 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Chrome浏览器为操作界面，并能够兼容360、Firefox等市面常见浏览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2.2数据库：使用MySQL作为数据库管理平台，同时采用分布式文件存储数据库MongoDB存储大数据内容，能高效检索和做数据分析。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2.3系统部署：整个微服务系统采用Docker进行部署，并使用Kubernetes进行容器管理；支持分布式均衡负载、多级节点部署，用户按需接入服务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2.4数据安全：采用用户权限管理、MD5加密、数据库加密、磁盘阵列服务器等多种安全策略保护信息安全；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2.5采用分布式缓存中间件redis，稳定可靠的缓存服务，提高请求效率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2.6公司平台通过等保安全认证二级，安全保障级别高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2.7软件SAAS化，软件及服务，高性能低成本扩展强，易维护，统一化管理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2.8系统云服务部署，阿里云的安全和运维配套设施保障基础服务的稳定和安全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三、基础数据服务系统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3.1支持部门、角色以及人员管理和设置，满足客户的基本使用要求，包含部门管理、角色管理、机构人员管理、老师管理、学生管理功能；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3.2支持部门管理：部门管理功能中，支持为每个部门添加多个年级，并且在每个年级下可以进一步添加多个班级。可以轻松添加、编辑和删除年级和班级；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3.3支持角色管理：可以添加对应的角色，同时给角色赋予相应系统模块权限，达到通过角色控制系统权限的目的，方便管理员统一管理该角色类型用户。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3.4支持机构人员管理：按照学生、老师、普通用户、角色三个层级方便地添加、修改和删除机构人员，以适应机构内部的人员调整和变动，确保人员列表的准确性和及时性；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3.5支持老师管理：通过老师管理功能，可以方便地添加、修改和删除老师，以适应机构内部的人员调整和变动，确保人员列表的准确性和及时性。老师信息主要有姓名、生日、性别、手机号、管理班级等信息，同时给老师赋予相应的岗位和角色权限控制，支持批量导入和批量下载，并支持对指定人员批量换部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3.6支持学生管理：通过学生管理功能，可以方便地添加、修改和删除学生，学生信息主要有账号、姓名、密码、性别、学号等，同时给学生赋予相应的角色配置控制，支持单个学生用户增加和批量导入和批量下载学生信息的功能，并支持对指定人员批量换部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3.7支持权限设置为上级可看下级，平级不可查看，下级不可看上级；基础的角色权限配置模块；机构管理人员-&gt;老师-&gt;学生；完整的用户、角色、权限管理模块，其中权限支持到具体功能模块的菜单权限，自定义设置角色查看模块权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3.8支持添加的学生和老师用户，互通登录云平台和云平台对应相同的硬件设备；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3.9支持批量导入用户和二维码注册分享功能，批量导入：一次性批量导入用户资料生成登录帐号、密码、姓名、性别等信息，二维码注册：支持后台设置对应角色并生成对应二维码分析给指定用户，用户扫码后填入对应信息即可拥有分析角色权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3.10支持管理员可以对注册用户进行审核、统一管理，支持批量删除、新增用户的功能；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3.11支持平台内终端设备账号信息登陆互通功能，用户可用同一账号在不同终端设备之间进行登陆访问；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3.12基础数据服务是系统的基石，负责系统的登录、用户信息管理以及所有系统的权限设置，功能强大且安全可靠。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四、家校心育中心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家校共育心理服务中心是为了促进家庭和学校之间的合作，助力家长、学生、教师心理发展的心育服务中心。它旨在帮助家长、教师和学生建立良好的沟通和互动，在孩子的心育工作上达到共识，最终在科学心理观下打造良好的家校沟通环境，共同关注和助力孩子的心理健康和成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4.1心理预约：学校的心理老师入驻平台后，为学校师生和家长开放预约时间表，学校师生及家长可在线对本校的心理老师进行心理咨询预约；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4.2心理普查：师生及家长可在平台完成学校的心理普查和测评、家庭教育调研等工作；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4.3家校共育：针对学生的问题，在家校间进行观察、跟踪和问题上报，并支持在对应学生校园心理辅导期间通过此模块完成辅导治疗家庭作业，助于家长和教师更全面地了解学生的发展，同步学生成长信息，协同采取相应的支持措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4.4心理知识科普：适合教师、学生与家长学习的科普公</w:t>
            </w:r>
            <w:r>
              <w:rPr>
                <w:rFonts w:hint="eastAsia" w:ascii="宋体" w:hAnsi="宋体" w:cs="宋体"/>
                <w:color w:val="000000"/>
                <w:szCs w:val="21"/>
                <w:highlight w:val="none"/>
              </w:rPr>
              <w:t xml:space="preserve">益性课堂，内容涵盖学习心理、人际关系、生活、性格等层面，围绕问题相关的情绪、思维、行为、认知评价等展开。旨在普及科学心理知识，助力教育教学和家庭教育；课程内容包括“如何引导爱玩手机的孩子”、“如何预防和减少青春期逆反”、“如何识别孩子心理健康预警信号”、“如何培养孩子热爱父母的优秀品格”等内容，且内容会定期常态化更新，内容是在科学心理技术体系下由心理技术与教育教学经验丰富的专业团队打造，科学实效且无任何版权问题。课程通俗易懂，实用，旨在让教师、家长学生提供学习科学的心育观，降低焦虑，助力学生成长与家庭教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4.5校园心理活动：通过一系列精心策划与设计的心理活动，为学生心理素质的提升铺设坚实的基石，助力他们增强面对生活与挑战的能力，从而推动个人全方位的成长与发展。在此基础上，学校机构能够自主管理并发布各类心理活动，包括活动详情、时间、地点等关信息，确保信息的时效性和准确性。通过智能化的管理平台，学校机构可以轻松追踪活动的发布状态，实时活动进展。学生只需通过线上平台，即可轻松完成活动报名，无需繁琐的线下流程，大提升了参与便利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学校机构可发布各类社区信息，包括但不限于心理健康知识、成长建议、活动预告等，为学生健康成长提供全方位的支持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4.6 动态观察：支持在教师端/家长端上传问题学生异常情况至心理健康中心。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4.7校内辅导：支持教师端/家长端对申请辅导的学生进行同意并查看辅导记录。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五、危机管理中心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危机管理中心产品模块的定位是一款专门针对心理危机管理而设计的系统。它旨在提供针对个体或组织在面对心理危机时的支持和帮助，包括心理筛查、心理评估、危机干预、档案管理、个体辅导等核心功能，为实现新生心理普查、学生心理问题评估、危机筛查和学生心理档案建立等工作提升效率，展现心理健康工作成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5.1支持心理健康管理数据概况总览：包括机构介绍、数据总览、快捷入口、查看学生总数、老师总数、预警人数、普查测评报告数。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5.2支持普查测评关于动机、行为、家庭教养方式、能力、人格等方面。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5.3发起普查：自定义发布普查计划包括设置普查名称、普查说明、普查开始时间、结束时间、发布范围、发布对象、报告查看权限、量表查看权限等，内置丰富量表进行选择，支持单次普查计划发放多个量表；系统新增普查任务后，系统会自动生成普查任务链接（手机、电脑）和测评二维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5.4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5.5日常观察：支持查看和管理教师端/家长端上报日常观察异常学生数据。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5.6校内评估：量表评估：支持通过使用标准化的心理测量工具来评估受测者在某些特定领域的心理特征或状态，可针对普查预警名单人员发起二次测评操作；心理访谈：心理工作者与受测者的交谈；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5.7家校观察评估：家校观察记录：记录个体的信息，在学校及家里生活中的行为和情绪变化、学习表现、思维等信息；共享观察记录：支持观察记录数据共享；家校观察数据删除；</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5.8医院评估：管理校内学生转介或在外医院心理治疗信息，下载建议书：提供规范文档下载功能；医院诊断书：支持上传学生医院诊断信息并存档；评估结果：支持为当前案例信息输入危机程度、干预措施、风险类型等信息；在校状态：支持对学生的休学、复学状态进行变更和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5.9 评估总结：支持包括量表评估结果、心理访谈记录、观察记录查看，在完成心理评估后，对受测者的情况进行等级标记、描述汇总。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5.10个体危机管理：危机库按照风险类型和危机程度统计平台内所有危机数据，支持将危机数据使用校内辅导、校外转介等干预方式；支持对预警用户的预警级别进行流转；危机上报：支持将对应材料上报至上级机构（诊断书、家校观察记录、心理访谈记录、量表评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5.11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5.12普查档案：可对个人普查档案进行管理；个人普查档案包含基本信息、因子得分、总体分析等内容。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5.13排班统计：支持咨询师临时取消咨询、临时修改排班、查看当周所接咨询任务，并查看学生预约记录/设备预约记录。</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5.14排班管理：管理员支持对心理老师排班和物联设备预约时段、预约次数进行设置、修改、删除预约的初始时间段和结束时间段。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5.15上报管理：普查上报：查看下级对上级进行上报的普查数据；普查档案上报：支持查看下级对上级进行上报的普查档案数据；危机上报：支持查看下级对上级进行上报的危机预警数据；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六、智慧心大数据中心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 支持以学校为单位的数据查看与分析。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6.2支持数据可视化展示功能，通过曲线图、柱形图、饼状图等图表的方式展示机构内的不同心理数据，动态监测心理大数据。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6.3支持查看机构数据分析，通过对比折线图的形式体现当前机构数量月度趋势。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6.4支持师资数据分析，包括当前教师总数、各类型用户师资配比，查看到心理老师、普通老师、班主任等师资分布比例和数量。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6.5支持学生人数数据分析，包括学生总人数、学生男女性别分布。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6.6支持学生年级人数分布分析，按照各年级统计学生人数。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6.7支持查看一定时间范围内新增和日活的数据量。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6.8支持对学校内心理普查的次数以及测评数据的预警与非预警分析，便于及时发现问题，进行处理。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6.9支持查看学校内心理教育功能室功能室数量、设备数、课程参与人数、课程开放数等数据。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6.10根据云平台收集到的有关数据，对区域内普查危机预警统计数据，预警分布情况，预警趋势分析，预警年龄阶段占比、设备使用情况、设备类型分类等内容，通过图表的方式呈现，更直观，便于学校领导进行管理和督导。</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6.11 根据老师和心理老师以等用户的数量情况，统计师资占比，直观反应该区域心理老师配比情况，为学校合理部署专业人员提供参考依据。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6.12统计学校心理预警数据，包括测评总数、预警数、整体呈现该区域整体心理预警情况。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6.13大数据平台后台采用先进的分布书文件存储，查询速度和分析功能强大，能高效分析和检索数据。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七、物联设备管理（与已有终端设备联接）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7.1校园心育系统统一、集中、汇总性的报表系统，所有统计分析类的数据，包括数据总览，明细列表，图表分析展示、列表展示、数据搜索等数据报表。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7.2支持查看所购买过的并且有权限同时已上云的设备APP使用的数据概览和使用数据的明细列表，并且可以通过跟踪筛选条件进行分维度筛选。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7.3支持查看云平台自身系统的使用数据，作为用户行为数据分析和用户行为数据的日志数据，并且在有权限的情况下可以查看明细；通过用户行为数据分析也可以得出一些参考指导建议。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AI悦动成长平台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一、软件参数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1）无需穿戴：不发手环、不扫码 ，学生到位即可进行情绪调节运动。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2）零准备使用：无需提前分发设备/绑定穿戴物 ，适配课间高频、快进快出场景。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3）多人同场：适配课间/走廊碎片化组织 ，多人同场互不影响。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4）同场独立记录：同场多人可独立计时/计数 ，成绩分别记录与展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5）运动项目：跳绳、开合跳、左右跳、深蹲、蹲跳、高抬腿、原地摆臂、篮球拍球、排球垫球、立定跳远等。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6）项目配置：项目可按学校场地条件、年级使用习惯进行配置。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7）并发能力（活力类）：8-12人同场异步计数。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8）并发能力（跳绳）：最多5人同场计数。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9）单次时长：默认60秒/局 ，便于统一组织与轮换。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10）轮换效率：适配“上场—运动—下场</w:t>
            </w:r>
            <w:r>
              <w:rPr>
                <w:color w:val="000000"/>
                <w:szCs w:val="21"/>
                <w:highlight w:val="none"/>
              </w:rPr>
              <w:t xml:space="preserve">ˮ</w:t>
            </w:r>
            <w:r>
              <w:rPr>
                <w:rFonts w:hint="eastAsia" w:ascii="宋体" w:hAnsi="宋体" w:cs="宋体"/>
                <w:color w:val="000000"/>
                <w:szCs w:val="21"/>
                <w:highlight w:val="none"/>
              </w:rPr>
              <w:t xml:space="preserve">快速循环 ，提高单位时间覆盖人数。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11）身份显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：注册用户显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姓名/班级；未注册显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访客编号。</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12）身份关联统计：成绩与班级/年级维度关联汇总 ，用于班级管理与年级对比。</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13）访客数据口径：访客编号成绩可参与现场展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 ，但归档统计按版本/配置口径执行。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14）项目切换：支持手势切换运动项目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15）教师端切换：支持教师端一键切换运动项目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16）教师端管理：远程切换项目 、定时切换、选择设备/点位。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17）定时切换场景：可按课间固定节奏进行项目轮换 ，减少现场反复操作。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 自动结束：离开识别区域自动结束 ，减少人工干预与误计数。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19）过程展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：运动过程可在大屏实时展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当前项目与成绩变化。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20）结果展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：单局结束可展</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本次成绩/排名等结果信息。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21）数据看板（校级）：参与人数、项目分布、 时长分布、趋势、班级/年级排名。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22）数据看板（个人）：单项次数、累计天数/时长、进步曲线。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23）统计维度：按校/年级/班级/个人汇总查看与对比分析。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24）时间口径：按日/周/月/学期等周期查看趋势与排行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25）激励体系：成长值（参与分+星级奖励分）、榜单、荣誉称号与勋章体系。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26）激励口径：成长值与星级奖励规则按交付版本/配置清单执行。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27）权限体系：学校管理员/教师分级权限。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 数据导出：支持统计与导出（按合同与版本约定）。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29） 数据留存：留存周期与备份方式按合同与版本约定执行。</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30） 多点位扩展：支持多设备/多点位部署，统一纳入看板统计与管理。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二、设备参数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1）设备形态：55寸显示终端+AI运动盒子（ 内置AI算力微服务器 + 内置高清摄像机）。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2）部署形态：挂壁式安装；网线联网；HDMI接显</w:t>
            </w:r>
            <w:r>
              <w:rPr>
                <w:rFonts w:hint="eastAsia" w:ascii="微软雅黑" w:hAnsi="微软雅黑" w:eastAsia="微软雅黑" w:cs="微软雅黑"/>
                <w:color w:val="000000"/>
                <w:szCs w:val="21"/>
                <w:highlight w:val="none"/>
              </w:rPr>
              <w:t xml:space="preserve">⽰</w:t>
            </w:r>
            <w:r>
              <w:rPr>
                <w:rFonts w:hint="eastAsia" w:ascii="宋体" w:hAnsi="宋体" w:cs="宋体"/>
                <w:color w:val="000000"/>
                <w:szCs w:val="21"/>
                <w:highlight w:val="none"/>
              </w:rPr>
              <w:t xml:space="preserve">大屏。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3）输出接口 ：HDMI输出。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4）网络接口 ：千兆网口。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5）整机供电：100~240V AC ，50/60Hz。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 内置AI算力微服务器参数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1）NPU算力 ：7.2 TOPS（ INT8）。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2）CPU：6核 ARM A53。</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3）内存/存储：4GB / 32GB。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 输出/网络： HDMI输出；千兆网口。</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专业版团体辅导箱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团体辅导箱4个，尺寸：≥长400mm*宽 300mm*高 160mm；各类型的活动器材上千件，适合多人同时使用，适用于公司、社区、企事业单位、学校、监狱、部队等所有进行团体活动的部门。活动主题：自我探索，亲情联接，人际互动，团体熔炼，学会学习，潜能开发，领导管理，开拓创新，价值选择，社会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1、自我探索：成长五部曲、心灵之舞、我的“角落”、左右脚、20个“自我”、自画像、背上留言、生命线、盲人与“拐杖”求生抉择。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2、亲情联接：家庭大事记、找变化、清扫亲情“垃圾”、给......的一封信、My Birthday party、父母亲的剪影、感恩父母、原生家庭、再选你的父母、我的家庭树。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3、人际互动：身体认字、说句奉承话、快枪手、爱在指尖、你说我画、心有千千结、巧过地雷阵、朋友大拍卖、最少的脚、多元排队。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4、团队熔炼：背背佳、七手八脚、食指神功、气球桥梁、啄木鸟行动、创意搭档、风中奇遇、横渡硫酸河、信任之旅、珍珠岛救援大行动。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5、学会学习：撕纸条、疯狂一分钟、我是钟、出谋划策、职业畅想发布会、没有你，我怎么办、神奇大变身、叫醒你的N种思维、fashion show、enjoy your feeling。</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6、潜能开发：突出重围、举手礼、穿绳游戏、优点坐椅、三只小猪“造房子”、随机应变、传球游戏、沧海一舟、创意剪纸、穿越A4纸。</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7、领导管理：勇于面对、今天我当家、老鹰抓小鸡、缺失的一角、真的还是假的、贩卖希望、你来说，我来做、合作方块、穿越障碍、勇闯夺命岛。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8、开拓创新：九点连线、一笔变新字、如何卖木梳给和尚、敢想敢画、从A到B、万能的口香糖、一张让你叫绝的A4纸、分苹果、创意积木大比拼、玩具创意设计。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9、价值选择：找零钱、早操大表态、取绰号、超级一比一、艺术插花、我的“VIT”、海上求生、价值拍卖、红黑游戏、沉船游戏。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10、社会责任：承担责任、歌唱祖国、家乡美、我说我知道、放飞我心、职业生涯探索、中国地图、共建未来城、家乡拼图、拯救阳光城。</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心理信箱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材质：密度板 、彩绘，尺寸：22*32*12厘米</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无声挂钟</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控制咨询时间，尺寸: ≥12英寸；机芯：静音机芯；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材质：金属、玻璃</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舞蹈教室+更衣室</w:t>
            </w:r>
            <w:r>
              <w:rPr>
                <w:rFonts w:hint="eastAsia" w:ascii="宋体" w:hAnsi="宋体" w:cs="宋体"/>
                <w:color w:val="000000"/>
                <w:szCs w:val="21"/>
                <w:highlight w:val="none"/>
              </w:rPr>
            </w:r>
            <w:r/>
          </w:p>
        </w:tc>
      </w:tr>
      <w:tr>
        <w:trPr>
          <w:trHeight w:val="296"/>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568"/>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1000×450×1200mm±10mm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27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收纳矮柜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1322×450×1150mm±10mm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8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把杆</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尺寸：3000mm（±50mm）2套</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1.横杆：采用水曲柳材质，环保，安全;木质坚韧，具有耐磨.耐压.耐撞击等优点。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2.竖杆：烤漆金属架,高度可调。</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02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舞蹈练功垫</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1.尺寸：1720×610×20mm±10mm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2.NBR材质磨砂质感防滑舞蹈垫，高回弹，防硌痛，强降噪，加厚20mm柔软舒适，减震隔音，保护关节，适合中小学舞蹈教学使用。备注：颜色待定、产品甲醛释放量需符合和国家现行相关标准</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178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更衣柜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1.全钢结构；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2.每个柜体均应为完整独立的落地型全钢制柜体设计。柜体采用钢材裸板厚度≥1.0mm一级冷轧钢板冲折制作，表面经磷化等防腐处理后再经环氧树脂静电粉末喷涂；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3.采用双开门型式，上部为玻璃开门(门框为整板开孔，双层门)，下部为钢制开门(双层门)。上下柜各配置一块钢制层板，层板高度可以上下调节，不锈钢弓形拉手。</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更衣镜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定制更衣镜</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6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更衣凳</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445×390×420mm±10mm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1.凳座：采用高弹海棉芯材，外包布艺饰面。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2.凳腿：用实木，环保，安全;木质坚韧，结构稳固；具有耐磨.耐压.耐撞击等优点。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1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开放式长衣柜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2000×550×1800mm±10mm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开放式长衣柜，采用≥16mm三聚氰胺环保饰面板加工制作，1.5mm厚PVC封边条机械封边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专业设备</w:t>
            </w:r>
            <w:r>
              <w:rPr>
                <w:rFonts w:hint="eastAsia" w:ascii="宋体" w:hAnsi="宋体" w:cs="宋体"/>
                <w:color w:val="000000"/>
                <w:szCs w:val="21"/>
                <w:highlight w:val="none"/>
              </w:rPr>
            </w:r>
            <w:r/>
          </w:p>
        </w:tc>
      </w:tr>
      <w:tr>
        <w:trPr>
          <w:trHeight w:val="145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专业音箱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1、两分频音箱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2、表面喷涂黑色水性洒点漆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3、多点M8吊挂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4、音箱底部Φ35mm支撑座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5、金属防护网，6mm六边形透声孔，内衬防尘透声网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技术指标：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1、额定阻抗：8Ω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2、额定功率（RMS）：160W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3、额定功率（AES）：200W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4、特性灵敏度：96dB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5、最大声压级：124dB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6、额定频率范围：65～18000Hz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7、中低音扬声器：LF：8"×1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8、高音扬声器：HF：1.35"×1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9、覆盖角度（H×V）：90°×60°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10、输入接口：NL4MP×2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11、尺寸(H×W×D)(mm)：435 ×282×287</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12、净重：10.5kg</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4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壁挂架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配套壁挂架</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88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音频功率放大器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1、采用紧凑的2U标准机架式设计，结构坚固，兼具轻量化与高可靠性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2、前面板配备2英寸液晶显示屏，设备状态与参数一目了然3、搭载专业级音频DSP芯片，提供高精度、低延迟的音频信号处理能力</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4、支持2×2通道的灵活音频路由与混音，混音比例范围达-80dB至+18dB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5、模块化设计，维护方便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6、通道延时独立可调，输入延时范围：0-10ms，输出延时范围：0-7ms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7、每通道具备17个滤波器(输入：高低通滤波器，8段参量EQ（±24dB）；输出：高低通滤波器，5段参量EQ（±24dB）) 8、音量、静音、相位调节，模式选择</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9、支持输出通道峰值压限</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10、设备内部提供25个场景存储组，支持一键调用；支持参数跨设备导入/导出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13、具备一键恢复出厂设置功能，保障系统安全与快速恢复</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14、额定功率：2×400W/8Ω，2×600W/4Ω，1×1200W/8Ω桥接</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15、频率响应：20Hz～20kHz ±1dB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16、信噪比 (A计权)：≥105dB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17、输入灵敏度：0.9V±0.1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18、总谐波失真：＜0.1%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19、声道分离度：＜-70dB(1kHz)</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71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1拖2无线传声器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1.采用金属机箱，具有坚固的结构、散热及隔离谐波干扰极佳的专业质量。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2.采用天线分集式接收及数字导音，杂音锁定双重静音控制，接收距离远，消除接收断音及不稳的缺失。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3.100-240V,内置AC电源板。且支持AC电源环路输出。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4.载波频段: UHF530-690、000MHZ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5.频率响应 : 不低于60Hz-15500Hz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6.指向性频响曲线：不低于300-2000Hz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7.最大声压级：不低于109dB，失真：&lt;0、5%</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8.发射器最大输出功率：30mW允差±2mW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9.天线：50Ω/TNC，支持天线环路输出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10.发射器拾音头：动圈式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11.发射器供电方式：两节AA电池</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12.电池寿命：约8小时（发射器功率为高功率）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04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数字效果器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1、2寸LCD彩色液晶屏，全中文显示；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2、2路AUX输入(RCA)，光纤、同轴输入各一个，支持蓝牙输入，2路麦克风输入，带独立增益调节；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3、6路XLR输出接口：主输出*2、环绕*2、中置*1、超低*1；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4、音乐15段PEQ，麦克风双路独立15段PEQ；</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5、反馈抑制支持5级可选；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6、所有输出通道分别设12段参量均衡(PEQ)，高低通，输入选择及混合比例极性、增益、压限、延时、静音功能；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7、采用专业级第四代SHARC高速450 MHZ DSP处理器，32bit/768kHz D/A转换器及24位线性PCM/216kHz采样率的A/D转换器；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8、配有专业PC设备管理控制软件来操作，提供USB免驱接口可连接电脑：支持RS485中控端口；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9、可保存21组场景，支持数据导入导出功能；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10、频率响应：20Hz-20kHz；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11、总谐波失真：≤0.01%；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12、信噪比（A计权）：≥110dB；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13、最大输入电平：18dBu；</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14、最大输出电平：17dBu；</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15、输出阻抗：＜300Ω；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8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电源时序器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1、液晶显示屏，可实时显示当前电压，编辑通道状态；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2、8路通道每通道额定2.2KW电源，通道延时1秒；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3、采用新国标电源插座，安全有保障；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4、配置RS232接口，支持外部中控设备控制；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5、内置高性能滤波器，有效防止市电对设备干扰。</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6、支持PC和Android端控制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技术指标：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1、可控电源路数：8路；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2、时序通道：默认1秒（可通过上位机修改，最大96秒）；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3、通道额定输出电流：10A；</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4、整机额定总输出电流：25A</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5、工作电压:AC 180V～AC 240V，50Hz/60Hz</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87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209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650×600×600mm±10mm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12U机柜，前门玻璃后门网孔门，高级典雅锁，满足左右开；安装立柱2.0mm.安装梁1.2mm.，其余0.8mm..表面脱脂、陶化、静电喷塑；带支脚。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1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音箱线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2×300/0.08mm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（2×1.5mm²）</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51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信号线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2×40/0.09mm（2×0.26mm²）</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128/0.09mm编织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20"/>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无线接收器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1.无线通信与数据交互功能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1）支持蓝牙无线配对，实现传感器与专用数据处理软件的双向通信；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2）具备数据实时传输能力，确保采集数据稳定上传至终端；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3）支持远程控制指令下发，可调整传感器参数或执行特定操作；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2.蓝牙无线传输技术要求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1）采用≥蓝牙5.0，兼容蓝牙4.0、4.1、4.2，确保低功耗、高稳定性连接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2）传输距离≥10米（无障碍环境）；</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3）支持双向通信，可接收软件指令并反馈执行状态；</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3.兼容性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1）支持 Windows/macOS/Linux操作系统；</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5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213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线管接插件等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美术教室1 (水粉油画)</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2.台面：采用≥12mm纤丝抗倍特板制作，具有防腐蚀、耐高温耐磨、耐热、抗老化、无毒、易清洁、耐冲击；台面铣φ53mm过线孔，配备过线盖；台面下有≥18mm三聚氰胺环保饰面板制作的前挡板；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3.桌腿采用≥60×30×1.2mm门字形钢架，表面平整；底部配备走线盒，采用≥0.8mm冷轧钢板制作，盒盖一侧可以打开，底部通透走线；左右桌架采用0.8mm冷轧钢板激光铣型，可悬挂配件盒；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前横梁、中间横梁全部采用≥40×20×1.2mm方管；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5.底部配备一个储物的移动柜，钢板制作，底部配备可移动万向轮。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1200×450×900mm±10mm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2.产品参数：整体采用≥16mm三聚氰胺环保饰面板加工制作，1.5mm厚PVC封边条机械封边；部分区域作跳色处理，全开放式多层储物，拿取便捷，分类明确。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7550×300×3100mm±10mm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2、柜体上部为分格造型设计，下部板式对开门，主材采用≥16mm三聚氰胺环保饰面板加工制作，1.5mm厚PVC封边条机械封边。采用阻尼铰链，所有板材加工截面必须封边，避免甲醛随意释放，确保达到环保标准。</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软木板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1.软木板：采用软木板，防潮防霉，不易变形。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2.边框：采用实木，环保，安全；木纹通达清晰，木质坚韧，结构稳固，具有耐磨.耐压.耐撞击等优点。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洞洞板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采用冷轧钢板，表面静电粉末喷涂处理，漆面平滑坚硬，不易脱落。</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收纳盒</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420×300×100mm±10mm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1.ABS工程塑料，颜色可选。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1700×300×3100mm±10mm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双面毛毡垫</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板，正面采用50%/95%两种羊毛材质，可满足不同的书写需求，毛毡做工精细，平整，服帖桌面，不起球，不翘边；背面采用仿真皮革，柔软平整，支撑力强，适合书写小楷或画画；尺寸根据需求自由定制，数控切割，精准光滑。</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定制美术桌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1200×600×750mm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身：桌腿采用≥60×60×1.2钢管焊接打磨，表面平整，左右桌架采用≥0.8mm冷轧钢板激光铣型，可悬挂配件盒；前横梁、中间横梁全部采用≥60×30×1.2mm钢管制作；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美术方凳</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380×415×440mm±10mm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、尺寸：座高440mm±10mm；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2、材质：PP+钢管；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3、坐垫:尺寸380×415×H120mm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48</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28"/>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美术教室3（传统书画）</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2400×700×850mm±10mm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2.台面：采用≥12mm纤丝抗倍特板制作，具有防腐蚀、耐高温耐磨、耐热、抗老化、无毒、易清洁、耐冲击；台面铣φ53mm过线孔，配备过线盖；台面下有≥18mm三聚氰胺环保饰面板制作的前挡板；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3.桌腿采用≥60×30×1.2mm门字形钢架，表面平整；底部配备走线盒，采用≥0.8mm冷轧钢板制作，盒盖一侧可以打开，底部通透走线；左右桌架采用0.8mm冷轧钢板激光铣型，可悬挂配件盒；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前横梁、中间横梁全部采用≥40×20×1.2mm方管；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5.底部配备一个储物的移动柜，钢板制作，底部配备可移动万向轮。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展示边柜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7550×300×1300mm±10mm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2、产品参数：整体采用≥16mm三聚氰胺环保饰面板加工制作，1.5mm厚PVC封边条机械封边；部分区域作跳色处理，为空间注入新的活力，全开放式多层储物，拿取便捷，分类明确。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吊柜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4050×300×800mm±10mm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2、产品参数：整体采用≥16mm三聚氰胺环保饰面板加工制作，1.5mm厚PVC封边条机械封边，柜门搭配超白钢化清玻璃。</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软木板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1.软木板：采用软木板，防潮防霉，不易变形。</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2.边框：采用实木，环保，安全；木纹通达清晰，木质坚韧，结构稳固，具有耐磨.耐压.耐撞击等优点。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双面毛毡垫</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双面毛毡板，正面采用50%/95%两种羊毛材质，可满足不同的书写需求，毛毡做工精细，平整，服帖桌面，不起球，不翘边；背面采用仿真皮革，柔软平整，支撑力强，适合书写小楷或画画；尺寸根据需求自由定制，数控切割，精准光滑。</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1700×300×3100mm±10mm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1.结构：木质结构；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2.参数：采用≥16mm三聚氰胺环保饰面板加工制作，1.5mm厚PVC封边条机械封边。设有柜门和开放式收纳区。</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600×500×750mm±10mm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2.台面参数：采用≥25mm采用三聚氰胺饰面板制作，1.5mm封边条机械封边。台面设有二合一美术标尺。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下设抽屉。立腿、横梁均采用≥30×30×1.2mm钢管制作，台身左右两侧采用0.8mm钢板制作，设有工具挂孔，可挂工具小盒。所有表面连接接缝处均满焊后打磨处理，保证平整光滑。表面经除油、磷化、环氧树脂静电粉末涂装、固化流平处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4.台面与台身采用翻转定位合页连接，可任意定位台面板翻转高度，台面与台身接触面配置阻尼器。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5.底脚：采用ABS可调节底脚。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美术方凳</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380×415×440mm±10mm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、尺寸：座高440mm±10mm；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2、材质：PP+钢管；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3、坐垫:尺寸380×415×H120mm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采用彩色PP环保塑料一体注塑成型，椅背采用提手设计；椅钢架采22×1.5mm圆形钢管制作，表面采用环氧树脂粉末静电喷涂处理，耐腐蚀，不易生锈；脚垫采用PP纤维质塑胶一体成型，防滑、耐用、耐摩擦，保护地板防止摩擦，所有零部件采用永久性固定方式，不会产生松散、脱落之情形。可垂直堆叠。</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美术教室辅助用房</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置物架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1.框架：采用金属框架，壁厚≥1.2mm，表面静电粉末喷涂处理，漆面平滑坚硬，不易脱落。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2.层板：采用≥16mm三聚氰胺环保饰面板加工制作，1.5mm厚PVC封边条机械封边。</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6750×400×2000mm±10mm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2、柜体上部为分格造型设计，下部板式对开门，主材采用≥16mm三聚氰胺环保饰面板加工制作，1.5mm厚PVC封边条机械封边。采用阻尼铰链，所有板材加工截面必须封边，避免甲醛随意释放，确保达到环保标准。</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操作台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2400×1200×780mm±10mm</w:t>
            </w:r>
            <w:r>
              <w:rPr>
                <w:rFonts w:hint="eastAsia" w:ascii="宋体" w:hAnsi="宋体" w:cs="宋体"/>
                <w:color w:val="000000"/>
                <w:szCs w:val="21"/>
                <w:highlight w:val="none"/>
              </w:rPr>
            </w:r>
            <w:r/>
          </w:p>
        </w:tc>
        <w:tc>
          <w:tcPr>
            <w:tcW w:w="5167" w:type="dxa"/>
            <w:vAlign w:val="top"/>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2.台面：采用≥12mm纤丝抗倍特板制作，具有防腐蚀、耐高温耐磨、耐热、抗老化、无毒、易清洁、耐冲击；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桌身：桌腿采用≥60×60×1.2钢管焊接打磨，表面平整，左右桌架采用≥0.8mm冷轧钢板激光铣型，可悬挂配件盒；前横梁、中间横梁全部采用≥60×30×1.2mm钢管制作；连接件采用铝合金注塑模具一次成型，各部分连接设置专用定位件，并用高强度内六角螺丝连接，便于组装及拆卸,易碰撞处全部采用倒圆角。金属表面经环氧树脂粉末喷涂高温固化处理。</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音乐教室1 (西洋乐)</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钢琴</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产品规格：118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1483×596×1182mm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铁板：采用传统沙铸铁板工艺，音色纯正。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音板：采用木材制作的等厚加强型实木音板，在各种不同的气候条件下均能保持优良的音色，音板设计非常符合钢琴共鸣系统的发声规律，产生更加优美琴声和纯正的音质效果。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琴弦：采用德国Roslau原装名牌钢线，音色纯净，音准稳定。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弦码：采用色木多层板制作，音频振动响应精确、迅速。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弦槌：采用国产羊毛毡并应用欧洲传统工艺制作的弦槌，音色圆润通透。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转击器、联动杆、制音杆：采用坚硬细密的木材制作，强度高韧性大、运动灵敏、观感典雅。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顶杆：采用高强度ABS材质，不易磨损，自润性能佳，保证了产品的使用寿命。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键板：采用木材制作的键板，性能稳定。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脚轮：采用单轮脚轮，具有转动灵活、推行顺畅、噪声低的特点。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外壳涂饰：采用名牌的不饱和树脂环保漆，并应用静电喷涂、自动淋油等先进涂饰工艺，令漆面光亮平整。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收纳矮柜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1322×450×1150mm±10mm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培训椅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600×700×845mm±10mm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1.胶壳：材质采用PP加纤材质，环保不褪色，抗裂性强。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2.椅架：采用≥32×18×1.5mm厚冷锻方圆钢管，220度高温静电喷涂，处理精细光滑、牢固抗冲击不变形。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3.可活动万向轮，方便移动。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4.写字板：全铝合金支架+白色PP面板，隐藏式杯托。</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5.功能：座垫可上翻堆叠摆放，节省空间。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专业音箱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1、两分频音箱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2、表面喷涂黑色水性洒点漆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3、多点M8吊挂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4、音箱底部Φ35mm支撑座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5、金属防护网，6mm六边形透声孔，内衬防尘透声网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1、额定阻抗：8Ω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2、额定功率（RMS）：160W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3、额定功率（AES）：200W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4、特性灵敏度：96dB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5、最大声压级：124dB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6、额定频率范围：65～18000Hz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7、中低音扬声器：LF：8"×1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8、高音扬声器：HF：1.35"×1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9、覆盖角度（H×V）：90°×60°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10、输入接口：NL4MP×2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11、尺寸(H×W×D)(mm)：435 ×282×287</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12、净重：10.5kg</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壁挂架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配套壁挂架</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音频功率放大器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1、采用紧凑的2U标准机架式设计，结构坚固，兼具轻量化与高可靠性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2、前面板配备2英寸液晶显示屏，设备状态与参数一目了然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3、搭载专业级音频DSP芯片，提供高精度、低延迟的音频信号处理能力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4、支持2×2通道的灵活音频路由与混音，混音比例范围达-80dB至+18dB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5、模块化设计，维护方便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6、通道延时独立可调，输入延时范围：0-10ms，输出延时范围：0-7ms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7、每通道具备17个滤波器(输入：高低通滤波器，8段参量EQ（±24dB）；输出：高低通滤波器，5段参量EQ（±24dB）)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8、音量、静音、相位调节，模式选择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9、支持输出通道峰值压限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10、设备内部提供25个场景存储组，支持一键调用；支持参数跨设备导入/导出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11、设备支持修改设备号（修改IP地址）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12、设备支持集中调试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13、具备一键恢复出厂设置功能，保障系统安全与快速恢复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14、支持将配置数据保存至电脑备份，或从电脑恢复至设备，操作灵活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15、保护功能：电源欠压保护、功放输出直流保护、过热保护、温度功率控制、过载功率控制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1、额定功率：2×400W/8Ω，2×600W/4Ω，1×1200W/8Ω桥接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2、频率响应：20Hz～20kHz ±1dB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 (A计权)：≥105dB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4、输入灵敏度：0.9V±0.1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5、总谐波失真：＜0.1%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6、声道分离度：＜-70dB(1kHz)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7、尺寸(H×W×D)(mm)：88×483×280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8、净重：4.8kg</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1拖2无线传声器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1、采用金属机箱，具有坚固的结构、散热及隔离谐波干扰极佳的专业质量。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2、RF高动态范围及第三代中频电路，大幅提升互不干扰的频道数及抗干扰特性。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3、预设群组，第1-4组预设16个互不干扰频率，第5－8预设24个互不干扰频率，第U组为用户自定义组，最多可提供2000频率供客户自定义选择使用。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4、采用天线分集式接收及数字导音，杂音锁定双重静音控制，接收距离远，消除接收断音及不稳的缺失。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5、黑色金属面板，LED段码显示器，可同时显示群组、频率、电池电量、静音位准、电子音量等相关信息；LED灯柱显示RF/AF强度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6、采用飞梭旋钮取代传统复杂的按键，操作快速方便。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7、天线接口采用50Ω/TNC，保持天线可靠连接的同时。并支持天线环路输出，支持8套同型产品射频级联。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8、各频道可单独或混合输出，可切换两段输出的音量，具有MIC/LINE输出开关：LINE比MIC输出约大10dBu。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9、天线座提供强波器偏压，可以连接天线系统，增加接收距离及稳定的接收效果。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10、100-240V,内置AC电源板。保持系统稳定，且支持AC电源环路输出。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1、载波频段: UHF530-690.000MHZ（常规：640.000MHZ-690.000MHZ）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2、单机频带宽度 :50 MHz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3、单机频道数量：2000个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4、频率间隔：25KHz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5、音频灵敏度: -48±3dB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6、综合S/N比 : &gt;100dB(A)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7、指向性频响曲线：300-2000Hz≤-8dB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8、综合T.H.D. :&lt;0.5%@1kHz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9、频率响应 : 65Hz-15kHz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10、天线：50Ω/TNC，支持天线环路输出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11、发射器拾音头：动圈式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12、发射器供电方式：两节AA电池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13、电池寿命：约8小时（发射器功率为高功率）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数字效果器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1、2英寸LCD彩色液晶屏，全中文显示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2、2路AUX输入（RCA），光纤、同轴输入各一个，支持蓝牙输入，2路麦克风输入，带独立增益调节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3、6路XLR输出接口：主输出*2、环绕*2、中置*1、超低*1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4、音乐15段PEQ，麦克风双路独立15段PEQ</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5、反馈抑制支持5级可选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6、所有输出通道分别设12段参量均衡（PEQ），高低通，输入选择及混合比例极性、增益、压限、延时、静音功能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7、采用专业级第四代SHARC高速450 MHZ DSP处理器，32bit/768kHz D/A转换器及24位线性PCM/216kHz采样率的A/D转换器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8、配有专业PC设备管理控制软件来操作，提供USB免驱接口可连接电脑：支持RS485中控端口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9、可保存21组场景，支持数据导入导出功能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1、频率响应：20Hz-20kHz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2、总谐波失真：≤0.01%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3、信噪比（A计权）：≥110dB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4、最大输入电平：18dBu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5、最大输出电平：17dBu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6、输出阻抗：＜300Ω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7、尺寸(L×W×H)(mm)：483×230×44</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电源时序器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1、液晶显示屏，可实时显示当前电压，编辑通道状态；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2、8路通道每通道额定2.2KW电源，通道延时1秒；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3、采用新国标电源插座，安全有保障；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4、配置RS232接口，支持外部中控设备控制；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5、内置高性能滤波器，有效防止市电对设备干扰。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6、支持PC和Android端控制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1、可控电源路数：8路；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2、时序通道：默认1秒（可通过上位机修改，最大96秒）；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3、通道额定输出电流：10A；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4、整机额定总输出电流：25A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5、工作电压:AC 180V～AC 240V，50Hz/60Hz</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650×600×600mm±10mm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12U机柜，前门玻璃后门网孔门，高级典雅锁，满足左右开；安装立柱2.0mm.安装梁1.2mm.，其余0.8mm..表面脱脂、陶化、静电喷塑；带支脚。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音箱线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2×300/0.08mm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（2×1.5mm²）</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信号线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2×40/0.09mm（2×0.26mm²）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128/0.09mm编织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ascii="宋体" w:hAnsi="宋体" w:cs="宋体"/>
                <w:color w:val="000000"/>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ascii="宋体" w:hAnsi="宋体" w:cs="宋体"/>
                <w:color w:val="000000"/>
                <w:szCs w:val="21"/>
                <w:highlight w:val="none"/>
                <w:lang w:val="en-US"/>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线管接插件等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音乐教室2（民乐）</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移动讲台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1500×600×1012mm±10mm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1.桌面参数：采用≥12mm厚纤丝抗倍特板，台面立面倒角。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2.柜体参数：采用冷轧钢板，经高温粉体烤漆，长时间使用也不会产生表面漆剥落现象。</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3.功能：桌面角度可调，方便授课，配置静音滑轮，移动方便。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钢琴</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产品规格：118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1483×596×1182mm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铁板：采用传统沙铸铁板工艺，音色纯正。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音板：采用木材制作的等厚加强型实木音板，在各种不同的气候条件下均能保持优良的音色，音板设计非常符合钢琴共鸣系统的发声规律，产生更加优美琴声和纯正的音质效果。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琴弦：采用德国Roslau原装名牌钢线，音色纯净，音准稳定。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弦码：采用色木多层板制作，音频振动响应精确、迅速。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弦槌：采用国产羊毛毡并应用欧洲传统工艺制作的弦槌，音色圆润通透。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转击器、联动杆、制音杆：采用坚硬细密的木材制作，强度高韧性大、运动灵敏、观感典雅。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顶杆：采用高强度ABS材质，不易磨损，自润性能佳，保证了产品的使用寿命。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键板：采用木材制作的键板，性能稳定。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脚轮：采用单轮脚轮，具有转动灵活、推行顺畅、噪声低的特点。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外壳涂饰：采用名牌的不饱和树脂环保漆，并应用静电喷涂、自动淋油等先进涂饰工艺，令漆面光亮平整。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乐谱架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460×500×630～1500mm±10mm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1.材质：铁</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2.规格:支架谱台面直径≥500mm，高度≥350mm，最大可升降到1.6米的高度，金属钢管支架中心钢管直径≥1cm</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3.结构：由支架谱台面和金属钢管支架组成。金属钢管支架底部有3个支撑杆可收合， 脚底为防滑塑胶材质，所有旋钮为均高级ABS材质结实耐用，谱台面贴有商标GHL </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4.使用方法：打开包装进行简单组装即可使用 </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5.产品具有合格证，三包卡，独立纸盒包装或包装袋。</w:t>
            </w:r>
            <w:r>
              <w:rPr>
                <w:rFonts w:hint="eastAsia" w:ascii="宋体" w:hAnsi="宋体" w:cs="宋体"/>
                <w:color w:val="000000"/>
                <w:sz w:val="22"/>
                <w:szCs w:val="22"/>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椅子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510×560×845mm±10mm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1、胶壳：材质采用PP加纤材质，环保不褪色，抗裂性强。</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2、椅架：采用≥32×18×1.5mm厚冷锻方圆钢管，220度高温静电喷涂，处理精细光滑、牢固抗冲击不变形。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3、固定防滑脚垫。</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4、功能：座垫可上翻堆叠摆放，节省空间。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收纳矮柜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1322×450×1150mm±10mm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16mm三聚氰胺环保饰面板加工制作，1.5mm厚PVC封边条机械封边；钢架采用满焊焊接，表面静电喷涂工艺，长时间使用也不会产生表面漆剥落现象；部分区域作跳色处理，为空间注入新的活力，全开放式多层储物，拿取便捷，分类明确。</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专用设备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专业音箱</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1、两分频音箱</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2、表面喷涂黑色水性洒点漆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3、多点M8吊挂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4、音箱底部Φ35mm支撑座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5、金属防护网，6mm六边形透声孔，内衬防尘透声网</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技术指标：</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1、额定阻抗：8Ω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2、额定功率（RMS）：160W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3、额定功率（AES）：200W</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4、特性灵敏度：96dB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5、最大声压级：124dB</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6、额定频率范围：65～18000Hz</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7、中低音扬声器：LF：8"×1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8、高音扬声器：HF：1.35"×1</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9、覆盖角度（H×V）：90°×60°</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10、输入接口：NL4MP×2</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11、尺寸(H×W×D)(mm)：435 ×282×287</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12、净重：10.5kg</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壁挂架</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配套壁挂架</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音频功率放大器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1、采用紧凑的2U标准机架式设计，结构坚固，兼具轻量化与高可靠性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2、前面板配备2英寸液晶显示屏，设备状态与参数一目了然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3、搭载专业级音频DSP芯片，提供高精度、低延迟的音频信号处理能力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4、支持2×2通道的灵活音频路由与混音，混音比例范围达-80dB至+18dB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5、模块化设计，维护方便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6、通道延时独立可调，输入延时范围：0-10ms，输出延时范围：0-7ms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7、每通道具备17个滤波器(输入：高低通滤波器，8段参量EQ（±24dB）；输出：高低通滤波器，5段参量EQ（±24dB）)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8、音量、静音、相位调节，模式选择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9、支持输出通道峰值压限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10、设备内部提供25个场景存储组，支持一键调用；支持参数跨设备导入/导出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11、设备支持修改设备号（修改IP地址）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12、设备支持集中调试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13、具备一键恢复出厂设置功能，保障系统安全与快速恢复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14、支持将配置数据保存至电脑备份，或从电脑恢复至设备，操作灵活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15、保护功能：电源欠压保护、功放输出直流保护、过热保护、温度功率控制、过载功率控制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1、额定功率：2×400W/8Ω，2×600W/4Ω，1×1200W/8Ω桥接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2、频率响应：20Hz～20kHz ±1dB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 (A计权)：≥105dB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4、输入灵敏度：0.9V±0.1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5、总谐波失真：＜0.1%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6、声道分离度：＜-70dB(1kHz)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7、尺寸(H×W×D)(mm)：88×483×280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8、净重：4.8kg</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1拖2无线传声器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1、采用金属机箱，具有坚固的结构、散热及隔离谐波干扰极佳的专业质量。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2、RF高动态范围及第三代中频电路，大幅提升互不干扰的频道数及抗干扰特性。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3、预设群组，第1-4组预设16个互不干扰频率，第5－8预设24个互不干扰频率，第U组为用户自定义组，最多可提供2000频率供客户自定义选择使用。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4、采用天线分集式接收及数字导音，杂音锁定双重静音控制，接收距离远，消除接收断音及不稳的缺失。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5、黑色金属面板，LED段码显示器，可同时显示群组、频率、电池电量、静音位准、电子音量等相关信息；LED灯柱显示RF/AF强度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6、采用飞梭旋钮取代传统复杂的按键，操作快速方便。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7、天线接口采用50Ω/TNC，保持天线可靠连接的同时。并支持天线环路输出，支持8套同型产品射频级联。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8、各频道可单独或混合输出，可切换两段输出的音量，具有MIC/LINE输出开关：LINE比MIC输出约大10dBu。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9、天线座提供强波器偏压，可以连接天线系统，增加接收距离及稳定的接收效果。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10、100-240V,内置AC电源板。保持系统稳定，且支持AC电源环路输出。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1、载波频段: UHF530-690.000MHZ（常规：640.000MHZ-690.000MHZ）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2、单机频带宽度 :50 MHz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3、单机频道数量：2000个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4、频率间隔：25KHz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5、音频灵敏度: -48±3dB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6、综合S/N比 : &gt;100dB(A)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7、指向性频响曲线：300-2000Hz≤-8dB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8、综合T.H.D. :&lt;0.5%@1kHz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9、频率响应 : 65Hz-15kHz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10、天线：50Ω/TNC，支持天线环路输出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11、发射器拾音头：动圈式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12、发射器供电方式：两节AA电池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13、电池寿命：约8小时（发射器功率为高功率）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数字效果器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1、2英寸LCD彩色液晶屏，全中文显示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2、2路AUX输入（RCA），光纤、同轴输入各一个，支持蓝牙输入，2路麦克风输入，带独立增益调节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3、6路XLR输出接口：主输出*2、环绕*2、中置*1、超低*1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4、音乐15段PEQ，麦克风双路独立15段PEQ</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5、反馈抑制支持5级可选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6、所有输出通道分别设12段参量均衡（PEQ），高低通，输入选择及混合比例极性、增益、压限、延时、静音功能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7、采用专业级第四代SHARC高速450 MHZ DSP处理器，32bit/768kHz D/A转换器及24位线性PCM/216kHz采样率的A/D转换器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8、配有专业PC设备管理控制软件来操作，提供USB免驱接口可连接电脑：支持RS485中控端口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9、可保存21组场景，支持数据导入导出功能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1、频率响应：20Hz-20kHz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2、总谐波失真：≤0.01%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3、信噪比（A计权）：≥110dB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4、最大输入电平：18dBu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5、最大输出电平：17dBu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6、输出阻抗：＜300Ω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7、尺寸(L×W×H)(mm)：483×230×44</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电源时序器</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1、液晶显示屏，可实时显示当前电压，编辑通道状态；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2、8路通道每通道额定2.2KW电源，通道延时1秒；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3、采用新国标电源插座，安全有保障；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4、配置RS232接口，支持外部中控设备控制；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5、内置高性能滤波器，有效防止市电对设备干扰。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6、支持PC和Android端控制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技术指标：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1、可控电源路数：8路；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2、时序通道：默认1秒（可通过上位机修改，最大96秒）；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3、通道额定输出电流：10A；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4、整机额定总输出电流：25A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5、工作电压:AC 180V～AC 240V，50Hz/60Hz</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650×600×600mm±10mm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12U机柜，前门玻璃后门网孔门，高级典雅锁，满足左右开；安装立柱2.0mm.安装梁1.2mm.，其余0.8mm..表面脱脂、陶化、静电喷塑；带支脚。</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音箱线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2×300/0.08mm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（2×1.5mm²）</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信号线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2×40/0.09mm（2×0.26mm²）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128/0.09mm编织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ascii="宋体" w:hAnsi="宋体" w:cs="宋体"/>
                <w:color w:val="000000"/>
                <w:szCs w:val="21"/>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ascii="宋体" w:hAnsi="宋体" w:cs="宋体"/>
                <w:color w:val="000000"/>
                <w:szCs w:val="21"/>
                <w:highlight w:val="none"/>
                <w:lang w:val="en-US"/>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辅材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线管接插件等</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音美器材</w:t>
            </w:r>
            <w:r>
              <w:rPr>
                <w:rFonts w:hint="eastAsia" w:ascii="宋体" w:hAnsi="宋体" w:cs="宋体"/>
                <w:color w:val="000000"/>
                <w:szCs w:val="21"/>
                <w:highlight w:val="none"/>
              </w:rPr>
            </w:r>
            <w:r/>
          </w:p>
        </w:tc>
      </w:tr>
      <w:tr>
        <w:trPr>
          <w:trHeight w:val="1935"/>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音乐教室坐凳</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460×360×360mm±10mm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1、材质：高密度PE一体滚塑成型；</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2、工艺：滚塑制作，材质轻，耐磨抗压，抗氧化功能强，长期使用也不会产生开裂现象。硬度和强度高，吸水性小，优良的电绝缘性，耐寒。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3、功能：根据人体工程学设计，三面可坐，三种颜色设计，三种高度（220/360/460mm)适合各年级师生使用。为保证产品牢固耐用，产品必须一体成型，不可采用插接拼凑等组装方式。</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美术教室画架（含画板）</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1.立式画架：尺寸≥560×840×1400mm±10mm；材质：榉木。</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2.4K画板：尺寸≥600×450×18mm±10mm；材质：椴木板面，松木边框。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3.写生凳：凳面直径≥300mm，画凳可升降调节高度范围：490-650mm；材质：榉木；双层凳面设计，画凳腿部采用三角支撑设计。</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教学用颜料、画笔、纸等画材</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1.颜料套装：水粉颜料24色12ml/支，水彩颜料24色12ml/支。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2.画笔套装：2H2支、2B4支、HB1支、B2支、3B1支、4B1支、5B1支、6B1支、7B1支、8B1支，橡皮1块、可塑橡皮1块、美工刀1把、炭笔、炭条、铅笔延长器、纸笔各1支；</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水彩画笔1～12#各一支，12格梅花调色盘，吸水海绵，可折叠水桶；水粉画笔1～12#各一支，椭圆1/3调色盘 400×290×1.2mm，24格调色盒带盖。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3.4k水彩画纸、水粉纸和素描纸各一袋，每袋20张，160g。</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批</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立式钢琴</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产品规格：118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1483×596×1182mm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铁板：采用传统沙铸铁板工艺，音色纯正。</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音板：采用木材制作的等厚加强型实木音板，在各种不同的气候条件下均能保持优良的音色，音板设计非常符合钢琴共鸣系统的发声规律，产生更加优美琴声和纯正的音质效果。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琴弦：采用Roslau原装名牌钢线，音色纯净，音准稳定。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弦码：采用色木多层板制作，音频振动响应精确、迅速。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弦槌：采用国产羊毛毡并应用欧洲传统工艺制作的弦槌，音色圆润通透。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转击器、联动杆、制音杆：采用坚硬细密的木材制作，强度高韧性大、运动灵敏、观感典雅。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顶杆：采用高强度ABS材质，不易磨损，自润性能佳，保证了产品的使用寿命。</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键板：采用木材制作的键板，性能稳定。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脚轮：采用单轮脚轮，具有转动灵活、推行顺畅、噪声低的特点。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三角钢琴</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产品规格：148</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外壳尺寸（长×宽×高）： 148×150×99cm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铁板：采用传统砂铸铁板工艺，音色纯正。 音板：采用木材制作的不等厚加强型实木音板，在各种不同的气候条件下均能保持优良的音色，非常符合钢琴共鸣系统的发声规律，产生更加优美琴声和纯正的音质效果。</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琴弦：采用Roslau原装名牌钢线，音色纯净，音准稳定。 弦码：采用弯压结构设计，音频振动响应精确、迅速。</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弦轴板：由多层硬木交错拼接而成，为弦轴钉提供稳固的握钉力，保证了音准稳定性。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弦槌：采用加厚纯羊毛毡并应用欧洲传统工艺制作的弦槌，音色圆润通透，富于变化。</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制音器：采用羊毛制造，制音效果好。 </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顶杆：采用木材制作的木顶杆，经特殊工艺处理，不易变形，零件之间配合精准灵敏。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琴键：采用亚光黑键，色彩和质感如同乌木，触感舒适自然。 键板：采用木材制作的实木键板，性能稳定。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外壳标识：下锁档粘贴“天籁”标识。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外壳涂饰：采用不饱和树脂环保漆，并应用静电喷涂、自动淋油等先进涂饰工艺，令漆面光亮平整。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计算机教室1</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定制计算机教室讲台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2400×700×780mm±10mm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2、产品参数：采用≥25mm三聚氰胺环保饰面板加工制作，1.5mm厚PVC封边条机械封边；台面开有走线孔；</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8450×600×800mm±10mm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机柜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360×600×440mm±10mm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6u墙柜参数机柜钢化玻璃前门，快开式侧门，后门可拆卸壁挂立杆1.5其他0.8，内配一块托盘</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接入交换机</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1.交换容量≥336Gbps，包转发率≥80Mpps；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2.48个10/100/1000BaseT以太网端口，4个千兆SFP；</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3.支持ARP表项≥4K；</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4.支持RIP.RIPng.OSPF.OSPFv3路由协议；</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5.支持DHCPv6Snooping，DAI，SAVI等安全特性；</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6.支持以太网环网保护协议ERPS，故障倒换时间＜50ms；</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7.配置本项目需要千兆模块。</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台</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方凳</w:t>
            </w:r>
            <w:r>
              <w:rPr>
                <w:rFonts w:hint="eastAsia" w:ascii="宋体" w:hAnsi="宋体" w:cs="宋体"/>
                <w:color w:val="000000"/>
                <w:szCs w:val="21"/>
                <w:highlight w:val="none"/>
              </w:rPr>
            </w:r>
            <w:r/>
          </w:p>
        </w:tc>
        <w:tc>
          <w:tcPr>
            <w:tcW w:w="2736"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350×250×420mm±10mm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1、产品结构：钢塑结构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2、凳面参数：凳面尺寸≥350×250mm  凳面采用共聚丙烯工程塑料模具注塑成型，凳面内镶嵌四颗≥Φ6螺杆，要求螺栓与凳面在注塑过程中一体成型，凳面造型符合人体工程学。</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3、凳身参数：凳体采用全钢框架，钢管壁厚≥1.2mm,经酸洗磷化处理，表面喷塑，底脚采用专业ABS模具成型。</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60 </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定制电脑桌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1400×550×750mm±10mm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2、产品参数：采用≥25mm三聚氰胺环保饰面板加工制作，1.5mm厚PVC封边条机械封边；台面开有走线孔；</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桌腿采用≥50×50×1.5mm门字形方管，底部配可调节脚垫，横梁连接管采用3≥0×50×1.2mm矩形管；桌下设收纳箱体，对开门设计，柜门带锁，箱体开有散热孔，内部可放置电源插排、主机等设备。</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计算机辅房</w:t>
            </w:r>
            <w:r>
              <w:rPr>
                <w:rFonts w:hint="eastAsia" w:ascii="宋体" w:hAnsi="宋体" w:cs="宋体"/>
                <w:color w:val="000000"/>
                <w:szCs w:val="21"/>
                <w:highlight w:val="none"/>
              </w:rPr>
            </w:r>
            <w:r/>
          </w:p>
        </w:tc>
      </w:tr>
      <w:tr>
        <w:trPr>
          <w:trHeight w:val="499"/>
        </w:trPr>
        <w:tc>
          <w:tcPr>
            <w:gridSpan w:val="10"/>
            <w:tcW w:w="14725"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基础设备</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仪器柜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1000×500×2000mm±10mm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1.产品结构：全钢结构。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2.每个柜体均应为完整独立的落地型全钢制柜体设计。柜体采用钢材裸板厚度≥1.0mm级冷轧钢板冲折制作，表面经磷化等防腐处理后再经环氧树脂静电粉末喷涂；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3.柜体内部带≥0.8mm的调节钢质层板。上部柜门为制质柜门镶嵌5mm可视钢化玻璃。下部全钢柜门。上下柜门带锁。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边柜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4250×600×800mm±10mm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1.产品结构：板式结构；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3.台身参数：采用≥16mm三聚氰胺环保饰面板加工制作，1.5mm厚PVC封边条机械封边。设柜门。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配套水槽</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610×400×220mm±10mm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采用白色陶瓷一体成型，具耐酸碱.耐有机溶剂.耐紫外线等特点。水槽外延与台面底部粘合一体成型，水槽底部钢架支撑，台面无水槽接缝，洁净卫生易清洁。</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办公桌</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1500×1500×750mm±10mm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主台：1500×700×750mm；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副台：1500×500×620mm；</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1、产品结构：钢木结构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2、台面参数：采用≥25mm三聚氰胺环保饰面板加工制作，1.5mm厚PVC封边条机械封边；设电源插座，两端螺丝固定；</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采用静电喷涂钢架方管框架带底脚，下设前挡板。副台采用≥16mm三聚氰胺环保饰面板加工制作，副台预留主机箱位置，配备散热孔，设三组抽屉和一个开门；五金件：阻尼铰链、三节静音滑轨。(配备柜门锁两个)。</w:t>
            </w:r>
            <w:r>
              <w:rPr>
                <w:rFonts w:ascii="宋体" w:hAnsi="宋体" w:cs="宋体"/>
                <w:color w:val="000000"/>
                <w:szCs w:val="21"/>
                <w:highlight w:val="none"/>
              </w:rPr>
            </w:r>
            <w:r/>
          </w:p>
          <w:p>
            <w:pPr>
              <w:pStyle w:val="804"/>
              <w:ind w:left="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▲提供办公桌的封面带CMA或CNAS标识的第三方检测机构出具有检测报告复印件加盖厂家公章。且检测标准符合GB/T 3325-2024《金属家具通用技术条件》；GB 18584-2024《家具中有害物质限量》；GB/T 35607-2024《绿色产品评价 家具》。</w:t>
            </w:r>
            <w:r>
              <w:rPr>
                <w:rFonts w:hint="eastAsia" w:ascii="宋体" w:hAnsi="宋体" w:eastAsia="宋体"/>
                <w:color w:val="000000"/>
                <w:sz w:val="21"/>
                <w:szCs w:val="21"/>
                <w:highlight w:val="none"/>
                <w:lang w:val="en-US"/>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主要产品</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办公椅</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660×550×（1030～1100）mm±10mm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1.靠身：椅背采用PP+网格布料；椅座采用高弹海棉芯材，外包布艺饰面；配置扶手；人机工学设计，贴合人体曲线。</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2.椅脚：采用五星升降脚，配置静音滑轮，移动方便。</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张</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办公柜</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1000×400×2000mm±10mm</w:t>
            </w:r>
            <w:r>
              <w:rPr>
                <w:rFonts w:hint="eastAsia" w:ascii="宋体" w:hAnsi="宋体" w:cs="宋体"/>
                <w:color w:val="000000"/>
                <w:szCs w:val="21"/>
                <w:highlight w:val="none"/>
              </w:rPr>
            </w:r>
            <w:r/>
          </w:p>
        </w:tc>
        <w:tc>
          <w:tcPr>
            <w:tcW w:w="5167" w:type="dxa"/>
            <w:vAlign w:val="center"/>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板材均采用≥16mm三聚氰胺环保饰面板加工制作，1.5mm厚PVC封边条机械封边。下设对开门收纳空间，配备柜门锁一个；上设铝框玻璃门，白框白玻收纳空间。</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个</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499"/>
        </w:trPr>
        <w:tc>
          <w:tcPr>
            <w:tcW w:w="533" w:type="dxa"/>
            <w:vAlign w:val="center"/>
            <w:textDirection w:val="lrTb"/>
            <w:noWrap w:val="false"/>
          </w:tcPr>
          <w:p>
            <w:pPr>
              <w:pStyle w:val="706"/>
              <w:jc w:val="center"/>
              <w:keepLines w:val="0"/>
              <w:keepNext w:val="0"/>
              <w:widowControl/>
              <w:rPr>
                <w:rFonts w:hint="eastAsia" w:ascii="宋体" w:hAnsi="宋体" w:cs="宋体"/>
                <w:color w:val="000000"/>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cs="宋体"/>
                <w:color w:val="000000"/>
                <w:szCs w:val="21"/>
                <w:highlight w:val="none"/>
              </w:rPr>
            </w:r>
            <w:r/>
          </w:p>
        </w:tc>
        <w:tc>
          <w:tcPr>
            <w:tcW w:w="103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中央准备台</w:t>
            </w:r>
            <w:r>
              <w:rPr>
                <w:rFonts w:hint="eastAsia" w:ascii="宋体" w:hAnsi="宋体" w:cs="宋体"/>
                <w:color w:val="000000"/>
                <w:szCs w:val="21"/>
                <w:highlight w:val="none"/>
              </w:rPr>
            </w:r>
            <w:r/>
          </w:p>
        </w:tc>
        <w:tc>
          <w:tcPr>
            <w:tcW w:w="2736"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4000×1200×800mm±10mm</w:t>
            </w:r>
            <w:r>
              <w:rPr>
                <w:rFonts w:hint="eastAsia" w:ascii="宋体" w:hAnsi="宋体" w:cs="宋体"/>
                <w:color w:val="000000"/>
                <w:szCs w:val="21"/>
                <w:highlight w:val="none"/>
              </w:rPr>
            </w:r>
            <w:r/>
          </w:p>
        </w:tc>
        <w:tc>
          <w:tcPr>
            <w:tcW w:w="5167" w:type="dxa"/>
            <w:vAlign w:val="top"/>
            <w:textDirection w:val="lrTb"/>
            <w:noWrap w:val="false"/>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1.产品结构：</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2.台面参数：采用≥12mm厚纤丝抗倍特板，台面立面倒角。</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台身参数：下设有柜门及抽屉多组。采用16mm厚三聚氰胺环保饰面板制作，1.5mm厚塑制封边条机械封边,专用连接件连接。隐藏式一字拉手，三节滑轨及铰链，所有开孔部位均采用专业磨具成型的配件封堵，不可将板材断面直接裸露在外。所有板材加工截面必须封边，避免甲醛随意释放，确保达到环保标准。实验台下裙条（≥78mm）采用铝合金模具成型，内镶嵌板材16mm厚三聚氰胺环保饰面板，增加强度，板材距地不低于20mm，防水耐用</w:t>
            </w:r>
            <w:r>
              <w:rPr>
                <w:rFonts w:hint="eastAsia" w:ascii="宋体" w:hAnsi="宋体" w:cs="宋体"/>
                <w:color w:val="000000"/>
                <w:szCs w:val="21"/>
                <w:highlight w:val="none"/>
              </w:rPr>
            </w:r>
            <w:r/>
          </w:p>
        </w:tc>
        <w:tc>
          <w:tcPr>
            <w:tcW w:w="7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54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组</w:t>
            </w:r>
            <w:r>
              <w:rPr>
                <w:rFonts w:hint="eastAsia" w:ascii="宋体" w:hAnsi="宋体" w:cs="宋体"/>
                <w:color w:val="000000"/>
                <w:szCs w:val="21"/>
                <w:highlight w:val="none"/>
              </w:rPr>
            </w:r>
            <w:r/>
          </w:p>
        </w:tc>
        <w:tc>
          <w:tcPr>
            <w:tcW w:w="1151"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1117"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W w:w="868" w:type="dxa"/>
            <w:vAlign w:val="center"/>
            <w:textDirection w:val="lrTb"/>
            <w:noWrap w:val="false"/>
          </w:tcPr>
          <w:p>
            <w:pPr>
              <w:pStyle w:val="706"/>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货物</w:t>
            </w:r>
            <w:r>
              <w:rPr>
                <w:rFonts w:hint="eastAsia" w:ascii="宋体" w:hAnsi="宋体" w:cs="宋体"/>
                <w:color w:val="000000"/>
                <w:szCs w:val="21"/>
                <w:highlight w:val="none"/>
              </w:rPr>
            </w:r>
            <w:r/>
          </w:p>
        </w:tc>
        <w:tc>
          <w:tcPr>
            <w:tcW w:w="833" w:type="dxa"/>
            <w:vAlign w:val="center"/>
            <w:textDirection w:val="lrTb"/>
            <w:noWrap/>
          </w:tcPr>
          <w:p>
            <w:pPr>
              <w:pStyle w:val="706"/>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741"/>
        <w:jc w:val="both"/>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41"/>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rPr>
      </w:r>
      <w:r/>
    </w:p>
    <w:p>
      <w:pPr>
        <w:pStyle w:val="741"/>
        <w:jc w:val="center"/>
        <w:spacing w:line="360" w:lineRule="auto"/>
        <w:rPr>
          <w:rFonts w:hint="eastAsia" w:ascii="宋体" w:hAnsi="宋体" w:eastAsia="宋体" w:cs="宋体"/>
          <w:b/>
          <w:bCs/>
          <w:color w:val="000000"/>
          <w:spacing w:val="-10"/>
          <w:sz w:val="36"/>
          <w:szCs w:val="36"/>
          <w:highlight w:val="none"/>
          <w:lang w:val="zh-CN"/>
        </w:rPr>
        <w:sectPr>
          <w:footerReference w:type="default" r:id="rId10"/>
          <w:footerReference w:type="even" r:id="rId11"/>
          <w:footnotePr/>
          <w:endnotePr/>
          <w:type w:val="nextPage"/>
          <w:pgSz w:w="16838" w:h="11906" w:orient="landscape"/>
          <w:pgMar w:top="1191" w:right="1418" w:bottom="1191" w:left="1418" w:header="851" w:footer="680" w:gutter="0"/>
          <w:cols w:num="1" w:sep="0" w:space="1701" w:equalWidth="1"/>
          <w:docGrid w:linePitch="360"/>
        </w:sectPr>
        <w:outlineLvl w:val="9"/>
      </w:pPr>
      <w:r>
        <w:rPr>
          <w:rFonts w:hint="eastAsia" w:ascii="宋体" w:hAnsi="宋体" w:eastAsia="宋体" w:cs="宋体"/>
          <w:b/>
          <w:bCs/>
          <w:color w:val="000000"/>
          <w:spacing w:val="-10"/>
          <w:sz w:val="36"/>
          <w:szCs w:val="36"/>
          <w:highlight w:val="none"/>
          <w:lang w:val="zh-CN"/>
        </w:rPr>
      </w:r>
      <w:r/>
    </w:p>
    <w:p>
      <w:pPr>
        <w:pStyle w:val="741"/>
        <w:jc w:val="center"/>
        <w:spacing w:line="360" w:lineRule="auto"/>
        <w:rPr>
          <w:rFonts w:hint="eastAsia" w:ascii="宋体" w:hAnsi="宋体" w:eastAsia="宋体" w:cs="宋体"/>
          <w:color w:val="000000"/>
          <w:szCs w:val="21"/>
          <w:highlight w:val="none"/>
          <w:lang w:val="zh-CN"/>
        </w:rPr>
        <w:outlineLvl w:val="0"/>
      </w:pPr>
      <w:r/>
      <w:bookmarkStart w:id="40" w:name="_Toc11007"/>
      <w:r>
        <w:rPr>
          <w:rFonts w:hint="eastAsia" w:ascii="宋体" w:hAnsi="宋体" w:eastAsia="宋体" w:cs="宋体"/>
          <w:b/>
          <w:bCs/>
          <w:color w:val="000000"/>
          <w:spacing w:val="-10"/>
          <w:sz w:val="36"/>
          <w:szCs w:val="36"/>
          <w:highlight w:val="none"/>
          <w:lang w:val="zh-CN"/>
        </w:rPr>
        <w:t xml:space="preserve">第五章  合同主要条款及格式</w:t>
      </w:r>
      <w:bookmarkEnd w:id="40"/>
      <w:r>
        <w:rPr>
          <w:rFonts w:hint="eastAsia" w:ascii="宋体" w:hAnsi="宋体" w:eastAsia="宋体" w:cs="宋体"/>
          <w:color w:val="000000"/>
          <w:szCs w:val="21"/>
          <w:highlight w:val="none"/>
          <w:lang w:val="zh-CN"/>
        </w:rPr>
      </w:r>
      <w:r/>
    </w:p>
    <w:p>
      <w:pPr>
        <w:pStyle w:val="706"/>
        <w:ind w:firstLine="640"/>
        <w:jc w:val="center"/>
        <w:spacing w:line="360" w:lineRule="auto"/>
        <w:widowControl/>
        <w:rPr>
          <w:rFonts w:hint="eastAsia" w:ascii="Calibri" w:hAnsi="Calibri" w:cs="方正小标宋简体"/>
          <w:bCs/>
          <w:color w:val="000000"/>
          <w:sz w:val="32"/>
          <w:szCs w:val="32"/>
          <w:highlight w:val="none"/>
        </w:rPr>
        <w:outlineLvl w:val="1"/>
      </w:pPr>
      <w:r/>
      <w:bookmarkEnd w:id="17"/>
      <w:r/>
      <w:bookmarkStart w:id="41" w:name="_Toc9525"/>
      <w:r/>
      <w:bookmarkStart w:id="42" w:name="_Toc16496"/>
      <w:r>
        <w:rPr>
          <w:rFonts w:hint="eastAsia" w:ascii="Calibri" w:hAnsi="Calibri" w:cs="方正小标宋简体"/>
          <w:bCs/>
          <w:color w:val="000000"/>
          <w:sz w:val="32"/>
          <w:szCs w:val="32"/>
          <w:highlight w:val="none"/>
        </w:rPr>
        <w:t xml:space="preserve">政府采购合同（货物）</w:t>
      </w:r>
      <w:bookmarkEnd w:id="41"/>
      <w:r>
        <w:rPr>
          <w:rFonts w:hint="eastAsia" w:ascii="Calibri" w:hAnsi="Calibri" w:cs="方正小标宋简体"/>
          <w:bCs/>
          <w:color w:val="000000"/>
          <w:sz w:val="32"/>
          <w:szCs w:val="32"/>
          <w:highlight w:val="none"/>
        </w:rPr>
      </w:r>
      <w:r/>
    </w:p>
    <w:p>
      <w:pPr>
        <w:pStyle w:val="706"/>
        <w:ind w:firstLine="480"/>
        <w:jc w:val="center"/>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rPr>
      </w:r>
      <w:r/>
    </w:p>
    <w:p>
      <w:pPr>
        <w:pStyle w:val="706"/>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706"/>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706"/>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甲方（买方）：南京江北新区管理委员会教育局</w:t>
      </w:r>
      <w:r>
        <w:rPr>
          <w:rFonts w:hint="eastAsia" w:ascii="宋体" w:hAnsi="宋体" w:cs="宋体"/>
          <w:color w:val="000000"/>
          <w:sz w:val="24"/>
          <w:szCs w:val="24"/>
          <w:highlight w:val="none"/>
        </w:rPr>
      </w:r>
      <w:r/>
    </w:p>
    <w:p>
      <w:pPr>
        <w:pStyle w:val="706"/>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bookmarkStart w:id="43" w:name="OLE_LINK64"/>
      <w:r/>
      <w:bookmarkStart w:id="44" w:name="OLE_LINK65"/>
      <w:r>
        <w:rPr>
          <w:rFonts w:hint="eastAsia" w:ascii="宋体" w:hAnsi="宋体" w:cs="宋体"/>
          <w:color w:val="000000"/>
          <w:sz w:val="24"/>
          <w:szCs w:val="24"/>
          <w:highlight w:val="none"/>
        </w:rPr>
        <w:t xml:space="preserve">卖方</w:t>
      </w:r>
      <w:bookmarkEnd w:id="43"/>
      <w:r/>
      <w:bookmarkEnd w:id="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06"/>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45" w:name="OLE_LINK58"/>
      <w:r/>
      <w:bookmarkStart w:id="46" w:name="OLE_LINK59"/>
      <w:r>
        <w:rPr>
          <w:rFonts w:hint="eastAsia" w:ascii="宋体" w:hAnsi="宋体" w:cs="宋体"/>
          <w:color w:val="000000"/>
          <w:sz w:val="24"/>
          <w:szCs w:val="24"/>
          <w:highlight w:val="none"/>
        </w:rPr>
        <w:t xml:space="preserve">南京市江北新区公共工程建设中心</w:t>
      </w:r>
      <w:bookmarkEnd w:id="45"/>
      <w:r/>
      <w:bookmarkEnd w:id="46"/>
      <w:r>
        <w:rPr>
          <w:rFonts w:hint="eastAsia" w:ascii="宋体" w:hAnsi="宋体" w:cs="宋体"/>
          <w:color w:val="000000"/>
          <w:sz w:val="24"/>
          <w:szCs w:val="24"/>
          <w:highlight w:val="none"/>
        </w:rPr>
      </w:r>
      <w:r/>
    </w:p>
    <w:p>
      <w:pPr>
        <w:pStyle w:val="706"/>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鉴于受托代建单位</w:t>
      </w:r>
      <w:bookmarkStart w:id="47" w:name="OLE_LINK73"/>
      <w:r/>
      <w:bookmarkStart w:id="48" w:name="OLE_LINK72"/>
      <w:r>
        <w:rPr>
          <w:rFonts w:hint="eastAsia" w:ascii="宋体" w:hAnsi="宋体" w:cs="宋体"/>
          <w:color w:val="000000"/>
          <w:sz w:val="24"/>
          <w:szCs w:val="24"/>
          <w:highlight w:val="none"/>
        </w:rPr>
        <w:t xml:space="preserve">南京市江北新区公共工程建设中心</w:t>
      </w:r>
      <w:bookmarkEnd w:id="47"/>
      <w:r/>
      <w:bookmarkEnd w:id="48"/>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highlight w:val="none"/>
          <w:u w:val="single"/>
          <w:lang w:eastAsia="zh-CN"/>
        </w:rPr>
        <w:t xml:space="preserve">江北新区滨江实验学校工程项目功能室设备采购项目</w:t>
      </w:r>
      <w:r>
        <w:rPr>
          <w:rFonts w:hint="eastAsia" w:ascii="宋体" w:hAnsi="宋体" w:cs="宋体"/>
          <w:color w:val="000000"/>
          <w:sz w:val="24"/>
          <w:szCs w:val="24"/>
          <w:highlight w:val="none"/>
        </w:rPr>
        <w:t xml:space="preserve">及有关事项协商一致，共同达成如下协议：。</w:t>
      </w:r>
      <w:r>
        <w:rPr>
          <w:rFonts w:hint="eastAsia" w:ascii="宋体" w:hAnsi="宋体" w:cs="宋体"/>
          <w:color w:val="000000"/>
          <w:sz w:val="24"/>
          <w:szCs w:val="24"/>
          <w:highlight w:val="none"/>
        </w:rPr>
      </w:r>
      <w:r/>
    </w:p>
    <w:p>
      <w:pPr>
        <w:pStyle w:val="706"/>
        <w:ind w:firstLine="482"/>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1.1标的名称：</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1.2标的质量：【按采购文件及投标文件执行】</w:t>
      </w:r>
      <w:r>
        <w:rPr>
          <w:rFonts w:hint="eastAsia" w:ascii="宋体" w:hAnsi="宋体" w:cs="宋体"/>
          <w:color w:val="000000"/>
          <w:sz w:val="24"/>
          <w:szCs w:val="24"/>
          <w:highlight w:val="none"/>
        </w:rPr>
      </w:r>
      <w:r/>
    </w:p>
    <w:p>
      <w:pPr>
        <w:pStyle w:val="706"/>
        <w:ind w:firstLine="480"/>
        <w:jc w:val="left"/>
        <w:spacing w:line="360" w:lineRule="auto"/>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1.3标的数量（规模）：</w:t>
      </w:r>
      <w:r>
        <w:rPr>
          <w:rFonts w:hint="eastAsia" w:ascii="宋体" w:hAnsi="宋体" w:cs="宋体"/>
          <w:color w:val="000000"/>
          <w:sz w:val="24"/>
          <w:szCs w:val="24"/>
          <w:highlight w:val="none"/>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06"/>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706"/>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6"/>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300"/>
              </w:trPr>
              <w:tc>
                <w:tcPr>
                  <w:tcW w:w="704"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706"/>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06"/>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706"/>
        <w:ind w:firstLine="480"/>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1.4履行时间（期限）：【按采购文件及投标文件执行】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1.5履行地点：【按采购文件及投标文件执行】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1.6履行方式：【按采购文件及投标文件执行】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1.7包装方式：【按采购文件及投标文件执行】</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2.1本合同金额为（大写）：______________（____________________元）人民币。</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3.1乙方应按采购文件规定的时间向甲方（或丙方）提供货物（包含与货物相关的服务）的有关技术资料。</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3.2没有甲方（或丙方）事先书面同意，乙方不得将由甲</w:t>
      </w:r>
      <w:r>
        <w:rPr>
          <w:rFonts w:hint="eastAsia" w:ascii="宋体" w:hAnsi="宋体" w:cs="宋体"/>
          <w:color w:val="000000"/>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6.1本项目乙方无需缴纳履约保证金。</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7.3乙方如有转包或未经甲方同意的分包行为，甲方有权终止合同。</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八、合同款项支付</w:t>
      </w:r>
      <w:r>
        <w:rPr>
          <w:rFonts w:hint="eastAsia" w:ascii="宋体" w:hAnsi="宋体" w:cs="宋体"/>
          <w:b/>
          <w:color w:val="000000"/>
          <w:sz w:val="24"/>
          <w:szCs w:val="24"/>
          <w:highlight w:val="none"/>
        </w:rPr>
      </w:r>
      <w:r/>
    </w:p>
    <w:p>
      <w:pPr>
        <w:pStyle w:val="706"/>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8.1合同签订后支付合同总额10%的预付款。</w:t>
      </w:r>
      <w:r>
        <w:rPr>
          <w:rFonts w:ascii="宋体" w:hAnsi="宋体" w:cs="宋体"/>
          <w:color w:val="000000"/>
          <w:sz w:val="24"/>
          <w:szCs w:val="24"/>
          <w:highlight w:val="none"/>
        </w:rPr>
      </w:r>
      <w:r/>
    </w:p>
    <w:p>
      <w:pPr>
        <w:pStyle w:val="706"/>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highlight w:val="none"/>
        </w:rPr>
      </w:r>
      <w:r/>
    </w:p>
    <w:p>
      <w:pPr>
        <w:pStyle w:val="706"/>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8.3在本工程项目竣工验收合格，一年内支付合同总额的35%，剩余5%为质保金。</w:t>
      </w:r>
      <w:r>
        <w:rPr>
          <w:rFonts w:ascii="宋体" w:hAnsi="宋体" w:cs="宋体"/>
          <w:color w:val="000000"/>
          <w:sz w:val="24"/>
          <w:szCs w:val="24"/>
          <w:highlight w:val="none"/>
        </w:rPr>
      </w:r>
      <w:r/>
    </w:p>
    <w:p>
      <w:pPr>
        <w:pStyle w:val="706"/>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8.4质保金在质保期满后一次性付清。</w:t>
      </w:r>
      <w:r>
        <w:rPr>
          <w:rFonts w:ascii="宋体" w:hAnsi="宋体" w:cs="宋体"/>
          <w:color w:val="000000"/>
          <w:sz w:val="24"/>
          <w:szCs w:val="24"/>
          <w:highlight w:val="none"/>
        </w:rPr>
      </w:r>
      <w:r/>
    </w:p>
    <w:p>
      <w:pPr>
        <w:pStyle w:val="706"/>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8.5具体支付依据当年新区财政资金状况而定。</w:t>
      </w:r>
      <w:r>
        <w:rPr>
          <w:rFonts w:ascii="宋体" w:hAnsi="宋体" w:cs="宋体"/>
          <w:color w:val="000000"/>
          <w:sz w:val="24"/>
          <w:szCs w:val="24"/>
          <w:highlight w:val="none"/>
        </w:rPr>
      </w:r>
      <w:r/>
    </w:p>
    <w:p>
      <w:pPr>
        <w:pStyle w:val="706"/>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8.6发票及付款流程</w:t>
      </w:r>
      <w:r>
        <w:rPr>
          <w:rFonts w:ascii="宋体" w:hAnsi="宋体" w:cs="宋体"/>
          <w:color w:val="000000"/>
          <w:sz w:val="24"/>
          <w:szCs w:val="24"/>
          <w:highlight w:val="none"/>
        </w:rPr>
      </w:r>
      <w:r/>
    </w:p>
    <w:p>
      <w:pPr>
        <w:pStyle w:val="706"/>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8.6.1乙方所开发票名称为“南京江北新区管理委员会教育局”，依据付款要求，提供相应材料。</w:t>
      </w:r>
      <w:r>
        <w:rPr>
          <w:rFonts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9.1本合同执行中的相关税费均由乙方负担。</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十、质量保修范围和保修期及售后服务</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10.2.1更换：由乙方承担所发生的全部费用。</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10.2.2贬值处理：由甲乙双方合议定价。</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10.3如在使用过程中发生质量问题，乙方应在接到甲方通知后【1】小时内到达甲方现场。</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10.4质保期内，乙方应对货物出现的质量及安全问题负责处理解决并承担一切费用。</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w:t>
      </w:r>
      <w:bookmarkStart w:id="49" w:name="OLE_LINK5"/>
      <w:r>
        <w:rPr>
          <w:rFonts w:hint="eastAsia" w:ascii="宋体" w:hAnsi="宋体" w:cs="宋体"/>
          <w:color w:val="000000"/>
          <w:sz w:val="24"/>
          <w:szCs w:val="24"/>
          <w:highlight w:val="none"/>
        </w:rPr>
        <w:t xml:space="preserve">质保期</w:t>
      </w:r>
      <w:bookmarkEnd w:id="49"/>
      <w:r>
        <w:rPr>
          <w:rFonts w:hint="eastAsia" w:ascii="宋体" w:hAnsi="宋体" w:cs="宋体"/>
          <w:color w:val="000000"/>
          <w:sz w:val="24"/>
          <w:szCs w:val="24"/>
          <w:highlight w:val="none"/>
        </w:rPr>
        <w:t xml:space="preserve">为自交货验收合格之日起【8】年，因人为因素出现的故障不在质保范围内。超过质保期的乙方负责终身维修，维修时只收取部件成本费。</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十一、项目验收</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11.1甲方依法组织履约验收工作，具体工作由甲方委托丙方组织进行，乙方必须服从丙方安排。</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11.3对于实际使用人和甲方（或丙方）分离的项目，甲方（或丙方）邀请实际使用人参与验收。</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十二、货物的包装、发运及运输</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12.3乙方在货物发运手续办理完毕后24小时内或货到甲方（或丙方）48小时前通知甲方（或丙方），以准备接货。</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12.4货物在交付甲方（或丙方）前发生的风险均由乙方负责。</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十四、安装调试、培训和验收</w:t>
      </w:r>
      <w:r>
        <w:rPr>
          <w:rFonts w:hint="eastAsia" w:ascii="宋体" w:hAnsi="宋体" w:eastAsia="宋体" w:cs="宋体"/>
          <w:b/>
          <w:bCs/>
          <w:color w:val="000000"/>
          <w:sz w:val="24"/>
          <w:szCs w:val="24"/>
          <w:highlight w:val="none"/>
        </w:rPr>
      </w:r>
      <w:r/>
    </w:p>
    <w:p>
      <w:pPr>
        <w:pStyle w:val="706"/>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color w:val="000000"/>
          <w:sz w:val="24"/>
          <w:szCs w:val="24"/>
          <w:highlight w:val="none"/>
        </w:rPr>
      </w:r>
      <w:r/>
    </w:p>
    <w:p>
      <w:pPr>
        <w:pStyle w:val="706"/>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eastAsia="宋体" w:cs="宋体"/>
          <w:color w:val="000000"/>
          <w:sz w:val="24"/>
          <w:szCs w:val="24"/>
          <w:highlight w:val="none"/>
        </w:rPr>
      </w:r>
      <w:r/>
    </w:p>
    <w:p>
      <w:pPr>
        <w:pStyle w:val="706"/>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eastAsia="宋体" w:cs="宋体"/>
          <w:color w:val="000000"/>
          <w:sz w:val="24"/>
          <w:szCs w:val="24"/>
          <w:highlight w:val="none"/>
        </w:rPr>
      </w:r>
      <w:r/>
    </w:p>
    <w:p>
      <w:pPr>
        <w:pStyle w:val="706"/>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eastAsia="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706"/>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706"/>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706"/>
        <w:ind w:firstLine="480"/>
        <w:spacing w:before="120" w:after="120" w:line="400" w:lineRule="exact"/>
        <w:widowControl/>
        <w:rPr>
          <w:rFonts w:hint="eastAsia" w:ascii="Calibri" w:hAnsi="Calibri"/>
          <w:color w:val="000000"/>
          <w:sz w:val="24"/>
          <w:szCs w:val="22"/>
          <w:highlight w:val="none"/>
          <w:lang w:bidi="ar"/>
        </w:rPr>
      </w:pPr>
      <w:r/>
      <w:bookmarkStart w:id="50"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06"/>
        <w:jc w:val="left"/>
        <w:rPr>
          <w:rFonts w:hint="eastAsia" w:ascii="宋体" w:hAnsi="宋体"/>
          <w:color w:val="000000"/>
          <w:sz w:val="24"/>
          <w:szCs w:val="24"/>
          <w:highlight w:val="none"/>
        </w:rPr>
      </w:pPr>
      <w:r/>
      <w:bookmarkEnd w:id="50"/>
      <w:r>
        <w:rPr>
          <w:rFonts w:hint="eastAsia" w:ascii="宋体" w:hAnsi="宋体"/>
          <w:color w:val="000000"/>
          <w:sz w:val="24"/>
          <w:szCs w:val="24"/>
          <w:highlight w:val="none"/>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706"/>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706"/>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outlineLvl w:val="0"/>
      </w:pPr>
      <w:r/>
      <w:bookmarkStart w:id="51" w:name="_Toc13858"/>
      <w:r>
        <w:rPr>
          <w:rFonts w:hint="eastAsia" w:ascii="宋体" w:hAnsi="宋体" w:cs="宋体"/>
          <w:b/>
          <w:bCs/>
          <w:color w:val="000000"/>
          <w:sz w:val="36"/>
          <w:szCs w:val="36"/>
          <w:highlight w:val="none"/>
          <w:lang w:val="zh-CN"/>
        </w:rPr>
        <w:t xml:space="preserve">第六章  </w:t>
      </w:r>
      <w:r>
        <w:rPr>
          <w:rFonts w:hint="eastAsia" w:ascii="宋体" w:hAnsi="宋体" w:cs="宋体"/>
          <w:b/>
          <w:bCs/>
          <w:color w:val="000000"/>
          <w:sz w:val="36"/>
          <w:szCs w:val="36"/>
          <w:highlight w:val="none"/>
        </w:rPr>
        <w:t xml:space="preserve">投标文件</w:t>
      </w:r>
      <w:r>
        <w:rPr>
          <w:rFonts w:hint="eastAsia" w:ascii="宋体" w:hAnsi="宋体" w:cs="宋体"/>
          <w:b/>
          <w:bCs/>
          <w:color w:val="000000"/>
          <w:sz w:val="36"/>
          <w:szCs w:val="36"/>
          <w:highlight w:val="none"/>
          <w:lang w:val="zh-CN"/>
        </w:rPr>
        <w:t xml:space="preserve">格式及附件</w:t>
      </w:r>
      <w:bookmarkEnd w:id="42"/>
      <w:r/>
      <w:bookmarkEnd w:id="51"/>
      <w:r>
        <w:rPr>
          <w:rFonts w:hint="eastAsia" w:ascii="宋体" w:hAnsi="宋体" w:cs="宋体"/>
          <w:b/>
          <w:bCs/>
          <w:color w:val="000000"/>
          <w:sz w:val="36"/>
          <w:szCs w:val="36"/>
          <w:highlight w:val="none"/>
          <w:lang w:val="zh-CN"/>
        </w:rPr>
      </w:r>
      <w:r/>
    </w:p>
    <w:p>
      <w:pPr>
        <w:pStyle w:val="706"/>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06"/>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706"/>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706"/>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06"/>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06"/>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06"/>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06"/>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06"/>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06"/>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706"/>
        <w:spacing w:line="360" w:lineRule="auto"/>
        <w:rPr>
          <w:rFonts w:hint="eastAsia" w:ascii="宋体" w:hAnsi="宋体" w:cs="宋体"/>
          <w:b/>
          <w:color w:val="000000"/>
          <w:sz w:val="24"/>
          <w:szCs w:val="24"/>
          <w:highlight w:val="none"/>
        </w:rPr>
        <w:outlineLvl w:val="1"/>
      </w:pPr>
      <w:r/>
      <w:bookmarkStart w:id="52" w:name="_Toc18853"/>
      <w:r>
        <w:rPr>
          <w:rFonts w:hint="eastAsia" w:ascii="宋体" w:hAnsi="宋体" w:cs="宋体"/>
          <w:b/>
          <w:color w:val="000000"/>
          <w:sz w:val="24"/>
          <w:szCs w:val="24"/>
          <w:highlight w:val="none"/>
          <w:lang w:val="zh-CN"/>
        </w:rPr>
        <w:t xml:space="preserve">附件一、投标申请及声明格式</w:t>
      </w:r>
      <w:bookmarkEnd w:id="52"/>
      <w:r>
        <w:rPr>
          <w:rFonts w:hint="eastAsia" w:ascii="宋体" w:hAnsi="宋体" w:cs="宋体"/>
          <w:b/>
          <w:color w:val="000000"/>
          <w:sz w:val="24"/>
          <w:szCs w:val="24"/>
          <w:highlight w:val="none"/>
        </w:rPr>
      </w:r>
      <w:r/>
    </w:p>
    <w:p>
      <w:pPr>
        <w:pStyle w:val="706"/>
        <w:jc w:val="center"/>
        <w:spacing w:before="120" w:after="120" w:line="360" w:lineRule="auto"/>
        <w:rPr>
          <w:rFonts w:hint="eastAsia" w:ascii="宋体" w:hAnsi="宋体" w:cs="宋体"/>
          <w:b/>
          <w:bCs/>
          <w:color w:val="000000"/>
          <w:sz w:val="28"/>
          <w:szCs w:val="28"/>
          <w:highlight w:val="none"/>
        </w:rPr>
      </w:pPr>
      <w:r/>
      <w:bookmarkStart w:id="53" w:name="_Toc30921"/>
      <w:r/>
      <w:bookmarkStart w:id="54" w:name="_Toc4379"/>
      <w:r/>
      <w:bookmarkStart w:id="55" w:name="_Toc32604"/>
      <w:r>
        <w:rPr>
          <w:rFonts w:hint="eastAsia" w:ascii="宋体" w:hAnsi="宋体" w:cs="宋体"/>
          <w:b/>
          <w:bCs/>
          <w:color w:val="000000"/>
          <w:sz w:val="28"/>
          <w:szCs w:val="28"/>
          <w:highlight w:val="none"/>
          <w:lang w:val="zh-CN"/>
        </w:rPr>
        <w:t xml:space="preserve">投标申请及声明</w:t>
      </w:r>
      <w:bookmarkEnd w:id="53"/>
      <w:r/>
      <w:bookmarkEnd w:id="54"/>
      <w:r/>
      <w:bookmarkEnd w:id="55"/>
      <w:r>
        <w:rPr>
          <w:rFonts w:hint="eastAsia" w:ascii="宋体" w:hAnsi="宋体" w:cs="宋体"/>
          <w:b/>
          <w:bCs/>
          <w:color w:val="000000"/>
          <w:sz w:val="28"/>
          <w:szCs w:val="28"/>
          <w:highlight w:val="none"/>
        </w:rPr>
      </w:r>
      <w:r/>
    </w:p>
    <w:p>
      <w:pPr>
        <w:pStyle w:val="1282"/>
        <w:keepLines w:val="0"/>
        <w:keepNext w:val="0"/>
        <w:pageBreakBefore w:val="0"/>
        <w:spacing w:line="312" w:lineRule="auto"/>
        <w:widowControl w:val="off"/>
        <w:rPr>
          <w:rFonts w:hint="eastAsia" w:hAnsi="宋体" w:cs="宋体"/>
          <w:color w:val="000000"/>
          <w:sz w:val="24"/>
          <w:szCs w:val="24"/>
          <w:highlight w:val="none"/>
        </w:rPr>
      </w:pPr>
      <w:r/>
      <w:bookmarkStart w:id="56" w:name="_Toc27899"/>
      <w:r/>
      <w:bookmarkStart w:id="57" w:name="_Toc18647"/>
      <w:r>
        <w:rPr>
          <w:rFonts w:hint="eastAsia" w:hAnsi="宋体" w:cs="宋体"/>
          <w:color w:val="000000"/>
          <w:sz w:val="24"/>
          <w:szCs w:val="24"/>
          <w:highlight w:val="none"/>
          <w:lang w:val="zh-CN"/>
        </w:rPr>
        <w:t xml:space="preserve">致：招标人：</w:t>
      </w:r>
      <w:bookmarkEnd w:id="56"/>
      <w:r/>
      <w:bookmarkEnd w:id="57"/>
      <w:r>
        <w:rPr>
          <w:rFonts w:hint="eastAsia" w:hAnsi="宋体" w:cs="宋体"/>
          <w:color w:val="000000"/>
          <w:sz w:val="24"/>
          <w:szCs w:val="24"/>
          <w:highlight w:val="none"/>
          <w:u w:val="single"/>
          <w:lang w:val="zh-CN"/>
        </w:rPr>
        <w:t xml:space="preserve"> 南京江北新区管理委员会教育局</w:t>
      </w:r>
      <w:r>
        <w:rPr>
          <w:rFonts w:hint="eastAsia" w:hAnsi="宋体" w:cs="宋体"/>
          <w:color w:val="000000"/>
          <w:sz w:val="24"/>
          <w:szCs w:val="24"/>
          <w:highlight w:val="none"/>
        </w:rPr>
      </w:r>
      <w:r/>
    </w:p>
    <w:p>
      <w:pPr>
        <w:pStyle w:val="1282"/>
        <w:ind w:firstLine="480"/>
        <w:keepLines w:val="0"/>
        <w:keepNext w:val="0"/>
        <w:pageBreakBefore w:val="0"/>
        <w:spacing w:line="312" w:lineRule="auto"/>
        <w:widowControl w:val="off"/>
        <w:rPr>
          <w:rFonts w:hint="eastAsia" w:hAnsi="宋体" w:cs="宋体"/>
          <w:color w:val="000000"/>
          <w:sz w:val="24"/>
          <w:szCs w:val="24"/>
          <w:highlight w:val="none"/>
        </w:rPr>
      </w:pPr>
      <w:r/>
      <w:bookmarkStart w:id="58" w:name="_Toc9373"/>
      <w:r/>
      <w:bookmarkStart w:id="59" w:name="_Toc4607"/>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58"/>
      <w:r/>
      <w:bookmarkEnd w:id="59"/>
      <w:r>
        <w:rPr>
          <w:rFonts w:hint="eastAsia"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按招标要求，我们的投标总报价为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（大写）元人民币。其中，小型企业的产品为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、与本投标有关的正式联系方式为：</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706"/>
        <w:ind w:firstLine="420"/>
        <w:keepLines w:val="0"/>
        <w:keepNext w:val="0"/>
        <w:pageBreakBefore w:val="0"/>
        <w:spacing w:line="312" w:lineRule="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706"/>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06"/>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06"/>
        <w:spacing w:line="360" w:lineRule="auto"/>
        <w:rPr>
          <w:rFonts w:hint="eastAsia" w:ascii="宋体" w:hAnsi="宋体" w:cs="宋体"/>
          <w:b/>
          <w:color w:val="000000"/>
          <w:sz w:val="24"/>
          <w:szCs w:val="24"/>
          <w:highlight w:val="none"/>
          <w:lang w:val="zh-CN"/>
        </w:rPr>
        <w:outlineLvl w:val="9"/>
      </w:pPr>
      <w:r>
        <w:rPr>
          <w:rFonts w:hint="eastAsia" w:ascii="宋体" w:hAnsi="宋体" w:cs="宋体"/>
          <w:b/>
          <w:color w:val="000000"/>
          <w:sz w:val="24"/>
          <w:szCs w:val="24"/>
          <w:highlight w:val="none"/>
          <w:lang w:val="zh-CN"/>
        </w:rPr>
      </w:r>
      <w:r/>
    </w:p>
    <w:p>
      <w:pPr>
        <w:pStyle w:val="706"/>
        <w:spacing w:line="360" w:lineRule="auto"/>
        <w:rPr>
          <w:rFonts w:hint="eastAsia" w:ascii="宋体" w:hAnsi="宋体" w:cs="宋体"/>
          <w:color w:val="000000"/>
          <w:sz w:val="24"/>
          <w:szCs w:val="24"/>
          <w:highlight w:val="none"/>
        </w:rPr>
        <w:outlineLvl w:val="1"/>
      </w:pPr>
      <w:r/>
      <w:bookmarkStart w:id="60" w:name="_Toc11627"/>
      <w:r>
        <w:rPr>
          <w:rFonts w:hint="eastAsia" w:ascii="宋体" w:hAnsi="宋体" w:cs="宋体"/>
          <w:b/>
          <w:color w:val="000000"/>
          <w:sz w:val="24"/>
          <w:szCs w:val="24"/>
          <w:highlight w:val="none"/>
          <w:lang w:val="zh-CN"/>
        </w:rPr>
        <w:t xml:space="preserve">附件二、法定代表人授权书格式</w:t>
      </w:r>
      <w:bookmarkEnd w:id="60"/>
      <w:r>
        <w:rPr>
          <w:rFonts w:hint="eastAsia" w:ascii="宋体" w:hAnsi="宋体" w:cs="宋体"/>
          <w:color w:val="000000"/>
          <w:sz w:val="24"/>
          <w:szCs w:val="24"/>
          <w:highlight w:val="none"/>
        </w:rPr>
      </w:r>
      <w:r/>
    </w:p>
    <w:p>
      <w:pPr>
        <w:pStyle w:val="706"/>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法定代表人授权委托书</w:t>
      </w:r>
      <w:r>
        <w:rPr>
          <w:rFonts w:hint="eastAsia" w:ascii="宋体" w:hAnsi="宋体" w:cs="宋体"/>
          <w:b/>
          <w:bCs/>
          <w:color w:val="000000"/>
          <w:sz w:val="28"/>
          <w:szCs w:val="28"/>
          <w:highlight w:val="none"/>
          <w:lang w:val="zh-CN"/>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南京江北新区管理委员会教育局、益嘉新建设咨询（南京）有限公司 ：</w:t>
      </w:r>
      <w:r>
        <w:rPr>
          <w:rFonts w:hint="eastAsia" w:ascii="宋体" w:hAnsi="宋体" w:cs="宋体"/>
          <w:color w:val="000000"/>
          <w:sz w:val="24"/>
          <w:szCs w:val="24"/>
          <w:highlight w:val="none"/>
        </w:rPr>
      </w:r>
      <w:r/>
    </w:p>
    <w:p>
      <w:pPr>
        <w:pStyle w:val="706"/>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041"/>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06"/>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身份证原件复印件：</w:t>
      </w:r>
      <w:r>
        <w:rPr>
          <w:rFonts w:hint="eastAsia" w:ascii="宋体" w:hAnsi="宋体" w:cs="宋体"/>
          <w:b/>
          <w:bCs/>
          <w:color w:val="000000"/>
          <w:sz w:val="24"/>
          <w:szCs w:val="24"/>
          <w:highlight w:val="none"/>
        </w:rPr>
      </w:r>
      <w:r/>
    </w:p>
    <w:p>
      <w:pPr>
        <w:pStyle w:val="706"/>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的身份证明文件的复印件：</w:t>
      </w:r>
      <w:r>
        <w:rPr>
          <w:rFonts w:hint="eastAsia" w:ascii="宋体" w:hAnsi="宋体" w:cs="宋体"/>
          <w:b/>
          <w:bCs/>
          <w:color w:val="000000"/>
          <w:sz w:val="24"/>
          <w:szCs w:val="24"/>
          <w:highlight w:val="none"/>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9"/>
      </w:pPr>
      <w:r>
        <w:rPr>
          <w:rFonts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rPr>
        <w:outlineLvl w:val="1"/>
      </w:pPr>
      <w:r/>
      <w:bookmarkStart w:id="61" w:name="_Toc5015"/>
      <w:r>
        <w:rPr>
          <w:rFonts w:hint="eastAsia" w:ascii="宋体" w:hAnsi="宋体" w:cs="宋体"/>
          <w:b/>
          <w:color w:val="000000"/>
          <w:sz w:val="24"/>
          <w:szCs w:val="24"/>
          <w:highlight w:val="none"/>
          <w:lang w:val="zh-CN"/>
        </w:rPr>
        <w:t xml:space="preserve">附件三、开标一览表格式</w:t>
      </w:r>
      <w:bookmarkEnd w:id="61"/>
      <w:r>
        <w:rPr>
          <w:rFonts w:hint="eastAsia" w:ascii="宋体" w:hAnsi="宋体" w:cs="宋体"/>
          <w:b/>
          <w:color w:val="000000"/>
          <w:sz w:val="24"/>
          <w:szCs w:val="24"/>
          <w:highlight w:val="none"/>
        </w:rPr>
      </w:r>
      <w:r/>
    </w:p>
    <w:p>
      <w:pPr>
        <w:pStyle w:val="706"/>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开标一览表</w:t>
      </w:r>
      <w:r>
        <w:rPr>
          <w:rFonts w:hint="eastAsia" w:ascii="宋体" w:hAnsi="宋体" w:cs="宋体"/>
          <w:b/>
          <w:bCs/>
          <w:color w:val="000000"/>
          <w:sz w:val="28"/>
          <w:szCs w:val="28"/>
          <w:highlight w:val="none"/>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r>
            <w:r/>
          </w:p>
        </w:tc>
        <w:tc>
          <w:tcPr>
            <w:gridSpan w:val="2"/>
            <w:tcW w:w="3347" w:type="dxa"/>
            <w:vAlign w:val="center"/>
            <w:textDirection w:val="lrTb"/>
            <w:noWrap w:val="false"/>
          </w:tcPr>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rPr>
            </w:r>
            <w:r/>
          </w:p>
        </w:tc>
        <w:tc>
          <w:tcPr>
            <w:gridSpan w:val="2"/>
            <w:tcW w:w="3522"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名               称</w:t>
            </w:r>
            <w:r>
              <w:rPr>
                <w:rFonts w:hint="eastAsia" w:ascii="宋体" w:hAnsi="宋体" w:cs="宋体"/>
                <w:color w:val="000000"/>
                <w:sz w:val="24"/>
                <w:szCs w:val="24"/>
                <w:highlight w:val="none"/>
              </w:rPr>
            </w:r>
            <w:r/>
          </w:p>
        </w:tc>
        <w:tc>
          <w:tcPr>
            <w:tcW w:w="872"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报价（元）</w:t>
            </w:r>
            <w:r>
              <w:rPr>
                <w:rFonts w:hint="eastAsia" w:ascii="宋体" w:hAnsi="宋体" w:cs="宋体"/>
                <w:color w:val="000000"/>
                <w:sz w:val="24"/>
                <w:szCs w:val="24"/>
                <w:highlight w:val="none"/>
              </w:rPr>
            </w:r>
            <w:r/>
          </w:p>
        </w:tc>
        <w:tc>
          <w:tcPr>
            <w:tcW w:w="2839"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06"/>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06"/>
              <w:spacing w:line="360" w:lineRule="auto"/>
              <w:rPr>
                <w:rFonts w:hint="eastAsia" w:ascii="宋体" w:hAnsi="宋体" w:eastAsia="宋体" w:cs="宋体"/>
                <w:color w:val="000000"/>
                <w:spacing w:val="-2"/>
                <w:sz w:val="24"/>
                <w:szCs w:val="24"/>
                <w:highlight w:val="none"/>
                <w:lang w:eastAsia="zh-CN"/>
              </w:rPr>
            </w:pPr>
            <w:r>
              <w:rPr>
                <w:rFonts w:hint="eastAsia" w:ascii="宋体" w:hAnsi="宋体" w:cs="宋体"/>
                <w:color w:val="000000"/>
                <w:sz w:val="24"/>
                <w:szCs w:val="24"/>
                <w:highlight w:val="none"/>
                <w:lang w:eastAsia="zh-CN"/>
              </w:rPr>
              <w:t xml:space="preserve">江北新区滨江实验学校工程项目功能室设备采购项目</w:t>
            </w:r>
            <w:r>
              <w:rPr>
                <w:rFonts w:hint="eastAsia" w:ascii="宋体" w:hAnsi="宋体" w:eastAsia="宋体" w:cs="宋体"/>
                <w:color w:val="000000"/>
                <w:spacing w:val="-2"/>
                <w:sz w:val="24"/>
                <w:szCs w:val="24"/>
                <w:highlight w:val="none"/>
                <w:lang w:eastAsia="zh-CN"/>
              </w:rPr>
            </w:r>
            <w:r/>
          </w:p>
        </w:tc>
        <w:tc>
          <w:tcPr>
            <w:tcW w:w="872" w:type="dxa"/>
            <w:vAlign w:val="center"/>
            <w:textDirection w:val="lrTb"/>
            <w:noWrap w:val="false"/>
          </w:tcPr>
          <w:p>
            <w:pPr>
              <w:pStyle w:val="706"/>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gridSpan w:val="2"/>
            <w:tcW w:w="1418"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06"/>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06"/>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706"/>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706"/>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706"/>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06"/>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投标总价（人民币，大写）</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06"/>
              <w:ind w:firstLine="399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06"/>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投标货物中有无进口产品</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有       无</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06"/>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供应商是否属于小微型企业</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是       否</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706"/>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人民币与美元汇率</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10：X</w:t>
            </w:r>
            <w:r>
              <w:rPr>
                <w:rFonts w:hint="eastAsia" w:ascii="宋体" w:hAnsi="宋体" w:cs="宋体"/>
                <w:color w:val="000000"/>
                <w:sz w:val="24"/>
                <w:szCs w:val="24"/>
                <w:highlight w:val="none"/>
              </w:rPr>
            </w:r>
            <w:r/>
          </w:p>
        </w:tc>
      </w:tr>
    </w:tbl>
    <w:p>
      <w:pPr>
        <w:pStyle w:val="706"/>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06"/>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6"/>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706"/>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w:t>
      </w:r>
      <w:r>
        <w:rPr>
          <w:rFonts w:hint="eastAsia" w:ascii="宋体" w:hAnsi="宋体" w:cs="宋体"/>
          <w:color w:val="000000"/>
          <w:sz w:val="24"/>
          <w:szCs w:val="24"/>
          <w:highlight w:val="none"/>
          <w:lang w:val="zh-CN"/>
        </w:rPr>
        <w:t xml:space="preserve">在“投标货物中有无进口产品”栏后“有”或“无”上打“√”。</w:t>
      </w:r>
      <w:r>
        <w:rPr>
          <w:rFonts w:hint="eastAsia" w:ascii="宋体" w:hAnsi="宋体" w:cs="宋体"/>
          <w:color w:val="000000"/>
          <w:sz w:val="24"/>
          <w:szCs w:val="24"/>
          <w:highlight w:val="none"/>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、在“供应商是否属于小和微型企业”栏后“是”或“否”上打“√”。</w:t>
      </w: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p>
      <w:pPr>
        <w:pStyle w:val="706"/>
        <w:ind w:firstLine="420"/>
        <w:jc w:val="left"/>
        <w:spacing w:line="360" w:lineRule="auto"/>
        <w:widowControl/>
        <w:rPr>
          <w:rFonts w:ascii="宋体" w:hAnsi="宋体" w:cs="宋体"/>
          <w:b/>
          <w:color w:val="000000"/>
          <w:sz w:val="24"/>
          <w:szCs w:val="24"/>
          <w:highlight w:val="none"/>
          <w:lang w:val="zh-CN"/>
        </w:rPr>
        <w:outlineLvl w:val="1"/>
      </w:pPr>
      <w:r/>
      <w:bookmarkStart w:id="62" w:name="_Toc10056"/>
      <w:r>
        <w:rPr>
          <w:rFonts w:hint="eastAsia" w:ascii="宋体" w:hAnsi="宋体" w:cs="宋体"/>
          <w:b/>
          <w:color w:val="000000"/>
          <w:sz w:val="24"/>
          <w:szCs w:val="24"/>
          <w:highlight w:val="none"/>
          <w:lang w:val="zh-CN"/>
        </w:rPr>
        <w:t xml:space="preserve">附件四、分项报价表</w:t>
      </w:r>
      <w:bookmarkEnd w:id="62"/>
      <w:r>
        <w:rPr>
          <w:rFonts w:ascii="宋体" w:hAnsi="宋体" w:cs="宋体"/>
          <w:b/>
          <w:color w:val="000000"/>
          <w:sz w:val="24"/>
          <w:szCs w:val="24"/>
          <w:highlight w:val="none"/>
          <w:lang w:val="zh-CN"/>
        </w:rPr>
      </w:r>
      <w:r/>
    </w:p>
    <w:p>
      <w:pPr>
        <w:pStyle w:val="706"/>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分项报价表</w:t>
      </w:r>
      <w:r>
        <w:rPr>
          <w:rFonts w:hint="eastAsia" w:ascii="宋体" w:hAnsi="宋体" w:cs="宋体"/>
          <w:b/>
          <w:bCs/>
          <w:color w:val="000000"/>
          <w:sz w:val="28"/>
          <w:szCs w:val="28"/>
          <w:highlight w:val="none"/>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W w:w="2524" w:type="dxa"/>
            <w:vAlign w:val="center"/>
            <w:textDirection w:val="lrTb"/>
            <w:noWrap w:val="false"/>
          </w:tcPr>
          <w:p>
            <w:pPr>
              <w:pStyle w:val="7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shd w:val="clear" w:color="auto" w:fill="ffffff"/>
            <w:tcW w:w="2136" w:type="dxa"/>
            <w:vAlign w:val="center"/>
            <w:textDirection w:val="lrTb"/>
            <w:noWrap w:val="false"/>
          </w:tcPr>
          <w:p>
            <w:pPr>
              <w:pStyle w:val="7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技术参数要求</w:t>
            </w:r>
            <w:r>
              <w:rPr>
                <w:rFonts w:hint="eastAsia" w:ascii="宋体" w:hAnsi="宋体" w:cs="宋体"/>
                <w:b/>
                <w:bCs/>
                <w:color w:val="000000"/>
                <w:sz w:val="24"/>
                <w:szCs w:val="24"/>
                <w:highlight w:val="none"/>
              </w:rPr>
            </w:r>
            <w:r/>
          </w:p>
        </w:tc>
        <w:tc>
          <w:tcPr>
            <w:shd w:val="clear" w:color="auto" w:fill="ffffff"/>
            <w:tcW w:w="816" w:type="dxa"/>
            <w:vAlign w:val="center"/>
            <w:textDirection w:val="lrTb"/>
            <w:noWrap w:val="false"/>
          </w:tcPr>
          <w:p>
            <w:pPr>
              <w:pStyle w:val="7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W w:w="953" w:type="dxa"/>
            <w:vAlign w:val="center"/>
            <w:textDirection w:val="lrTb"/>
            <w:noWrap w:val="false"/>
          </w:tcPr>
          <w:p>
            <w:pPr>
              <w:pStyle w:val="706"/>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shd w:val="clear" w:color="auto" w:fill="ffffff"/>
            <w:tcW w:w="1452" w:type="dxa"/>
            <w:vAlign w:val="center"/>
            <w:textDirection w:val="lrTb"/>
            <w:noWrap w:val="false"/>
          </w:tcPr>
          <w:p>
            <w:pPr>
              <w:pStyle w:val="706"/>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单价（元）</w:t>
            </w:r>
            <w:r>
              <w:rPr>
                <w:rFonts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合价（元）</w:t>
            </w:r>
            <w:r>
              <w:rPr>
                <w:rFonts w:ascii="宋体" w:hAnsi="宋体" w:cs="宋体"/>
                <w:b/>
                <w:bCs/>
                <w:color w:val="000000"/>
                <w:sz w:val="24"/>
                <w:szCs w:val="24"/>
                <w:highlight w:val="none"/>
                <w:lang w:bidi="ar"/>
              </w:rPr>
            </w:r>
            <w:r/>
          </w:p>
        </w:tc>
      </w:tr>
      <w:tr>
        <w:trPr>
          <w:trHeight w:val="624"/>
        </w:trPr>
        <w:tc>
          <w:tcPr>
            <w:tcW w:w="789"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06"/>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06"/>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706"/>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06"/>
              <w:jc w:val="cente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06"/>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06"/>
              <w:jc w:val="center"/>
              <w:widowControl/>
              <w:rPr>
                <w:rFonts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5</w:t>
            </w:r>
            <w:r>
              <w:rPr>
                <w:rFonts w:ascii="宋体" w:hAnsi="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06"/>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ascii="宋体" w:hAnsi="宋体" w:cs="宋体"/>
                <w:bCs/>
                <w:color w:val="000000"/>
                <w:sz w:val="24"/>
                <w:szCs w:val="24"/>
                <w:highlight w:val="none"/>
              </w:rPr>
            </w:r>
            <w:r/>
          </w:p>
        </w:tc>
        <w:tc>
          <w:tcPr>
            <w:tcW w:w="2136" w:type="dxa"/>
            <w:vAlign w:val="center"/>
            <w:textDirection w:val="lrTb"/>
            <w:noWrap/>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706"/>
              <w:jc w:val="center"/>
              <w:widowControl/>
              <w:rPr>
                <w:rFonts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6</w:t>
            </w:r>
            <w:r>
              <w:rPr>
                <w:rFonts w:ascii="宋体" w:hAnsi="宋体" w:cs="宋体"/>
                <w:color w:val="000000"/>
                <w:sz w:val="24"/>
                <w:szCs w:val="24"/>
                <w:highlight w:val="none"/>
                <w:lang w:val="en-US" w:eastAsia="zh-CN" w:bidi="ar"/>
              </w:rPr>
            </w:r>
            <w:r/>
          </w:p>
        </w:tc>
        <w:tc>
          <w:tcPr>
            <w:shd w:val="clear" w:color="auto" w:fill="ffffff"/>
            <w:tcW w:w="2524" w:type="dxa"/>
            <w:vAlign w:val="center"/>
            <w:textDirection w:val="lrTb"/>
            <w:noWrap w:val="false"/>
          </w:tcPr>
          <w:p>
            <w:pPr>
              <w:pStyle w:val="706"/>
              <w:jc w:val="center"/>
              <w:widowControl/>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tc>
        <w:tc>
          <w:tcPr>
            <w:tcW w:w="2136" w:type="dxa"/>
            <w:vAlign w:val="center"/>
            <w:textDirection w:val="lrTb"/>
            <w:noWrap/>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06"/>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gridSpan w:val="5"/>
            <w:shd w:val="clear" w:color="auto" w:fill="ffffff"/>
            <w:tcW w:w="7881"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总价：</w:t>
            </w: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706"/>
              <w:jc w:val="center"/>
              <w:widowControl/>
              <w:rPr>
                <w:rFonts w:ascii="宋体" w:hAnsi="宋体" w:cs="宋体"/>
                <w:b/>
                <w:bCs/>
                <w:color w:val="000000"/>
                <w:sz w:val="24"/>
                <w:szCs w:val="24"/>
                <w:highlight w:val="none"/>
                <w:lang w:bidi="ar"/>
              </w:rPr>
            </w:pPr>
            <w:r>
              <w:rPr>
                <w:rFonts w:ascii="宋体" w:hAnsi="宋体" w:cs="宋体"/>
                <w:b/>
                <w:bCs/>
                <w:color w:val="000000"/>
                <w:sz w:val="24"/>
                <w:szCs w:val="24"/>
                <w:highlight w:val="none"/>
                <w:lang w:bidi="ar"/>
              </w:rPr>
            </w:r>
            <w:r/>
          </w:p>
        </w:tc>
        <w:tc>
          <w:tcPr>
            <w:gridSpan w:val="5"/>
            <w:shd w:val="clear" w:color="auto" w:fill="ffffff"/>
            <w:tcW w:w="7881" w:type="dxa"/>
            <w:vAlign w:val="center"/>
            <w:textDirection w:val="lrTb"/>
            <w:noWrap w:val="false"/>
          </w:tcPr>
          <w:p>
            <w:pPr>
              <w:pStyle w:val="706"/>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总价（含税）：</w:t>
            </w:r>
            <w:r>
              <w:rPr>
                <w:rFonts w:hint="eastAsia"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706"/>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tc>
      </w:tr>
    </w:tbl>
    <w:p>
      <w:pPr>
        <w:pStyle w:val="706"/>
        <w:ind w:firstLine="360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6"/>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06"/>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06"/>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808"/>
        <w:rPr>
          <w:rFonts w:hint="eastAsia" w:ascii="宋体" w:hAnsi="宋体" w:cs="宋体"/>
          <w:color w:val="000000"/>
          <w:szCs w:val="24"/>
          <w:highlight w:val="none"/>
        </w:rPr>
      </w:pPr>
      <w:r>
        <w:rPr>
          <w:rFonts w:hint="eastAsia" w:ascii="宋体" w:hAnsi="宋体" w:cs="宋体"/>
          <w:color w:val="000000"/>
          <w:szCs w:val="24"/>
          <w:highlight w:val="none"/>
        </w:rPr>
      </w:r>
      <w:r/>
    </w:p>
    <w:p>
      <w:pPr>
        <w:pStyle w:val="706"/>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06"/>
        <w:jc w:val="left"/>
        <w:spacing w:line="360" w:lineRule="auto"/>
        <w:widowControl/>
        <w:rPr>
          <w:rFonts w:ascii="宋体" w:hAnsi="宋体" w:cs="宋体"/>
          <w:b/>
          <w:color w:val="000000"/>
          <w:sz w:val="24"/>
          <w:szCs w:val="24"/>
          <w:highlight w:val="none"/>
          <w:lang w:val="zh-CN"/>
        </w:rPr>
        <w:outlineLvl w:val="1"/>
      </w:pPr>
      <w:r/>
      <w:bookmarkStart w:id="63" w:name="_Toc27017"/>
      <w:r>
        <w:rPr>
          <w:rFonts w:hint="eastAsia" w:ascii="宋体" w:hAnsi="宋体" w:cs="宋体"/>
          <w:b/>
          <w:color w:val="000000"/>
          <w:sz w:val="24"/>
          <w:szCs w:val="24"/>
          <w:highlight w:val="none"/>
          <w:lang w:val="zh-CN"/>
        </w:rPr>
        <w:t xml:space="preserve">附件五、技术条款偏离表格式</w:t>
      </w:r>
      <w:bookmarkEnd w:id="63"/>
      <w:r>
        <w:rPr>
          <w:rFonts w:ascii="宋体" w:hAnsi="宋体" w:cs="宋体"/>
          <w:b/>
          <w:color w:val="000000"/>
          <w:sz w:val="24"/>
          <w:szCs w:val="24"/>
          <w:highlight w:val="none"/>
          <w:lang w:val="zh-CN"/>
        </w:rPr>
      </w:r>
      <w:r/>
    </w:p>
    <w:p>
      <w:pPr>
        <w:pStyle w:val="706"/>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技术条款偏离表</w:t>
      </w:r>
      <w:r>
        <w:rPr>
          <w:rFonts w:ascii="宋体" w:hAnsi="宋体" w:cs="宋体"/>
          <w:b/>
          <w:bCs/>
          <w:color w:val="000000"/>
          <w:sz w:val="28"/>
          <w:szCs w:val="28"/>
          <w:highlight w:val="none"/>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06"/>
              <w:jc w:val="left"/>
              <w:spacing w:before="240" w:line="400" w:lineRule="exact"/>
              <w:rPr>
                <w:rFonts w:ascii="宋体" w:hAnsi="宋体"/>
                <w:color w:val="000000"/>
                <w:sz w:val="24"/>
                <w:szCs w:val="24"/>
                <w:highlight w:val="non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color w:val="000000"/>
                <w:sz w:val="24"/>
                <w:szCs w:val="24"/>
                <w:highlight w:val="none"/>
                <w:lang w:eastAsia="en-US"/>
              </w:rPr>
            </w:r>
            <w:r/>
          </w:p>
        </w:tc>
      </w:tr>
      <w:tr>
        <w:trPr>
          <w:trHeight w:val="851"/>
        </w:trPr>
        <w:tc>
          <w:tcPr>
            <w:gridSpan w:val="6"/>
            <w:tcW w:w="9651" w:type="dxa"/>
            <w:vAlign w:val="top"/>
            <w:textDirection w:val="lrTb"/>
            <w:noWrap w:val="false"/>
          </w:tcPr>
          <w:p>
            <w:pPr>
              <w:pStyle w:val="706"/>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651" w:type="dxa"/>
            <w:vAlign w:val="center"/>
            <w:textDirection w:val="lrTb"/>
            <w:noWrap w:val="false"/>
          </w:tcPr>
          <w:p>
            <w:pPr>
              <w:pStyle w:val="706"/>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对本项目技术条款的偏离情况（应进行选择，未选择响应无效）：</w:t>
            </w:r>
            <w:r>
              <w:rPr>
                <w:rFonts w:ascii="宋体" w:hAnsi="宋体"/>
                <w:b/>
                <w:color w:val="000000"/>
                <w:sz w:val="24"/>
                <w:szCs w:val="24"/>
                <w:highlight w:val="none"/>
              </w:rPr>
            </w:r>
            <w:r/>
          </w:p>
          <w:p>
            <w:pPr>
              <w:pStyle w:val="706"/>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06"/>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775"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482" w:type="dxa"/>
            <w:vAlign w:val="center"/>
            <w:textDirection w:val="lrTb"/>
            <w:noWrap w:val="false"/>
          </w:tcPr>
          <w:p>
            <w:pPr>
              <w:pStyle w:val="706"/>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384"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126"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875" w:type="dxa"/>
            <w:vAlign w:val="center"/>
            <w:textDirection w:val="lrTb"/>
            <w:noWrap w:val="false"/>
          </w:tcPr>
          <w:p>
            <w:pPr>
              <w:pStyle w:val="706"/>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06"/>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09"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06"/>
        <w:jc w:val="left"/>
        <w:spacing w:line="400" w:lineRule="exact"/>
        <w:tabs>
          <w:tab w:val="left" w:pos="1800" w:leader="none"/>
          <w:tab w:val="left" w:pos="5580" w:leader="none"/>
        </w:tabs>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06"/>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bookmarkStart w:id="64" w:name="_Hlk108605718"/>
      <w:r>
        <w:rPr>
          <w:rFonts w:hint="eastAsia" w:ascii="宋体" w:hAnsi="宋体"/>
          <w:color w:val="000000"/>
          <w:sz w:val="24"/>
          <w:szCs w:val="24"/>
          <w:highlight w:val="none"/>
        </w:rPr>
        <w:t xml:space="preserve">《第四章 采购需求》</w:t>
      </w:r>
      <w:bookmarkEnd w:id="64"/>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的所有技术要求，除本表所列明的所有偏离外，均视作供应商已对之理解和响应。</w:t>
      </w:r>
      <w:r>
        <w:rPr>
          <w:rFonts w:ascii="宋体" w:hAnsi="宋体"/>
          <w:color w:val="000000"/>
          <w:sz w:val="24"/>
          <w:szCs w:val="24"/>
          <w:highlight w:val="none"/>
        </w:rPr>
      </w:r>
      <w:r/>
    </w:p>
    <w:p>
      <w:pPr>
        <w:pStyle w:val="706"/>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06"/>
        <w:jc w:val="left"/>
        <w:spacing w:line="400" w:lineRule="exact"/>
        <w:rPr>
          <w:rFonts w:ascii="Calibri" w:hAnsi="Calibri"/>
          <w:color w:val="000000"/>
          <w:sz w:val="24"/>
          <w:szCs w:val="24"/>
          <w:highlight w:val="none"/>
        </w:rPr>
      </w:pPr>
      <w:r>
        <w:rPr>
          <w:rFonts w:ascii="Calibri" w:hAnsi="Calibri"/>
          <w:color w:val="000000"/>
          <w:sz w:val="24"/>
          <w:szCs w:val="24"/>
          <w:highlight w:val="none"/>
        </w:rPr>
      </w:r>
      <w:r/>
    </w:p>
    <w:p>
      <w:pPr>
        <w:pStyle w:val="706"/>
        <w:ind w:right="360"/>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r>
      <w:r/>
    </w:p>
    <w:p>
      <w:pPr>
        <w:pStyle w:val="706"/>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06"/>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06"/>
        <w:jc w:val="left"/>
        <w:spacing w:line="360" w:lineRule="auto"/>
        <w:widowControl/>
        <w:rPr>
          <w:rFonts w:ascii="宋体" w:hAnsi="宋体" w:cs="宋体"/>
          <w:b/>
          <w:color w:val="000000"/>
          <w:sz w:val="24"/>
          <w:szCs w:val="24"/>
          <w:highlight w:val="none"/>
          <w:lang w:val="zh-CN"/>
        </w:rPr>
        <w:outlineLvl w:val="1"/>
      </w:pPr>
      <w:r/>
      <w:bookmarkStart w:id="65" w:name="_Toc31476"/>
      <w:r>
        <w:rPr>
          <w:rFonts w:hint="eastAsia" w:ascii="宋体" w:hAnsi="宋体" w:cs="宋体"/>
          <w:b/>
          <w:color w:val="000000"/>
          <w:sz w:val="24"/>
          <w:szCs w:val="24"/>
          <w:highlight w:val="none"/>
          <w:lang w:val="zh-CN"/>
        </w:rPr>
        <w:t xml:space="preserve">附件六、商务条款偏离表格式</w:t>
      </w:r>
      <w:bookmarkEnd w:id="65"/>
      <w:r>
        <w:rPr>
          <w:rFonts w:ascii="宋体" w:hAnsi="宋体" w:cs="宋体"/>
          <w:b/>
          <w:color w:val="000000"/>
          <w:sz w:val="24"/>
          <w:szCs w:val="24"/>
          <w:highlight w:val="none"/>
          <w:lang w:val="zh-CN"/>
        </w:rPr>
      </w:r>
      <w:r/>
    </w:p>
    <w:p>
      <w:pPr>
        <w:pStyle w:val="706"/>
        <w:jc w:val="center"/>
        <w:spacing w:before="120" w:after="120" w:line="360" w:lineRule="auto"/>
        <w:rPr>
          <w:rFonts w:ascii="宋体" w:hAnsi="宋体"/>
          <w:color w:val="000000"/>
          <w:sz w:val="32"/>
          <w:szCs w:val="32"/>
          <w:highlight w:val="none"/>
          <w:lang w:eastAsia="en-US"/>
        </w:rPr>
      </w:pPr>
      <w:r/>
      <w:bookmarkStart w:id="66" w:name="_Hlk108563484"/>
      <w:r>
        <w:rPr>
          <w:rFonts w:hint="eastAsia" w:ascii="宋体" w:hAnsi="宋体" w:cs="宋体"/>
          <w:b/>
          <w:bCs/>
          <w:color w:val="000000"/>
          <w:sz w:val="28"/>
          <w:szCs w:val="28"/>
          <w:highlight w:val="none"/>
          <w:lang w:val="zh-CN"/>
        </w:rPr>
        <w:t xml:space="preserve">商务条款偏离表</w:t>
      </w:r>
      <w:bookmarkEnd w:id="66"/>
      <w:r>
        <w:rPr>
          <w:rFonts w:ascii="宋体" w:hAnsi="宋体"/>
          <w:color w:val="000000"/>
          <w:sz w:val="32"/>
          <w:szCs w:val="32"/>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06"/>
              <w:jc w:val="left"/>
              <w:spacing w:before="240" w:line="400" w:lineRule="exact"/>
              <w:rPr>
                <w:rFonts w:ascii="宋体" w:hAnsi="宋体"/>
                <w:bCs/>
                <w:color w:val="000000"/>
                <w:sz w:val="24"/>
                <w:szCs w:val="24"/>
                <w:highlight w:val="none"/>
                <w:lang w:eastAsia="en-US"/>
              </w:rPr>
            </w:pPr>
            <w:r/>
            <w:bookmarkStart w:id="67" w:name="_Hlk108563504"/>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lang w:eastAsia="en-US"/>
              </w:rPr>
            </w:r>
            <w:r/>
          </w:p>
        </w:tc>
      </w:tr>
      <w:tr>
        <w:trPr>
          <w:trHeight w:val="851"/>
        </w:trPr>
        <w:tc>
          <w:tcPr>
            <w:gridSpan w:val="6"/>
            <w:tcW w:w="9986" w:type="dxa"/>
            <w:vAlign w:val="top"/>
            <w:textDirection w:val="lrTb"/>
            <w:noWrap w:val="false"/>
          </w:tcPr>
          <w:p>
            <w:pPr>
              <w:pStyle w:val="706"/>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986" w:type="dxa"/>
            <w:vAlign w:val="center"/>
            <w:textDirection w:val="lrTb"/>
            <w:noWrap w:val="false"/>
          </w:tcPr>
          <w:p>
            <w:pPr>
              <w:pStyle w:val="706"/>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对本项目商务条款的偏离情况（应进行选择，未选择响应无效）：</w:t>
            </w:r>
            <w:r>
              <w:rPr>
                <w:rFonts w:ascii="宋体" w:hAnsi="宋体"/>
                <w:b/>
                <w:color w:val="000000"/>
                <w:sz w:val="24"/>
                <w:szCs w:val="24"/>
                <w:highlight w:val="none"/>
              </w:rPr>
            </w:r>
            <w:r/>
          </w:p>
          <w:p>
            <w:pPr>
              <w:pStyle w:val="706"/>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706"/>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801"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533" w:type="dxa"/>
            <w:vAlign w:val="center"/>
            <w:textDirection w:val="lrTb"/>
            <w:noWrap w:val="false"/>
          </w:tcPr>
          <w:p>
            <w:pPr>
              <w:pStyle w:val="706"/>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t xml:space="preserve">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467"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200"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940" w:type="dxa"/>
            <w:vAlign w:val="center"/>
            <w:textDirection w:val="lrTb"/>
            <w:noWrap w:val="false"/>
          </w:tcPr>
          <w:p>
            <w:pPr>
              <w:pStyle w:val="706"/>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706"/>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45" w:type="dxa"/>
            <w:vAlign w:val="center"/>
            <w:textDirection w:val="lrTb"/>
            <w:noWrap w:val="false"/>
          </w:tcPr>
          <w:p>
            <w:pPr>
              <w:pStyle w:val="706"/>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706"/>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706"/>
        <w:jc w:val="left"/>
        <w:spacing w:line="400" w:lineRule="exact"/>
        <w:tabs>
          <w:tab w:val="left" w:pos="1800" w:leader="none"/>
          <w:tab w:val="left" w:pos="5580" w:leader="none"/>
        </w:tabs>
        <w:rPr>
          <w:rFonts w:ascii="宋体" w:hAnsi="宋体"/>
          <w:color w:val="000000"/>
          <w:sz w:val="24"/>
          <w:szCs w:val="24"/>
          <w:highlight w:val="none"/>
          <w:lang w:eastAsia="en-US"/>
        </w:rPr>
      </w:pPr>
      <w:r/>
      <w:bookmarkEnd w:id="67"/>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706"/>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《第四章 采购需求》中</w:t>
      </w:r>
      <w:r>
        <w:rPr>
          <w:rFonts w:ascii="宋体" w:hAnsi="宋体"/>
          <w:color w:val="000000"/>
          <w:sz w:val="24"/>
          <w:szCs w:val="24"/>
          <w:highlight w:val="none"/>
        </w:rPr>
        <w:t xml:space="preserve">的所有</w:t>
      </w:r>
      <w:r>
        <w:rPr>
          <w:rFonts w:hint="eastAsia" w:ascii="宋体" w:hAnsi="宋体"/>
          <w:color w:val="000000"/>
          <w:sz w:val="24"/>
          <w:szCs w:val="24"/>
          <w:highlight w:val="none"/>
        </w:rPr>
        <w:t xml:space="preserve">商务</w:t>
      </w:r>
      <w:r>
        <w:rPr>
          <w:rFonts w:ascii="宋体" w:hAnsi="宋体"/>
          <w:color w:val="000000"/>
          <w:sz w:val="24"/>
          <w:szCs w:val="24"/>
          <w:highlight w:val="none"/>
        </w:rPr>
        <w:t xml:space="preserve">要求，除本表所列明的所有偏离外，均视作供应商已对之理解和响应。</w:t>
      </w:r>
      <w:r>
        <w:rPr>
          <w:rFonts w:ascii="宋体" w:hAnsi="宋体"/>
          <w:color w:val="000000"/>
          <w:sz w:val="24"/>
          <w:szCs w:val="24"/>
          <w:highlight w:val="none"/>
        </w:rPr>
      </w:r>
      <w:r/>
    </w:p>
    <w:p>
      <w:pPr>
        <w:pStyle w:val="706"/>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706"/>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06"/>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706"/>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hint="eastAsia" w:ascii="宋体" w:hAnsi="宋体" w:cs="宋体"/>
          <w:b/>
          <w:color w:val="000000"/>
          <w:sz w:val="24"/>
          <w:szCs w:val="24"/>
          <w:highlight w:val="none"/>
          <w:lang w:val="zh-CN"/>
        </w:rPr>
        <w:outlineLvl w:val="1"/>
      </w:pPr>
      <w:r/>
      <w:bookmarkStart w:id="68" w:name="_Toc3483"/>
      <w:r>
        <w:rPr>
          <w:rFonts w:hint="eastAsia" w:ascii="宋体" w:hAnsi="宋体" w:cs="宋体"/>
          <w:b/>
          <w:color w:val="000000"/>
          <w:sz w:val="24"/>
          <w:szCs w:val="24"/>
          <w:highlight w:val="none"/>
          <w:lang w:val="zh-CN"/>
        </w:rPr>
        <w:t xml:space="preserve">附件七、核心产品品牌一览表（实质性格式）</w:t>
      </w:r>
      <w:bookmarkEnd w:id="68"/>
      <w:r>
        <w:rPr>
          <w:rFonts w:hint="eastAsia" w:ascii="宋体" w:hAnsi="宋体" w:cs="宋体"/>
          <w:b/>
          <w:color w:val="000000"/>
          <w:sz w:val="24"/>
          <w:szCs w:val="24"/>
          <w:highlight w:val="none"/>
          <w:lang w:val="zh-CN"/>
        </w:rPr>
      </w:r>
      <w:r/>
    </w:p>
    <w:p>
      <w:pPr>
        <w:pStyle w:val="706"/>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2158" w:type="dxa"/>
            <w:vAlign w:val="center"/>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2391" w:type="dxa"/>
            <w:vAlign w:val="center"/>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3753" w:type="dxa"/>
            <w:vAlign w:val="center"/>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pStyle w:val="706"/>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r>
    </w:tbl>
    <w:p>
      <w:pPr>
        <w:pStyle w:val="706"/>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pStyle w:val="706"/>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706"/>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706"/>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706"/>
        <w:jc w:val="left"/>
        <w:spacing w:line="360" w:lineRule="auto"/>
        <w:widowControl/>
        <w:rPr>
          <w:rFonts w:ascii="宋体" w:hAnsi="宋体"/>
          <w:b/>
          <w:color w:val="000000"/>
          <w:sz w:val="22"/>
          <w:szCs w:val="24"/>
          <w:highlight w:val="none"/>
        </w:rPr>
        <w:outlineLvl w:val="9"/>
      </w:pPr>
      <w:r/>
      <w:bookmarkStart w:id="69" w:name="_Hlk108563601"/>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hint="eastAsia" w:ascii="宋体" w:hAnsi="宋体" w:eastAsia="宋体" w:cs="宋体"/>
          <w:b/>
          <w:color w:val="000000"/>
          <w:sz w:val="24"/>
          <w:szCs w:val="24"/>
          <w:highlight w:val="none"/>
        </w:rPr>
        <w:outlineLvl w:val="1"/>
      </w:pPr>
      <w:r/>
      <w:bookmarkStart w:id="70" w:name="_Toc21150"/>
      <w:r>
        <w:rPr>
          <w:rFonts w:hint="eastAsia" w:ascii="宋体" w:hAnsi="宋体" w:eastAsia="宋体" w:cs="宋体"/>
          <w:b/>
          <w:color w:val="000000"/>
          <w:sz w:val="24"/>
          <w:szCs w:val="24"/>
          <w:highlight w:val="none"/>
          <w:lang w:val="en-US" w:eastAsia="zh-CN"/>
        </w:rPr>
        <w:t xml:space="preserve">附件八、</w:t>
      </w:r>
      <w:r>
        <w:rPr>
          <w:rFonts w:hint="eastAsia" w:ascii="宋体" w:hAnsi="宋体" w:eastAsia="宋体" w:cs="宋体"/>
          <w:b/>
          <w:color w:val="000000"/>
          <w:sz w:val="24"/>
          <w:szCs w:val="24"/>
          <w:highlight w:val="none"/>
          <w:lang w:val="zh-CN"/>
        </w:rPr>
        <w:t xml:space="preserve">投标项目供货一览表格式</w:t>
      </w:r>
      <w:bookmarkEnd w:id="70"/>
      <w:r>
        <w:rPr>
          <w:rFonts w:hint="eastAsia" w:ascii="宋体" w:hAnsi="宋体" w:eastAsia="宋体" w:cs="宋体"/>
          <w:b/>
          <w:color w:val="000000"/>
          <w:sz w:val="24"/>
          <w:szCs w:val="24"/>
          <w:highlight w:val="none"/>
        </w:rPr>
      </w:r>
      <w:r/>
    </w:p>
    <w:p>
      <w:pPr>
        <w:pStyle w:val="706"/>
        <w:jc w:val="center"/>
        <w:spacing w:line="360" w:lineRule="auto"/>
        <w:rPr>
          <w:rStyle w:val="1260"/>
          <w:rFonts w:hint="eastAsia" w:ascii="宋体" w:hAnsi="宋体" w:eastAsia="宋体" w:cs="宋体"/>
          <w:b/>
          <w:color w:val="000000"/>
          <w:sz w:val="24"/>
          <w:szCs w:val="22"/>
          <w:highlight w:val="none"/>
        </w:rPr>
        <w:outlineLvl w:val="9"/>
      </w:pPr>
      <w:r>
        <w:rPr>
          <w:rStyle w:val="1260"/>
          <w:rFonts w:hint="eastAsia" w:ascii="宋体" w:hAnsi="宋体" w:eastAsia="宋体" w:cs="宋体"/>
          <w:b/>
          <w:color w:val="000000"/>
          <w:sz w:val="24"/>
          <w:szCs w:val="22"/>
          <w:highlight w:val="none"/>
        </w:rPr>
        <w:t xml:space="preserve">供货一览表(格式供参考)</w:t>
      </w:r>
      <w:r>
        <w:rPr>
          <w:rStyle w:val="1260"/>
          <w:rFonts w:hint="eastAsia" w:ascii="宋体" w:hAnsi="宋体" w:eastAsia="宋体" w:cs="宋体"/>
          <w:b/>
          <w:color w:val="000000"/>
          <w:sz w:val="24"/>
          <w:szCs w:val="22"/>
          <w:highlight w:val="none"/>
        </w:rPr>
      </w:r>
      <w:r/>
    </w:p>
    <w:p>
      <w:pPr>
        <w:pStyle w:val="1283"/>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1283"/>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rPr>
      </w:r>
      <w:r/>
    </w:p>
    <w:tbl>
      <w:tblPr>
        <w:tblStyle w:val="78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732"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rPr>
                <w:rFonts w:hint="eastAsia" w:ascii="宋体" w:hAnsi="宋体" w:eastAsia="宋体" w:cs="宋体"/>
                <w:color w:val="000000"/>
                <w:sz w:val="24"/>
                <w:highlight w:val="none"/>
              </w:rPr>
            </w:r>
            <w:r/>
          </w:p>
        </w:tc>
        <w:tc>
          <w:tcPr>
            <w:tcW w:w="1814"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rPr>
                <w:rFonts w:hint="eastAsia" w:ascii="宋体" w:hAnsi="宋体" w:eastAsia="宋体" w:cs="宋体"/>
                <w:color w:val="000000"/>
                <w:sz w:val="24"/>
                <w:highlight w:val="none"/>
              </w:rPr>
            </w:r>
            <w:r/>
          </w:p>
        </w:tc>
        <w:tc>
          <w:tcPr>
            <w:tcW w:w="220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rPr>
                <w:rFonts w:hint="eastAsia" w:ascii="宋体" w:hAnsi="宋体" w:eastAsia="宋体" w:cs="宋体"/>
                <w:color w:val="000000"/>
                <w:sz w:val="24"/>
                <w:highlight w:val="none"/>
              </w:rPr>
            </w:r>
            <w:r/>
          </w:p>
        </w:tc>
        <w:tc>
          <w:tcPr>
            <w:tcW w:w="162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3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tc>
          <w:tcPr>
            <w:tcW w:w="9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pStyle w:val="706"/>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706"/>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706"/>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cs="宋体"/>
          <w:color w:val="000000"/>
          <w:sz w:val="24"/>
          <w:highlight w:val="none"/>
          <w:lang w:val="en-US" w:eastAsia="zh-CN"/>
        </w:rPr>
        <w:t xml:space="preserve">名称</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706"/>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rPr>
          <w:rFonts w:hint="eastAsia" w:ascii="宋体" w:hAnsi="宋体" w:eastAsia="宋体" w:cs="宋体"/>
          <w:color w:val="000000"/>
          <w:sz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06"/>
        <w:jc w:val="left"/>
        <w:spacing w:line="360" w:lineRule="auto"/>
        <w:widowControl/>
        <w:rPr>
          <w:rFonts w:hint="eastAsia" w:ascii="宋体" w:hAnsi="宋体" w:cs="宋体"/>
          <w:b/>
          <w:color w:val="000000"/>
          <w:sz w:val="24"/>
          <w:szCs w:val="24"/>
          <w:highlight w:val="none"/>
          <w:lang w:val="zh-CN"/>
        </w:rPr>
        <w:outlineLvl w:val="1"/>
      </w:pPr>
      <w:r/>
      <w:bookmarkStart w:id="71" w:name="_Toc22436"/>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lang w:val="zh-CN"/>
        </w:rPr>
        <w:t xml:space="preserve">、供应商类似业绩表</w:t>
      </w:r>
      <w:bookmarkEnd w:id="71"/>
      <w:r>
        <w:rPr>
          <w:rFonts w:hint="eastAsia" w:ascii="宋体" w:hAnsi="宋体" w:cs="宋体"/>
          <w:b/>
          <w:color w:val="000000"/>
          <w:sz w:val="24"/>
          <w:szCs w:val="24"/>
          <w:highlight w:val="none"/>
          <w:lang w:val="zh-CN"/>
        </w:rPr>
      </w:r>
      <w:r/>
    </w:p>
    <w:p>
      <w:pPr>
        <w:pStyle w:val="706"/>
        <w:jc w:val="center"/>
        <w:spacing w:before="120" w:after="120" w:line="360" w:lineRule="auto"/>
        <w:rPr>
          <w:rFonts w:ascii="宋体" w:hAnsi="宋体" w:cs="宋体"/>
          <w:b/>
          <w:bCs/>
          <w:color w:val="000000"/>
          <w:sz w:val="28"/>
          <w:szCs w:val="28"/>
          <w:highlight w:val="none"/>
          <w:lang w:val="zh-CN"/>
        </w:rPr>
      </w:pPr>
      <w:r>
        <w:rPr>
          <w:rFonts w:ascii="宋体" w:hAnsi="宋体" w:cs="宋体"/>
          <w:b/>
          <w:bCs/>
          <w:color w:val="000000"/>
          <w:sz w:val="28"/>
          <w:szCs w:val="28"/>
          <w:highlight w:val="none"/>
          <w:lang w:val="zh-CN"/>
        </w:rPr>
        <w:t xml:space="preserve">类似项目业绩</w:t>
      </w:r>
      <w:r>
        <w:rPr>
          <w:rFonts w:ascii="宋体" w:hAnsi="宋体" w:cs="宋体"/>
          <w:b/>
          <w:bCs/>
          <w:color w:val="000000"/>
          <w:sz w:val="28"/>
          <w:szCs w:val="28"/>
          <w:highlight w:val="none"/>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06"/>
              <w:jc w:val="center"/>
              <w:spacing w:line="440" w:lineRule="exact"/>
              <w:rPr>
                <w:rFonts w:ascii="宋体" w:hAnsi="宋体"/>
                <w:b/>
                <w:color w:val="000000"/>
                <w:sz w:val="22"/>
                <w:szCs w:val="21"/>
                <w:highlight w:val="none"/>
                <w:lang w:eastAsia="en-US"/>
              </w:rPr>
            </w:pPr>
            <w:r/>
            <w:bookmarkEnd w:id="69"/>
            <w:r>
              <w:rPr>
                <w:rFonts w:hint="eastAsia" w:ascii="宋体" w:hAnsi="宋体"/>
                <w:b/>
                <w:color w:val="000000"/>
                <w:sz w:val="22"/>
                <w:szCs w:val="21"/>
                <w:highlight w:val="none"/>
                <w:lang w:eastAsia="en-US"/>
              </w:rPr>
              <w:t xml:space="preserve">序号</w:t>
            </w:r>
            <w:r>
              <w:rPr>
                <w:rFonts w:ascii="宋体" w:hAnsi="宋体"/>
                <w:b/>
                <w:color w:val="000000"/>
                <w:sz w:val="22"/>
                <w:szCs w:val="21"/>
                <w:highlight w:val="none"/>
                <w:lang w:eastAsia="en-US"/>
              </w:rPr>
            </w:r>
            <w:r/>
          </w:p>
        </w:tc>
        <w:tc>
          <w:tcPr>
            <w:tcW w:w="2523" w:type="dxa"/>
            <w:vAlign w:val="center"/>
            <w:textDirection w:val="lrTb"/>
            <w:noWrap w:val="false"/>
          </w:tcPr>
          <w:p>
            <w:pPr>
              <w:pStyle w:val="706"/>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项目名称</w:t>
            </w:r>
            <w:r>
              <w:rPr>
                <w:rFonts w:ascii="宋体" w:hAnsi="宋体"/>
                <w:b/>
                <w:color w:val="000000"/>
                <w:sz w:val="22"/>
                <w:szCs w:val="21"/>
                <w:highlight w:val="none"/>
                <w:lang w:eastAsia="en-US"/>
              </w:rPr>
            </w:r>
            <w:r/>
          </w:p>
        </w:tc>
        <w:tc>
          <w:tcPr>
            <w:tcW w:w="1417" w:type="dxa"/>
            <w:vAlign w:val="center"/>
            <w:textDirection w:val="lrTb"/>
            <w:noWrap w:val="false"/>
          </w:tcPr>
          <w:p>
            <w:pPr>
              <w:pStyle w:val="706"/>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用户单位</w:t>
            </w:r>
            <w:r>
              <w:rPr>
                <w:rFonts w:ascii="宋体" w:hAnsi="宋体"/>
                <w:b/>
                <w:color w:val="000000"/>
                <w:sz w:val="22"/>
                <w:szCs w:val="21"/>
                <w:highlight w:val="none"/>
                <w:lang w:eastAsia="en-US"/>
              </w:rPr>
            </w:r>
            <w:r/>
          </w:p>
        </w:tc>
        <w:tc>
          <w:tcPr>
            <w:tcW w:w="1276" w:type="dxa"/>
            <w:vAlign w:val="center"/>
            <w:textDirection w:val="lrTb"/>
            <w:noWrap w:val="false"/>
          </w:tcPr>
          <w:p>
            <w:pPr>
              <w:pStyle w:val="706"/>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工作内容</w:t>
            </w:r>
            <w:r>
              <w:rPr>
                <w:rFonts w:ascii="宋体" w:hAnsi="宋体"/>
                <w:b/>
                <w:color w:val="000000"/>
                <w:sz w:val="22"/>
                <w:szCs w:val="21"/>
                <w:highlight w:val="none"/>
                <w:lang w:eastAsia="en-US"/>
              </w:rPr>
            </w:r>
            <w:r/>
          </w:p>
        </w:tc>
        <w:tc>
          <w:tcPr>
            <w:tcW w:w="1559" w:type="dxa"/>
            <w:vAlign w:val="center"/>
            <w:textDirection w:val="lrTb"/>
            <w:noWrap w:val="false"/>
          </w:tcPr>
          <w:p>
            <w:pPr>
              <w:pStyle w:val="706"/>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合同履行期限</w:t>
            </w:r>
            <w:r>
              <w:rPr>
                <w:rFonts w:ascii="宋体" w:hAnsi="宋体"/>
                <w:b/>
                <w:color w:val="000000"/>
                <w:sz w:val="22"/>
                <w:szCs w:val="21"/>
                <w:highlight w:val="none"/>
                <w:lang w:eastAsia="en-US"/>
              </w:rPr>
            </w:r>
            <w:r/>
          </w:p>
        </w:tc>
        <w:tc>
          <w:tcPr>
            <w:tcW w:w="1276" w:type="dxa"/>
            <w:vAlign w:val="center"/>
            <w:textDirection w:val="lrTb"/>
            <w:noWrap w:val="false"/>
          </w:tcPr>
          <w:p>
            <w:pPr>
              <w:pStyle w:val="706"/>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合同金额</w:t>
            </w:r>
            <w:r>
              <w:rPr>
                <w:rFonts w:ascii="宋体" w:hAnsi="宋体"/>
                <w:b/>
                <w:color w:val="000000"/>
                <w:sz w:val="22"/>
                <w:szCs w:val="21"/>
                <w:highlight w:val="none"/>
                <w:lang w:eastAsia="en-US"/>
              </w:rPr>
            </w:r>
            <w:r/>
          </w:p>
        </w:tc>
        <w:tc>
          <w:tcPr>
            <w:tcW w:w="1044" w:type="dxa"/>
            <w:vAlign w:val="center"/>
            <w:textDirection w:val="lrTb"/>
            <w:noWrap w:val="false"/>
          </w:tcPr>
          <w:p>
            <w:pPr>
              <w:pStyle w:val="706"/>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备注</w:t>
            </w:r>
            <w:r>
              <w:rPr>
                <w:rFonts w:ascii="宋体" w:hAnsi="宋体"/>
                <w:b/>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706"/>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06"/>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highlight w:val="none"/>
        </w:rPr>
        <w:t xml:space="preserve">复印件</w:t>
      </w:r>
      <w:r>
        <w:rPr>
          <w:rFonts w:hint="eastAsia" w:ascii="宋体" w:hAnsi="宋体"/>
          <w:b/>
          <w:color w:val="000000"/>
          <w:sz w:val="24"/>
          <w:szCs w:val="24"/>
          <w:highlight w:val="none"/>
        </w:rPr>
        <w:t xml:space="preserve">，提供的证明材料中相关信息需符合采购文件的规定。</w:t>
      </w:r>
      <w:r>
        <w:rPr>
          <w:rFonts w:hint="eastAsia" w:ascii="宋体" w:hAnsi="宋体"/>
          <w:b/>
          <w:color w:val="000000"/>
          <w:sz w:val="24"/>
          <w:szCs w:val="24"/>
          <w:highlight w:val="none"/>
        </w:rPr>
      </w:r>
      <w:r/>
    </w:p>
    <w:p>
      <w:pPr>
        <w:pStyle w:val="706"/>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06"/>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06"/>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06"/>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06"/>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06"/>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06"/>
        <w:jc w:val="left"/>
        <w:spacing w:line="360" w:lineRule="auto"/>
        <w:widowControl/>
        <w:rPr>
          <w:rFonts w:hint="eastAsia" w:ascii="宋体" w:hAnsi="宋体"/>
          <w:b/>
          <w:color w:val="000000"/>
          <w:sz w:val="24"/>
          <w:szCs w:val="24"/>
          <w:highlight w:val="none"/>
        </w:rPr>
        <w:outlineLvl w:val="9"/>
      </w:pPr>
      <w:r>
        <w:rPr>
          <w:rFonts w:hint="eastAsia" w:ascii="宋体" w:hAnsi="宋体"/>
          <w:b/>
          <w:color w:val="000000"/>
          <w:sz w:val="24"/>
          <w:szCs w:val="24"/>
          <w:highlight w:val="none"/>
        </w:rPr>
      </w:r>
      <w:r/>
    </w:p>
    <w:p>
      <w:pPr>
        <w:pStyle w:val="706"/>
        <w:jc w:val="left"/>
        <w:spacing w:line="360" w:lineRule="auto"/>
        <w:widowControl/>
        <w:rPr>
          <w:rFonts w:ascii="宋体" w:hAnsi="宋体" w:cs="宋体"/>
          <w:b/>
          <w:color w:val="000000"/>
          <w:sz w:val="24"/>
          <w:szCs w:val="24"/>
          <w:highlight w:val="none"/>
          <w:lang w:val="zh-CN"/>
        </w:rPr>
        <w:outlineLvl w:val="1"/>
      </w:pPr>
      <w:r/>
      <w:bookmarkStart w:id="72" w:name="_Toc11160"/>
      <w:r/>
      <w:bookmarkStart w:id="73" w:name="_Toc489655335"/>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lang w:val="en-US" w:eastAsia="zh-CN"/>
        </w:rPr>
        <w:t xml:space="preserve">十</w:t>
      </w:r>
      <w:r>
        <w:rPr>
          <w:rFonts w:hint="eastAsia" w:ascii="宋体" w:hAnsi="宋体" w:cs="宋体"/>
          <w:b/>
          <w:color w:val="000000"/>
          <w:sz w:val="24"/>
          <w:szCs w:val="24"/>
          <w:highlight w:val="none"/>
          <w:lang w:val="zh-CN"/>
        </w:rPr>
        <w:t xml:space="preserve">、服务方案</w:t>
      </w:r>
      <w:bookmarkEnd w:id="72"/>
      <w:r>
        <w:rPr>
          <w:rFonts w:ascii="宋体" w:hAnsi="宋体" w:cs="宋体"/>
          <w:b/>
          <w:color w:val="000000"/>
          <w:sz w:val="24"/>
          <w:szCs w:val="24"/>
          <w:highlight w:val="none"/>
          <w:lang w:val="zh-CN"/>
        </w:rPr>
      </w:r>
      <w:r/>
    </w:p>
    <w:p>
      <w:pPr>
        <w:pStyle w:val="706"/>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服务方案（</w:t>
      </w:r>
      <w:r>
        <w:rPr>
          <w:rFonts w:hint="eastAsia" w:ascii="宋体" w:hAnsi="宋体" w:cs="宋体"/>
          <w:b/>
          <w:bCs/>
          <w:color w:val="000000"/>
          <w:sz w:val="28"/>
          <w:szCs w:val="28"/>
          <w:highlight w:val="none"/>
          <w:lang w:val="en-US" w:eastAsia="zh-CN"/>
        </w:rPr>
        <w:t xml:space="preserve">投标人格式自拟</w:t>
      </w:r>
      <w:r>
        <w:rPr>
          <w:rFonts w:hint="eastAsia" w:ascii="宋体" w:hAnsi="宋体" w:cs="宋体"/>
          <w:b/>
          <w:bCs/>
          <w:color w:val="000000"/>
          <w:sz w:val="28"/>
          <w:szCs w:val="28"/>
          <w:highlight w:val="none"/>
          <w:lang w:val="zh-CN"/>
        </w:rPr>
        <w:t xml:space="preserve">）</w:t>
      </w:r>
      <w:r>
        <w:rPr>
          <w:rFonts w:hint="eastAsia" w:ascii="宋体" w:hAnsi="宋体" w:cs="宋体"/>
          <w:b/>
          <w:bCs/>
          <w:color w:val="000000"/>
          <w:sz w:val="28"/>
          <w:szCs w:val="28"/>
          <w:highlight w:val="none"/>
          <w:lang w:val="zh-CN"/>
        </w:rPr>
      </w:r>
      <w:r/>
    </w:p>
    <w:tbl>
      <w:tblPr>
        <w:tblW w:w="8099" w:type="dxa"/>
        <w:tblInd w:w="1115"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Borders>
              <w:top w:val="none" w:color="000000" w:sz="0" w:space="0"/>
              <w:left w:val="none" w:color="000000" w:sz="0" w:space="0"/>
              <w:bottom w:val="none" w:color="000000" w:sz="0" w:space="0"/>
              <w:right w:val="none" w:color="000000" w:sz="0" w:space="0"/>
            </w:tcBorders>
            <w:tcW w:w="8099" w:type="dxa"/>
            <w:vAlign w:val="center"/>
            <w:textDirection w:val="lrTb"/>
            <w:noWrap w:val="false"/>
          </w:tcPr>
          <w:p>
            <w:pPr>
              <w:pStyle w:val="706"/>
              <w:jc w:val="left"/>
              <w:spacing w:line="400" w:lineRule="exact"/>
              <w:rPr>
                <w:rFonts w:ascii="宋体" w:hAnsi="宋体"/>
                <w:bCs/>
                <w:color w:val="000000"/>
                <w:sz w:val="28"/>
                <w:szCs w:val="28"/>
                <w:highlight w:val="none"/>
              </w:rPr>
            </w:pPr>
            <w:r>
              <w:rPr>
                <w:rFonts w:hint="eastAsia" w:ascii="宋体" w:hAnsi="宋体"/>
                <w:color w:val="000000"/>
                <w:spacing w:val="2"/>
                <w:sz w:val="28"/>
                <w:szCs w:val="28"/>
                <w:highlight w:val="none"/>
              </w:rPr>
              <w:t xml:space="preserve">主</w:t>
            </w:r>
            <w:r>
              <w:rPr>
                <w:rFonts w:hint="eastAsia" w:ascii="宋体" w:hAnsi="宋体"/>
                <w:color w:val="000000"/>
                <w:sz w:val="28"/>
                <w:szCs w:val="28"/>
                <w:highlight w:val="none"/>
              </w:rPr>
              <w:t xml:space="preserve">要内容包括但不限于：</w:t>
            </w:r>
            <w:r>
              <w:rPr>
                <w:rFonts w:ascii="宋体" w:hAnsi="宋体"/>
                <w:bCs/>
                <w:color w:val="000000"/>
                <w:sz w:val="28"/>
                <w:szCs w:val="28"/>
                <w:highlight w:val="none"/>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06"/>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06"/>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实施方案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06"/>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06"/>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质量控制方案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706"/>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706"/>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售后服务方案</w:t>
            </w:r>
            <w:r>
              <w:rPr>
                <w:rFonts w:hint="eastAsia" w:ascii="宋体" w:hAnsi="宋体"/>
                <w:color w:val="000000"/>
                <w:sz w:val="28"/>
                <w:szCs w:val="28"/>
                <w:highlight w:val="none"/>
                <w:lang w:eastAsia="en-US"/>
              </w:rPr>
            </w:r>
            <w:r/>
          </w:p>
        </w:tc>
      </w:tr>
    </w:tbl>
    <w:p>
      <w:pPr>
        <w:pStyle w:val="706"/>
        <w:rPr>
          <w:rFonts w:ascii="Calibri" w:hAnsi="Calibri"/>
          <w:color w:val="000000"/>
          <w:sz w:val="22"/>
          <w:szCs w:val="22"/>
          <w:highlight w:val="none"/>
          <w:lang w:eastAsia="en-US"/>
        </w:rPr>
        <w:outlineLvl w:val="9"/>
      </w:pPr>
      <w:r>
        <w:rPr>
          <w:rFonts w:ascii="Calibri" w:hAnsi="Calibri"/>
          <w:color w:val="000000"/>
          <w:sz w:val="22"/>
          <w:szCs w:val="22"/>
          <w:highlight w:val="none"/>
          <w:lang w:eastAsia="en-US"/>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Calibri" w:hAnsi="Calibri"/>
          <w:color w:val="000000"/>
          <w:sz w:val="22"/>
          <w:szCs w:val="22"/>
          <w:highlight w:val="none"/>
        </w:rPr>
        <w:outlineLvl w:val="9"/>
      </w:pPr>
      <w:r>
        <w:rPr>
          <w:rFonts w:ascii="Calibri" w:hAnsi="Calibri"/>
          <w:color w:val="000000"/>
          <w:sz w:val="22"/>
          <w:szCs w:val="22"/>
          <w:highlight w:val="none"/>
        </w:rPr>
      </w:r>
      <w:r/>
    </w:p>
    <w:p>
      <w:pPr>
        <w:pStyle w:val="706"/>
        <w:jc w:val="left"/>
        <w:spacing w:line="360" w:lineRule="auto"/>
        <w:widowControl/>
        <w:rPr>
          <w:rFonts w:ascii="宋体" w:hAnsi="宋体" w:cs="宋体"/>
          <w:b/>
          <w:color w:val="000000"/>
          <w:sz w:val="24"/>
          <w:szCs w:val="24"/>
          <w:highlight w:val="none"/>
          <w:lang w:val="zh-CN"/>
        </w:rPr>
        <w:outlineLvl w:val="1"/>
      </w:pPr>
      <w:r/>
      <w:bookmarkEnd w:id="73"/>
      <w:r/>
      <w:bookmarkStart w:id="74" w:name="_Toc10522"/>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val="zh-CN"/>
        </w:rPr>
        <w:t xml:space="preserve">、资格证明文件</w:t>
      </w:r>
      <w:bookmarkEnd w:id="74"/>
      <w:r>
        <w:rPr>
          <w:rFonts w:ascii="宋体" w:hAnsi="宋体" w:cs="宋体"/>
          <w:b/>
          <w:color w:val="000000"/>
          <w:sz w:val="24"/>
          <w:szCs w:val="24"/>
          <w:highlight w:val="none"/>
          <w:lang w:val="zh-CN"/>
        </w:rPr>
      </w:r>
      <w:r/>
    </w:p>
    <w:p>
      <w:pPr>
        <w:pStyle w:val="706"/>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资格证明文件</w:t>
      </w:r>
      <w:r>
        <w:rPr>
          <w:rFonts w:ascii="宋体" w:hAnsi="宋体" w:cs="宋体"/>
          <w:b/>
          <w:bCs/>
          <w:color w:val="000000"/>
          <w:sz w:val="28"/>
          <w:szCs w:val="28"/>
          <w:highlight w:val="none"/>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06"/>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序号</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06"/>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审查因素</w:t>
            </w:r>
            <w:r>
              <w:rPr>
                <w:rFonts w:ascii="宋体" w:hAnsi="宋体" w:cs="宋体"/>
                <w:b/>
                <w:color w:val="000000"/>
                <w:sz w:val="22"/>
                <w:szCs w:val="21"/>
                <w:highlight w:val="none"/>
                <w:lang w:eastAsia="en-US"/>
              </w:rPr>
            </w:r>
            <w:r/>
          </w:p>
        </w:tc>
        <w:tc>
          <w:tcPr>
            <w:tcW w:w="2048" w:type="dxa"/>
            <w:vAlign w:val="center"/>
            <w:textDirection w:val="lrTb"/>
            <w:noWrap w:val="false"/>
          </w:tcPr>
          <w:p>
            <w:pPr>
              <w:pStyle w:val="706"/>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审查内容</w:t>
            </w:r>
            <w:r>
              <w:rPr>
                <w:rFonts w:ascii="宋体" w:hAnsi="宋体" w:cs="宋体"/>
                <w:b/>
                <w:color w:val="000000"/>
                <w:sz w:val="22"/>
                <w:szCs w:val="21"/>
                <w:highlight w:val="none"/>
                <w:lang w:eastAsia="en-US"/>
              </w:rPr>
            </w:r>
            <w:r/>
          </w:p>
        </w:tc>
        <w:tc>
          <w:tcPr>
            <w:tcW w:w="1285" w:type="dxa"/>
            <w:vAlign w:val="center"/>
            <w:textDirection w:val="lrTb"/>
            <w:noWrap w:val="false"/>
          </w:tcPr>
          <w:p>
            <w:pPr>
              <w:pStyle w:val="706"/>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格式要求</w:t>
            </w:r>
            <w:r>
              <w:rPr>
                <w:rFonts w:ascii="宋体" w:hAnsi="宋体" w:cs="宋体"/>
                <w:b/>
                <w:color w:val="000000"/>
                <w:sz w:val="22"/>
                <w:szCs w:val="21"/>
                <w:highlight w:val="none"/>
                <w:lang w:eastAsia="en-US"/>
              </w:rPr>
            </w:r>
            <w:r/>
          </w:p>
        </w:tc>
      </w:tr>
      <w:tr>
        <w:trPr>
          <w:cantSplit/>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满足《中华人民共和国政府采购法》第二十二条规定及法律法规的其他规定</w:t>
            </w:r>
            <w:r>
              <w:rPr>
                <w:rFonts w:ascii="宋体" w:hAnsi="宋体" w:cs="宋体"/>
                <w:bCs/>
                <w:color w:val="000000"/>
                <w:sz w:val="22"/>
                <w:szCs w:val="21"/>
                <w:highlight w:val="none"/>
              </w:rPr>
            </w:r>
            <w:r/>
          </w:p>
        </w:tc>
        <w:tc>
          <w:tcPr>
            <w:tcW w:w="2048"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具体规定见第一章《采购公告》</w:t>
            </w:r>
            <w:r>
              <w:rPr>
                <w:rFonts w:ascii="宋体" w:hAnsi="宋体" w:cs="宋体"/>
                <w:bCs/>
                <w:color w:val="000000"/>
                <w:sz w:val="22"/>
                <w:szCs w:val="21"/>
                <w:highlight w:val="none"/>
              </w:rPr>
            </w:r>
            <w:r/>
          </w:p>
        </w:tc>
        <w:tc>
          <w:tcPr>
            <w:tcW w:w="1285"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具有独立承担民事责任的能力</w:t>
            </w:r>
            <w:r>
              <w:rPr>
                <w:rFonts w:ascii="宋体" w:hAnsi="宋体" w:cs="宋体"/>
                <w:bCs/>
                <w:color w:val="000000"/>
                <w:sz w:val="22"/>
                <w:szCs w:val="21"/>
                <w:highlight w:val="none"/>
              </w:rPr>
            </w:r>
            <w:r/>
          </w:p>
        </w:tc>
        <w:tc>
          <w:tcPr>
            <w:tcW w:w="2048" w:type="dxa"/>
            <w:vAlign w:val="center"/>
            <w:textDirection w:val="lrTb"/>
            <w:noWrap w:val="false"/>
          </w:tcPr>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供应商为企业（包括合伙企业）的，应提供有效的“营业执照”；</w:t>
            </w:r>
            <w:r>
              <w:rPr>
                <w:rFonts w:ascii="宋体" w:hAnsi="宋体" w:cs="宋体"/>
                <w:bCs/>
                <w:color w:val="000000"/>
                <w:sz w:val="22"/>
                <w:szCs w:val="21"/>
                <w:highlight w:val="none"/>
              </w:rPr>
            </w:r>
            <w:r/>
          </w:p>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供应商为事业单位的，应提供有效的“事业单位法人证书”；</w:t>
            </w:r>
            <w:r>
              <w:rPr>
                <w:rFonts w:ascii="宋体" w:hAnsi="宋体" w:cs="宋体"/>
                <w:bCs/>
                <w:color w:val="000000"/>
                <w:sz w:val="22"/>
                <w:szCs w:val="21"/>
                <w:highlight w:val="none"/>
              </w:rPr>
            </w:r>
            <w:r/>
          </w:p>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供应商是非企业机构的，应提供有效的“执业许可证”、“登记证书”等证明文件；</w:t>
            </w:r>
            <w:r>
              <w:rPr>
                <w:rFonts w:ascii="宋体" w:hAnsi="宋体" w:cs="宋体"/>
                <w:bCs/>
                <w:color w:val="000000"/>
                <w:sz w:val="22"/>
                <w:szCs w:val="21"/>
                <w:highlight w:val="none"/>
              </w:rPr>
            </w:r>
            <w:r/>
          </w:p>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供应商是个体工商户的，应提供有效的“个体工商户营业执照”；</w:t>
            </w:r>
            <w:r>
              <w:rPr>
                <w:rFonts w:ascii="宋体" w:hAnsi="宋体" w:cs="宋体"/>
                <w:bCs/>
                <w:color w:val="000000"/>
                <w:sz w:val="22"/>
                <w:szCs w:val="21"/>
                <w:highlight w:val="none"/>
              </w:rPr>
            </w:r>
            <w:r/>
          </w:p>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供应商是自然人的，应提供有效的自然人身份证明。</w:t>
            </w:r>
            <w:r>
              <w:rPr>
                <w:rFonts w:ascii="宋体" w:hAnsi="宋体" w:cs="宋体"/>
                <w:bCs/>
                <w:color w:val="000000"/>
                <w:sz w:val="22"/>
                <w:szCs w:val="21"/>
                <w:highlight w:val="none"/>
              </w:rPr>
            </w:r>
            <w:r/>
          </w:p>
        </w:tc>
        <w:tc>
          <w:tcPr>
            <w:tcW w:w="1285"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提供证明文件的复印件</w:t>
            </w:r>
            <w:r>
              <w:rPr>
                <w:rFonts w:hint="eastAsia" w:ascii="宋体" w:hAnsi="宋体" w:cs="宋体"/>
                <w:b/>
                <w:color w:val="000000"/>
                <w:sz w:val="22"/>
                <w:szCs w:val="21"/>
                <w:highlight w:val="none"/>
              </w:rPr>
              <w:t xml:space="preserve">并加盖供应商公章</w:t>
            </w:r>
            <w:r>
              <w:rPr>
                <w:rFonts w:ascii="宋体" w:hAnsi="宋体" w:cs="宋体"/>
                <w:bCs/>
                <w:color w:val="000000"/>
                <w:sz w:val="22"/>
                <w:szCs w:val="21"/>
                <w:highlight w:val="none"/>
              </w:rPr>
            </w:r>
            <w:r/>
          </w:p>
        </w:tc>
      </w:tr>
      <w:tr>
        <w:trPr>
          <w:cantSplit/>
          <w:trHeight w:val="5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具有良好的商业信誉和健全的财务会计制度</w:t>
            </w:r>
            <w:r>
              <w:rPr>
                <w:rFonts w:ascii="宋体" w:hAnsi="宋体" w:cs="宋体"/>
                <w:bCs/>
                <w:color w:val="000000"/>
                <w:sz w:val="22"/>
                <w:szCs w:val="21"/>
                <w:highlight w:val="none"/>
              </w:rPr>
            </w:r>
            <w:r/>
          </w:p>
        </w:tc>
        <w:tc>
          <w:tcPr>
            <w:tcW w:w="2048" w:type="dxa"/>
            <w:vAlign w:val="center"/>
            <w:textDirection w:val="lrTb"/>
            <w:noWrap w:val="false"/>
          </w:tcPr>
          <w:p>
            <w:pPr>
              <w:pStyle w:val="706"/>
              <w:spacing w:line="320" w:lineRule="exact"/>
              <w:tabs>
                <w:tab w:val="left" w:pos="1080" w:leader="none"/>
              </w:tabs>
              <w:rPr>
                <w:rFonts w:hint="eastAsia" w:ascii="宋体" w:hAnsi="宋体" w:cs="宋体"/>
                <w:bCs/>
                <w:color w:val="000000"/>
                <w:sz w:val="22"/>
                <w:szCs w:val="21"/>
                <w:highlight w:val="none"/>
              </w:rPr>
            </w:pPr>
            <w:r>
              <w:rPr>
                <w:rFonts w:hint="eastAsia" w:ascii="宋体" w:hAnsi="宋体" w:cs="宋体"/>
                <w:bCs/>
                <w:color w:val="000000"/>
                <w:sz w:val="22"/>
                <w:szCs w:val="21"/>
                <w:highlight w:val="none"/>
              </w:rPr>
              <w:t xml:space="preserve">提供2024年经审计的财务报告或2024年财务报表，或响应文件提交截止时间前六个月内银行出具的资信证明，成立不满一年无需提供</w:t>
            </w:r>
            <w:r>
              <w:rPr>
                <w:rFonts w:hint="eastAsia" w:ascii="宋体" w:hAnsi="宋体" w:cs="宋体"/>
                <w:bCs/>
                <w:color w:val="000000"/>
                <w:sz w:val="22"/>
                <w:szCs w:val="21"/>
                <w:highlight w:val="none"/>
              </w:rPr>
            </w:r>
            <w:r/>
          </w:p>
        </w:tc>
        <w:tc>
          <w:tcPr>
            <w:tcW w:w="1285" w:type="dxa"/>
            <w:vAlign w:val="center"/>
            <w:vMerge w:val="restart"/>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ascii="Calibri" w:hAnsi="Calibri"/>
                <w:color w:val="000000"/>
                <w:sz w:val="22"/>
                <w:szCs w:val="22"/>
                <w:highlight w:val="none"/>
              </w:rPr>
              <w:t xml:space="preserve">提供《南京市政府采购供应商信用记录表暨信用承诺书》</w:t>
            </w:r>
            <w:r>
              <w:rPr>
                <w:rFonts w:hint="eastAsia" w:ascii="Calibri" w:hAnsi="Calibri"/>
                <w:color w:val="000000"/>
                <w:sz w:val="22"/>
                <w:szCs w:val="22"/>
                <w:highlight w:val="none"/>
              </w:rPr>
              <w:t xml:space="preserve">，</w:t>
            </w:r>
            <w:r>
              <w:rPr>
                <w:rFonts w:ascii="Calibri" w:hAnsi="Calibri"/>
                <w:b/>
                <w:bCs/>
                <w:color w:val="000000"/>
                <w:sz w:val="22"/>
                <w:szCs w:val="22"/>
                <w:highlight w:val="none"/>
                <w:u w:val="single"/>
              </w:rPr>
              <w:t xml:space="preserve">经法定代表人签名并加盖供应商公章</w:t>
            </w: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具有履行合同所必需的设备和专业技术能力</w:t>
            </w:r>
            <w:r>
              <w:rPr>
                <w:rFonts w:ascii="宋体" w:hAnsi="宋体" w:cs="宋体"/>
                <w:bCs/>
                <w:color w:val="000000"/>
                <w:sz w:val="22"/>
                <w:szCs w:val="21"/>
                <w:highlight w:val="none"/>
              </w:rPr>
            </w:r>
            <w:r/>
          </w:p>
        </w:tc>
        <w:tc>
          <w:tcPr>
            <w:tcW w:w="2048" w:type="dxa"/>
            <w:vAlign w:val="center"/>
            <w:textDirection w:val="lrTb"/>
            <w:noWrap w:val="false"/>
          </w:tcPr>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供应商根据履行采购项目合同需要，提供履行合同所必需的设备和专业技术能力的证明材料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1-4</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有依法缴纳税收和社会保障资金的良好记录</w:t>
            </w:r>
            <w:r>
              <w:rPr>
                <w:rFonts w:ascii="宋体" w:hAnsi="宋体" w:cs="宋体"/>
                <w:bCs/>
                <w:color w:val="000000"/>
                <w:sz w:val="22"/>
                <w:szCs w:val="21"/>
                <w:highlight w:val="none"/>
              </w:rPr>
            </w:r>
            <w:r/>
          </w:p>
        </w:tc>
        <w:tc>
          <w:tcPr>
            <w:tcW w:w="2048" w:type="dxa"/>
            <w:vAlign w:val="center"/>
            <w:textDirection w:val="lrTb"/>
            <w:noWrap w:val="false"/>
          </w:tcPr>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1-5</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参加政府采购活动前三年内，在经营活动中没有重大违法记录</w:t>
            </w:r>
            <w:r>
              <w:rPr>
                <w:rFonts w:ascii="宋体" w:hAnsi="宋体" w:cs="宋体"/>
                <w:bCs/>
                <w:color w:val="000000"/>
                <w:sz w:val="22"/>
                <w:szCs w:val="21"/>
                <w:highlight w:val="none"/>
              </w:rPr>
            </w:r>
            <w:r/>
          </w:p>
        </w:tc>
        <w:tc>
          <w:tcPr>
            <w:tcW w:w="2048" w:type="dxa"/>
            <w:vAlign w:val="center"/>
            <w:textDirection w:val="lrTb"/>
            <w:noWrap w:val="false"/>
          </w:tcPr>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提供参加政府采购活动前3年内在经营活动中没有重大违法记录的书面声明</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1-6</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法律、行政法规规定的其他条件</w:t>
            </w:r>
            <w:r>
              <w:rPr>
                <w:rFonts w:ascii="宋体" w:hAnsi="宋体" w:cs="宋体"/>
                <w:bCs/>
                <w:color w:val="000000"/>
                <w:sz w:val="22"/>
                <w:szCs w:val="21"/>
                <w:highlight w:val="none"/>
              </w:rPr>
            </w:r>
            <w:r/>
          </w:p>
        </w:tc>
        <w:tc>
          <w:tcPr>
            <w:tcW w:w="2048" w:type="dxa"/>
            <w:vAlign w:val="center"/>
            <w:textDirection w:val="lrTb"/>
            <w:noWrap w:val="false"/>
          </w:tcPr>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提供具备法律、行政法规规定的其他条件的证明材料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供应商信用记录</w:t>
            </w:r>
            <w:r>
              <w:rPr>
                <w:rFonts w:ascii="宋体" w:hAnsi="宋体" w:cs="宋体"/>
                <w:bCs/>
                <w:color w:val="000000"/>
                <w:sz w:val="22"/>
                <w:szCs w:val="21"/>
                <w:highlight w:val="none"/>
                <w:lang w:eastAsia="en-US"/>
              </w:rPr>
            </w:r>
            <w:r/>
          </w:p>
        </w:tc>
        <w:tc>
          <w:tcPr>
            <w:tcW w:w="2048" w:type="dxa"/>
            <w:vAlign w:val="center"/>
            <w:textDirection w:val="lrTb"/>
            <w:noWrap w:val="false"/>
          </w:tcPr>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查询渠道：信用中国网站和中国政府采购网；</w:t>
            </w:r>
            <w:r>
              <w:rPr>
                <w:rFonts w:ascii="宋体" w:hAnsi="宋体" w:cs="宋体"/>
                <w:bCs/>
                <w:color w:val="000000"/>
                <w:sz w:val="22"/>
                <w:szCs w:val="21"/>
                <w:highlight w:val="none"/>
              </w:rPr>
            </w:r>
            <w:r/>
          </w:p>
          <w:p>
            <w:pPr>
              <w:pStyle w:val="706"/>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截止时点：响应截止时间以后、资格审查阶段采购人或采购代理机构的实际查询时间；</w:t>
            </w:r>
            <w:r>
              <w:rPr>
                <w:rFonts w:ascii="宋体" w:hAnsi="宋体" w:cs="宋体"/>
                <w:bCs/>
                <w:color w:val="000000"/>
                <w:sz w:val="22"/>
                <w:szCs w:val="21"/>
                <w:highlight w:val="none"/>
              </w:rPr>
            </w:r>
            <w:r/>
          </w:p>
          <w:p>
            <w:pPr>
              <w:pStyle w:val="706"/>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信用信息查询记录和证据留存具体方式：查询结果网页打印页作为查询记录和证据，与其他采购文件一并保存；</w:t>
            </w:r>
            <w:r>
              <w:rPr>
                <w:rFonts w:ascii="宋体" w:hAnsi="宋体" w:cs="宋体"/>
                <w:bCs/>
                <w:color w:val="000000"/>
                <w:sz w:val="22"/>
                <w:szCs w:val="21"/>
                <w:highlight w:val="none"/>
              </w:rPr>
            </w:r>
            <w:r/>
          </w:p>
          <w:p>
            <w:pPr>
              <w:pStyle w:val="706"/>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highlight w:val="none"/>
                <w:u w:val="single"/>
              </w:rPr>
              <w:t xml:space="preserve">响应无效</w:t>
            </w:r>
            <w:r>
              <w:rPr>
                <w:rFonts w:hint="eastAsia" w:ascii="宋体" w:hAnsi="宋体" w:cs="宋体"/>
                <w:bCs/>
                <w:color w:val="000000"/>
                <w:sz w:val="22"/>
                <w:szCs w:val="21"/>
                <w:highlight w:val="none"/>
              </w:rPr>
              <w:t xml:space="preserve">。</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供应商资格承诺声明函</w:t>
            </w:r>
            <w:r>
              <w:rPr>
                <w:rFonts w:ascii="宋体" w:hAnsi="宋体" w:cs="宋体"/>
                <w:bCs/>
                <w:color w:val="000000"/>
                <w:sz w:val="22"/>
                <w:szCs w:val="21"/>
                <w:highlight w:val="none"/>
              </w:rPr>
            </w:r>
            <w:r/>
          </w:p>
        </w:tc>
        <w:tc>
          <w:tcPr>
            <w:tcW w:w="2048"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提供符合采购文件要求的《供应商资格承诺声明函》。</w:t>
            </w:r>
            <w:r>
              <w:rPr>
                <w:rFonts w:ascii="宋体" w:hAnsi="宋体" w:cs="宋体"/>
                <w:bCs/>
                <w:color w:val="000000"/>
                <w:sz w:val="22"/>
                <w:szCs w:val="21"/>
                <w:highlight w:val="none"/>
              </w:rPr>
            </w:r>
            <w:r/>
          </w:p>
        </w:tc>
        <w:tc>
          <w:tcPr>
            <w:tcW w:w="1285"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格式见《供应商资格承诺声明函》</w:t>
            </w: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706"/>
              <w:jc w:val="center"/>
              <w:spacing w:line="320" w:lineRule="exact"/>
              <w:tabs>
                <w:tab w:val="left" w:pos="1080" w:leader="none"/>
              </w:tabs>
              <w:rPr>
                <w:rFonts w:ascii="宋体" w:hAnsi="宋体" w:cs="宋体"/>
                <w:b/>
                <w:color w:val="000000"/>
                <w:sz w:val="22"/>
                <w:szCs w:val="21"/>
                <w:highlight w:val="none"/>
                <w:lang w:eastAsia="en-US"/>
              </w:rPr>
            </w:pPr>
            <w:r>
              <w:rPr>
                <w:rFonts w:ascii="宋体" w:hAnsi="宋体" w:cs="宋体"/>
                <w:b/>
                <w:color w:val="000000"/>
                <w:sz w:val="22"/>
                <w:szCs w:val="21"/>
                <w:highlight w:val="none"/>
                <w:lang w:eastAsia="en-US"/>
              </w:rPr>
              <w:t xml:space="preserve">4</w:t>
            </w:r>
            <w:r>
              <w:rPr>
                <w:rFonts w:ascii="宋体" w:hAnsi="宋体" w:cs="宋体"/>
                <w:b/>
                <w:color w:val="000000"/>
                <w:sz w:val="22"/>
                <w:szCs w:val="21"/>
                <w:highlight w:val="none"/>
                <w:lang w:eastAsia="en-US"/>
              </w:rPr>
            </w:r>
            <w:r/>
          </w:p>
        </w:tc>
        <w:tc>
          <w:tcPr>
            <w:tcW w:w="1199" w:type="dxa"/>
            <w:vAlign w:val="center"/>
            <w:textDirection w:val="lrTb"/>
            <w:noWrap w:val="false"/>
          </w:tcPr>
          <w:p>
            <w:pPr>
              <w:pStyle w:val="706"/>
              <w:jc w:val="left"/>
              <w:spacing w:line="320" w:lineRule="exact"/>
              <w:tabs>
                <w:tab w:val="left" w:pos="1080" w:leader="none"/>
              </w:tabs>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本项目的特定资格要求</w:t>
            </w:r>
            <w:r>
              <w:rPr>
                <w:rFonts w:ascii="宋体" w:hAnsi="宋体" w:cs="宋体"/>
                <w:b/>
                <w:color w:val="000000"/>
                <w:sz w:val="22"/>
                <w:szCs w:val="21"/>
                <w:highlight w:val="none"/>
              </w:rPr>
            </w:r>
            <w:r/>
          </w:p>
        </w:tc>
        <w:tc>
          <w:tcPr>
            <w:tcW w:w="2048" w:type="dxa"/>
            <w:vAlign w:val="center"/>
            <w:textDirection w:val="lrTb"/>
            <w:noWrap w:val="false"/>
          </w:tcPr>
          <w:p>
            <w:pPr>
              <w:pStyle w:val="706"/>
              <w:jc w:val="left"/>
              <w:spacing w:line="320" w:lineRule="exact"/>
              <w:rPr>
                <w:rFonts w:ascii="宋体" w:hAnsi="宋体" w:cs="宋体"/>
                <w:b/>
                <w:color w:val="000000"/>
                <w:sz w:val="22"/>
                <w:szCs w:val="21"/>
                <w:highlight w:val="none"/>
                <w:shd w:val="clear" w:color="auto" w:fill="ffffff"/>
              </w:rPr>
            </w:pPr>
            <w:r>
              <w:rPr>
                <w:rFonts w:hint="eastAsia" w:ascii="宋体" w:hAnsi="宋体" w:cs="宋体"/>
                <w:b/>
                <w:color w:val="000000"/>
                <w:sz w:val="22"/>
                <w:szCs w:val="21"/>
                <w:highlight w:val="none"/>
              </w:rPr>
              <w:t xml:space="preserve">具体规定见第一章《采购公告》</w:t>
            </w:r>
            <w:r>
              <w:rPr>
                <w:rFonts w:ascii="宋体" w:hAnsi="宋体" w:cs="宋体"/>
                <w:b/>
                <w:color w:val="000000"/>
                <w:sz w:val="22"/>
                <w:szCs w:val="21"/>
                <w:highlight w:val="none"/>
                <w:shd w:val="clear" w:color="auto" w:fill="ffffff"/>
              </w:rPr>
            </w:r>
            <w:r/>
          </w:p>
        </w:tc>
        <w:tc>
          <w:tcPr>
            <w:tcW w:w="1285" w:type="dxa"/>
            <w:vAlign w:val="center"/>
            <w:textDirection w:val="lrTb"/>
            <w:noWrap w:val="false"/>
          </w:tcPr>
          <w:p>
            <w:pPr>
              <w:pStyle w:val="706"/>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
                <w:color w:val="000000"/>
                <w:sz w:val="22"/>
                <w:szCs w:val="21"/>
                <w:highlight w:val="none"/>
              </w:rPr>
              <w:t xml:space="preserve">提供证明文件的复印件并加盖供应商公章</w:t>
            </w:r>
            <w:r>
              <w:rPr>
                <w:rFonts w:ascii="宋体" w:hAnsi="宋体" w:cs="宋体"/>
                <w:bCs/>
                <w:color w:val="000000"/>
                <w:sz w:val="22"/>
                <w:szCs w:val="21"/>
                <w:highlight w:val="none"/>
              </w:rPr>
            </w:r>
            <w:r/>
          </w:p>
        </w:tc>
      </w:tr>
    </w:tbl>
    <w:p>
      <w:pPr>
        <w:pStyle w:val="706"/>
        <w:jc w:val="left"/>
        <w:spacing w:line="360" w:lineRule="auto"/>
        <w:widowControl/>
        <w:rPr>
          <w:rFonts w:hint="eastAsia" w:ascii="仿宋" w:hAnsi="仿宋" w:eastAsia="仿宋"/>
          <w:b/>
          <w:bCs/>
          <w:color w:val="000000"/>
          <w:sz w:val="32"/>
          <w:szCs w:val="32"/>
          <w:highlight w:val="none"/>
        </w:rPr>
        <w:outlineLvl w:val="9"/>
      </w:pPr>
      <w:r/>
      <w:bookmarkStart w:id="75" w:name="_Hlk85644930"/>
      <w:r/>
      <w:bookmarkStart w:id="76" w:name="_Hlk94112048"/>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hint="eastAsia" w:ascii="仿宋" w:hAnsi="仿宋" w:eastAsia="仿宋"/>
          <w:b/>
          <w:bCs/>
          <w:color w:val="000000"/>
          <w:sz w:val="32"/>
          <w:szCs w:val="32"/>
          <w:highlight w:val="none"/>
        </w:rPr>
        <w:outlineLvl w:val="9"/>
      </w:pPr>
      <w:r>
        <w:rPr>
          <w:rFonts w:hint="eastAsia" w:ascii="仿宋" w:hAnsi="仿宋" w:eastAsia="仿宋"/>
          <w:b/>
          <w:bCs/>
          <w:color w:val="000000"/>
          <w:sz w:val="32"/>
          <w:szCs w:val="32"/>
          <w:highlight w:val="none"/>
        </w:rPr>
      </w:r>
      <w:r/>
    </w:p>
    <w:p>
      <w:pPr>
        <w:pStyle w:val="706"/>
        <w:jc w:val="left"/>
        <w:spacing w:line="360" w:lineRule="auto"/>
        <w:widowControl/>
        <w:rPr>
          <w:rFonts w:ascii="宋体" w:hAnsi="宋体" w:cs="宋体"/>
          <w:b/>
          <w:color w:val="000000"/>
          <w:sz w:val="24"/>
          <w:szCs w:val="24"/>
          <w:highlight w:val="none"/>
          <w:lang w:val="zh-CN"/>
        </w:rPr>
        <w:outlineLvl w:val="1"/>
      </w:pPr>
      <w:r/>
      <w:bookmarkStart w:id="77" w:name="_Toc7464"/>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二</w:t>
      </w:r>
      <w:r>
        <w:rPr>
          <w:rFonts w:hint="eastAsia" w:ascii="宋体" w:hAnsi="宋体" w:cs="宋体"/>
          <w:b/>
          <w:color w:val="000000"/>
          <w:sz w:val="24"/>
          <w:szCs w:val="24"/>
          <w:highlight w:val="none"/>
          <w:lang w:val="zh-CN"/>
        </w:rPr>
        <w:t xml:space="preserve">、政府采购政策</w:t>
      </w:r>
      <w:bookmarkEnd w:id="77"/>
      <w:r>
        <w:rPr>
          <w:rFonts w:ascii="宋体" w:hAnsi="宋体" w:cs="宋体"/>
          <w:b/>
          <w:color w:val="000000"/>
          <w:sz w:val="24"/>
          <w:szCs w:val="24"/>
          <w:highlight w:val="none"/>
          <w:lang w:val="zh-CN"/>
        </w:rPr>
      </w:r>
      <w:r/>
    </w:p>
    <w:p>
      <w:pPr>
        <w:pStyle w:val="706"/>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政府采购政策</w:t>
      </w:r>
      <w:r>
        <w:rPr>
          <w:rFonts w:hint="eastAsia" w:ascii="宋体" w:hAnsi="宋体" w:cs="宋体"/>
          <w:b/>
          <w:bCs/>
          <w:color w:val="000000"/>
          <w:sz w:val="28"/>
          <w:szCs w:val="28"/>
          <w:highlight w:val="none"/>
          <w:lang w:val="zh-CN"/>
        </w:rPr>
      </w:r>
      <w:r/>
    </w:p>
    <w:p>
      <w:pPr>
        <w:pStyle w:val="706"/>
        <w:spacing w:before="120" w:line="440" w:lineRule="exact"/>
        <w:rPr>
          <w:rFonts w:ascii="宋体" w:hAnsi="宋体"/>
          <w:b/>
          <w:color w:val="000000"/>
          <w:sz w:val="28"/>
          <w:szCs w:val="28"/>
          <w:highlight w:val="none"/>
        </w:rPr>
      </w:pPr>
      <w:r>
        <w:rPr>
          <w:rFonts w:hint="eastAsia" w:ascii="宋体" w:hAnsi="宋体"/>
          <w:b/>
          <w:color w:val="000000"/>
          <w:sz w:val="28"/>
          <w:szCs w:val="28"/>
          <w:highlight w:val="none"/>
        </w:rPr>
        <w:t xml:space="preserve">1．企业声明函格式</w:t>
      </w:r>
      <w:r>
        <w:rPr>
          <w:rFonts w:ascii="宋体" w:hAnsi="宋体"/>
          <w:b/>
          <w:color w:val="000000"/>
          <w:sz w:val="28"/>
          <w:szCs w:val="28"/>
          <w:highlight w:val="none"/>
        </w:rPr>
      </w:r>
      <w:r/>
    </w:p>
    <w:p>
      <w:pPr>
        <w:pStyle w:val="706"/>
        <w:jc w:val="center"/>
        <w:rPr>
          <w:rFonts w:ascii="Calibri" w:hAnsi="Calibri"/>
          <w:color w:val="000000"/>
          <w:sz w:val="22"/>
          <w:szCs w:val="22"/>
          <w:highlight w:val="none"/>
        </w:rPr>
      </w:pPr>
      <w:r>
        <w:rPr>
          <w:rFonts w:hint="eastAsia" w:ascii="宋体" w:hAnsi="宋体"/>
          <w:b/>
          <w:color w:val="000000"/>
          <w:sz w:val="32"/>
          <w:szCs w:val="24"/>
          <w:highlight w:val="none"/>
        </w:rPr>
        <w:t xml:space="preserve">中小企业声明函（</w:t>
      </w:r>
      <w:r>
        <w:rPr>
          <w:rFonts w:hint="eastAsia" w:ascii="宋体" w:hAnsi="宋体"/>
          <w:b/>
          <w:color w:val="000000"/>
          <w:sz w:val="32"/>
          <w:szCs w:val="24"/>
          <w:highlight w:val="none"/>
          <w:lang w:val="en-US" w:eastAsia="zh-CN"/>
        </w:rPr>
        <w:t xml:space="preserve">货物</w:t>
      </w:r>
      <w:r>
        <w:rPr>
          <w:rFonts w:hint="eastAsia" w:ascii="宋体" w:hAnsi="宋体"/>
          <w:b/>
          <w:color w:val="000000"/>
          <w:sz w:val="32"/>
          <w:szCs w:val="24"/>
          <w:highlight w:val="none"/>
        </w:rPr>
        <w:t xml:space="preserve">）</w:t>
      </w:r>
      <w:r>
        <w:rPr>
          <w:rFonts w:ascii="Calibri" w:hAnsi="Calibri"/>
          <w:color w:val="000000"/>
          <w:sz w:val="22"/>
          <w:szCs w:val="22"/>
          <w:highlight w:val="none"/>
        </w:rPr>
      </w:r>
      <w:r/>
    </w:p>
    <w:p>
      <w:pPr>
        <w:pStyle w:val="70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 况如下： </w:t>
      </w:r>
      <w:r>
        <w:rPr>
          <w:rFonts w:hint="eastAsia" w:ascii="宋体" w:hAnsi="宋体" w:eastAsia="宋体" w:cs="宋体"/>
          <w:color w:val="000000"/>
          <w:spacing w:val="15"/>
          <w:sz w:val="24"/>
          <w:szCs w:val="24"/>
          <w:highlight w:val="none"/>
        </w:rPr>
      </w:r>
      <w:r/>
    </w:p>
    <w:p>
      <w:pPr>
        <w:pStyle w:val="70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rPr>
          <w:rFonts w:hint="eastAsia" w:ascii="宋体" w:hAnsi="宋体" w:eastAsia="宋体" w:cs="宋体"/>
          <w:color w:val="000000"/>
          <w:spacing w:val="15"/>
          <w:sz w:val="24"/>
          <w:szCs w:val="24"/>
          <w:highlight w:val="none"/>
        </w:rPr>
      </w:r>
      <w:r/>
    </w:p>
    <w:p>
      <w:pPr>
        <w:pStyle w:val="706"/>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pacing w:val="15"/>
          <w:sz w:val="24"/>
          <w:szCs w:val="24"/>
          <w:highlight w:val="none"/>
        </w:rPr>
      </w:r>
      <w:r/>
    </w:p>
    <w:p>
      <w:pPr>
        <w:pStyle w:val="706"/>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t xml:space="preserve">本企业对上述声明内容的真实性负责。如有虚假，将依 法承担相应责任。</w:t>
      </w:r>
      <w:r>
        <w:rPr>
          <w:rFonts w:hint="eastAsia" w:ascii="宋体" w:hAnsi="宋体" w:eastAsia="宋体" w:cs="宋体"/>
          <w:color w:val="000000"/>
          <w:spacing w:val="15"/>
          <w:sz w:val="24"/>
          <w:szCs w:val="24"/>
          <w:highlight w:val="none"/>
        </w:rPr>
      </w:r>
      <w:r/>
    </w:p>
    <w:p>
      <w:pPr>
        <w:pStyle w:val="706"/>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06"/>
        <w:ind w:firstLine="540"/>
        <w:spacing w:line="360" w:lineRule="exact"/>
        <w:rPr>
          <w:rFonts w:hint="eastAsia" w:ascii="宋体" w:hAnsi="宋体" w:eastAsia="宋体" w:cs="宋体"/>
          <w:color w:val="000000"/>
          <w:spacing w:val="15"/>
          <w:sz w:val="24"/>
          <w:szCs w:val="24"/>
          <w:highlight w:val="none"/>
        </w:rPr>
      </w:pPr>
      <w:r>
        <w:rPr>
          <w:rFonts w:hint="eastAsia" w:ascii="宋体" w:hAnsi="宋体" w:eastAsia="宋体" w:cs="宋体"/>
          <w:color w:val="000000"/>
          <w:spacing w:val="15"/>
          <w:sz w:val="24"/>
          <w:szCs w:val="24"/>
          <w:highlight w:val="none"/>
        </w:rPr>
      </w:r>
      <w:r/>
    </w:p>
    <w:p>
      <w:pPr>
        <w:pStyle w:val="706"/>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706"/>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706"/>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78"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706"/>
        <w:ind w:firstLine="480"/>
        <w:jc w:val="left"/>
        <w:spacing w:line="340" w:lineRule="exact"/>
        <w:tabs>
          <w:tab w:val="left" w:pos="1800" w:leader="none"/>
          <w:tab w:val="left" w:pos="5580" w:leader="none"/>
        </w:tabs>
        <w:rPr>
          <w:rFonts w:ascii="宋体" w:hAnsi="宋体"/>
          <w:color w:val="000000"/>
          <w:sz w:val="24"/>
          <w:szCs w:val="22"/>
          <w:highlight w:val="none"/>
        </w:rPr>
      </w:pPr>
      <w:r/>
      <w:bookmarkEnd w:id="78"/>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706"/>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79"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706"/>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706"/>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79"/>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706"/>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706"/>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lang w:val="en-US" w:eastAsia="zh-CN"/>
        </w:rPr>
        <w:t xml:space="preserve">工</w:t>
      </w:r>
      <w:r>
        <w:rPr>
          <w:rFonts w:hint="eastAsia" w:ascii="宋体" w:hAnsi="宋体" w:cs="宋体"/>
          <w:b/>
          <w:bCs/>
          <w:color w:val="000000"/>
          <w:sz w:val="24"/>
          <w:szCs w:val="24"/>
          <w:highlight w:val="none"/>
          <w:u w:val="single"/>
          <w:lang w:val="en-US" w:eastAsia="zh-CN"/>
        </w:rPr>
        <w:t xml:space="preserve">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706"/>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bookmarkStart w:id="80"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706"/>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706"/>
        <w:jc w:val="lef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2．残疾人福利性单位声明函</w:t>
      </w:r>
      <w:r>
        <w:rPr>
          <w:rFonts w:ascii="宋体" w:hAnsi="宋体"/>
          <w:b/>
          <w:color w:val="000000"/>
          <w:sz w:val="28"/>
          <w:szCs w:val="28"/>
          <w:highlight w:val="none"/>
        </w:rPr>
      </w:r>
      <w:r/>
    </w:p>
    <w:p>
      <w:pPr>
        <w:pStyle w:val="706"/>
        <w:jc w:val="center"/>
        <w:spacing w:line="400" w:lineRule="exact"/>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706"/>
        <w:jc w:val="center"/>
        <w:spacing w:line="400" w:lineRule="exact"/>
        <w:widowControl/>
        <w:rPr>
          <w:rFonts w:ascii="Calibri" w:hAnsi="Calibri"/>
          <w:b/>
          <w:color w:val="000000"/>
          <w:sz w:val="28"/>
          <w:szCs w:val="28"/>
          <w:highlight w:val="none"/>
        </w:rPr>
      </w:pPr>
      <w:r>
        <w:rPr>
          <w:rFonts w:hint="eastAsia" w:ascii="宋体" w:hAnsi="宋体" w:cs="宋体"/>
          <w:b/>
          <w:color w:val="000000"/>
          <w:sz w:val="28"/>
          <w:szCs w:val="28"/>
          <w:highlight w:val="none"/>
        </w:rPr>
        <w:t xml:space="preserve">残疾人福利性单位声明函</w:t>
      </w:r>
      <w:r>
        <w:rPr>
          <w:rFonts w:ascii="Calibri" w:hAnsi="Calibri"/>
          <w:b/>
          <w:color w:val="000000"/>
          <w:sz w:val="28"/>
          <w:szCs w:val="28"/>
          <w:highlight w:val="none"/>
        </w:rPr>
      </w:r>
      <w:r/>
    </w:p>
    <w:p>
      <w:pPr>
        <w:pStyle w:val="706"/>
        <w:jc w:val="left"/>
        <w:spacing w:line="400" w:lineRule="exact"/>
        <w:rPr>
          <w:rFonts w:ascii="宋体" w:hAnsi="宋体"/>
          <w:color w:val="000000"/>
          <w:sz w:val="24"/>
          <w:szCs w:val="24"/>
          <w:highlight w:val="none"/>
        </w:rPr>
      </w:pPr>
      <w:r/>
      <w:bookmarkStart w:id="81" w:name="_Hlk73391707"/>
      <w:r>
        <w:rPr>
          <w:rFonts w:ascii="宋体" w:hAnsi="宋体"/>
          <w:color w:val="000000"/>
          <w:sz w:val="24"/>
          <w:szCs w:val="24"/>
          <w:highlight w:val="none"/>
        </w:rPr>
      </w:r>
      <w:r/>
    </w:p>
    <w:p>
      <w:pPr>
        <w:pStyle w:val="706"/>
        <w:ind w:firstLine="504"/>
        <w:jc w:val="left"/>
        <w:spacing w:line="400" w:lineRule="exact"/>
        <w:rPr>
          <w:rFonts w:ascii="宋体" w:hAnsi="宋体"/>
          <w:color w:val="000000"/>
          <w:spacing w:val="6"/>
          <w:sz w:val="24"/>
          <w:szCs w:val="24"/>
          <w:highlight w:val="none"/>
        </w:rPr>
      </w:pPr>
      <w:r/>
      <w:bookmarkStart w:id="82" w:name="_Hlk108563587"/>
      <w:r>
        <w:rPr>
          <w:rFonts w:ascii="宋体" w:hAnsi="宋体"/>
          <w:color w:val="000000"/>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000000"/>
          <w:sz w:val="24"/>
          <w:szCs w:val="24"/>
          <w:highlight w:val="none"/>
        </w:rPr>
        <w:t xml:space="preserve">（请进行勾选）</w:t>
      </w:r>
      <w:r>
        <w:rPr>
          <w:rFonts w:ascii="宋体" w:hAnsi="宋体"/>
          <w:color w:val="000000"/>
          <w:spacing w:val="6"/>
          <w:sz w:val="24"/>
          <w:szCs w:val="24"/>
          <w:highlight w:val="none"/>
        </w:rPr>
        <w:t xml:space="preserve">：</w:t>
      </w:r>
      <w:r>
        <w:rPr>
          <w:rFonts w:ascii="宋体" w:hAnsi="宋体"/>
          <w:color w:val="000000"/>
          <w:spacing w:val="6"/>
          <w:sz w:val="24"/>
          <w:szCs w:val="24"/>
          <w:highlight w:val="none"/>
        </w:rPr>
      </w:r>
      <w:r/>
    </w:p>
    <w:p>
      <w:pPr>
        <w:pStyle w:val="706"/>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不属于符合条件的残疾人福利性单位。</w:t>
      </w:r>
      <w:r>
        <w:rPr>
          <w:rFonts w:ascii="宋体" w:hAnsi="宋体"/>
          <w:b/>
          <w:color w:val="000000"/>
          <w:spacing w:val="6"/>
          <w:sz w:val="24"/>
          <w:szCs w:val="24"/>
          <w:highlight w:val="none"/>
        </w:rPr>
      </w:r>
      <w:r/>
    </w:p>
    <w:p>
      <w:pPr>
        <w:pStyle w:val="706"/>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属于符合条件的残疾人福利性单位，</w:t>
      </w:r>
      <w:r>
        <w:rPr>
          <w:rFonts w:ascii="宋体" w:hAnsi="宋体"/>
          <w:color w:val="000000"/>
          <w:sz w:val="24"/>
          <w:szCs w:val="24"/>
          <w:highlight w:val="none"/>
        </w:rPr>
        <w:t xml:space="preserve">且本单位参加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highlight w:val="none"/>
        </w:rPr>
      </w:r>
      <w:r/>
    </w:p>
    <w:p>
      <w:pPr>
        <w:pStyle w:val="706"/>
        <w:ind w:left="660" w:hanging="24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本单位在本次政府采购活动中提供的残疾人福利单位产品报价合计为人民币（大写）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06"/>
        <w:ind w:firstLine="482"/>
        <w:jc w:val="left"/>
        <w:spacing w:before="2" w:line="400" w:lineRule="exact"/>
        <w:rPr>
          <w:rFonts w:ascii="宋体" w:hAnsi="宋体"/>
          <w:b/>
          <w:bCs/>
          <w:color w:val="000000"/>
          <w:sz w:val="24"/>
          <w:szCs w:val="24"/>
          <w:highlight w:val="none"/>
        </w:rPr>
      </w:pPr>
      <w:r>
        <w:rPr>
          <w:rFonts w:ascii="宋体" w:hAnsi="宋体"/>
          <w:b/>
          <w:bCs/>
          <w:color w:val="000000"/>
          <w:sz w:val="24"/>
          <w:szCs w:val="24"/>
          <w:highlight w:val="none"/>
        </w:rPr>
        <w:t xml:space="preserve">本单位对上述声明的真实性负责。如有虚假，将依法承担相应责任。</w:t>
      </w:r>
      <w:r>
        <w:rPr>
          <w:rFonts w:ascii="宋体" w:hAnsi="宋体"/>
          <w:b/>
          <w:bCs/>
          <w:color w:val="000000"/>
          <w:sz w:val="24"/>
          <w:szCs w:val="24"/>
          <w:highlight w:val="none"/>
        </w:rPr>
      </w:r>
      <w:r/>
    </w:p>
    <w:p>
      <w:pPr>
        <w:pStyle w:val="706"/>
        <w:jc w:val="left"/>
        <w:spacing w:line="400" w:lineRule="exact"/>
        <w:rPr>
          <w:rFonts w:ascii="宋体" w:hAnsi="宋体"/>
          <w:color w:val="000000"/>
          <w:sz w:val="24"/>
          <w:szCs w:val="24"/>
          <w:highlight w:val="none"/>
        </w:rPr>
      </w:pPr>
      <w:r/>
      <w:bookmarkEnd w:id="82"/>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0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06"/>
        <w:jc w:val="left"/>
        <w:spacing w:before="2" w:line="400" w:lineRule="exact"/>
        <w:rPr>
          <w:rFonts w:ascii="宋体" w:hAnsi="宋体"/>
          <w:color w:val="000000"/>
          <w:sz w:val="24"/>
          <w:szCs w:val="24"/>
          <w:highlight w:val="none"/>
        </w:rPr>
      </w:pPr>
      <w:r>
        <w:rPr>
          <w:rFonts w:ascii="宋体" w:hAnsi="宋体"/>
          <w:color w:val="000000"/>
          <w:sz w:val="24"/>
          <w:szCs w:val="24"/>
          <w:highlight w:val="none"/>
        </w:rPr>
      </w:r>
      <w:r/>
    </w:p>
    <w:p>
      <w:pPr>
        <w:pStyle w:val="706"/>
        <w:ind w:right="150"/>
        <w:jc w:val="right"/>
        <w:spacing w:line="400" w:lineRule="exact"/>
        <w:rPr>
          <w:rFonts w:ascii="宋体" w:hAnsi="宋体"/>
          <w:color w:val="000000"/>
          <w:sz w:val="24"/>
          <w:szCs w:val="24"/>
          <w:highlight w:val="none"/>
        </w:rPr>
      </w:pPr>
      <w:r>
        <w:rPr>
          <w:rFonts w:ascii="宋体" w:hAnsi="宋体"/>
          <w:color w:val="000000"/>
          <w:sz w:val="24"/>
          <w:szCs w:val="24"/>
          <w:highlight w:val="none"/>
        </w:rPr>
        <w:t xml:space="preserve">单位</w:t>
      </w:r>
      <w:r>
        <w:rPr>
          <w:rFonts w:hint="eastAsia" w:ascii="宋体" w:hAnsi="宋体"/>
          <w:color w:val="000000"/>
          <w:sz w:val="24"/>
          <w:szCs w:val="24"/>
          <w:highlight w:val="none"/>
        </w:rPr>
        <w:t xml:space="preserve">名称（盖章）：</w:t>
      </w:r>
      <w:r>
        <w:rPr>
          <w:rFonts w:ascii="宋体" w:hAnsi="宋体"/>
          <w:color w:val="000000"/>
          <w:sz w:val="24"/>
          <w:szCs w:val="24"/>
          <w:highlight w:val="none"/>
        </w:rPr>
      </w:r>
      <w:r/>
    </w:p>
    <w:p>
      <w:pPr>
        <w:pStyle w:val="706"/>
        <w:ind w:right="9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706"/>
        <w:jc w:val="center"/>
        <w:spacing w:line="400" w:lineRule="exact"/>
        <w:rPr>
          <w:rFonts w:ascii="仿宋" w:hAnsi="仿宋" w:eastAsia="仿宋" w:cs="仿宋"/>
          <w:b/>
          <w:bCs/>
          <w:color w:val="000000"/>
          <w:sz w:val="24"/>
          <w:szCs w:val="24"/>
          <w:highlight w:val="none"/>
        </w:rPr>
      </w:pPr>
      <w:r/>
      <w:bookmarkEnd w:id="80"/>
      <w:r/>
      <w:bookmarkEnd w:id="81"/>
      <w:r>
        <w:rPr>
          <w:rFonts w:ascii="仿宋" w:hAnsi="仿宋" w:eastAsia="仿宋" w:cs="仿宋"/>
          <w:b/>
          <w:bCs/>
          <w:color w:val="000000"/>
          <w:sz w:val="24"/>
          <w:szCs w:val="24"/>
          <w:highlight w:val="none"/>
        </w:rPr>
      </w:r>
      <w:r/>
    </w:p>
    <w:p>
      <w:pPr>
        <w:pStyle w:val="706"/>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06"/>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06"/>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706"/>
        <w:spacing w:line="440" w:lineRule="exact"/>
        <w:rPr>
          <w:rFonts w:ascii="仿宋" w:hAnsi="仿宋" w:eastAsia="仿宋" w:cs="仿宋"/>
          <w:b/>
          <w:bCs/>
          <w:color w:val="000000"/>
          <w:sz w:val="24"/>
          <w:szCs w:val="24"/>
          <w:highlight w:val="none"/>
        </w:rPr>
      </w:pPr>
      <w:r>
        <w:rPr>
          <w:rFonts w:hint="eastAsia" w:ascii="宋体" w:hAnsi="宋体"/>
          <w:b/>
          <w:color w:val="000000"/>
          <w:sz w:val="28"/>
          <w:szCs w:val="28"/>
          <w:highlight w:val="none"/>
        </w:rPr>
        <w:t xml:space="preserve">3．属于监狱企业的证明文件</w:t>
      </w:r>
      <w:r>
        <w:rPr>
          <w:rFonts w:ascii="仿宋" w:hAnsi="仿宋" w:eastAsia="仿宋" w:cs="仿宋"/>
          <w:b/>
          <w:bCs/>
          <w:color w:val="000000"/>
          <w:sz w:val="24"/>
          <w:szCs w:val="24"/>
          <w:highlight w:val="none"/>
        </w:rPr>
      </w:r>
      <w:r/>
    </w:p>
    <w:p>
      <w:pPr>
        <w:pStyle w:val="706"/>
        <w:jc w:val="left"/>
        <w:rPr>
          <w:rFonts w:ascii="Calibri" w:hAnsi="Calibri"/>
          <w:color w:val="000000"/>
          <w:sz w:val="22"/>
          <w:szCs w:val="22"/>
          <w:highlight w:val="none"/>
        </w:rPr>
      </w:pPr>
      <w:r>
        <w:rPr>
          <w:rFonts w:ascii="Calibri" w:hAnsi="Calibri"/>
          <w:color w:val="000000"/>
          <w:sz w:val="22"/>
          <w:szCs w:val="22"/>
          <w:highlight w:val="none"/>
        </w:rPr>
      </w:r>
      <w:r/>
    </w:p>
    <w:p>
      <w:pPr>
        <w:pStyle w:val="706"/>
        <w:jc w:val="center"/>
        <w:spacing w:line="40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属于监狱企业的证明文件</w:t>
      </w:r>
      <w:r>
        <w:rPr>
          <w:rFonts w:ascii="宋体" w:hAnsi="宋体" w:cs="仿宋"/>
          <w:b/>
          <w:bCs/>
          <w:color w:val="000000"/>
          <w:sz w:val="28"/>
          <w:szCs w:val="28"/>
          <w:highlight w:val="none"/>
        </w:rPr>
      </w:r>
      <w:r/>
    </w:p>
    <w:p>
      <w:pPr>
        <w:pStyle w:val="706"/>
        <w:jc w:val="left"/>
        <w:spacing w:line="400" w:lineRule="exact"/>
        <w:widowControl/>
        <w:rPr>
          <w:rFonts w:ascii="Calibri" w:hAnsi="Calibri"/>
          <w:color w:val="000000"/>
          <w:sz w:val="24"/>
          <w:szCs w:val="24"/>
          <w:highlight w:val="none"/>
        </w:rPr>
      </w:pPr>
      <w:r>
        <w:rPr>
          <w:rFonts w:ascii="Calibri" w:hAnsi="Calibri"/>
          <w:color w:val="000000"/>
          <w:sz w:val="24"/>
          <w:szCs w:val="24"/>
          <w:highlight w:val="none"/>
        </w:rPr>
      </w:r>
      <w:r/>
    </w:p>
    <w:p>
      <w:pPr>
        <w:pStyle w:val="706"/>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提供由省级以上监狱管理局、戒毒管理局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含新疆生产建设兵团</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出具的属于监狱企业的证明文件</w:t>
      </w:r>
      <w:r>
        <w:rPr>
          <w:rFonts w:hint="eastAsia" w:ascii="宋体" w:hAnsi="宋体"/>
          <w:color w:val="000000"/>
          <w:sz w:val="24"/>
          <w:szCs w:val="24"/>
          <w:highlight w:val="none"/>
        </w:rPr>
        <w:t xml:space="preserve">，监狱企业标准请参照《关于政府采购支持监狱企业发展有关问题的通知》（</w:t>
      </w:r>
      <w:r>
        <w:rPr>
          <w:rFonts w:ascii="宋体" w:hAnsi="宋体"/>
          <w:color w:val="000000"/>
          <w:sz w:val="24"/>
          <w:szCs w:val="24"/>
          <w:highlight w:val="none"/>
        </w:rPr>
        <w:t xml:space="preserve">财库</w:t>
      </w:r>
      <w:bookmarkStart w:id="83" w:name="_Hlk109220782"/>
      <w:r>
        <w:rPr>
          <w:rFonts w:ascii="宋体" w:hAnsi="宋体"/>
          <w:color w:val="000000"/>
          <w:sz w:val="24"/>
          <w:szCs w:val="24"/>
          <w:highlight w:val="none"/>
        </w:rPr>
        <w:t xml:space="preserve">〔2014〕</w:t>
      </w:r>
      <w:bookmarkEnd w:id="83"/>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06"/>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706"/>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70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706"/>
        <w:jc w:val="left"/>
        <w:spacing w:line="360" w:lineRule="auto"/>
        <w:widowControl/>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r>
      <w:r/>
    </w:p>
    <w:p>
      <w:pPr>
        <w:pStyle w:val="706"/>
        <w:jc w:val="left"/>
        <w:spacing w:line="360" w:lineRule="auto"/>
        <w:widowControl/>
        <w:rPr>
          <w:rFonts w:hint="eastAsia" w:ascii="宋体" w:hAnsi="宋体" w:cs="宋体"/>
          <w:b/>
          <w:bCs/>
          <w:color w:val="000000"/>
          <w:sz w:val="28"/>
          <w:szCs w:val="28"/>
          <w:highlight w:val="none"/>
        </w:rPr>
        <w:outlineLvl w:val="9"/>
      </w:pPr>
      <w:r>
        <w:rPr>
          <w:rFonts w:hint="eastAsia" w:ascii="宋体" w:hAnsi="宋体" w:cs="宋体"/>
          <w:b/>
          <w:bCs/>
          <w:color w:val="000000"/>
          <w:sz w:val="28"/>
          <w:szCs w:val="28"/>
          <w:highlight w:val="none"/>
        </w:rPr>
      </w:r>
      <w:r/>
    </w:p>
    <w:p>
      <w:pPr>
        <w:pStyle w:val="706"/>
        <w:jc w:val="left"/>
        <w:spacing w:line="360" w:lineRule="auto"/>
        <w:widowControl/>
        <w:rPr>
          <w:rFonts w:hint="eastAsia" w:ascii="宋体" w:hAnsi="宋体" w:cs="宋体"/>
          <w:b/>
          <w:color w:val="000000"/>
          <w:sz w:val="24"/>
          <w:szCs w:val="24"/>
          <w:highlight w:val="none"/>
          <w:lang w:val="zh-CN"/>
        </w:rPr>
        <w:outlineLvl w:val="1"/>
      </w:pPr>
      <w:r/>
      <w:bookmarkStart w:id="84" w:name="_Toc12592"/>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lang w:val="zh-CN"/>
        </w:rPr>
        <w:t xml:space="preserve">、南京市政府采购供应商信用记录表暨信用承诺书</w:t>
      </w:r>
      <w:bookmarkEnd w:id="84"/>
      <w:r>
        <w:rPr>
          <w:rFonts w:hint="eastAsia" w:ascii="宋体" w:hAnsi="宋体" w:cs="宋体"/>
          <w:b/>
          <w:color w:val="000000"/>
          <w:sz w:val="24"/>
          <w:szCs w:val="24"/>
          <w:highlight w:val="none"/>
          <w:lang w:val="zh-CN"/>
        </w:rPr>
      </w:r>
      <w:r/>
    </w:p>
    <w:p>
      <w:pPr>
        <w:pStyle w:val="706"/>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《南京市政府采购供应商信用记录表暨信用承诺书》</w:t>
      </w:r>
      <w:r>
        <w:rPr>
          <w:rFonts w:ascii="宋体" w:hAnsi="宋体" w:cs="宋体"/>
          <w:b/>
          <w:bCs/>
          <w:color w:val="000000"/>
          <w:sz w:val="28"/>
          <w:szCs w:val="28"/>
          <w:highlight w:val="none"/>
          <w:lang w:val="zh-CN"/>
        </w:rPr>
      </w:r>
      <w:r/>
    </w:p>
    <w:p>
      <w:pPr>
        <w:pStyle w:val="70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在线打印</w:t>
      </w:r>
      <w:r>
        <w:rPr>
          <w:rFonts w:ascii="宋体" w:hAnsi="宋体"/>
          <w:color w:val="000000"/>
          <w:sz w:val="24"/>
          <w:szCs w:val="24"/>
          <w:highlight w:val="none"/>
        </w:rPr>
      </w:r>
      <w:r/>
    </w:p>
    <w:p>
      <w:pPr>
        <w:pStyle w:val="706"/>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（参考格式如下）</w:t>
      </w:r>
      <w:r>
        <w:rPr>
          <w:rFonts w:ascii="宋体" w:hAnsi="宋体"/>
          <w:color w:val="000000"/>
          <w:sz w:val="24"/>
          <w:szCs w:val="24"/>
          <w:highlight w:val="none"/>
        </w:rPr>
      </w:r>
      <w:r/>
    </w:p>
    <w:p>
      <w:pPr>
        <w:pStyle w:val="706"/>
        <w:jc w:val="right"/>
        <w:spacing w:line="400" w:lineRule="exact"/>
        <w:rPr>
          <w:rFonts w:ascii="仿宋" w:hAnsi="仿宋" w:eastAsia="仿宋"/>
          <w:color w:val="000000"/>
          <w:sz w:val="22"/>
          <w:szCs w:val="21"/>
          <w:highlight w:val="none"/>
          <w:lang w:eastAsia="en-US"/>
        </w:rPr>
      </w:pPr>
      <w:r>
        <w:rPr>
          <w:rFonts w:hint="eastAsia" w:ascii="仿宋" w:hAnsi="仿宋" w:eastAsia="仿宋"/>
          <w:color w:val="000000"/>
          <w:sz w:val="22"/>
          <w:szCs w:val="21"/>
          <w:highlight w:val="none"/>
          <w:lang w:eastAsia="en-US"/>
        </w:rPr>
        <w:t xml:space="preserve">二〇   年     月     日</w:t>
      </w:r>
      <w:r>
        <w:rPr>
          <w:rFonts w:ascii="仿宋" w:hAnsi="仿宋" w:eastAsia="仿宋"/>
          <w:color w:val="000000"/>
          <w:sz w:val="22"/>
          <w:szCs w:val="21"/>
          <w:highlight w:val="none"/>
          <w:lang w:eastAsia="en-US"/>
        </w:rPr>
      </w:r>
      <w:r/>
    </w:p>
    <w:p>
      <w:pPr>
        <w:pStyle w:val="706"/>
        <w:jc w:val="left"/>
        <w:rPr>
          <w:rFonts w:ascii="Calibri" w:hAnsi="Calibri"/>
          <w:color w:val="000000"/>
          <w:sz w:val="22"/>
          <w:szCs w:val="22"/>
          <w:highlight w:val="none"/>
          <w:lang w:eastAsia="en-US"/>
        </w:rPr>
      </w:pPr>
      <w:r>
        <w:rPr>
          <w:rFonts w:ascii="Calibri" w:hAnsi="Calibri"/>
          <w:color w:val="000000"/>
          <w:sz w:val="22"/>
          <w:szCs w:val="22"/>
          <w:highlight w:val="none"/>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06"/>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单位名称</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06"/>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06"/>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统一社会信用代码</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06"/>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06"/>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法定代表人</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06"/>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06"/>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联系人</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06"/>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706"/>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联系地址</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706"/>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706"/>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联系电话</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706"/>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1345"/>
        </w:trPr>
        <w:tc>
          <w:tcPr>
            <w:tcW w:w="1717" w:type="dxa"/>
            <w:vAlign w:val="center"/>
            <w:textDirection w:val="lrTb"/>
            <w:noWrap w:val="false"/>
          </w:tcPr>
          <w:p>
            <w:pPr>
              <w:pStyle w:val="706"/>
              <w:jc w:val="left"/>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诚信档案记录情况</w:t>
            </w:r>
            <w:r>
              <w:rPr>
                <w:rFonts w:ascii="仿宋" w:hAnsi="仿宋" w:eastAsia="仿宋"/>
                <w:color w:val="000000"/>
                <w:sz w:val="22"/>
                <w:szCs w:val="21"/>
                <w:highlight w:val="none"/>
                <w:lang w:eastAsia="en-US"/>
              </w:rPr>
            </w:r>
            <w:r/>
          </w:p>
        </w:tc>
        <w:tc>
          <w:tcPr>
            <w:gridSpan w:val="3"/>
            <w:tcW w:w="7981" w:type="dxa"/>
            <w:vAlign w:val="center"/>
            <w:textDirection w:val="lrTb"/>
            <w:noWrap w:val="false"/>
          </w:tcPr>
          <w:p>
            <w:pPr>
              <w:pStyle w:val="706"/>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863"/>
        </w:trPr>
        <w:tc>
          <w:tcPr>
            <w:tcW w:w="1717" w:type="dxa"/>
            <w:vAlign w:val="center"/>
            <w:textDirection w:val="lrTb"/>
            <w:noWrap w:val="false"/>
          </w:tcPr>
          <w:p>
            <w:pPr>
              <w:pStyle w:val="706"/>
              <w:jc w:val="center"/>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信用承诺</w:t>
            </w:r>
            <w:r>
              <w:rPr>
                <w:rFonts w:ascii="仿宋" w:hAnsi="仿宋" w:eastAsia="仿宋"/>
                <w:color w:val="000000"/>
                <w:sz w:val="22"/>
                <w:szCs w:val="21"/>
                <w:highlight w:val="none"/>
                <w:lang w:eastAsia="en-US"/>
              </w:rPr>
            </w:r>
            <w:r/>
          </w:p>
        </w:tc>
        <w:tc>
          <w:tcPr>
            <w:gridSpan w:val="3"/>
            <w:tcW w:w="7981" w:type="dxa"/>
            <w:vAlign w:val="top"/>
            <w:textDirection w:val="lrTb"/>
            <w:noWrap w:val="false"/>
          </w:tcPr>
          <w:p>
            <w:pPr>
              <w:pStyle w:val="706"/>
              <w:ind w:firstLine="440"/>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06"/>
              <w:ind w:firstLine="440"/>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highlight w:val="none"/>
              </w:rPr>
            </w:r>
            <w:r/>
          </w:p>
          <w:p>
            <w:pPr>
              <w:pStyle w:val="706"/>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706"/>
              <w:jc w:val="left"/>
              <w:spacing w:line="400" w:lineRule="exact"/>
              <w:rPr>
                <w:rFonts w:hint="eastAsia" w:ascii="仿宋" w:hAnsi="仿宋" w:eastAsia="仿宋"/>
                <w:color w:val="000000"/>
                <w:sz w:val="22"/>
                <w:szCs w:val="21"/>
                <w:highlight w:val="none"/>
              </w:rPr>
            </w:pPr>
            <w:r>
              <w:rPr>
                <w:rFonts w:hint="eastAsia" w:ascii="仿宋" w:hAnsi="仿宋" w:eastAsia="仿宋"/>
                <w:color w:val="000000"/>
                <w:sz w:val="22"/>
                <w:szCs w:val="21"/>
                <w:highlight w:val="none"/>
              </w:rPr>
            </w:r>
            <w:r/>
          </w:p>
          <w:p>
            <w:pPr>
              <w:pStyle w:val="706"/>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供应商名称（盖章）：</w:t>
            </w:r>
            <w:r>
              <w:rPr>
                <w:rFonts w:ascii="仿宋" w:hAnsi="仿宋" w:eastAsia="仿宋"/>
                <w:color w:val="000000"/>
                <w:sz w:val="22"/>
                <w:szCs w:val="21"/>
                <w:highlight w:val="none"/>
              </w:rPr>
            </w:r>
            <w:r/>
          </w:p>
          <w:p>
            <w:pPr>
              <w:pStyle w:val="706"/>
              <w:jc w:val="left"/>
              <w:spacing w:line="400" w:lineRule="exact"/>
              <w:rPr>
                <w:rFonts w:ascii="仿宋" w:hAnsi="仿宋" w:eastAsia="仿宋"/>
                <w:color w:val="000000"/>
                <w:sz w:val="22"/>
                <w:szCs w:val="22"/>
                <w:highlight w:val="none"/>
              </w:rPr>
            </w:pPr>
            <w:r>
              <w:rPr>
                <w:rFonts w:hint="eastAsia" w:ascii="仿宋" w:hAnsi="仿宋" w:eastAsia="仿宋"/>
                <w:color w:val="000000"/>
                <w:sz w:val="22"/>
                <w:szCs w:val="21"/>
                <w:highlight w:val="none"/>
              </w:rPr>
              <w:t xml:space="preserve">法定代表人（签字）：</w:t>
            </w:r>
            <w:r>
              <w:rPr>
                <w:rFonts w:ascii="仿宋" w:hAnsi="仿宋" w:eastAsia="仿宋"/>
                <w:color w:val="000000"/>
                <w:sz w:val="22"/>
                <w:szCs w:val="22"/>
                <w:highlight w:val="none"/>
              </w:rPr>
            </w:r>
            <w:r/>
          </w:p>
        </w:tc>
      </w:tr>
    </w:tbl>
    <w:p>
      <w:pPr>
        <w:pStyle w:val="706"/>
        <w:ind w:firstLine="4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注：供应商参加本次政府采购活动时，在采购文件发布之日起至递交响应文件截止日前，应登录【</w:t>
      </w:r>
      <w:r>
        <w:rPr>
          <w:rFonts w:ascii="Calibri" w:hAnsi="Calibri"/>
          <w:b/>
          <w:bCs/>
          <w:color w:val="000000"/>
          <w:sz w:val="22"/>
          <w:szCs w:val="22"/>
          <w:highlight w:val="none"/>
          <w:lang w:eastAsia="en-US"/>
        </w:rPr>
        <w:fldChar w:fldCharType="begin"/>
      </w:r>
      <w:r>
        <w:rPr>
          <w:rFonts w:ascii="Calibri" w:hAnsi="Calibri"/>
          <w:b/>
          <w:bCs/>
          <w:color w:val="000000"/>
          <w:sz w:val="22"/>
          <w:szCs w:val="22"/>
          <w:highlight w:val="none"/>
        </w:rPr>
        <w:instrText xml:space="preserve"> HYPERLINK "http://180.101.238.212:8280/hodeframe2018_cxda/index.action;jsessionid=3CB06119C93D950CE8917FD0D0AEB15C" </w:instrText>
      </w:r>
      <w:r>
        <w:rPr>
          <w:rFonts w:ascii="Calibri" w:hAnsi="Calibri"/>
          <w:b/>
          <w:bCs/>
          <w:color w:val="000000"/>
          <w:sz w:val="22"/>
          <w:szCs w:val="22"/>
          <w:highlight w:val="none"/>
          <w:lang w:eastAsia="en-US"/>
        </w:rPr>
        <w:fldChar w:fldCharType="separate"/>
      </w:r>
      <w:r>
        <w:rPr>
          <w:rFonts w:hint="eastAsia" w:ascii="宋体" w:hAnsi="宋体"/>
          <w:b/>
          <w:bCs/>
          <w:color w:val="000000"/>
          <w:sz w:val="24"/>
          <w:szCs w:val="24"/>
          <w:highlight w:val="none"/>
        </w:rPr>
        <w:t xml:space="preserve">南京市政府采购供应商诚信档案管理系统</w:t>
      </w:r>
      <w:r>
        <w:rPr>
          <w:rFonts w:hint="eastAsia" w:ascii="宋体" w:hAnsi="宋体"/>
          <w:b/>
          <w:bCs/>
          <w:color w:val="000000"/>
          <w:sz w:val="24"/>
          <w:szCs w:val="24"/>
          <w:highlight w:val="none"/>
          <w:lang w:eastAsia="en-US"/>
        </w:rPr>
        <w:fldChar w:fldCharType="end"/>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在线打印</w:t>
      </w:r>
      <w:r>
        <w:rPr>
          <w:rFonts w:hint="eastAsia" w:ascii="宋体" w:hAnsi="宋体"/>
          <w:b/>
          <w:bCs/>
          <w:color w:val="000000"/>
          <w:sz w:val="24"/>
          <w:szCs w:val="24"/>
          <w:highlight w:val="none"/>
        </w:rPr>
        <w:t xml:space="preserve">“南京市政府采购供应商信用记录表暨信用承诺书”，经</w:t>
      </w:r>
      <w:r>
        <w:rPr>
          <w:rFonts w:hint="eastAsia" w:ascii="宋体" w:hAnsi="宋体"/>
          <w:b/>
          <w:bCs/>
          <w:color w:val="000000"/>
          <w:sz w:val="24"/>
          <w:szCs w:val="24"/>
          <w:highlight w:val="none"/>
          <w:u w:val="single"/>
        </w:rPr>
        <w:t xml:space="preserve">法定代表人签名盖章</w:t>
      </w:r>
      <w:r>
        <w:rPr>
          <w:rFonts w:hint="eastAsia" w:ascii="宋体" w:hAnsi="宋体"/>
          <w:b/>
          <w:bCs/>
          <w:color w:val="000000"/>
          <w:sz w:val="24"/>
          <w:szCs w:val="24"/>
          <w:highlight w:val="none"/>
        </w:rPr>
        <w:t xml:space="preserve">后作为响应文件的组成部分。“南京市政府采购供应商信用记录表暨信用承诺书”是其参加本次政府采购活动的必备材料。</w:t>
      </w:r>
      <w:r>
        <w:rPr>
          <w:rFonts w:ascii="宋体" w:hAnsi="宋体"/>
          <w:b/>
          <w:bCs/>
          <w:color w:val="000000"/>
          <w:sz w:val="24"/>
          <w:szCs w:val="24"/>
          <w:highlight w:val="none"/>
        </w:rPr>
      </w:r>
      <w:r/>
    </w:p>
    <w:p>
      <w:pPr>
        <w:pStyle w:val="706"/>
        <w:jc w:val="left"/>
        <w:spacing w:line="360" w:lineRule="auto"/>
        <w:widowControl/>
        <w:rPr>
          <w:rFonts w:hint="eastAsia" w:ascii="宋体" w:hAnsi="宋体" w:cs="宋体"/>
          <w:b/>
          <w:color w:val="000000"/>
          <w:sz w:val="24"/>
          <w:szCs w:val="24"/>
          <w:highlight w:val="none"/>
          <w:lang w:val="zh-CN"/>
        </w:rPr>
        <w:outlineLvl w:val="1"/>
      </w:pPr>
      <w:r/>
      <w:bookmarkStart w:id="85" w:name="_Toc17074"/>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lang w:val="zh-CN"/>
        </w:rPr>
        <w:t xml:space="preserve">、</w:t>
      </w:r>
      <w:bookmarkStart w:id="86" w:name="_Hlk108563738"/>
      <w:r>
        <w:rPr>
          <w:rFonts w:hint="eastAsia" w:ascii="宋体" w:hAnsi="宋体" w:cs="宋体"/>
          <w:b/>
          <w:color w:val="000000"/>
          <w:sz w:val="24"/>
          <w:szCs w:val="24"/>
          <w:highlight w:val="none"/>
          <w:lang w:val="zh-CN"/>
        </w:rPr>
        <w:t xml:space="preserve">供应商资格承诺声明函</w:t>
      </w:r>
      <w:bookmarkEnd w:id="85"/>
      <w:r>
        <w:rPr>
          <w:rFonts w:hint="eastAsia" w:ascii="宋体" w:hAnsi="宋体" w:cs="宋体"/>
          <w:b/>
          <w:color w:val="000000"/>
          <w:sz w:val="24"/>
          <w:szCs w:val="24"/>
          <w:highlight w:val="none"/>
          <w:lang w:val="zh-CN"/>
        </w:rPr>
      </w:r>
      <w:r/>
    </w:p>
    <w:p>
      <w:pPr>
        <w:pStyle w:val="706"/>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供应商资格承诺声明函</w:t>
      </w:r>
      <w:bookmarkEnd w:id="76"/>
      <w:r>
        <w:rPr>
          <w:rFonts w:ascii="宋体" w:hAnsi="宋体" w:cs="宋体"/>
          <w:b/>
          <w:bCs/>
          <w:color w:val="000000"/>
          <w:sz w:val="28"/>
          <w:szCs w:val="28"/>
          <w:highlight w:val="none"/>
          <w:lang w:val="zh-CN"/>
        </w:rPr>
      </w:r>
      <w:r/>
    </w:p>
    <w:p>
      <w:pPr>
        <w:pStyle w:val="706"/>
        <w:jc w:val="left"/>
        <w:spacing w:line="360" w:lineRule="exact"/>
        <w:rPr>
          <w:rFonts w:hint="eastAsia" w:ascii="宋体" w:hAnsi="宋体"/>
          <w:color w:val="000000"/>
          <w:sz w:val="22"/>
          <w:szCs w:val="21"/>
          <w:highlight w:val="none"/>
        </w:rPr>
      </w:pPr>
      <w:r/>
      <w:bookmarkStart w:id="87" w:name="_Hlk94112054"/>
      <w:r>
        <w:rPr>
          <w:rFonts w:hint="eastAsia" w:ascii="宋体" w:hAnsi="宋体"/>
          <w:color w:val="000000"/>
          <w:sz w:val="22"/>
          <w:szCs w:val="21"/>
          <w:highlight w:val="none"/>
        </w:rPr>
        <w:t xml:space="preserve">致：</w:t>
      </w:r>
      <w:bookmarkEnd w:id="87"/>
      <w:r>
        <w:rPr>
          <w:rFonts w:hint="eastAsia" w:ascii="宋体" w:hAnsi="宋体"/>
          <w:color w:val="000000"/>
          <w:sz w:val="22"/>
          <w:szCs w:val="21"/>
          <w:highlight w:val="none"/>
          <w:u w:val="single"/>
        </w:rPr>
        <w:t xml:space="preserve">南京江北新区管理委员会教育局</w:t>
      </w:r>
      <w:r>
        <w:rPr>
          <w:rFonts w:hint="eastAsia"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ascii="宋体" w:hAnsi="宋体"/>
          <w:color w:val="000000"/>
          <w:sz w:val="22"/>
          <w:szCs w:val="21"/>
          <w:highlight w:val="none"/>
        </w:rPr>
        <w:t xml:space="preserve">在参与本次项目</w:t>
      </w:r>
      <w:r>
        <w:rPr>
          <w:rFonts w:hint="eastAsia" w:ascii="宋体" w:hAnsi="宋体"/>
          <w:color w:val="000000"/>
          <w:sz w:val="22"/>
          <w:szCs w:val="21"/>
          <w:highlight w:val="none"/>
        </w:rPr>
        <w:t xml:space="preserve">政府采购活动</w:t>
      </w:r>
      <w:r>
        <w:rPr>
          <w:rFonts w:ascii="宋体" w:hAnsi="宋体"/>
          <w:color w:val="000000"/>
          <w:sz w:val="22"/>
          <w:szCs w:val="21"/>
          <w:highlight w:val="none"/>
        </w:rPr>
        <w:t xml:space="preserve">中，</w:t>
      </w:r>
      <w:r>
        <w:rPr>
          <w:rFonts w:hint="eastAsia" w:ascii="宋体" w:hAnsi="宋体"/>
          <w:color w:val="000000"/>
          <w:sz w:val="22"/>
          <w:szCs w:val="21"/>
          <w:highlight w:val="none"/>
        </w:rPr>
        <w:t xml:space="preserve">我公司</w:t>
      </w:r>
      <w:r>
        <w:rPr>
          <w:rFonts w:hint="eastAsia" w:ascii="宋体" w:hAnsi="宋体"/>
          <w:color w:val="000000"/>
          <w:sz w:val="22"/>
          <w:szCs w:val="21"/>
          <w:highlight w:val="none"/>
          <w:u w:val="single"/>
        </w:rPr>
        <w:t xml:space="preserve">        </w:t>
      </w:r>
      <w:r>
        <w:rPr>
          <w:rFonts w:hint="eastAsia" w:ascii="宋体" w:hAnsi="宋体"/>
          <w:color w:val="000000"/>
          <w:sz w:val="22"/>
          <w:szCs w:val="21"/>
          <w:highlight w:val="none"/>
        </w:rPr>
        <w:t xml:space="preserve">（供应商名称）郑重承诺：我公司符合下列要求：</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（一）</w:t>
      </w:r>
      <w:r>
        <w:rPr>
          <w:rFonts w:ascii="宋体" w:hAnsi="宋体"/>
          <w:color w:val="000000"/>
          <w:sz w:val="22"/>
          <w:szCs w:val="21"/>
          <w:highlight w:val="none"/>
        </w:rPr>
        <w:t xml:space="preserve">具有良好的商业信誉和健全的财务会计制度；</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（二）</w:t>
      </w:r>
      <w:r>
        <w:rPr>
          <w:rFonts w:ascii="宋体" w:hAnsi="宋体"/>
          <w:color w:val="000000"/>
          <w:sz w:val="22"/>
          <w:szCs w:val="21"/>
          <w:highlight w:val="none"/>
        </w:rPr>
        <w:t xml:space="preserve">具有履行合同所必需的设备和专业技术能力；</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（三）</w:t>
      </w:r>
      <w:r>
        <w:rPr>
          <w:rFonts w:ascii="宋体" w:hAnsi="宋体"/>
          <w:color w:val="000000"/>
          <w:sz w:val="22"/>
          <w:szCs w:val="21"/>
          <w:highlight w:val="none"/>
        </w:rPr>
        <w:t xml:space="preserve">有依法缴纳税收和社会保障资金的良好记录；</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（四）</w:t>
      </w:r>
      <w:r>
        <w:rPr>
          <w:rFonts w:ascii="宋体" w:hAnsi="宋体"/>
          <w:color w:val="000000"/>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highlight w:val="none"/>
        </w:rPr>
        <w:t xml:space="preserve">2</w:t>
      </w:r>
      <w:r>
        <w:rPr>
          <w:rFonts w:ascii="宋体" w:hAnsi="宋体"/>
          <w:color w:val="000000"/>
          <w:sz w:val="22"/>
          <w:szCs w:val="21"/>
          <w:highlight w:val="none"/>
        </w:rPr>
        <w:t xml:space="preserve">00</w:t>
      </w:r>
      <w:r>
        <w:rPr>
          <w:rFonts w:hint="eastAsia" w:ascii="宋体" w:hAnsi="宋体"/>
          <w:color w:val="000000"/>
          <w:sz w:val="22"/>
          <w:szCs w:val="21"/>
          <w:highlight w:val="none"/>
        </w:rPr>
        <w:t xml:space="preserve">万元以上的</w:t>
      </w:r>
      <w:r>
        <w:rPr>
          <w:rFonts w:ascii="宋体" w:hAnsi="宋体"/>
          <w:color w:val="000000"/>
          <w:sz w:val="22"/>
          <w:szCs w:val="21"/>
          <w:highlight w:val="none"/>
        </w:rPr>
        <w:t xml:space="preserve">较大数额罚款</w:t>
      </w:r>
      <w:r>
        <w:rPr>
          <w:rFonts w:hint="eastAsia" w:ascii="宋体" w:hAnsi="宋体"/>
          <w:color w:val="000000"/>
          <w:sz w:val="22"/>
          <w:szCs w:val="21"/>
          <w:highlight w:val="none"/>
        </w:rPr>
        <w:t xml:space="preserve">等</w:t>
      </w:r>
      <w:r>
        <w:rPr>
          <w:rFonts w:ascii="宋体" w:hAnsi="宋体"/>
          <w:color w:val="000000"/>
          <w:sz w:val="22"/>
          <w:szCs w:val="21"/>
          <w:highlight w:val="none"/>
        </w:rPr>
        <w:t xml:space="preserve">行政处罚，不包括因违法经营被禁止在一定期限内参加政府采购活动，但期限已经届满的情形）</w:t>
      </w:r>
      <w:r>
        <w:rPr>
          <w:rFonts w:hint="eastAsia" w:ascii="宋体" w:hAnsi="宋体"/>
          <w:color w:val="000000"/>
          <w:sz w:val="22"/>
          <w:szCs w:val="21"/>
          <w:highlight w:val="none"/>
        </w:rPr>
        <w:t xml:space="preserve">；</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（五）</w:t>
      </w:r>
      <w:r>
        <w:rPr>
          <w:rFonts w:ascii="宋体" w:hAnsi="宋体"/>
          <w:color w:val="000000"/>
          <w:sz w:val="22"/>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（六）</w:t>
      </w:r>
      <w:r>
        <w:rPr>
          <w:rFonts w:ascii="宋体" w:hAnsi="宋体"/>
          <w:color w:val="000000"/>
          <w:sz w:val="22"/>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（七）我单位未被列入失信被执行人、重大税收违法案件当事人名单、政府采购严重违法失信行为记录名单；</w:t>
      </w:r>
      <w:r>
        <w:rPr>
          <w:rFonts w:ascii="宋体" w:hAnsi="宋体"/>
          <w:color w:val="000000"/>
          <w:sz w:val="22"/>
          <w:szCs w:val="21"/>
          <w:highlight w:val="none"/>
        </w:rPr>
      </w:r>
      <w:r/>
    </w:p>
    <w:p>
      <w:pPr>
        <w:pStyle w:val="706"/>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（八）</w:t>
      </w:r>
      <w:r>
        <w:rPr>
          <w:rFonts w:ascii="宋体" w:hAnsi="宋体"/>
          <w:color w:val="000000"/>
          <w:sz w:val="22"/>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序号</w:t>
            </w:r>
            <w:r>
              <w:rPr>
                <w:rFonts w:ascii="宋体" w:hAnsi="宋体"/>
                <w:color w:val="000000"/>
                <w:sz w:val="22"/>
                <w:szCs w:val="21"/>
                <w:highlight w:val="none"/>
                <w:lang w:eastAsia="en-US"/>
              </w:rPr>
            </w:r>
            <w:r/>
          </w:p>
        </w:tc>
        <w:tc>
          <w:tcPr>
            <w:tcW w:w="4574"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单位名称</w:t>
            </w:r>
            <w:r>
              <w:rPr>
                <w:rFonts w:ascii="宋体" w:hAnsi="宋体"/>
                <w:color w:val="000000"/>
                <w:sz w:val="22"/>
                <w:szCs w:val="21"/>
                <w:highlight w:val="none"/>
                <w:lang w:eastAsia="en-US"/>
              </w:rPr>
            </w:r>
            <w:r/>
          </w:p>
        </w:tc>
        <w:tc>
          <w:tcPr>
            <w:tcW w:w="2976"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相互关系</w:t>
            </w: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1</w:t>
            </w:r>
            <w:r>
              <w:rPr>
                <w:rFonts w:ascii="宋体" w:hAnsi="宋体"/>
                <w:color w:val="000000"/>
                <w:sz w:val="22"/>
                <w:szCs w:val="21"/>
                <w:highlight w:val="none"/>
                <w:lang w:eastAsia="en-US"/>
              </w:rPr>
            </w:r>
            <w:r/>
          </w:p>
        </w:tc>
        <w:tc>
          <w:tcPr>
            <w:tcW w:w="4574"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2</w:t>
            </w:r>
            <w:r>
              <w:rPr>
                <w:rFonts w:ascii="宋体" w:hAnsi="宋体"/>
                <w:color w:val="000000"/>
                <w:sz w:val="22"/>
                <w:szCs w:val="21"/>
                <w:highlight w:val="none"/>
                <w:lang w:eastAsia="en-US"/>
              </w:rPr>
            </w:r>
            <w:r/>
          </w:p>
        </w:tc>
        <w:tc>
          <w:tcPr>
            <w:tcW w:w="4574"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hint="eastAsia" w:ascii="宋体" w:hAnsi="宋体"/>
                <w:color w:val="000000"/>
                <w:sz w:val="22"/>
                <w:szCs w:val="21"/>
                <w:highlight w:val="none"/>
                <w:lang w:eastAsia="en-US"/>
              </w:rPr>
              <w:t xml:space="preserve">3</w:t>
            </w:r>
            <w:r>
              <w:rPr>
                <w:rFonts w:ascii="宋体" w:hAnsi="宋体"/>
                <w:color w:val="000000"/>
                <w:sz w:val="22"/>
                <w:szCs w:val="21"/>
                <w:highlight w:val="none"/>
                <w:lang w:eastAsia="en-US"/>
              </w:rPr>
            </w:r>
            <w:r/>
          </w:p>
        </w:tc>
        <w:tc>
          <w:tcPr>
            <w:tcW w:w="4574"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w:t>
            </w:r>
            <w:r>
              <w:rPr>
                <w:rFonts w:ascii="宋体" w:hAnsi="宋体"/>
                <w:color w:val="000000"/>
                <w:sz w:val="22"/>
                <w:szCs w:val="21"/>
                <w:highlight w:val="none"/>
                <w:lang w:eastAsia="en-US"/>
              </w:rPr>
            </w:r>
            <w:r/>
          </w:p>
        </w:tc>
        <w:tc>
          <w:tcPr>
            <w:tcW w:w="4574"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706"/>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706"/>
        <w:ind w:firstLine="440"/>
        <w:jc w:val="left"/>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p>
      <w:pPr>
        <w:pStyle w:val="706"/>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如果我公司成交，将在结果公告发布后</w:t>
      </w:r>
      <w:r>
        <w:rPr>
          <w:rFonts w:ascii="宋体" w:hAnsi="宋体"/>
          <w:color w:val="000000"/>
          <w:sz w:val="22"/>
          <w:szCs w:val="21"/>
          <w:highlight w:val="none"/>
        </w:rPr>
        <w:t xml:space="preserve">7</w:t>
      </w:r>
      <w:r>
        <w:rPr>
          <w:rFonts w:hint="eastAsia" w:ascii="宋体" w:hAnsi="宋体"/>
          <w:color w:val="000000"/>
          <w:sz w:val="22"/>
          <w:szCs w:val="21"/>
          <w:highlight w:val="none"/>
        </w:rPr>
        <w:t xml:space="preserve">个工作日内向（采购代理机构邮箱）提供下列材料核验：</w:t>
      </w:r>
      <w:r>
        <w:rPr>
          <w:rFonts w:ascii="宋体" w:hAnsi="宋体"/>
          <w:color w:val="000000"/>
          <w:sz w:val="22"/>
          <w:szCs w:val="21"/>
          <w:highlight w:val="none"/>
        </w:rPr>
      </w:r>
      <w:r/>
    </w:p>
    <w:p>
      <w:pPr>
        <w:pStyle w:val="706"/>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（1）2024年经审计的财务报告或2024年财务报表，或响应文件提交截止时间前六个月内银行出具的资信证明，成立不满一年无需提供；</w:t>
      </w:r>
      <w:r>
        <w:rPr>
          <w:rFonts w:hint="eastAsia" w:ascii="宋体" w:hAnsi="宋体"/>
          <w:color w:val="000000"/>
          <w:sz w:val="22"/>
          <w:szCs w:val="21"/>
          <w:highlight w:val="none"/>
        </w:rPr>
      </w:r>
      <w:r/>
    </w:p>
    <w:p>
      <w:pPr>
        <w:pStyle w:val="706"/>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（2）参加本次政府采购活动前半年内至少一个月：</w:t>
      </w:r>
      <w:r>
        <w:rPr>
          <w:rFonts w:hint="eastAsia" w:ascii="宋体" w:hAnsi="宋体"/>
          <w:color w:val="000000"/>
          <w:sz w:val="22"/>
          <w:szCs w:val="21"/>
          <w:highlight w:val="none"/>
        </w:rPr>
      </w:r>
      <w:r/>
    </w:p>
    <w:p>
      <w:pPr>
        <w:pStyle w:val="706"/>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highlight w:val="none"/>
        </w:rPr>
      </w:r>
      <w:r/>
    </w:p>
    <w:p>
      <w:pPr>
        <w:pStyle w:val="706"/>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（3）履行合同所必需的设备和专业技术能力的书面声明、证明材料；</w:t>
      </w:r>
      <w:r>
        <w:rPr>
          <w:rFonts w:ascii="宋体" w:hAnsi="宋体"/>
          <w:color w:val="000000"/>
          <w:sz w:val="22"/>
          <w:szCs w:val="21"/>
          <w:highlight w:val="none"/>
        </w:rPr>
      </w:r>
      <w:r/>
    </w:p>
    <w:p>
      <w:pPr>
        <w:pStyle w:val="706"/>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（4）参加本次政府采购活动前3年内在经营活动中没有重大违法记录的书面声明。</w:t>
      </w:r>
      <w:r>
        <w:rPr>
          <w:rFonts w:ascii="宋体" w:hAnsi="宋体"/>
          <w:color w:val="000000"/>
          <w:sz w:val="22"/>
          <w:szCs w:val="21"/>
          <w:highlight w:val="none"/>
        </w:rPr>
      </w:r>
      <w:r/>
    </w:p>
    <w:p>
      <w:pPr>
        <w:pStyle w:val="706"/>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本公司对上述承诺的真实性负责，如有虚假，将依法承担相应责任。</w:t>
      </w:r>
      <w:r>
        <w:rPr>
          <w:rFonts w:ascii="宋体" w:hAnsi="宋体"/>
          <w:color w:val="000000"/>
          <w:sz w:val="22"/>
          <w:szCs w:val="21"/>
          <w:highlight w:val="none"/>
        </w:rPr>
      </w:r>
      <w:r/>
    </w:p>
    <w:p>
      <w:pPr>
        <w:pStyle w:val="706"/>
        <w:jc w:val="left"/>
        <w:spacing w:line="360" w:lineRule="exact"/>
        <w:rPr>
          <w:rFonts w:ascii="宋体" w:hAnsi="宋体"/>
          <w:color w:val="000000"/>
          <w:sz w:val="22"/>
          <w:szCs w:val="21"/>
          <w:highlight w:val="none"/>
        </w:rPr>
      </w:pPr>
      <w:r>
        <w:rPr>
          <w:rFonts w:ascii="宋体" w:hAnsi="宋体"/>
          <w:color w:val="000000"/>
          <w:sz w:val="22"/>
          <w:szCs w:val="21"/>
          <w:highlight w:val="none"/>
        </w:rPr>
      </w:r>
      <w:r/>
    </w:p>
    <w:p>
      <w:pPr>
        <w:pStyle w:val="706"/>
        <w:ind w:right="1480"/>
        <w:jc w:val="left"/>
        <w:spacing w:before="25" w:after="25" w:line="360" w:lineRule="exact"/>
        <w:rPr>
          <w:rFonts w:ascii="宋体" w:hAnsi="宋体"/>
          <w:color w:val="000000"/>
          <w:sz w:val="22"/>
          <w:szCs w:val="21"/>
          <w:highlight w:val="none"/>
        </w:rPr>
      </w:pPr>
      <w:r/>
      <w:bookmarkEnd w:id="75"/>
      <w:r>
        <w:rPr>
          <w:rFonts w:ascii="宋体" w:hAnsi="宋体"/>
          <w:color w:val="000000"/>
          <w:sz w:val="22"/>
          <w:szCs w:val="21"/>
          <w:highlight w:val="none"/>
        </w:rPr>
        <w:t xml:space="preserve">供应商名称（加盖公章）</w:t>
      </w:r>
      <w:r>
        <w:rPr>
          <w:rFonts w:ascii="宋体" w:hAnsi="宋体"/>
          <w:color w:val="000000"/>
          <w:sz w:val="22"/>
          <w:szCs w:val="21"/>
          <w:highlight w:val="none"/>
          <w:lang w:val="zh-CN"/>
        </w:rPr>
        <w:t xml:space="preserve">：</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r>
      <w:r/>
    </w:p>
    <w:p>
      <w:pPr>
        <w:pStyle w:val="706"/>
        <w:ind w:right="1120"/>
        <w:spacing w:line="360" w:lineRule="exact"/>
        <w:rPr>
          <w:rFonts w:ascii="宋体" w:hAnsi="宋体"/>
          <w:color w:val="000000"/>
          <w:sz w:val="22"/>
          <w:szCs w:val="21"/>
          <w:highlight w:val="none"/>
        </w:rPr>
      </w:pPr>
      <w:r/>
      <w:bookmarkStart w:id="88" w:name="_Hlk112322441"/>
      <w:r>
        <w:rPr>
          <w:rFonts w:hint="eastAsia" w:ascii="宋体" w:hAnsi="宋体"/>
          <w:color w:val="000000"/>
          <w:sz w:val="22"/>
          <w:szCs w:val="21"/>
          <w:highlight w:val="none"/>
        </w:rPr>
        <w:t xml:space="preserve">供应商授权代表（签字）：</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bookmarkEnd w:id="88"/>
      <w:r>
        <w:rPr>
          <w:rFonts w:ascii="宋体" w:hAnsi="宋体"/>
          <w:color w:val="000000"/>
          <w:sz w:val="22"/>
          <w:szCs w:val="21"/>
          <w:highlight w:val="none"/>
        </w:rPr>
      </w:r>
      <w:r/>
    </w:p>
    <w:p>
      <w:pPr>
        <w:pStyle w:val="706"/>
        <w:ind w:right="1480"/>
        <w:spacing w:line="360" w:lineRule="exact"/>
        <w:rPr>
          <w:rFonts w:ascii="Arial" w:hAnsi="Arial" w:eastAsia="黑体"/>
          <w:color w:val="000000"/>
          <w:sz w:val="24"/>
          <w:szCs w:val="24"/>
          <w:highlight w:val="none"/>
        </w:rPr>
      </w:pPr>
      <w:r>
        <w:rPr>
          <w:rFonts w:ascii="宋体" w:hAnsi="宋体"/>
          <w:color w:val="000000"/>
          <w:sz w:val="22"/>
          <w:szCs w:val="21"/>
          <w:highlight w:val="none"/>
        </w:rPr>
        <w:t xml:space="preserve">日期：</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年</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月</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日</w:t>
      </w:r>
      <w:bookmarkEnd w:id="86"/>
      <w:r>
        <w:rPr>
          <w:rFonts w:ascii="Arial" w:hAnsi="Arial" w:eastAsia="黑体"/>
          <w:color w:val="000000"/>
          <w:sz w:val="24"/>
          <w:szCs w:val="24"/>
          <w:highlight w:val="none"/>
        </w:rPr>
        <w:t xml:space="preserve"> </w:t>
      </w:r>
      <w:r>
        <w:rPr>
          <w:rFonts w:ascii="Arial" w:hAnsi="Arial" w:eastAsia="黑体"/>
          <w:color w:val="000000"/>
          <w:sz w:val="24"/>
          <w:szCs w:val="24"/>
          <w:highlight w:val="none"/>
        </w:rPr>
      </w:r>
      <w:r/>
    </w:p>
    <w:p>
      <w:pPr>
        <w:pStyle w:val="706"/>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06"/>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06"/>
        <w:jc w:val="left"/>
        <w:spacing w:line="360" w:lineRule="auto"/>
        <w:widowControl/>
        <w:rPr>
          <w:rFonts w:ascii="宋体" w:hAnsi="宋体" w:cs="宋体"/>
          <w:color w:val="000000"/>
          <w:sz w:val="24"/>
          <w:szCs w:val="24"/>
          <w:highlight w:val="none"/>
        </w:rPr>
        <w:outlineLvl w:val="9"/>
      </w:pPr>
      <w:r>
        <w:rPr>
          <w:rFonts w:ascii="宋体" w:hAnsi="宋体" w:cs="宋体"/>
          <w:color w:val="000000"/>
          <w:sz w:val="24"/>
          <w:szCs w:val="24"/>
          <w:highlight w:val="none"/>
        </w:rPr>
      </w:r>
      <w:r/>
    </w:p>
    <w:p>
      <w:pPr>
        <w:pStyle w:val="706"/>
        <w:jc w:val="left"/>
        <w:spacing w:line="360" w:lineRule="auto"/>
        <w:widowControl/>
        <w:rPr>
          <w:rFonts w:ascii="宋体" w:hAnsi="宋体" w:cs="宋体"/>
          <w:b/>
          <w:color w:val="000000"/>
          <w:sz w:val="24"/>
          <w:szCs w:val="24"/>
          <w:highlight w:val="none"/>
          <w:lang w:val="zh-CN"/>
        </w:rPr>
        <w:outlineLvl w:val="1"/>
      </w:pPr>
      <w:r/>
      <w:bookmarkStart w:id="89" w:name="_Toc2763"/>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五</w:t>
      </w:r>
      <w:r>
        <w:rPr>
          <w:rFonts w:hint="eastAsia" w:ascii="宋体" w:hAnsi="宋体" w:cs="宋体"/>
          <w:b/>
          <w:color w:val="000000"/>
          <w:sz w:val="24"/>
          <w:szCs w:val="24"/>
          <w:highlight w:val="none"/>
          <w:lang w:val="zh-CN"/>
        </w:rPr>
        <w:t xml:space="preserve">、联合体协议</w:t>
      </w:r>
      <w:bookmarkEnd w:id="89"/>
      <w:r>
        <w:rPr>
          <w:rFonts w:ascii="宋体" w:hAnsi="宋体" w:cs="宋体"/>
          <w:b/>
          <w:color w:val="000000"/>
          <w:sz w:val="24"/>
          <w:szCs w:val="24"/>
          <w:highlight w:val="none"/>
          <w:lang w:val="zh-CN"/>
        </w:rPr>
      </w:r>
      <w:r/>
    </w:p>
    <w:p>
      <w:pPr>
        <w:pStyle w:val="706"/>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联合体协议</w:t>
      </w:r>
      <w:r>
        <w:rPr>
          <w:rFonts w:ascii="宋体" w:hAnsi="宋体" w:cs="宋体"/>
          <w:b/>
          <w:bCs/>
          <w:color w:val="000000"/>
          <w:sz w:val="28"/>
          <w:szCs w:val="28"/>
          <w:highlight w:val="none"/>
          <w:lang w:val="zh-CN"/>
        </w:rPr>
      </w:r>
      <w:r/>
    </w:p>
    <w:p>
      <w:pPr>
        <w:pStyle w:val="706"/>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06"/>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706"/>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706"/>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706"/>
        <w:ind w:firstLine="645"/>
        <w:spacing w:line="360" w:lineRule="auto"/>
        <w:rPr>
          <w:rFonts w:ascii="宋体" w:hAnsi="宋体"/>
          <w:color w:val="000000"/>
          <w:sz w:val="24"/>
          <w:highlight w:val="none"/>
        </w:rPr>
      </w:pPr>
      <w:r>
        <w:rPr>
          <w:rFonts w:ascii="宋体" w:hAnsi="宋体"/>
          <w:color w:val="000000"/>
          <w:sz w:val="24"/>
          <w:highlight w:val="none"/>
        </w:rPr>
      </w:r>
      <w:r/>
    </w:p>
    <w:p>
      <w:pPr>
        <w:pStyle w:val="706"/>
        <w:ind w:firstLine="645"/>
        <w:spacing w:line="360" w:lineRule="auto"/>
        <w:rPr>
          <w:rFonts w:ascii="宋体" w:hAnsi="宋体"/>
          <w:color w:val="000000"/>
          <w:sz w:val="24"/>
          <w:highlight w:val="none"/>
        </w:rPr>
      </w:pPr>
      <w:r>
        <w:rPr>
          <w:rFonts w:ascii="宋体" w:hAnsi="宋体"/>
          <w:color w:val="000000"/>
          <w:sz w:val="24"/>
          <w:highlight w:val="none"/>
        </w:rPr>
      </w:r>
      <w:r/>
    </w:p>
    <w:p>
      <w:pPr>
        <w:pStyle w:val="706"/>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706"/>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706"/>
        <w:ind w:firstLine="480"/>
        <w:spacing w:line="360" w:lineRule="auto"/>
        <w:rPr>
          <w:rFonts w:ascii="宋体" w:hAnsi="宋体"/>
          <w:color w:val="000000"/>
          <w:sz w:val="24"/>
          <w:highlight w:val="none"/>
        </w:rPr>
      </w:pPr>
      <w:r>
        <w:rPr>
          <w:rFonts w:ascii="宋体" w:hAnsi="宋体"/>
          <w:color w:val="000000"/>
          <w:sz w:val="24"/>
          <w:highlight w:val="none"/>
        </w:rPr>
      </w:r>
      <w:r/>
    </w:p>
    <w:p>
      <w:pPr>
        <w:pStyle w:val="7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7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70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706"/>
        <w:jc w:val="left"/>
        <w:spacing w:line="360" w:lineRule="auto"/>
        <w:widowControl/>
        <w:rPr>
          <w:color w:val="000000"/>
          <w:highlight w:val="none"/>
        </w:rPr>
        <w:outlineLvl w:val="9"/>
      </w:pPr>
      <w:r>
        <w:rPr>
          <w:color w:val="000000"/>
          <w:highlight w:val="none"/>
        </w:rPr>
      </w:r>
      <w:r/>
    </w:p>
    <w:p>
      <w:pPr>
        <w:pStyle w:val="706"/>
        <w:jc w:val="left"/>
        <w:spacing w:line="360" w:lineRule="auto"/>
        <w:widowControl/>
        <w:rPr>
          <w:rFonts w:ascii="宋体" w:hAnsi="宋体" w:cs="宋体"/>
          <w:b/>
          <w:color w:val="000000"/>
          <w:sz w:val="24"/>
          <w:szCs w:val="24"/>
          <w:highlight w:val="none"/>
          <w:lang w:val="zh-CN"/>
        </w:rPr>
        <w:outlineLvl w:val="1"/>
      </w:pPr>
      <w:r/>
      <w:bookmarkStart w:id="90" w:name="_Toc19536"/>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六</w:t>
      </w:r>
      <w:r>
        <w:rPr>
          <w:rFonts w:hint="eastAsia" w:ascii="宋体" w:hAnsi="宋体" w:cs="宋体"/>
          <w:b/>
          <w:color w:val="000000"/>
          <w:sz w:val="24"/>
          <w:szCs w:val="24"/>
          <w:highlight w:val="none"/>
          <w:lang w:val="zh-CN"/>
        </w:rPr>
        <w:t xml:space="preserve">、关于符合本国产品标准的声明函</w:t>
      </w:r>
      <w:bookmarkEnd w:id="90"/>
      <w:r>
        <w:rPr>
          <w:rFonts w:ascii="宋体" w:hAnsi="宋体" w:cs="宋体"/>
          <w:b/>
          <w:color w:val="000000"/>
          <w:sz w:val="24"/>
          <w:szCs w:val="24"/>
          <w:highlight w:val="none"/>
          <w:lang w:val="zh-CN"/>
        </w:rPr>
      </w:r>
      <w:r/>
    </w:p>
    <w:p>
      <w:pPr>
        <w:pStyle w:val="706"/>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706"/>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706"/>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宋体"/>
          <w:i/>
          <w:color w:val="000000"/>
          <w:sz w:val="22"/>
          <w:szCs w:val="22"/>
          <w:highlight w:val="none"/>
          <w:shd w:val="clear" w:color="auto" w:fill="ffffff"/>
          <w:vertAlign w:val="superscript"/>
          <w:lang w:val="zh-CN" w:bidi="zh-CN"/>
        </w:rPr>
        <w:t xml:space="preserve">3</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宋体"/>
          <w:i/>
          <w:color w:val="000000"/>
          <w:sz w:val="22"/>
          <w:szCs w:val="22"/>
          <w:highlight w:val="none"/>
          <w:shd w:val="clear" w:color="auto" w:fill="ffffff"/>
          <w:vertAlign w:val="superscript"/>
          <w:lang w:val="zh-CN" w:bidi="zh-CN"/>
        </w:rPr>
        <w:t xml:space="preserve">4</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宋体"/>
          <w:i/>
          <w:color w:val="000000"/>
          <w:sz w:val="22"/>
          <w:szCs w:val="22"/>
          <w:highlight w:val="none"/>
          <w:shd w:val="clear" w:color="auto" w:fill="ffffff"/>
          <w:vertAlign w:val="superscript"/>
          <w:lang w:val="zh-CN" w:bidi="zh-CN"/>
        </w:rPr>
        <w:t xml:space="preserve">5</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color w:val="000000"/>
          <w:sz w:val="24"/>
          <w:szCs w:val="24"/>
          <w:highlight w:val="none"/>
          <w:lang w:val="zh-CN" w:bidi="zh-CN"/>
        </w:rPr>
      </w:r>
      <w:r/>
    </w:p>
    <w:p>
      <w:pPr>
        <w:pStyle w:val="706"/>
        <w:ind w:firstLine="42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strike/>
          <w:color w:val="000000"/>
          <w:sz w:val="24"/>
          <w:szCs w:val="24"/>
          <w:highlight w:val="none"/>
          <w:lang w:val="zh-CN" w:bidi="zh-CN"/>
        </w:rPr>
      </w:r>
      <w:r/>
    </w:p>
    <w:p>
      <w:pPr>
        <w:pStyle w:val="706"/>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6"/>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706"/>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706"/>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706"/>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706"/>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706"/>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706"/>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706"/>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706"/>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6"/>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706"/>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706"/>
        <w:contextualSpacing/>
        <w:ind w:left="720"/>
        <w:jc w:val="left"/>
        <w:widowControl/>
        <w:rPr>
          <w:rFonts w:ascii="Arial" w:hAnsi="Arial" w:eastAsia="黑体"/>
          <w:color w:val="000000"/>
          <w:sz w:val="24"/>
          <w:szCs w:val="24"/>
          <w:highlight w:val="none"/>
        </w:rPr>
      </w:pPr>
      <w:r>
        <w:rPr>
          <w:rFonts w:ascii="Arial" w:hAnsi="Arial" w:eastAsia="黑体"/>
          <w:color w:val="000000"/>
          <w:sz w:val="24"/>
          <w:szCs w:val="24"/>
          <w:highlight w:val="none"/>
        </w:rPr>
      </w:r>
      <w:r/>
    </w:p>
    <w:p>
      <w:pPr>
        <w:pStyle w:val="788"/>
        <w:rPr>
          <w:color w:val="000000"/>
          <w:highlight w:val="none"/>
        </w:rPr>
      </w:pPr>
      <w:r>
        <w:rPr>
          <w:color w:val="000000"/>
          <w:highlight w:val="none"/>
        </w:rPr>
      </w:r>
      <w:r/>
    </w:p>
    <w:p>
      <w:pPr>
        <w:pStyle w:val="706"/>
        <w:jc w:val="left"/>
        <w:spacing w:line="360" w:lineRule="auto"/>
        <w:rPr>
          <w:rFonts w:hint="eastAsia" w:ascii="宋体" w:hAnsi="宋体" w:eastAsia="宋体" w:cs="宋体"/>
          <w:b/>
          <w:color w:val="000000"/>
          <w:spacing w:val="15"/>
          <w:sz w:val="24"/>
          <w:szCs w:val="24"/>
          <w:highlight w:val="none"/>
        </w:rPr>
        <w:outlineLvl w:val="1"/>
      </w:pPr>
      <w:r/>
      <w:bookmarkStart w:id="91" w:name="_Toc19267"/>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w:t>
      </w: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bookmarkEnd w:id="91"/>
      <w:r>
        <w:rPr>
          <w:rFonts w:hint="eastAsia" w:ascii="宋体" w:hAnsi="宋体" w:eastAsia="宋体" w:cs="宋体"/>
          <w:b/>
          <w:color w:val="000000"/>
          <w:spacing w:val="15"/>
          <w:sz w:val="24"/>
          <w:szCs w:val="24"/>
          <w:highlight w:val="none"/>
        </w:rPr>
      </w:r>
      <w:r/>
    </w:p>
    <w:p>
      <w:pPr>
        <w:pStyle w:val="706"/>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cs="宋体"/>
          <w:b/>
          <w:color w:val="000000"/>
          <w:spacing w:val="15"/>
          <w:sz w:val="24"/>
          <w:szCs w:val="24"/>
          <w:highlight w:val="none"/>
          <w:lang w:val="en-US" w:eastAsia="zh-CN"/>
        </w:rPr>
        <w:t xml:space="preserve">货物质量保证</w:t>
      </w:r>
      <w:r>
        <w:rPr>
          <w:rFonts w:hint="eastAsia" w:ascii="宋体" w:hAnsi="宋体" w:eastAsia="宋体" w:cs="宋体"/>
          <w:b/>
          <w:bCs/>
          <w:color w:val="000000"/>
          <w:spacing w:val="15"/>
          <w:sz w:val="24"/>
          <w:szCs w:val="24"/>
          <w:highlight w:val="none"/>
        </w:rPr>
        <w:t xml:space="preserve">承诺书</w:t>
      </w:r>
      <w:r>
        <w:rPr>
          <w:rFonts w:hint="eastAsia" w:ascii="宋体" w:hAnsi="宋体" w:eastAsia="宋体" w:cs="宋体"/>
          <w:b/>
          <w:bCs/>
          <w:color w:val="000000"/>
          <w:spacing w:val="15"/>
          <w:sz w:val="24"/>
          <w:szCs w:val="24"/>
          <w:highlight w:val="none"/>
        </w:rPr>
      </w:r>
      <w:r/>
    </w:p>
    <w:p>
      <w:pPr>
        <w:pStyle w:val="706"/>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pStyle w:val="706"/>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pacing w:val="15"/>
          <w:sz w:val="24"/>
          <w:szCs w:val="24"/>
          <w:highlight w:val="none"/>
          <w:u w:val="single"/>
        </w:rPr>
      </w:r>
      <w:r/>
    </w:p>
    <w:p>
      <w:pPr>
        <w:pStyle w:val="706"/>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eastAsia="宋体" w:cs="宋体"/>
          <w:color w:val="000000"/>
          <w:spacing w:val="15"/>
          <w:sz w:val="24"/>
          <w:szCs w:val="24"/>
          <w:highlight w:val="none"/>
        </w:rPr>
      </w:r>
      <w:r/>
    </w:p>
    <w:p>
      <w:pPr>
        <w:pStyle w:val="706"/>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6"/>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rPr>
          <w:rFonts w:hint="eastAsia" w:ascii="宋体" w:hAnsi="宋体" w:eastAsia="宋体" w:cs="宋体"/>
          <w:color w:val="000000"/>
          <w:spacing w:val="15"/>
          <w:sz w:val="24"/>
          <w:szCs w:val="24"/>
          <w:highlight w:val="none"/>
          <w:u w:val="single"/>
        </w:rPr>
      </w:r>
      <w:r/>
    </w:p>
    <w:p>
      <w:pPr>
        <w:pStyle w:val="706"/>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6"/>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rPr>
          <w:rFonts w:hint="eastAsia" w:ascii="宋体" w:hAnsi="宋体" w:eastAsia="宋体" w:cs="宋体"/>
          <w:color w:val="000000"/>
          <w:spacing w:val="15"/>
          <w:sz w:val="24"/>
          <w:szCs w:val="24"/>
          <w:highlight w:val="none"/>
          <w:u w:val="single"/>
        </w:rPr>
      </w:r>
      <w:r/>
    </w:p>
    <w:p>
      <w:pPr>
        <w:pStyle w:val="706"/>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6"/>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rPr>
          <w:rFonts w:hint="eastAsia" w:ascii="宋体" w:hAnsi="宋体" w:eastAsia="宋体" w:cs="宋体"/>
          <w:color w:val="000000"/>
          <w:spacing w:val="15"/>
          <w:sz w:val="24"/>
          <w:szCs w:val="24"/>
          <w:highlight w:val="none"/>
          <w:u w:val="single"/>
        </w:rPr>
      </w:r>
      <w:r/>
    </w:p>
    <w:p>
      <w:pPr>
        <w:pStyle w:val="706"/>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pStyle w:val="706"/>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r>
        <w:rPr>
          <w:rFonts w:hint="eastAsia" w:ascii="宋体" w:hAnsi="宋体" w:eastAsia="宋体" w:cs="宋体"/>
          <w:color w:val="000000"/>
          <w:spacing w:val="15"/>
          <w:sz w:val="24"/>
          <w:szCs w:val="24"/>
          <w:highlight w:val="none"/>
          <w:u w:val="singl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rPr>
          <w:color w:val="000000"/>
          <w:highlight w:val="none"/>
        </w:rPr>
      </w:pPr>
      <w:r>
        <w:rPr>
          <w:color w:val="000000"/>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706"/>
        <w:jc w:val="center"/>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706"/>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70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70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706"/>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70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70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rPr>
          <w:rFonts w:ascii="宋体" w:hAnsi="宋体" w:cs="仿宋"/>
          <w:color w:val="000000"/>
          <w:sz w:val="24"/>
          <w:szCs w:val="24"/>
          <w:highlight w:val="non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706"/>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706"/>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706"/>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0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06"/>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70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706"/>
        <w:rPr>
          <w:rFonts w:ascii="宋体" w:hAnsi="宋体"/>
          <w:color w:val="000000"/>
          <w:sz w:val="24"/>
          <w:szCs w:val="24"/>
          <w:highlight w:val="none"/>
        </w:rPr>
      </w:pPr>
      <w:r>
        <w:rPr>
          <w:rFonts w:ascii="宋体" w:hAnsi="宋体"/>
          <w:color w:val="000000"/>
          <w:sz w:val="24"/>
          <w:szCs w:val="24"/>
          <w:highlight w:val="none"/>
        </w:rPr>
      </w:r>
      <w:r/>
    </w:p>
    <w:p>
      <w:pPr>
        <w:pStyle w:val="706"/>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06"/>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06"/>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06"/>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706"/>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706"/>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706"/>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706"/>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706"/>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706"/>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706"/>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sectPr>
      <w:footnotePr/>
      <w:endnotePr/>
      <w:type w:val="nextPage"/>
      <w:pgSz w:w="11906" w:h="16838" w:orient="portrait"/>
      <w:pgMar w:top="1417" w:right="1191" w:bottom="1417"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MS Mincho">
    <w:panose1 w:val="02020603050405090304"/>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仿宋">
    <w:panose1 w:val="02010609060101010101"/>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70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70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92"/>
      </w:rPr>
      <w:framePr w:wrap="around" w:vAnchor="text" w:hAnchor="margin" w:xAlign="center" w:y="1"/>
    </w:pPr>
    <w:r>
      <w:fldChar w:fldCharType="begin"/>
    </w:r>
    <w:r>
      <w:rPr>
        <w:rStyle w:val="792"/>
      </w:rPr>
      <w:instrText xml:space="preserve">PAGE  </w:instrText>
    </w:r>
    <w:r>
      <w:fldChar w:fldCharType="separate"/>
    </w:r>
    <w:r>
      <w:rPr>
        <w:rStyle w:val="792"/>
      </w:rPr>
      <w:t xml:space="preserve">1</w:t>
    </w:r>
    <w:r>
      <w:fldChar w:fldCharType="end"/>
    </w:r>
    <w:r>
      <w:rPr>
        <w:rStyle w:val="792"/>
      </w:rPr>
    </w:r>
    <w:r/>
  </w:p>
  <w:p>
    <w:pPr>
      <w:pStyle w:val="7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pStyle w:val="706"/>
        <w:ind w:left="0" w:firstLine="0"/>
      </w:pPr>
      <w:rPr>
        <w:rFonts w:hint="eastAsia"/>
      </w:rPr>
    </w:lvl>
    <w:lvl w:ilvl="1">
      <w:start w:val="1"/>
      <w:numFmt w:val="decimal"/>
      <w:pStyle w:val="1263"/>
      <w:isLgl w:val="false"/>
      <w:suff w:val="space"/>
      <w:lvlText w:val="%1.%2"/>
      <w:lvlJc w:val="left"/>
      <w:pPr>
        <w:pStyle w:val="706"/>
        <w:ind w:left="0" w:firstLine="0"/>
      </w:pPr>
      <w:rPr>
        <w:rFonts w:hint="eastAsia"/>
      </w:rPr>
    </w:lvl>
    <w:lvl w:ilvl="2">
      <w:start w:val="1"/>
      <w:numFmt w:val="decimal"/>
      <w:pStyle w:val="1264"/>
      <w:isLgl w:val="false"/>
      <w:suff w:val="space"/>
      <w:lvlText w:val="%1.%2.%3"/>
      <w:lvlJc w:val="left"/>
      <w:pPr>
        <w:pStyle w:val="706"/>
        <w:ind w:left="0" w:firstLine="0"/>
      </w:pPr>
      <w:rPr>
        <w:color w:val="000000"/>
        <w:sz w:val="21"/>
        <w:szCs w:val="21"/>
      </w:rPr>
    </w:lvl>
    <w:lvl w:ilvl="3">
      <w:start w:val="1"/>
      <w:numFmt w:val="decimal"/>
      <w:pStyle w:val="1265"/>
      <w:isLgl w:val="false"/>
      <w:suff w:val="space"/>
      <w:lvlText w:val="%1.%2.%3.%4"/>
      <w:lvlJc w:val="left"/>
      <w:pPr>
        <w:pStyle w:val="706"/>
        <w:ind w:left="142" w:firstLine="0"/>
      </w:pPr>
      <w:rPr>
        <w:rFonts w:hint="eastAsia"/>
        <w:color w:val="000000"/>
        <w:sz w:val="21"/>
        <w:szCs w:val="21"/>
      </w:rPr>
    </w:lvl>
    <w:lvl w:ilvl="4">
      <w:start w:val="1"/>
      <w:numFmt w:val="decimal"/>
      <w:isLgl w:val="false"/>
      <w:suff w:val="space"/>
      <w:lvlText w:val="%1.%2.%3.%4.%5"/>
      <w:lvlJc w:val="left"/>
      <w:pPr>
        <w:pStyle w:val="706"/>
        <w:ind w:left="0" w:firstLine="0"/>
      </w:pPr>
      <w:rPr>
        <w:rFonts w:hint="eastAsia"/>
        <w:color w:val="000000"/>
        <w:sz w:val="24"/>
        <w:szCs w:val="24"/>
      </w:rPr>
    </w:lvl>
    <w:lvl w:ilvl="5">
      <w:start w:val="1"/>
      <w:numFmt w:val="decimal"/>
      <w:isLgl w:val="false"/>
      <w:suff w:val="tab"/>
      <w:lvlText w:val="%1.%2.%3.%4.%5.%6"/>
      <w:lvlJc w:val="left"/>
      <w:pPr>
        <w:pStyle w:val="706"/>
        <w:ind w:left="3260" w:hanging="1134"/>
      </w:pPr>
      <w:rPr>
        <w:rFonts w:hint="eastAsia"/>
      </w:rPr>
    </w:lvl>
    <w:lvl w:ilvl="6">
      <w:start w:val="1"/>
      <w:numFmt w:val="decimal"/>
      <w:isLgl w:val="false"/>
      <w:suff w:val="tab"/>
      <w:lvlText w:val="%1.%2.%3.%4.%5.%6.%7"/>
      <w:lvlJc w:val="left"/>
      <w:pPr>
        <w:pStyle w:val="706"/>
        <w:ind w:left="3827" w:hanging="1276"/>
      </w:pPr>
      <w:rPr>
        <w:rFonts w:hint="eastAsia"/>
      </w:rPr>
    </w:lvl>
    <w:lvl w:ilvl="7">
      <w:start w:val="1"/>
      <w:numFmt w:val="decimal"/>
      <w:isLgl w:val="false"/>
      <w:suff w:val="tab"/>
      <w:lvlText w:val="%1.%2.%3.%4.%5.%6.%7.%8"/>
      <w:lvlJc w:val="left"/>
      <w:pPr>
        <w:pStyle w:val="706"/>
        <w:ind w:left="4394" w:hanging="1418"/>
      </w:pPr>
      <w:rPr>
        <w:rFonts w:hint="eastAsia"/>
      </w:rPr>
    </w:lvl>
    <w:lvl w:ilvl="8">
      <w:start w:val="1"/>
      <w:numFmt w:val="decimal"/>
      <w:isLgl w:val="false"/>
      <w:suff w:val="tab"/>
      <w:lvlText w:val="%1.%2.%3.%4.%5.%6.%7.%8.%9"/>
      <w:lvlJc w:val="left"/>
      <w:pPr>
        <w:pStyle w:val="706"/>
        <w:ind w:left="5102" w:hanging="1700"/>
      </w:pPr>
      <w:rPr>
        <w:rFonts w:hint="eastAsia"/>
      </w:rPr>
    </w:lvl>
  </w:abstractNum>
  <w:abstractNum w:abstractNumId="2">
    <w:multiLevelType w:val="hybridMultilevel"/>
    <w:lvl w:ilvl="0">
      <w:start w:val="1"/>
      <w:numFmt w:val="bullet"/>
      <w:pStyle w:val="1162"/>
      <w:isLgl w:val="false"/>
      <w:suff w:val="tab"/>
      <w:lvlText w:val=""/>
      <w:lvlJc w:val="left"/>
      <w:pPr>
        <w:pStyle w:val="706"/>
        <w:ind w:left="420" w:hanging="420"/>
        <w:tabs>
          <w:tab w:val="num" w:pos="420" w:leader="none"/>
        </w:tabs>
      </w:pPr>
      <w:rPr>
        <w:rFonts w:ascii="Wingdings" w:hAnsi="Wingdings"/>
      </w:rPr>
    </w:lvl>
    <w:lvl w:ilvl="1">
      <w:start w:val="1"/>
      <w:numFmt w:val="decimal"/>
      <w:isLgl w:val="false"/>
      <w:suff w:val="tab"/>
      <w:lvlText w:val="（%2）"/>
      <w:lvlJc w:val="left"/>
      <w:pPr>
        <w:pStyle w:val="706"/>
        <w:ind w:left="1500" w:hanging="1080"/>
        <w:tabs>
          <w:tab w:val="num" w:pos="1500" w:leader="none"/>
        </w:tabs>
      </w:pPr>
      <w:rPr>
        <w:rFonts w:hint="eastAsia"/>
      </w:rPr>
    </w:lvl>
    <w:lvl w:ilvl="2">
      <w:start w:val="1"/>
      <w:numFmt w:val="decimal"/>
      <w:isLgl w:val="false"/>
      <w:suff w:val="tab"/>
      <w:lvlText w:val="（%3）"/>
      <w:lvlJc w:val="left"/>
      <w:pPr>
        <w:pStyle w:val="706"/>
        <w:ind w:left="1560" w:hanging="720"/>
        <w:tabs>
          <w:tab w:val="num" w:pos="1560" w:leader="none"/>
        </w:tabs>
      </w:pPr>
      <w:rPr>
        <w:rFonts w:hint="eastAsia"/>
      </w:rPr>
    </w:lvl>
    <w:lvl w:ilvl="3">
      <w:start w:val="1"/>
      <w:numFmt w:val="decimal"/>
      <w:isLgl w:val="false"/>
      <w:suff w:val="tab"/>
      <w:lvlText w:val="%4."/>
      <w:lvlJc w:val="left"/>
      <w:pPr>
        <w:pStyle w:val="706"/>
        <w:ind w:left="1680" w:hanging="420"/>
        <w:tabs>
          <w:tab w:val="num" w:pos="1680" w:leader="none"/>
        </w:tabs>
      </w:pPr>
    </w:lvl>
    <w:lvl w:ilvl="4">
      <w:start w:val="1"/>
      <w:numFmt w:val="lowerLetter"/>
      <w:isLgl w:val="false"/>
      <w:suff w:val="tab"/>
      <w:lvlText w:val="%5)"/>
      <w:lvlJc w:val="left"/>
      <w:pPr>
        <w:pStyle w:val="706"/>
        <w:ind w:left="2100" w:hanging="420"/>
        <w:tabs>
          <w:tab w:val="num" w:pos="2100" w:leader="none"/>
        </w:tabs>
      </w:pPr>
    </w:lvl>
    <w:lvl w:ilvl="5">
      <w:start w:val="1"/>
      <w:numFmt w:val="lowerRoman"/>
      <w:isLgl w:val="false"/>
      <w:suff w:val="tab"/>
      <w:lvlText w:val="%6."/>
      <w:lvlJc w:val="right"/>
      <w:pPr>
        <w:pStyle w:val="706"/>
        <w:ind w:left="2520" w:hanging="420"/>
        <w:tabs>
          <w:tab w:val="num" w:pos="2520" w:leader="none"/>
        </w:tabs>
      </w:pPr>
    </w:lvl>
    <w:lvl w:ilvl="6">
      <w:start w:val="1"/>
      <w:numFmt w:val="decimal"/>
      <w:isLgl w:val="false"/>
      <w:suff w:val="tab"/>
      <w:lvlText w:val="%7."/>
      <w:lvlJc w:val="left"/>
      <w:pPr>
        <w:pStyle w:val="706"/>
        <w:ind w:left="2940" w:hanging="420"/>
        <w:tabs>
          <w:tab w:val="num" w:pos="2940" w:leader="none"/>
        </w:tabs>
      </w:pPr>
    </w:lvl>
    <w:lvl w:ilvl="7">
      <w:start w:val="1"/>
      <w:numFmt w:val="lowerLetter"/>
      <w:isLgl w:val="false"/>
      <w:suff w:val="tab"/>
      <w:lvlText w:val="%8)"/>
      <w:lvlJc w:val="left"/>
      <w:pPr>
        <w:pStyle w:val="706"/>
        <w:ind w:left="3360" w:hanging="420"/>
        <w:tabs>
          <w:tab w:val="num" w:pos="3360" w:leader="none"/>
        </w:tabs>
      </w:pPr>
    </w:lvl>
    <w:lvl w:ilvl="8">
      <w:start w:val="1"/>
      <w:numFmt w:val="lowerRoman"/>
      <w:isLgl w:val="false"/>
      <w:suff w:val="tab"/>
      <w:lvlText w:val="%9."/>
      <w:lvlJc w:val="right"/>
      <w:pPr>
        <w:pStyle w:val="706"/>
        <w:ind w:left="3780" w:hanging="420"/>
        <w:tabs>
          <w:tab w:val="num" w:pos="3780" w:leader="none"/>
        </w:tabs>
      </w:pPr>
    </w:lvl>
  </w:abstractNum>
  <w:abstractNum w:abstractNumId="3">
    <w:multiLevelType w:val="hybridMultilevel"/>
    <w:lvl w:ilvl="0">
      <w:start w:val="1"/>
      <w:numFmt w:val="bullet"/>
      <w:pStyle w:val="1128"/>
      <w:isLgl w:val="false"/>
      <w:suff w:val="tab"/>
      <w:lvlText w:val=""/>
      <w:lvlJc w:val="left"/>
      <w:pPr>
        <w:pStyle w:val="706"/>
        <w:ind w:left="360" w:hanging="360"/>
        <w:tabs>
          <w:tab w:val="num" w:pos="360" w:leader="none"/>
        </w:tabs>
      </w:pPr>
      <w:rPr>
        <w:rFonts w:ascii="Symbol" w:hAnsi="Symbol"/>
      </w:r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4">
    <w:multiLevelType w:val="hybridMultilevel"/>
    <w:lvl w:ilvl="0">
      <w:start w:val="1"/>
      <w:numFmt w:val="decimal"/>
      <w:pStyle w:val="1086"/>
      <w:isLgl w:val="false"/>
      <w:suff w:val="tab"/>
      <w:lvlText w:val="%1"/>
      <w:lvlJc w:val="left"/>
      <w:pPr>
        <w:pStyle w:val="706"/>
        <w:ind w:left="567" w:hanging="567"/>
        <w:tabs>
          <w:tab w:val="num" w:pos="567" w:leader="none"/>
        </w:tabs>
      </w:pPr>
      <w:rPr>
        <w:rFonts w:hint="eastAsia"/>
      </w:rPr>
    </w:lvl>
    <w:lvl w:ilvl="1">
      <w:start w:val="1"/>
      <w:numFmt w:val="decimal"/>
      <w:pStyle w:val="1148"/>
      <w:isLgl w:val="false"/>
      <w:suff w:val="tab"/>
      <w:lvlText w:val="%1.%2"/>
      <w:lvlJc w:val="left"/>
      <w:pPr>
        <w:pStyle w:val="706"/>
        <w:ind w:left="567" w:hanging="283"/>
        <w:tabs>
          <w:tab w:val="num" w:pos="1004" w:leader="none"/>
        </w:tabs>
      </w:pPr>
      <w:rPr>
        <w:rFonts w:hint="eastAsia"/>
      </w:rPr>
    </w:lvl>
    <w:lvl w:ilvl="2">
      <w:start w:val="1"/>
      <w:numFmt w:val="decimal"/>
      <w:isLgl w:val="false"/>
      <w:suff w:val="tab"/>
      <w:lvlText w:val="%1.%2.%3"/>
      <w:lvlJc w:val="left"/>
      <w:pPr>
        <w:pStyle w:val="706"/>
        <w:ind w:left="1134" w:hanging="567"/>
        <w:tabs>
          <w:tab w:val="num" w:pos="1647" w:leader="none"/>
        </w:tabs>
      </w:pPr>
      <w:rPr>
        <w:rFonts w:hint="eastAsia"/>
      </w:rPr>
    </w:lvl>
    <w:lvl w:ilvl="3">
      <w:start w:val="1"/>
      <w:numFmt w:val="decimal"/>
      <w:isLgl w:val="false"/>
      <w:suff w:val="tab"/>
      <w:lvlText w:val="%1.%2.%3.%4"/>
      <w:lvlJc w:val="left"/>
      <w:pPr>
        <w:pStyle w:val="706"/>
        <w:ind w:left="2851" w:hanging="708"/>
        <w:tabs>
          <w:tab w:val="num" w:pos="3223" w:leader="none"/>
        </w:tabs>
      </w:pPr>
      <w:rPr>
        <w:rFonts w:hint="eastAsia"/>
      </w:rPr>
    </w:lvl>
    <w:lvl w:ilvl="4">
      <w:start w:val="1"/>
      <w:numFmt w:val="decimal"/>
      <w:isLgl w:val="false"/>
      <w:suff w:val="tab"/>
      <w:lvlText w:val="%1.%2.%3.%4.%5"/>
      <w:lvlJc w:val="left"/>
      <w:pPr>
        <w:pStyle w:val="706"/>
        <w:ind w:left="3418" w:hanging="850"/>
        <w:tabs>
          <w:tab w:val="num" w:pos="3648" w:leader="none"/>
        </w:tabs>
      </w:pPr>
      <w:rPr>
        <w:rFonts w:hint="eastAsia"/>
      </w:rPr>
    </w:lvl>
    <w:lvl w:ilvl="5">
      <w:start w:val="1"/>
      <w:numFmt w:val="decimal"/>
      <w:isLgl w:val="false"/>
      <w:suff w:val="tab"/>
      <w:lvlText w:val="%1.%2.%3.%4.%5.%6"/>
      <w:lvlJc w:val="left"/>
      <w:pPr>
        <w:pStyle w:val="706"/>
        <w:ind w:left="4127" w:hanging="1134"/>
        <w:tabs>
          <w:tab w:val="num" w:pos="4433" w:leader="none"/>
        </w:tabs>
      </w:pPr>
      <w:rPr>
        <w:rFonts w:hint="eastAsia"/>
      </w:rPr>
    </w:lvl>
    <w:lvl w:ilvl="6">
      <w:start w:val="1"/>
      <w:numFmt w:val="decimal"/>
      <w:isLgl w:val="false"/>
      <w:suff w:val="tab"/>
      <w:lvlText w:val="%1.%2.%3.%4.%5.%6.%7"/>
      <w:lvlJc w:val="left"/>
      <w:pPr>
        <w:pStyle w:val="706"/>
        <w:ind w:left="4694" w:hanging="1276"/>
        <w:tabs>
          <w:tab w:val="num" w:pos="4858" w:leader="none"/>
        </w:tabs>
      </w:pPr>
      <w:rPr>
        <w:rFonts w:hint="eastAsia"/>
      </w:rPr>
    </w:lvl>
    <w:lvl w:ilvl="7">
      <w:start w:val="1"/>
      <w:numFmt w:val="decimal"/>
      <w:isLgl w:val="false"/>
      <w:suff w:val="tab"/>
      <w:lvlText w:val="%1.%2.%3.%4.%5.%6.%7.%8"/>
      <w:lvlJc w:val="left"/>
      <w:pPr>
        <w:pStyle w:val="706"/>
        <w:ind w:left="5261" w:hanging="1418"/>
        <w:tabs>
          <w:tab w:val="num" w:pos="5643" w:leader="none"/>
        </w:tabs>
      </w:pPr>
      <w:rPr>
        <w:rFonts w:hint="eastAsia"/>
      </w:rPr>
    </w:lvl>
    <w:lvl w:ilvl="8">
      <w:start w:val="1"/>
      <w:numFmt w:val="decimal"/>
      <w:isLgl w:val="false"/>
      <w:suff w:val="tab"/>
      <w:lvlText w:val="%1.%2.%3.%4.%5.%6.%7.%8.%9"/>
      <w:lvlJc w:val="left"/>
      <w:pPr>
        <w:pStyle w:val="706"/>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706"/>
      </w:pPr>
    </w:lvl>
    <w:lvl w:ilvl="1">
      <w:start w:val="1"/>
      <w:numFmt w:val="bullet"/>
      <w:isLgl w:val="false"/>
      <w:suff w:val="tab"/>
      <w:lvlText w:val="o"/>
      <w:lvlJc w:val="left"/>
      <w:pPr>
        <w:pStyle w:val="706"/>
        <w:ind w:left="1440" w:hanging="360"/>
      </w:pPr>
      <w:rPr>
        <w:rFonts w:ascii="Courier New" w:hAnsi="Courier New" w:eastAsia="Courier New" w:cs="Courier New"/>
      </w:rPr>
    </w:lvl>
    <w:lvl w:ilvl="2">
      <w:start w:val="1"/>
      <w:numFmt w:val="bullet"/>
      <w:isLgl w:val="false"/>
      <w:suff w:val="tab"/>
      <w:lvlText w:val="§"/>
      <w:lvlJc w:val="left"/>
      <w:pPr>
        <w:pStyle w:val="706"/>
        <w:ind w:left="2160" w:hanging="360"/>
      </w:pPr>
      <w:rPr>
        <w:rFonts w:ascii="Wingdings" w:hAnsi="Wingdings" w:eastAsia="Wingdings" w:cs="Wingdings"/>
      </w:rPr>
    </w:lvl>
    <w:lvl w:ilvl="3">
      <w:start w:val="1"/>
      <w:numFmt w:val="bullet"/>
      <w:isLgl w:val="false"/>
      <w:suff w:val="tab"/>
      <w:lvlText w:val="·"/>
      <w:lvlJc w:val="left"/>
      <w:pPr>
        <w:pStyle w:val="706"/>
        <w:ind w:left="2880" w:hanging="360"/>
      </w:pPr>
      <w:rPr>
        <w:rFonts w:ascii="Symbol" w:hAnsi="Symbol" w:eastAsia="Symbol" w:cs="Symbol"/>
      </w:rPr>
    </w:lvl>
    <w:lvl w:ilvl="4">
      <w:start w:val="1"/>
      <w:numFmt w:val="bullet"/>
      <w:isLgl w:val="false"/>
      <w:suff w:val="tab"/>
      <w:lvlText w:val="o"/>
      <w:lvlJc w:val="left"/>
      <w:pPr>
        <w:pStyle w:val="706"/>
        <w:ind w:left="3600" w:hanging="360"/>
      </w:pPr>
      <w:rPr>
        <w:rFonts w:ascii="Courier New" w:hAnsi="Courier New" w:eastAsia="Courier New" w:cs="Courier New"/>
      </w:rPr>
    </w:lvl>
    <w:lvl w:ilvl="5">
      <w:start w:val="1"/>
      <w:numFmt w:val="bullet"/>
      <w:isLgl w:val="false"/>
      <w:suff w:val="tab"/>
      <w:lvlText w:val="§"/>
      <w:lvlJc w:val="left"/>
      <w:pPr>
        <w:pStyle w:val="706"/>
        <w:ind w:left="4320" w:hanging="360"/>
      </w:pPr>
      <w:rPr>
        <w:rFonts w:ascii="Wingdings" w:hAnsi="Wingdings" w:eastAsia="Wingdings" w:cs="Wingdings"/>
      </w:rPr>
    </w:lvl>
    <w:lvl w:ilvl="6">
      <w:start w:val="1"/>
      <w:numFmt w:val="bullet"/>
      <w:isLgl w:val="false"/>
      <w:suff w:val="tab"/>
      <w:lvlText w:val="·"/>
      <w:lvlJc w:val="left"/>
      <w:pPr>
        <w:pStyle w:val="706"/>
        <w:ind w:left="5040" w:hanging="360"/>
      </w:pPr>
      <w:rPr>
        <w:rFonts w:ascii="Symbol" w:hAnsi="Symbol" w:eastAsia="Symbol" w:cs="Symbol"/>
      </w:rPr>
    </w:lvl>
    <w:lvl w:ilvl="7">
      <w:start w:val="1"/>
      <w:numFmt w:val="bullet"/>
      <w:isLgl w:val="false"/>
      <w:suff w:val="tab"/>
      <w:lvlText w:val="o"/>
      <w:lvlJc w:val="left"/>
      <w:pPr>
        <w:pStyle w:val="706"/>
        <w:ind w:left="5760" w:hanging="360"/>
      </w:pPr>
      <w:rPr>
        <w:rFonts w:ascii="Courier New" w:hAnsi="Courier New" w:eastAsia="Courier New" w:cs="Courier New"/>
      </w:rPr>
    </w:lvl>
    <w:lvl w:ilvl="8">
      <w:start w:val="1"/>
      <w:numFmt w:val="bullet"/>
      <w:isLgl w:val="false"/>
      <w:suff w:val="tab"/>
      <w:lvlText w:val="§"/>
      <w:lvlJc w:val="left"/>
      <w:pPr>
        <w:pStyle w:val="706"/>
        <w:ind w:left="6480" w:hanging="360"/>
      </w:pPr>
      <w:rPr>
        <w:rFonts w:ascii="Wingdings" w:hAnsi="Wingdings" w:eastAsia="Wingdings" w:cs="Wingdings"/>
      </w:rPr>
    </w:lvl>
  </w:abstractNum>
  <w:abstractNum w:abstractNumId="6">
    <w:multiLevelType w:val="hybridMultilevel"/>
    <w:lvl w:ilvl="0">
      <w:start w:val="1"/>
      <w:numFmt w:val="decimal"/>
      <w:pStyle w:val="1137"/>
      <w:isLgl w:val="false"/>
      <w:suff w:val="tab"/>
      <w:lvlText w:val="(%1)"/>
      <w:lvlJc w:val="left"/>
      <w:pPr>
        <w:pStyle w:val="70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06"/>
        <w:ind w:left="840" w:hanging="420"/>
        <w:tabs>
          <w:tab w:val="num" w:pos="840" w:leader="none"/>
        </w:tabs>
      </w:pPr>
    </w:lvl>
    <w:lvl w:ilvl="2">
      <w:start w:val="1"/>
      <w:numFmt w:val="lowerRoman"/>
      <w:isLgl w:val="false"/>
      <w:suff w:val="tab"/>
      <w:lvlText w:val="%3."/>
      <w:lvlJc w:val="right"/>
      <w:pPr>
        <w:pStyle w:val="706"/>
        <w:ind w:left="1260" w:hanging="420"/>
        <w:tabs>
          <w:tab w:val="num" w:pos="1260" w:leader="none"/>
        </w:tabs>
      </w:pPr>
    </w:lvl>
    <w:lvl w:ilvl="3">
      <w:start w:val="1"/>
      <w:numFmt w:val="decimal"/>
      <w:isLgl w:val="false"/>
      <w:suff w:val="tab"/>
      <w:lvlText w:val="%4."/>
      <w:lvlJc w:val="left"/>
      <w:pPr>
        <w:pStyle w:val="706"/>
        <w:ind w:left="1680" w:hanging="420"/>
        <w:tabs>
          <w:tab w:val="num" w:pos="1680" w:leader="none"/>
        </w:tabs>
      </w:pPr>
    </w:lvl>
    <w:lvl w:ilvl="4">
      <w:start w:val="1"/>
      <w:numFmt w:val="lowerLetter"/>
      <w:pStyle w:val="1159"/>
      <w:isLgl w:val="false"/>
      <w:suff w:val="tab"/>
      <w:lvlText w:val="%5)"/>
      <w:lvlJc w:val="left"/>
      <w:pPr>
        <w:pStyle w:val="706"/>
        <w:ind w:left="2100" w:hanging="420"/>
        <w:tabs>
          <w:tab w:val="num" w:pos="2100" w:leader="none"/>
        </w:tabs>
      </w:pPr>
    </w:lvl>
    <w:lvl w:ilvl="5">
      <w:start w:val="1"/>
      <w:numFmt w:val="lowerRoman"/>
      <w:isLgl w:val="false"/>
      <w:suff w:val="tab"/>
      <w:lvlText w:val="%6."/>
      <w:lvlJc w:val="right"/>
      <w:pPr>
        <w:pStyle w:val="706"/>
        <w:ind w:left="2520" w:hanging="420"/>
        <w:tabs>
          <w:tab w:val="num" w:pos="2520" w:leader="none"/>
        </w:tabs>
      </w:pPr>
    </w:lvl>
    <w:lvl w:ilvl="6">
      <w:start w:val="1"/>
      <w:numFmt w:val="decimal"/>
      <w:isLgl w:val="false"/>
      <w:suff w:val="tab"/>
      <w:lvlText w:val="%7."/>
      <w:lvlJc w:val="left"/>
      <w:pPr>
        <w:pStyle w:val="706"/>
        <w:ind w:left="2940" w:hanging="420"/>
        <w:tabs>
          <w:tab w:val="num" w:pos="2940" w:leader="none"/>
        </w:tabs>
      </w:pPr>
    </w:lvl>
    <w:lvl w:ilvl="7">
      <w:start w:val="1"/>
      <w:numFmt w:val="lowerLetter"/>
      <w:isLgl w:val="false"/>
      <w:suff w:val="tab"/>
      <w:lvlText w:val="%8)"/>
      <w:lvlJc w:val="left"/>
      <w:pPr>
        <w:pStyle w:val="706"/>
        <w:ind w:left="3360" w:hanging="420"/>
        <w:tabs>
          <w:tab w:val="num" w:pos="3360" w:leader="none"/>
        </w:tabs>
      </w:pPr>
    </w:lvl>
    <w:lvl w:ilvl="8">
      <w:start w:val="1"/>
      <w:numFmt w:val="lowerRoman"/>
      <w:isLgl w:val="false"/>
      <w:suff w:val="tab"/>
      <w:lvlText w:val="%9."/>
      <w:lvlJc w:val="right"/>
      <w:pPr>
        <w:pStyle w:val="706"/>
        <w:ind w:left="3780" w:hanging="420"/>
        <w:tabs>
          <w:tab w:val="num" w:pos="3780" w:leader="none"/>
        </w:tabs>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811"/>
    <w:uiPriority w:val="9"/>
    <w:qFormat/>
    <w:pPr>
      <w:keepLines/>
      <w:keepNext/>
      <w:spacing w:before="480" w:after="200"/>
      <w:outlineLvl w:val="0"/>
    </w:pPr>
    <w:rPr>
      <w:rFonts w:ascii="Arial" w:hAnsi="Arial" w:eastAsia="Arial" w:cs="Arial"/>
      <w:sz w:val="40"/>
      <w:szCs w:val="40"/>
    </w:rPr>
  </w:style>
  <w:style w:type="paragraph" w:styleId="14">
    <w:name w:val="Heading 2"/>
    <w:basedOn w:val="706"/>
    <w:next w:val="706"/>
    <w:link w:val="812"/>
    <w:uiPriority w:val="9"/>
    <w:unhideWhenUsed/>
    <w:qFormat/>
    <w:pPr>
      <w:keepLines/>
      <w:keepNext/>
      <w:spacing w:before="360" w:after="200"/>
      <w:outlineLvl w:val="1"/>
    </w:pPr>
    <w:rPr>
      <w:rFonts w:ascii="Arial" w:hAnsi="Arial" w:eastAsia="Arial" w:cs="Arial"/>
      <w:sz w:val="34"/>
    </w:rPr>
  </w:style>
  <w:style w:type="paragraph" w:styleId="16">
    <w:name w:val="Heading 3"/>
    <w:basedOn w:val="706"/>
    <w:next w:val="706"/>
    <w:link w:val="81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6"/>
    <w:next w:val="706"/>
    <w:link w:val="81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6"/>
    <w:next w:val="706"/>
    <w:link w:val="81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6"/>
    <w:next w:val="706"/>
    <w:link w:val="81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6"/>
    <w:next w:val="706"/>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6"/>
    <w:next w:val="706"/>
    <w:link w:val="81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6"/>
    <w:next w:val="706"/>
    <w:link w:val="81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820"/>
    <w:uiPriority w:val="10"/>
    <w:qFormat/>
    <w:pPr>
      <w:contextualSpacing/>
      <w:spacing w:before="300" w:after="200"/>
    </w:pPr>
    <w:rPr>
      <w:sz w:val="48"/>
      <w:szCs w:val="48"/>
    </w:rPr>
  </w:style>
  <w:style w:type="paragraph" w:styleId="35">
    <w:name w:val="Subtitle"/>
    <w:basedOn w:val="706"/>
    <w:next w:val="706"/>
    <w:link w:val="821"/>
    <w:uiPriority w:val="11"/>
    <w:qFormat/>
    <w:pPr>
      <w:spacing w:before="200" w:after="200"/>
    </w:pPr>
    <w:rPr>
      <w:sz w:val="24"/>
      <w:szCs w:val="24"/>
    </w:rPr>
  </w:style>
  <w:style w:type="paragraph" w:styleId="37">
    <w:name w:val="Quote"/>
    <w:basedOn w:val="706"/>
    <w:next w:val="706"/>
    <w:link w:val="822"/>
    <w:uiPriority w:val="29"/>
    <w:qFormat/>
    <w:pPr>
      <w:ind w:left="720" w:right="720"/>
    </w:pPr>
    <w:rPr>
      <w:i/>
    </w:rPr>
  </w:style>
  <w:style w:type="paragraph" w:styleId="39">
    <w:name w:val="Intense Quote"/>
    <w:basedOn w:val="706"/>
    <w:next w:val="706"/>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06"/>
    <w:link w:val="824"/>
    <w:uiPriority w:val="99"/>
    <w:unhideWhenUsed/>
    <w:pPr>
      <w:spacing w:after="0" w:line="240" w:lineRule="auto"/>
      <w:tabs>
        <w:tab w:val="center" w:pos="7143" w:leader="none"/>
        <w:tab w:val="right" w:pos="14287" w:leader="none"/>
      </w:tabs>
    </w:pPr>
  </w:style>
  <w:style w:type="paragraph" w:styleId="43">
    <w:name w:val="Footer"/>
    <w:basedOn w:val="706"/>
    <w:link w:val="826"/>
    <w:uiPriority w:val="99"/>
    <w:unhideWhenUsed/>
    <w:pPr>
      <w:spacing w:after="0" w:line="240" w:lineRule="auto"/>
      <w:tabs>
        <w:tab w:val="center" w:pos="7143" w:leader="none"/>
        <w:tab w:val="right" w:pos="14287" w:leader="none"/>
      </w:tabs>
    </w:pPr>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06"/>
    <w:link w:val="95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6"/>
    <w:link w:val="95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90">
    <w:name w:val="table of figures"/>
    <w:basedOn w:val="706"/>
    <w:next w:val="706"/>
    <w:uiPriority w:val="99"/>
    <w:unhideWhenUsed/>
    <w:pPr>
      <w:spacing w:after="0" w:afterAutospacing="0"/>
    </w:pPr>
  </w:style>
  <w:style w:type="paragraph" w:styleId="706" w:default="1">
    <w:name w:val="Normal"/>
    <w:next w:val="706"/>
    <w:link w:val="706"/>
    <w:qFormat/>
    <w:pPr>
      <w:jc w:val="both"/>
      <w:widowControl w:val="off"/>
    </w:pPr>
    <w:rPr>
      <w:sz w:val="21"/>
      <w:lang w:val="en-US" w:eastAsia="zh-CN" w:bidi="ar-SA"/>
    </w:rPr>
  </w:style>
  <w:style w:type="paragraph" w:styleId="707">
    <w:name w:val="标题 1"/>
    <w:basedOn w:val="706"/>
    <w:next w:val="706"/>
    <w:link w:val="706"/>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08">
    <w:name w:val="标题 2"/>
    <w:basedOn w:val="706"/>
    <w:next w:val="706"/>
    <w:link w:val="718"/>
    <w:qFormat/>
    <w:pPr>
      <w:jc w:val="left"/>
      <w:keepLines/>
      <w:keepNext/>
      <w:spacing w:before="120" w:after="120"/>
      <w:outlineLvl w:val="1"/>
    </w:pPr>
    <w:rPr>
      <w:rFonts w:ascii="宋体" w:hAnsi="宋体"/>
      <w:b/>
      <w:szCs w:val="24"/>
    </w:rPr>
  </w:style>
  <w:style w:type="paragraph" w:styleId="709">
    <w:name w:val="标题 3"/>
    <w:basedOn w:val="706"/>
    <w:next w:val="720"/>
    <w:link w:val="719"/>
    <w:qFormat/>
    <w:pPr>
      <w:keepLines/>
      <w:keepNext/>
      <w:spacing w:line="390" w:lineRule="atLeast"/>
      <w:shd w:val="clear" w:color="auto" w:fill="ffffff"/>
      <w:outlineLvl w:val="2"/>
    </w:pPr>
    <w:rPr>
      <w:rFonts w:ascii="宋体" w:hAnsi="宋体"/>
      <w:b/>
      <w:szCs w:val="21"/>
    </w:rPr>
  </w:style>
  <w:style w:type="paragraph" w:styleId="710">
    <w:name w:val="标题 4"/>
    <w:basedOn w:val="706"/>
    <w:next w:val="706"/>
    <w:link w:val="721"/>
    <w:qFormat/>
    <w:pPr>
      <w:keepLines/>
      <w:keepNext/>
      <w:spacing w:before="120" w:after="120"/>
      <w:outlineLvl w:val="3"/>
    </w:pPr>
    <w:rPr>
      <w:rFonts w:ascii="Arial" w:hAnsi="Arial" w:eastAsia="黑体"/>
      <w:b/>
      <w:sz w:val="28"/>
    </w:rPr>
  </w:style>
  <w:style w:type="paragraph" w:styleId="711">
    <w:name w:val="标题 5"/>
    <w:basedOn w:val="706"/>
    <w:next w:val="720"/>
    <w:link w:val="722"/>
    <w:qFormat/>
    <w:pPr>
      <w:keepNext/>
      <w:spacing w:before="145" w:after="145"/>
      <w:outlineLvl w:val="4"/>
    </w:pPr>
    <w:rPr>
      <w:rFonts w:ascii="黑体" w:eastAsia="黑体"/>
      <w:b/>
      <w:color w:val="000000"/>
      <w:sz w:val="28"/>
    </w:rPr>
  </w:style>
  <w:style w:type="paragraph" w:styleId="712">
    <w:name w:val="标题 6"/>
    <w:basedOn w:val="706"/>
    <w:next w:val="706"/>
    <w:link w:val="723"/>
    <w:qFormat/>
    <w:pPr>
      <w:keepLines/>
      <w:keepNext/>
      <w:spacing w:before="240" w:after="64" w:line="320" w:lineRule="auto"/>
      <w:outlineLvl w:val="5"/>
    </w:pPr>
    <w:rPr>
      <w:rFonts w:ascii="Arial" w:hAnsi="Arial" w:eastAsia="黑体"/>
      <w:b/>
      <w:bCs/>
      <w:sz w:val="24"/>
      <w:szCs w:val="24"/>
    </w:rPr>
  </w:style>
  <w:style w:type="paragraph" w:styleId="713">
    <w:name w:val="标题 7"/>
    <w:basedOn w:val="706"/>
    <w:next w:val="706"/>
    <w:link w:val="724"/>
    <w:qFormat/>
    <w:pPr>
      <w:keepLines/>
      <w:keepNext/>
      <w:spacing w:before="240" w:after="64" w:line="320" w:lineRule="auto"/>
      <w:outlineLvl w:val="6"/>
    </w:pPr>
    <w:rPr>
      <w:b/>
      <w:bCs/>
      <w:sz w:val="24"/>
      <w:szCs w:val="24"/>
    </w:rPr>
  </w:style>
  <w:style w:type="paragraph" w:styleId="714">
    <w:name w:val="标题 8"/>
    <w:basedOn w:val="706"/>
    <w:next w:val="706"/>
    <w:link w:val="725"/>
    <w:qFormat/>
    <w:pPr>
      <w:keepLines/>
      <w:keepNext/>
      <w:spacing w:before="240" w:after="64" w:line="320" w:lineRule="auto"/>
      <w:outlineLvl w:val="7"/>
    </w:pPr>
    <w:rPr>
      <w:rFonts w:ascii="Arial" w:hAnsi="Arial" w:eastAsia="黑体"/>
      <w:sz w:val="24"/>
      <w:szCs w:val="24"/>
    </w:rPr>
  </w:style>
  <w:style w:type="paragraph" w:styleId="715">
    <w:name w:val="标题 9"/>
    <w:basedOn w:val="706"/>
    <w:next w:val="706"/>
    <w:link w:val="726"/>
    <w:qFormat/>
    <w:pPr>
      <w:keepLines/>
      <w:keepNext/>
      <w:spacing w:before="240" w:after="64" w:line="320" w:lineRule="auto"/>
      <w:outlineLvl w:val="8"/>
    </w:pPr>
    <w:rPr>
      <w:rFonts w:ascii="Arial" w:hAnsi="Arial" w:eastAsia="黑体"/>
      <w:szCs w:val="21"/>
    </w:rPr>
  </w:style>
  <w:style w:type="character" w:styleId="716">
    <w:name w:val="默认段落字体"/>
    <w:next w:val="716"/>
    <w:link w:val="706"/>
    <w:uiPriority w:val="1"/>
    <w:unhideWhenUsed/>
    <w:qFormat/>
  </w:style>
  <w:style w:type="table" w:styleId="717">
    <w:name w:val="普通表格"/>
    <w:next w:val="717"/>
    <w:link w:val="70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18">
    <w:name w:val="标题 2 Char"/>
    <w:next w:val="718"/>
    <w:link w:val="708"/>
    <w:qFormat/>
    <w:rPr>
      <w:rFonts w:ascii="宋体" w:hAnsi="宋体" w:eastAsia="宋体"/>
      <w:b/>
      <w:sz w:val="21"/>
      <w:szCs w:val="24"/>
      <w:lang w:val="en-US" w:eastAsia="zh-CN" w:bidi="ar-SA"/>
    </w:rPr>
  </w:style>
  <w:style w:type="character" w:styleId="719">
    <w:name w:val="标题 3 Char1"/>
    <w:next w:val="719"/>
    <w:link w:val="709"/>
    <w:qFormat/>
    <w:rPr>
      <w:rFonts w:ascii="宋体" w:hAnsi="宋体" w:eastAsia="宋体"/>
      <w:b/>
      <w:sz w:val="21"/>
      <w:szCs w:val="21"/>
      <w:shd w:val="clear" w:color="auto" w:fill="ffffff"/>
    </w:rPr>
  </w:style>
  <w:style w:type="paragraph" w:styleId="720">
    <w:name w:val="正文缩进"/>
    <w:basedOn w:val="706"/>
    <w:next w:val="720"/>
    <w:link w:val="706"/>
    <w:qFormat/>
    <w:pPr>
      <w:ind w:firstLine="420"/>
    </w:pPr>
  </w:style>
  <w:style w:type="character" w:styleId="721">
    <w:name w:val="标题 4 Char"/>
    <w:next w:val="721"/>
    <w:link w:val="710"/>
    <w:qFormat/>
    <w:rPr>
      <w:rFonts w:ascii="Arial" w:hAnsi="Arial" w:eastAsia="黑体"/>
      <w:b/>
      <w:sz w:val="28"/>
      <w:lang w:val="en-US" w:eastAsia="zh-CN" w:bidi="ar-SA"/>
    </w:rPr>
  </w:style>
  <w:style w:type="character" w:styleId="722">
    <w:name w:val="标题 5 Char"/>
    <w:next w:val="722"/>
    <w:link w:val="711"/>
    <w:qFormat/>
    <w:rPr>
      <w:rFonts w:ascii="黑体" w:eastAsia="黑体"/>
      <w:b/>
      <w:color w:val="000000"/>
      <w:sz w:val="28"/>
      <w:lang w:val="en-US" w:eastAsia="zh-CN" w:bidi="ar-SA"/>
    </w:rPr>
  </w:style>
  <w:style w:type="character" w:styleId="723">
    <w:name w:val="标题 6 Char"/>
    <w:next w:val="723"/>
    <w:link w:val="712"/>
    <w:qFormat/>
    <w:rPr>
      <w:rFonts w:ascii="Arial" w:hAnsi="Arial" w:eastAsia="黑体"/>
      <w:b/>
      <w:bCs/>
      <w:sz w:val="24"/>
      <w:szCs w:val="24"/>
      <w:lang w:val="en-US" w:eastAsia="zh-CN" w:bidi="ar-SA"/>
    </w:rPr>
  </w:style>
  <w:style w:type="character" w:styleId="724">
    <w:name w:val="标题 7 Char"/>
    <w:next w:val="724"/>
    <w:link w:val="713"/>
    <w:qFormat/>
    <w:rPr>
      <w:rFonts w:eastAsia="宋体"/>
      <w:b/>
      <w:bCs/>
      <w:sz w:val="24"/>
      <w:szCs w:val="24"/>
      <w:lang w:val="en-US" w:eastAsia="zh-CN" w:bidi="ar-SA"/>
    </w:rPr>
  </w:style>
  <w:style w:type="character" w:styleId="725">
    <w:name w:val="标题 8 Char"/>
    <w:next w:val="725"/>
    <w:link w:val="714"/>
    <w:qFormat/>
    <w:rPr>
      <w:rFonts w:ascii="Arial" w:hAnsi="Arial" w:eastAsia="黑体"/>
      <w:sz w:val="24"/>
      <w:szCs w:val="24"/>
      <w:lang w:val="en-US" w:eastAsia="zh-CN" w:bidi="ar-SA"/>
    </w:rPr>
  </w:style>
  <w:style w:type="character" w:styleId="726">
    <w:name w:val="标题 9 Char"/>
    <w:next w:val="726"/>
    <w:link w:val="715"/>
    <w:qFormat/>
    <w:rPr>
      <w:rFonts w:ascii="Arial" w:hAnsi="Arial" w:eastAsia="黑体"/>
      <w:sz w:val="21"/>
      <w:szCs w:val="21"/>
      <w:lang w:val="en-US" w:eastAsia="zh-CN" w:bidi="ar-SA"/>
    </w:rPr>
  </w:style>
  <w:style w:type="paragraph" w:styleId="727">
    <w:name w:val="列表 3"/>
    <w:basedOn w:val="706"/>
    <w:next w:val="727"/>
    <w:link w:val="706"/>
    <w:qFormat/>
    <w:pPr>
      <w:ind w:left="1260" w:hanging="420"/>
    </w:pPr>
  </w:style>
  <w:style w:type="paragraph" w:styleId="728">
    <w:name w:val="目录 7"/>
    <w:basedOn w:val="706"/>
    <w:next w:val="706"/>
    <w:link w:val="706"/>
    <w:semiHidden/>
    <w:qFormat/>
    <w:pPr>
      <w:ind w:left="1260"/>
      <w:jc w:val="left"/>
    </w:pPr>
    <w:rPr>
      <w:sz w:val="18"/>
    </w:rPr>
  </w:style>
  <w:style w:type="paragraph" w:styleId="729">
    <w:name w:val="列表编号 2"/>
    <w:basedOn w:val="706"/>
    <w:next w:val="729"/>
    <w:link w:val="706"/>
    <w:qFormat/>
    <w:pPr>
      <w:ind w:left="1440" w:hanging="1440"/>
      <w:spacing w:line="360" w:lineRule="auto"/>
      <w:tabs>
        <w:tab w:val="left" w:pos="1440" w:leader="none"/>
      </w:tabs>
    </w:pPr>
    <w:rPr>
      <w:sz w:val="24"/>
      <w:szCs w:val="24"/>
    </w:rPr>
  </w:style>
  <w:style w:type="paragraph" w:styleId="730">
    <w:name w:val="索引 8"/>
    <w:basedOn w:val="706"/>
    <w:next w:val="706"/>
    <w:link w:val="706"/>
    <w:semiHidden/>
    <w:qFormat/>
    <w:pPr>
      <w:ind w:left="2940"/>
    </w:pPr>
  </w:style>
  <w:style w:type="paragraph" w:styleId="731">
    <w:name w:val="列表编号"/>
    <w:basedOn w:val="706"/>
    <w:next w:val="731"/>
    <w:link w:val="706"/>
    <w:qFormat/>
    <w:pPr>
      <w:ind w:left="2952" w:hanging="432"/>
      <w:tabs>
        <w:tab w:val="left" w:pos="2952" w:leader="none"/>
      </w:tabs>
    </w:pPr>
    <w:rPr>
      <w:szCs w:val="24"/>
    </w:rPr>
  </w:style>
  <w:style w:type="paragraph" w:styleId="732">
    <w:name w:val="题注"/>
    <w:basedOn w:val="706"/>
    <w:next w:val="706"/>
    <w:link w:val="706"/>
    <w:uiPriority w:val="35"/>
    <w:qFormat/>
    <w:pPr>
      <w:spacing w:line="276" w:lineRule="auto"/>
    </w:pPr>
    <w:rPr>
      <w:b/>
      <w:bCs/>
      <w:color w:val="4472c4"/>
      <w:sz w:val="18"/>
      <w:szCs w:val="18"/>
    </w:rPr>
  </w:style>
  <w:style w:type="paragraph" w:styleId="733">
    <w:name w:val="索引 5"/>
    <w:basedOn w:val="706"/>
    <w:next w:val="706"/>
    <w:link w:val="706"/>
    <w:semiHidden/>
    <w:qFormat/>
    <w:pPr>
      <w:ind w:left="1680"/>
    </w:pPr>
  </w:style>
  <w:style w:type="paragraph" w:styleId="734">
    <w:name w:val="文档结构图"/>
    <w:basedOn w:val="706"/>
    <w:next w:val="734"/>
    <w:link w:val="735"/>
    <w:semiHidden/>
    <w:qFormat/>
    <w:pPr>
      <w:shd w:val="clear" w:color="auto" w:fill="000080"/>
    </w:pPr>
  </w:style>
  <w:style w:type="character" w:styleId="735">
    <w:name w:val="文档结构图 Char"/>
    <w:next w:val="735"/>
    <w:link w:val="734"/>
    <w:qFormat/>
    <w:rPr>
      <w:rFonts w:eastAsia="宋体"/>
      <w:sz w:val="21"/>
      <w:lang w:val="en-US" w:eastAsia="zh-CN" w:bidi="ar-SA"/>
    </w:rPr>
  </w:style>
  <w:style w:type="paragraph" w:styleId="736">
    <w:name w:val="批注文字"/>
    <w:basedOn w:val="706"/>
    <w:next w:val="736"/>
    <w:link w:val="737"/>
    <w:qFormat/>
    <w:pPr>
      <w:jc w:val="left"/>
    </w:pPr>
  </w:style>
  <w:style w:type="character" w:styleId="737">
    <w:name w:val="批注文字 Char"/>
    <w:next w:val="737"/>
    <w:link w:val="736"/>
    <w:qFormat/>
    <w:rPr>
      <w:rFonts w:eastAsia="宋体"/>
      <w:sz w:val="21"/>
      <w:lang w:val="en-US" w:eastAsia="zh-CN" w:bidi="ar-SA"/>
    </w:rPr>
  </w:style>
  <w:style w:type="paragraph" w:styleId="738">
    <w:name w:val="索引 6"/>
    <w:basedOn w:val="706"/>
    <w:next w:val="706"/>
    <w:link w:val="706"/>
    <w:semiHidden/>
    <w:qFormat/>
    <w:pPr>
      <w:ind w:left="2100"/>
    </w:pPr>
  </w:style>
  <w:style w:type="paragraph" w:styleId="739">
    <w:name w:val="称呼"/>
    <w:basedOn w:val="706"/>
    <w:next w:val="706"/>
    <w:link w:val="706"/>
    <w:qFormat/>
    <w:rPr>
      <w:rFonts w:ascii="方正仿宋_GB2312" w:eastAsia="方正仿宋_GB2312"/>
      <w:sz w:val="28"/>
    </w:rPr>
  </w:style>
  <w:style w:type="paragraph" w:styleId="740">
    <w:name w:val="正文文本 3"/>
    <w:basedOn w:val="706"/>
    <w:next w:val="740"/>
    <w:link w:val="706"/>
    <w:qFormat/>
    <w:rPr>
      <w:rFonts w:ascii="方正仿宋_GB2312" w:hAnsi="Arial" w:eastAsia="方正仿宋_GB2312"/>
      <w:sz w:val="32"/>
    </w:rPr>
  </w:style>
  <w:style w:type="paragraph" w:styleId="741">
    <w:name w:val="正文文本"/>
    <w:basedOn w:val="706"/>
    <w:next w:val="741"/>
    <w:link w:val="706"/>
    <w:qFormat/>
    <w:rPr>
      <w:rFonts w:ascii="方正楷体_GB2312" w:hAnsi="Arial" w:eastAsia="方正楷体_GB2312"/>
      <w:sz w:val="28"/>
    </w:rPr>
  </w:style>
  <w:style w:type="paragraph" w:styleId="742">
    <w:name w:val="正文文本缩进"/>
    <w:basedOn w:val="706"/>
    <w:next w:val="744"/>
    <w:link w:val="743"/>
    <w:qFormat/>
    <w:pPr>
      <w:ind w:firstLine="645"/>
    </w:pPr>
    <w:rPr>
      <w:rFonts w:ascii="方正楷体_GB2312" w:eastAsia="方正楷体_GB2312"/>
      <w:sz w:val="32"/>
    </w:rPr>
  </w:style>
  <w:style w:type="character" w:styleId="743">
    <w:name w:val="正文文本缩进 Char"/>
    <w:next w:val="743"/>
    <w:link w:val="742"/>
    <w:qFormat/>
    <w:rPr>
      <w:rFonts w:ascii="方正楷体_GB2312" w:eastAsia="方正楷体_GB2312"/>
      <w:sz w:val="32"/>
      <w:lang w:val="en-US" w:eastAsia="zh-CN" w:bidi="ar-SA"/>
    </w:rPr>
  </w:style>
  <w:style w:type="paragraph" w:styleId="744">
    <w:name w:val="寄信人地址"/>
    <w:basedOn w:val="706"/>
    <w:next w:val="744"/>
    <w:link w:val="706"/>
    <w:qFormat/>
    <w:rPr>
      <w:rFonts w:ascii="Arial" w:hAnsi="Arial"/>
    </w:rPr>
  </w:style>
  <w:style w:type="paragraph" w:styleId="745">
    <w:name w:val="文本块"/>
    <w:basedOn w:val="706"/>
    <w:next w:val="745"/>
    <w:link w:val="706"/>
    <w:uiPriority w:val="99"/>
    <w:unhideWhenUsed/>
    <w:qFormat/>
    <w:pPr>
      <w:ind w:left="1440" w:right="1440"/>
      <w:spacing w:after="120"/>
    </w:pPr>
  </w:style>
  <w:style w:type="paragraph" w:styleId="746">
    <w:name w:val="索引 4"/>
    <w:basedOn w:val="706"/>
    <w:next w:val="706"/>
    <w:link w:val="706"/>
    <w:semiHidden/>
    <w:qFormat/>
    <w:pPr>
      <w:ind w:left="1260"/>
    </w:pPr>
  </w:style>
  <w:style w:type="paragraph" w:styleId="747">
    <w:name w:val="目录 5"/>
    <w:basedOn w:val="706"/>
    <w:next w:val="706"/>
    <w:link w:val="706"/>
    <w:semiHidden/>
    <w:qFormat/>
    <w:pPr>
      <w:ind w:left="840"/>
      <w:jc w:val="left"/>
    </w:pPr>
    <w:rPr>
      <w:sz w:val="18"/>
    </w:rPr>
  </w:style>
  <w:style w:type="paragraph" w:styleId="748">
    <w:name w:val="目录 3"/>
    <w:basedOn w:val="706"/>
    <w:next w:val="706"/>
    <w:link w:val="706"/>
    <w:uiPriority w:val="39"/>
    <w:qFormat/>
    <w:pPr>
      <w:ind w:left="420"/>
      <w:jc w:val="left"/>
    </w:pPr>
    <w:rPr>
      <w:i/>
      <w:sz w:val="20"/>
    </w:rPr>
  </w:style>
  <w:style w:type="paragraph" w:styleId="749">
    <w:name w:val="纯文本"/>
    <w:basedOn w:val="706"/>
    <w:next w:val="706"/>
    <w:link w:val="750"/>
    <w:qFormat/>
    <w:rPr>
      <w:rFonts w:ascii="宋体" w:hAnsi="Courier New"/>
    </w:rPr>
  </w:style>
  <w:style w:type="character" w:styleId="750">
    <w:name w:val="纯文本 Char"/>
    <w:next w:val="750"/>
    <w:link w:val="749"/>
    <w:qFormat/>
    <w:rPr>
      <w:rFonts w:ascii="宋体" w:hAnsi="Courier New" w:eastAsia="宋体"/>
      <w:sz w:val="21"/>
      <w:lang w:val="en-US" w:eastAsia="zh-CN" w:bidi="ar-SA"/>
    </w:rPr>
  </w:style>
  <w:style w:type="paragraph" w:styleId="751">
    <w:name w:val="目录 8"/>
    <w:basedOn w:val="706"/>
    <w:next w:val="706"/>
    <w:link w:val="706"/>
    <w:semiHidden/>
    <w:qFormat/>
    <w:pPr>
      <w:ind w:left="1470"/>
      <w:jc w:val="left"/>
    </w:pPr>
    <w:rPr>
      <w:sz w:val="18"/>
    </w:rPr>
  </w:style>
  <w:style w:type="paragraph" w:styleId="752">
    <w:name w:val="索引 3"/>
    <w:basedOn w:val="706"/>
    <w:next w:val="706"/>
    <w:link w:val="706"/>
    <w:semiHidden/>
    <w:qFormat/>
    <w:pPr>
      <w:ind w:left="840"/>
    </w:pPr>
  </w:style>
  <w:style w:type="paragraph" w:styleId="753">
    <w:name w:val="日期"/>
    <w:basedOn w:val="706"/>
    <w:next w:val="706"/>
    <w:link w:val="706"/>
    <w:qFormat/>
    <w:pPr>
      <w:ind w:left="100"/>
    </w:pPr>
    <w:rPr>
      <w:sz w:val="28"/>
    </w:rPr>
  </w:style>
  <w:style w:type="paragraph" w:styleId="754">
    <w:name w:val="正文文本缩进 2"/>
    <w:basedOn w:val="706"/>
    <w:next w:val="706"/>
    <w:link w:val="755"/>
    <w:qFormat/>
    <w:pPr>
      <w:ind w:left="630" w:firstLine="645"/>
    </w:pPr>
    <w:rPr>
      <w:rFonts w:ascii="Arial" w:hAnsi="Arial" w:eastAsia="方正仿宋_GB2312"/>
      <w:sz w:val="32"/>
    </w:rPr>
  </w:style>
  <w:style w:type="character" w:styleId="755">
    <w:name w:val="正文文本缩进 2 Char"/>
    <w:next w:val="755"/>
    <w:link w:val="754"/>
    <w:qFormat/>
    <w:rPr>
      <w:rFonts w:ascii="Arial" w:hAnsi="Arial" w:eastAsia="方正仿宋_GB2312"/>
      <w:sz w:val="32"/>
      <w:lang w:val="en-US" w:eastAsia="zh-CN" w:bidi="ar-SA"/>
    </w:rPr>
  </w:style>
  <w:style w:type="paragraph" w:styleId="756">
    <w:name w:val="尾注文本"/>
    <w:basedOn w:val="706"/>
    <w:next w:val="756"/>
    <w:link w:val="706"/>
    <w:qFormat/>
    <w:pPr>
      <w:jc w:val="left"/>
    </w:pPr>
    <w:rPr>
      <w:sz w:val="20"/>
      <w:szCs w:val="24"/>
    </w:rPr>
  </w:style>
  <w:style w:type="paragraph" w:styleId="757">
    <w:name w:val="批注框文本"/>
    <w:basedOn w:val="706"/>
    <w:next w:val="757"/>
    <w:link w:val="706"/>
    <w:semiHidden/>
    <w:qFormat/>
    <w:rPr>
      <w:sz w:val="18"/>
      <w:szCs w:val="18"/>
    </w:rPr>
  </w:style>
  <w:style w:type="paragraph" w:styleId="758">
    <w:name w:val="页脚"/>
    <w:basedOn w:val="706"/>
    <w:next w:val="758"/>
    <w:link w:val="759"/>
    <w:qFormat/>
    <w:pPr>
      <w:jc w:val="left"/>
      <w:tabs>
        <w:tab w:val="center" w:pos="4153" w:leader="none"/>
        <w:tab w:val="right" w:pos="8306" w:leader="none"/>
      </w:tabs>
    </w:pPr>
    <w:rPr>
      <w:sz w:val="18"/>
    </w:rPr>
  </w:style>
  <w:style w:type="character" w:styleId="759">
    <w:name w:val="页脚 Char"/>
    <w:next w:val="759"/>
    <w:link w:val="758"/>
    <w:qFormat/>
    <w:rPr>
      <w:sz w:val="18"/>
    </w:rPr>
  </w:style>
  <w:style w:type="paragraph" w:styleId="760">
    <w:name w:val="页眉"/>
    <w:basedOn w:val="706"/>
    <w:next w:val="760"/>
    <w:link w:val="706"/>
    <w:qFormat/>
    <w:pPr>
      <w:jc w:val="center"/>
      <w:tabs>
        <w:tab w:val="center" w:pos="4153" w:leader="none"/>
        <w:tab w:val="right" w:pos="8306" w:leader="none"/>
      </w:tabs>
      <w:pBdr>
        <w:bottom w:val="single" w:color="000000" w:sz="6" w:space="1"/>
      </w:pBdr>
    </w:pPr>
    <w:rPr>
      <w:sz w:val="18"/>
    </w:rPr>
  </w:style>
  <w:style w:type="paragraph" w:styleId="761">
    <w:name w:val="签名"/>
    <w:basedOn w:val="706"/>
    <w:next w:val="761"/>
    <w:link w:val="706"/>
    <w:qFormat/>
    <w:pPr>
      <w:jc w:val="center"/>
      <w:spacing w:after="600" w:line="312" w:lineRule="atLeast"/>
    </w:pPr>
    <w:rPr>
      <w:rFonts w:eastAsia="方正仿宋_GB2312"/>
      <w:sz w:val="24"/>
    </w:rPr>
  </w:style>
  <w:style w:type="paragraph" w:styleId="762">
    <w:name w:val="目录 1"/>
    <w:basedOn w:val="706"/>
    <w:next w:val="706"/>
    <w:link w:val="706"/>
    <w:uiPriority w:val="39"/>
    <w:qFormat/>
    <w:pPr>
      <w:jc w:val="left"/>
      <w:spacing w:before="120" w:after="120"/>
    </w:pPr>
    <w:rPr>
      <w:b/>
      <w:caps/>
      <w:sz w:val="20"/>
    </w:rPr>
  </w:style>
  <w:style w:type="paragraph" w:styleId="763">
    <w:name w:val="目录 4"/>
    <w:basedOn w:val="706"/>
    <w:next w:val="706"/>
    <w:link w:val="706"/>
    <w:semiHidden/>
    <w:qFormat/>
    <w:pPr>
      <w:ind w:left="630"/>
      <w:jc w:val="left"/>
    </w:pPr>
    <w:rPr>
      <w:sz w:val="18"/>
    </w:rPr>
  </w:style>
  <w:style w:type="paragraph" w:styleId="764">
    <w:name w:val="索引标题"/>
    <w:basedOn w:val="706"/>
    <w:next w:val="765"/>
    <w:link w:val="706"/>
    <w:semiHidden/>
    <w:qFormat/>
  </w:style>
  <w:style w:type="paragraph" w:styleId="765">
    <w:name w:val="索引 1"/>
    <w:basedOn w:val="706"/>
    <w:next w:val="706"/>
    <w:link w:val="706"/>
    <w:semiHidden/>
    <w:qFormat/>
    <w:rPr>
      <w:rFonts w:ascii="方正仿宋_GB2312" w:hAnsi="宋体" w:eastAsia="方正仿宋_GB2312"/>
      <w:sz w:val="30"/>
      <w:szCs w:val="24"/>
    </w:rPr>
  </w:style>
  <w:style w:type="paragraph" w:styleId="766">
    <w:name w:val="副标题"/>
    <w:basedOn w:val="706"/>
    <w:next w:val="706"/>
    <w:link w:val="706"/>
    <w:qFormat/>
    <w:pPr>
      <w:jc w:val="left"/>
      <w:spacing w:after="600" w:line="276" w:lineRule="auto"/>
      <w:widowControl/>
    </w:pPr>
    <w:rPr>
      <w:rFonts w:ascii="Cambria" w:hAnsi="Cambria"/>
      <w:i/>
      <w:iCs/>
      <w:spacing w:val="13"/>
      <w:sz w:val="24"/>
      <w:szCs w:val="24"/>
      <w:lang w:eastAsia="en-US" w:bidi="en-US"/>
    </w:rPr>
  </w:style>
  <w:style w:type="paragraph" w:styleId="767">
    <w:name w:val="列表"/>
    <w:basedOn w:val="706"/>
    <w:next w:val="767"/>
    <w:link w:val="706"/>
    <w:qFormat/>
    <w:pPr>
      <w:contextualSpacing/>
      <w:ind w:left="200" w:hanging="200"/>
    </w:pPr>
  </w:style>
  <w:style w:type="paragraph" w:styleId="768">
    <w:name w:val="脚注文本"/>
    <w:basedOn w:val="706"/>
    <w:next w:val="768"/>
    <w:link w:val="706"/>
    <w:qFormat/>
    <w:pPr>
      <w:jc w:val="left"/>
    </w:pPr>
    <w:rPr>
      <w:sz w:val="18"/>
      <w:szCs w:val="18"/>
    </w:rPr>
  </w:style>
  <w:style w:type="paragraph" w:styleId="769">
    <w:name w:val="目录 6"/>
    <w:basedOn w:val="706"/>
    <w:next w:val="706"/>
    <w:link w:val="706"/>
    <w:semiHidden/>
    <w:qFormat/>
    <w:pPr>
      <w:ind w:left="1050"/>
      <w:jc w:val="left"/>
    </w:pPr>
    <w:rPr>
      <w:sz w:val="18"/>
    </w:rPr>
  </w:style>
  <w:style w:type="paragraph" w:styleId="770">
    <w:name w:val="正文文本缩进 3"/>
    <w:basedOn w:val="706"/>
    <w:next w:val="770"/>
    <w:link w:val="771"/>
    <w:qFormat/>
    <w:pPr>
      <w:ind w:left="645" w:firstLine="645"/>
    </w:pPr>
    <w:rPr>
      <w:rFonts w:ascii="Arial" w:hAnsi="Arial" w:eastAsia="方正仿宋_GB2312"/>
      <w:color w:val="ffff00"/>
      <w:sz w:val="32"/>
    </w:rPr>
  </w:style>
  <w:style w:type="character" w:styleId="771">
    <w:name w:val="正文文本缩进 3 Char"/>
    <w:next w:val="771"/>
    <w:link w:val="770"/>
    <w:qFormat/>
    <w:rPr>
      <w:rFonts w:ascii="Arial" w:hAnsi="Arial" w:eastAsia="方正仿宋_GB2312"/>
      <w:color w:val="ffff00"/>
      <w:sz w:val="32"/>
      <w:lang w:val="en-US" w:eastAsia="zh-CN" w:bidi="ar-SA"/>
    </w:rPr>
  </w:style>
  <w:style w:type="paragraph" w:styleId="772">
    <w:name w:val="索引 7"/>
    <w:basedOn w:val="706"/>
    <w:next w:val="706"/>
    <w:link w:val="706"/>
    <w:semiHidden/>
    <w:qFormat/>
    <w:pPr>
      <w:ind w:left="2520"/>
    </w:pPr>
  </w:style>
  <w:style w:type="paragraph" w:styleId="773">
    <w:name w:val="索引 9"/>
    <w:basedOn w:val="706"/>
    <w:next w:val="706"/>
    <w:link w:val="706"/>
    <w:semiHidden/>
    <w:qFormat/>
    <w:pPr>
      <w:ind w:left="3360"/>
    </w:pPr>
  </w:style>
  <w:style w:type="paragraph" w:styleId="774">
    <w:name w:val="图表目录"/>
    <w:basedOn w:val="706"/>
    <w:next w:val="706"/>
    <w:link w:val="706"/>
    <w:semiHidden/>
    <w:qFormat/>
    <w:pPr>
      <w:ind w:left="840" w:hanging="420"/>
    </w:pPr>
  </w:style>
  <w:style w:type="paragraph" w:styleId="775">
    <w:name w:val="目录 2"/>
    <w:basedOn w:val="706"/>
    <w:next w:val="706"/>
    <w:link w:val="706"/>
    <w:uiPriority w:val="39"/>
    <w:qFormat/>
    <w:pPr>
      <w:ind w:left="210"/>
      <w:jc w:val="left"/>
    </w:pPr>
    <w:rPr>
      <w:smallCaps/>
      <w:sz w:val="20"/>
    </w:rPr>
  </w:style>
  <w:style w:type="paragraph" w:styleId="776">
    <w:name w:val="目录 9"/>
    <w:basedOn w:val="706"/>
    <w:next w:val="706"/>
    <w:link w:val="706"/>
    <w:semiHidden/>
    <w:qFormat/>
    <w:pPr>
      <w:ind w:left="1680"/>
      <w:jc w:val="left"/>
    </w:pPr>
    <w:rPr>
      <w:sz w:val="18"/>
    </w:rPr>
  </w:style>
  <w:style w:type="paragraph" w:styleId="777">
    <w:name w:val="正文文本 2"/>
    <w:basedOn w:val="706"/>
    <w:next w:val="777"/>
    <w:link w:val="706"/>
    <w:qFormat/>
    <w:pPr>
      <w:jc w:val="center"/>
      <w:widowControl/>
    </w:pPr>
    <w:rPr>
      <w:rFonts w:ascii="方正楷体_GB2312" w:eastAsia="方正楷体_GB2312"/>
      <w:sz w:val="28"/>
    </w:rPr>
  </w:style>
  <w:style w:type="paragraph" w:styleId="778">
    <w:name w:val="信息标题"/>
    <w:basedOn w:val="706"/>
    <w:next w:val="778"/>
    <w:link w:val="70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79">
    <w:name w:val="HTML 预设格式"/>
    <w:basedOn w:val="706"/>
    <w:next w:val="779"/>
    <w:link w:val="7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80">
    <w:name w:val="HTML 预设格式 Char"/>
    <w:next w:val="780"/>
    <w:link w:val="779"/>
    <w:uiPriority w:val="99"/>
    <w:qFormat/>
    <w:rPr>
      <w:rFonts w:ascii="黑体" w:hAnsi="Courier New" w:eastAsia="黑体" w:cs="Courier New"/>
      <w:lang w:val="en-US" w:eastAsia="zh-CN" w:bidi="ar-SA"/>
    </w:rPr>
  </w:style>
  <w:style w:type="paragraph" w:styleId="781">
    <w:name w:val="普通(网站)"/>
    <w:basedOn w:val="706"/>
    <w:next w:val="781"/>
    <w:link w:val="706"/>
    <w:qFormat/>
    <w:pPr>
      <w:jc w:val="left"/>
      <w:spacing w:before="100" w:beforeAutospacing="1" w:after="100" w:afterAutospacing="1"/>
      <w:widowControl/>
    </w:pPr>
    <w:rPr>
      <w:rFonts w:ascii="Arial" w:hAnsi="Arial" w:eastAsia="Arial Unicode MS" w:cs="Arial"/>
      <w:sz w:val="24"/>
      <w:szCs w:val="24"/>
    </w:rPr>
  </w:style>
  <w:style w:type="paragraph" w:styleId="782">
    <w:name w:val="索引 2"/>
    <w:basedOn w:val="706"/>
    <w:next w:val="706"/>
    <w:link w:val="706"/>
    <w:semiHidden/>
    <w:qFormat/>
    <w:pPr>
      <w:ind w:left="420"/>
    </w:pPr>
  </w:style>
  <w:style w:type="paragraph" w:styleId="783">
    <w:name w:val="标题"/>
    <w:basedOn w:val="706"/>
    <w:next w:val="783"/>
    <w:link w:val="784"/>
    <w:qFormat/>
    <w:pPr>
      <w:jc w:val="center"/>
      <w:spacing w:line="420" w:lineRule="exact"/>
      <w:widowControl/>
    </w:pPr>
    <w:rPr>
      <w:rFonts w:eastAsia="黑体"/>
      <w:b/>
      <w:sz w:val="28"/>
      <w:lang w:val="en-GB"/>
    </w:rPr>
  </w:style>
  <w:style w:type="character" w:styleId="784">
    <w:name w:val="标题 Char"/>
    <w:next w:val="784"/>
    <w:link w:val="783"/>
    <w:qFormat/>
    <w:rPr>
      <w:rFonts w:eastAsia="黑体"/>
      <w:b/>
      <w:sz w:val="28"/>
      <w:lang w:val="en-GB" w:eastAsia="zh-CN" w:bidi="ar-SA"/>
    </w:rPr>
  </w:style>
  <w:style w:type="paragraph" w:styleId="785">
    <w:name w:val="批注主题"/>
    <w:basedOn w:val="736"/>
    <w:next w:val="736"/>
    <w:link w:val="786"/>
    <w:semiHidden/>
    <w:qFormat/>
    <w:rPr>
      <w:b/>
      <w:bCs/>
    </w:rPr>
  </w:style>
  <w:style w:type="character" w:styleId="786">
    <w:name w:val="批注主题 Char"/>
    <w:next w:val="786"/>
    <w:link w:val="785"/>
    <w:qFormat/>
    <w:rPr>
      <w:rFonts w:eastAsia="宋体"/>
      <w:b/>
      <w:bCs/>
      <w:sz w:val="21"/>
      <w:lang w:val="en-US" w:eastAsia="zh-CN" w:bidi="ar-SA"/>
    </w:rPr>
  </w:style>
  <w:style w:type="paragraph" w:styleId="787">
    <w:name w:val="正文首行缩进"/>
    <w:basedOn w:val="741"/>
    <w:next w:val="767"/>
    <w:link w:val="706"/>
    <w:qFormat/>
    <w:pPr>
      <w:ind w:firstLine="420"/>
      <w:spacing w:after="120"/>
    </w:pPr>
    <w:rPr>
      <w:rFonts w:ascii="Times New Roman" w:hAnsi="Times New Roman" w:eastAsia="宋体"/>
      <w:sz w:val="21"/>
      <w:szCs w:val="24"/>
    </w:rPr>
  </w:style>
  <w:style w:type="paragraph" w:styleId="788">
    <w:name w:val="正文首行缩进 2"/>
    <w:basedOn w:val="742"/>
    <w:next w:val="706"/>
    <w:link w:val="706"/>
    <w:qFormat/>
    <w:pPr>
      <w:ind w:firstLine="420"/>
    </w:pPr>
    <w:rPr>
      <w:rFonts w:ascii="Calibri" w:hAnsi="Calibri" w:cs="Calibri"/>
      <w:szCs w:val="24"/>
    </w:rPr>
  </w:style>
  <w:style w:type="table" w:styleId="789">
    <w:name w:val="网格型"/>
    <w:basedOn w:val="717"/>
    <w:next w:val="789"/>
    <w:link w:val="706"/>
    <w:qFormat/>
    <w:pPr>
      <w:jc w:val="both"/>
      <w:widowControl w:val="off"/>
    </w:pPr>
    <w:tblPr/>
  </w:style>
  <w:style w:type="character" w:styleId="790">
    <w:name w:val="要点"/>
    <w:next w:val="790"/>
    <w:link w:val="706"/>
    <w:qFormat/>
    <w:rPr>
      <w:b/>
      <w:bCs/>
    </w:rPr>
  </w:style>
  <w:style w:type="character" w:styleId="791">
    <w:name w:val="尾注引用"/>
    <w:next w:val="791"/>
    <w:link w:val="706"/>
    <w:qFormat/>
    <w:rPr>
      <w:vertAlign w:val="superscript"/>
    </w:rPr>
  </w:style>
  <w:style w:type="character" w:styleId="792">
    <w:name w:val="页码"/>
    <w:basedOn w:val="716"/>
    <w:next w:val="792"/>
    <w:link w:val="706"/>
    <w:qFormat/>
  </w:style>
  <w:style w:type="character" w:styleId="793">
    <w:name w:val="已访问的超链接"/>
    <w:basedOn w:val="716"/>
    <w:next w:val="793"/>
    <w:link w:val="706"/>
    <w:uiPriority w:val="99"/>
    <w:qFormat/>
    <w:rPr>
      <w:color w:val="000000"/>
      <w:u w:val="none"/>
    </w:rPr>
  </w:style>
  <w:style w:type="character" w:styleId="794">
    <w:name w:val="强调"/>
    <w:next w:val="794"/>
    <w:link w:val="706"/>
    <w:qFormat/>
    <w:rPr>
      <w:b/>
      <w:bCs/>
      <w:i/>
      <w:iCs/>
      <w:spacing w:val="10"/>
      <w:shd w:val="clear" w:color="auto" w:fill="auto"/>
    </w:rPr>
  </w:style>
  <w:style w:type="character" w:styleId="795">
    <w:name w:val="行号"/>
    <w:basedOn w:val="716"/>
    <w:next w:val="795"/>
    <w:link w:val="706"/>
    <w:qFormat/>
  </w:style>
  <w:style w:type="character" w:styleId="796">
    <w:name w:val="HTML 打字机"/>
    <w:next w:val="796"/>
    <w:link w:val="706"/>
    <w:qFormat/>
    <w:rPr>
      <w:rFonts w:ascii="宋体" w:hAnsi="宋体" w:eastAsia="宋体" w:cs="宋体"/>
      <w:sz w:val="24"/>
      <w:szCs w:val="24"/>
    </w:rPr>
  </w:style>
  <w:style w:type="character" w:styleId="797">
    <w:name w:val="HTML 缩写"/>
    <w:basedOn w:val="716"/>
    <w:next w:val="797"/>
    <w:link w:val="706"/>
    <w:qFormat/>
  </w:style>
  <w:style w:type="character" w:styleId="798">
    <w:name w:val="超链接"/>
    <w:basedOn w:val="716"/>
    <w:next w:val="798"/>
    <w:link w:val="706"/>
    <w:uiPriority w:val="99"/>
    <w:qFormat/>
    <w:rPr>
      <w:color w:val="000000"/>
      <w:u w:val="none"/>
    </w:rPr>
  </w:style>
  <w:style w:type="character" w:styleId="799">
    <w:name w:val="HTML 代码"/>
    <w:basedOn w:val="716"/>
    <w:next w:val="799"/>
    <w:link w:val="706"/>
    <w:qFormat/>
    <w:rPr>
      <w:rFonts w:ascii="Courier New" w:hAnsi="Courier New"/>
      <w:sz w:val="20"/>
    </w:rPr>
  </w:style>
  <w:style w:type="character" w:styleId="800">
    <w:name w:val="批注引用"/>
    <w:next w:val="800"/>
    <w:link w:val="706"/>
    <w:qFormat/>
    <w:rPr>
      <w:sz w:val="21"/>
    </w:rPr>
  </w:style>
  <w:style w:type="character" w:styleId="801">
    <w:name w:val="脚注引用"/>
    <w:next w:val="801"/>
    <w:link w:val="706"/>
    <w:qFormat/>
    <w:rPr>
      <w:vertAlign w:val="superscript"/>
    </w:rPr>
  </w:style>
  <w:style w:type="character" w:styleId="802">
    <w:name w:val="HTML 键盘"/>
    <w:basedOn w:val="716"/>
    <w:next w:val="802"/>
    <w:link w:val="706"/>
    <w:qFormat/>
    <w:rPr>
      <w:rFonts w:ascii="DejaVu Math TeX Gyre" w:hAnsi="DejaVu Math TeX Gyre" w:eastAsia="DejaVu Math TeX Gyre" w:cs="DejaVu Math TeX Gyre"/>
      <w:sz w:val="20"/>
    </w:rPr>
  </w:style>
  <w:style w:type="character" w:styleId="803">
    <w:name w:val="HTML 样本"/>
    <w:next w:val="803"/>
    <w:link w:val="706"/>
    <w:qFormat/>
    <w:rPr>
      <w:rFonts w:ascii="Courier New" w:hAnsi="宋体" w:eastAsia="宋体" w:cs="Courier New"/>
    </w:rPr>
  </w:style>
  <w:style w:type="paragraph" w:styleId="804">
    <w:name w:val="索引 41"/>
    <w:basedOn w:val="706"/>
    <w:next w:val="706"/>
    <w:link w:val="706"/>
    <w:semiHidden/>
    <w:qFormat/>
    <w:pPr>
      <w:ind w:left="1260"/>
    </w:pPr>
    <w:rPr>
      <w:rFonts w:ascii="Calibri" w:hAnsi="Calibri" w:eastAsia="Calibri" w:cs="宋体"/>
      <w:sz w:val="20"/>
      <w:lang w:val="zh-CN"/>
    </w:rPr>
  </w:style>
  <w:style w:type="paragraph" w:styleId="805">
    <w:name w:val="正文文本缩进11"/>
    <w:basedOn w:val="806"/>
    <w:next w:val="810"/>
    <w:link w:val="706"/>
    <w:qFormat/>
    <w:pPr>
      <w:ind w:firstLine="301"/>
      <w:spacing w:line="200" w:lineRule="exact"/>
    </w:pPr>
    <w:rPr>
      <w:rFonts w:ascii="宋体" w:hAnsi="宋体"/>
      <w:spacing w:val="-4"/>
      <w:sz w:val="18"/>
      <w:szCs w:val="20"/>
    </w:rPr>
  </w:style>
  <w:style w:type="paragraph" w:styleId="806">
    <w:name w:val="正文112"/>
    <w:next w:val="807"/>
    <w:link w:val="706"/>
    <w:qFormat/>
    <w:pPr>
      <w:jc w:val="both"/>
      <w:widowControl w:val="off"/>
    </w:pPr>
    <w:rPr>
      <w:sz w:val="21"/>
      <w:szCs w:val="24"/>
      <w:lang w:val="en-US" w:eastAsia="zh-CN" w:bidi="ar-SA"/>
    </w:rPr>
  </w:style>
  <w:style w:type="paragraph" w:styleId="807">
    <w:name w:val="正文首行缩进1"/>
    <w:basedOn w:val="808"/>
    <w:next w:val="807"/>
    <w:link w:val="706"/>
    <w:semiHidden/>
    <w:qFormat/>
    <w:pPr>
      <w:ind w:firstLine="420"/>
    </w:pPr>
    <w:rPr>
      <w:rFonts w:cs="宋体"/>
      <w:szCs w:val="28"/>
    </w:rPr>
  </w:style>
  <w:style w:type="paragraph" w:styleId="808">
    <w:name w:val="正文文本1"/>
    <w:basedOn w:val="809"/>
    <w:next w:val="706"/>
    <w:link w:val="706"/>
    <w:qFormat/>
    <w:pPr>
      <w:spacing w:after="120"/>
    </w:pPr>
  </w:style>
  <w:style w:type="paragraph" w:styleId="809">
    <w:name w:val="正文1"/>
    <w:basedOn w:val="706"/>
    <w:next w:val="808"/>
    <w:link w:val="706"/>
    <w:qFormat/>
    <w:pPr>
      <w:ind w:firstLine="510"/>
      <w:spacing w:before="156" w:line="360" w:lineRule="auto"/>
    </w:pPr>
    <w:rPr>
      <w:sz w:val="24"/>
    </w:rPr>
  </w:style>
  <w:style w:type="paragraph" w:styleId="810">
    <w:name w:val="寄信人地址1"/>
    <w:basedOn w:val="706"/>
    <w:next w:val="810"/>
    <w:link w:val="706"/>
    <w:qFormat/>
    <w:rPr>
      <w:rFonts w:ascii="Arial" w:hAnsi="Arial" w:cs="宋体"/>
      <w:szCs w:val="24"/>
    </w:rPr>
  </w:style>
  <w:style w:type="character" w:styleId="811">
    <w:name w:val="Heading 1 Char"/>
    <w:basedOn w:val="716"/>
    <w:next w:val="811"/>
    <w:link w:val="706"/>
    <w:uiPriority w:val="9"/>
    <w:qFormat/>
    <w:rPr>
      <w:rFonts w:ascii="Arial" w:hAnsi="Arial" w:eastAsia="Arial" w:cs="Arial"/>
      <w:sz w:val="40"/>
      <w:szCs w:val="40"/>
    </w:rPr>
  </w:style>
  <w:style w:type="character" w:styleId="812">
    <w:name w:val="Heading 2 Char"/>
    <w:basedOn w:val="716"/>
    <w:next w:val="812"/>
    <w:link w:val="706"/>
    <w:uiPriority w:val="9"/>
    <w:qFormat/>
    <w:rPr>
      <w:rFonts w:ascii="Arial" w:hAnsi="Arial" w:eastAsia="Arial" w:cs="Arial"/>
      <w:sz w:val="34"/>
    </w:rPr>
  </w:style>
  <w:style w:type="character" w:styleId="813">
    <w:name w:val="Heading 3 Char"/>
    <w:basedOn w:val="716"/>
    <w:next w:val="813"/>
    <w:link w:val="706"/>
    <w:uiPriority w:val="9"/>
    <w:qFormat/>
    <w:rPr>
      <w:rFonts w:ascii="Arial" w:hAnsi="Arial" w:eastAsia="Arial" w:cs="Arial"/>
      <w:sz w:val="30"/>
      <w:szCs w:val="30"/>
    </w:rPr>
  </w:style>
  <w:style w:type="character" w:styleId="814">
    <w:name w:val="Heading 4 Char"/>
    <w:basedOn w:val="716"/>
    <w:next w:val="814"/>
    <w:link w:val="706"/>
    <w:uiPriority w:val="9"/>
    <w:qFormat/>
    <w:rPr>
      <w:rFonts w:ascii="Arial" w:hAnsi="Arial" w:eastAsia="Arial" w:cs="Arial"/>
      <w:b/>
      <w:bCs/>
      <w:sz w:val="26"/>
      <w:szCs w:val="26"/>
    </w:rPr>
  </w:style>
  <w:style w:type="character" w:styleId="815">
    <w:name w:val="Heading 5 Char"/>
    <w:basedOn w:val="716"/>
    <w:next w:val="815"/>
    <w:link w:val="706"/>
    <w:uiPriority w:val="9"/>
    <w:qFormat/>
    <w:rPr>
      <w:rFonts w:ascii="Arial" w:hAnsi="Arial" w:eastAsia="Arial" w:cs="Arial"/>
      <w:b/>
      <w:bCs/>
      <w:sz w:val="24"/>
      <w:szCs w:val="24"/>
    </w:rPr>
  </w:style>
  <w:style w:type="character" w:styleId="816">
    <w:name w:val="Heading 6 Char"/>
    <w:basedOn w:val="716"/>
    <w:next w:val="816"/>
    <w:link w:val="706"/>
    <w:uiPriority w:val="9"/>
    <w:qFormat/>
    <w:rPr>
      <w:rFonts w:ascii="Arial" w:hAnsi="Arial" w:eastAsia="Arial" w:cs="Arial"/>
      <w:b/>
      <w:bCs/>
      <w:sz w:val="22"/>
      <w:szCs w:val="22"/>
    </w:rPr>
  </w:style>
  <w:style w:type="character" w:styleId="817">
    <w:name w:val="Heading 7 Char"/>
    <w:basedOn w:val="716"/>
    <w:next w:val="817"/>
    <w:link w:val="706"/>
    <w:uiPriority w:val="9"/>
    <w:qFormat/>
    <w:rPr>
      <w:rFonts w:ascii="Arial" w:hAnsi="Arial" w:eastAsia="Arial" w:cs="Arial"/>
      <w:b/>
      <w:bCs/>
      <w:i/>
      <w:iCs/>
      <w:sz w:val="22"/>
      <w:szCs w:val="22"/>
    </w:rPr>
  </w:style>
  <w:style w:type="character" w:styleId="818">
    <w:name w:val="Heading 8 Char"/>
    <w:basedOn w:val="716"/>
    <w:next w:val="818"/>
    <w:link w:val="706"/>
    <w:uiPriority w:val="9"/>
    <w:qFormat/>
    <w:rPr>
      <w:rFonts w:ascii="Arial" w:hAnsi="Arial" w:eastAsia="Arial" w:cs="Arial"/>
      <w:i/>
      <w:iCs/>
      <w:sz w:val="22"/>
      <w:szCs w:val="22"/>
    </w:rPr>
  </w:style>
  <w:style w:type="character" w:styleId="819">
    <w:name w:val="Heading 9 Char"/>
    <w:basedOn w:val="716"/>
    <w:next w:val="819"/>
    <w:link w:val="706"/>
    <w:uiPriority w:val="9"/>
    <w:qFormat/>
    <w:rPr>
      <w:rFonts w:ascii="Arial" w:hAnsi="Arial" w:eastAsia="Arial" w:cs="Arial"/>
      <w:i/>
      <w:iCs/>
      <w:sz w:val="21"/>
      <w:szCs w:val="21"/>
    </w:rPr>
  </w:style>
  <w:style w:type="character" w:styleId="820">
    <w:name w:val="Title Char"/>
    <w:basedOn w:val="716"/>
    <w:next w:val="820"/>
    <w:link w:val="706"/>
    <w:uiPriority w:val="10"/>
    <w:qFormat/>
    <w:rPr>
      <w:sz w:val="48"/>
      <w:szCs w:val="48"/>
    </w:rPr>
  </w:style>
  <w:style w:type="character" w:styleId="821">
    <w:name w:val="Subtitle Char"/>
    <w:basedOn w:val="716"/>
    <w:next w:val="821"/>
    <w:link w:val="706"/>
    <w:uiPriority w:val="11"/>
    <w:qFormat/>
    <w:rPr>
      <w:sz w:val="24"/>
      <w:szCs w:val="24"/>
    </w:rPr>
  </w:style>
  <w:style w:type="character" w:styleId="822">
    <w:name w:val="Quote Char"/>
    <w:next w:val="822"/>
    <w:link w:val="706"/>
    <w:uiPriority w:val="29"/>
    <w:qFormat/>
    <w:rPr>
      <w:i/>
    </w:rPr>
  </w:style>
  <w:style w:type="character" w:styleId="823">
    <w:name w:val="Intense Quote Char"/>
    <w:next w:val="823"/>
    <w:link w:val="706"/>
    <w:uiPriority w:val="30"/>
    <w:qFormat/>
    <w:rPr>
      <w:i/>
    </w:rPr>
  </w:style>
  <w:style w:type="character" w:styleId="824">
    <w:name w:val="Header Char"/>
    <w:basedOn w:val="716"/>
    <w:next w:val="824"/>
    <w:link w:val="706"/>
    <w:uiPriority w:val="99"/>
  </w:style>
  <w:style w:type="character" w:styleId="825">
    <w:name w:val="Footer Char"/>
    <w:basedOn w:val="716"/>
    <w:next w:val="825"/>
    <w:link w:val="706"/>
    <w:uiPriority w:val="99"/>
    <w:qFormat/>
  </w:style>
  <w:style w:type="character" w:styleId="826">
    <w:name w:val="Caption Char"/>
    <w:next w:val="826"/>
    <w:link w:val="706"/>
    <w:uiPriority w:val="99"/>
  </w:style>
  <w:style w:type="table" w:styleId="827">
    <w:name w:val="Table Grid Light"/>
    <w:basedOn w:val="717"/>
    <w:next w:val="827"/>
    <w:link w:val="706"/>
    <w:uiPriority w:val="59"/>
    <w:pPr>
      <w:spacing w:after="0" w:line="240" w:lineRule="auto"/>
    </w:pPr>
    <w:tblPr/>
  </w:style>
  <w:style w:type="table" w:styleId="828">
    <w:name w:val="Plain Table 1"/>
    <w:basedOn w:val="717"/>
    <w:next w:val="828"/>
    <w:link w:val="706"/>
    <w:uiPriority w:val="59"/>
    <w:pPr>
      <w:spacing w:after="0" w:line="240" w:lineRule="auto"/>
    </w:pPr>
    <w:tblPr/>
  </w:style>
  <w:style w:type="table" w:styleId="829">
    <w:name w:val="Plain Table 2"/>
    <w:basedOn w:val="717"/>
    <w:next w:val="829"/>
    <w:link w:val="706"/>
    <w:uiPriority w:val="59"/>
    <w:pPr>
      <w:spacing w:after="0" w:line="240" w:lineRule="auto"/>
    </w:pPr>
    <w:tblPr/>
  </w:style>
  <w:style w:type="table" w:styleId="830">
    <w:name w:val="Plain Table 3"/>
    <w:basedOn w:val="717"/>
    <w:next w:val="830"/>
    <w:link w:val="706"/>
    <w:uiPriority w:val="99"/>
    <w:qFormat/>
    <w:pPr>
      <w:spacing w:after="0" w:line="240" w:lineRule="auto"/>
    </w:pPr>
    <w:tblPr/>
  </w:style>
  <w:style w:type="table" w:styleId="831">
    <w:name w:val="Plain Table 4"/>
    <w:basedOn w:val="717"/>
    <w:next w:val="831"/>
    <w:link w:val="706"/>
    <w:uiPriority w:val="99"/>
    <w:qFormat/>
    <w:pPr>
      <w:spacing w:after="0" w:line="240" w:lineRule="auto"/>
    </w:pPr>
    <w:tblPr/>
  </w:style>
  <w:style w:type="table" w:styleId="832">
    <w:name w:val="Plain Table 5"/>
    <w:basedOn w:val="717"/>
    <w:next w:val="832"/>
    <w:link w:val="706"/>
    <w:uiPriority w:val="99"/>
    <w:qFormat/>
    <w:pPr>
      <w:spacing w:after="0" w:line="240" w:lineRule="auto"/>
    </w:pPr>
    <w:tblPr/>
  </w:style>
  <w:style w:type="table" w:styleId="833">
    <w:name w:val="Grid Table 1 Light"/>
    <w:basedOn w:val="717"/>
    <w:next w:val="833"/>
    <w:link w:val="706"/>
    <w:uiPriority w:val="99"/>
    <w:qFormat/>
    <w:pPr>
      <w:spacing w:after="0" w:line="240" w:lineRule="auto"/>
    </w:pPr>
    <w:tblPr/>
  </w:style>
  <w:style w:type="table" w:styleId="834">
    <w:name w:val="Grid Table 1 Light - Accent 1"/>
    <w:basedOn w:val="717"/>
    <w:next w:val="834"/>
    <w:link w:val="706"/>
    <w:uiPriority w:val="99"/>
    <w:qFormat/>
    <w:pPr>
      <w:spacing w:after="0" w:line="240" w:lineRule="auto"/>
    </w:pPr>
    <w:tblPr/>
  </w:style>
  <w:style w:type="table" w:styleId="835">
    <w:name w:val="Grid Table 1 Light - Accent 2"/>
    <w:basedOn w:val="717"/>
    <w:next w:val="835"/>
    <w:link w:val="706"/>
    <w:uiPriority w:val="99"/>
    <w:qFormat/>
    <w:pPr>
      <w:spacing w:after="0" w:line="240" w:lineRule="auto"/>
    </w:pPr>
    <w:tblPr/>
  </w:style>
  <w:style w:type="table" w:styleId="836">
    <w:name w:val="Grid Table 1 Light - Accent 3"/>
    <w:basedOn w:val="717"/>
    <w:next w:val="836"/>
    <w:link w:val="706"/>
    <w:uiPriority w:val="99"/>
    <w:qFormat/>
    <w:pPr>
      <w:spacing w:after="0" w:line="240" w:lineRule="auto"/>
    </w:pPr>
    <w:tblPr/>
  </w:style>
  <w:style w:type="table" w:styleId="837">
    <w:name w:val="Grid Table 1 Light - Accent 4"/>
    <w:basedOn w:val="717"/>
    <w:next w:val="837"/>
    <w:link w:val="706"/>
    <w:uiPriority w:val="99"/>
    <w:qFormat/>
    <w:pPr>
      <w:spacing w:after="0" w:line="240" w:lineRule="auto"/>
    </w:pPr>
    <w:tblPr/>
  </w:style>
  <w:style w:type="table" w:styleId="838">
    <w:name w:val="Grid Table 1 Light - Accent 5"/>
    <w:basedOn w:val="717"/>
    <w:next w:val="838"/>
    <w:link w:val="706"/>
    <w:uiPriority w:val="99"/>
    <w:qFormat/>
    <w:pPr>
      <w:spacing w:after="0" w:line="240" w:lineRule="auto"/>
    </w:pPr>
    <w:tblPr/>
  </w:style>
  <w:style w:type="table" w:styleId="839">
    <w:name w:val="Grid Table 1 Light - Accent 6"/>
    <w:basedOn w:val="717"/>
    <w:next w:val="839"/>
    <w:link w:val="706"/>
    <w:uiPriority w:val="99"/>
    <w:qFormat/>
    <w:pPr>
      <w:spacing w:after="0" w:line="240" w:lineRule="auto"/>
    </w:pPr>
    <w:tblPr/>
  </w:style>
  <w:style w:type="table" w:styleId="840">
    <w:name w:val="Grid Table 2"/>
    <w:basedOn w:val="717"/>
    <w:next w:val="840"/>
    <w:link w:val="706"/>
    <w:uiPriority w:val="99"/>
    <w:qFormat/>
    <w:pPr>
      <w:spacing w:after="0" w:line="240" w:lineRule="auto"/>
    </w:pPr>
    <w:tblPr/>
  </w:style>
  <w:style w:type="table" w:styleId="841">
    <w:name w:val="Grid Table 2 - Accent 1"/>
    <w:basedOn w:val="717"/>
    <w:next w:val="841"/>
    <w:link w:val="706"/>
    <w:uiPriority w:val="99"/>
    <w:qFormat/>
    <w:pPr>
      <w:spacing w:after="0" w:line="240" w:lineRule="auto"/>
    </w:pPr>
    <w:tblPr/>
  </w:style>
  <w:style w:type="table" w:styleId="842">
    <w:name w:val="Grid Table 2 - Accent 2"/>
    <w:basedOn w:val="717"/>
    <w:next w:val="842"/>
    <w:link w:val="706"/>
    <w:uiPriority w:val="99"/>
    <w:qFormat/>
    <w:pPr>
      <w:spacing w:after="0" w:line="240" w:lineRule="auto"/>
    </w:pPr>
    <w:tblPr/>
  </w:style>
  <w:style w:type="table" w:styleId="843">
    <w:name w:val="Grid Table 2 - Accent 3"/>
    <w:basedOn w:val="717"/>
    <w:next w:val="843"/>
    <w:link w:val="706"/>
    <w:uiPriority w:val="99"/>
    <w:qFormat/>
    <w:pPr>
      <w:spacing w:after="0" w:line="240" w:lineRule="auto"/>
    </w:pPr>
    <w:tblPr/>
  </w:style>
  <w:style w:type="table" w:styleId="844">
    <w:name w:val="Grid Table 2 - Accent 4"/>
    <w:basedOn w:val="717"/>
    <w:next w:val="844"/>
    <w:link w:val="706"/>
    <w:uiPriority w:val="99"/>
    <w:qFormat/>
    <w:pPr>
      <w:spacing w:after="0" w:line="240" w:lineRule="auto"/>
    </w:pPr>
    <w:tblPr/>
  </w:style>
  <w:style w:type="table" w:styleId="845">
    <w:name w:val="Grid Table 2 - Accent 5"/>
    <w:basedOn w:val="717"/>
    <w:next w:val="845"/>
    <w:link w:val="706"/>
    <w:uiPriority w:val="99"/>
    <w:qFormat/>
    <w:pPr>
      <w:spacing w:after="0" w:line="240" w:lineRule="auto"/>
    </w:pPr>
    <w:tblPr/>
  </w:style>
  <w:style w:type="table" w:styleId="846">
    <w:name w:val="Grid Table 2 - Accent 6"/>
    <w:basedOn w:val="717"/>
    <w:next w:val="846"/>
    <w:link w:val="706"/>
    <w:uiPriority w:val="99"/>
    <w:qFormat/>
    <w:pPr>
      <w:spacing w:after="0" w:line="240" w:lineRule="auto"/>
    </w:pPr>
    <w:tblPr/>
  </w:style>
  <w:style w:type="table" w:styleId="847">
    <w:name w:val="Grid Table 3"/>
    <w:basedOn w:val="717"/>
    <w:next w:val="847"/>
    <w:link w:val="706"/>
    <w:uiPriority w:val="99"/>
    <w:qFormat/>
    <w:pPr>
      <w:spacing w:after="0" w:line="240" w:lineRule="auto"/>
    </w:pPr>
    <w:tblPr/>
  </w:style>
  <w:style w:type="table" w:styleId="848">
    <w:name w:val="Grid Table 3 - Accent 1"/>
    <w:basedOn w:val="717"/>
    <w:next w:val="848"/>
    <w:link w:val="706"/>
    <w:uiPriority w:val="99"/>
    <w:qFormat/>
    <w:pPr>
      <w:spacing w:after="0" w:line="240" w:lineRule="auto"/>
    </w:pPr>
    <w:tblPr/>
  </w:style>
  <w:style w:type="table" w:styleId="849">
    <w:name w:val="Grid Table 3 - Accent 2"/>
    <w:basedOn w:val="717"/>
    <w:next w:val="849"/>
    <w:link w:val="706"/>
    <w:uiPriority w:val="99"/>
    <w:qFormat/>
    <w:pPr>
      <w:spacing w:after="0" w:line="240" w:lineRule="auto"/>
    </w:pPr>
    <w:tblPr/>
  </w:style>
  <w:style w:type="table" w:styleId="850">
    <w:name w:val="Grid Table 3 - Accent 3"/>
    <w:basedOn w:val="717"/>
    <w:next w:val="850"/>
    <w:link w:val="706"/>
    <w:uiPriority w:val="99"/>
    <w:qFormat/>
    <w:pPr>
      <w:spacing w:after="0" w:line="240" w:lineRule="auto"/>
    </w:pPr>
    <w:tblPr/>
  </w:style>
  <w:style w:type="table" w:styleId="851">
    <w:name w:val="Grid Table 3 - Accent 4"/>
    <w:basedOn w:val="717"/>
    <w:next w:val="851"/>
    <w:link w:val="706"/>
    <w:uiPriority w:val="99"/>
    <w:qFormat/>
    <w:pPr>
      <w:spacing w:after="0" w:line="240" w:lineRule="auto"/>
    </w:pPr>
    <w:tblPr/>
  </w:style>
  <w:style w:type="table" w:styleId="852">
    <w:name w:val="Grid Table 3 - Accent 5"/>
    <w:basedOn w:val="717"/>
    <w:next w:val="852"/>
    <w:link w:val="706"/>
    <w:uiPriority w:val="99"/>
    <w:qFormat/>
    <w:pPr>
      <w:spacing w:after="0" w:line="240" w:lineRule="auto"/>
    </w:pPr>
    <w:tblPr/>
  </w:style>
  <w:style w:type="table" w:styleId="853">
    <w:name w:val="Grid Table 3 - Accent 6"/>
    <w:basedOn w:val="717"/>
    <w:next w:val="853"/>
    <w:link w:val="706"/>
    <w:uiPriority w:val="99"/>
    <w:qFormat/>
    <w:pPr>
      <w:spacing w:after="0" w:line="240" w:lineRule="auto"/>
    </w:pPr>
    <w:tblPr/>
  </w:style>
  <w:style w:type="table" w:styleId="854">
    <w:name w:val="Grid Table 4"/>
    <w:basedOn w:val="717"/>
    <w:next w:val="854"/>
    <w:link w:val="706"/>
    <w:uiPriority w:val="59"/>
    <w:qFormat/>
    <w:pPr>
      <w:spacing w:after="0" w:line="240" w:lineRule="auto"/>
    </w:pPr>
    <w:tblPr/>
  </w:style>
  <w:style w:type="table" w:styleId="855">
    <w:name w:val="Grid Table 4 - Accent 1"/>
    <w:basedOn w:val="717"/>
    <w:next w:val="855"/>
    <w:link w:val="706"/>
    <w:uiPriority w:val="59"/>
    <w:qFormat/>
    <w:pPr>
      <w:spacing w:after="0" w:line="240" w:lineRule="auto"/>
    </w:pPr>
    <w:tblPr/>
  </w:style>
  <w:style w:type="table" w:styleId="856">
    <w:name w:val="Grid Table 4 - Accent 2"/>
    <w:basedOn w:val="717"/>
    <w:next w:val="856"/>
    <w:link w:val="706"/>
    <w:uiPriority w:val="59"/>
    <w:qFormat/>
    <w:pPr>
      <w:spacing w:after="0" w:line="240" w:lineRule="auto"/>
    </w:pPr>
    <w:tblPr/>
  </w:style>
  <w:style w:type="table" w:styleId="857">
    <w:name w:val="Grid Table 4 - Accent 3"/>
    <w:basedOn w:val="717"/>
    <w:next w:val="857"/>
    <w:link w:val="706"/>
    <w:uiPriority w:val="59"/>
    <w:qFormat/>
    <w:pPr>
      <w:spacing w:after="0" w:line="240" w:lineRule="auto"/>
    </w:pPr>
    <w:tblPr/>
  </w:style>
  <w:style w:type="table" w:styleId="858">
    <w:name w:val="Grid Table 4 - Accent 4"/>
    <w:basedOn w:val="717"/>
    <w:next w:val="858"/>
    <w:link w:val="706"/>
    <w:uiPriority w:val="59"/>
    <w:qFormat/>
    <w:pPr>
      <w:spacing w:after="0" w:line="240" w:lineRule="auto"/>
    </w:pPr>
    <w:tblPr/>
  </w:style>
  <w:style w:type="table" w:styleId="859">
    <w:name w:val="Grid Table 4 - Accent 5"/>
    <w:basedOn w:val="717"/>
    <w:next w:val="859"/>
    <w:link w:val="706"/>
    <w:uiPriority w:val="59"/>
    <w:qFormat/>
    <w:pPr>
      <w:spacing w:after="0" w:line="240" w:lineRule="auto"/>
    </w:pPr>
    <w:tblPr/>
  </w:style>
  <w:style w:type="table" w:styleId="860">
    <w:name w:val="Grid Table 4 - Accent 6"/>
    <w:basedOn w:val="717"/>
    <w:next w:val="860"/>
    <w:link w:val="706"/>
    <w:uiPriority w:val="59"/>
    <w:qFormat/>
    <w:pPr>
      <w:spacing w:after="0" w:line="240" w:lineRule="auto"/>
    </w:pPr>
    <w:tblPr/>
  </w:style>
  <w:style w:type="table" w:styleId="861">
    <w:name w:val="Grid Table 5 Dark"/>
    <w:basedOn w:val="717"/>
    <w:next w:val="861"/>
    <w:link w:val="706"/>
    <w:uiPriority w:val="99"/>
    <w:qFormat/>
    <w:pPr>
      <w:spacing w:after="0" w:line="240" w:lineRule="auto"/>
    </w:pPr>
    <w:tblPr/>
  </w:style>
  <w:style w:type="table" w:styleId="862">
    <w:name w:val="Grid Table 5 Dark- Accent 1"/>
    <w:basedOn w:val="717"/>
    <w:next w:val="862"/>
    <w:link w:val="706"/>
    <w:uiPriority w:val="99"/>
    <w:qFormat/>
    <w:pPr>
      <w:spacing w:after="0" w:line="240" w:lineRule="auto"/>
    </w:pPr>
    <w:tblPr/>
  </w:style>
  <w:style w:type="table" w:styleId="863">
    <w:name w:val="Grid Table 5 Dark - Accent 2"/>
    <w:basedOn w:val="717"/>
    <w:next w:val="863"/>
    <w:link w:val="706"/>
    <w:uiPriority w:val="99"/>
    <w:qFormat/>
    <w:pPr>
      <w:spacing w:after="0" w:line="240" w:lineRule="auto"/>
    </w:pPr>
    <w:tblPr/>
  </w:style>
  <w:style w:type="table" w:styleId="864">
    <w:name w:val="Grid Table 5 Dark - Accent 3"/>
    <w:basedOn w:val="717"/>
    <w:next w:val="864"/>
    <w:link w:val="706"/>
    <w:uiPriority w:val="99"/>
    <w:qFormat/>
    <w:pPr>
      <w:spacing w:after="0" w:line="240" w:lineRule="auto"/>
    </w:pPr>
    <w:tblPr/>
  </w:style>
  <w:style w:type="table" w:styleId="865">
    <w:name w:val="Grid Table 5 Dark- Accent 4"/>
    <w:basedOn w:val="717"/>
    <w:next w:val="865"/>
    <w:link w:val="706"/>
    <w:uiPriority w:val="99"/>
    <w:qFormat/>
    <w:pPr>
      <w:spacing w:after="0" w:line="240" w:lineRule="auto"/>
    </w:pPr>
    <w:tblPr/>
  </w:style>
  <w:style w:type="table" w:styleId="866">
    <w:name w:val="Grid Table 5 Dark - Accent 5"/>
    <w:basedOn w:val="717"/>
    <w:next w:val="866"/>
    <w:link w:val="706"/>
    <w:uiPriority w:val="99"/>
    <w:qFormat/>
    <w:pPr>
      <w:spacing w:after="0" w:line="240" w:lineRule="auto"/>
    </w:pPr>
    <w:tblPr/>
  </w:style>
  <w:style w:type="table" w:styleId="867">
    <w:name w:val="Grid Table 5 Dark - Accent 6"/>
    <w:basedOn w:val="717"/>
    <w:next w:val="867"/>
    <w:link w:val="706"/>
    <w:uiPriority w:val="99"/>
    <w:qFormat/>
    <w:pPr>
      <w:spacing w:after="0" w:line="240" w:lineRule="auto"/>
    </w:pPr>
    <w:tblPr/>
  </w:style>
  <w:style w:type="table" w:styleId="868">
    <w:name w:val="Grid Table 6 Colorful"/>
    <w:basedOn w:val="717"/>
    <w:next w:val="868"/>
    <w:link w:val="706"/>
    <w:uiPriority w:val="99"/>
    <w:qFormat/>
    <w:pPr>
      <w:spacing w:after="0" w:line="240" w:lineRule="auto"/>
    </w:pPr>
    <w:tblPr/>
  </w:style>
  <w:style w:type="table" w:styleId="869">
    <w:name w:val="Grid Table 6 Colorful - Accent 1"/>
    <w:basedOn w:val="717"/>
    <w:next w:val="869"/>
    <w:link w:val="706"/>
    <w:uiPriority w:val="99"/>
    <w:qFormat/>
    <w:pPr>
      <w:spacing w:after="0" w:line="240" w:lineRule="auto"/>
    </w:pPr>
    <w:tblPr/>
  </w:style>
  <w:style w:type="table" w:styleId="870">
    <w:name w:val="Grid Table 6 Colorful - Accent 2"/>
    <w:basedOn w:val="717"/>
    <w:next w:val="870"/>
    <w:link w:val="706"/>
    <w:uiPriority w:val="99"/>
    <w:qFormat/>
    <w:pPr>
      <w:spacing w:after="0" w:line="240" w:lineRule="auto"/>
    </w:pPr>
    <w:tblPr/>
  </w:style>
  <w:style w:type="table" w:styleId="871">
    <w:name w:val="Grid Table 6 Colorful - Accent 3"/>
    <w:basedOn w:val="717"/>
    <w:next w:val="871"/>
    <w:link w:val="706"/>
    <w:uiPriority w:val="99"/>
    <w:qFormat/>
    <w:pPr>
      <w:spacing w:after="0" w:line="240" w:lineRule="auto"/>
    </w:pPr>
    <w:tblPr/>
  </w:style>
  <w:style w:type="table" w:styleId="872">
    <w:name w:val="Grid Table 6 Colorful - Accent 4"/>
    <w:basedOn w:val="717"/>
    <w:next w:val="872"/>
    <w:link w:val="706"/>
    <w:uiPriority w:val="99"/>
    <w:qFormat/>
    <w:pPr>
      <w:spacing w:after="0" w:line="240" w:lineRule="auto"/>
    </w:pPr>
    <w:tblPr/>
  </w:style>
  <w:style w:type="table" w:styleId="873">
    <w:name w:val="Grid Table 6 Colorful - Accent 5"/>
    <w:basedOn w:val="717"/>
    <w:next w:val="873"/>
    <w:link w:val="706"/>
    <w:uiPriority w:val="99"/>
    <w:qFormat/>
    <w:pPr>
      <w:spacing w:after="0" w:line="240" w:lineRule="auto"/>
    </w:pPr>
    <w:tblPr/>
  </w:style>
  <w:style w:type="table" w:styleId="874">
    <w:name w:val="Grid Table 6 Colorful - Accent 6"/>
    <w:basedOn w:val="717"/>
    <w:next w:val="874"/>
    <w:link w:val="706"/>
    <w:uiPriority w:val="99"/>
    <w:qFormat/>
    <w:pPr>
      <w:spacing w:after="0" w:line="240" w:lineRule="auto"/>
    </w:pPr>
    <w:tblPr/>
  </w:style>
  <w:style w:type="table" w:styleId="875">
    <w:name w:val="Grid Table 7 Colorful"/>
    <w:basedOn w:val="717"/>
    <w:next w:val="875"/>
    <w:link w:val="706"/>
    <w:uiPriority w:val="99"/>
    <w:qFormat/>
    <w:pPr>
      <w:spacing w:after="0" w:line="240" w:lineRule="auto"/>
    </w:pPr>
    <w:tblPr/>
  </w:style>
  <w:style w:type="table" w:styleId="876">
    <w:name w:val="Grid Table 7 Colorful - Accent 1"/>
    <w:basedOn w:val="717"/>
    <w:next w:val="876"/>
    <w:link w:val="706"/>
    <w:uiPriority w:val="99"/>
    <w:qFormat/>
    <w:pPr>
      <w:spacing w:after="0" w:line="240" w:lineRule="auto"/>
    </w:pPr>
    <w:tblPr/>
  </w:style>
  <w:style w:type="table" w:styleId="877">
    <w:name w:val="Grid Table 7 Colorful - Accent 2"/>
    <w:basedOn w:val="717"/>
    <w:next w:val="877"/>
    <w:link w:val="706"/>
    <w:uiPriority w:val="99"/>
    <w:qFormat/>
    <w:pPr>
      <w:spacing w:after="0" w:line="240" w:lineRule="auto"/>
    </w:pPr>
    <w:tblPr/>
  </w:style>
  <w:style w:type="table" w:styleId="878">
    <w:name w:val="Grid Table 7 Colorful - Accent 3"/>
    <w:basedOn w:val="717"/>
    <w:next w:val="878"/>
    <w:link w:val="706"/>
    <w:uiPriority w:val="99"/>
    <w:qFormat/>
    <w:pPr>
      <w:spacing w:after="0" w:line="240" w:lineRule="auto"/>
    </w:pPr>
    <w:tblPr/>
  </w:style>
  <w:style w:type="table" w:styleId="879">
    <w:name w:val="Grid Table 7 Colorful - Accent 4"/>
    <w:basedOn w:val="717"/>
    <w:next w:val="879"/>
    <w:link w:val="706"/>
    <w:uiPriority w:val="99"/>
    <w:qFormat/>
    <w:pPr>
      <w:spacing w:after="0" w:line="240" w:lineRule="auto"/>
    </w:pPr>
    <w:tblPr/>
  </w:style>
  <w:style w:type="table" w:styleId="880">
    <w:name w:val="Grid Table 7 Colorful - Accent 5"/>
    <w:basedOn w:val="717"/>
    <w:next w:val="880"/>
    <w:link w:val="706"/>
    <w:uiPriority w:val="99"/>
    <w:qFormat/>
    <w:pPr>
      <w:spacing w:after="0" w:line="240" w:lineRule="auto"/>
    </w:pPr>
    <w:tblPr/>
  </w:style>
  <w:style w:type="table" w:styleId="881">
    <w:name w:val="Grid Table 7 Colorful - Accent 6"/>
    <w:basedOn w:val="717"/>
    <w:next w:val="881"/>
    <w:link w:val="706"/>
    <w:uiPriority w:val="99"/>
    <w:qFormat/>
    <w:pPr>
      <w:spacing w:after="0" w:line="240" w:lineRule="auto"/>
    </w:pPr>
    <w:tblPr/>
  </w:style>
  <w:style w:type="table" w:styleId="882">
    <w:name w:val="List Table 1 Light"/>
    <w:basedOn w:val="717"/>
    <w:next w:val="882"/>
    <w:link w:val="706"/>
    <w:uiPriority w:val="99"/>
    <w:qFormat/>
    <w:pPr>
      <w:spacing w:after="0" w:line="240" w:lineRule="auto"/>
    </w:pPr>
    <w:tblPr/>
  </w:style>
  <w:style w:type="table" w:styleId="883">
    <w:name w:val="List Table 1 Light - Accent 1"/>
    <w:basedOn w:val="717"/>
    <w:next w:val="883"/>
    <w:link w:val="706"/>
    <w:uiPriority w:val="99"/>
    <w:qFormat/>
    <w:pPr>
      <w:spacing w:after="0" w:line="240" w:lineRule="auto"/>
    </w:pPr>
    <w:tblPr/>
  </w:style>
  <w:style w:type="table" w:styleId="884">
    <w:name w:val="List Table 1 Light - Accent 2"/>
    <w:basedOn w:val="717"/>
    <w:next w:val="884"/>
    <w:link w:val="706"/>
    <w:uiPriority w:val="99"/>
    <w:qFormat/>
    <w:pPr>
      <w:spacing w:after="0" w:line="240" w:lineRule="auto"/>
    </w:pPr>
    <w:tblPr/>
  </w:style>
  <w:style w:type="table" w:styleId="885">
    <w:name w:val="List Table 1 Light - Accent 3"/>
    <w:basedOn w:val="717"/>
    <w:next w:val="885"/>
    <w:link w:val="706"/>
    <w:uiPriority w:val="99"/>
    <w:qFormat/>
    <w:pPr>
      <w:spacing w:after="0" w:line="240" w:lineRule="auto"/>
    </w:pPr>
    <w:tblPr/>
  </w:style>
  <w:style w:type="table" w:styleId="886">
    <w:name w:val="List Table 1 Light - Accent 4"/>
    <w:basedOn w:val="717"/>
    <w:next w:val="886"/>
    <w:link w:val="706"/>
    <w:uiPriority w:val="99"/>
    <w:qFormat/>
    <w:pPr>
      <w:spacing w:after="0" w:line="240" w:lineRule="auto"/>
    </w:pPr>
    <w:tblPr/>
  </w:style>
  <w:style w:type="table" w:styleId="887">
    <w:name w:val="List Table 1 Light - Accent 5"/>
    <w:basedOn w:val="717"/>
    <w:next w:val="887"/>
    <w:link w:val="706"/>
    <w:uiPriority w:val="99"/>
    <w:qFormat/>
    <w:pPr>
      <w:spacing w:after="0" w:line="240" w:lineRule="auto"/>
    </w:pPr>
    <w:tblPr/>
  </w:style>
  <w:style w:type="table" w:styleId="888">
    <w:name w:val="List Table 1 Light - Accent 6"/>
    <w:basedOn w:val="717"/>
    <w:next w:val="888"/>
    <w:link w:val="706"/>
    <w:uiPriority w:val="99"/>
    <w:qFormat/>
    <w:pPr>
      <w:spacing w:after="0" w:line="240" w:lineRule="auto"/>
    </w:pPr>
    <w:tblPr/>
  </w:style>
  <w:style w:type="table" w:styleId="889">
    <w:name w:val="List Table 2"/>
    <w:basedOn w:val="717"/>
    <w:next w:val="889"/>
    <w:link w:val="706"/>
    <w:uiPriority w:val="99"/>
    <w:qFormat/>
    <w:pPr>
      <w:spacing w:after="0" w:line="240" w:lineRule="auto"/>
    </w:pPr>
    <w:tblPr/>
  </w:style>
  <w:style w:type="table" w:styleId="890">
    <w:name w:val="List Table 2 - Accent 1"/>
    <w:basedOn w:val="717"/>
    <w:next w:val="890"/>
    <w:link w:val="706"/>
    <w:uiPriority w:val="99"/>
    <w:qFormat/>
    <w:pPr>
      <w:spacing w:after="0" w:line="240" w:lineRule="auto"/>
    </w:pPr>
    <w:tblPr/>
  </w:style>
  <w:style w:type="table" w:styleId="891">
    <w:name w:val="List Table 2 - Accent 2"/>
    <w:basedOn w:val="717"/>
    <w:next w:val="891"/>
    <w:link w:val="706"/>
    <w:uiPriority w:val="99"/>
    <w:qFormat/>
    <w:pPr>
      <w:spacing w:after="0" w:line="240" w:lineRule="auto"/>
    </w:pPr>
    <w:tblPr/>
  </w:style>
  <w:style w:type="table" w:styleId="892">
    <w:name w:val="List Table 2 - Accent 3"/>
    <w:basedOn w:val="717"/>
    <w:next w:val="892"/>
    <w:link w:val="706"/>
    <w:uiPriority w:val="99"/>
    <w:qFormat/>
    <w:pPr>
      <w:spacing w:after="0" w:line="240" w:lineRule="auto"/>
    </w:pPr>
    <w:tblPr/>
  </w:style>
  <w:style w:type="table" w:styleId="893">
    <w:name w:val="List Table 2 - Accent 4"/>
    <w:basedOn w:val="717"/>
    <w:next w:val="893"/>
    <w:link w:val="706"/>
    <w:uiPriority w:val="99"/>
    <w:qFormat/>
    <w:pPr>
      <w:spacing w:after="0" w:line="240" w:lineRule="auto"/>
    </w:pPr>
    <w:tblPr/>
  </w:style>
  <w:style w:type="table" w:styleId="894">
    <w:name w:val="List Table 2 - Accent 5"/>
    <w:basedOn w:val="717"/>
    <w:next w:val="894"/>
    <w:link w:val="706"/>
    <w:uiPriority w:val="99"/>
    <w:qFormat/>
    <w:pPr>
      <w:spacing w:after="0" w:line="240" w:lineRule="auto"/>
    </w:pPr>
    <w:tblPr/>
  </w:style>
  <w:style w:type="table" w:styleId="895">
    <w:name w:val="List Table 2 - Accent 6"/>
    <w:basedOn w:val="717"/>
    <w:next w:val="895"/>
    <w:link w:val="706"/>
    <w:uiPriority w:val="99"/>
    <w:qFormat/>
    <w:pPr>
      <w:spacing w:after="0" w:line="240" w:lineRule="auto"/>
    </w:pPr>
    <w:tblPr/>
  </w:style>
  <w:style w:type="table" w:styleId="896">
    <w:name w:val="List Table 3"/>
    <w:basedOn w:val="717"/>
    <w:next w:val="896"/>
    <w:link w:val="706"/>
    <w:uiPriority w:val="99"/>
    <w:qFormat/>
    <w:pPr>
      <w:spacing w:after="0" w:line="240" w:lineRule="auto"/>
    </w:pPr>
    <w:tblPr/>
  </w:style>
  <w:style w:type="table" w:styleId="897">
    <w:name w:val="List Table 3 - Accent 1"/>
    <w:basedOn w:val="717"/>
    <w:next w:val="897"/>
    <w:link w:val="706"/>
    <w:uiPriority w:val="99"/>
    <w:qFormat/>
    <w:pPr>
      <w:spacing w:after="0" w:line="240" w:lineRule="auto"/>
    </w:pPr>
    <w:tblPr/>
  </w:style>
  <w:style w:type="table" w:styleId="898">
    <w:name w:val="List Table 3 - Accent 2"/>
    <w:basedOn w:val="717"/>
    <w:next w:val="898"/>
    <w:link w:val="706"/>
    <w:uiPriority w:val="99"/>
    <w:qFormat/>
    <w:pPr>
      <w:spacing w:after="0" w:line="240" w:lineRule="auto"/>
    </w:pPr>
    <w:tblPr/>
  </w:style>
  <w:style w:type="table" w:styleId="899">
    <w:name w:val="List Table 3 - Accent 3"/>
    <w:basedOn w:val="717"/>
    <w:next w:val="899"/>
    <w:link w:val="706"/>
    <w:uiPriority w:val="99"/>
    <w:qFormat/>
    <w:pPr>
      <w:spacing w:after="0" w:line="240" w:lineRule="auto"/>
    </w:pPr>
    <w:tblPr/>
  </w:style>
  <w:style w:type="table" w:styleId="900">
    <w:name w:val="List Table 3 - Accent 4"/>
    <w:basedOn w:val="717"/>
    <w:next w:val="900"/>
    <w:link w:val="706"/>
    <w:uiPriority w:val="99"/>
    <w:qFormat/>
    <w:pPr>
      <w:spacing w:after="0" w:line="240" w:lineRule="auto"/>
    </w:pPr>
    <w:tblPr/>
  </w:style>
  <w:style w:type="table" w:styleId="901">
    <w:name w:val="List Table 3 - Accent 5"/>
    <w:basedOn w:val="717"/>
    <w:next w:val="901"/>
    <w:link w:val="706"/>
    <w:uiPriority w:val="99"/>
    <w:qFormat/>
    <w:pPr>
      <w:spacing w:after="0" w:line="240" w:lineRule="auto"/>
    </w:pPr>
    <w:tblPr/>
  </w:style>
  <w:style w:type="table" w:styleId="902">
    <w:name w:val="List Table 3 - Accent 6"/>
    <w:basedOn w:val="717"/>
    <w:next w:val="902"/>
    <w:link w:val="706"/>
    <w:uiPriority w:val="99"/>
    <w:qFormat/>
    <w:pPr>
      <w:spacing w:after="0" w:line="240" w:lineRule="auto"/>
    </w:pPr>
    <w:tblPr/>
  </w:style>
  <w:style w:type="table" w:styleId="903">
    <w:name w:val="List Table 4"/>
    <w:basedOn w:val="717"/>
    <w:next w:val="903"/>
    <w:link w:val="706"/>
    <w:uiPriority w:val="99"/>
    <w:qFormat/>
    <w:pPr>
      <w:spacing w:after="0" w:line="240" w:lineRule="auto"/>
    </w:pPr>
    <w:tblPr/>
  </w:style>
  <w:style w:type="table" w:styleId="904">
    <w:name w:val="List Table 4 - Accent 1"/>
    <w:basedOn w:val="717"/>
    <w:next w:val="904"/>
    <w:link w:val="706"/>
    <w:uiPriority w:val="99"/>
    <w:qFormat/>
    <w:pPr>
      <w:spacing w:after="0" w:line="240" w:lineRule="auto"/>
    </w:pPr>
    <w:tblPr/>
  </w:style>
  <w:style w:type="table" w:styleId="905">
    <w:name w:val="List Table 4 - Accent 2"/>
    <w:basedOn w:val="717"/>
    <w:next w:val="905"/>
    <w:link w:val="706"/>
    <w:uiPriority w:val="99"/>
    <w:qFormat/>
    <w:pPr>
      <w:spacing w:after="0" w:line="240" w:lineRule="auto"/>
    </w:pPr>
    <w:tblPr/>
  </w:style>
  <w:style w:type="table" w:styleId="906">
    <w:name w:val="List Table 4 - Accent 3"/>
    <w:basedOn w:val="717"/>
    <w:next w:val="906"/>
    <w:link w:val="706"/>
    <w:uiPriority w:val="99"/>
    <w:qFormat/>
    <w:pPr>
      <w:spacing w:after="0" w:line="240" w:lineRule="auto"/>
    </w:pPr>
    <w:tblPr/>
  </w:style>
  <w:style w:type="table" w:styleId="907">
    <w:name w:val="List Table 4 - Accent 4"/>
    <w:basedOn w:val="717"/>
    <w:next w:val="907"/>
    <w:link w:val="706"/>
    <w:uiPriority w:val="99"/>
    <w:qFormat/>
    <w:pPr>
      <w:spacing w:after="0" w:line="240" w:lineRule="auto"/>
    </w:pPr>
    <w:tblPr/>
  </w:style>
  <w:style w:type="table" w:styleId="908">
    <w:name w:val="List Table 4 - Accent 5"/>
    <w:basedOn w:val="717"/>
    <w:next w:val="908"/>
    <w:link w:val="706"/>
    <w:uiPriority w:val="99"/>
    <w:qFormat/>
    <w:pPr>
      <w:spacing w:after="0" w:line="240" w:lineRule="auto"/>
    </w:pPr>
    <w:tblPr/>
  </w:style>
  <w:style w:type="table" w:styleId="909">
    <w:name w:val="List Table 4 - Accent 6"/>
    <w:basedOn w:val="717"/>
    <w:next w:val="909"/>
    <w:link w:val="706"/>
    <w:uiPriority w:val="99"/>
    <w:qFormat/>
    <w:pPr>
      <w:spacing w:after="0" w:line="240" w:lineRule="auto"/>
    </w:pPr>
    <w:tblPr/>
  </w:style>
  <w:style w:type="table" w:styleId="910">
    <w:name w:val="List Table 5 Dark"/>
    <w:basedOn w:val="717"/>
    <w:next w:val="910"/>
    <w:link w:val="706"/>
    <w:uiPriority w:val="99"/>
    <w:qFormat/>
    <w:pPr>
      <w:spacing w:after="0" w:line="240" w:lineRule="auto"/>
    </w:pPr>
    <w:tblPr/>
  </w:style>
  <w:style w:type="table" w:styleId="911">
    <w:name w:val="List Table 5 Dark - Accent 1"/>
    <w:basedOn w:val="717"/>
    <w:next w:val="911"/>
    <w:link w:val="706"/>
    <w:uiPriority w:val="99"/>
    <w:qFormat/>
    <w:pPr>
      <w:spacing w:after="0" w:line="240" w:lineRule="auto"/>
    </w:pPr>
    <w:tblPr/>
  </w:style>
  <w:style w:type="table" w:styleId="912">
    <w:name w:val="List Table 5 Dark - Accent 2"/>
    <w:basedOn w:val="717"/>
    <w:next w:val="912"/>
    <w:link w:val="706"/>
    <w:uiPriority w:val="99"/>
    <w:qFormat/>
    <w:pPr>
      <w:spacing w:after="0" w:line="240" w:lineRule="auto"/>
    </w:pPr>
    <w:tblPr/>
  </w:style>
  <w:style w:type="table" w:styleId="913">
    <w:name w:val="List Table 5 Dark - Accent 3"/>
    <w:basedOn w:val="717"/>
    <w:next w:val="913"/>
    <w:link w:val="706"/>
    <w:uiPriority w:val="99"/>
    <w:qFormat/>
    <w:pPr>
      <w:spacing w:after="0" w:line="240" w:lineRule="auto"/>
    </w:pPr>
    <w:tblPr/>
  </w:style>
  <w:style w:type="table" w:styleId="914">
    <w:name w:val="List Table 5 Dark - Accent 4"/>
    <w:basedOn w:val="717"/>
    <w:next w:val="914"/>
    <w:link w:val="706"/>
    <w:uiPriority w:val="99"/>
    <w:qFormat/>
    <w:pPr>
      <w:spacing w:after="0" w:line="240" w:lineRule="auto"/>
    </w:pPr>
    <w:tblPr/>
  </w:style>
  <w:style w:type="table" w:styleId="915">
    <w:name w:val="List Table 5 Dark - Accent 5"/>
    <w:basedOn w:val="717"/>
    <w:next w:val="915"/>
    <w:link w:val="706"/>
    <w:uiPriority w:val="99"/>
    <w:qFormat/>
    <w:pPr>
      <w:spacing w:after="0" w:line="240" w:lineRule="auto"/>
    </w:pPr>
    <w:tblPr/>
  </w:style>
  <w:style w:type="table" w:styleId="916">
    <w:name w:val="List Table 5 Dark - Accent 6"/>
    <w:basedOn w:val="717"/>
    <w:next w:val="916"/>
    <w:link w:val="706"/>
    <w:uiPriority w:val="99"/>
    <w:qFormat/>
    <w:pPr>
      <w:spacing w:after="0" w:line="240" w:lineRule="auto"/>
    </w:pPr>
    <w:tblPr/>
  </w:style>
  <w:style w:type="table" w:styleId="917">
    <w:name w:val="List Table 6 Colorful"/>
    <w:basedOn w:val="717"/>
    <w:next w:val="917"/>
    <w:link w:val="706"/>
    <w:uiPriority w:val="99"/>
    <w:qFormat/>
    <w:pPr>
      <w:spacing w:after="0" w:line="240" w:lineRule="auto"/>
    </w:pPr>
    <w:tblPr/>
  </w:style>
  <w:style w:type="table" w:styleId="918">
    <w:name w:val="List Table 6 Colorful - Accent 1"/>
    <w:basedOn w:val="717"/>
    <w:next w:val="918"/>
    <w:link w:val="706"/>
    <w:uiPriority w:val="99"/>
    <w:qFormat/>
    <w:pPr>
      <w:spacing w:after="0" w:line="240" w:lineRule="auto"/>
    </w:pPr>
    <w:tblPr/>
  </w:style>
  <w:style w:type="table" w:styleId="919">
    <w:name w:val="List Table 6 Colorful - Accent 2"/>
    <w:basedOn w:val="717"/>
    <w:next w:val="919"/>
    <w:link w:val="706"/>
    <w:uiPriority w:val="99"/>
    <w:qFormat/>
    <w:pPr>
      <w:spacing w:after="0" w:line="240" w:lineRule="auto"/>
    </w:pPr>
    <w:tblPr/>
  </w:style>
  <w:style w:type="table" w:styleId="920">
    <w:name w:val="List Table 6 Colorful - Accent 3"/>
    <w:basedOn w:val="717"/>
    <w:next w:val="920"/>
    <w:link w:val="706"/>
    <w:uiPriority w:val="99"/>
    <w:qFormat/>
    <w:pPr>
      <w:spacing w:after="0" w:line="240" w:lineRule="auto"/>
    </w:pPr>
    <w:tblPr/>
  </w:style>
  <w:style w:type="table" w:styleId="921">
    <w:name w:val="List Table 6 Colorful - Accent 4"/>
    <w:basedOn w:val="717"/>
    <w:next w:val="921"/>
    <w:link w:val="706"/>
    <w:uiPriority w:val="99"/>
    <w:qFormat/>
    <w:pPr>
      <w:spacing w:after="0" w:line="240" w:lineRule="auto"/>
    </w:pPr>
    <w:tblPr/>
  </w:style>
  <w:style w:type="table" w:styleId="922">
    <w:name w:val="List Table 6 Colorful - Accent 5"/>
    <w:basedOn w:val="717"/>
    <w:next w:val="922"/>
    <w:link w:val="706"/>
    <w:uiPriority w:val="99"/>
    <w:qFormat/>
    <w:pPr>
      <w:spacing w:after="0" w:line="240" w:lineRule="auto"/>
    </w:pPr>
    <w:tblPr/>
  </w:style>
  <w:style w:type="table" w:styleId="923">
    <w:name w:val="List Table 6 Colorful - Accent 6"/>
    <w:basedOn w:val="717"/>
    <w:next w:val="923"/>
    <w:link w:val="706"/>
    <w:uiPriority w:val="99"/>
    <w:qFormat/>
    <w:pPr>
      <w:spacing w:after="0" w:line="240" w:lineRule="auto"/>
    </w:pPr>
    <w:tblPr/>
  </w:style>
  <w:style w:type="table" w:styleId="924">
    <w:name w:val="List Table 7 Colorful"/>
    <w:basedOn w:val="717"/>
    <w:next w:val="924"/>
    <w:link w:val="706"/>
    <w:uiPriority w:val="99"/>
    <w:qFormat/>
    <w:pPr>
      <w:spacing w:after="0" w:line="240" w:lineRule="auto"/>
    </w:pPr>
    <w:tblPr/>
  </w:style>
  <w:style w:type="table" w:styleId="925">
    <w:name w:val="List Table 7 Colorful - Accent 1"/>
    <w:basedOn w:val="717"/>
    <w:next w:val="925"/>
    <w:link w:val="706"/>
    <w:uiPriority w:val="99"/>
    <w:qFormat/>
    <w:pPr>
      <w:spacing w:after="0" w:line="240" w:lineRule="auto"/>
    </w:pPr>
    <w:tblPr/>
  </w:style>
  <w:style w:type="table" w:styleId="926">
    <w:name w:val="List Table 7 Colorful - Accent 2"/>
    <w:basedOn w:val="717"/>
    <w:next w:val="926"/>
    <w:link w:val="706"/>
    <w:uiPriority w:val="99"/>
    <w:qFormat/>
    <w:pPr>
      <w:spacing w:after="0" w:line="240" w:lineRule="auto"/>
    </w:pPr>
    <w:tblPr/>
  </w:style>
  <w:style w:type="table" w:styleId="927">
    <w:name w:val="List Table 7 Colorful - Accent 3"/>
    <w:basedOn w:val="717"/>
    <w:next w:val="927"/>
    <w:link w:val="706"/>
    <w:uiPriority w:val="99"/>
    <w:qFormat/>
    <w:pPr>
      <w:spacing w:after="0" w:line="240" w:lineRule="auto"/>
    </w:pPr>
    <w:tblPr/>
  </w:style>
  <w:style w:type="table" w:styleId="928">
    <w:name w:val="List Table 7 Colorful - Accent 4"/>
    <w:basedOn w:val="717"/>
    <w:next w:val="928"/>
    <w:link w:val="706"/>
    <w:uiPriority w:val="99"/>
    <w:qFormat/>
    <w:pPr>
      <w:spacing w:after="0" w:line="240" w:lineRule="auto"/>
    </w:pPr>
    <w:tblPr/>
  </w:style>
  <w:style w:type="table" w:styleId="929">
    <w:name w:val="List Table 7 Colorful - Accent 5"/>
    <w:basedOn w:val="717"/>
    <w:next w:val="929"/>
    <w:link w:val="706"/>
    <w:uiPriority w:val="99"/>
    <w:qFormat/>
    <w:pPr>
      <w:spacing w:after="0" w:line="240" w:lineRule="auto"/>
    </w:pPr>
    <w:tblPr/>
  </w:style>
  <w:style w:type="table" w:styleId="930">
    <w:name w:val="List Table 7 Colorful - Accent 6"/>
    <w:basedOn w:val="717"/>
    <w:next w:val="930"/>
    <w:link w:val="706"/>
    <w:uiPriority w:val="99"/>
    <w:qFormat/>
    <w:pPr>
      <w:spacing w:after="0" w:line="240" w:lineRule="auto"/>
    </w:pPr>
    <w:tblPr/>
  </w:style>
  <w:style w:type="table" w:styleId="931">
    <w:name w:val="Lined - Accent"/>
    <w:basedOn w:val="717"/>
    <w:next w:val="931"/>
    <w:link w:val="706"/>
    <w:uiPriority w:val="99"/>
    <w:qFormat/>
    <w:pPr>
      <w:spacing w:after="0" w:line="240" w:lineRule="auto"/>
    </w:pPr>
    <w:rPr>
      <w:color w:val="404040"/>
    </w:rPr>
    <w:tblPr/>
  </w:style>
  <w:style w:type="table" w:styleId="932">
    <w:name w:val="Lined - Accent 1"/>
    <w:basedOn w:val="717"/>
    <w:next w:val="932"/>
    <w:link w:val="706"/>
    <w:uiPriority w:val="99"/>
    <w:qFormat/>
    <w:pPr>
      <w:spacing w:after="0" w:line="240" w:lineRule="auto"/>
    </w:pPr>
    <w:rPr>
      <w:color w:val="404040"/>
    </w:rPr>
    <w:tblPr/>
  </w:style>
  <w:style w:type="table" w:styleId="933">
    <w:name w:val="Lined - Accent 2"/>
    <w:basedOn w:val="717"/>
    <w:next w:val="933"/>
    <w:link w:val="706"/>
    <w:uiPriority w:val="99"/>
    <w:qFormat/>
    <w:pPr>
      <w:spacing w:after="0" w:line="240" w:lineRule="auto"/>
    </w:pPr>
    <w:rPr>
      <w:color w:val="404040"/>
    </w:rPr>
    <w:tblPr/>
  </w:style>
  <w:style w:type="table" w:styleId="934">
    <w:name w:val="Lined - Accent 3"/>
    <w:basedOn w:val="717"/>
    <w:next w:val="934"/>
    <w:link w:val="706"/>
    <w:uiPriority w:val="99"/>
    <w:qFormat/>
    <w:pPr>
      <w:spacing w:after="0" w:line="240" w:lineRule="auto"/>
    </w:pPr>
    <w:rPr>
      <w:color w:val="404040"/>
    </w:rPr>
    <w:tblPr/>
  </w:style>
  <w:style w:type="table" w:styleId="935">
    <w:name w:val="Lined - Accent 4"/>
    <w:basedOn w:val="717"/>
    <w:next w:val="935"/>
    <w:link w:val="706"/>
    <w:uiPriority w:val="99"/>
    <w:qFormat/>
    <w:pPr>
      <w:spacing w:after="0" w:line="240" w:lineRule="auto"/>
    </w:pPr>
    <w:rPr>
      <w:color w:val="404040"/>
    </w:rPr>
    <w:tblPr/>
  </w:style>
  <w:style w:type="table" w:styleId="936">
    <w:name w:val="Lined - Accent 5"/>
    <w:basedOn w:val="717"/>
    <w:next w:val="936"/>
    <w:link w:val="706"/>
    <w:uiPriority w:val="99"/>
    <w:qFormat/>
    <w:pPr>
      <w:spacing w:after="0" w:line="240" w:lineRule="auto"/>
    </w:pPr>
    <w:rPr>
      <w:color w:val="404040"/>
    </w:rPr>
    <w:tblPr/>
  </w:style>
  <w:style w:type="table" w:styleId="937">
    <w:name w:val="Lined - Accent 6"/>
    <w:basedOn w:val="717"/>
    <w:next w:val="937"/>
    <w:link w:val="706"/>
    <w:uiPriority w:val="99"/>
    <w:qFormat/>
    <w:pPr>
      <w:spacing w:after="0" w:line="240" w:lineRule="auto"/>
    </w:pPr>
    <w:rPr>
      <w:color w:val="404040"/>
    </w:rPr>
    <w:tblPr/>
  </w:style>
  <w:style w:type="table" w:styleId="938">
    <w:name w:val="Bordered &amp; Lined - Accent"/>
    <w:basedOn w:val="717"/>
    <w:next w:val="938"/>
    <w:link w:val="706"/>
    <w:uiPriority w:val="99"/>
    <w:qFormat/>
    <w:pPr>
      <w:spacing w:after="0" w:line="240" w:lineRule="auto"/>
    </w:pPr>
    <w:rPr>
      <w:color w:val="404040"/>
    </w:rPr>
    <w:tblPr/>
  </w:style>
  <w:style w:type="table" w:styleId="939">
    <w:name w:val="Bordered &amp; Lined - Accent 1"/>
    <w:basedOn w:val="717"/>
    <w:next w:val="939"/>
    <w:link w:val="706"/>
    <w:uiPriority w:val="99"/>
    <w:qFormat/>
    <w:pPr>
      <w:spacing w:after="0" w:line="240" w:lineRule="auto"/>
    </w:pPr>
    <w:rPr>
      <w:color w:val="404040"/>
    </w:rPr>
    <w:tblPr/>
  </w:style>
  <w:style w:type="table" w:styleId="940">
    <w:name w:val="Bordered &amp; Lined - Accent 2"/>
    <w:basedOn w:val="717"/>
    <w:next w:val="940"/>
    <w:link w:val="706"/>
    <w:uiPriority w:val="99"/>
    <w:qFormat/>
    <w:pPr>
      <w:spacing w:after="0" w:line="240" w:lineRule="auto"/>
    </w:pPr>
    <w:rPr>
      <w:color w:val="404040"/>
    </w:rPr>
    <w:tblPr/>
  </w:style>
  <w:style w:type="table" w:styleId="941">
    <w:name w:val="Bordered &amp; Lined - Accent 3"/>
    <w:basedOn w:val="717"/>
    <w:next w:val="941"/>
    <w:link w:val="706"/>
    <w:uiPriority w:val="99"/>
    <w:qFormat/>
    <w:pPr>
      <w:spacing w:after="0" w:line="240" w:lineRule="auto"/>
    </w:pPr>
    <w:rPr>
      <w:color w:val="404040"/>
    </w:rPr>
    <w:tblPr/>
  </w:style>
  <w:style w:type="table" w:styleId="942">
    <w:name w:val="Bordered &amp; Lined - Accent 4"/>
    <w:basedOn w:val="717"/>
    <w:next w:val="942"/>
    <w:link w:val="706"/>
    <w:uiPriority w:val="99"/>
    <w:qFormat/>
    <w:pPr>
      <w:spacing w:after="0" w:line="240" w:lineRule="auto"/>
    </w:pPr>
    <w:rPr>
      <w:color w:val="404040"/>
    </w:rPr>
    <w:tblPr/>
  </w:style>
  <w:style w:type="table" w:styleId="943">
    <w:name w:val="Bordered &amp; Lined - Accent 5"/>
    <w:basedOn w:val="717"/>
    <w:next w:val="943"/>
    <w:link w:val="706"/>
    <w:uiPriority w:val="99"/>
    <w:qFormat/>
    <w:pPr>
      <w:spacing w:after="0" w:line="240" w:lineRule="auto"/>
    </w:pPr>
    <w:rPr>
      <w:color w:val="404040"/>
    </w:rPr>
    <w:tblPr/>
  </w:style>
  <w:style w:type="table" w:styleId="944">
    <w:name w:val="Bordered &amp; Lined - Accent 6"/>
    <w:basedOn w:val="717"/>
    <w:next w:val="944"/>
    <w:link w:val="706"/>
    <w:uiPriority w:val="99"/>
    <w:qFormat/>
    <w:pPr>
      <w:spacing w:after="0" w:line="240" w:lineRule="auto"/>
    </w:pPr>
    <w:rPr>
      <w:color w:val="404040"/>
    </w:rPr>
    <w:tblPr/>
  </w:style>
  <w:style w:type="table" w:styleId="945">
    <w:name w:val="Bordered"/>
    <w:basedOn w:val="717"/>
    <w:next w:val="945"/>
    <w:link w:val="706"/>
    <w:uiPriority w:val="99"/>
    <w:qFormat/>
    <w:pPr>
      <w:spacing w:after="0" w:line="240" w:lineRule="auto"/>
    </w:pPr>
    <w:tblPr/>
  </w:style>
  <w:style w:type="table" w:styleId="946">
    <w:name w:val="Bordered - Accent 1"/>
    <w:basedOn w:val="717"/>
    <w:next w:val="946"/>
    <w:link w:val="706"/>
    <w:uiPriority w:val="99"/>
    <w:qFormat/>
    <w:pPr>
      <w:spacing w:after="0" w:line="240" w:lineRule="auto"/>
    </w:pPr>
    <w:tblPr/>
  </w:style>
  <w:style w:type="table" w:styleId="947">
    <w:name w:val="Bordered - Accent 2"/>
    <w:basedOn w:val="717"/>
    <w:next w:val="947"/>
    <w:link w:val="706"/>
    <w:uiPriority w:val="99"/>
    <w:qFormat/>
    <w:pPr>
      <w:spacing w:after="0" w:line="240" w:lineRule="auto"/>
    </w:pPr>
    <w:tblPr/>
  </w:style>
  <w:style w:type="table" w:styleId="948">
    <w:name w:val="Bordered - Accent 3"/>
    <w:basedOn w:val="717"/>
    <w:next w:val="948"/>
    <w:link w:val="706"/>
    <w:uiPriority w:val="99"/>
    <w:qFormat/>
    <w:pPr>
      <w:spacing w:after="0" w:line="240" w:lineRule="auto"/>
    </w:pPr>
    <w:tblPr/>
  </w:style>
  <w:style w:type="table" w:styleId="949">
    <w:name w:val="Bordered - Accent 4"/>
    <w:basedOn w:val="717"/>
    <w:next w:val="949"/>
    <w:link w:val="706"/>
    <w:uiPriority w:val="99"/>
    <w:qFormat/>
    <w:pPr>
      <w:spacing w:after="0" w:line="240" w:lineRule="auto"/>
    </w:pPr>
    <w:tblPr/>
  </w:style>
  <w:style w:type="table" w:styleId="950">
    <w:name w:val="Bordered - Accent 5"/>
    <w:basedOn w:val="717"/>
    <w:next w:val="950"/>
    <w:link w:val="706"/>
    <w:uiPriority w:val="99"/>
    <w:qFormat/>
    <w:pPr>
      <w:spacing w:after="0" w:line="240" w:lineRule="auto"/>
    </w:pPr>
    <w:tblPr/>
  </w:style>
  <w:style w:type="table" w:styleId="951">
    <w:name w:val="Bordered - Accent 6"/>
    <w:basedOn w:val="717"/>
    <w:next w:val="951"/>
    <w:link w:val="706"/>
    <w:uiPriority w:val="99"/>
    <w:qFormat/>
    <w:pPr>
      <w:spacing w:after="0" w:line="240" w:lineRule="auto"/>
    </w:pPr>
    <w:tblPr/>
  </w:style>
  <w:style w:type="character" w:styleId="952">
    <w:name w:val="Footnote Text Char"/>
    <w:next w:val="952"/>
    <w:link w:val="706"/>
    <w:uiPriority w:val="99"/>
    <w:qFormat/>
    <w:rPr>
      <w:sz w:val="18"/>
    </w:rPr>
  </w:style>
  <w:style w:type="character" w:styleId="953">
    <w:name w:val="Endnote Text Char"/>
    <w:next w:val="953"/>
    <w:link w:val="706"/>
    <w:uiPriority w:val="99"/>
    <w:qFormat/>
    <w:rPr>
      <w:sz w:val="20"/>
    </w:rPr>
  </w:style>
  <w:style w:type="paragraph" w:styleId="954">
    <w:name w:val="TOC Heading"/>
    <w:next w:val="954"/>
    <w:link w:val="706"/>
    <w:uiPriority w:val="39"/>
    <w:unhideWhenUsed/>
    <w:qFormat/>
    <w:rPr>
      <w:lang w:val="en-US" w:eastAsia="zh-CN" w:bidi="ar-SA"/>
    </w:rPr>
  </w:style>
  <w:style w:type="character" w:styleId="955">
    <w:name w:val="标题 1 字符"/>
    <w:next w:val="955"/>
    <w:link w:val="956"/>
    <w:qFormat/>
    <w:rPr>
      <w:b/>
      <w:bCs/>
      <w:sz w:val="32"/>
      <w:szCs w:val="44"/>
    </w:rPr>
  </w:style>
  <w:style w:type="paragraph" w:styleId="956">
    <w:name w:val="标题 11"/>
    <w:basedOn w:val="706"/>
    <w:next w:val="706"/>
    <w:link w:val="955"/>
    <w:qFormat/>
    <w:pPr>
      <w:keepLines/>
      <w:keepNext/>
      <w:spacing w:before="340" w:after="330" w:line="578" w:lineRule="auto"/>
      <w:outlineLvl w:val="0"/>
    </w:pPr>
    <w:rPr>
      <w:b/>
      <w:bCs/>
      <w:sz w:val="32"/>
      <w:szCs w:val="44"/>
    </w:rPr>
  </w:style>
  <w:style w:type="character" w:styleId="957">
    <w:name w:val="111111 Char"/>
    <w:next w:val="957"/>
    <w:link w:val="958"/>
    <w:qFormat/>
    <w:rPr>
      <w:rFonts w:ascii="宋体" w:hAnsi="宋体" w:eastAsia="黑体" w:cs="宋体"/>
      <w:b/>
      <w:bCs/>
      <w:sz w:val="21"/>
      <w:szCs w:val="21"/>
      <w:lang w:val="en-US" w:eastAsia="zh-CN" w:bidi="ar-SA"/>
    </w:rPr>
  </w:style>
  <w:style w:type="paragraph" w:styleId="958">
    <w:name w:val="111111"/>
    <w:basedOn w:val="706"/>
    <w:next w:val="958"/>
    <w:link w:val="957"/>
    <w:qFormat/>
    <w:pPr>
      <w:jc w:val="center"/>
      <w:spacing w:before="120" w:after="120"/>
    </w:pPr>
    <w:rPr>
      <w:rFonts w:ascii="宋体" w:hAnsi="宋体" w:eastAsia="黑体" w:cs="宋体"/>
      <w:b/>
      <w:bCs/>
      <w:szCs w:val="21"/>
    </w:rPr>
  </w:style>
  <w:style w:type="character" w:styleId="959">
    <w:name w:val="样式 非加粗"/>
    <w:next w:val="959"/>
    <w:link w:val="706"/>
    <w:qFormat/>
    <w:rPr>
      <w:rFonts w:eastAsia="宋体"/>
      <w:sz w:val="28"/>
    </w:rPr>
  </w:style>
  <w:style w:type="character" w:styleId="960">
    <w:name w:val="引用 Char"/>
    <w:next w:val="960"/>
    <w:link w:val="961"/>
    <w:qFormat/>
    <w:rPr>
      <w:rFonts w:ascii="Calibri" w:hAnsi="Calibri" w:eastAsia="宋体"/>
      <w:i/>
      <w:iCs/>
      <w:sz w:val="22"/>
      <w:szCs w:val="22"/>
      <w:lang w:val="en-US" w:eastAsia="en-US" w:bidi="en-US"/>
    </w:rPr>
  </w:style>
  <w:style w:type="paragraph" w:styleId="961">
    <w:name w:val="引用"/>
    <w:basedOn w:val="706"/>
    <w:next w:val="706"/>
    <w:link w:val="960"/>
    <w:qFormat/>
    <w:pPr>
      <w:ind w:left="360" w:right="360"/>
      <w:jc w:val="left"/>
      <w:spacing w:before="200" w:line="276" w:lineRule="auto"/>
      <w:widowControl/>
    </w:pPr>
    <w:rPr>
      <w:rFonts w:ascii="Calibri" w:hAnsi="Calibri"/>
      <w:i/>
      <w:iCs/>
      <w:sz w:val="22"/>
      <w:szCs w:val="22"/>
      <w:lang w:eastAsia="en-US" w:bidi="en-US"/>
    </w:rPr>
  </w:style>
  <w:style w:type="character" w:styleId="962">
    <w:name w:val="case31"/>
    <w:next w:val="962"/>
    <w:link w:val="706"/>
    <w:qFormat/>
    <w:rPr>
      <w:sz w:val="21"/>
      <w:szCs w:val="21"/>
    </w:rPr>
  </w:style>
  <w:style w:type="character" w:styleId="963">
    <w:name w:val="小四 段落 宋体 Char Char Char Char Char Char"/>
    <w:next w:val="963"/>
    <w:link w:val="706"/>
    <w:qFormat/>
    <w:rPr>
      <w:rFonts w:eastAsia="宋体"/>
      <w:sz w:val="24"/>
      <w:szCs w:val="24"/>
      <w:lang w:val="en-US" w:eastAsia="zh-CN" w:bidi="ar-SA"/>
    </w:rPr>
  </w:style>
  <w:style w:type="character" w:styleId="964">
    <w:name w:val="华宇段落1 Char Char"/>
    <w:next w:val="964"/>
    <w:link w:val="706"/>
    <w:qFormat/>
    <w:rPr>
      <w:rFonts w:eastAsia="宋体"/>
      <w:bCs/>
      <w:sz w:val="24"/>
      <w:szCs w:val="24"/>
      <w:lang w:val="en-US" w:eastAsia="zh-CN" w:bidi="ar-SA"/>
    </w:rPr>
  </w:style>
  <w:style w:type="character" w:styleId="965">
    <w:name w:val="Char Char24"/>
    <w:next w:val="965"/>
    <w:link w:val="706"/>
    <w:qFormat/>
    <w:rPr>
      <w:b/>
      <w:bCs/>
      <w:sz w:val="28"/>
      <w:szCs w:val="28"/>
    </w:rPr>
  </w:style>
  <w:style w:type="character" w:styleId="966">
    <w:name w:val="para_small"/>
    <w:basedOn w:val="716"/>
    <w:next w:val="966"/>
    <w:link w:val="706"/>
    <w:qFormat/>
  </w:style>
  <w:style w:type="character" w:styleId="967">
    <w:name w:val="listbenefit"/>
    <w:next w:val="967"/>
    <w:link w:val="706"/>
    <w:qFormat/>
  </w:style>
  <w:style w:type="character" w:styleId="968">
    <w:name w:val="小四 段落 宋体 Char Char Char Char1"/>
    <w:next w:val="968"/>
    <w:link w:val="706"/>
    <w:qFormat/>
    <w:rPr>
      <w:rFonts w:eastAsia="宋体"/>
      <w:sz w:val="24"/>
      <w:szCs w:val="24"/>
      <w:lang w:val="en-US" w:eastAsia="zh-CN" w:bidi="ar-SA"/>
    </w:rPr>
  </w:style>
  <w:style w:type="character" w:styleId="969">
    <w:name w:val="textcontents"/>
    <w:basedOn w:val="716"/>
    <w:next w:val="969"/>
    <w:link w:val="706"/>
    <w:qFormat/>
  </w:style>
  <w:style w:type="character" w:styleId="970">
    <w:name w:val="Char Char25"/>
    <w:next w:val="970"/>
    <w:link w:val="706"/>
    <w:qFormat/>
    <w:rPr>
      <w:rFonts w:ascii="Arial" w:hAnsi="Arial" w:eastAsia="黑体"/>
      <w:b/>
      <w:sz w:val="28"/>
    </w:rPr>
  </w:style>
  <w:style w:type="character" w:styleId="971">
    <w:name w:val="param-value"/>
    <w:basedOn w:val="716"/>
    <w:next w:val="971"/>
    <w:link w:val="706"/>
    <w:qFormat/>
  </w:style>
  <w:style w:type="character" w:styleId="972">
    <w:name w:val="Book Title"/>
    <w:next w:val="972"/>
    <w:link w:val="706"/>
    <w:qFormat/>
    <w:rPr>
      <w:i/>
      <w:iCs/>
      <w:smallCaps/>
      <w:spacing w:val="5"/>
    </w:rPr>
  </w:style>
  <w:style w:type="character" w:styleId="973">
    <w:name w:val="已访问的超链接1"/>
    <w:next w:val="973"/>
    <w:link w:val="706"/>
    <w:qFormat/>
    <w:rPr>
      <w:color w:val="000000"/>
      <w:u w:val="none"/>
    </w:rPr>
  </w:style>
  <w:style w:type="character" w:styleId="974">
    <w:name w:val="Subtle Reference"/>
    <w:next w:val="974"/>
    <w:link w:val="706"/>
    <w:qFormat/>
    <w:rPr>
      <w:smallCaps/>
    </w:rPr>
  </w:style>
  <w:style w:type="character" w:styleId="975">
    <w:name w:val="华宇段落1 Char Char Char"/>
    <w:next w:val="975"/>
    <w:link w:val="706"/>
    <w:qFormat/>
    <w:rPr>
      <w:rFonts w:eastAsia="宋体"/>
      <w:bCs/>
      <w:sz w:val="24"/>
      <w:szCs w:val="24"/>
      <w:lang w:val="en-US" w:eastAsia="zh-CN" w:bidi="ar-SA"/>
    </w:rPr>
  </w:style>
  <w:style w:type="character" w:styleId="976">
    <w:name w:val="标题 3 Char"/>
    <w:next w:val="976"/>
    <w:link w:val="706"/>
    <w:qFormat/>
    <w:rPr>
      <w:rFonts w:ascii="宋体" w:hAnsi="宋体" w:eastAsia="宋体"/>
      <w:b/>
      <w:bCs/>
      <w:sz w:val="24"/>
      <w:szCs w:val="32"/>
      <w:lang w:val="en-US" w:eastAsia="zh-CN" w:bidi="ar-SA"/>
    </w:rPr>
  </w:style>
  <w:style w:type="character" w:styleId="977">
    <w:name w:val="style13"/>
    <w:next w:val="977"/>
    <w:link w:val="706"/>
    <w:qFormat/>
    <w:rPr>
      <w:sz w:val="18"/>
      <w:szCs w:val="18"/>
    </w:rPr>
  </w:style>
  <w:style w:type="character" w:styleId="978">
    <w:name w:val="Char Char27"/>
    <w:next w:val="978"/>
    <w:link w:val="706"/>
    <w:qFormat/>
    <w:rPr>
      <w:b/>
      <w:bCs/>
      <w:sz w:val="44"/>
      <w:szCs w:val="44"/>
    </w:rPr>
  </w:style>
  <w:style w:type="character" w:styleId="979">
    <w:name w:val="Char Char28"/>
    <w:next w:val="979"/>
    <w:link w:val="706"/>
    <w:qFormat/>
    <w:rPr>
      <w:rFonts w:ascii="Arial" w:hAnsi="Arial" w:eastAsia="黑体" w:cs="Arial"/>
      <w:b/>
      <w:bCs/>
      <w:sz w:val="32"/>
      <w:szCs w:val="32"/>
    </w:rPr>
  </w:style>
  <w:style w:type="character" w:styleId="980">
    <w:name w:val="style131"/>
    <w:next w:val="980"/>
    <w:link w:val="706"/>
    <w:qFormat/>
    <w:rPr>
      <w:rFonts w:cs="Times New Roman"/>
      <w:sz w:val="18"/>
      <w:szCs w:val="18"/>
    </w:rPr>
  </w:style>
  <w:style w:type="character" w:styleId="981">
    <w:name w:val="concon"/>
    <w:next w:val="981"/>
    <w:link w:val="706"/>
    <w:qFormat/>
  </w:style>
  <w:style w:type="character" w:styleId="982">
    <w:name w:val="subtitle1"/>
    <w:next w:val="982"/>
    <w:link w:val="706"/>
    <w:qFormat/>
    <w:rPr>
      <w:rFonts w:ascii="Georgia" w:hAnsi="Georgia"/>
      <w:b/>
      <w:bCs/>
      <w:color w:val="666666"/>
      <w:sz w:val="18"/>
      <w:szCs w:val="18"/>
    </w:rPr>
  </w:style>
  <w:style w:type="character" w:styleId="98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83"/>
    <w:link w:val="706"/>
    <w:qFormat/>
    <w:rPr>
      <w:rFonts w:eastAsia="宋体"/>
      <w:b/>
      <w:bCs/>
      <w:sz w:val="32"/>
      <w:szCs w:val="32"/>
      <w:lang w:val="en-US" w:eastAsia="zh-CN" w:bidi="ar-SA"/>
    </w:rPr>
  </w:style>
  <w:style w:type="character" w:styleId="984">
    <w:name w:val="纯文本 Char1"/>
    <w:next w:val="984"/>
    <w:link w:val="706"/>
    <w:qFormat/>
    <w:rPr>
      <w:rFonts w:ascii="宋体" w:hAnsi="Courier New" w:cs="Courier New"/>
      <w:sz w:val="21"/>
      <w:szCs w:val="21"/>
    </w:rPr>
  </w:style>
  <w:style w:type="character" w:styleId="985">
    <w:name w:val="小四 段落 宋体 Char Char Char Char Char"/>
    <w:next w:val="985"/>
    <w:link w:val="706"/>
    <w:qFormat/>
    <w:rPr>
      <w:rFonts w:eastAsia="宋体"/>
      <w:sz w:val="24"/>
      <w:szCs w:val="24"/>
      <w:lang w:val="en-US" w:eastAsia="zh-CN" w:bidi="ar-SA"/>
    </w:rPr>
  </w:style>
  <w:style w:type="character" w:styleId="986">
    <w:name w:val="明显引用 Char"/>
    <w:next w:val="986"/>
    <w:link w:val="987"/>
    <w:qFormat/>
    <w:rPr>
      <w:rFonts w:ascii="Calibri" w:hAnsi="Calibri" w:eastAsia="宋体"/>
      <w:b/>
      <w:bCs/>
      <w:i/>
      <w:iCs/>
      <w:sz w:val="22"/>
      <w:szCs w:val="22"/>
      <w:lang w:val="en-US" w:eastAsia="en-US" w:bidi="en-US"/>
    </w:rPr>
  </w:style>
  <w:style w:type="paragraph" w:styleId="987">
    <w:name w:val="明显引用"/>
    <w:basedOn w:val="706"/>
    <w:next w:val="706"/>
    <w:link w:val="986"/>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88">
    <w:name w:val="t1"/>
    <w:next w:val="988"/>
    <w:link w:val="706"/>
    <w:qFormat/>
  </w:style>
  <w:style w:type="character" w:styleId="989">
    <w:name w:val="Title1 Char"/>
    <w:next w:val="989"/>
    <w:link w:val="706"/>
    <w:qFormat/>
    <w:rPr>
      <w:rFonts w:eastAsia="宋体"/>
      <w:b/>
      <w:bCs/>
      <w:sz w:val="44"/>
      <w:szCs w:val="44"/>
      <w:lang w:val="en-US" w:eastAsia="zh-CN" w:bidi="ar-SA"/>
    </w:rPr>
  </w:style>
  <w:style w:type="character" w:styleId="990">
    <w:name w:val="2nd level Char"/>
    <w:next w:val="990"/>
    <w:link w:val="706"/>
    <w:qFormat/>
    <w:rPr>
      <w:rFonts w:ascii="Arial" w:hAnsi="Arial" w:eastAsia="黑体"/>
      <w:b/>
      <w:bCs/>
      <w:sz w:val="32"/>
      <w:szCs w:val="32"/>
      <w:lang w:val="en-US" w:eastAsia="zh-CN" w:bidi="ar-SA"/>
    </w:rPr>
  </w:style>
  <w:style w:type="character" w:styleId="991">
    <w:name w:val="彩色列表 - 强调文字颜色 1 Char"/>
    <w:next w:val="991"/>
    <w:link w:val="992"/>
    <w:qFormat/>
    <w:rPr>
      <w:rFonts w:ascii="Calibri" w:hAnsi="Calibri"/>
      <w:sz w:val="21"/>
      <w:szCs w:val="22"/>
    </w:rPr>
  </w:style>
  <w:style w:type="paragraph" w:styleId="992">
    <w:name w:val="彩色列表 - 强调文字颜色 11"/>
    <w:basedOn w:val="706"/>
    <w:next w:val="992"/>
    <w:link w:val="991"/>
    <w:qFormat/>
    <w:pPr>
      <w:ind w:firstLine="420"/>
    </w:pPr>
    <w:rPr>
      <w:rFonts w:ascii="Calibri" w:hAnsi="Calibri"/>
      <w:szCs w:val="22"/>
    </w:rPr>
  </w:style>
  <w:style w:type="character" w:styleId="993">
    <w:name w:val="ih151"/>
    <w:next w:val="993"/>
    <w:link w:val="706"/>
    <w:qFormat/>
    <w:rPr>
      <w:color w:val="666666"/>
      <w:sz w:val="18"/>
      <w:szCs w:val="18"/>
      <w:u w:val="none"/>
    </w:rPr>
  </w:style>
  <w:style w:type="character" w:styleId="994">
    <w:name w:val="Char Char26"/>
    <w:next w:val="994"/>
    <w:link w:val="706"/>
    <w:qFormat/>
    <w:rPr>
      <w:b/>
      <w:bCs/>
      <w:sz w:val="32"/>
      <w:szCs w:val="32"/>
    </w:rPr>
  </w:style>
  <w:style w:type="character" w:styleId="995">
    <w:name w:val="标题 Char1"/>
    <w:next w:val="995"/>
    <w:link w:val="706"/>
    <w:qFormat/>
    <w:rPr>
      <w:rFonts w:ascii="Cambria" w:eastAsia="宋体" w:cs="Times New Roman"/>
      <w:b/>
      <w:bCs/>
      <w:sz w:val="32"/>
      <w:szCs w:val="32"/>
    </w:rPr>
  </w:style>
  <w:style w:type="character" w:styleId="996">
    <w:name w:val="纯文本 Char Char"/>
    <w:next w:val="996"/>
    <w:link w:val="706"/>
    <w:qFormat/>
    <w:rPr>
      <w:rFonts w:ascii="宋体" w:hAnsi="Courier New" w:eastAsia="宋体"/>
      <w:sz w:val="21"/>
      <w:szCs w:val="21"/>
      <w:lang w:val="en-US" w:eastAsia="zh-CN" w:bidi="ar-SA"/>
    </w:rPr>
  </w:style>
  <w:style w:type="character" w:styleId="997">
    <w:name w:val="Char Char2"/>
    <w:next w:val="997"/>
    <w:link w:val="706"/>
    <w:qFormat/>
    <w:rPr>
      <w:rFonts w:ascii="宋体" w:hAnsi="Courier New" w:eastAsia="宋体"/>
      <w:sz w:val="21"/>
      <w:szCs w:val="21"/>
      <w:lang w:val="en-US" w:eastAsia="zh-CN" w:bidi="ar-SA"/>
    </w:rPr>
  </w:style>
  <w:style w:type="character" w:styleId="998">
    <w:name w:val="Char Char23"/>
    <w:next w:val="998"/>
    <w:link w:val="706"/>
    <w:qFormat/>
    <w:rPr>
      <w:rFonts w:ascii="Arial" w:hAnsi="Arial" w:eastAsia="黑体"/>
      <w:b/>
      <w:bCs/>
      <w:sz w:val="24"/>
      <w:szCs w:val="24"/>
    </w:rPr>
  </w:style>
  <w:style w:type="character" w:styleId="999">
    <w:name w:val="表格抬头 Char"/>
    <w:next w:val="999"/>
    <w:link w:val="1000"/>
    <w:qFormat/>
    <w:rPr>
      <w:rFonts w:ascii="黑体" w:eastAsia="黑体"/>
      <w:b/>
      <w:sz w:val="21"/>
      <w:lang w:bidi="ar-SA"/>
    </w:rPr>
  </w:style>
  <w:style w:type="paragraph" w:styleId="1000">
    <w:name w:val="表格抬头"/>
    <w:basedOn w:val="706"/>
    <w:next w:val="1000"/>
    <w:link w:val="999"/>
    <w:qFormat/>
    <w:pPr>
      <w:jc w:val="center"/>
    </w:pPr>
    <w:rPr>
      <w:rFonts w:ascii="黑体" w:eastAsia="黑体"/>
      <w:b/>
    </w:rPr>
  </w:style>
  <w:style w:type="character" w:styleId="1001">
    <w:name w:val="样式 首行缩进:  2 字符 Char Char"/>
    <w:next w:val="1001"/>
    <w:link w:val="1002"/>
    <w:qFormat/>
    <w:rPr>
      <w:rFonts w:eastAsia="宋体" w:cs="宋体"/>
      <w:sz w:val="24"/>
      <w:lang w:val="en-US" w:eastAsia="zh-CN" w:bidi="ar-SA"/>
    </w:rPr>
  </w:style>
  <w:style w:type="paragraph" w:styleId="1002">
    <w:name w:val="样式 首行缩进:  2 字符"/>
    <w:basedOn w:val="706"/>
    <w:next w:val="1002"/>
    <w:link w:val="1001"/>
    <w:qFormat/>
    <w:pPr>
      <w:ind w:firstLine="480"/>
      <w:spacing w:line="360" w:lineRule="auto"/>
    </w:pPr>
    <w:rPr>
      <w:rFonts w:cs="宋体"/>
      <w:sz w:val="24"/>
    </w:rPr>
  </w:style>
  <w:style w:type="character" w:styleId="1003">
    <w:name w:val="apple-converted-space"/>
    <w:basedOn w:val="716"/>
    <w:next w:val="1003"/>
    <w:link w:val="706"/>
    <w:qFormat/>
  </w:style>
  <w:style w:type="character" w:styleId="1004">
    <w:name w:val="A2"/>
    <w:next w:val="1004"/>
    <w:link w:val="706"/>
    <w:qFormat/>
    <w:rPr>
      <w:rFonts w:cs="Helvetica LT Pro"/>
      <w:color w:val="000000"/>
      <w:sz w:val="18"/>
      <w:szCs w:val="18"/>
    </w:rPr>
  </w:style>
  <w:style w:type="character" w:styleId="1005">
    <w:name w:val="h Char Char"/>
    <w:next w:val="1005"/>
    <w:link w:val="706"/>
    <w:qFormat/>
    <w:rPr>
      <w:rFonts w:eastAsia="宋体"/>
      <w:sz w:val="18"/>
      <w:szCs w:val="18"/>
      <w:lang w:val="en-US" w:eastAsia="zh-CN" w:bidi="ar-SA"/>
    </w:rPr>
  </w:style>
  <w:style w:type="character" w:styleId="1006">
    <w:name w:val="小四 段落 宋体 Char Char Char1"/>
    <w:next w:val="1006"/>
    <w:link w:val="706"/>
    <w:qFormat/>
    <w:rPr>
      <w:rFonts w:ascii="宋体" w:hAnsi="宋体" w:eastAsia="宋体"/>
      <w:sz w:val="24"/>
      <w:szCs w:val="24"/>
      <w:lang w:val="en-US" w:eastAsia="zh-CN" w:bidi="ar-SA"/>
    </w:rPr>
  </w:style>
  <w:style w:type="character" w:styleId="1007">
    <w:name w:val="标准小四 Char Char"/>
    <w:next w:val="1007"/>
    <w:link w:val="706"/>
    <w:qFormat/>
    <w:rPr>
      <w:rFonts w:ascii="Arial" w:hAnsi="Arial" w:eastAsia="宋体"/>
      <w:sz w:val="24"/>
      <w:szCs w:val="21"/>
      <w:lang w:val="en-US" w:eastAsia="zh-CN" w:bidi="ar-SA"/>
    </w:rPr>
  </w:style>
  <w:style w:type="character" w:styleId="1008">
    <w:name w:val="标准小四 Char"/>
    <w:next w:val="1008"/>
    <w:link w:val="706"/>
    <w:qFormat/>
    <w:rPr>
      <w:rFonts w:ascii="Arial" w:hAnsi="Arial" w:eastAsia="宋体"/>
      <w:sz w:val="24"/>
      <w:szCs w:val="21"/>
      <w:lang w:val="en-US" w:eastAsia="zh-CN" w:bidi="ar-SA"/>
    </w:rPr>
  </w:style>
  <w:style w:type="character" w:styleId="1009">
    <w:name w:val="point_normal1"/>
    <w:next w:val="1009"/>
    <w:link w:val="706"/>
    <w:qFormat/>
    <w:rPr>
      <w:rFonts w:ascii="Arial" w:hAnsi="Arial" w:cs="Arial"/>
      <w:sz w:val="18"/>
      <w:szCs w:val="18"/>
    </w:rPr>
  </w:style>
  <w:style w:type="character" w:styleId="1010">
    <w:name w:val="Char Char21"/>
    <w:next w:val="1010"/>
    <w:link w:val="706"/>
    <w:qFormat/>
    <w:rPr>
      <w:rFonts w:ascii="Arial" w:hAnsi="Arial" w:eastAsia="黑体"/>
      <w:sz w:val="24"/>
      <w:szCs w:val="24"/>
    </w:rPr>
  </w:style>
  <w:style w:type="character" w:styleId="1011">
    <w:name w:val="content_lineheight1"/>
    <w:basedOn w:val="716"/>
    <w:next w:val="1011"/>
    <w:link w:val="706"/>
    <w:qFormat/>
  </w:style>
  <w:style w:type="character" w:styleId="1012">
    <w:name w:val="content"/>
    <w:basedOn w:val="716"/>
    <w:next w:val="1012"/>
    <w:link w:val="706"/>
    <w:qFormat/>
  </w:style>
  <w:style w:type="character" w:styleId="1013">
    <w:name w:val="小四 段落 宋体 Char1"/>
    <w:next w:val="1013"/>
    <w:link w:val="706"/>
    <w:qFormat/>
    <w:rPr>
      <w:rFonts w:eastAsia="宋体"/>
      <w:sz w:val="24"/>
      <w:szCs w:val="24"/>
      <w:lang w:val="en-US" w:eastAsia="zh-CN" w:bidi="ar-SA"/>
    </w:rPr>
  </w:style>
  <w:style w:type="character" w:styleId="1014">
    <w:name w:val="标准文本 Char Char"/>
    <w:next w:val="1014"/>
    <w:link w:val="706"/>
    <w:qFormat/>
    <w:rPr>
      <w:rFonts w:eastAsia="宋体" w:cs="宋体"/>
      <w:sz w:val="24"/>
      <w:szCs w:val="24"/>
      <w:lang w:val="en-US" w:eastAsia="zh-CN" w:bidi="ar-SA"/>
    </w:rPr>
  </w:style>
  <w:style w:type="character" w:styleId="1015">
    <w:name w:val="3zw"/>
    <w:basedOn w:val="716"/>
    <w:next w:val="1015"/>
    <w:link w:val="706"/>
    <w:qFormat/>
  </w:style>
  <w:style w:type="character" w:styleId="1016">
    <w:name w:val="正文缩进 Char1"/>
    <w:next w:val="1016"/>
    <w:link w:val="1017"/>
    <w:qFormat/>
    <w:rPr>
      <w:rFonts w:eastAsia="宋体"/>
      <w:lang w:bidi="ar-SA"/>
    </w:rPr>
  </w:style>
  <w:style w:type="paragraph" w:styleId="1017">
    <w:name w:val="Normal Indent0"/>
    <w:basedOn w:val="706"/>
    <w:next w:val="1017"/>
    <w:link w:val="1016"/>
    <w:qFormat/>
    <w:pPr>
      <w:ind w:firstLine="420"/>
    </w:pPr>
    <w:rPr>
      <w:sz w:val="20"/>
    </w:rPr>
  </w:style>
  <w:style w:type="character" w:styleId="1018">
    <w:name w:val="纯文本 Char Char Char1"/>
    <w:next w:val="1018"/>
    <w:link w:val="706"/>
    <w:qFormat/>
    <w:rPr>
      <w:rFonts w:ascii="宋体" w:hAnsi="Courier New" w:eastAsia="宋体"/>
      <w:sz w:val="21"/>
      <w:szCs w:val="21"/>
      <w:lang w:val="en-US" w:eastAsia="zh-CN" w:bidi="ar-SA"/>
    </w:rPr>
  </w:style>
  <w:style w:type="character" w:styleId="1019">
    <w:name w:val="Char Char20"/>
    <w:next w:val="1019"/>
    <w:link w:val="706"/>
    <w:qFormat/>
    <w:rPr>
      <w:rFonts w:ascii="Arial" w:hAnsi="Arial" w:eastAsia="黑体"/>
      <w:sz w:val="21"/>
      <w:szCs w:val="21"/>
    </w:rPr>
  </w:style>
  <w:style w:type="character" w:styleId="1020">
    <w:name w:val="Subtle Emphasis"/>
    <w:next w:val="1020"/>
    <w:link w:val="706"/>
    <w:qFormat/>
    <w:rPr>
      <w:i/>
      <w:iCs/>
    </w:rPr>
  </w:style>
  <w:style w:type="character" w:styleId="1021">
    <w:name w:val="小四 段落 宋体 Char Char Char Char Char Char Char Char"/>
    <w:next w:val="1021"/>
    <w:link w:val="706"/>
    <w:qFormat/>
    <w:rPr>
      <w:rFonts w:eastAsia="宋体"/>
      <w:sz w:val="24"/>
      <w:szCs w:val="24"/>
      <w:lang w:val="en-US" w:eastAsia="zh-CN" w:bidi="ar-SA"/>
    </w:rPr>
  </w:style>
  <w:style w:type="character" w:styleId="1022">
    <w:name w:val="Intense Emphasis"/>
    <w:next w:val="1022"/>
    <w:link w:val="706"/>
    <w:qFormat/>
    <w:rPr>
      <w:b/>
      <w:bCs/>
    </w:rPr>
  </w:style>
  <w:style w:type="character" w:styleId="1023">
    <w:name w:val="Intense Reference"/>
    <w:next w:val="1023"/>
    <w:link w:val="706"/>
    <w:qFormat/>
    <w:rPr>
      <w:smallCaps/>
      <w:spacing w:val="5"/>
      <w:u w:val="single"/>
    </w:rPr>
  </w:style>
  <w:style w:type="character" w:styleId="1024">
    <w:name w:val="标准文本 Char"/>
    <w:next w:val="1024"/>
    <w:link w:val="706"/>
    <w:qFormat/>
    <w:rPr>
      <w:rFonts w:eastAsia="宋体" w:cs="宋体"/>
      <w:sz w:val="24"/>
      <w:szCs w:val="24"/>
      <w:lang w:val="en-US" w:eastAsia="zh-CN" w:bidi="ar-SA"/>
    </w:rPr>
  </w:style>
  <w:style w:type="character" w:styleId="1025">
    <w:name w:val="标题 3 Char Char"/>
    <w:next w:val="1025"/>
    <w:link w:val="706"/>
    <w:qFormat/>
    <w:rPr>
      <w:rFonts w:eastAsia="方正仿宋_GB2312"/>
      <w:b/>
      <w:bCs/>
      <w:sz w:val="28"/>
      <w:szCs w:val="32"/>
      <w:lang w:val="en-US" w:eastAsia="zh-CN" w:bidi="ar-SA"/>
    </w:rPr>
  </w:style>
  <w:style w:type="character" w:styleId="1026">
    <w:name w:val="Char Char22"/>
    <w:next w:val="1026"/>
    <w:link w:val="706"/>
    <w:qFormat/>
    <w:rPr>
      <w:b/>
      <w:bCs/>
      <w:sz w:val="24"/>
      <w:szCs w:val="24"/>
    </w:rPr>
  </w:style>
  <w:style w:type="character" w:styleId="1027">
    <w:name w:val="Char Char17"/>
    <w:next w:val="1027"/>
    <w:link w:val="706"/>
    <w:qFormat/>
    <w:rPr>
      <w:rFonts w:ascii="宋体" w:hAnsi="Courier New"/>
      <w:sz w:val="21"/>
      <w:szCs w:val="21"/>
    </w:rPr>
  </w:style>
  <w:style w:type="character" w:styleId="1028">
    <w:name w:val="样式 宋体 小四"/>
    <w:next w:val="1028"/>
    <w:link w:val="706"/>
    <w:qFormat/>
    <w:rPr>
      <w:rFonts w:ascii="宋体" w:hAnsi="宋体"/>
      <w:sz w:val="24"/>
    </w:rPr>
  </w:style>
  <w:style w:type="character" w:styleId="1029">
    <w:name w:val="Char Char29"/>
    <w:next w:val="1029"/>
    <w:link w:val="706"/>
    <w:qFormat/>
    <w:rPr>
      <w:rFonts w:ascii="Times New Roman" w:hAnsi="Times New Roman" w:eastAsia="宋体" w:cs="Times New Roman"/>
      <w:b/>
      <w:bCs/>
      <w:sz w:val="44"/>
      <w:szCs w:val="44"/>
    </w:rPr>
  </w:style>
  <w:style w:type="character" w:styleId="1030">
    <w:name w:val="normalfont1"/>
    <w:next w:val="1030"/>
    <w:link w:val="706"/>
    <w:qFormat/>
    <w:rPr>
      <w:rFonts w:ascii="DejaVu Math TeX Gyre" w:hAnsi="DejaVu Math TeX Gyre"/>
      <w:sz w:val="18"/>
      <w:szCs w:val="18"/>
      <w:u w:val="none"/>
    </w:rPr>
  </w:style>
  <w:style w:type="character" w:styleId="1031">
    <w:name w:val="title_emph1"/>
    <w:next w:val="1031"/>
    <w:link w:val="706"/>
    <w:qFormat/>
    <w:rPr>
      <w:rFonts w:ascii="Arial" w:cs="Arial"/>
      <w:b/>
      <w:bCs/>
      <w:sz w:val="18"/>
      <w:szCs w:val="18"/>
    </w:rPr>
  </w:style>
  <w:style w:type="character" w:styleId="1032">
    <w:name w:val="正文 + 宋体 Char"/>
    <w:next w:val="1032"/>
    <w:link w:val="706"/>
    <w:qFormat/>
    <w:rPr>
      <w:rFonts w:eastAsia="宋体"/>
      <w:sz w:val="21"/>
      <w:szCs w:val="24"/>
      <w:lang w:val="en-US" w:eastAsia="zh-CN" w:bidi="ar-SA"/>
    </w:rPr>
  </w:style>
  <w:style w:type="character" w:styleId="1033">
    <w:name w:val="普通文字1 Char"/>
    <w:next w:val="1033"/>
    <w:link w:val="706"/>
    <w:qFormat/>
    <w:rPr>
      <w:rFonts w:ascii="宋体" w:eastAsia="宋体"/>
      <w:sz w:val="21"/>
      <w:szCs w:val="21"/>
      <w:lang w:val="en-US" w:eastAsia="zh-CN" w:bidi="ar-SA"/>
    </w:rPr>
  </w:style>
  <w:style w:type="character" w:styleId="1034">
    <w:name w:val="无间隔 Char"/>
    <w:next w:val="1034"/>
    <w:link w:val="1035"/>
    <w:qFormat/>
    <w:rPr>
      <w:rFonts w:eastAsia="微软雅黑"/>
      <w:sz w:val="24"/>
      <w:szCs w:val="22"/>
      <w:lang w:val="en-US" w:eastAsia="zh-CN" w:bidi="ar-SA"/>
    </w:rPr>
  </w:style>
  <w:style w:type="paragraph" w:styleId="1035">
    <w:name w:val="无间隔"/>
    <w:next w:val="1035"/>
    <w:link w:val="1034"/>
    <w:qFormat/>
    <w:pPr>
      <w:jc w:val="both"/>
      <w:widowControl w:val="off"/>
    </w:pPr>
    <w:rPr>
      <w:rFonts w:eastAsia="微软雅黑"/>
      <w:sz w:val="24"/>
      <w:szCs w:val="22"/>
      <w:lang w:val="en-US" w:eastAsia="zh-CN" w:bidi="ar-SA"/>
    </w:rPr>
  </w:style>
  <w:style w:type="character" w:styleId="1036">
    <w:name w:val="新图表正文 Char Char"/>
    <w:next w:val="1036"/>
    <w:link w:val="1037"/>
    <w:qFormat/>
    <w:rPr>
      <w:rFonts w:ascii="宋体" w:hAnsi="宋体"/>
      <w:sz w:val="18"/>
      <w:szCs w:val="21"/>
      <w:lang w:val="en-US" w:eastAsia="zh-CN" w:bidi="ar-SA"/>
    </w:rPr>
  </w:style>
  <w:style w:type="paragraph" w:styleId="1037">
    <w:name w:val="新图表正文"/>
    <w:next w:val="1037"/>
    <w:link w:val="1036"/>
    <w:qFormat/>
    <w:pPr>
      <w:jc w:val="both"/>
    </w:pPr>
    <w:rPr>
      <w:rFonts w:ascii="宋体" w:hAnsi="宋体"/>
      <w:sz w:val="18"/>
      <w:szCs w:val="21"/>
      <w:lang w:val="en-US" w:eastAsia="zh-CN" w:bidi="ar-SA"/>
    </w:rPr>
  </w:style>
  <w:style w:type="character" w:styleId="1038">
    <w:name w:val="样式 首行缩进:  2 字符 Char"/>
    <w:next w:val="1038"/>
    <w:link w:val="706"/>
    <w:qFormat/>
    <w:rPr>
      <w:rFonts w:eastAsia="宋体" w:cs="宋体"/>
      <w:sz w:val="24"/>
      <w:lang w:val="en-US" w:eastAsia="zh-CN" w:bidi="ar-SA"/>
    </w:rPr>
  </w:style>
  <w:style w:type="character" w:styleId="1039">
    <w:name w:val="纯文本 Char Char Char"/>
    <w:next w:val="1039"/>
    <w:link w:val="706"/>
    <w:qFormat/>
    <w:rPr>
      <w:rFonts w:ascii="宋体" w:hAnsi="Courier New" w:eastAsia="宋体"/>
      <w:sz w:val="21"/>
      <w:szCs w:val="21"/>
      <w:lang w:val="en-US" w:eastAsia="zh-CN" w:bidi="ar-SA"/>
    </w:rPr>
  </w:style>
  <w:style w:type="character" w:styleId="1040">
    <w:name w:val="特点 Char1"/>
    <w:next w:val="1040"/>
    <w:link w:val="706"/>
    <w:qFormat/>
    <w:rPr>
      <w:rFonts w:eastAsia="宋体"/>
      <w:sz w:val="21"/>
      <w:lang w:val="en-US" w:eastAsia="zh-CN" w:bidi="ar-SA"/>
    </w:rPr>
  </w:style>
  <w:style w:type="paragraph" w:styleId="1041">
    <w:name w:val="Char"/>
    <w:basedOn w:val="706"/>
    <w:next w:val="1041"/>
    <w:link w:val="706"/>
    <w:qFormat/>
    <w:pPr>
      <w:spacing w:after="156" w:line="360" w:lineRule="auto"/>
    </w:pPr>
    <w:rPr>
      <w:rFonts w:ascii="Tahoma" w:hAnsi="Tahoma"/>
      <w:sz w:val="24"/>
    </w:rPr>
  </w:style>
  <w:style w:type="paragraph" w:styleId="1042">
    <w:name w:val="Item List Char Char"/>
    <w:next w:val="1042"/>
    <w:link w:val="706"/>
    <w:qFormat/>
    <w:pPr>
      <w:jc w:val="both"/>
      <w:spacing w:line="288" w:lineRule="auto"/>
    </w:pPr>
    <w:rPr>
      <w:rFonts w:ascii="Arial" w:hAnsi="Arial" w:cs="Arial"/>
      <w:b/>
      <w:bCs/>
      <w:sz w:val="21"/>
      <w:szCs w:val="28"/>
      <w:lang w:val="en-US" w:eastAsia="zh-CN" w:bidi="ar-SA"/>
    </w:rPr>
  </w:style>
  <w:style w:type="paragraph" w:styleId="1043">
    <w:name w:val="样式 样式 标题 3H3sect1.2.3BOD 0Heading 3 - oldh3l3CTLevel 3 Head... +..."/>
    <w:basedOn w:val="706"/>
    <w:next w:val="1043"/>
    <w:link w:val="706"/>
    <w:qFormat/>
    <w:pPr>
      <w:jc w:val="left"/>
      <w:keepLines/>
      <w:keepNext/>
      <w:spacing w:before="156" w:after="156"/>
      <w:outlineLvl w:val="2"/>
    </w:pPr>
    <w:rPr>
      <w:rFonts w:cs="宋体"/>
      <w:b/>
      <w:bCs/>
      <w:sz w:val="24"/>
    </w:rPr>
  </w:style>
  <w:style w:type="paragraph" w:styleId="1044">
    <w:name w:val="Body Text 20"/>
    <w:basedOn w:val="706"/>
    <w:next w:val="1044"/>
    <w:link w:val="706"/>
    <w:qFormat/>
    <w:pPr>
      <w:ind w:left="720" w:hanging="720"/>
      <w:widowControl/>
    </w:pPr>
    <w:rPr>
      <w:sz w:val="24"/>
      <w:lang w:val="en-GB"/>
    </w:rPr>
  </w:style>
  <w:style w:type="paragraph" w:styleId="1045">
    <w:name w:val="默认段落字体 Para Char Char Char Char Char Char Char Char Char1 Char Char Char Char Char Char Char"/>
    <w:basedOn w:val="734"/>
    <w:next w:val="1045"/>
    <w:link w:val="706"/>
    <w:qFormat/>
  </w:style>
  <w:style w:type="paragraph" w:styleId="1046">
    <w:name w:val="Normal1"/>
    <w:basedOn w:val="706"/>
    <w:next w:val="1046"/>
    <w:link w:val="706"/>
    <w:qFormat/>
    <w:rPr>
      <w:rFonts w:ascii="Calibri" w:hAnsi="Calibri" w:eastAsia="Calibri" w:cs="宋体"/>
      <w:lang w:val="zh-CN"/>
    </w:rPr>
  </w:style>
  <w:style w:type="paragraph" w:styleId="1047">
    <w:name w:val="xl46"/>
    <w:basedOn w:val="706"/>
    <w:next w:val="1047"/>
    <w:link w:val="706"/>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48">
    <w:name w:val="Char Char Char Char Char Char Char Char Char Char Char Char Char Char Char Char Char Char Char Char Char Char Char"/>
    <w:basedOn w:val="706"/>
    <w:next w:val="1048"/>
    <w:link w:val="706"/>
    <w:qFormat/>
    <w:rPr>
      <w:rFonts w:ascii="Tahoma" w:hAnsi="Tahoma"/>
      <w:sz w:val="24"/>
    </w:rPr>
  </w:style>
  <w:style w:type="paragraph" w:styleId="1049">
    <w:name w:val="马刚标题1"/>
    <w:basedOn w:val="707"/>
    <w:next w:val="706"/>
    <w:link w:val="706"/>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50">
    <w:name w:val="7"/>
    <w:basedOn w:val="706"/>
    <w:next w:val="781"/>
    <w:link w:val="706"/>
    <w:qFormat/>
    <w:pPr>
      <w:jc w:val="left"/>
      <w:spacing w:before="100" w:beforeAutospacing="1" w:after="100" w:afterAutospacing="1"/>
      <w:widowControl/>
    </w:pPr>
    <w:rPr>
      <w:rFonts w:ascii="宋体" w:hAnsi="宋体"/>
      <w:sz w:val="24"/>
    </w:rPr>
  </w:style>
  <w:style w:type="paragraph" w:styleId="1051">
    <w:name w:val="样式 样式 首行缩进:  2 字符 + 行距: 1.5 倍行距"/>
    <w:basedOn w:val="706"/>
    <w:next w:val="1051"/>
    <w:link w:val="706"/>
    <w:qFormat/>
    <w:pPr>
      <w:ind w:firstLine="470"/>
      <w:spacing w:line="360" w:lineRule="auto"/>
    </w:pPr>
    <w:rPr>
      <w:sz w:val="24"/>
    </w:rPr>
  </w:style>
  <w:style w:type="paragraph" w:styleId="1052">
    <w:name w:val="xl44"/>
    <w:basedOn w:val="706"/>
    <w:next w:val="1052"/>
    <w:link w:val="70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53">
    <w:name w:val="中等深浅网格 1 - 强调文字颜色 21"/>
    <w:basedOn w:val="706"/>
    <w:next w:val="1053"/>
    <w:link w:val="706"/>
    <w:qFormat/>
    <w:pPr>
      <w:ind w:firstLine="420"/>
    </w:pPr>
    <w:rPr>
      <w:rFonts w:ascii="Calibri" w:hAnsi="Calibri"/>
      <w:szCs w:val="22"/>
    </w:rPr>
  </w:style>
  <w:style w:type="paragraph" w:styleId="1054">
    <w:name w:val="greytypebeni"/>
    <w:basedOn w:val="706"/>
    <w:next w:val="1054"/>
    <w:link w:val="706"/>
    <w:qFormat/>
    <w:pPr>
      <w:jc w:val="left"/>
      <w:widowControl/>
    </w:pPr>
    <w:rPr>
      <w:rFonts w:ascii="宋体" w:hAnsi="宋体" w:cs="宋体"/>
      <w:sz w:val="24"/>
      <w:szCs w:val="24"/>
    </w:rPr>
  </w:style>
  <w:style w:type="paragraph" w:styleId="1055">
    <w:name w:val="font14"/>
    <w:basedOn w:val="706"/>
    <w:next w:val="1055"/>
    <w:link w:val="706"/>
    <w:qFormat/>
    <w:pPr>
      <w:jc w:val="left"/>
      <w:spacing w:before="100" w:beforeAutospacing="1" w:after="100" w:afterAutospacing="1"/>
      <w:widowControl/>
    </w:pPr>
    <w:rPr>
      <w:sz w:val="36"/>
      <w:szCs w:val="36"/>
    </w:rPr>
  </w:style>
  <w:style w:type="paragraph" w:styleId="1056">
    <w:name w:val="xl36"/>
    <w:basedOn w:val="706"/>
    <w:next w:val="1056"/>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57">
    <w:name w:val="Char Char Char Char Char Char Char Char Char Char Char Char Char Char"/>
    <w:basedOn w:val="706"/>
    <w:next w:val="1057"/>
    <w:link w:val="706"/>
    <w:qFormat/>
    <w:rPr>
      <w:rFonts w:ascii="Tahoma" w:hAnsi="Tahoma"/>
      <w:sz w:val="24"/>
    </w:rPr>
  </w:style>
  <w:style w:type="paragraph" w:styleId="1058">
    <w:name w:val="标准小四"/>
    <w:basedOn w:val="706"/>
    <w:next w:val="1058"/>
    <w:link w:val="706"/>
    <w:qFormat/>
    <w:pPr>
      <w:ind w:firstLine="480"/>
      <w:spacing w:line="360" w:lineRule="auto"/>
    </w:pPr>
    <w:rPr>
      <w:rFonts w:ascii="Arial" w:hAnsi="Arial"/>
      <w:sz w:val="24"/>
      <w:szCs w:val="21"/>
    </w:rPr>
  </w:style>
  <w:style w:type="paragraph" w:styleId="1059">
    <w:name w:val="样式 段后: 0.25 行"/>
    <w:basedOn w:val="706"/>
    <w:next w:val="1059"/>
    <w:link w:val="706"/>
    <w:qFormat/>
    <w:pPr>
      <w:ind w:firstLine="420"/>
      <w:jc w:val="left"/>
      <w:spacing w:after="78" w:line="300" w:lineRule="auto"/>
      <w:widowControl/>
    </w:pPr>
    <w:rPr>
      <w:rFonts w:ascii="Arial" w:hAnsi="Arial" w:cs="宋体"/>
      <w:sz w:val="22"/>
      <w:lang w:eastAsia="en-US" w:bidi="en-US"/>
    </w:rPr>
  </w:style>
  <w:style w:type="paragraph" w:styleId="1060">
    <w:name w:val="Char Char1"/>
    <w:basedOn w:val="706"/>
    <w:next w:val="1060"/>
    <w:link w:val="706"/>
    <w:qFormat/>
    <w:rPr>
      <w:rFonts w:ascii="Tahoma" w:hAnsi="Tahoma"/>
      <w:sz w:val="24"/>
    </w:rPr>
  </w:style>
  <w:style w:type="paragraph" w:styleId="1061">
    <w:name w:val="样式3"/>
    <w:basedOn w:val="706"/>
    <w:next w:val="706"/>
    <w:link w:val="706"/>
    <w:qFormat/>
    <w:pPr>
      <w:spacing w:line="360" w:lineRule="auto"/>
    </w:pPr>
  </w:style>
  <w:style w:type="paragraph" w:styleId="1062">
    <w:name w:val="_Style 42"/>
    <w:basedOn w:val="706"/>
    <w:next w:val="741"/>
    <w:link w:val="706"/>
    <w:qFormat/>
    <w:rPr>
      <w:rFonts w:ascii="方正楷体_GB2312" w:hAnsi="Arial" w:eastAsia="方正楷体_GB2312"/>
      <w:sz w:val="28"/>
    </w:rPr>
  </w:style>
  <w:style w:type="paragraph" w:styleId="1063">
    <w:name w:val="Char1 Char Char Char"/>
    <w:basedOn w:val="706"/>
    <w:next w:val="1063"/>
    <w:link w:val="706"/>
    <w:qFormat/>
    <w:rPr>
      <w:rFonts w:ascii="Tahoma" w:hAnsi="Tahoma" w:cs="Tahoma"/>
      <w:sz w:val="24"/>
    </w:rPr>
  </w:style>
  <w:style w:type="paragraph" w:styleId="1064">
    <w:name w:val="正文 A"/>
    <w:next w:val="1064"/>
    <w:link w:val="706"/>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65">
    <w:name w:val="Char Char1 Char Char Char Char"/>
    <w:basedOn w:val="734"/>
    <w:next w:val="1065"/>
    <w:link w:val="706"/>
    <w:qFormat/>
    <w:pPr>
      <w:ind w:left="357"/>
      <w:jc w:val="left"/>
      <w:spacing w:line="436" w:lineRule="exact"/>
      <w:outlineLvl w:val="3"/>
    </w:pPr>
    <w:rPr>
      <w:rFonts w:ascii="Tahoma" w:hAnsi="Tahoma" w:cs="Tahoma"/>
      <w:b/>
      <w:sz w:val="24"/>
      <w:szCs w:val="24"/>
    </w:rPr>
  </w:style>
  <w:style w:type="paragraph" w:styleId="1066">
    <w:name w:val="标题 4宋体"/>
    <w:basedOn w:val="710"/>
    <w:next w:val="1066"/>
    <w:link w:val="706"/>
    <w:qFormat/>
    <w:pPr>
      <w:jc w:val="left"/>
      <w:keepLines w:val="0"/>
      <w:spacing w:before="0" w:after="0" w:line="360" w:lineRule="auto"/>
    </w:pPr>
    <w:rPr>
      <w:rFonts w:ascii="宋体" w:hAnsi="宋体" w:eastAsia="宋体"/>
      <w:bCs/>
      <w:color w:val="000000"/>
      <w:sz w:val="24"/>
    </w:rPr>
  </w:style>
  <w:style w:type="paragraph" w:styleId="1067">
    <w:name w:val="xl57"/>
    <w:basedOn w:val="706"/>
    <w:next w:val="1067"/>
    <w:link w:val="70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68">
    <w:name w:val="Char Char Char Char Char Char Char Char Char Char Char Char Char Char Char Char Char Char Char Char Char"/>
    <w:basedOn w:val="706"/>
    <w:next w:val="1068"/>
    <w:link w:val="706"/>
    <w:qFormat/>
    <w:rPr>
      <w:rFonts w:ascii="Tahoma" w:hAnsi="Tahoma" w:cs="Tahoma"/>
      <w:sz w:val="24"/>
    </w:rPr>
  </w:style>
  <w:style w:type="paragraph" w:styleId="1069">
    <w:name w:val="xl45"/>
    <w:basedOn w:val="706"/>
    <w:next w:val="1069"/>
    <w:link w:val="70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70">
    <w:name w:val="xl25"/>
    <w:basedOn w:val="706"/>
    <w:next w:val="1070"/>
    <w:link w:val="706"/>
    <w:qFormat/>
    <w:pPr>
      <w:jc w:val="center"/>
      <w:spacing w:before="100" w:beforeAutospacing="1" w:after="100" w:afterAutospacing="1"/>
      <w:widowControl/>
      <w:pBdr>
        <w:right w:val="single" w:color="000000" w:sz="4" w:space="0"/>
      </w:pBdr>
    </w:pPr>
    <w:rPr>
      <w:szCs w:val="21"/>
    </w:rPr>
  </w:style>
  <w:style w:type="paragraph" w:styleId="1071">
    <w:name w:val="丁华正文"/>
    <w:basedOn w:val="770"/>
    <w:next w:val="1071"/>
    <w:link w:val="706"/>
    <w:qFormat/>
    <w:pPr>
      <w:ind w:left="0" w:firstLine="510"/>
      <w:spacing w:line="360" w:lineRule="auto"/>
    </w:pPr>
    <w:rPr>
      <w:rFonts w:ascii="Times New Roman" w:hAnsi="Times New Roman" w:eastAsia="宋体"/>
      <w:color w:val="000000"/>
      <w:sz w:val="24"/>
      <w:szCs w:val="16"/>
    </w:rPr>
  </w:style>
  <w:style w:type="paragraph" w:styleId="1072">
    <w:name w:val="小四 段落 宋体 Char Char"/>
    <w:basedOn w:val="706"/>
    <w:next w:val="1072"/>
    <w:link w:val="706"/>
    <w:qFormat/>
    <w:pPr>
      <w:ind w:firstLine="480"/>
      <w:spacing w:line="360" w:lineRule="auto"/>
    </w:pPr>
    <w:rPr>
      <w:rFonts w:ascii="宋体" w:hAnsi="宋体"/>
      <w:sz w:val="24"/>
      <w:szCs w:val="24"/>
    </w:rPr>
  </w:style>
  <w:style w:type="paragraph" w:styleId="1073">
    <w:name w:val="样式 标题 2第一章 标题 2Heading 2 HiddenHeading 2 CCBSheading 2H2h2..."/>
    <w:basedOn w:val="708"/>
    <w:next w:val="1073"/>
    <w:link w:val="706"/>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4">
    <w:name w:val="段落"/>
    <w:basedOn w:val="706"/>
    <w:next w:val="1074"/>
    <w:link w:val="706"/>
    <w:qFormat/>
    <w:pPr>
      <w:ind w:firstLine="480"/>
      <w:spacing w:line="460" w:lineRule="exact"/>
    </w:pPr>
    <w:rPr>
      <w:sz w:val="24"/>
    </w:rPr>
  </w:style>
  <w:style w:type="paragraph" w:styleId="1075">
    <w:name w:val="Char Char Char Char Char Char Char Char Char Char Char Char Char Char1"/>
    <w:basedOn w:val="706"/>
    <w:next w:val="1075"/>
    <w:link w:val="706"/>
    <w:qFormat/>
    <w:rPr>
      <w:rFonts w:ascii="Tahoma" w:hAnsi="Tahoma" w:cs="Tahoma"/>
      <w:sz w:val="24"/>
    </w:rPr>
  </w:style>
  <w:style w:type="paragraph" w:styleId="1076">
    <w:name w:val="默认段落字体 Para Char Char Char Char Char Char Char"/>
    <w:basedOn w:val="706"/>
    <w:next w:val="1076"/>
    <w:link w:val="706"/>
    <w:qFormat/>
  </w:style>
  <w:style w:type="paragraph" w:styleId="1077">
    <w:name w:val="af17cgridlangnp1033langf"/>
    <w:next w:val="1077"/>
    <w:link w:val="706"/>
    <w:qFormat/>
    <w:pPr>
      <w:ind w:left="567" w:firstLine="510"/>
      <w:jc w:val="both"/>
      <w:spacing w:before="156" w:line="360" w:lineRule="atLeast"/>
      <w:widowControl w:val="off"/>
    </w:pPr>
    <w:rPr>
      <w:lang w:val="en-US" w:eastAsia="zh-CN" w:bidi="ar-SA"/>
    </w:rPr>
  </w:style>
  <w:style w:type="paragraph" w:styleId="1078">
    <w:name w:val="正文 + Arial Char"/>
    <w:basedOn w:val="706"/>
    <w:next w:val="1078"/>
    <w:link w:val="706"/>
    <w:qFormat/>
    <w:pPr>
      <w:ind w:left="315" w:hanging="315"/>
      <w:spacing w:line="300" w:lineRule="auto"/>
      <w:widowControl/>
      <w:tabs>
        <w:tab w:val="left" w:pos="315" w:leader="none"/>
      </w:tabs>
    </w:pPr>
    <w:rPr>
      <w:rFonts w:ascii="Arial" w:hAnsi="Arial" w:cs="Arial"/>
      <w:b/>
      <w:color w:val="000000"/>
    </w:rPr>
  </w:style>
  <w:style w:type="paragraph" w:styleId="1079">
    <w:name w:val="Char1"/>
    <w:basedOn w:val="706"/>
    <w:next w:val="1079"/>
    <w:link w:val="706"/>
    <w:qFormat/>
    <w:pPr>
      <w:jc w:val="left"/>
      <w:spacing w:after="160" w:line="240" w:lineRule="exact"/>
      <w:widowControl/>
    </w:pPr>
    <w:rPr>
      <w:rFonts w:ascii="Verdana" w:hAnsi="Verdana" w:eastAsia="方正仿宋_GB2312"/>
      <w:sz w:val="24"/>
      <w:lang w:eastAsia="en-US"/>
    </w:rPr>
  </w:style>
  <w:style w:type="paragraph" w:styleId="1080">
    <w:name w:val="Pa6"/>
    <w:basedOn w:val="706"/>
    <w:next w:val="706"/>
    <w:link w:val="706"/>
    <w:qFormat/>
    <w:pPr>
      <w:jc w:val="left"/>
      <w:spacing w:line="241" w:lineRule="atLeast"/>
    </w:pPr>
    <w:rPr>
      <w:rFonts w:ascii="DejaVu Math TeX Gyre" w:eastAsia="DejaVu Math TeX Gyre"/>
      <w:sz w:val="24"/>
      <w:szCs w:val="24"/>
    </w:rPr>
  </w:style>
  <w:style w:type="paragraph" w:styleId="1081">
    <w:name w:val="马刚标题3"/>
    <w:basedOn w:val="706"/>
    <w:next w:val="706"/>
    <w:link w:val="70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2">
    <w:name w:val="content_lineheight"/>
    <w:basedOn w:val="706"/>
    <w:next w:val="1082"/>
    <w:link w:val="706"/>
    <w:qFormat/>
    <w:pPr>
      <w:jc w:val="left"/>
      <w:spacing w:before="100" w:beforeAutospacing="1" w:after="100" w:afterAutospacing="1"/>
      <w:widowControl/>
    </w:pPr>
    <w:rPr>
      <w:rFonts w:ascii="宋体" w:hAnsi="宋体"/>
      <w:sz w:val="24"/>
      <w:szCs w:val="24"/>
    </w:rPr>
  </w:style>
  <w:style w:type="paragraph" w:styleId="1083">
    <w:name w:val="默认段落字体 Para Char"/>
    <w:basedOn w:val="706"/>
    <w:next w:val="1083"/>
    <w:link w:val="706"/>
    <w:qFormat/>
    <w:rPr>
      <w:sz w:val="24"/>
      <w:szCs w:val="24"/>
    </w:rPr>
  </w:style>
  <w:style w:type="paragraph" w:styleId="1084">
    <w:name w:val="表格"/>
    <w:basedOn w:val="706"/>
    <w:next w:val="1084"/>
    <w:link w:val="706"/>
    <w:qFormat/>
    <w:pPr>
      <w:ind w:firstLine="21"/>
    </w:pPr>
    <w:rPr>
      <w:rFonts w:ascii="宋体" w:hAnsi="宋体" w:cs="宋体"/>
      <w:sz w:val="20"/>
    </w:rPr>
  </w:style>
  <w:style w:type="paragraph" w:styleId="1085">
    <w:name w:val="Char Char Char Char Char Char Char Char Char Char Char"/>
    <w:basedOn w:val="706"/>
    <w:next w:val="1085"/>
    <w:link w:val="706"/>
    <w:qFormat/>
    <w:rPr>
      <w:rFonts w:ascii="Tahoma" w:hAnsi="Tahoma" w:cs="Tahoma"/>
      <w:sz w:val="24"/>
    </w:rPr>
  </w:style>
  <w:style w:type="paragraph" w:styleId="1086">
    <w:name w:val="丁华标题1"/>
    <w:basedOn w:val="707"/>
    <w:next w:val="1071"/>
    <w:link w:val="706"/>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87">
    <w:name w:val="列出段落"/>
    <w:basedOn w:val="706"/>
    <w:next w:val="1087"/>
    <w:link w:val="706"/>
    <w:uiPriority w:val="34"/>
    <w:qFormat/>
    <w:pPr>
      <w:ind w:firstLine="420"/>
    </w:pPr>
    <w:rPr>
      <w:szCs w:val="24"/>
    </w:rPr>
  </w:style>
  <w:style w:type="paragraph" w:styleId="1088">
    <w:name w:val="正文表标题"/>
    <w:next w:val="1089"/>
    <w:link w:val="706"/>
    <w:qFormat/>
    <w:pPr>
      <w:ind w:left="900" w:hanging="420"/>
      <w:jc w:val="center"/>
      <w:tabs>
        <w:tab w:val="left" w:pos="900" w:leader="none"/>
      </w:tabs>
    </w:pPr>
    <w:rPr>
      <w:rFonts w:ascii="黑体" w:eastAsia="黑体"/>
      <w:sz w:val="21"/>
      <w:lang w:val="en-US" w:eastAsia="zh-CN" w:bidi="ar-SA"/>
    </w:rPr>
  </w:style>
  <w:style w:type="paragraph" w:styleId="1089">
    <w:name w:val="段"/>
    <w:next w:val="706"/>
    <w:link w:val="706"/>
    <w:qFormat/>
    <w:pPr>
      <w:ind w:firstLine="200"/>
      <w:jc w:val="both"/>
    </w:pPr>
    <w:rPr>
      <w:rFonts w:ascii="宋体"/>
      <w:sz w:val="21"/>
      <w:lang w:val="en-US" w:eastAsia="zh-CN" w:bidi="ar-SA"/>
    </w:rPr>
  </w:style>
  <w:style w:type="paragraph" w:styleId="1090">
    <w:name w:val="样式"/>
    <w:basedOn w:val="706"/>
    <w:next w:val="1090"/>
    <w:link w:val="706"/>
    <w:qFormat/>
    <w:pPr>
      <w:spacing w:before="120" w:after="120" w:line="360" w:lineRule="auto"/>
    </w:pPr>
    <w:rPr>
      <w:rFonts w:ascii="宋体"/>
      <w:sz w:val="24"/>
    </w:rPr>
  </w:style>
  <w:style w:type="paragraph" w:styleId="1091">
    <w:name w:val="Char2"/>
    <w:basedOn w:val="706"/>
    <w:next w:val="1091"/>
    <w:link w:val="706"/>
    <w:semiHidden/>
    <w:qFormat/>
    <w:rPr>
      <w:rFonts w:ascii="Tahoma" w:hAnsi="Tahoma" w:cs="方正仿宋_GB2312"/>
      <w:sz w:val="24"/>
      <w:szCs w:val="28"/>
    </w:rPr>
  </w:style>
  <w:style w:type="paragraph" w:styleId="1092">
    <w:name w:val="xl43"/>
    <w:basedOn w:val="706"/>
    <w:next w:val="1092"/>
    <w:link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93">
    <w:name w:val="font13"/>
    <w:basedOn w:val="706"/>
    <w:next w:val="1093"/>
    <w:link w:val="706"/>
    <w:qFormat/>
    <w:pPr>
      <w:jc w:val="left"/>
      <w:spacing w:before="100" w:beforeAutospacing="1" w:after="100" w:afterAutospacing="1"/>
      <w:widowControl/>
    </w:pPr>
    <w:rPr>
      <w:i/>
      <w:iCs/>
      <w:sz w:val="36"/>
      <w:szCs w:val="36"/>
    </w:rPr>
  </w:style>
  <w:style w:type="paragraph" w:styleId="1094">
    <w:name w:val="a0"/>
    <w:basedOn w:val="706"/>
    <w:next w:val="1094"/>
    <w:link w:val="706"/>
    <w:qFormat/>
    <w:pPr>
      <w:spacing w:before="100" w:beforeAutospacing="1" w:after="100" w:afterAutospacing="1"/>
      <w:widowControl/>
    </w:pPr>
    <w:rPr>
      <w:rFonts w:ascii="宋体" w:hAnsi="宋体" w:cs="宋体"/>
      <w:sz w:val="24"/>
      <w:szCs w:val="24"/>
    </w:rPr>
  </w:style>
  <w:style w:type="paragraph" w:styleId="1095">
    <w:name w:val="项目符号，一级"/>
    <w:basedOn w:val="1096"/>
    <w:next w:val="1096"/>
    <w:link w:val="706"/>
    <w:qFormat/>
    <w:pPr>
      <w:ind w:left="376" w:firstLine="0"/>
      <w:spacing w:line="240" w:lineRule="atLeast"/>
      <w:tabs>
        <w:tab w:val="left" w:pos="1320" w:leader="none"/>
      </w:tabs>
    </w:pPr>
    <w:rPr>
      <w:bCs w:val="0"/>
      <w:color w:val="000000"/>
      <w:szCs w:val="24"/>
    </w:rPr>
  </w:style>
  <w:style w:type="paragraph" w:styleId="1096">
    <w:name w:val="正文格式"/>
    <w:basedOn w:val="706"/>
    <w:next w:val="1096"/>
    <w:link w:val="706"/>
    <w:qFormat/>
    <w:pPr>
      <w:ind w:left="178" w:right="44" w:hanging="178"/>
      <w:jc w:val="left"/>
      <w:spacing w:before="78" w:line="360" w:lineRule="auto"/>
      <w:widowControl/>
    </w:pPr>
    <w:rPr>
      <w:rFonts w:ascii="宋体" w:hAnsi="宋体"/>
      <w:bCs/>
      <w:szCs w:val="21"/>
    </w:rPr>
  </w:style>
  <w:style w:type="paragraph" w:styleId="1097">
    <w:name w:val="Char Char Char Char Char Char Char"/>
    <w:basedOn w:val="706"/>
    <w:next w:val="1097"/>
    <w:link w:val="706"/>
    <w:qFormat/>
    <w:rPr>
      <w:rFonts w:ascii="Tahoma" w:hAnsi="Tahoma"/>
      <w:sz w:val="24"/>
    </w:rPr>
  </w:style>
  <w:style w:type="paragraph" w:styleId="1098">
    <w:name w:val="xl63"/>
    <w:basedOn w:val="706"/>
    <w:next w:val="1098"/>
    <w:link w:val="70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99">
    <w:name w:val="Char Char11"/>
    <w:basedOn w:val="706"/>
    <w:next w:val="1099"/>
    <w:link w:val="706"/>
    <w:qFormat/>
    <w:rPr>
      <w:rFonts w:ascii="Tahoma" w:hAnsi="Tahoma" w:cs="Tahoma"/>
      <w:sz w:val="24"/>
    </w:rPr>
  </w:style>
  <w:style w:type="paragraph" w:styleId="1100">
    <w:name w:val="Char Char Char Char Char"/>
    <w:basedOn w:val="706"/>
    <w:next w:val="1100"/>
    <w:link w:val="706"/>
    <w:qFormat/>
    <w:rPr>
      <w:rFonts w:ascii="Tahoma" w:hAnsi="Tahoma"/>
      <w:sz w:val="24"/>
    </w:rPr>
  </w:style>
  <w:style w:type="paragraph" w:styleId="1101">
    <w:name w:val="正文lzq"/>
    <w:basedOn w:val="706"/>
    <w:next w:val="1101"/>
    <w:link w:val="706"/>
    <w:qFormat/>
    <w:pPr>
      <w:ind w:firstLine="480"/>
      <w:spacing w:line="360" w:lineRule="auto"/>
    </w:pPr>
    <w:rPr>
      <w:sz w:val="24"/>
    </w:rPr>
  </w:style>
  <w:style w:type="paragraph" w:styleId="1102">
    <w:name w:val="xl52"/>
    <w:basedOn w:val="706"/>
    <w:next w:val="1102"/>
    <w:link w:val="70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03">
    <w:name w:val="xl56"/>
    <w:basedOn w:val="706"/>
    <w:next w:val="1103"/>
    <w:link w:val="70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04">
    <w:name w:val="xl62"/>
    <w:basedOn w:val="706"/>
    <w:next w:val="1104"/>
    <w:link w:val="70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5">
    <w:name w:val="列表内容"/>
    <w:basedOn w:val="706"/>
    <w:next w:val="706"/>
    <w:link w:val="706"/>
    <w:qFormat/>
    <w:pPr>
      <w:ind w:left="840" w:hanging="420"/>
      <w:jc w:val="left"/>
      <w:widowControl/>
      <w:tabs>
        <w:tab w:val="left" w:pos="840" w:leader="none"/>
      </w:tabs>
    </w:pPr>
    <w:rPr>
      <w:sz w:val="18"/>
      <w:szCs w:val="24"/>
    </w:rPr>
  </w:style>
  <w:style w:type="paragraph" w:styleId="1106">
    <w:name w:val="xl47"/>
    <w:basedOn w:val="706"/>
    <w:next w:val="1106"/>
    <w:link w:val="70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07">
    <w:name w:val="xl42"/>
    <w:basedOn w:val="706"/>
    <w:next w:val="1107"/>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08">
    <w:name w:val="xl53"/>
    <w:basedOn w:val="706"/>
    <w:next w:val="1108"/>
    <w:link w:val="70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9">
    <w:name w:val="Default"/>
    <w:next w:val="706"/>
    <w:link w:val="706"/>
    <w:qFormat/>
    <w:pPr>
      <w:widowControl w:val="off"/>
    </w:pPr>
    <w:rPr>
      <w:rFonts w:ascii="宋体" w:cs="宋体"/>
      <w:color w:val="000000"/>
      <w:sz w:val="24"/>
      <w:szCs w:val="24"/>
      <w:lang w:val="en-US" w:eastAsia="zh-CN" w:bidi="ar-SA"/>
    </w:rPr>
  </w:style>
  <w:style w:type="paragraph" w:styleId="1110">
    <w:name w:val="Char Char Char Char Char Char Char Char Char"/>
    <w:basedOn w:val="706"/>
    <w:next w:val="1110"/>
    <w:link w:val="706"/>
    <w:qFormat/>
    <w:pPr>
      <w:ind w:left="200" w:hanging="200"/>
      <w:tabs>
        <w:tab w:val="left" w:pos="360" w:leader="none"/>
      </w:tabs>
    </w:pPr>
    <w:rPr>
      <w:sz w:val="24"/>
      <w:szCs w:val="24"/>
    </w:rPr>
  </w:style>
  <w:style w:type="paragraph" w:styleId="1111">
    <w:name w:val="font9"/>
    <w:basedOn w:val="706"/>
    <w:next w:val="1111"/>
    <w:link w:val="706"/>
    <w:qFormat/>
    <w:pPr>
      <w:jc w:val="left"/>
      <w:spacing w:before="100" w:beforeAutospacing="1" w:after="100" w:afterAutospacing="1"/>
      <w:widowControl/>
    </w:pPr>
    <w:rPr>
      <w:b/>
      <w:bCs/>
      <w:sz w:val="20"/>
    </w:rPr>
  </w:style>
  <w:style w:type="paragraph" w:styleId="1112">
    <w:name w:val="华宇段落1 Char"/>
    <w:basedOn w:val="706"/>
    <w:next w:val="1112"/>
    <w:link w:val="706"/>
    <w:qFormat/>
    <w:pPr>
      <w:ind w:firstLine="200"/>
      <w:spacing w:line="360" w:lineRule="auto"/>
    </w:pPr>
    <w:rPr>
      <w:bCs/>
      <w:sz w:val="24"/>
      <w:szCs w:val="24"/>
    </w:rPr>
  </w:style>
  <w:style w:type="paragraph" w:styleId="1113">
    <w:name w:val="段 Char"/>
    <w:next w:val="1113"/>
    <w:link w:val="706"/>
    <w:qFormat/>
    <w:pPr>
      <w:ind w:firstLine="200"/>
      <w:jc w:val="both"/>
    </w:pPr>
    <w:rPr>
      <w:rFonts w:ascii="宋体"/>
      <w:sz w:val="21"/>
      <w:lang w:val="en-US" w:eastAsia="zh-CN" w:bidi="ar-SA"/>
    </w:rPr>
  </w:style>
  <w:style w:type="paragraph" w:styleId="1114">
    <w:name w:val="xl35"/>
    <w:basedOn w:val="706"/>
    <w:next w:val="1114"/>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5">
    <w:name w:val="表头_5"/>
    <w:basedOn w:val="706"/>
    <w:next w:val="1115"/>
    <w:link w:val="706"/>
    <w:qFormat/>
    <w:pPr>
      <w:spacing w:line="360" w:lineRule="auto"/>
    </w:pPr>
    <w:rPr>
      <w:b/>
      <w:bCs/>
      <w:sz w:val="28"/>
      <w:szCs w:val="21"/>
    </w:rPr>
  </w:style>
  <w:style w:type="paragraph" w:styleId="1116">
    <w:name w:val="xl39"/>
    <w:basedOn w:val="706"/>
    <w:next w:val="1116"/>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7">
    <w:name w:val="样式 样式 首行缩进:  0.74 厘米 行距: 1.5 倍行距 + 段后: 0.5 行"/>
    <w:basedOn w:val="706"/>
    <w:next w:val="1117"/>
    <w:link w:val="706"/>
    <w:qFormat/>
    <w:pPr>
      <w:ind w:firstLine="420"/>
      <w:spacing w:line="360" w:lineRule="auto"/>
    </w:pPr>
    <w:rPr>
      <w:rFonts w:ascii="方正楷体_GB2312" w:eastAsia="方正楷体_GB2312"/>
      <w:bCs/>
      <w:sz w:val="24"/>
    </w:rPr>
  </w:style>
  <w:style w:type="paragraph" w:styleId="1118">
    <w:name w:val="小四 段落 宋体 Char"/>
    <w:basedOn w:val="731"/>
    <w:next w:val="1118"/>
    <w:link w:val="706"/>
    <w:qFormat/>
    <w:pPr>
      <w:ind w:left="0" w:right="-33" w:firstLine="600"/>
      <w:jc w:val="left"/>
      <w:tabs>
        <w:tab w:val="clear" w:pos="2952" w:leader="none"/>
      </w:tabs>
    </w:pPr>
    <w:rPr>
      <w:rFonts w:ascii="方正仿宋_GB2312" w:eastAsia="方正仿宋_GB2312"/>
      <w:sz w:val="30"/>
      <w:szCs w:val="30"/>
    </w:rPr>
  </w:style>
  <w:style w:type="paragraph" w:styleId="1119">
    <w:name w:val="Char Char Char"/>
    <w:basedOn w:val="706"/>
    <w:next w:val="1119"/>
    <w:link w:val="706"/>
    <w:qFormat/>
    <w:rPr>
      <w:rFonts w:ascii="Tahoma" w:hAnsi="Tahoma"/>
      <w:sz w:val="24"/>
    </w:rPr>
  </w:style>
  <w:style w:type="paragraph" w:styleId="1120">
    <w:name w:val="No Spacing0"/>
    <w:next w:val="1120"/>
    <w:link w:val="706"/>
    <w:qFormat/>
    <w:pPr>
      <w:jc w:val="both"/>
      <w:widowControl w:val="off"/>
    </w:pPr>
    <w:rPr>
      <w:rFonts w:eastAsia="微软雅黑"/>
      <w:sz w:val="24"/>
      <w:szCs w:val="22"/>
      <w:lang w:val="en-US" w:eastAsia="zh-CN" w:bidi="ar-SA"/>
    </w:rPr>
  </w:style>
  <w:style w:type="paragraph" w:styleId="1121">
    <w:name w:val="纯文本1"/>
    <w:basedOn w:val="706"/>
    <w:next w:val="1121"/>
    <w:link w:val="706"/>
    <w:qFormat/>
    <w:rPr>
      <w:rFonts w:ascii="宋体" w:hAnsi="宋体" w:eastAsia="方正楷体_GB2312" w:cs="宋体"/>
      <w:sz w:val="28"/>
    </w:rPr>
  </w:style>
  <w:style w:type="paragraph" w:styleId="1122">
    <w:name w:val="Char Char Char Char"/>
    <w:basedOn w:val="734"/>
    <w:next w:val="1122"/>
    <w:link w:val="706"/>
    <w:qFormat/>
    <w:pPr>
      <w:spacing w:line="360" w:lineRule="auto"/>
    </w:pPr>
    <w:rPr>
      <w:rFonts w:ascii="Tahoma" w:hAnsi="Tahoma"/>
      <w:sz w:val="24"/>
      <w:szCs w:val="24"/>
    </w:rPr>
  </w:style>
  <w:style w:type="paragraph" w:styleId="1123">
    <w:name w:val="符号与编号 Char Char"/>
    <w:basedOn w:val="706"/>
    <w:next w:val="1123"/>
    <w:link w:val="706"/>
    <w:qFormat/>
    <w:pPr>
      <w:ind w:left="839" w:hanging="419"/>
      <w:spacing w:after="156" w:line="400" w:lineRule="atLeast"/>
      <w:tabs>
        <w:tab w:val="left" w:pos="840" w:leader="none"/>
      </w:tabs>
    </w:pPr>
    <w:rPr>
      <w:sz w:val="24"/>
      <w:szCs w:val="24"/>
    </w:rPr>
  </w:style>
  <w:style w:type="paragraph" w:styleId="1124">
    <w:name w:val="Pa5"/>
    <w:basedOn w:val="706"/>
    <w:next w:val="706"/>
    <w:link w:val="706"/>
    <w:qFormat/>
    <w:pPr>
      <w:jc w:val="left"/>
      <w:spacing w:line="241" w:lineRule="atLeast"/>
    </w:pPr>
    <w:rPr>
      <w:rFonts w:ascii="DejaVu Math TeX Gyre" w:eastAsia="DejaVu Math TeX Gyre"/>
      <w:sz w:val="24"/>
      <w:szCs w:val="24"/>
    </w:rPr>
  </w:style>
  <w:style w:type="paragraph" w:styleId="1125">
    <w:name w:val="Table Paragraph"/>
    <w:basedOn w:val="706"/>
    <w:next w:val="1125"/>
    <w:link w:val="706"/>
    <w:uiPriority w:val="1"/>
    <w:qFormat/>
    <w:rPr>
      <w:rFonts w:ascii="宋体" w:hAnsi="宋体" w:cs="宋体"/>
      <w:lang w:val="zh-CN" w:bidi="zh-CN"/>
    </w:rPr>
  </w:style>
  <w:style w:type="paragraph" w:styleId="1126">
    <w:name w:val="列出段落1"/>
    <w:basedOn w:val="706"/>
    <w:next w:val="1126"/>
    <w:link w:val="706"/>
    <w:qFormat/>
    <w:pPr>
      <w:contextualSpacing/>
      <w:ind w:left="720"/>
      <w:jc w:val="left"/>
      <w:widowControl/>
    </w:pPr>
    <w:rPr>
      <w:rFonts w:ascii="Arial" w:hAnsi="Arial" w:eastAsia="黑体"/>
      <w:sz w:val="24"/>
      <w:szCs w:val="24"/>
      <w:lang w:eastAsia="en-US"/>
    </w:rPr>
  </w:style>
  <w:style w:type="paragraph" w:styleId="1127">
    <w:name w:val="xl37"/>
    <w:basedOn w:val="706"/>
    <w:next w:val="1127"/>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28">
    <w:name w:val="Bullets L1"/>
    <w:basedOn w:val="706"/>
    <w:next w:val="1128"/>
    <w:link w:val="706"/>
    <w:qFormat/>
    <w:pPr>
      <w:numPr>
        <w:ilvl w:val="0"/>
        <w:numId w:val="2"/>
      </w:numPr>
      <w:jc w:val="left"/>
      <w:spacing w:before="60" w:after="60"/>
      <w:widowControl/>
      <w:tabs>
        <w:tab w:val="left" w:pos="360" w:leader="none"/>
      </w:tabs>
    </w:pPr>
    <w:rPr>
      <w:rFonts w:ascii="Arial" w:hAnsi="Arial"/>
      <w:sz w:val="20"/>
    </w:rPr>
  </w:style>
  <w:style w:type="paragraph" w:styleId="1129">
    <w:name w:val="xl38"/>
    <w:basedOn w:val="706"/>
    <w:next w:val="1129"/>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0">
    <w:name w:val="表格1"/>
    <w:basedOn w:val="706"/>
    <w:next w:val="1130"/>
    <w:link w:val="706"/>
    <w:qFormat/>
    <w:rPr>
      <w:rFonts w:ascii="宋体"/>
      <w:szCs w:val="21"/>
    </w:rPr>
  </w:style>
  <w:style w:type="paragraph" w:styleId="1131">
    <w:name w:val="标题3"/>
    <w:basedOn w:val="709"/>
    <w:next w:val="1131"/>
    <w:link w:val="706"/>
    <w:qFormat/>
    <w:pPr>
      <w:keepLines w:val="0"/>
      <w:keepNext w:val="0"/>
      <w:spacing w:line="360" w:lineRule="auto"/>
    </w:pPr>
    <w:rPr>
      <w:rFonts w:eastAsia="方正仿宋_GB2312"/>
      <w:b w:val="0"/>
      <w:bCs/>
      <w:sz w:val="30"/>
      <w:szCs w:val="32"/>
    </w:rPr>
  </w:style>
  <w:style w:type="paragraph" w:styleId="1132">
    <w:name w:val="xl49"/>
    <w:basedOn w:val="706"/>
    <w:next w:val="1132"/>
    <w:link w:val="706"/>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33">
    <w:name w:val="正文 首行缩进:  2 字符 Char"/>
    <w:basedOn w:val="706"/>
    <w:next w:val="1133"/>
    <w:link w:val="706"/>
    <w:qFormat/>
    <w:pPr>
      <w:ind w:firstLine="480"/>
      <w:spacing w:line="360" w:lineRule="auto"/>
    </w:pPr>
    <w:rPr>
      <w:rFonts w:cs="宋体"/>
      <w:sz w:val="24"/>
    </w:rPr>
  </w:style>
  <w:style w:type="paragraph" w:styleId="1134">
    <w:name w:val="Char Char Char Char Char Char Char1 Char"/>
    <w:basedOn w:val="706"/>
    <w:next w:val="1134"/>
    <w:link w:val="706"/>
    <w:qFormat/>
    <w:rPr>
      <w:rFonts w:ascii="Tahoma" w:hAnsi="Tahoma" w:cs="Tahoma"/>
      <w:sz w:val="24"/>
    </w:rPr>
  </w:style>
  <w:style w:type="paragraph" w:styleId="1135">
    <w:name w:val="标题3，章节第三层"/>
    <w:basedOn w:val="706"/>
    <w:next w:val="1096"/>
    <w:link w:val="706"/>
    <w:qFormat/>
    <w:pPr>
      <w:spacing w:before="78" w:line="300" w:lineRule="auto"/>
      <w:outlineLvl w:val="2"/>
    </w:pPr>
    <w:rPr>
      <w:rFonts w:ascii="Arial" w:hAnsi="Arial" w:eastAsia="华文细黑"/>
      <w:sz w:val="30"/>
      <w:szCs w:val="24"/>
    </w:rPr>
  </w:style>
  <w:style w:type="paragraph" w:styleId="1136">
    <w:name w:val="font6"/>
    <w:basedOn w:val="706"/>
    <w:next w:val="1136"/>
    <w:link w:val="706"/>
    <w:qFormat/>
    <w:pPr>
      <w:jc w:val="left"/>
      <w:spacing w:before="100" w:beforeAutospacing="1" w:after="100" w:afterAutospacing="1"/>
      <w:widowControl/>
    </w:pPr>
    <w:rPr>
      <w:rFonts w:ascii="宋体" w:hAnsi="宋体" w:cs="宋体"/>
      <w:b/>
      <w:bCs/>
      <w:sz w:val="20"/>
    </w:rPr>
  </w:style>
  <w:style w:type="paragraph" w:styleId="1137">
    <w:name w:val="Item Step in Table"/>
    <w:next w:val="1137"/>
    <w:link w:val="706"/>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38">
    <w:name w:val="Char Char Char Char Char Char Char Char Char Char Char Char Char"/>
    <w:basedOn w:val="706"/>
    <w:next w:val="1138"/>
    <w:link w:val="706"/>
    <w:qFormat/>
    <w:pPr>
      <w:jc w:val="left"/>
      <w:spacing w:after="160" w:line="240" w:lineRule="exact"/>
      <w:widowControl/>
    </w:pPr>
    <w:rPr>
      <w:szCs w:val="24"/>
    </w:rPr>
  </w:style>
  <w:style w:type="paragraph" w:styleId="1139">
    <w:name w:val="Char Char Char Char Char Char Char Char Char1"/>
    <w:basedOn w:val="706"/>
    <w:next w:val="1139"/>
    <w:link w:val="706"/>
    <w:qFormat/>
    <w:pPr>
      <w:ind w:left="360" w:hanging="360"/>
      <w:tabs>
        <w:tab w:val="left" w:pos="360" w:leader="none"/>
      </w:tabs>
    </w:pPr>
    <w:rPr>
      <w:sz w:val="24"/>
      <w:szCs w:val="24"/>
    </w:rPr>
  </w:style>
  <w:style w:type="paragraph" w:styleId="1140">
    <w:name w:val="列出段落2"/>
    <w:basedOn w:val="706"/>
    <w:next w:val="1140"/>
    <w:link w:val="706"/>
    <w:qFormat/>
    <w:pPr>
      <w:ind w:left="720"/>
      <w:jc w:val="left"/>
      <w:widowControl/>
    </w:pPr>
    <w:rPr>
      <w:rFonts w:ascii="Arial" w:hAnsi="Arial" w:eastAsia="黑体" w:cs="Arial"/>
      <w:sz w:val="24"/>
      <w:szCs w:val="24"/>
      <w:lang w:eastAsia="en-US"/>
    </w:rPr>
  </w:style>
  <w:style w:type="paragraph" w:styleId="1141">
    <w:name w:val="font5"/>
    <w:basedOn w:val="706"/>
    <w:next w:val="1141"/>
    <w:link w:val="706"/>
    <w:qFormat/>
    <w:pPr>
      <w:jc w:val="left"/>
      <w:spacing w:before="100" w:beforeAutospacing="1" w:after="100" w:afterAutospacing="1"/>
      <w:widowControl/>
    </w:pPr>
    <w:rPr>
      <w:rFonts w:ascii="宋体" w:hAnsi="宋体" w:cs="宋体"/>
      <w:sz w:val="18"/>
      <w:szCs w:val="18"/>
    </w:rPr>
  </w:style>
  <w:style w:type="paragraph" w:styleId="1142">
    <w:name w:val="xl59"/>
    <w:basedOn w:val="706"/>
    <w:next w:val="1142"/>
    <w:link w:val="70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43">
    <w:name w:val="Char Char"/>
    <w:basedOn w:val="706"/>
    <w:next w:val="1143"/>
    <w:link w:val="706"/>
    <w:qFormat/>
    <w:rPr>
      <w:rFonts w:ascii="Tahoma" w:hAnsi="Tahoma" w:cs="Tahoma"/>
      <w:sz w:val="24"/>
    </w:rPr>
  </w:style>
  <w:style w:type="paragraph" w:styleId="1144">
    <w:name w:val="样式2"/>
    <w:basedOn w:val="706"/>
    <w:next w:val="1144"/>
    <w:link w:val="706"/>
    <w:qFormat/>
    <w:pPr>
      <w:ind w:left="200"/>
      <w:spacing w:line="360" w:lineRule="auto"/>
    </w:pPr>
    <w:rPr>
      <w:rFonts w:ascii="宋体" w:hAnsi="宋体"/>
      <w:b/>
      <w:sz w:val="24"/>
      <w:szCs w:val="24"/>
    </w:rPr>
  </w:style>
  <w:style w:type="paragraph" w:styleId="1145">
    <w:name w:val="正文 居中"/>
    <w:basedOn w:val="706"/>
    <w:next w:val="1145"/>
    <w:link w:val="706"/>
    <w:qFormat/>
    <w:pPr>
      <w:jc w:val="center"/>
      <w:spacing w:line="360" w:lineRule="auto"/>
    </w:pPr>
    <w:rPr>
      <w:sz w:val="24"/>
    </w:rPr>
  </w:style>
  <w:style w:type="paragraph" w:styleId="1146">
    <w:name w:val="xl33"/>
    <w:basedOn w:val="706"/>
    <w:next w:val="1146"/>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7">
    <w:name w:val="Char Char Char Char Char Char Char Char"/>
    <w:basedOn w:val="706"/>
    <w:next w:val="1147"/>
    <w:link w:val="706"/>
    <w:qFormat/>
    <w:rPr>
      <w:rFonts w:ascii="Tahoma" w:hAnsi="Tahoma" w:cs="Tahoma"/>
      <w:sz w:val="24"/>
    </w:rPr>
  </w:style>
  <w:style w:type="paragraph" w:styleId="1148">
    <w:name w:val="丁华标题2"/>
    <w:basedOn w:val="708"/>
    <w:next w:val="1071"/>
    <w:link w:val="706"/>
    <w:qFormat/>
    <w:pPr>
      <w:numPr>
        <w:ilvl w:val="1"/>
        <w:numId w:val="1"/>
      </w:numPr>
      <w:spacing w:line="415" w:lineRule="auto"/>
      <w:tabs>
        <w:tab w:val="left" w:pos="1004" w:leader="none"/>
      </w:tabs>
    </w:pPr>
    <w:rPr>
      <w:rFonts w:ascii="Arial" w:hAnsi="Arial" w:eastAsia="黑体"/>
      <w:b w:val="0"/>
      <w:sz w:val="28"/>
      <w:szCs w:val="20"/>
    </w:rPr>
  </w:style>
  <w:style w:type="paragraph" w:styleId="1149">
    <w:name w:val="flName"/>
    <w:basedOn w:val="1150"/>
    <w:next w:val="1149"/>
    <w:link w:val="706"/>
    <w:qFormat/>
    <w:pPr>
      <w:spacing w:before="0" w:line="113" w:lineRule="atLeast"/>
    </w:pPr>
  </w:style>
  <w:style w:type="paragraph" w:styleId="1150">
    <w:name w:val="flNote"/>
    <w:basedOn w:val="706"/>
    <w:next w:val="1150"/>
    <w:link w:val="706"/>
    <w:qFormat/>
    <w:pPr>
      <w:jc w:val="center"/>
      <w:spacing w:before="567" w:line="360" w:lineRule="atLeast"/>
    </w:pPr>
    <w:rPr>
      <w:rFonts w:eastAsia="黑体"/>
      <w:b/>
      <w:sz w:val="24"/>
    </w:rPr>
  </w:style>
  <w:style w:type="paragraph" w:styleId="1151">
    <w:name w:val="font7"/>
    <w:basedOn w:val="706"/>
    <w:next w:val="1151"/>
    <w:link w:val="706"/>
    <w:qFormat/>
    <w:pPr>
      <w:jc w:val="left"/>
      <w:spacing w:before="100" w:beforeAutospacing="1" w:after="100" w:afterAutospacing="1"/>
      <w:widowControl/>
    </w:pPr>
    <w:rPr>
      <w:rFonts w:hint="eastAsia" w:ascii="宋体" w:hAnsi="宋体"/>
      <w:b/>
      <w:bCs/>
      <w:sz w:val="24"/>
      <w:szCs w:val="24"/>
    </w:rPr>
  </w:style>
  <w:style w:type="paragraph" w:styleId="1152">
    <w:name w:val="xl48"/>
    <w:basedOn w:val="706"/>
    <w:next w:val="1152"/>
    <w:link w:val="70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53">
    <w:name w:val="Char Char Char Char Char Char Char Char Char Char Char1"/>
    <w:basedOn w:val="706"/>
    <w:next w:val="1153"/>
    <w:link w:val="706"/>
    <w:qFormat/>
    <w:rPr>
      <w:rFonts w:ascii="Tahoma" w:hAnsi="Tahoma"/>
      <w:sz w:val="24"/>
    </w:rPr>
  </w:style>
  <w:style w:type="paragraph" w:styleId="1154">
    <w:name w:val="xl61"/>
    <w:basedOn w:val="706"/>
    <w:next w:val="1154"/>
    <w:link w:val="70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55">
    <w:name w:val="Test2"/>
    <w:basedOn w:val="708"/>
    <w:next w:val="1155"/>
    <w:link w:val="706"/>
    <w:qFormat/>
    <w:pPr>
      <w:jc w:val="center"/>
      <w:spacing w:before="156" w:after="156" w:line="480" w:lineRule="exact"/>
      <w:widowControl/>
    </w:pPr>
    <w:rPr>
      <w:rFonts w:ascii="黑体" w:hAnsi="Arial" w:eastAsia="黑体"/>
      <w:bCs/>
      <w:sz w:val="24"/>
    </w:rPr>
  </w:style>
  <w:style w:type="paragraph" w:styleId="1156">
    <w:name w:val="插图"/>
    <w:basedOn w:val="706"/>
    <w:next w:val="1156"/>
    <w:link w:val="706"/>
    <w:qFormat/>
    <w:pPr>
      <w:jc w:val="center"/>
      <w:tabs>
        <w:tab w:val="left" w:pos="1620" w:leader="none"/>
      </w:tabs>
    </w:pPr>
    <w:rPr>
      <w:bCs/>
      <w:color w:val="000000"/>
      <w:szCs w:val="22"/>
    </w:rPr>
  </w:style>
  <w:style w:type="paragraph" w:styleId="1157">
    <w:name w:val="tableau"/>
    <w:basedOn w:val="706"/>
    <w:next w:val="1157"/>
    <w:link w:val="706"/>
    <w:qFormat/>
    <w:pPr>
      <w:jc w:val="center"/>
      <w:spacing w:before="20" w:after="20"/>
      <w:widowControl/>
    </w:pPr>
    <w:rPr>
      <w:rFonts w:ascii="Arial" w:hAnsi="Arial"/>
      <w:sz w:val="16"/>
      <w:lang w:val="en-GB" w:eastAsia="en-US"/>
    </w:rPr>
  </w:style>
  <w:style w:type="paragraph" w:styleId="1158">
    <w:name w:val="正文 首行缩进:  2 字符 Char Char"/>
    <w:basedOn w:val="706"/>
    <w:next w:val="1158"/>
    <w:link w:val="706"/>
    <w:qFormat/>
    <w:pPr>
      <w:ind w:firstLine="480"/>
      <w:spacing w:line="360" w:lineRule="auto"/>
    </w:pPr>
    <w:rPr>
      <w:rFonts w:ascii="方正楷体_GB2312" w:eastAsia="方正楷体_GB2312"/>
      <w:bCs/>
      <w:sz w:val="24"/>
      <w:szCs w:val="24"/>
    </w:rPr>
  </w:style>
  <w:style w:type="paragraph" w:styleId="1159">
    <w:name w:val="标题2，章节第二层"/>
    <w:basedOn w:val="706"/>
    <w:next w:val="1096"/>
    <w:link w:val="706"/>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0">
    <w:name w:val="Char Char Char Char Char Char Char Char Char Char Char Char Char1"/>
    <w:basedOn w:val="734"/>
    <w:next w:val="1160"/>
    <w:link w:val="706"/>
    <w:qFormat/>
    <w:rPr>
      <w:rFonts w:ascii="Tahoma" w:hAnsi="Tahoma"/>
      <w:sz w:val="24"/>
      <w:szCs w:val="24"/>
    </w:rPr>
  </w:style>
  <w:style w:type="paragraph" w:styleId="1161">
    <w:name w:val="二级条标题"/>
    <w:basedOn w:val="706"/>
    <w:next w:val="1089"/>
    <w:link w:val="706"/>
    <w:qFormat/>
    <w:pPr>
      <w:ind w:hanging="420"/>
      <w:widowControl/>
      <w:tabs>
        <w:tab w:val="left" w:pos="2240" w:leader="none"/>
      </w:tabs>
      <w:outlineLvl w:val="3"/>
    </w:pPr>
    <w:rPr>
      <w:rFonts w:eastAsia="黑体"/>
    </w:rPr>
  </w:style>
  <w:style w:type="paragraph" w:styleId="1162">
    <w:name w:val="样式 加点正文 + 段前: 0.5 行 段后: 0.5 行1"/>
    <w:basedOn w:val="706"/>
    <w:next w:val="1162"/>
    <w:link w:val="706"/>
    <w:qFormat/>
    <w:pPr>
      <w:numPr>
        <w:ilvl w:val="0"/>
        <w:numId w:val="4"/>
      </w:numPr>
      <w:ind w:left="1268"/>
      <w:spacing w:before="156" w:after="156" w:line="300" w:lineRule="auto"/>
      <w:tabs>
        <w:tab w:val="left" w:pos="420" w:leader="none"/>
        <w:tab w:val="left" w:pos="1268" w:leader="none"/>
      </w:tabs>
    </w:pPr>
    <w:rPr>
      <w:sz w:val="24"/>
    </w:rPr>
  </w:style>
  <w:style w:type="paragraph" w:styleId="1163">
    <w:name w:val="Char Char Char Char Char Char"/>
    <w:basedOn w:val="706"/>
    <w:next w:val="1163"/>
    <w:link w:val="706"/>
    <w:qFormat/>
    <w:rPr>
      <w:rFonts w:ascii="Tahoma" w:hAnsi="Tahoma" w:cs="Tahoma"/>
      <w:sz w:val="24"/>
    </w:rPr>
  </w:style>
  <w:style w:type="paragraph" w:styleId="1164">
    <w:name w:val="Char Char1 Char Char Char Char Char Char Char"/>
    <w:basedOn w:val="706"/>
    <w:next w:val="1164"/>
    <w:link w:val="706"/>
    <w:qFormat/>
    <w:rPr>
      <w:rFonts w:ascii="Tahoma" w:hAnsi="Tahoma" w:cs="Tahoma"/>
      <w:sz w:val="24"/>
    </w:rPr>
  </w:style>
  <w:style w:type="paragraph" w:styleId="1165">
    <w:name w:val="xl30"/>
    <w:basedOn w:val="706"/>
    <w:next w:val="1165"/>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6">
    <w:name w:val="部分1"/>
    <w:basedOn w:val="706"/>
    <w:next w:val="1166"/>
    <w:link w:val="706"/>
    <w:qFormat/>
    <w:pPr>
      <w:jc w:val="center"/>
      <w:keepNext/>
      <w:pageBreakBefore/>
      <w:spacing w:line="360" w:lineRule="auto"/>
      <w:tabs>
        <w:tab w:val="left" w:pos="360" w:leader="none"/>
      </w:tabs>
      <w:outlineLvl w:val="0"/>
    </w:pPr>
    <w:rPr>
      <w:rFonts w:eastAsia="黑体"/>
      <w:b/>
      <w:sz w:val="36"/>
    </w:rPr>
  </w:style>
  <w:style w:type="paragraph" w:styleId="1167">
    <w:name w:val="font12"/>
    <w:basedOn w:val="706"/>
    <w:next w:val="1167"/>
    <w:link w:val="706"/>
    <w:qFormat/>
    <w:pPr>
      <w:jc w:val="left"/>
      <w:spacing w:before="100" w:beforeAutospacing="1" w:after="100" w:afterAutospacing="1"/>
      <w:widowControl/>
    </w:pPr>
    <w:rPr>
      <w:rFonts w:ascii="宋体" w:hAnsi="宋体" w:cs="宋体"/>
      <w:sz w:val="36"/>
      <w:szCs w:val="36"/>
    </w:rPr>
  </w:style>
  <w:style w:type="paragraph" w:styleId="1168">
    <w:name w:val="List Paragraph0"/>
    <w:basedOn w:val="706"/>
    <w:next w:val="1168"/>
    <w:link w:val="706"/>
    <w:qFormat/>
    <w:pPr>
      <w:contextualSpacing/>
      <w:ind w:left="720"/>
      <w:jc w:val="left"/>
      <w:widowControl/>
    </w:pPr>
    <w:rPr>
      <w:rFonts w:ascii="Arial" w:hAnsi="Arial" w:eastAsia="黑体"/>
      <w:sz w:val="24"/>
      <w:szCs w:val="24"/>
      <w:lang w:eastAsia="en-US"/>
    </w:rPr>
  </w:style>
  <w:style w:type="paragraph" w:styleId="1169">
    <w:name w:val="xl40"/>
    <w:basedOn w:val="706"/>
    <w:next w:val="1169"/>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0">
    <w:name w:val="Default Text"/>
    <w:basedOn w:val="706"/>
    <w:next w:val="1170"/>
    <w:link w:val="706"/>
    <w:qFormat/>
    <w:pPr>
      <w:jc w:val="left"/>
      <w:widowControl/>
    </w:pPr>
    <w:rPr>
      <w:sz w:val="24"/>
      <w:lang w:eastAsia="en-US"/>
    </w:rPr>
  </w:style>
  <w:style w:type="paragraph" w:styleId="1171">
    <w:name w:val="Char1 Char Char Char1"/>
    <w:basedOn w:val="706"/>
    <w:next w:val="1171"/>
    <w:link w:val="706"/>
    <w:qFormat/>
    <w:rPr>
      <w:rFonts w:ascii="Tahoma" w:hAnsi="Tahoma"/>
      <w:sz w:val="24"/>
    </w:rPr>
  </w:style>
  <w:style w:type="paragraph" w:styleId="1172">
    <w:name w:val="retrait3"/>
    <w:basedOn w:val="706"/>
    <w:next w:val="1172"/>
    <w:link w:val="706"/>
    <w:qFormat/>
    <w:pPr>
      <w:ind w:left="851"/>
      <w:jc w:val="left"/>
      <w:spacing w:before="20" w:after="20"/>
      <w:widowControl/>
    </w:pPr>
    <w:rPr>
      <w:rFonts w:ascii="Arial" w:hAnsi="Arial"/>
      <w:sz w:val="24"/>
      <w:lang w:val="en-GB"/>
    </w:rPr>
  </w:style>
  <w:style w:type="paragraph" w:styleId="1173">
    <w:name w:val="一级标题"/>
    <w:basedOn w:val="706"/>
    <w:next w:val="1173"/>
    <w:link w:val="706"/>
    <w:qFormat/>
    <w:pPr>
      <w:ind w:left="900" w:hanging="420"/>
      <w:spacing w:line="360" w:lineRule="auto"/>
      <w:tabs>
        <w:tab w:val="left" w:pos="903" w:leader="none"/>
      </w:tabs>
    </w:pPr>
    <w:rPr>
      <w:rFonts w:ascii="Arial" w:hAnsi="Arial" w:cs="Arial"/>
      <w:sz w:val="24"/>
    </w:rPr>
  </w:style>
  <w:style w:type="paragraph" w:styleId="1174">
    <w:name w:val="正文缩进2字符"/>
    <w:basedOn w:val="706"/>
    <w:next w:val="1174"/>
    <w:link w:val="706"/>
    <w:qFormat/>
    <w:pPr>
      <w:ind w:firstLine="200"/>
      <w:spacing w:line="300" w:lineRule="auto"/>
    </w:pPr>
    <w:rPr>
      <w:rFonts w:ascii="方正仿宋_GB2312" w:eastAsia="方正仿宋_GB2312"/>
      <w:sz w:val="32"/>
      <w:szCs w:val="32"/>
    </w:rPr>
  </w:style>
  <w:style w:type="paragraph" w:styleId="1175">
    <w:name w:val="xl60"/>
    <w:basedOn w:val="706"/>
    <w:next w:val="1175"/>
    <w:link w:val="70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76">
    <w:name w:val="xl27"/>
    <w:basedOn w:val="706"/>
    <w:next w:val="1176"/>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7">
    <w:name w:val="表蕊"/>
    <w:basedOn w:val="706"/>
    <w:next w:val="1177"/>
    <w:link w:val="706"/>
    <w:qFormat/>
    <w:pPr>
      <w:jc w:val="left"/>
      <w:spacing w:line="320" w:lineRule="atLeast"/>
    </w:pPr>
    <w:rPr>
      <w:rFonts w:eastAsia="方正楷体_GB2312"/>
      <w:spacing w:val="-10"/>
    </w:rPr>
  </w:style>
  <w:style w:type="paragraph" w:styleId="1178">
    <w:name w:val="样式 段后: 0.5 行 左  0.75 字符"/>
    <w:basedOn w:val="706"/>
    <w:next w:val="1178"/>
    <w:link w:val="706"/>
    <w:qFormat/>
    <w:pPr>
      <w:ind w:firstLine="420"/>
      <w:spacing w:line="360" w:lineRule="auto"/>
      <w:widowControl/>
    </w:pPr>
    <w:rPr>
      <w:rFonts w:hAnsi="Arial" w:cs="Arial"/>
      <w:szCs w:val="21"/>
    </w:rPr>
  </w:style>
  <w:style w:type="paragraph" w:styleId="1179">
    <w:name w:val="符号与编号 Char"/>
    <w:basedOn w:val="706"/>
    <w:next w:val="1179"/>
    <w:link w:val="706"/>
    <w:qFormat/>
    <w:pPr>
      <w:ind w:left="720"/>
      <w:spacing w:after="156" w:line="400" w:lineRule="atLeast"/>
      <w:tabs>
        <w:tab w:val="left" w:pos="720" w:leader="none"/>
      </w:tabs>
    </w:pPr>
    <w:rPr>
      <w:sz w:val="24"/>
      <w:szCs w:val="24"/>
    </w:rPr>
  </w:style>
  <w:style w:type="paragraph" w:styleId="1180">
    <w:name w:val="xl34"/>
    <w:basedOn w:val="706"/>
    <w:next w:val="1180"/>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81">
    <w:name w:val="文档正文"/>
    <w:basedOn w:val="706"/>
    <w:next w:val="1181"/>
    <w:link w:val="706"/>
    <w:qFormat/>
    <w:pPr>
      <w:spacing w:line="360" w:lineRule="auto"/>
    </w:pPr>
    <w:rPr>
      <w:rFonts w:ascii="宋体" w:hAnsi="宋体"/>
      <w:b/>
      <w:bCs/>
      <w:szCs w:val="24"/>
    </w:rPr>
  </w:style>
  <w:style w:type="paragraph" w:styleId="1182">
    <w:name w:val="丁华标题3"/>
    <w:basedOn w:val="1148"/>
    <w:next w:val="1071"/>
    <w:link w:val="706"/>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83">
    <w:name w:val="我的正文"/>
    <w:basedOn w:val="706"/>
    <w:next w:val="1183"/>
    <w:link w:val="706"/>
    <w:qFormat/>
    <w:pPr>
      <w:ind w:firstLine="420"/>
      <w:jc w:val="left"/>
      <w:spacing w:line="360" w:lineRule="auto"/>
      <w:widowControl/>
    </w:pPr>
    <w:rPr>
      <w:rFonts w:ascii="宋体" w:hAnsi="宋体" w:cs="宋体"/>
      <w:szCs w:val="21"/>
    </w:rPr>
  </w:style>
  <w:style w:type="paragraph" w:styleId="1184">
    <w:name w:val="公文标题 2"/>
    <w:basedOn w:val="706"/>
    <w:next w:val="1185"/>
    <w:link w:val="706"/>
    <w:qFormat/>
    <w:pPr>
      <w:outlineLvl w:val="1"/>
    </w:pPr>
    <w:rPr>
      <w:rFonts w:ascii="方正仿宋_GB2312" w:hAnsi="宋体" w:eastAsia="方正仿宋_GB2312"/>
      <w:sz w:val="28"/>
      <w:szCs w:val="24"/>
    </w:rPr>
  </w:style>
  <w:style w:type="paragraph" w:styleId="1185">
    <w:name w:val="公文正文"/>
    <w:basedOn w:val="742"/>
    <w:next w:val="1185"/>
    <w:link w:val="706"/>
    <w:qFormat/>
    <w:pPr>
      <w:ind w:firstLine="200"/>
    </w:pPr>
    <w:rPr>
      <w:rFonts w:ascii="方正仿宋_GB2312" w:hAnsi="宋体" w:eastAsia="方正仿宋_GB2312"/>
      <w:sz w:val="28"/>
      <w:szCs w:val="24"/>
    </w:rPr>
  </w:style>
  <w:style w:type="paragraph" w:styleId="1186">
    <w:name w:val="Char Char1 Char"/>
    <w:basedOn w:val="706"/>
    <w:next w:val="1186"/>
    <w:link w:val="706"/>
    <w:qFormat/>
    <w:pPr>
      <w:jc w:val="left"/>
      <w:spacing w:after="160" w:line="240" w:lineRule="exact"/>
      <w:widowControl/>
    </w:pPr>
    <w:rPr>
      <w:rFonts w:ascii="Verdana" w:hAnsi="Verdana"/>
      <w:sz w:val="20"/>
      <w:lang w:eastAsia="en-US"/>
    </w:rPr>
  </w:style>
  <w:style w:type="paragraph" w:styleId="1187">
    <w:name w:val="xl50"/>
    <w:basedOn w:val="706"/>
    <w:next w:val="1187"/>
    <w:link w:val="70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88">
    <w:name w:val="zw"/>
    <w:basedOn w:val="706"/>
    <w:next w:val="1188"/>
    <w:link w:val="706"/>
    <w:qFormat/>
    <w:pPr>
      <w:ind w:firstLine="480"/>
      <w:jc w:val="left"/>
      <w:spacing w:line="360" w:lineRule="auto"/>
      <w:widowControl/>
    </w:pPr>
    <w:rPr>
      <w:rFonts w:ascii="宋体" w:hAnsi="宋体"/>
      <w:bCs/>
      <w:sz w:val="24"/>
    </w:rPr>
  </w:style>
  <w:style w:type="paragraph" w:styleId="1189">
    <w:name w:val="xl29"/>
    <w:basedOn w:val="706"/>
    <w:next w:val="1189"/>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0">
    <w:name w:val="马刚标题4"/>
    <w:basedOn w:val="1081"/>
    <w:next w:val="706"/>
    <w:link w:val="706"/>
    <w:qFormat/>
    <w:pPr>
      <w:spacing w:before="100" w:after="40"/>
      <w:tabs>
        <w:tab w:val="left" w:pos="1050" w:leader="none"/>
      </w:tabs>
      <w:outlineLvl w:val="3"/>
    </w:pPr>
    <w:rPr>
      <w:b w:val="0"/>
    </w:rPr>
  </w:style>
  <w:style w:type="paragraph" w:styleId="1191">
    <w:name w:val="标准文本"/>
    <w:basedOn w:val="706"/>
    <w:next w:val="1191"/>
    <w:link w:val="706"/>
    <w:qFormat/>
    <w:pPr>
      <w:ind w:firstLine="480"/>
      <w:spacing w:line="360" w:lineRule="auto"/>
    </w:pPr>
    <w:rPr>
      <w:rFonts w:cs="宋体"/>
      <w:sz w:val="24"/>
      <w:szCs w:val="24"/>
    </w:rPr>
  </w:style>
  <w:style w:type="paragraph" w:styleId="1192">
    <w:name w:val="正文2"/>
    <w:basedOn w:val="706"/>
    <w:next w:val="1192"/>
    <w:link w:val="706"/>
    <w:qFormat/>
    <w:pPr>
      <w:ind w:firstLine="510"/>
      <w:spacing w:before="156" w:line="360" w:lineRule="auto"/>
    </w:pPr>
    <w:rPr>
      <w:sz w:val="24"/>
    </w:rPr>
  </w:style>
  <w:style w:type="paragraph" w:styleId="1193">
    <w:name w:val="样式1"/>
    <w:basedOn w:val="706"/>
    <w:next w:val="1193"/>
    <w:link w:val="706"/>
    <w:qFormat/>
    <w:pPr>
      <w:ind w:firstLine="480"/>
      <w:spacing w:line="300" w:lineRule="auto"/>
    </w:pPr>
    <w:rPr>
      <w:sz w:val="24"/>
      <w:szCs w:val="24"/>
    </w:rPr>
  </w:style>
  <w:style w:type="paragraph" w:styleId="1194">
    <w:name w:val="大标题"/>
    <w:basedOn w:val="706"/>
    <w:next w:val="706"/>
    <w:link w:val="706"/>
    <w:qFormat/>
    <w:pPr>
      <w:ind w:hanging="420"/>
      <w:pageBreakBefore/>
      <w:spacing w:line="360" w:lineRule="auto"/>
      <w:tabs>
        <w:tab w:val="left" w:pos="420" w:leader="none"/>
      </w:tabs>
      <w:outlineLvl w:val="0"/>
    </w:pPr>
    <w:rPr>
      <w:b/>
      <w:iCs/>
      <w:sz w:val="44"/>
      <w:szCs w:val="24"/>
    </w:rPr>
  </w:style>
  <w:style w:type="paragraph" w:styleId="1195">
    <w:name w:val="Char Char Char Char Char Char Char Char1"/>
    <w:basedOn w:val="706"/>
    <w:next w:val="1195"/>
    <w:link w:val="706"/>
    <w:qFormat/>
    <w:rPr>
      <w:rFonts w:ascii="Tahoma" w:hAnsi="Tahoma"/>
      <w:sz w:val="24"/>
    </w:rPr>
  </w:style>
  <w:style w:type="paragraph" w:styleId="1196">
    <w:name w:val="1"/>
    <w:basedOn w:val="706"/>
    <w:next w:val="777"/>
    <w:link w:val="706"/>
    <w:qFormat/>
    <w:pPr>
      <w:spacing w:line="360" w:lineRule="auto"/>
    </w:pPr>
    <w:rPr>
      <w:rFonts w:eastAsia="方正仿宋_GB2312"/>
      <w:sz w:val="24"/>
      <w:szCs w:val="24"/>
    </w:rPr>
  </w:style>
  <w:style w:type="paragraph" w:styleId="1197">
    <w:name w:val="标题6"/>
    <w:basedOn w:val="711"/>
    <w:next w:val="1197"/>
    <w:link w:val="706"/>
    <w:qFormat/>
    <w:pPr>
      <w:ind w:left="420" w:hanging="420"/>
      <w:keepLines/>
      <w:tabs>
        <w:tab w:val="left" w:pos="420" w:leader="none"/>
      </w:tabs>
    </w:pPr>
    <w:rPr>
      <w:rFonts w:ascii="Times New Roman"/>
      <w:b w:val="0"/>
      <w:bCs/>
      <w:color w:val="000000"/>
      <w:sz w:val="24"/>
      <w:szCs w:val="28"/>
    </w:rPr>
  </w:style>
  <w:style w:type="paragraph" w:styleId="1198">
    <w:name w:val="Char Char Char Char1"/>
    <w:basedOn w:val="706"/>
    <w:next w:val="1198"/>
    <w:link w:val="706"/>
    <w:qFormat/>
    <w:pPr>
      <w:jc w:val="center"/>
      <w:spacing w:after="160" w:line="240" w:lineRule="exact"/>
      <w:widowControl/>
    </w:pPr>
    <w:rPr>
      <w:rFonts w:ascii="黑体" w:hAnsi="Verdana" w:eastAsia="黑体"/>
      <w:sz w:val="32"/>
      <w:szCs w:val="32"/>
      <w:lang w:eastAsia="en-US"/>
    </w:rPr>
  </w:style>
  <w:style w:type="paragraph" w:styleId="1199">
    <w:name w:val="qw"/>
    <w:next w:val="1199"/>
    <w:link w:val="706"/>
    <w:qFormat/>
    <w:pPr>
      <w:jc w:val="both"/>
      <w:spacing w:line="312" w:lineRule="atLeast"/>
      <w:widowControl w:val="off"/>
    </w:pPr>
    <w:rPr>
      <w:rFonts w:ascii="宋体"/>
      <w:sz w:val="24"/>
      <w:lang w:val="en-US" w:eastAsia="zh-CN" w:bidi="ar-SA"/>
    </w:rPr>
  </w:style>
  <w:style w:type="paragraph" w:styleId="1200">
    <w:name w:val="正文文本 21"/>
    <w:basedOn w:val="706"/>
    <w:next w:val="1200"/>
    <w:link w:val="706"/>
    <w:qFormat/>
    <w:pPr>
      <w:ind w:left="720" w:hanging="720"/>
      <w:widowControl/>
    </w:pPr>
    <w:rPr>
      <w:sz w:val="24"/>
      <w:lang w:val="en-GB"/>
    </w:rPr>
  </w:style>
  <w:style w:type="paragraph" w:styleId="1201">
    <w:name w:val="xl41"/>
    <w:basedOn w:val="706"/>
    <w:next w:val="1201"/>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2">
    <w:name w:val="标题1，章节第一层"/>
    <w:basedOn w:val="1096"/>
    <w:next w:val="1096"/>
    <w:link w:val="706"/>
    <w:qFormat/>
    <w:pPr>
      <w:ind w:left="482"/>
      <w:spacing w:before="0"/>
      <w:tabs>
        <w:tab w:val="left" w:pos="693" w:leader="none"/>
      </w:tabs>
      <w:outlineLvl w:val="0"/>
    </w:pPr>
    <w:rPr>
      <w:color w:val="000000"/>
      <w:sz w:val="24"/>
      <w:szCs w:val="24"/>
    </w:rPr>
  </w:style>
  <w:style w:type="paragraph" w:styleId="1203">
    <w:name w:val="小四 段落 宋体 Char Char Char Char"/>
    <w:basedOn w:val="706"/>
    <w:next w:val="1203"/>
    <w:link w:val="706"/>
    <w:qFormat/>
    <w:pPr>
      <w:ind w:right="-33" w:firstLine="480"/>
      <w:jc w:val="left"/>
      <w:spacing w:line="360" w:lineRule="auto"/>
    </w:pPr>
    <w:rPr>
      <w:sz w:val="24"/>
      <w:szCs w:val="24"/>
    </w:rPr>
  </w:style>
  <w:style w:type="paragraph" w:styleId="1204">
    <w:name w:val="Char2 Char Char Char Char Char Char1"/>
    <w:basedOn w:val="706"/>
    <w:next w:val="1204"/>
    <w:link w:val="706"/>
    <w:qFormat/>
    <w:pPr>
      <w:ind w:hanging="425"/>
      <w:keepNext/>
      <w:spacing w:before="80" w:after="80"/>
      <w:widowControl/>
      <w:tabs>
        <w:tab w:val="left" w:pos="425" w:leader="none"/>
      </w:tabs>
    </w:pPr>
    <w:rPr>
      <w:rFonts w:ascii="Arial" w:hAnsi="Arial" w:cs="Arial"/>
      <w:sz w:val="20"/>
    </w:rPr>
  </w:style>
  <w:style w:type="paragraph" w:styleId="1205">
    <w:name w:val="小四 段落 宋体"/>
    <w:basedOn w:val="731"/>
    <w:next w:val="1205"/>
    <w:link w:val="706"/>
    <w:qFormat/>
    <w:pPr>
      <w:ind w:left="113" w:right="113" w:firstLine="425"/>
      <w:jc w:val="left"/>
      <w:spacing w:line="360" w:lineRule="auto"/>
      <w:tabs>
        <w:tab w:val="clear" w:pos="2952" w:leader="none"/>
      </w:tabs>
    </w:pPr>
    <w:rPr>
      <w:sz w:val="24"/>
    </w:rPr>
  </w:style>
  <w:style w:type="paragraph" w:styleId="1206">
    <w:name w:val="Char Char1 Char Char Char Char1 Char Char Char Char Char Char"/>
    <w:basedOn w:val="706"/>
    <w:next w:val="1206"/>
    <w:link w:val="706"/>
    <w:qFormat/>
    <w:rPr>
      <w:rFonts w:ascii="Tahoma" w:hAnsi="Tahoma"/>
      <w:sz w:val="24"/>
    </w:rPr>
  </w:style>
  <w:style w:type="paragraph" w:styleId="1207">
    <w:name w:val="font8"/>
    <w:basedOn w:val="706"/>
    <w:next w:val="1207"/>
    <w:link w:val="706"/>
    <w:qFormat/>
    <w:pPr>
      <w:jc w:val="left"/>
      <w:spacing w:before="100" w:beforeAutospacing="1" w:after="100" w:afterAutospacing="1"/>
      <w:widowControl/>
    </w:pPr>
    <w:rPr>
      <w:rFonts w:ascii="宋体" w:hAnsi="宋体" w:cs="宋体"/>
      <w:b/>
      <w:bCs/>
      <w:i/>
      <w:iCs/>
      <w:sz w:val="20"/>
    </w:rPr>
  </w:style>
  <w:style w:type="paragraph" w:styleId="1208">
    <w:name w:val="表格内文字"/>
    <w:basedOn w:val="706"/>
    <w:next w:val="1208"/>
    <w:link w:val="706"/>
    <w:qFormat/>
    <w:pPr>
      <w:spacing w:line="300" w:lineRule="atLeast"/>
    </w:pPr>
    <w:rPr>
      <w:sz w:val="18"/>
      <w:szCs w:val="24"/>
    </w:rPr>
  </w:style>
  <w:style w:type="paragraph" w:styleId="1209">
    <w:name w:val="_Style 1"/>
    <w:basedOn w:val="742"/>
    <w:next w:val="788"/>
    <w:link w:val="706"/>
    <w:qFormat/>
    <w:pPr>
      <w:ind w:firstLine="420"/>
      <w:spacing w:line="360" w:lineRule="auto"/>
    </w:pPr>
    <w:rPr>
      <w:rFonts w:ascii="Calibri" w:hAnsi="Calibri" w:eastAsia="宋体"/>
      <w:sz w:val="24"/>
    </w:rPr>
  </w:style>
  <w:style w:type="paragraph" w:styleId="1210">
    <w:name w:val="xl31"/>
    <w:basedOn w:val="706"/>
    <w:next w:val="1210"/>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11">
    <w:name w:val="标题4，章节第四层"/>
    <w:basedOn w:val="706"/>
    <w:next w:val="706"/>
    <w:link w:val="706"/>
    <w:qFormat/>
    <w:pPr>
      <w:spacing w:line="360" w:lineRule="auto"/>
      <w:tabs>
        <w:tab w:val="left" w:pos="0" w:leader="none"/>
      </w:tabs>
      <w:outlineLvl w:val="3"/>
    </w:pPr>
    <w:rPr>
      <w:rFonts w:ascii="宋体" w:hAnsi="宋体"/>
      <w:b/>
      <w:sz w:val="24"/>
      <w:szCs w:val="24"/>
    </w:rPr>
  </w:style>
  <w:style w:type="paragraph" w:styleId="1212">
    <w:name w:val="xl54"/>
    <w:basedOn w:val="706"/>
    <w:next w:val="1212"/>
    <w:link w:val="70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13">
    <w:name w:val="正文 + 宋体"/>
    <w:basedOn w:val="706"/>
    <w:next w:val="1213"/>
    <w:link w:val="706"/>
    <w:qFormat/>
    <w:pPr>
      <w:ind w:firstLine="420"/>
      <w:spacing w:line="360" w:lineRule="auto"/>
    </w:pPr>
    <w:rPr>
      <w:szCs w:val="24"/>
    </w:rPr>
  </w:style>
  <w:style w:type="paragraph" w:styleId="1214">
    <w:name w:val="Char Char Char Char Char Char Char Char Char Char Char1 Char Char Char1"/>
    <w:basedOn w:val="706"/>
    <w:next w:val="1214"/>
    <w:link w:val="706"/>
    <w:semiHidden/>
    <w:qFormat/>
    <w:pPr>
      <w:ind w:firstLine="200"/>
      <w:jc w:val="left"/>
    </w:pPr>
    <w:rPr>
      <w:rFonts w:ascii="Tahoma" w:hAnsi="Tahoma"/>
      <w:sz w:val="24"/>
      <w:szCs w:val="24"/>
    </w:rPr>
  </w:style>
  <w:style w:type="paragraph" w:styleId="1215">
    <w:name w:val="flType"/>
    <w:basedOn w:val="1149"/>
    <w:next w:val="1215"/>
    <w:link w:val="706"/>
    <w:qFormat/>
    <w:pPr>
      <w:spacing w:after="284"/>
    </w:pPr>
    <w:rPr>
      <w:rFonts w:eastAsia="宋体"/>
      <w:b w:val="0"/>
    </w:rPr>
  </w:style>
  <w:style w:type="paragraph" w:styleId="1216">
    <w:name w:val="正文--表格内正文"/>
    <w:basedOn w:val="706"/>
    <w:next w:val="1216"/>
    <w:link w:val="706"/>
    <w:qFormat/>
    <w:pPr>
      <w:jc w:val="center"/>
      <w:spacing w:before="156" w:line="0" w:lineRule="atLeast"/>
    </w:pPr>
    <w:rPr>
      <w:rFonts w:ascii="宋体" w:hAnsi="宋体"/>
      <w:color w:val="000000"/>
      <w:sz w:val="24"/>
      <w:szCs w:val="24"/>
    </w:rPr>
  </w:style>
  <w:style w:type="paragraph" w:styleId="1217">
    <w:name w:val="小四 段落 宋体 Char Char Char"/>
    <w:basedOn w:val="731"/>
    <w:next w:val="1217"/>
    <w:link w:val="706"/>
    <w:qFormat/>
    <w:pPr>
      <w:ind w:left="0" w:right="-33" w:firstLine="545"/>
      <w:jc w:val="left"/>
      <w:spacing w:line="360" w:lineRule="auto"/>
      <w:tabs>
        <w:tab w:val="clear" w:pos="2952" w:leader="none"/>
      </w:tabs>
    </w:pPr>
    <w:rPr>
      <w:sz w:val="24"/>
    </w:rPr>
  </w:style>
  <w:style w:type="paragraph" w:styleId="1218">
    <w:name w:val="a"/>
    <w:basedOn w:val="706"/>
    <w:next w:val="1218"/>
    <w:link w:val="706"/>
    <w:qFormat/>
    <w:pPr>
      <w:spacing w:before="100" w:beforeAutospacing="1" w:after="100" w:afterAutospacing="1"/>
      <w:widowControl/>
    </w:pPr>
    <w:rPr>
      <w:rFonts w:ascii="宋体" w:hAnsi="宋体" w:cs="宋体"/>
      <w:sz w:val="24"/>
      <w:szCs w:val="24"/>
    </w:rPr>
  </w:style>
  <w:style w:type="paragraph" w:styleId="1219">
    <w:name w:val="font10"/>
    <w:basedOn w:val="706"/>
    <w:next w:val="1219"/>
    <w:link w:val="706"/>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20">
    <w:name w:val="Char Char Char Char Char Char Char Char Char Char Char Char Char Char Char Char Char Char Char Char Char Char Char1"/>
    <w:basedOn w:val="706"/>
    <w:next w:val="1220"/>
    <w:link w:val="706"/>
    <w:qFormat/>
    <w:rPr>
      <w:rFonts w:ascii="Tahoma" w:hAnsi="Tahoma" w:cs="Tahoma"/>
      <w:sz w:val="24"/>
    </w:rPr>
  </w:style>
  <w:style w:type="paragraph" w:styleId="1221">
    <w:name w:val="样式 标题 3H3sect1.2.3BOD 0Heading 3 - oldh3l3CTLevel 3 Head..."/>
    <w:basedOn w:val="709"/>
    <w:next w:val="1221"/>
    <w:link w:val="706"/>
    <w:qFormat/>
    <w:pPr>
      <w:jc w:val="left"/>
      <w:spacing w:before="156" w:after="156"/>
    </w:pPr>
    <w:rPr>
      <w:rFonts w:cs="宋体"/>
      <w:bCs/>
      <w:sz w:val="30"/>
    </w:rPr>
  </w:style>
  <w:style w:type="paragraph" w:styleId="1222">
    <w:name w:val="正文文本 New New"/>
    <w:basedOn w:val="706"/>
    <w:next w:val="1222"/>
    <w:link w:val="706"/>
    <w:qFormat/>
    <w:pPr>
      <w:ind w:firstLine="200"/>
      <w:spacing w:before="60" w:after="60" w:line="360" w:lineRule="auto"/>
      <w:widowControl/>
    </w:pPr>
    <w:rPr>
      <w:rFonts w:eastAsia="华文楷体"/>
      <w:sz w:val="24"/>
      <w:szCs w:val="24"/>
    </w:rPr>
  </w:style>
  <w:style w:type="paragraph" w:styleId="1223">
    <w:name w:val="xl51"/>
    <w:basedOn w:val="706"/>
    <w:next w:val="1223"/>
    <w:link w:val="70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24">
    <w:name w:val="p0"/>
    <w:basedOn w:val="706"/>
    <w:next w:val="1224"/>
    <w:link w:val="706"/>
    <w:qFormat/>
    <w:pPr>
      <w:jc w:val="left"/>
      <w:spacing w:before="100" w:beforeAutospacing="1" w:after="100" w:afterAutospacing="1"/>
      <w:widowControl/>
    </w:pPr>
    <w:rPr>
      <w:rFonts w:ascii="宋体" w:hAnsi="宋体" w:cs="宋体"/>
      <w:sz w:val="24"/>
      <w:szCs w:val="24"/>
    </w:rPr>
  </w:style>
  <w:style w:type="paragraph" w:styleId="1225">
    <w:name w:val="正文文本缩进1"/>
    <w:basedOn w:val="706"/>
    <w:next w:val="1225"/>
    <w:link w:val="706"/>
    <w:qFormat/>
    <w:pPr>
      <w:ind w:left="420"/>
      <w:spacing w:after="120"/>
    </w:pPr>
    <w:rPr>
      <w:szCs w:val="24"/>
    </w:rPr>
  </w:style>
  <w:style w:type="paragraph" w:styleId="1226">
    <w:name w:val="标题5，章节第五层"/>
    <w:basedOn w:val="706"/>
    <w:next w:val="706"/>
    <w:link w:val="70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7">
    <w:name w:val="表格文字"/>
    <w:basedOn w:val="706"/>
    <w:next w:val="741"/>
    <w:link w:val="706"/>
    <w:qFormat/>
    <w:pPr>
      <w:ind w:firstLine="200"/>
      <w:jc w:val="left"/>
      <w:spacing w:line="360" w:lineRule="auto"/>
    </w:pPr>
    <w:rPr>
      <w:rFonts w:ascii="Arial" w:hAnsi="Arial"/>
      <w:sz w:val="24"/>
    </w:rPr>
  </w:style>
  <w:style w:type="paragraph" w:styleId="1228">
    <w:name w:val="项目符号：一级"/>
    <w:basedOn w:val="1096"/>
    <w:next w:val="1096"/>
    <w:link w:val="706"/>
    <w:qFormat/>
    <w:pPr>
      <w:ind w:right="-134"/>
    </w:pPr>
    <w:rPr>
      <w:bCs w:val="0"/>
    </w:rPr>
  </w:style>
  <w:style w:type="paragraph" w:styleId="1229">
    <w:name w:val="Char Char Char Char Char1"/>
    <w:basedOn w:val="706"/>
    <w:next w:val="1229"/>
    <w:link w:val="706"/>
    <w:qFormat/>
    <w:rPr>
      <w:rFonts w:ascii="Tahoma" w:hAnsi="Tahoma" w:cs="Tahoma"/>
      <w:sz w:val="24"/>
    </w:rPr>
  </w:style>
  <w:style w:type="paragraph" w:styleId="1230">
    <w:name w:val="符号与编号"/>
    <w:basedOn w:val="706"/>
    <w:next w:val="1230"/>
    <w:link w:val="706"/>
    <w:qFormat/>
    <w:pPr>
      <w:ind w:left="900" w:hanging="420"/>
      <w:spacing w:after="156" w:line="400" w:lineRule="atLeast"/>
      <w:tabs>
        <w:tab w:val="left" w:pos="900" w:leader="none"/>
      </w:tabs>
    </w:pPr>
    <w:rPr>
      <w:sz w:val="24"/>
      <w:szCs w:val="24"/>
    </w:rPr>
  </w:style>
  <w:style w:type="paragraph" w:styleId="1231">
    <w:name w:val="font11"/>
    <w:basedOn w:val="706"/>
    <w:next w:val="1231"/>
    <w:link w:val="706"/>
    <w:qFormat/>
    <w:pPr>
      <w:jc w:val="left"/>
      <w:spacing w:before="100" w:beforeAutospacing="1" w:after="100" w:afterAutospacing="1"/>
      <w:widowControl/>
    </w:pPr>
    <w:rPr>
      <w:b/>
      <w:bCs/>
      <w:sz w:val="18"/>
      <w:szCs w:val="18"/>
    </w:rPr>
  </w:style>
  <w:style w:type="paragraph" w:styleId="1232">
    <w:name w:val="普通文字"/>
    <w:basedOn w:val="706"/>
    <w:next w:val="706"/>
    <w:link w:val="706"/>
    <w:qFormat/>
    <w:rPr>
      <w:rFonts w:ascii="宋体" w:hAnsi="宋体" w:cs="宋体"/>
      <w:sz w:val="24"/>
    </w:rPr>
  </w:style>
  <w:style w:type="paragraph" w:styleId="1233">
    <w:name w:val="论文正文"/>
    <w:basedOn w:val="754"/>
    <w:next w:val="1233"/>
    <w:link w:val="706"/>
    <w:qFormat/>
    <w:pPr>
      <w:ind w:left="0" w:firstLine="200"/>
      <w:jc w:val="left"/>
      <w:spacing w:line="360" w:lineRule="auto"/>
    </w:pPr>
    <w:rPr>
      <w:rFonts w:ascii="Times New Roman" w:hAnsi="Times New Roman"/>
      <w:sz w:val="28"/>
      <w:szCs w:val="24"/>
    </w:rPr>
  </w:style>
  <w:style w:type="paragraph" w:styleId="1234">
    <w:name w:val="Revision"/>
    <w:next w:val="1234"/>
    <w:link w:val="706"/>
    <w:semiHidden/>
    <w:qFormat/>
    <w:rPr>
      <w:sz w:val="21"/>
      <w:szCs w:val="24"/>
      <w:lang w:val="en-US" w:eastAsia="zh-CN" w:bidi="ar-SA"/>
    </w:rPr>
  </w:style>
  <w:style w:type="paragraph" w:styleId="1235">
    <w:name w:val="Char Char Char Char Char Char Char Char Char Char Char Char Char Char Char Char Char Char Char Char Char1"/>
    <w:basedOn w:val="706"/>
    <w:next w:val="1235"/>
    <w:link w:val="706"/>
    <w:qFormat/>
    <w:rPr>
      <w:rFonts w:ascii="Tahoma" w:hAnsi="Tahoma"/>
      <w:sz w:val="24"/>
    </w:rPr>
  </w:style>
  <w:style w:type="paragraph" w:styleId="1236">
    <w:name w:val="Table Text Char"/>
    <w:next w:val="1236"/>
    <w:link w:val="706"/>
    <w:qFormat/>
    <w:pPr>
      <w:spacing w:before="80" w:after="80"/>
    </w:pPr>
    <w:rPr>
      <w:rFonts w:ascii="Arial" w:hAnsi="Arial" w:cs="Arial"/>
      <w:sz w:val="18"/>
      <w:szCs w:val="28"/>
      <w:lang w:val="en-US" w:eastAsia="zh-CN" w:bidi="ar-SA"/>
    </w:rPr>
  </w:style>
  <w:style w:type="paragraph" w:styleId="1237">
    <w:name w:val="Char Char1 Char1"/>
    <w:basedOn w:val="706"/>
    <w:next w:val="1237"/>
    <w:link w:val="706"/>
    <w:qFormat/>
    <w:pPr>
      <w:jc w:val="left"/>
      <w:spacing w:after="160" w:line="240" w:lineRule="exact"/>
      <w:widowControl/>
    </w:pPr>
    <w:rPr>
      <w:rFonts w:ascii="Verdana" w:hAnsi="Verdana"/>
      <w:sz w:val="20"/>
      <w:lang w:eastAsia="en-US"/>
    </w:rPr>
  </w:style>
  <w:style w:type="paragraph" w:styleId="1238">
    <w:name w:val="条1"/>
    <w:basedOn w:val="706"/>
    <w:next w:val="1238"/>
    <w:link w:val="706"/>
    <w:qFormat/>
    <w:pPr>
      <w:ind w:left="780" w:hanging="360"/>
      <w:spacing w:before="156" w:line="360" w:lineRule="auto"/>
      <w:tabs>
        <w:tab w:val="left" w:pos="780" w:leader="none"/>
      </w:tabs>
    </w:pPr>
    <w:rPr>
      <w:rFonts w:eastAsia="黑体"/>
      <w:sz w:val="24"/>
    </w:rPr>
  </w:style>
  <w:style w:type="paragraph" w:styleId="1239">
    <w:name w:val="Char Char Char Char Char Char Char1"/>
    <w:basedOn w:val="706"/>
    <w:next w:val="1239"/>
    <w:link w:val="706"/>
    <w:qFormat/>
    <w:pPr>
      <w:jc w:val="left"/>
    </w:pPr>
    <w:rPr>
      <w:rFonts w:ascii="Tahoma" w:hAnsi="Tahoma"/>
      <w:sz w:val="24"/>
    </w:rPr>
  </w:style>
  <w:style w:type="paragraph" w:styleId="1240">
    <w:name w:val="正文 New New New New New New New New New New New New New New"/>
    <w:next w:val="1240"/>
    <w:link w:val="706"/>
    <w:qFormat/>
    <w:pPr>
      <w:jc w:val="both"/>
      <w:widowControl w:val="off"/>
    </w:pPr>
    <w:rPr>
      <w:rFonts w:hint="eastAsia"/>
      <w:sz w:val="21"/>
      <w:lang w:val="en-US" w:eastAsia="zh-CN" w:bidi="ar-SA"/>
    </w:rPr>
  </w:style>
  <w:style w:type="paragraph" w:styleId="1241">
    <w:name w:val="方案正文"/>
    <w:basedOn w:val="706"/>
    <w:next w:val="1241"/>
    <w:link w:val="706"/>
    <w:qFormat/>
    <w:pPr>
      <w:ind w:firstLine="359"/>
      <w:jc w:val="left"/>
      <w:spacing w:before="156" w:line="360" w:lineRule="auto"/>
    </w:pPr>
    <w:rPr>
      <w:rFonts w:ascii="Arial" w:hAnsi="Arial" w:cs="宋体"/>
      <w:sz w:val="24"/>
      <w:szCs w:val="21"/>
    </w:rPr>
  </w:style>
  <w:style w:type="paragraph" w:styleId="1242">
    <w:name w:val="章标题"/>
    <w:next w:val="1089"/>
    <w:link w:val="706"/>
    <w:qFormat/>
    <w:pPr>
      <w:jc w:val="both"/>
      <w:spacing w:before="156" w:after="156"/>
      <w:outlineLvl w:val="1"/>
    </w:pPr>
    <w:rPr>
      <w:rFonts w:eastAsia="黑体"/>
      <w:sz w:val="21"/>
      <w:lang w:val="en-US" w:eastAsia="zh-CN" w:bidi="ar-SA"/>
    </w:rPr>
  </w:style>
  <w:style w:type="paragraph" w:styleId="1243">
    <w:name w:val="xl32"/>
    <w:basedOn w:val="706"/>
    <w:next w:val="1243"/>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4">
    <w:name w:val="项目符号，二级"/>
    <w:basedOn w:val="1096"/>
    <w:next w:val="1096"/>
    <w:link w:val="706"/>
    <w:qFormat/>
    <w:pPr>
      <w:ind w:left="1337" w:right="-27" w:firstLine="480"/>
      <w:tabs>
        <w:tab w:val="left" w:pos="567" w:leader="none"/>
        <w:tab w:val="left" w:pos="1211" w:leader="none"/>
        <w:tab w:val="left" w:pos="1337" w:leader="none"/>
      </w:tabs>
    </w:pPr>
    <w:rPr>
      <w:bCs w:val="0"/>
      <w:color w:val="000000"/>
      <w:sz w:val="24"/>
      <w:szCs w:val="24"/>
    </w:rPr>
  </w:style>
  <w:style w:type="paragraph" w:styleId="1245">
    <w:name w:val="xl55"/>
    <w:basedOn w:val="706"/>
    <w:next w:val="1245"/>
    <w:link w:val="70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46">
    <w:name w:val="Normal0"/>
    <w:basedOn w:val="706"/>
    <w:next w:val="1246"/>
    <w:link w:val="706"/>
    <w:qFormat/>
    <w:rPr>
      <w:rFonts w:ascii="Calibri" w:hAnsi="Calibri" w:eastAsia="Calibri" w:cs="宋体"/>
      <w:lang w:val="zh-CN"/>
    </w:rPr>
  </w:style>
  <w:style w:type="paragraph" w:styleId="1247">
    <w:name w:val="正文（文本）"/>
    <w:next w:val="1247"/>
    <w:link w:val="706"/>
    <w:qFormat/>
    <w:pPr>
      <w:jc w:val="center"/>
      <w:spacing w:line="360" w:lineRule="auto"/>
      <w:widowControl w:val="off"/>
    </w:pPr>
    <w:rPr>
      <w:rFonts w:hAnsi="宋体"/>
      <w:sz w:val="28"/>
      <w:szCs w:val="28"/>
      <w:lang w:val="en-US" w:eastAsia="zh-CN" w:bidi="ar-SA"/>
    </w:rPr>
  </w:style>
  <w:style w:type="paragraph" w:styleId="1248">
    <w:name w:val="xl28"/>
    <w:basedOn w:val="706"/>
    <w:next w:val="1248"/>
    <w:link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9">
    <w:name w:val="样式4 Char"/>
    <w:basedOn w:val="706"/>
    <w:next w:val="1249"/>
    <w:link w:val="706"/>
    <w:qFormat/>
    <w:pPr>
      <w:ind w:firstLine="480"/>
      <w:jc w:val="left"/>
      <w:spacing w:line="360" w:lineRule="auto"/>
      <w:widowControl/>
    </w:pPr>
    <w:rPr>
      <w:rFonts w:cs="宋体"/>
      <w:color w:val="000000"/>
      <w:sz w:val="24"/>
      <w:szCs w:val="24"/>
    </w:rPr>
  </w:style>
  <w:style w:type="paragraph" w:styleId="1250">
    <w:name w:val="Char11"/>
    <w:basedOn w:val="706"/>
    <w:next w:val="1250"/>
    <w:link w:val="706"/>
    <w:qFormat/>
    <w:rPr>
      <w:rFonts w:ascii="方正仿宋_GB2312" w:hAnsi="宋体" w:eastAsia="方正仿宋_GB2312" w:cs="宋体"/>
      <w:b/>
      <w:sz w:val="32"/>
      <w:szCs w:val="32"/>
    </w:rPr>
  </w:style>
  <w:style w:type="paragraph" w:styleId="1251">
    <w:name w:val="表格内容"/>
    <w:basedOn w:val="706"/>
    <w:next w:val="1251"/>
    <w:link w:val="706"/>
    <w:qFormat/>
    <w:pPr>
      <w:jc w:val="center"/>
      <w:spacing w:before="60" w:line="300" w:lineRule="auto"/>
      <w:widowControl/>
    </w:pPr>
  </w:style>
  <w:style w:type="paragraph" w:styleId="1252">
    <w:name w:val="xl26"/>
    <w:basedOn w:val="706"/>
    <w:next w:val="1252"/>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3">
    <w:name w:val="Char Char Char1"/>
    <w:basedOn w:val="734"/>
    <w:next w:val="1253"/>
    <w:link w:val="706"/>
    <w:qFormat/>
    <w:pPr>
      <w:spacing w:line="436" w:lineRule="exact"/>
    </w:pPr>
    <w:rPr>
      <w:szCs w:val="24"/>
    </w:rPr>
  </w:style>
  <w:style w:type="paragraph" w:styleId="1254">
    <w:name w:val="xl58"/>
    <w:basedOn w:val="706"/>
    <w:next w:val="1254"/>
    <w:link w:val="706"/>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55">
    <w:name w:val="Body Text 21"/>
    <w:basedOn w:val="706"/>
    <w:next w:val="1255"/>
    <w:link w:val="706"/>
    <w:qFormat/>
    <w:pPr>
      <w:ind w:left="720" w:hanging="720"/>
      <w:widowControl/>
    </w:pPr>
    <w:rPr>
      <w:sz w:val="24"/>
      <w:lang w:val="en-GB"/>
    </w:rPr>
  </w:style>
  <w:style w:type="paragraph" w:styleId="1256">
    <w:name w:val="Char Char3"/>
    <w:basedOn w:val="706"/>
    <w:next w:val="1256"/>
    <w:link w:val="706"/>
    <w:qFormat/>
    <w:rPr>
      <w:rFonts w:ascii="Tahoma" w:hAnsi="Tahoma"/>
      <w:sz w:val="24"/>
    </w:rPr>
  </w:style>
  <w:style w:type="paragraph" w:styleId="1257">
    <w:name w:val="reader-word-layer"/>
    <w:basedOn w:val="706"/>
    <w:next w:val="1257"/>
    <w:link w:val="706"/>
    <w:uiPriority w:val="99"/>
    <w:qFormat/>
    <w:pPr>
      <w:jc w:val="left"/>
      <w:spacing w:before="100" w:beforeAutospacing="1" w:after="100" w:afterAutospacing="1"/>
      <w:widowControl/>
    </w:pPr>
    <w:rPr>
      <w:rFonts w:ascii="宋体" w:hAnsi="宋体" w:cs="宋体"/>
      <w:sz w:val="24"/>
      <w:szCs w:val="24"/>
    </w:rPr>
  </w:style>
  <w:style w:type="paragraph" w:styleId="1258">
    <w:name w:val="xl24"/>
    <w:basedOn w:val="706"/>
    <w:next w:val="1258"/>
    <w:link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59">
    <w:name w:val="font31"/>
    <w:basedOn w:val="716"/>
    <w:next w:val="1259"/>
    <w:link w:val="706"/>
    <w:qFormat/>
    <w:rPr>
      <w:rFonts w:ascii="等线" w:hAnsi="等线" w:eastAsia="等线" w:cs="等线"/>
      <w:color w:val="000000"/>
      <w:sz w:val="21"/>
      <w:szCs w:val="21"/>
      <w:u w:val="none"/>
    </w:rPr>
  </w:style>
  <w:style w:type="character" w:styleId="1260">
    <w:name w:val="NormalCharacter1"/>
    <w:next w:val="1260"/>
    <w:link w:val="706"/>
    <w:semiHidden/>
    <w:qFormat/>
  </w:style>
  <w:style w:type="character" w:styleId="1261">
    <w:name w:val="font51"/>
    <w:basedOn w:val="716"/>
    <w:next w:val="1261"/>
    <w:link w:val="706"/>
    <w:qFormat/>
    <w:rPr>
      <w:rFonts w:hint="eastAsia" w:ascii="宋体" w:hAnsi="宋体" w:eastAsia="宋体" w:cs="宋体"/>
      <w:color w:val="ff0000"/>
      <w:sz w:val="22"/>
      <w:szCs w:val="22"/>
      <w:u w:val="none"/>
    </w:rPr>
  </w:style>
  <w:style w:type="table" w:styleId="1262">
    <w:name w:val="Normal Table0"/>
    <w:next w:val="1262"/>
    <w:link w:val="706"/>
    <w:uiPriority w:val="2"/>
    <w:unhideWhenUsed/>
    <w:qFormat/>
    <w:pPr>
      <w:widowControl w:val="off"/>
    </w:pPr>
    <w:rPr>
      <w:sz w:val="22"/>
      <w:szCs w:val="22"/>
      <w:lang w:val="en-US" w:eastAsia="en-US" w:bidi="ar-SA"/>
    </w:rPr>
    <w:tblPr/>
  </w:style>
  <w:style w:type="paragraph" w:styleId="1263">
    <w:name w:val="二级标题"/>
    <w:next w:val="706"/>
    <w:link w:val="706"/>
    <w:qFormat/>
    <w:pPr>
      <w:numPr>
        <w:ilvl w:val="1"/>
        <w:numId w:val="5"/>
      </w:numPr>
      <w:spacing w:line="360" w:lineRule="auto"/>
      <w:outlineLvl w:val="1"/>
    </w:pPr>
    <w:rPr>
      <w:rFonts w:ascii="宋体" w:hAnsi="宋体" w:cs="宋体"/>
      <w:b/>
      <w:bCs/>
      <w:sz w:val="28"/>
      <w:szCs w:val="30"/>
      <w:lang w:val="en-US" w:eastAsia="zh-CN" w:bidi="ar-SA"/>
    </w:rPr>
  </w:style>
  <w:style w:type="paragraph" w:styleId="1264">
    <w:name w:val="三级标题"/>
    <w:next w:val="706"/>
    <w:link w:val="706"/>
    <w:qFormat/>
    <w:pPr>
      <w:numPr>
        <w:ilvl w:val="2"/>
        <w:numId w:val="5"/>
      </w:numPr>
      <w:spacing w:line="360" w:lineRule="auto"/>
      <w:outlineLvl w:val="2"/>
    </w:pPr>
    <w:rPr>
      <w:rFonts w:ascii="宋体" w:hAnsi="宋体" w:cs="宋体"/>
      <w:bCs/>
      <w:sz w:val="21"/>
      <w:szCs w:val="30"/>
      <w:lang w:val="en-US" w:eastAsia="zh-CN" w:bidi="ar-SA"/>
    </w:rPr>
  </w:style>
  <w:style w:type="paragraph" w:styleId="1265">
    <w:name w:val="四级标题"/>
    <w:next w:val="706"/>
    <w:link w:val="706"/>
    <w:qFormat/>
    <w:pPr>
      <w:numPr>
        <w:ilvl w:val="3"/>
        <w:numId w:val="5"/>
      </w:numPr>
      <w:spacing w:line="360" w:lineRule="auto"/>
      <w:outlineLvl w:val="3"/>
    </w:pPr>
    <w:rPr>
      <w:rFonts w:ascii="宋体" w:hAnsi="宋体" w:cs="宋体"/>
      <w:bCs/>
      <w:sz w:val="21"/>
      <w:szCs w:val="30"/>
      <w:lang w:val="en-US" w:eastAsia="zh-CN" w:bidi="ar-SA"/>
    </w:rPr>
  </w:style>
  <w:style w:type="paragraph" w:styleId="1266">
    <w:name w:val="msonormal"/>
    <w:basedOn w:val="706"/>
    <w:next w:val="1266"/>
    <w:link w:val="706"/>
    <w:qFormat/>
    <w:pPr>
      <w:jc w:val="left"/>
      <w:spacing w:before="100" w:beforeAutospacing="1" w:after="100" w:afterAutospacing="1"/>
      <w:widowControl/>
    </w:pPr>
    <w:rPr>
      <w:rFonts w:ascii="宋体" w:hAnsi="宋体" w:cs="宋体"/>
      <w:sz w:val="24"/>
      <w:szCs w:val="24"/>
    </w:rPr>
  </w:style>
  <w:style w:type="paragraph" w:styleId="1267">
    <w:name w:val="xl71"/>
    <w:basedOn w:val="706"/>
    <w:next w:val="1267"/>
    <w:link w:val="706"/>
    <w:qFormat/>
    <w:pPr>
      <w:jc w:val="left"/>
      <w:spacing w:before="100" w:beforeAutospacing="1" w:after="100" w:afterAutospacing="1"/>
      <w:widowControl/>
    </w:pPr>
    <w:rPr>
      <w:rFonts w:ascii="宋体" w:hAnsi="宋体" w:cs="宋体"/>
      <w:sz w:val="24"/>
      <w:szCs w:val="24"/>
    </w:rPr>
  </w:style>
  <w:style w:type="paragraph" w:styleId="1268">
    <w:name w:val="xl72"/>
    <w:basedOn w:val="706"/>
    <w:next w:val="1268"/>
    <w:link w:val="706"/>
    <w:qFormat/>
    <w:pPr>
      <w:jc w:val="center"/>
      <w:spacing w:before="100" w:beforeAutospacing="1" w:after="100" w:afterAutospacing="1"/>
      <w:widowControl/>
    </w:pPr>
    <w:rPr>
      <w:rFonts w:ascii="宋体" w:hAnsi="宋体" w:cs="宋体"/>
      <w:sz w:val="24"/>
      <w:szCs w:val="24"/>
    </w:rPr>
  </w:style>
  <w:style w:type="paragraph" w:styleId="1269">
    <w:name w:val="xl73"/>
    <w:basedOn w:val="706"/>
    <w:next w:val="1269"/>
    <w:link w:val="706"/>
    <w:qFormat/>
    <w:pPr>
      <w:jc w:val="center"/>
      <w:spacing w:before="100" w:beforeAutospacing="1" w:after="100" w:afterAutospacing="1"/>
      <w:widowControl/>
    </w:pPr>
    <w:rPr>
      <w:rFonts w:ascii="宋体" w:hAnsi="宋体" w:cs="宋体"/>
      <w:sz w:val="24"/>
      <w:szCs w:val="24"/>
    </w:rPr>
  </w:style>
  <w:style w:type="paragraph" w:styleId="1270">
    <w:name w:val="xl74"/>
    <w:basedOn w:val="706"/>
    <w:next w:val="1270"/>
    <w:link w:val="706"/>
    <w:qFormat/>
    <w:pPr>
      <w:jc w:val="center"/>
      <w:spacing w:before="100" w:beforeAutospacing="1" w:after="100" w:afterAutospacing="1"/>
      <w:widowControl/>
    </w:pPr>
    <w:rPr>
      <w:rFonts w:ascii="宋体" w:hAnsi="宋体" w:cs="宋体"/>
      <w:sz w:val="20"/>
    </w:rPr>
  </w:style>
  <w:style w:type="paragraph" w:styleId="1271">
    <w:name w:val="xl75"/>
    <w:basedOn w:val="706"/>
    <w:next w:val="1271"/>
    <w:link w:val="70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2">
    <w:name w:val="xl76"/>
    <w:basedOn w:val="706"/>
    <w:next w:val="1272"/>
    <w:link w:val="70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3">
    <w:name w:val="xl77"/>
    <w:basedOn w:val="706"/>
    <w:next w:val="1273"/>
    <w:link w:val="70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4">
    <w:name w:val="xl78"/>
    <w:basedOn w:val="706"/>
    <w:next w:val="1274"/>
    <w:link w:val="70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5">
    <w:name w:val="xl79"/>
    <w:basedOn w:val="706"/>
    <w:next w:val="1275"/>
    <w:link w:val="706"/>
    <w:qFormat/>
    <w:pPr>
      <w:jc w:val="center"/>
      <w:spacing w:before="100" w:beforeAutospacing="1" w:after="100" w:afterAutospacing="1"/>
      <w:shd w:val="clear" w:color="000000" w:fill="ffffff"/>
      <w:widowControl/>
    </w:pPr>
    <w:rPr>
      <w:rFonts w:ascii="宋体" w:hAnsi="宋体" w:cs="宋体"/>
      <w:sz w:val="20"/>
    </w:rPr>
  </w:style>
  <w:style w:type="paragraph" w:styleId="1276">
    <w:name w:val="xl80"/>
    <w:basedOn w:val="706"/>
    <w:next w:val="1276"/>
    <w:link w:val="70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7">
    <w:name w:val="xl81"/>
    <w:basedOn w:val="706"/>
    <w:next w:val="1277"/>
    <w:link w:val="70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8">
    <w:name w:val="xl82"/>
    <w:basedOn w:val="706"/>
    <w:next w:val="1278"/>
    <w:link w:val="70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9">
    <w:name w:val="xl83"/>
    <w:basedOn w:val="706"/>
    <w:next w:val="1279"/>
    <w:link w:val="70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0">
    <w:name w:val="xl84"/>
    <w:basedOn w:val="706"/>
    <w:next w:val="1280"/>
    <w:link w:val="70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1">
    <w:name w:val="xl85"/>
    <w:basedOn w:val="706"/>
    <w:next w:val="1281"/>
    <w:link w:val="70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2">
    <w:name w:val="纯文本11"/>
    <w:basedOn w:val="706"/>
    <w:next w:val="1282"/>
    <w:link w:val="706"/>
    <w:qFormat/>
    <w:rPr>
      <w:rFonts w:ascii="宋体" w:hAnsi="Courier New"/>
    </w:rPr>
  </w:style>
  <w:style w:type="paragraph" w:styleId="1283">
    <w:name w:val="_Style 78"/>
    <w:basedOn w:val="706"/>
    <w:next w:val="706"/>
    <w:link w:val="706"/>
    <w:uiPriority w:val="39"/>
    <w:qFormat/>
    <w:pPr>
      <w:ind w:left="1470"/>
      <w:jc w:val="left"/>
    </w:pPr>
    <w:rPr>
      <w:szCs w:val="21"/>
    </w:rPr>
  </w:style>
  <w:style w:type="paragraph" w:styleId="1284">
    <w:name w:val="页脚1"/>
    <w:basedOn w:val="706"/>
    <w:next w:val="1284"/>
    <w:link w:val="706"/>
    <w:qFormat/>
    <w:pPr>
      <w:jc w:val="left"/>
      <w:tabs>
        <w:tab w:val="center" w:pos="4153" w:leader="none"/>
        <w:tab w:val="right" w:pos="8306" w:leader="none"/>
      </w:tabs>
    </w:pPr>
    <w:rPr>
      <w:sz w:val="18"/>
      <w:szCs w:val="18"/>
    </w:rPr>
  </w:style>
  <w:style w:type="character" w:styleId="1285">
    <w:name w:val="font61"/>
    <w:basedOn w:val="716"/>
    <w:next w:val="1285"/>
    <w:link w:val="706"/>
    <w:qFormat/>
    <w:rPr>
      <w:rFonts w:hint="eastAsia" w:ascii="宋体" w:hAnsi="宋体" w:eastAsia="宋体" w:cs="宋体"/>
      <w:color w:val="000000"/>
      <w:sz w:val="20"/>
      <w:szCs w:val="20"/>
      <w:u w:val="none"/>
    </w:rPr>
  </w:style>
  <w:style w:type="character" w:styleId="1286">
    <w:name w:val="font231"/>
    <w:basedOn w:val="716"/>
    <w:next w:val="1286"/>
    <w:link w:val="706"/>
    <w:qFormat/>
    <w:rPr>
      <w:rFonts w:ascii="Calibri" w:hAnsi="Calibri" w:cs="Calibri"/>
      <w:color w:val="000000"/>
      <w:sz w:val="20"/>
      <w:szCs w:val="20"/>
      <w:u w:val="none"/>
    </w:rPr>
  </w:style>
  <w:style w:type="character" w:styleId="1287">
    <w:name w:val="font241"/>
    <w:basedOn w:val="716"/>
    <w:next w:val="1287"/>
    <w:link w:val="706"/>
    <w:qFormat/>
    <w:rPr>
      <w:rFonts w:ascii="Calibri" w:hAnsi="Calibri" w:cs="Calibri"/>
      <w:color w:val="000000"/>
      <w:sz w:val="20"/>
      <w:szCs w:val="20"/>
      <w:u w:val="none"/>
    </w:rPr>
  </w:style>
  <w:style w:type="character" w:styleId="1288">
    <w:name w:val="font81"/>
    <w:basedOn w:val="716"/>
    <w:next w:val="1288"/>
    <w:link w:val="706"/>
    <w:qFormat/>
    <w:rPr>
      <w:rFonts w:ascii="宋体" w:hAnsi="宋体" w:eastAsia="宋体" w:cs="宋体"/>
      <w:color w:val="000000"/>
      <w:sz w:val="20"/>
      <w:szCs w:val="20"/>
      <w:u w:val="none"/>
    </w:rPr>
  </w:style>
  <w:style w:type="character" w:styleId="1289">
    <w:name w:val="font251"/>
    <w:basedOn w:val="716"/>
    <w:next w:val="1289"/>
    <w:link w:val="706"/>
    <w:qFormat/>
    <w:rPr>
      <w:rFonts w:ascii="宋体" w:hAnsi="宋体" w:eastAsia="宋体" w:cs="宋体"/>
      <w:b/>
      <w:bCs/>
      <w:color w:val="000000"/>
      <w:sz w:val="20"/>
      <w:szCs w:val="20"/>
      <w:u w:val="none"/>
    </w:rPr>
  </w:style>
  <w:style w:type="character" w:styleId="1290">
    <w:name w:val="font112"/>
    <w:basedOn w:val="716"/>
    <w:next w:val="1290"/>
    <w:link w:val="706"/>
    <w:qFormat/>
    <w:rPr>
      <w:rFonts w:hint="eastAsia" w:ascii="宋体" w:hAnsi="宋体" w:eastAsia="宋体" w:cs="宋体"/>
      <w:b/>
      <w:bCs/>
      <w:color w:val="000000"/>
      <w:sz w:val="20"/>
      <w:szCs w:val="20"/>
      <w:u w:val="none"/>
    </w:rPr>
  </w:style>
  <w:style w:type="character" w:styleId="1291">
    <w:name w:val="font261"/>
    <w:basedOn w:val="716"/>
    <w:next w:val="1291"/>
    <w:link w:val="706"/>
    <w:qFormat/>
    <w:rPr>
      <w:rFonts w:ascii="微软雅黑" w:hAnsi="微软雅黑" w:eastAsia="微软雅黑" w:cs="微软雅黑"/>
      <w:color w:val="000000"/>
      <w:sz w:val="18"/>
      <w:szCs w:val="18"/>
      <w:u w:val="none"/>
    </w:rPr>
  </w:style>
  <w:style w:type="character" w:styleId="1292">
    <w:name w:val="font271"/>
    <w:basedOn w:val="716"/>
    <w:next w:val="1292"/>
    <w:link w:val="706"/>
    <w:qFormat/>
    <w:rPr>
      <w:rFonts w:ascii="Arial" w:hAnsi="Arial" w:cs="Arial"/>
      <w:color w:val="000000"/>
      <w:sz w:val="20"/>
      <w:szCs w:val="20"/>
      <w:u w:val="none"/>
    </w:rPr>
  </w:style>
  <w:style w:type="character" w:styleId="1293">
    <w:name w:val="font141"/>
    <w:basedOn w:val="716"/>
    <w:next w:val="1293"/>
    <w:link w:val="706"/>
    <w:qFormat/>
    <w:rPr>
      <w:rFonts w:ascii="宋体" w:hAnsi="宋体" w:eastAsia="宋体" w:cs="宋体"/>
      <w:color w:val="000000"/>
      <w:sz w:val="20"/>
      <w:szCs w:val="20"/>
      <w:u w:val="none"/>
    </w:rPr>
  </w:style>
  <w:style w:type="character" w:styleId="1294">
    <w:name w:val="font91"/>
    <w:basedOn w:val="716"/>
    <w:next w:val="1294"/>
    <w:link w:val="706"/>
    <w:qFormat/>
    <w:rPr>
      <w:rFonts w:hint="eastAsia" w:ascii="宋体" w:hAnsi="宋体" w:eastAsia="宋体" w:cs="宋体"/>
      <w:color w:val="000000"/>
      <w:sz w:val="20"/>
      <w:szCs w:val="20"/>
      <w:u w:val="none"/>
    </w:rPr>
  </w:style>
  <w:style w:type="character" w:styleId="1295">
    <w:name w:val="font281"/>
    <w:basedOn w:val="716"/>
    <w:next w:val="1295"/>
    <w:link w:val="706"/>
    <w:qFormat/>
    <w:rPr>
      <w:rFonts w:ascii="Calibri" w:hAnsi="Calibri" w:cs="Calibri"/>
      <w:color w:val="000000"/>
      <w:sz w:val="20"/>
      <w:szCs w:val="20"/>
      <w:u w:val="none"/>
    </w:rPr>
  </w:style>
  <w:style w:type="table" w:styleId="1296">
    <w:name w:val="Table Normal"/>
    <w:basedOn w:val="717"/>
    <w:next w:val="1296"/>
    <w:link w:val="706"/>
    <w:uiPriority w:val="2"/>
    <w:unhideWhenUsed/>
    <w:qFormat/>
    <w:tblPr/>
  </w:style>
  <w:style w:type="character" w:styleId="1297">
    <w:name w:val="font21"/>
    <w:basedOn w:val="716"/>
    <w:next w:val="1297"/>
    <w:link w:val="706"/>
    <w:qFormat/>
    <w:rPr>
      <w:rFonts w:hint="eastAsia" w:ascii="宋体" w:hAnsi="宋体" w:eastAsia="宋体" w:cs="宋体"/>
      <w:color w:val="000000"/>
      <w:sz w:val="21"/>
      <w:szCs w:val="21"/>
      <w:u w:val="none"/>
    </w:rPr>
  </w:style>
  <w:style w:type="character" w:styleId="48307" w:default="1">
    <w:name w:val="Default Paragraph Font"/>
    <w:uiPriority w:val="1"/>
    <w:semiHidden/>
    <w:unhideWhenUsed/>
  </w:style>
  <w:style w:type="numbering" w:styleId="48308" w:default="1">
    <w:name w:val="No List"/>
    <w:uiPriority w:val="99"/>
    <w:semiHidden/>
    <w:unhideWhenUsed/>
  </w:style>
  <w:style w:type="table" w:styleId="48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2</cp:revision>
  <dcterms:created xsi:type="dcterms:W3CDTF">2024-01-04T09:07:00Z</dcterms:created>
  <dcterms:modified xsi:type="dcterms:W3CDTF">2026-06-17T08:25:17Z</dcterms:modified>
</cp:coreProperties>
</file>