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hint="eastAsia" w:asciiTheme="minorEastAsia" w:hAnsiTheme="minorEastAsia" w:eastAsiaTheme="minorEastAsia"/>
          <w:b/>
          <w:bCs/>
          <w:color w:val="auto"/>
          <w:sz w:val="36"/>
          <w:szCs w:val="36"/>
          <w:highlight w:val="none"/>
        </w:rPr>
      </w:pPr>
      <w:r>
        <w:rPr>
          <w:rFonts w:hint="eastAsia" w:asciiTheme="minorEastAsia" w:hAnsiTheme="minorEastAsia" w:eastAsiaTheme="minorEastAsia"/>
          <w:b/>
          <w:bCs/>
          <w:color w:val="auto"/>
          <w:sz w:val="36"/>
          <w:szCs w:val="36"/>
          <w:highlight w:val="none"/>
        </w:rPr>
      </w:r>
      <w:r/>
    </w:p>
    <w:p>
      <w:pPr>
        <w:jc w:val="center"/>
        <w:spacing w:line="360" w:lineRule="auto"/>
        <w:widowControl/>
        <w:rPr>
          <w:rFonts w:hint="eastAsia" w:asciiTheme="minorEastAsia" w:hAnsiTheme="minorEastAsia" w:eastAsiaTheme="minorEastAsia"/>
          <w:b/>
          <w:bCs/>
          <w:color w:val="auto"/>
          <w:sz w:val="36"/>
          <w:szCs w:val="36"/>
          <w:highlight w:val="none"/>
        </w:rPr>
      </w:pPr>
      <w:r>
        <w:rPr>
          <w:rFonts w:hint="eastAsia" w:asciiTheme="minorEastAsia" w:hAnsiTheme="minorEastAsia" w:eastAsiaTheme="minorEastAsia"/>
          <w:b/>
          <w:bCs/>
          <w:color w:val="auto"/>
          <w:sz w:val="36"/>
          <w:szCs w:val="36"/>
          <w:highlight w:val="none"/>
        </w:rPr>
      </w:r>
      <w:r/>
    </w:p>
    <w:p>
      <w:pPr>
        <w:jc w:val="center"/>
        <w:spacing w:line="360" w:lineRule="auto"/>
        <w:shd w:val="clear" w:color="auto" w:fill="ffffff"/>
        <w:widowControl/>
        <w:rPr>
          <w:rFonts w:hint="eastAsia" w:asciiTheme="minorEastAsia" w:hAnsiTheme="minorEastAsia" w:eastAsiaTheme="minorEastAsia"/>
          <w:b/>
          <w:color w:val="auto"/>
          <w:sz w:val="36"/>
          <w:szCs w:val="36"/>
          <w:highlight w:val="none"/>
          <w:lang w:val="zh-CN"/>
        </w:rPr>
      </w:pPr>
      <w:r>
        <w:rPr>
          <w:rFonts w:hint="eastAsia" w:cs="黑体" w:asciiTheme="minorEastAsia" w:hAnsiTheme="minorEastAsia" w:eastAsiaTheme="minorEastAsia"/>
          <w:b/>
          <w:bCs/>
          <w:color w:val="auto"/>
          <w:sz w:val="36"/>
          <w:szCs w:val="36"/>
          <w:highlight w:val="none"/>
          <w:lang w:val="en-US" w:eastAsia="zh-CN"/>
        </w:rPr>
        <w:t xml:space="preserve">南京市中华中学附属雨花小学等多校教学设备采购项目</w:t>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t xml:space="preserve">公开招标文件</w:t>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lang w:eastAsia="zh-CN"/>
        </w:rPr>
      </w:pPr>
      <w:r>
        <w:rPr>
          <w:rFonts w:hint="eastAsia" w:asciiTheme="minorEastAsia" w:hAnsiTheme="minorEastAsia" w:eastAsiaTheme="minorEastAsia"/>
          <w:b/>
          <w:color w:val="auto"/>
          <w:sz w:val="36"/>
          <w:szCs w:val="36"/>
          <w:highlight w:val="none"/>
        </w:rPr>
        <w:t xml:space="preserve">项目编号：JSZC-320100-JSGC-G2026-0024</w:t>
      </w:r>
      <w:r>
        <w:rPr>
          <w:rFonts w:hint="eastAsia" w:asciiTheme="minorEastAsia" w:hAnsiTheme="minorEastAsia" w:eastAsiaTheme="minorEastAsia"/>
          <w:b/>
          <w:color w:val="auto"/>
          <w:sz w:val="36"/>
          <w:szCs w:val="36"/>
          <w:highlight w:val="none"/>
        </w:rPr>
        <w:tab/>
      </w:r>
      <w:r>
        <w:rPr>
          <w:rFonts w:hint="eastAsia" w:asciiTheme="minorEastAsia" w:hAnsiTheme="minorEastAsia" w:eastAsiaTheme="minorEastAsia"/>
          <w:b/>
          <w:color w:val="auto"/>
          <w:sz w:val="36"/>
          <w:szCs w:val="36"/>
          <w:highlight w:val="none"/>
          <w:lang w:val="en-US" w:eastAsia="zh-CN"/>
        </w:rPr>
        <w:t xml:space="preserve"> </w:t>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cs="宋体" w:asciiTheme="minorEastAsia" w:hAnsiTheme="minorEastAsia" w:eastAsiaTheme="minorEastAsia"/>
          <w:b/>
          <w:bCs/>
          <w:color w:val="auto"/>
          <w:sz w:val="36"/>
          <w:szCs w:val="36"/>
          <w:highlight w:val="none"/>
        </w:rPr>
      </w:pPr>
      <w:r>
        <w:rPr>
          <w:rFonts w:hint="eastAsia" w:cs="宋体" w:asciiTheme="minorEastAsia" w:hAnsiTheme="minorEastAsia" w:eastAsiaTheme="minorEastAsia"/>
          <w:b/>
          <w:bCs/>
          <w:color w:val="auto"/>
          <w:sz w:val="36"/>
          <w:szCs w:val="36"/>
          <w:highlight w:val="none"/>
        </w:rPr>
        <w:t xml:space="preserve">采购人：南京市教育技术装备中心</w:t>
      </w:r>
      <w:r/>
    </w:p>
    <w:p>
      <w:pPr>
        <w:jc w:val="center"/>
        <w:spacing w:line="360" w:lineRule="auto"/>
        <w:widowControl/>
        <w:rPr>
          <w:rFonts w:hint="eastAsia" w:cs="宋体" w:asciiTheme="minorEastAsia" w:hAnsiTheme="minorEastAsia" w:eastAsiaTheme="minorEastAsia"/>
          <w:b/>
          <w:bCs/>
          <w:color w:val="auto"/>
          <w:sz w:val="36"/>
          <w:szCs w:val="36"/>
          <w:highlight w:val="none"/>
        </w:rPr>
      </w:pPr>
      <w:r>
        <w:rPr>
          <w:rFonts w:hint="eastAsia" w:cs="宋体" w:asciiTheme="minorEastAsia" w:hAnsiTheme="minorEastAsia" w:eastAsiaTheme="minorEastAsia"/>
          <w:b/>
          <w:bCs/>
          <w:color w:val="auto"/>
          <w:sz w:val="36"/>
          <w:szCs w:val="36"/>
          <w:highlight w:val="none"/>
        </w:rPr>
        <w:t xml:space="preserve">采购代理机构：江苏国采工程咨询有限公司</w:t>
      </w:r>
      <w:r/>
    </w:p>
    <w:p>
      <w:pPr>
        <w:jc w:val="center"/>
        <w:spacing w:line="360" w:lineRule="auto"/>
        <w:widowControl/>
        <w:rPr>
          <w:rFonts w:hint="eastAsia" w:cs="宋体" w:asciiTheme="minorEastAsia" w:hAnsiTheme="minorEastAsia" w:eastAsiaTheme="minorEastAsia"/>
          <w:b/>
          <w:bCs/>
          <w:color w:val="auto"/>
          <w:sz w:val="36"/>
          <w:szCs w:val="36"/>
          <w:highlight w:val="none"/>
        </w:rPr>
        <w:sectPr>
          <w:headerReference w:type="default" r:id="rId9"/>
          <w:headerReference w:type="first" r:id="rId10"/>
          <w:footerReference w:type="default" r:id="rId11"/>
          <w:footnotePr/>
          <w:endnotePr/>
          <w:type w:val="nextPage"/>
          <w:pgSz w:w="11906" w:h="16838" w:orient="portrait"/>
          <w:pgMar w:top="1440" w:right="1440" w:bottom="1440" w:left="1440" w:header="850" w:footer="850" w:gutter="0"/>
          <w:cols w:num="1" w:sep="0" w:space="720" w:equalWidth="1"/>
          <w:docGrid w:linePitch="360"/>
          <w:titlePg/>
        </w:sectPr>
      </w:pPr>
      <w:r>
        <w:rPr>
          <w:rFonts w:hint="eastAsia" w:cs="宋体" w:asciiTheme="minorEastAsia" w:hAnsiTheme="minorEastAsia" w:eastAsiaTheme="minorEastAsia"/>
          <w:b/>
          <w:bCs/>
          <w:color w:val="auto"/>
          <w:sz w:val="36"/>
          <w:szCs w:val="36"/>
          <w:highlight w:val="none"/>
          <w:lang w:val="en-US" w:eastAsia="zh-CN"/>
        </w:rPr>
        <w:t xml:space="preserve">2026</w:t>
      </w:r>
      <w:r>
        <w:rPr>
          <w:rFonts w:hint="eastAsia" w:cs="宋体" w:asciiTheme="minorEastAsia" w:hAnsiTheme="minorEastAsia" w:eastAsiaTheme="minorEastAsia"/>
          <w:b/>
          <w:bCs/>
          <w:color w:val="auto"/>
          <w:sz w:val="36"/>
          <w:szCs w:val="36"/>
          <w:highlight w:val="none"/>
        </w:rPr>
        <w:t xml:space="preserve">年</w:t>
      </w:r>
      <w:r>
        <w:rPr>
          <w:rFonts w:hint="eastAsia" w:cs="宋体" w:asciiTheme="minorEastAsia" w:hAnsiTheme="minorEastAsia" w:eastAsiaTheme="minorEastAsia"/>
          <w:b/>
          <w:bCs/>
          <w:color w:val="auto"/>
          <w:sz w:val="36"/>
          <w:szCs w:val="36"/>
          <w:highlight w:val="none"/>
          <w:lang w:val="en-US" w:eastAsia="zh-CN"/>
        </w:rPr>
        <w:t xml:space="preserve">6</w:t>
      </w:r>
      <w:r>
        <w:rPr>
          <w:rFonts w:hint="eastAsia" w:cs="宋体" w:asciiTheme="minorEastAsia" w:hAnsiTheme="minorEastAsia" w:eastAsiaTheme="minorEastAsia"/>
          <w:b/>
          <w:bCs/>
          <w:color w:val="auto"/>
          <w:sz w:val="36"/>
          <w:szCs w:val="36"/>
          <w:highlight w:val="none"/>
        </w:rPr>
        <w:t xml:space="preserve">月 </w:t>
      </w:r>
      <w:r/>
    </w:p>
    <w:sdt>
      <w:sdtPr>
        <w15:appearance w15:val="boundingBox"/>
        <w:id w:val="-1426032923"/>
        <w:docPartObj>
          <w:docPartGallery w:val="Table of Contents"/>
          <w:docPartUnique w:val="true"/>
        </w:docPartObj>
        <w:rPr>
          <w:rFonts w:cs="Times New Roman" w:asciiTheme="minorEastAsia" w:hAnsiTheme="minorEastAsia" w:eastAsiaTheme="minorEastAsia"/>
          <w:color w:val="auto"/>
          <w:sz w:val="21"/>
          <w:szCs w:val="24"/>
          <w:highlight w:val="none"/>
          <w:lang w:val="zh-CN"/>
        </w:rPr>
      </w:sdtPr>
      <w:sdtContent>
        <w:p>
          <w:pPr>
            <w:pStyle w:val="1083"/>
            <w:jc w:val="center"/>
            <w:rPr>
              <w:rFonts w:hint="eastAsia" w:asciiTheme="minorEastAsia" w:hAnsiTheme="minorEastAsia" w:eastAsiaTheme="minorEastAsia"/>
              <w:b/>
              <w:bCs/>
              <w:color w:val="auto"/>
              <w:highlight w:val="none"/>
            </w:rPr>
          </w:pPr>
          <w:r/>
          <w:bookmarkStart w:id="0" w:name="OLE_LINK23"/>
          <w:r>
            <w:rPr>
              <w:rFonts w:asciiTheme="minorEastAsia" w:hAnsiTheme="minorEastAsia" w:eastAsiaTheme="minorEastAsia"/>
              <w:b/>
              <w:bCs/>
              <w:color w:val="auto"/>
              <w:highlight w:val="none"/>
              <w:lang w:val="zh-CN"/>
            </w:rPr>
            <w:t xml:space="preserve">目</w:t>
          </w:r>
          <w:r>
            <w:rPr>
              <w:rFonts w:hint="eastAsia" w:asciiTheme="minorEastAsia" w:hAnsiTheme="minorEastAsia" w:eastAsiaTheme="minorEastAsia"/>
              <w:b/>
              <w:bCs/>
              <w:color w:val="auto"/>
              <w:highlight w:val="none"/>
              <w:lang w:val="zh-CN"/>
            </w:rPr>
            <w:t xml:space="preserve"> </w:t>
          </w:r>
          <w:r>
            <w:rPr>
              <w:rFonts w:asciiTheme="minorEastAsia" w:hAnsiTheme="minorEastAsia" w:eastAsiaTheme="minorEastAsia"/>
              <w:b/>
              <w:bCs/>
              <w:color w:val="auto"/>
              <w:highlight w:val="none"/>
              <w:lang w:val="zh-CN"/>
            </w:rPr>
            <w:t xml:space="preserve">录</w:t>
          </w:r>
          <w:bookmarkEnd w:id="0"/>
          <w:r/>
          <w:r/>
        </w:p>
        <w:p>
          <w:pPr>
            <w:pStyle w:val="920"/>
            <w:tabs>
              <w:tab w:val="right" w:pos="9016" w:leader="dot"/>
            </w:tabs>
            <w:rPr>
              <w:rFonts w:hint="eastAsia" w:asciiTheme="minorEastAsia" w:hAnsiTheme="minorEastAsia" w:eastAsiaTheme="minorEastAsia" w:cstheme="minorBidi"/>
              <w:b/>
              <w:bCs/>
              <w:color w:val="auto"/>
              <w:sz w:val="30"/>
              <w:szCs w:val="30"/>
              <w:highlight w:val="none"/>
              <w14:ligatures w14:val="standardContextual"/>
            </w:rPr>
          </w:pP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TOC \o "1-1" \h \z \u </w:instrText>
          </w:r>
          <w:r>
            <w:rPr>
              <w:rFonts w:asciiTheme="minorEastAsia" w:hAnsiTheme="minorEastAsia" w:eastAsiaTheme="minorEastAsia"/>
              <w:color w:val="auto"/>
              <w:sz w:val="28"/>
              <w:szCs w:val="28"/>
              <w:highlight w:val="none"/>
            </w:rPr>
            <w:fldChar w:fldCharType="separate"/>
          </w:r>
          <w:r>
            <w:rPr>
              <w:color w:val="auto"/>
              <w:highlight w:val="none"/>
            </w:rPr>
            <w:fldChar w:fldCharType="begin"/>
          </w:r>
          <w:r>
            <w:rPr>
              <w:color w:val="auto"/>
              <w:highlight w:val="none"/>
            </w:rPr>
            <w:instrText xml:space="preserve"> HYPERLINK \l "_Toc176529667" </w:instrText>
          </w:r>
          <w:r>
            <w:rPr>
              <w:color w:val="auto"/>
              <w:highlight w:val="none"/>
            </w:rPr>
            <w:fldChar w:fldCharType="separate"/>
          </w:r>
          <w:r>
            <w:rPr>
              <w:rStyle w:val="938"/>
              <w:rFonts w:hint="eastAsia" w:asciiTheme="minorEastAsia" w:hAnsiTheme="minorEastAsia" w:eastAsiaTheme="minorEastAsia"/>
              <w:b/>
              <w:bCs/>
              <w:color w:val="auto"/>
              <w:sz w:val="30"/>
              <w:szCs w:val="30"/>
              <w:highlight w:val="none"/>
            </w:rPr>
            <w:t xml:space="preserve">第一章</w:t>
          </w:r>
          <w:r>
            <w:rPr>
              <w:rStyle w:val="938"/>
              <w:rFonts w:asciiTheme="minorEastAsia" w:hAnsiTheme="minorEastAsia" w:eastAsiaTheme="minorEastAsia"/>
              <w:b/>
              <w:bCs/>
              <w:color w:val="auto"/>
              <w:sz w:val="30"/>
              <w:szCs w:val="30"/>
              <w:highlight w:val="none"/>
            </w:rPr>
            <w:t xml:space="preserve"> </w:t>
          </w:r>
          <w:r>
            <w:rPr>
              <w:rStyle w:val="938"/>
              <w:rFonts w:hint="eastAsia" w:asciiTheme="minorEastAsia" w:hAnsiTheme="minorEastAsia" w:eastAsiaTheme="minorEastAsia"/>
              <w:b/>
              <w:bCs/>
              <w:color w:val="auto"/>
              <w:sz w:val="30"/>
              <w:szCs w:val="30"/>
              <w:highlight w:val="none"/>
            </w:rPr>
            <w:t xml:space="preserve">招标公告</w:t>
          </w:r>
          <w:r>
            <w:rPr>
              <w:rFonts w:asciiTheme="minorEastAsia" w:hAnsiTheme="minorEastAsia" w:eastAsiaTheme="minorEastAsia"/>
              <w:b/>
              <w:bCs/>
              <w:color w:val="auto"/>
              <w:sz w:val="30"/>
              <w:szCs w:val="30"/>
              <w:highlight w:val="none"/>
            </w:rPr>
            <w:tab/>
          </w:r>
          <w:r>
            <w:rPr>
              <w:rFonts w:hint="eastAsia" w:asciiTheme="minorEastAsia" w:hAnsiTheme="minorEastAsia" w:eastAsiaTheme="minorEastAsia"/>
              <w:b/>
              <w:bCs/>
              <w:color w:val="auto"/>
              <w:sz w:val="30"/>
              <w:szCs w:val="30"/>
              <w:highlight w:val="none"/>
            </w:rPr>
            <w:fldChar w:fldCharType="begin"/>
          </w:r>
          <w:r>
            <w:rPr>
              <w:rFonts w:asciiTheme="minorEastAsia" w:hAnsiTheme="minorEastAsia" w:eastAsiaTheme="minorEastAsia"/>
              <w:b/>
              <w:bCs/>
              <w:color w:val="auto"/>
              <w:sz w:val="30"/>
              <w:szCs w:val="30"/>
              <w:highlight w:val="none"/>
            </w:rPr>
            <w:instrText xml:space="preserve"> PAGEREF _Toc176529667 \h </w:instrText>
          </w:r>
          <w:r>
            <w:rPr>
              <w:rFonts w:hint="eastAsia" w:asciiTheme="minorEastAsia" w:hAnsiTheme="minorEastAsia" w:eastAsiaTheme="minorEastAsia"/>
              <w:b/>
              <w:bCs/>
              <w:color w:val="auto"/>
              <w:sz w:val="30"/>
              <w:szCs w:val="30"/>
              <w:highlight w:val="none"/>
            </w:rPr>
            <w:fldChar w:fldCharType="separate"/>
          </w:r>
          <w:r>
            <w:rPr>
              <w:rFonts w:asciiTheme="minorEastAsia" w:hAnsiTheme="minorEastAsia" w:eastAsiaTheme="minorEastAsia"/>
              <w:b/>
              <w:bCs/>
              <w:color w:val="auto"/>
              <w:sz w:val="30"/>
              <w:szCs w:val="30"/>
              <w:highlight w:val="none"/>
            </w:rPr>
            <w:t xml:space="preserve">1</w:t>
          </w:r>
          <w:r>
            <w:rPr>
              <w:rFonts w:hint="eastAsia" w:asciiTheme="minorEastAsia" w:hAnsiTheme="minorEastAsia" w:eastAsiaTheme="minorEastAsia"/>
              <w:b/>
              <w:bCs/>
              <w:color w:val="auto"/>
              <w:sz w:val="30"/>
              <w:szCs w:val="30"/>
              <w:highlight w:val="none"/>
            </w:rPr>
            <w:fldChar w:fldCharType="end"/>
          </w:r>
          <w:r>
            <w:rPr>
              <w:rFonts w:hint="eastAsia" w:asciiTheme="minorEastAsia" w:hAnsiTheme="minorEastAsia" w:eastAsiaTheme="minorEastAsia"/>
              <w:b/>
              <w:bCs/>
              <w:color w:val="auto"/>
              <w:sz w:val="30"/>
              <w:szCs w:val="30"/>
              <w:highlight w:val="none"/>
            </w:rPr>
            <w:fldChar w:fldCharType="end"/>
          </w:r>
          <w:r/>
        </w:p>
        <w:p>
          <w:pPr>
            <w:pStyle w:val="920"/>
            <w:tabs>
              <w:tab w:val="right" w:pos="9016" w:leader="dot"/>
            </w:tabs>
            <w:rPr>
              <w:rFonts w:hint="eastAsia" w:asciiTheme="minorEastAsia" w:hAnsiTheme="minorEastAsia" w:eastAsiaTheme="minorEastAsia" w:cstheme="minorBidi"/>
              <w:b/>
              <w:bCs/>
              <w:color w:val="auto"/>
              <w:sz w:val="30"/>
              <w:szCs w:val="30"/>
              <w:highlight w:val="none"/>
              <w14:ligatures w14:val="standardContextual"/>
            </w:rPr>
          </w:pPr>
          <w:r>
            <w:rPr>
              <w:color w:val="auto"/>
              <w:highlight w:val="none"/>
            </w:rPr>
            <w:fldChar w:fldCharType="begin"/>
          </w:r>
          <w:r>
            <w:rPr>
              <w:color w:val="auto"/>
              <w:highlight w:val="none"/>
            </w:rPr>
            <w:instrText xml:space="preserve"> HYPERLINK \l "_Toc176529668" </w:instrText>
          </w:r>
          <w:r>
            <w:rPr>
              <w:color w:val="auto"/>
              <w:highlight w:val="none"/>
            </w:rPr>
            <w:fldChar w:fldCharType="separate"/>
          </w:r>
          <w:r>
            <w:rPr>
              <w:rStyle w:val="938"/>
              <w:rFonts w:hint="eastAsia" w:asciiTheme="minorEastAsia" w:hAnsiTheme="minorEastAsia" w:eastAsiaTheme="minorEastAsia"/>
              <w:b/>
              <w:bCs/>
              <w:color w:val="auto"/>
              <w:sz w:val="30"/>
              <w:szCs w:val="30"/>
              <w:highlight w:val="none"/>
            </w:rPr>
            <w:t xml:space="preserve">第二章</w:t>
          </w:r>
          <w:r>
            <w:rPr>
              <w:rStyle w:val="938"/>
              <w:rFonts w:asciiTheme="minorEastAsia" w:hAnsiTheme="minorEastAsia" w:eastAsiaTheme="minorEastAsia"/>
              <w:b/>
              <w:bCs/>
              <w:color w:val="auto"/>
              <w:sz w:val="30"/>
              <w:szCs w:val="30"/>
              <w:highlight w:val="none"/>
            </w:rPr>
            <w:t xml:space="preserve"> </w:t>
          </w:r>
          <w:r>
            <w:rPr>
              <w:rStyle w:val="938"/>
              <w:rFonts w:hint="eastAsia" w:asciiTheme="minorEastAsia" w:hAnsiTheme="minorEastAsia" w:eastAsiaTheme="minorEastAsia"/>
              <w:b/>
              <w:bCs/>
              <w:color w:val="auto"/>
              <w:sz w:val="30"/>
              <w:szCs w:val="30"/>
              <w:highlight w:val="none"/>
            </w:rPr>
            <w:t xml:space="preserve">投标人须知</w:t>
          </w:r>
          <w:r>
            <w:rPr>
              <w:rFonts w:asciiTheme="minorEastAsia" w:hAnsiTheme="minorEastAsia" w:eastAsiaTheme="minorEastAsia"/>
              <w:b/>
              <w:bCs/>
              <w:color w:val="auto"/>
              <w:sz w:val="30"/>
              <w:szCs w:val="30"/>
              <w:highlight w:val="none"/>
            </w:rPr>
            <w:tab/>
          </w:r>
          <w:r>
            <w:rPr>
              <w:rFonts w:hint="eastAsia" w:asciiTheme="minorEastAsia" w:hAnsiTheme="minorEastAsia" w:eastAsiaTheme="minorEastAsia"/>
              <w:b/>
              <w:bCs/>
              <w:color w:val="auto"/>
              <w:sz w:val="30"/>
              <w:szCs w:val="30"/>
              <w:highlight w:val="none"/>
            </w:rPr>
            <w:fldChar w:fldCharType="begin"/>
          </w:r>
          <w:r>
            <w:rPr>
              <w:rFonts w:asciiTheme="minorEastAsia" w:hAnsiTheme="minorEastAsia" w:eastAsiaTheme="minorEastAsia"/>
              <w:b/>
              <w:bCs/>
              <w:color w:val="auto"/>
              <w:sz w:val="30"/>
              <w:szCs w:val="30"/>
              <w:highlight w:val="none"/>
            </w:rPr>
            <w:instrText xml:space="preserve"> PAGEREF _Toc176529668 \h </w:instrText>
          </w:r>
          <w:r>
            <w:rPr>
              <w:rFonts w:hint="eastAsia" w:asciiTheme="minorEastAsia" w:hAnsiTheme="minorEastAsia" w:eastAsiaTheme="minorEastAsia"/>
              <w:b/>
              <w:bCs/>
              <w:color w:val="auto"/>
              <w:sz w:val="30"/>
              <w:szCs w:val="30"/>
              <w:highlight w:val="none"/>
            </w:rPr>
            <w:fldChar w:fldCharType="separate"/>
          </w:r>
          <w:r>
            <w:rPr>
              <w:rFonts w:asciiTheme="minorEastAsia" w:hAnsiTheme="minorEastAsia" w:eastAsiaTheme="minorEastAsia"/>
              <w:b/>
              <w:bCs/>
              <w:color w:val="auto"/>
              <w:sz w:val="30"/>
              <w:szCs w:val="30"/>
              <w:highlight w:val="none"/>
            </w:rPr>
            <w:t xml:space="preserve">5</w:t>
          </w:r>
          <w:r>
            <w:rPr>
              <w:rFonts w:hint="eastAsia" w:asciiTheme="minorEastAsia" w:hAnsiTheme="minorEastAsia" w:eastAsiaTheme="minorEastAsia"/>
              <w:b/>
              <w:bCs/>
              <w:color w:val="auto"/>
              <w:sz w:val="30"/>
              <w:szCs w:val="30"/>
              <w:highlight w:val="none"/>
            </w:rPr>
            <w:fldChar w:fldCharType="end"/>
          </w:r>
          <w:r>
            <w:rPr>
              <w:rFonts w:hint="eastAsia" w:asciiTheme="minorEastAsia" w:hAnsiTheme="minorEastAsia" w:eastAsiaTheme="minorEastAsia"/>
              <w:b/>
              <w:bCs/>
              <w:color w:val="auto"/>
              <w:sz w:val="30"/>
              <w:szCs w:val="30"/>
              <w:highlight w:val="none"/>
            </w:rPr>
            <w:fldChar w:fldCharType="end"/>
          </w:r>
          <w:r/>
        </w:p>
        <w:p>
          <w:pPr>
            <w:pStyle w:val="920"/>
            <w:tabs>
              <w:tab w:val="right" w:pos="9016" w:leader="dot"/>
            </w:tabs>
            <w:rPr>
              <w:rFonts w:hint="eastAsia" w:asciiTheme="minorEastAsia" w:hAnsiTheme="minorEastAsia" w:eastAsiaTheme="minorEastAsia" w:cstheme="minorBidi"/>
              <w:b/>
              <w:bCs/>
              <w:color w:val="auto"/>
              <w:sz w:val="30"/>
              <w:szCs w:val="30"/>
              <w:highlight w:val="none"/>
              <w14:ligatures w14:val="standardContextual"/>
            </w:rPr>
          </w:pPr>
          <w:r>
            <w:rPr>
              <w:color w:val="auto"/>
              <w:highlight w:val="none"/>
            </w:rPr>
            <w:fldChar w:fldCharType="begin"/>
          </w:r>
          <w:r>
            <w:rPr>
              <w:color w:val="auto"/>
              <w:highlight w:val="none"/>
            </w:rPr>
            <w:instrText xml:space="preserve"> HYPERLINK \l "_Toc176529669" </w:instrText>
          </w:r>
          <w:r>
            <w:rPr>
              <w:color w:val="auto"/>
              <w:highlight w:val="none"/>
            </w:rPr>
            <w:fldChar w:fldCharType="separate"/>
          </w:r>
          <w:r>
            <w:rPr>
              <w:rStyle w:val="938"/>
              <w:rFonts w:hint="eastAsia" w:asciiTheme="minorEastAsia" w:hAnsiTheme="minorEastAsia" w:eastAsiaTheme="minorEastAsia"/>
              <w:b/>
              <w:bCs/>
              <w:color w:val="auto"/>
              <w:sz w:val="30"/>
              <w:szCs w:val="30"/>
              <w:highlight w:val="none"/>
            </w:rPr>
            <w:t xml:space="preserve">第三章</w:t>
          </w:r>
          <w:r>
            <w:rPr>
              <w:rStyle w:val="938"/>
              <w:rFonts w:asciiTheme="minorEastAsia" w:hAnsiTheme="minorEastAsia" w:eastAsiaTheme="minorEastAsia"/>
              <w:b/>
              <w:bCs/>
              <w:color w:val="auto"/>
              <w:sz w:val="30"/>
              <w:szCs w:val="30"/>
              <w:highlight w:val="none"/>
            </w:rPr>
            <w:t xml:space="preserve"> </w:t>
          </w:r>
          <w:r>
            <w:rPr>
              <w:rStyle w:val="938"/>
              <w:rFonts w:hint="eastAsia" w:asciiTheme="minorEastAsia" w:hAnsiTheme="minorEastAsia" w:eastAsiaTheme="minorEastAsia"/>
              <w:b/>
              <w:bCs/>
              <w:color w:val="auto"/>
              <w:sz w:val="30"/>
              <w:szCs w:val="30"/>
              <w:highlight w:val="none"/>
            </w:rPr>
            <w:t xml:space="preserve">评标标准</w:t>
          </w:r>
          <w:r>
            <w:rPr>
              <w:rFonts w:asciiTheme="minorEastAsia" w:hAnsiTheme="minorEastAsia" w:eastAsiaTheme="minorEastAsia"/>
              <w:b/>
              <w:bCs/>
              <w:color w:val="auto"/>
              <w:sz w:val="30"/>
              <w:szCs w:val="30"/>
              <w:highlight w:val="none"/>
            </w:rPr>
            <w:tab/>
          </w:r>
          <w:r>
            <w:rPr>
              <w:rFonts w:hint="eastAsia" w:asciiTheme="minorEastAsia" w:hAnsiTheme="minorEastAsia" w:eastAsiaTheme="minorEastAsia"/>
              <w:b/>
              <w:bCs/>
              <w:color w:val="auto"/>
              <w:sz w:val="30"/>
              <w:szCs w:val="30"/>
              <w:highlight w:val="none"/>
            </w:rPr>
            <w:fldChar w:fldCharType="begin"/>
          </w:r>
          <w:r>
            <w:rPr>
              <w:rFonts w:asciiTheme="minorEastAsia" w:hAnsiTheme="minorEastAsia" w:eastAsiaTheme="minorEastAsia"/>
              <w:b/>
              <w:bCs/>
              <w:color w:val="auto"/>
              <w:sz w:val="30"/>
              <w:szCs w:val="30"/>
              <w:highlight w:val="none"/>
            </w:rPr>
            <w:instrText xml:space="preserve"> PAGEREF _Toc176529669 \h </w:instrText>
          </w:r>
          <w:r>
            <w:rPr>
              <w:rFonts w:hint="eastAsia" w:asciiTheme="minorEastAsia" w:hAnsiTheme="minorEastAsia" w:eastAsiaTheme="minorEastAsia"/>
              <w:b/>
              <w:bCs/>
              <w:color w:val="auto"/>
              <w:sz w:val="30"/>
              <w:szCs w:val="30"/>
              <w:highlight w:val="none"/>
            </w:rPr>
            <w:fldChar w:fldCharType="separate"/>
          </w:r>
          <w:r>
            <w:rPr>
              <w:rFonts w:asciiTheme="minorEastAsia" w:hAnsiTheme="minorEastAsia" w:eastAsiaTheme="minorEastAsia"/>
              <w:b/>
              <w:bCs/>
              <w:color w:val="auto"/>
              <w:sz w:val="30"/>
              <w:szCs w:val="30"/>
              <w:highlight w:val="none"/>
            </w:rPr>
            <w:t xml:space="preserve">20</w:t>
          </w:r>
          <w:r>
            <w:rPr>
              <w:rFonts w:hint="eastAsia" w:asciiTheme="minorEastAsia" w:hAnsiTheme="minorEastAsia" w:eastAsiaTheme="minorEastAsia"/>
              <w:b/>
              <w:bCs/>
              <w:color w:val="auto"/>
              <w:sz w:val="30"/>
              <w:szCs w:val="30"/>
              <w:highlight w:val="none"/>
            </w:rPr>
            <w:fldChar w:fldCharType="end"/>
          </w:r>
          <w:r>
            <w:rPr>
              <w:rFonts w:hint="eastAsia" w:asciiTheme="minorEastAsia" w:hAnsiTheme="minorEastAsia" w:eastAsiaTheme="minorEastAsia"/>
              <w:b/>
              <w:bCs/>
              <w:color w:val="auto"/>
              <w:sz w:val="30"/>
              <w:szCs w:val="30"/>
              <w:highlight w:val="none"/>
            </w:rPr>
            <w:fldChar w:fldCharType="end"/>
          </w:r>
          <w:r/>
        </w:p>
        <w:p>
          <w:pPr>
            <w:pStyle w:val="920"/>
            <w:tabs>
              <w:tab w:val="right" w:pos="9016" w:leader="dot"/>
            </w:tabs>
            <w:rPr>
              <w:rFonts w:hint="eastAsia" w:asciiTheme="minorEastAsia" w:hAnsiTheme="minorEastAsia" w:eastAsiaTheme="minorEastAsia" w:cstheme="minorBidi"/>
              <w:b/>
              <w:bCs/>
              <w:color w:val="auto"/>
              <w:sz w:val="30"/>
              <w:szCs w:val="30"/>
              <w:highlight w:val="none"/>
              <w14:ligatures w14:val="standardContextual"/>
            </w:rPr>
          </w:pPr>
          <w:r>
            <w:rPr>
              <w:color w:val="auto"/>
              <w:highlight w:val="none"/>
            </w:rPr>
            <w:fldChar w:fldCharType="begin"/>
          </w:r>
          <w:r>
            <w:rPr>
              <w:color w:val="auto"/>
              <w:highlight w:val="none"/>
            </w:rPr>
            <w:instrText xml:space="preserve"> HYPERLINK \l "_Toc176529670" </w:instrText>
          </w:r>
          <w:r>
            <w:rPr>
              <w:color w:val="auto"/>
              <w:highlight w:val="none"/>
            </w:rPr>
            <w:fldChar w:fldCharType="separate"/>
          </w:r>
          <w:r>
            <w:rPr>
              <w:rStyle w:val="938"/>
              <w:rFonts w:hint="eastAsia" w:asciiTheme="minorEastAsia" w:hAnsiTheme="minorEastAsia" w:eastAsiaTheme="minorEastAsia"/>
              <w:b/>
              <w:bCs/>
              <w:color w:val="auto"/>
              <w:sz w:val="30"/>
              <w:szCs w:val="30"/>
              <w:highlight w:val="none"/>
            </w:rPr>
            <w:t xml:space="preserve">第四章</w:t>
          </w:r>
          <w:r>
            <w:rPr>
              <w:rStyle w:val="938"/>
              <w:rFonts w:asciiTheme="minorEastAsia" w:hAnsiTheme="minorEastAsia" w:eastAsiaTheme="minorEastAsia"/>
              <w:b/>
              <w:bCs/>
              <w:color w:val="auto"/>
              <w:sz w:val="30"/>
              <w:szCs w:val="30"/>
              <w:highlight w:val="none"/>
            </w:rPr>
            <w:t xml:space="preserve"> </w:t>
          </w:r>
          <w:r>
            <w:rPr>
              <w:rStyle w:val="938"/>
              <w:rFonts w:hint="eastAsia" w:asciiTheme="minorEastAsia" w:hAnsiTheme="minorEastAsia" w:eastAsiaTheme="minorEastAsia"/>
              <w:b/>
              <w:bCs/>
              <w:color w:val="auto"/>
              <w:sz w:val="30"/>
              <w:szCs w:val="30"/>
              <w:highlight w:val="none"/>
            </w:rPr>
            <w:t xml:space="preserve">采购项目的内容和相关技术要求等</w:t>
          </w:r>
          <w:r>
            <w:rPr>
              <w:rFonts w:asciiTheme="minorEastAsia" w:hAnsiTheme="minorEastAsia" w:eastAsiaTheme="minorEastAsia"/>
              <w:b/>
              <w:bCs/>
              <w:color w:val="auto"/>
              <w:sz w:val="30"/>
              <w:szCs w:val="30"/>
              <w:highlight w:val="none"/>
            </w:rPr>
            <w:tab/>
          </w:r>
          <w:r>
            <w:rPr>
              <w:rFonts w:hint="eastAsia" w:asciiTheme="minorEastAsia" w:hAnsiTheme="minorEastAsia" w:eastAsiaTheme="minorEastAsia"/>
              <w:b/>
              <w:bCs/>
              <w:color w:val="auto"/>
              <w:sz w:val="30"/>
              <w:szCs w:val="30"/>
              <w:highlight w:val="none"/>
            </w:rPr>
            <w:fldChar w:fldCharType="begin"/>
          </w:r>
          <w:r>
            <w:rPr>
              <w:rFonts w:asciiTheme="minorEastAsia" w:hAnsiTheme="minorEastAsia" w:eastAsiaTheme="minorEastAsia"/>
              <w:b/>
              <w:bCs/>
              <w:color w:val="auto"/>
              <w:sz w:val="30"/>
              <w:szCs w:val="30"/>
              <w:highlight w:val="none"/>
            </w:rPr>
            <w:instrText xml:space="preserve"> PAGEREF _Toc176529670 \h </w:instrText>
          </w:r>
          <w:r>
            <w:rPr>
              <w:rFonts w:hint="eastAsia" w:asciiTheme="minorEastAsia" w:hAnsiTheme="minorEastAsia" w:eastAsiaTheme="minorEastAsia"/>
              <w:b/>
              <w:bCs/>
              <w:color w:val="auto"/>
              <w:sz w:val="30"/>
              <w:szCs w:val="30"/>
              <w:highlight w:val="none"/>
            </w:rPr>
            <w:fldChar w:fldCharType="separate"/>
          </w:r>
          <w:r>
            <w:rPr>
              <w:rFonts w:asciiTheme="minorEastAsia" w:hAnsiTheme="minorEastAsia" w:eastAsiaTheme="minorEastAsia"/>
              <w:b/>
              <w:bCs/>
              <w:color w:val="auto"/>
              <w:sz w:val="30"/>
              <w:szCs w:val="30"/>
              <w:highlight w:val="none"/>
            </w:rPr>
            <w:t xml:space="preserve">26</w:t>
          </w:r>
          <w:r>
            <w:rPr>
              <w:rFonts w:hint="eastAsia" w:asciiTheme="minorEastAsia" w:hAnsiTheme="minorEastAsia" w:eastAsiaTheme="minorEastAsia"/>
              <w:b/>
              <w:bCs/>
              <w:color w:val="auto"/>
              <w:sz w:val="30"/>
              <w:szCs w:val="30"/>
              <w:highlight w:val="none"/>
            </w:rPr>
            <w:fldChar w:fldCharType="end"/>
          </w:r>
          <w:r>
            <w:rPr>
              <w:rFonts w:hint="eastAsia" w:asciiTheme="minorEastAsia" w:hAnsiTheme="minorEastAsia" w:eastAsiaTheme="minorEastAsia"/>
              <w:b/>
              <w:bCs/>
              <w:color w:val="auto"/>
              <w:sz w:val="30"/>
              <w:szCs w:val="30"/>
              <w:highlight w:val="none"/>
            </w:rPr>
            <w:fldChar w:fldCharType="end"/>
          </w:r>
          <w:r/>
        </w:p>
        <w:p>
          <w:pPr>
            <w:pStyle w:val="920"/>
            <w:tabs>
              <w:tab w:val="right" w:pos="9016" w:leader="dot"/>
            </w:tabs>
            <w:rPr>
              <w:rFonts w:hint="eastAsia" w:asciiTheme="minorEastAsia" w:hAnsiTheme="minorEastAsia" w:eastAsiaTheme="minorEastAsia" w:cstheme="minorBidi"/>
              <w:b/>
              <w:bCs/>
              <w:color w:val="auto"/>
              <w:sz w:val="30"/>
              <w:szCs w:val="30"/>
              <w:highlight w:val="none"/>
              <w14:ligatures w14:val="standardContextual"/>
            </w:rPr>
          </w:pPr>
          <w:r>
            <w:rPr>
              <w:color w:val="auto"/>
              <w:highlight w:val="none"/>
            </w:rPr>
            <w:fldChar w:fldCharType="begin"/>
          </w:r>
          <w:r>
            <w:rPr>
              <w:color w:val="auto"/>
              <w:highlight w:val="none"/>
            </w:rPr>
            <w:instrText xml:space="preserve"> HYPERLINK \l "_Toc176529671" </w:instrText>
          </w:r>
          <w:r>
            <w:rPr>
              <w:color w:val="auto"/>
              <w:highlight w:val="none"/>
            </w:rPr>
            <w:fldChar w:fldCharType="separate"/>
          </w:r>
          <w:r>
            <w:rPr>
              <w:rStyle w:val="938"/>
              <w:rFonts w:hint="eastAsia" w:asciiTheme="minorEastAsia" w:hAnsiTheme="minorEastAsia" w:eastAsiaTheme="minorEastAsia"/>
              <w:b/>
              <w:bCs/>
              <w:color w:val="auto"/>
              <w:sz w:val="30"/>
              <w:szCs w:val="30"/>
              <w:highlight w:val="none"/>
            </w:rPr>
            <w:t xml:space="preserve">第五章</w:t>
          </w:r>
          <w:r>
            <w:rPr>
              <w:rStyle w:val="938"/>
              <w:rFonts w:asciiTheme="minorEastAsia" w:hAnsiTheme="minorEastAsia" w:eastAsiaTheme="minorEastAsia"/>
              <w:b/>
              <w:bCs/>
              <w:color w:val="auto"/>
              <w:sz w:val="30"/>
              <w:szCs w:val="30"/>
              <w:highlight w:val="none"/>
            </w:rPr>
            <w:t xml:space="preserve"> </w:t>
          </w:r>
          <w:r>
            <w:rPr>
              <w:rStyle w:val="938"/>
              <w:rFonts w:hint="eastAsia" w:asciiTheme="minorEastAsia" w:hAnsiTheme="minorEastAsia" w:eastAsiaTheme="minorEastAsia"/>
              <w:b/>
              <w:bCs/>
              <w:color w:val="auto"/>
              <w:sz w:val="30"/>
              <w:szCs w:val="30"/>
              <w:highlight w:val="none"/>
            </w:rPr>
            <w:t xml:space="preserve">合同主要条款及格式</w:t>
          </w:r>
          <w:r>
            <w:rPr>
              <w:rFonts w:asciiTheme="minorEastAsia" w:hAnsiTheme="minorEastAsia" w:eastAsiaTheme="minorEastAsia"/>
              <w:b/>
              <w:bCs/>
              <w:color w:val="auto"/>
              <w:sz w:val="30"/>
              <w:szCs w:val="30"/>
              <w:highlight w:val="none"/>
            </w:rPr>
            <w:tab/>
          </w:r>
          <w:r>
            <w:rPr>
              <w:rFonts w:hint="eastAsia" w:asciiTheme="minorEastAsia" w:hAnsiTheme="minorEastAsia" w:eastAsiaTheme="minorEastAsia"/>
              <w:b/>
              <w:bCs/>
              <w:color w:val="auto"/>
              <w:sz w:val="30"/>
              <w:szCs w:val="30"/>
              <w:highlight w:val="none"/>
            </w:rPr>
            <w:fldChar w:fldCharType="begin"/>
          </w:r>
          <w:r>
            <w:rPr>
              <w:rFonts w:asciiTheme="minorEastAsia" w:hAnsiTheme="minorEastAsia" w:eastAsiaTheme="minorEastAsia"/>
              <w:b/>
              <w:bCs/>
              <w:color w:val="auto"/>
              <w:sz w:val="30"/>
              <w:szCs w:val="30"/>
              <w:highlight w:val="none"/>
            </w:rPr>
            <w:instrText xml:space="preserve"> PAGEREF _Toc176529671 \h </w:instrText>
          </w:r>
          <w:r>
            <w:rPr>
              <w:rFonts w:hint="eastAsia" w:asciiTheme="minorEastAsia" w:hAnsiTheme="minorEastAsia" w:eastAsiaTheme="minorEastAsia"/>
              <w:b/>
              <w:bCs/>
              <w:color w:val="auto"/>
              <w:sz w:val="30"/>
              <w:szCs w:val="30"/>
              <w:highlight w:val="none"/>
            </w:rPr>
            <w:fldChar w:fldCharType="separate"/>
          </w:r>
          <w:r>
            <w:rPr>
              <w:rFonts w:asciiTheme="minorEastAsia" w:hAnsiTheme="minorEastAsia" w:eastAsiaTheme="minorEastAsia"/>
              <w:b/>
              <w:bCs/>
              <w:color w:val="auto"/>
              <w:sz w:val="30"/>
              <w:szCs w:val="30"/>
              <w:highlight w:val="none"/>
            </w:rPr>
            <w:t xml:space="preserve">51</w:t>
          </w:r>
          <w:r>
            <w:rPr>
              <w:rFonts w:hint="eastAsia" w:asciiTheme="minorEastAsia" w:hAnsiTheme="minorEastAsia" w:eastAsiaTheme="minorEastAsia"/>
              <w:b/>
              <w:bCs/>
              <w:color w:val="auto"/>
              <w:sz w:val="30"/>
              <w:szCs w:val="30"/>
              <w:highlight w:val="none"/>
            </w:rPr>
            <w:fldChar w:fldCharType="end"/>
          </w:r>
          <w:r>
            <w:rPr>
              <w:rFonts w:hint="eastAsia" w:asciiTheme="minorEastAsia" w:hAnsiTheme="minorEastAsia" w:eastAsiaTheme="minorEastAsia"/>
              <w:b/>
              <w:bCs/>
              <w:color w:val="auto"/>
              <w:sz w:val="30"/>
              <w:szCs w:val="30"/>
              <w:highlight w:val="none"/>
            </w:rPr>
            <w:fldChar w:fldCharType="end"/>
          </w:r>
          <w:r/>
        </w:p>
        <w:p>
          <w:pPr>
            <w:pStyle w:val="920"/>
            <w:tabs>
              <w:tab w:val="right" w:pos="9016" w:leader="dot"/>
            </w:tabs>
            <w:rPr>
              <w:rFonts w:hint="eastAsia" w:asciiTheme="minorEastAsia" w:hAnsiTheme="minorEastAsia" w:eastAsiaTheme="minorEastAsia" w:cstheme="minorBidi"/>
              <w:b/>
              <w:bCs/>
              <w:color w:val="auto"/>
              <w:sz w:val="30"/>
              <w:szCs w:val="30"/>
              <w:highlight w:val="none"/>
              <w14:ligatures w14:val="standardContextual"/>
            </w:rPr>
          </w:pPr>
          <w:r>
            <w:rPr>
              <w:color w:val="auto"/>
              <w:highlight w:val="none"/>
            </w:rPr>
            <w:fldChar w:fldCharType="begin"/>
          </w:r>
          <w:r>
            <w:rPr>
              <w:color w:val="auto"/>
              <w:highlight w:val="none"/>
            </w:rPr>
            <w:instrText xml:space="preserve"> HYPERLINK \l "_Toc176529672" </w:instrText>
          </w:r>
          <w:r>
            <w:rPr>
              <w:color w:val="auto"/>
              <w:highlight w:val="none"/>
            </w:rPr>
            <w:fldChar w:fldCharType="separate"/>
          </w:r>
          <w:r>
            <w:rPr>
              <w:rStyle w:val="938"/>
              <w:rFonts w:hint="eastAsia" w:asciiTheme="minorEastAsia" w:hAnsiTheme="minorEastAsia" w:eastAsiaTheme="minorEastAsia"/>
              <w:b/>
              <w:bCs/>
              <w:color w:val="auto"/>
              <w:sz w:val="30"/>
              <w:szCs w:val="30"/>
              <w:highlight w:val="none"/>
            </w:rPr>
            <w:t xml:space="preserve">第六章</w:t>
          </w:r>
          <w:r>
            <w:rPr>
              <w:rStyle w:val="938"/>
              <w:rFonts w:asciiTheme="minorEastAsia" w:hAnsiTheme="minorEastAsia" w:eastAsiaTheme="minorEastAsia"/>
              <w:b/>
              <w:bCs/>
              <w:color w:val="auto"/>
              <w:sz w:val="30"/>
              <w:szCs w:val="30"/>
              <w:highlight w:val="none"/>
            </w:rPr>
            <w:t xml:space="preserve"> </w:t>
          </w:r>
          <w:r>
            <w:rPr>
              <w:rStyle w:val="938"/>
              <w:rFonts w:hint="eastAsia" w:asciiTheme="minorEastAsia" w:hAnsiTheme="minorEastAsia" w:eastAsiaTheme="minorEastAsia"/>
              <w:b/>
              <w:bCs/>
              <w:color w:val="auto"/>
              <w:sz w:val="30"/>
              <w:szCs w:val="30"/>
              <w:highlight w:val="none"/>
            </w:rPr>
            <w:t xml:space="preserve">投标文件格式</w:t>
          </w:r>
          <w:r>
            <w:rPr>
              <w:rFonts w:asciiTheme="minorEastAsia" w:hAnsiTheme="minorEastAsia" w:eastAsiaTheme="minorEastAsia"/>
              <w:b/>
              <w:bCs/>
              <w:color w:val="auto"/>
              <w:sz w:val="30"/>
              <w:szCs w:val="30"/>
              <w:highlight w:val="none"/>
            </w:rPr>
            <w:tab/>
          </w:r>
          <w:r>
            <w:rPr>
              <w:rFonts w:hint="eastAsia" w:asciiTheme="minorEastAsia" w:hAnsiTheme="minorEastAsia" w:eastAsiaTheme="minorEastAsia"/>
              <w:b/>
              <w:bCs/>
              <w:color w:val="auto"/>
              <w:sz w:val="30"/>
              <w:szCs w:val="30"/>
              <w:highlight w:val="none"/>
            </w:rPr>
            <w:fldChar w:fldCharType="begin"/>
          </w:r>
          <w:r>
            <w:rPr>
              <w:rFonts w:asciiTheme="minorEastAsia" w:hAnsiTheme="minorEastAsia" w:eastAsiaTheme="minorEastAsia"/>
              <w:b/>
              <w:bCs/>
              <w:color w:val="auto"/>
              <w:sz w:val="30"/>
              <w:szCs w:val="30"/>
              <w:highlight w:val="none"/>
            </w:rPr>
            <w:instrText xml:space="preserve"> PAGEREF _Toc176529672 \h </w:instrText>
          </w:r>
          <w:r>
            <w:rPr>
              <w:rFonts w:hint="eastAsia" w:asciiTheme="minorEastAsia" w:hAnsiTheme="minorEastAsia" w:eastAsiaTheme="minorEastAsia"/>
              <w:b/>
              <w:bCs/>
              <w:color w:val="auto"/>
              <w:sz w:val="30"/>
              <w:szCs w:val="30"/>
              <w:highlight w:val="none"/>
            </w:rPr>
            <w:fldChar w:fldCharType="separate"/>
          </w:r>
          <w:r>
            <w:rPr>
              <w:rFonts w:asciiTheme="minorEastAsia" w:hAnsiTheme="minorEastAsia" w:eastAsiaTheme="minorEastAsia"/>
              <w:b/>
              <w:bCs/>
              <w:color w:val="auto"/>
              <w:sz w:val="30"/>
              <w:szCs w:val="30"/>
              <w:highlight w:val="none"/>
            </w:rPr>
            <w:t xml:space="preserve">55</w:t>
          </w:r>
          <w:r>
            <w:rPr>
              <w:rFonts w:hint="eastAsia" w:asciiTheme="minorEastAsia" w:hAnsiTheme="minorEastAsia" w:eastAsiaTheme="minorEastAsia"/>
              <w:b/>
              <w:bCs/>
              <w:color w:val="auto"/>
              <w:sz w:val="30"/>
              <w:szCs w:val="30"/>
              <w:highlight w:val="none"/>
            </w:rPr>
            <w:fldChar w:fldCharType="end"/>
          </w:r>
          <w:r>
            <w:rPr>
              <w:rFonts w:hint="eastAsia" w:asciiTheme="minorEastAsia" w:hAnsiTheme="minorEastAsia" w:eastAsiaTheme="minorEastAsia"/>
              <w:b/>
              <w:bCs/>
              <w:color w:val="auto"/>
              <w:sz w:val="30"/>
              <w:szCs w:val="30"/>
              <w:highlight w:val="none"/>
            </w:rPr>
            <w:fldChar w:fldCharType="end"/>
          </w:r>
          <w:r/>
        </w:p>
        <w:p>
          <w:pPr>
            <w:rPr>
              <w:rFonts w:hint="eastAsia" w:asciiTheme="minorEastAsia" w:hAnsiTheme="minorEastAsia" w:eastAsiaTheme="minorEastAsia"/>
              <w:color w:val="auto"/>
              <w:highlight w:val="none"/>
            </w:rPr>
          </w:pPr>
          <w:r>
            <w:rPr>
              <w:rFonts w:asciiTheme="minorEastAsia" w:hAnsiTheme="minorEastAsia" w:eastAsiaTheme="minorEastAsia"/>
              <w:color w:val="auto"/>
              <w:sz w:val="28"/>
              <w:szCs w:val="28"/>
              <w:highlight w:val="none"/>
            </w:rPr>
            <w:fldChar w:fldCharType="end"/>
          </w:r>
          <w:r/>
        </w:p>
      </w:sdtContent>
    </w:sdt>
    <w:p>
      <w:pPr>
        <w:pStyle w:val="920"/>
        <w:tabs>
          <w:tab w:val="right" w:pos="8296" w:leader="dot"/>
        </w:tabs>
        <w:rPr>
          <w:rFonts w:hint="eastAsia" w:asciiTheme="minorEastAsia" w:hAnsiTheme="minorEastAsia" w:eastAsiaTheme="minorEastAsia"/>
          <w:b/>
          <w:bCs/>
          <w:color w:val="auto"/>
          <w:sz w:val="28"/>
          <w:szCs w:val="28"/>
          <w:highlight w:val="none"/>
        </w:rPr>
      </w:pPr>
      <w:r>
        <w:rPr>
          <w:rFonts w:hint="eastAsia" w:asciiTheme="minorEastAsia" w:hAnsiTheme="minorEastAsia" w:eastAsiaTheme="minorEastAsia"/>
          <w:b/>
          <w:bCs/>
          <w:color w:val="auto"/>
          <w:sz w:val="28"/>
          <w:szCs w:val="28"/>
          <w:highlight w:val="none"/>
        </w:rPr>
      </w:r>
      <w:r/>
    </w:p>
    <w:p>
      <w:pPr>
        <w:pStyle w:val="920"/>
        <w:spacing w:line="480" w:lineRule="auto"/>
        <w:tabs>
          <w:tab w:val="right" w:pos="8306" w:leader="dot"/>
        </w:tabs>
        <w:rPr>
          <w:rFonts w:hint="eastAsia" w:asciiTheme="minorEastAsia" w:hAnsiTheme="minorEastAsia" w:eastAsiaTheme="minorEastAsia"/>
          <w:b/>
          <w:color w:val="auto"/>
          <w:sz w:val="28"/>
          <w:szCs w:val="28"/>
          <w:highlight w:val="none"/>
        </w:rPr>
      </w:pPr>
      <w:r>
        <w:rPr>
          <w:rFonts w:hint="eastAsia" w:cs="宋体" w:asciiTheme="minorEastAsia" w:hAnsiTheme="minorEastAsia" w:eastAsiaTheme="minorEastAsia"/>
          <w:b/>
          <w:color w:val="auto"/>
          <w:sz w:val="28"/>
          <w:szCs w:val="28"/>
          <w:highlight w:val="none"/>
        </w:rPr>
        <w:fldChar w:fldCharType="begin"/>
      </w:r>
      <w:r>
        <w:rPr>
          <w:rFonts w:hint="eastAsia" w:cs="宋体" w:asciiTheme="minorEastAsia" w:hAnsiTheme="minorEastAsia" w:eastAsiaTheme="minorEastAsia"/>
          <w:b/>
          <w:color w:val="auto"/>
          <w:sz w:val="28"/>
          <w:szCs w:val="28"/>
          <w:highlight w:val="none"/>
        </w:rPr>
        <w:instrText xml:space="preserve">TOC \o "1-1" \h \u </w:instrText>
      </w:r>
      <w:r>
        <w:rPr>
          <w:rFonts w:hint="eastAsia" w:cs="宋体" w:asciiTheme="minorEastAsia" w:hAnsiTheme="minorEastAsia" w:eastAsiaTheme="minorEastAsia"/>
          <w:b/>
          <w:color w:val="auto"/>
          <w:sz w:val="28"/>
          <w:szCs w:val="28"/>
          <w:highlight w:val="none"/>
        </w:rPr>
        <w:fldChar w:fldCharType="separate"/>
      </w:r>
      <w:r/>
    </w:p>
    <w:p>
      <w:pPr>
        <w:spacing w:line="480" w:lineRule="auto"/>
        <w:rPr>
          <w:rFonts w:hint="eastAsia" w:asciiTheme="minorEastAsia" w:hAnsiTheme="minorEastAsia" w:eastAsiaTheme="minorEastAsia"/>
          <w:color w:val="auto"/>
          <w:sz w:val="28"/>
          <w:szCs w:val="28"/>
          <w:highlight w:val="none"/>
        </w:rPr>
      </w:pPr>
      <w:r>
        <w:rPr>
          <w:rFonts w:hint="eastAsia" w:cs="宋体" w:asciiTheme="minorEastAsia" w:hAnsiTheme="minorEastAsia" w:eastAsiaTheme="minorEastAsia"/>
          <w:b/>
          <w:color w:val="auto"/>
          <w:sz w:val="28"/>
          <w:szCs w:val="28"/>
          <w:highlight w:val="none"/>
        </w:rPr>
        <w:fldChar w:fldCharType="end"/>
      </w:r>
      <w:r/>
    </w:p>
    <w:p>
      <w:pPr>
        <w:jc w:val="left"/>
        <w:spacing w:line="360" w:lineRule="auto"/>
        <w:shd w:val="clear" w:color="auto" w:fill="ffffff"/>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pStyle w:val="890"/>
        <w:rPr>
          <w:rFonts w:hint="eastAsia" w:asciiTheme="minorEastAsia" w:hAnsiTheme="minorEastAsia" w:eastAsiaTheme="minorEastAsia"/>
          <w:color w:val="auto"/>
          <w:highlight w:val="none"/>
        </w:rPr>
      </w:pPr>
      <w:r>
        <w:rPr>
          <w:rFonts w:hint="eastAsia" w:cs="宋体" w:asciiTheme="minorEastAsia" w:hAnsiTheme="minorEastAsia" w:eastAsiaTheme="minorEastAsia"/>
          <w:color w:val="auto"/>
          <w:sz w:val="36"/>
          <w:szCs w:val="36"/>
          <w:highlight w:val="none"/>
          <w:shd w:val="clear" w:color="auto" w:fill="ffffff"/>
        </w:rPr>
        <w:br w:type="page" w:clear="all"/>
      </w:r>
      <w:bookmarkStart w:id="1" w:name="_Toc481057143"/>
      <w:r/>
      <w:bookmarkStart w:id="2" w:name="_Toc29007"/>
      <w:r/>
      <w:bookmarkStart w:id="3" w:name="_Hlk43897905"/>
      <w:r>
        <w:rPr>
          <w:rFonts w:hint="eastAsia" w:asciiTheme="minorEastAsia" w:hAnsiTheme="minorEastAsia" w:eastAsiaTheme="minorEastAsia"/>
          <w:color w:val="auto"/>
          <w:highlight w:val="none"/>
        </w:rPr>
        <w:t xml:space="preserve"> </w:t>
      </w:r>
      <w:bookmarkStart w:id="4" w:name="_Toc176529667"/>
      <w:r>
        <w:rPr>
          <w:rFonts w:hint="eastAsia" w:asciiTheme="minorEastAsia" w:hAnsiTheme="minorEastAsia" w:eastAsiaTheme="minorEastAsia"/>
          <w:color w:val="auto"/>
          <w:highlight w:val="none"/>
        </w:rPr>
        <w:t xml:space="preserve">招标公告</w:t>
      </w:r>
      <w:bookmarkEnd w:id="1"/>
      <w:r/>
      <w:bookmarkEnd w:id="2"/>
      <w:r/>
      <w:bookmarkEnd w:id="4"/>
      <w:r/>
      <w:r/>
    </w:p>
    <w:p>
      <w:pPr>
        <w:ind w:firstLine="454"/>
        <w:spacing w:line="360" w:lineRule="auto"/>
        <w:widowControl/>
        <w:rPr>
          <w:rFonts w:hint="eastAsia" w:cs="宋体" w:asciiTheme="minorEastAsia" w:hAnsiTheme="minorEastAsia" w:eastAsiaTheme="minorEastAsia"/>
          <w:b/>
          <w:bCs/>
          <w:color w:val="auto"/>
          <w:spacing w:val="8"/>
          <w:highlight w:val="none"/>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b/>
          <w:bCs/>
          <w:color w:val="auto"/>
          <w:spacing w:val="8"/>
          <w:highlight w:val="none"/>
        </w:rPr>
        <w:t xml:space="preserve">项目概况</w:t>
      </w:r>
      <w:r/>
    </w:p>
    <w:p>
      <w:pPr>
        <w:ind w:firstLine="452"/>
        <w:spacing w:line="360" w:lineRule="auto"/>
        <w:widowControl/>
        <w:rPr>
          <w:rFonts w:hint="eastAsia" w:cs="宋体" w:asciiTheme="minorEastAsia" w:hAnsiTheme="minorEastAsia" w:eastAsiaTheme="minorEastAsia"/>
          <w:color w:val="auto"/>
          <w:spacing w:val="8"/>
          <w:highlight w:val="none"/>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color w:val="auto"/>
          <w:spacing w:val="8"/>
          <w:highlight w:val="none"/>
          <w:lang w:val="en-US" w:eastAsia="zh-CN"/>
        </w:rPr>
        <w:t xml:space="preserve">南京市中华中学附属雨花小学等多校教学设备采购项目</w:t>
      </w:r>
      <w:r>
        <w:rPr>
          <w:rFonts w:hint="eastAsia" w:cs="宋体" w:asciiTheme="minorEastAsia" w:hAnsiTheme="minorEastAsia" w:eastAsiaTheme="minorEastAsia"/>
          <w:color w:val="auto"/>
          <w:spacing w:val="8"/>
          <w:highlight w:val="none"/>
        </w:rPr>
        <w:t xml:space="preserve"> JSZC-320100-JSGC-G2026-0024招标项目的潜在投标人应在</w:t>
      </w:r>
      <w:r>
        <w:rPr>
          <w:rFonts w:hint="eastAsia" w:cs="Arial" w:asciiTheme="minorEastAsia" w:hAnsiTheme="minorEastAsia" w:eastAsiaTheme="minorEastAsia"/>
          <w:color w:val="auto"/>
          <w:spacing w:val="8"/>
          <w:szCs w:val="21"/>
          <w:highlight w:val="none"/>
        </w:rPr>
        <w:t xml:space="preserve">江苏政府采购网“</w:t>
      </w:r>
      <w:r>
        <w:rPr>
          <w:rFonts w:hint="eastAsia" w:cs="宋体" w:asciiTheme="minorEastAsia" w:hAnsiTheme="minorEastAsia" w:eastAsiaTheme="minorEastAsia"/>
          <w:color w:val="auto"/>
          <w:szCs w:val="21"/>
          <w:highlight w:val="none"/>
        </w:rPr>
        <w:t xml:space="preserve">苏采云”系统</w:t>
      </w:r>
      <w:r>
        <w:rPr>
          <w:rFonts w:hint="eastAsia" w:cs="宋体" w:asciiTheme="minorEastAsia" w:hAnsiTheme="minorEastAsia" w:eastAsiaTheme="minorEastAsia"/>
          <w:color w:val="auto"/>
          <w:spacing w:val="8"/>
          <w:highlight w:val="none"/>
        </w:rPr>
        <w:t xml:space="preserve">获取招标文件，并于</w:t>
      </w:r>
      <w:r>
        <w:rPr>
          <w:rFonts w:hint="eastAsia" w:cs="宋体" w:asciiTheme="minorEastAsia" w:hAnsiTheme="minorEastAsia" w:eastAsiaTheme="minorEastAsia"/>
          <w:color w:val="auto"/>
          <w:spacing w:val="8"/>
          <w:highlight w:val="none"/>
          <w:lang w:val="en-US" w:eastAsia="zh-CN"/>
        </w:rPr>
        <w:t xml:space="preserve">2026</w:t>
      </w:r>
      <w:r>
        <w:rPr>
          <w:rFonts w:hint="eastAsia" w:cs="宋体" w:asciiTheme="minorEastAsia" w:hAnsiTheme="minorEastAsia" w:eastAsiaTheme="minorEastAsia"/>
          <w:color w:val="auto"/>
          <w:spacing w:val="8"/>
          <w:highlight w:val="none"/>
        </w:rPr>
        <w:t xml:space="preserve">年</w:t>
      </w:r>
      <w:r>
        <w:rPr>
          <w:rFonts w:hint="eastAsia" w:cs="宋体" w:asciiTheme="minorEastAsia" w:hAnsiTheme="minorEastAsia" w:eastAsiaTheme="minorEastAsia"/>
          <w:color w:val="auto"/>
          <w:spacing w:val="8"/>
          <w:highlight w:val="none"/>
          <w:lang w:val="en-US" w:eastAsia="zh-CN"/>
        </w:rPr>
        <w:t xml:space="preserve">7</w:t>
      </w:r>
      <w:r>
        <w:rPr>
          <w:rFonts w:hint="eastAsia" w:cs="宋体" w:asciiTheme="minorEastAsia" w:hAnsiTheme="minorEastAsia" w:eastAsiaTheme="minorEastAsia"/>
          <w:color w:val="auto"/>
          <w:spacing w:val="8"/>
          <w:highlight w:val="none"/>
        </w:rPr>
        <w:t xml:space="preserve">月</w:t>
      </w:r>
      <w:r>
        <w:rPr>
          <w:rFonts w:hint="eastAsia" w:cs="宋体" w:asciiTheme="minorEastAsia" w:hAnsiTheme="minorEastAsia" w:eastAsiaTheme="minorEastAsia"/>
          <w:color w:val="auto"/>
          <w:spacing w:val="8"/>
          <w:highlight w:val="none"/>
          <w:lang w:val="en-US" w:eastAsia="zh-CN"/>
        </w:rPr>
        <w:t xml:space="preserve">3</w:t>
      </w:r>
      <w:r>
        <w:rPr>
          <w:rFonts w:hint="eastAsia" w:cs="宋体" w:asciiTheme="minorEastAsia" w:hAnsiTheme="minorEastAsia" w:eastAsiaTheme="minorEastAsia"/>
          <w:color w:val="auto"/>
          <w:spacing w:val="8"/>
          <w:highlight w:val="none"/>
        </w:rPr>
        <w:t xml:space="preserve">日</w:t>
      </w:r>
      <w:r>
        <w:rPr>
          <w:rFonts w:hint="eastAsia" w:cs="宋体" w:asciiTheme="minorEastAsia" w:hAnsiTheme="minorEastAsia" w:eastAsiaTheme="minorEastAsia"/>
          <w:color w:val="auto"/>
          <w:spacing w:val="8"/>
          <w:highlight w:val="none"/>
          <w:lang w:val="en-US" w:eastAsia="zh-CN"/>
        </w:rPr>
        <w:t xml:space="preserve">9</w:t>
      </w:r>
      <w:r>
        <w:rPr>
          <w:rFonts w:hint="eastAsia" w:cs="宋体" w:asciiTheme="minorEastAsia" w:hAnsiTheme="minorEastAsia" w:eastAsiaTheme="minorEastAsia"/>
          <w:color w:val="auto"/>
          <w:spacing w:val="8"/>
          <w:highlight w:val="none"/>
        </w:rPr>
        <w:t xml:space="preserve">:</w:t>
      </w:r>
      <w:r>
        <w:rPr>
          <w:rFonts w:hint="eastAsia" w:cs="宋体" w:asciiTheme="minorEastAsia" w:hAnsiTheme="minorEastAsia" w:eastAsiaTheme="minorEastAsia"/>
          <w:color w:val="auto"/>
          <w:spacing w:val="8"/>
          <w:highlight w:val="none"/>
          <w:lang w:val="en-US" w:eastAsia="zh-CN"/>
        </w:rPr>
        <w:t xml:space="preserve">3</w:t>
      </w:r>
      <w:r>
        <w:rPr>
          <w:rFonts w:hint="eastAsia" w:cs="宋体" w:asciiTheme="minorEastAsia" w:hAnsiTheme="minorEastAsia" w:eastAsiaTheme="minorEastAsia"/>
          <w:color w:val="auto"/>
          <w:spacing w:val="8"/>
          <w:highlight w:val="none"/>
        </w:rPr>
        <w:t xml:space="preserve">0（北京时间）前提交投标文件。</w:t>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highlight w:val="none"/>
        </w:rPr>
      </w:pPr>
      <w:r>
        <w:rPr>
          <w:rFonts w:cs="Arial" w:asciiTheme="minorEastAsia" w:hAnsiTheme="minorEastAsia" w:eastAsiaTheme="minorEastAsia"/>
          <w:b/>
          <w:color w:val="auto"/>
          <w:szCs w:val="21"/>
          <w:highlight w:val="none"/>
        </w:rPr>
        <w:t xml:space="preserve">一、项目基本情况</w:t>
      </w:r>
      <w:r>
        <w:rPr>
          <w:rFonts w:hint="eastAsia" w:cs="Arial" w:asciiTheme="minorEastAsia" w:hAnsiTheme="minorEastAsia" w:eastAsiaTheme="minorEastAsia"/>
          <w:b/>
          <w:color w:val="auto"/>
          <w:szCs w:val="21"/>
          <w:highlight w:val="none"/>
        </w:rPr>
        <w:t xml:space="preserve"> </w:t>
      </w:r>
      <w:r>
        <w:rPr>
          <w:rFonts w:cs="Arial" w:asciiTheme="minorEastAsia" w:hAnsiTheme="minorEastAsia" w:eastAsiaTheme="minorEastAsia"/>
          <w:b/>
          <w:color w:val="auto"/>
          <w:szCs w:val="21"/>
          <w:highlight w:val="none"/>
        </w:rPr>
        <w:t xml:space="preserve">  </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lang w:eastAsia="zh-CN"/>
        </w:rPr>
      </w:pPr>
      <w:r>
        <w:rPr>
          <w:rFonts w:cs="Arial" w:asciiTheme="minorEastAsia" w:hAnsiTheme="minorEastAsia" w:eastAsiaTheme="minorEastAsia"/>
          <w:bCs/>
          <w:color w:val="auto"/>
          <w:szCs w:val="21"/>
          <w:highlight w:val="none"/>
        </w:rPr>
        <w:t xml:space="preserve">项目编号：</w:t>
      </w:r>
      <w:r>
        <w:rPr>
          <w:rFonts w:hint="eastAsia" w:cs="Arial" w:asciiTheme="minorEastAsia" w:hAnsiTheme="minorEastAsia" w:eastAsiaTheme="minorEastAsia"/>
          <w:bCs/>
          <w:color w:val="auto"/>
          <w:szCs w:val="21"/>
          <w:highlight w:val="none"/>
        </w:rPr>
        <w:t xml:space="preserve">JSZC-320100-JSGC-G2026-0024</w:t>
      </w:r>
      <w:r>
        <w:rPr>
          <w:rFonts w:hint="eastAsia" w:cs="Arial" w:asciiTheme="minorEastAsia" w:hAnsiTheme="minorEastAsia" w:eastAsiaTheme="minorEastAsia"/>
          <w:bCs/>
          <w:color w:val="auto"/>
          <w:szCs w:val="21"/>
          <w:highlight w:val="none"/>
          <w:lang w:val="en-US" w:eastAsia="zh-CN"/>
        </w:rPr>
        <w:t xml:space="preserve">  </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rPr>
      </w:pPr>
      <w:r>
        <w:rPr>
          <w:rFonts w:cs="Arial" w:asciiTheme="minorEastAsia" w:hAnsiTheme="minorEastAsia" w:eastAsiaTheme="minorEastAsia"/>
          <w:bCs/>
          <w:color w:val="auto"/>
          <w:szCs w:val="21"/>
          <w:highlight w:val="none"/>
        </w:rPr>
        <w:t xml:space="preserve">项目名称：</w:t>
      </w:r>
      <w:r>
        <w:rPr>
          <w:rFonts w:hint="eastAsia" w:cs="Arial" w:asciiTheme="minorEastAsia" w:hAnsiTheme="minorEastAsia" w:eastAsiaTheme="minorEastAsia"/>
          <w:bCs/>
          <w:color w:val="auto"/>
          <w:szCs w:val="21"/>
          <w:highlight w:val="none"/>
          <w:lang w:val="en-US" w:eastAsia="zh-CN"/>
        </w:rPr>
        <w:t xml:space="preserve">南京市中华中学附属雨花小学等多校教学设备采购项目</w:t>
      </w:r>
      <w:r/>
    </w:p>
    <w:p>
      <w:pPr>
        <w:ind w:firstLine="420"/>
        <w:jc w:val="left"/>
        <w:spacing w:line="360" w:lineRule="auto"/>
        <w:shd w:val="clear" w:color="auto" w:fill="ffffff"/>
        <w:widowControl/>
        <w:rPr>
          <w:rFonts w:hint="eastAsia" w:asciiTheme="minorEastAsia" w:hAnsiTheme="minorEastAsia" w:eastAsiaTheme="minorEastAsia"/>
          <w:bCs/>
          <w:color w:val="auto"/>
          <w:szCs w:val="21"/>
          <w:highlight w:val="none"/>
          <w:lang w:val="en-US" w:eastAsia="zh-CN"/>
        </w:rPr>
      </w:pPr>
      <w:r>
        <w:rPr>
          <w:rFonts w:hint="eastAsia" w:cs="Arial" w:asciiTheme="minorEastAsia" w:hAnsiTheme="minorEastAsia" w:eastAsiaTheme="minorEastAsia"/>
          <w:bCs/>
          <w:color w:val="auto"/>
          <w:szCs w:val="21"/>
          <w:highlight w:val="none"/>
        </w:rPr>
        <w:t xml:space="preserve">预算金额</w:t>
      </w:r>
      <w:r>
        <w:rPr>
          <w:rFonts w:hint="eastAsia" w:asciiTheme="minorEastAsia" w:hAnsiTheme="minorEastAsia" w:eastAsiaTheme="minorEastAsia"/>
          <w:bCs/>
          <w:color w:val="auto"/>
          <w:szCs w:val="21"/>
          <w:highlight w:val="none"/>
        </w:rPr>
        <w:t xml:space="preserve">：</w:t>
      </w:r>
      <w:bookmarkStart w:id="5" w:name="_Hlk175666274"/>
      <w:r>
        <w:rPr>
          <w:rFonts w:hint="eastAsia" w:asciiTheme="minorEastAsia" w:hAnsiTheme="minorEastAsia" w:eastAsiaTheme="minorEastAsia"/>
          <w:bCs/>
          <w:color w:val="auto"/>
          <w:szCs w:val="21"/>
          <w:highlight w:val="none"/>
          <w:lang w:val="en-US" w:eastAsia="zh-CN"/>
        </w:rPr>
        <w:t xml:space="preserve">200万元</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最高限价（如有）</w:t>
      </w:r>
      <w:bookmarkEnd w:id="5"/>
      <w:r>
        <w:rPr>
          <w:rFonts w:cs="Arial" w:asciiTheme="minorEastAsia" w:hAnsiTheme="minorEastAsia" w:eastAsiaTheme="minorEastAsia"/>
          <w:bCs/>
          <w:color w:val="auto"/>
          <w:szCs w:val="21"/>
          <w:highlight w:val="none"/>
        </w:rPr>
        <w:t xml:space="preserve">：</w:t>
      </w:r>
      <w:r>
        <w:rPr>
          <w:rFonts w:hint="eastAsia" w:cs="Arial" w:asciiTheme="minorEastAsia" w:hAnsiTheme="minorEastAsia" w:eastAsiaTheme="minorEastAsia"/>
          <w:bCs/>
          <w:color w:val="auto"/>
          <w:szCs w:val="21"/>
          <w:highlight w:val="none"/>
          <w:lang w:val="en-US" w:eastAsia="zh-CN"/>
        </w:rPr>
        <w:t xml:space="preserve">200万元</w:t>
      </w:r>
      <w:r/>
    </w:p>
    <w:p>
      <w:pPr>
        <w:ind w:firstLine="420"/>
        <w:jc w:val="left"/>
        <w:spacing w:line="360" w:lineRule="auto"/>
        <w:shd w:val="clear" w:color="auto" w:fill="ffffff"/>
        <w:widowControl/>
        <w:rPr>
          <w:rFonts w:hint="default" w:cs="Arial" w:asciiTheme="minorEastAsia" w:hAnsiTheme="minorEastAsia" w:eastAsiaTheme="minorEastAsia"/>
          <w:bCs/>
          <w:color w:val="auto"/>
          <w:szCs w:val="21"/>
          <w:highlight w:val="none"/>
          <w:lang w:val="en-US" w:eastAsia="zh-CN"/>
        </w:rPr>
      </w:pPr>
      <w:r>
        <w:rPr>
          <w:rFonts w:cs="Arial" w:asciiTheme="minorEastAsia" w:hAnsiTheme="minorEastAsia" w:eastAsiaTheme="minorEastAsia"/>
          <w:bCs/>
          <w:color w:val="auto"/>
          <w:szCs w:val="21"/>
          <w:highlight w:val="none"/>
        </w:rPr>
        <w:t xml:space="preserve">采购需求</w:t>
      </w:r>
      <w:r>
        <w:rPr>
          <w:rFonts w:hint="eastAsia" w:cs="Arial" w:asciiTheme="minorEastAsia" w:hAnsiTheme="minorEastAsia" w:eastAsiaTheme="minorEastAsia"/>
          <w:bCs/>
          <w:color w:val="auto"/>
          <w:szCs w:val="21"/>
          <w:highlight w:val="none"/>
        </w:rPr>
        <w:t xml:space="preserve">：</w:t>
      </w:r>
      <w:r>
        <w:rPr>
          <w:rFonts w:hint="eastAsia" w:cs="Arial" w:asciiTheme="minorEastAsia" w:hAnsiTheme="minorEastAsia" w:eastAsiaTheme="minorEastAsia"/>
          <w:bCs/>
          <w:color w:val="auto"/>
          <w:szCs w:val="21"/>
          <w:highlight w:val="none"/>
          <w:lang w:val="en-US" w:eastAsia="zh-CN"/>
        </w:rPr>
        <w:t xml:space="preserve">为推进南京市新型优质小班制的实践研究，拟为雨花台区中华中学附属雨花小学、软件谷第二小学、岱山东路小学等试点学校建设新型学习活动场景。 主要采购内容包括基础教学与信息化设备、智慧教具课堂家具、多功能创思教学展示墙、智慧创客设备，同步完成教室基础装修改造，配套提供设备安装调试、质保运维及教师操作培训。具体要求详见文件第四章。</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lang w:eastAsia="zh-CN"/>
        </w:rPr>
      </w:pPr>
      <w:r>
        <w:rPr>
          <w:rFonts w:cs="Arial" w:asciiTheme="minorEastAsia" w:hAnsiTheme="minorEastAsia" w:eastAsiaTheme="minorEastAsia"/>
          <w:bCs/>
          <w:color w:val="auto"/>
          <w:szCs w:val="21"/>
          <w:highlight w:val="none"/>
        </w:rPr>
        <w:t xml:space="preserve">合同履行期限：</w:t>
      </w:r>
      <w:r>
        <w:rPr>
          <w:rFonts w:hint="eastAsia" w:cs="Arial" w:asciiTheme="minorEastAsia" w:hAnsiTheme="minorEastAsia" w:eastAsiaTheme="minorEastAsia"/>
          <w:bCs/>
          <w:color w:val="auto"/>
          <w:szCs w:val="21"/>
          <w:highlight w:val="none"/>
          <w:lang w:val="en-US" w:eastAsia="zh-CN"/>
        </w:rPr>
        <w:t xml:space="preserve">合同签订后40天内交付并完成安装调试及验收等相关工作。质保期三年（验收合格之日起，进入质保期）。</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rPr>
      </w:pPr>
      <w:r/>
      <w:bookmarkStart w:id="6" w:name="_Hlk128055931"/>
      <w:r/>
      <w:bookmarkStart w:id="7" w:name="_Hlk77845455"/>
      <w:r>
        <w:rPr>
          <w:rFonts w:cs="Arial" w:asciiTheme="minorEastAsia" w:hAnsiTheme="minorEastAsia" w:eastAsiaTheme="minorEastAsia"/>
          <w:bCs/>
          <w:color w:val="auto"/>
          <w:szCs w:val="21"/>
          <w:highlight w:val="none"/>
        </w:rPr>
        <w:t xml:space="preserve">本项目</w:t>
      </w:r>
      <w:bookmarkStart w:id="8" w:name="_Hlk84582886"/>
      <w:r>
        <w:rPr>
          <w:rFonts w:hint="eastAsia" w:cs="Arial" w:asciiTheme="minorEastAsia" w:hAnsiTheme="minorEastAsia" w:eastAsiaTheme="minorEastAsia"/>
          <w:bCs/>
          <w:color w:val="auto"/>
          <w:szCs w:val="21"/>
          <w:highlight w:val="none"/>
        </w:rPr>
        <w:t xml:space="preserve">（是/否）</w:t>
      </w:r>
      <w:r>
        <w:rPr>
          <w:rFonts w:cs="Arial" w:asciiTheme="minorEastAsia" w:hAnsiTheme="minorEastAsia" w:eastAsiaTheme="minorEastAsia"/>
          <w:bCs/>
          <w:color w:val="auto"/>
          <w:szCs w:val="21"/>
          <w:highlight w:val="none"/>
        </w:rPr>
        <w:t xml:space="preserve">接受</w:t>
      </w:r>
      <w:bookmarkEnd w:id="8"/>
      <w:r>
        <w:rPr>
          <w:rFonts w:cs="Arial" w:asciiTheme="minorEastAsia" w:hAnsiTheme="minorEastAsia" w:eastAsiaTheme="minorEastAsia"/>
          <w:bCs/>
          <w:color w:val="auto"/>
          <w:szCs w:val="21"/>
          <w:highlight w:val="none"/>
        </w:rPr>
        <w:t xml:space="preserve">联合体投标</w:t>
      </w:r>
      <w:r>
        <w:rPr>
          <w:rFonts w:hint="eastAsia" w:cs="Arial" w:asciiTheme="minorEastAsia" w:hAnsiTheme="minorEastAsia" w:eastAsiaTheme="minorEastAsia"/>
          <w:bCs/>
          <w:color w:val="auto"/>
          <w:szCs w:val="21"/>
          <w:highlight w:val="none"/>
        </w:rPr>
        <w:t xml:space="preserve">：否</w:t>
      </w:r>
      <w:bookmarkEnd w:id="6"/>
      <w:r/>
      <w:bookmarkEnd w:id="7"/>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highlight w:val="none"/>
        </w:rPr>
      </w:pPr>
      <w:r>
        <w:rPr>
          <w:rFonts w:cs="Arial" w:asciiTheme="minorEastAsia" w:hAnsiTheme="minorEastAsia" w:eastAsiaTheme="minorEastAsia"/>
          <w:b/>
          <w:color w:val="auto"/>
          <w:szCs w:val="21"/>
          <w:highlight w:val="none"/>
        </w:rPr>
        <w:t xml:space="preserve">二、</w:t>
      </w:r>
      <w:r>
        <w:rPr>
          <w:rFonts w:hint="eastAsia" w:cs="Arial" w:asciiTheme="minorEastAsia" w:hAnsiTheme="minorEastAsia" w:eastAsiaTheme="minorEastAsia"/>
          <w:b/>
          <w:color w:val="auto"/>
          <w:szCs w:val="21"/>
          <w:highlight w:val="none"/>
        </w:rPr>
        <w:t xml:space="preserve">申请人的资格要求</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（一）</w:t>
      </w:r>
      <w:r>
        <w:rPr>
          <w:rFonts w:cs="Arial" w:asciiTheme="minorEastAsia" w:hAnsiTheme="minorEastAsia" w:eastAsiaTheme="minorEastAsia"/>
          <w:bCs/>
          <w:color w:val="auto"/>
          <w:szCs w:val="21"/>
          <w:highlight w:val="none"/>
        </w:rPr>
        <w:t xml:space="preserve">满足《中华人民共和国政府采购法》第二十二条规定</w:t>
      </w:r>
      <w:r>
        <w:rPr>
          <w:rFonts w:hint="eastAsia" w:cs="Arial" w:asciiTheme="minorEastAsia" w:hAnsiTheme="minorEastAsia" w:eastAsiaTheme="minorEastAsia"/>
          <w:bCs/>
          <w:color w:val="auto"/>
          <w:szCs w:val="21"/>
          <w:highlight w:val="none"/>
        </w:rPr>
        <w:t xml:space="preserve">：</w:t>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1.具有独立承担民事责任的能力（提供法人或其他组织的营业执照等证明文件，自然人的身份证明）；</w:t>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具有良好的商业信誉和健全的财务会计制度（提供距开标时间六个月内任意一月份的财务状况报告或上一年度财务审计报告或开标截止时间前六个月内银行出具的资信证明，成立未满六个月若无上述证明材料的可不提供）；</w:t>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3.具有履行合同所必需的设备和专业技术能力（根据项目需求提供履行合同所必需的设备和专业技术能力的声明</w:t>
      </w:r>
      <w:bookmarkStart w:id="9" w:name="_Hlk128041996"/>
      <w:r>
        <w:rPr>
          <w:rFonts w:hint="eastAsia" w:asciiTheme="minorEastAsia" w:hAnsiTheme="minorEastAsia" w:eastAsiaTheme="minorEastAsia"/>
          <w:bCs/>
          <w:color w:val="auto"/>
          <w:szCs w:val="21"/>
          <w:highlight w:val="none"/>
        </w:rPr>
        <w:t xml:space="preserve">或证明材料</w:t>
      </w:r>
      <w:bookmarkEnd w:id="9"/>
      <w:r>
        <w:rPr>
          <w:rFonts w:hint="eastAsia" w:asciiTheme="minorEastAsia" w:hAnsiTheme="minorEastAsia" w:eastAsiaTheme="minorEastAsia"/>
          <w:bCs/>
          <w:color w:val="auto"/>
          <w:szCs w:val="21"/>
          <w:highlight w:val="none"/>
        </w:rPr>
        <w:t xml:space="preserve">）；</w:t>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4. </w:t>
      </w:r>
      <w:bookmarkStart w:id="10" w:name="_Hlk169006514"/>
      <w:r>
        <w:rPr>
          <w:rFonts w:hint="eastAsia" w:asciiTheme="minorEastAsia" w:hAnsiTheme="minorEastAsia" w:eastAsiaTheme="minorEastAsia"/>
          <w:bCs/>
          <w:color w:val="auto"/>
          <w:szCs w:val="21"/>
          <w:highlight w:val="none"/>
        </w:rPr>
        <w:t xml:space="preserve">具有依法缴纳税收和社会保障资金的良好记录</w:t>
      </w:r>
      <w:bookmarkStart w:id="11" w:name="_Hlk168994408"/>
      <w:r>
        <w:rPr>
          <w:rFonts w:hint="eastAsia" w:asciiTheme="minorEastAsia" w:hAnsiTheme="minorEastAsia" w:eastAsiaTheme="minorEastAsia"/>
          <w:bCs/>
          <w:color w:val="auto"/>
          <w:szCs w:val="21"/>
          <w:highlight w:val="none"/>
        </w:rPr>
        <w:t xml:space="preserve">（提供参加本次政府采购活动前一年内至少一个月缴纳社会保险的凭据及缴纳税收凭据，依法享受免缴、缓缴的，提供证明材料）</w:t>
      </w:r>
      <w:bookmarkEnd w:id="11"/>
      <w:r>
        <w:rPr>
          <w:rFonts w:hint="eastAsia" w:asciiTheme="minorEastAsia" w:hAnsiTheme="minorEastAsia" w:eastAsiaTheme="minorEastAsia"/>
          <w:bCs/>
          <w:color w:val="auto"/>
          <w:szCs w:val="21"/>
          <w:highlight w:val="none"/>
        </w:rPr>
        <w:t xml:space="preserve">；</w:t>
      </w:r>
      <w:bookmarkEnd w:id="10"/>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5.参加政府采购活动前三年内，在经营活动中没有重大违法记录（提供承诺书）；</w:t>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6.法律、行政法规规定的其他条件：无。</w:t>
      </w:r>
      <w:r/>
    </w:p>
    <w:p>
      <w:pPr>
        <w:ind w:firstLine="420"/>
        <w:spacing w:line="360" w:lineRule="auto"/>
        <w:rPr>
          <w:rFonts w:hint="eastAsia" w:cs="宋体" w:asciiTheme="minorEastAsia" w:hAnsiTheme="minorEastAsia" w:eastAsiaTheme="minorEastAsia"/>
          <w:b/>
          <w:bCs w:val="0"/>
          <w:color w:val="auto"/>
          <w:szCs w:val="21"/>
          <w:highlight w:val="none"/>
        </w:rPr>
      </w:pPr>
      <w:r>
        <w:rPr>
          <w:rFonts w:hint="eastAsia" w:cs="Arial" w:asciiTheme="minorEastAsia" w:hAnsiTheme="minorEastAsia" w:eastAsiaTheme="minorEastAsia"/>
          <w:bCs/>
          <w:color w:val="auto"/>
          <w:szCs w:val="21"/>
          <w:highlight w:val="none"/>
        </w:rPr>
        <w:t xml:space="preserve">（二）</w:t>
      </w:r>
      <w:r>
        <w:rPr>
          <w:rFonts w:cs="Arial" w:asciiTheme="minorEastAsia" w:hAnsiTheme="minorEastAsia" w:eastAsiaTheme="minorEastAsia"/>
          <w:bCs/>
          <w:color w:val="auto"/>
          <w:szCs w:val="21"/>
          <w:highlight w:val="none"/>
        </w:rPr>
        <w:t xml:space="preserve">落实政府采购政策需满足的资格要求：</w:t>
      </w:r>
      <w:bookmarkStart w:id="12" w:name="_Hlk128042064"/>
      <w:r>
        <w:rPr>
          <w:rFonts w:hint="eastAsia" w:cs="Arial" w:asciiTheme="minorEastAsia" w:hAnsiTheme="minorEastAsia" w:eastAsiaTheme="minorEastAsia"/>
          <w:bCs/>
          <w:color w:val="auto"/>
          <w:szCs w:val="21"/>
          <w:highlight w:val="none"/>
        </w:rPr>
        <w:t xml:space="preserve">无。</w:t>
      </w:r>
      <w:bookmarkEnd w:id="12"/>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rPr>
      </w:pPr>
      <w:r/>
      <w:bookmarkStart w:id="13" w:name="_Hlk67996638"/>
      <w:r/>
      <w:bookmarkStart w:id="14" w:name="_Hlk67648547"/>
      <w:r>
        <w:rPr>
          <w:rFonts w:hint="eastAsia" w:cs="Arial" w:asciiTheme="minorEastAsia" w:hAnsiTheme="minorEastAsia" w:eastAsiaTheme="minorEastAsia"/>
          <w:bCs/>
          <w:color w:val="auto"/>
          <w:szCs w:val="21"/>
          <w:highlight w:val="none"/>
        </w:rPr>
        <w:t xml:space="preserve">（三）</w:t>
      </w:r>
      <w:r>
        <w:rPr>
          <w:rFonts w:hint="eastAsia" w:cs="Arial" w:asciiTheme="minorEastAsia" w:hAnsiTheme="minorEastAsia" w:eastAsiaTheme="minorEastAsia"/>
          <w:bCs/>
          <w:color w:val="auto"/>
          <w:szCs w:val="21"/>
          <w:highlight w:val="none"/>
        </w:rPr>
        <w:t xml:space="preserve">本项目特定资格要求</w:t>
      </w:r>
      <w:bookmarkEnd w:id="13"/>
      <w:r>
        <w:rPr>
          <w:rFonts w:hint="eastAsia" w:cs="Arial" w:asciiTheme="minorEastAsia" w:hAnsiTheme="minorEastAsia" w:eastAsiaTheme="minorEastAsia"/>
          <w:bCs/>
          <w:color w:val="auto"/>
          <w:szCs w:val="21"/>
          <w:highlight w:val="none"/>
        </w:rPr>
        <w:t xml:space="preserve">：</w:t>
      </w:r>
      <w:bookmarkEnd w:id="14"/>
      <w:r>
        <w:rPr>
          <w:rFonts w:hint="eastAsia" w:cs="Arial" w:asciiTheme="minorEastAsia" w:hAnsiTheme="minorEastAsia" w:eastAsiaTheme="minorEastAsia"/>
          <w:bCs/>
          <w:color w:val="auto"/>
          <w:szCs w:val="21"/>
          <w:highlight w:val="none"/>
        </w:rPr>
        <w:t xml:space="preserve">无。</w:t>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highlight w:val="none"/>
        </w:rPr>
      </w:pPr>
      <w:r/>
      <w:bookmarkStart w:id="15" w:name="_Hlk77845490"/>
      <w:r/>
      <w:bookmarkStart w:id="16" w:name="_Hlk77846375"/>
      <w:r>
        <w:rPr>
          <w:rFonts w:cs="Arial" w:asciiTheme="minorEastAsia" w:hAnsiTheme="minorEastAsia" w:eastAsiaTheme="minorEastAsia"/>
          <w:b/>
          <w:color w:val="auto"/>
          <w:szCs w:val="21"/>
          <w:highlight w:val="none"/>
        </w:rPr>
        <w:t xml:space="preserve">三、获取招标文件</w:t>
      </w:r>
      <w:r/>
    </w:p>
    <w:p>
      <w:pPr>
        <w:ind w:firstLine="420"/>
        <w:spacing w:line="360" w:lineRule="auto"/>
        <w:rPr>
          <w:rFonts w:hint="eastAsia" w:cs="宋体" w:asciiTheme="minorEastAsia" w:hAnsiTheme="minorEastAsia" w:eastAsiaTheme="minorEastAsia"/>
          <w:bCs/>
          <w:color w:val="auto"/>
          <w:szCs w:val="21"/>
          <w:highlight w:val="none"/>
        </w:rPr>
      </w:pPr>
      <w:r/>
      <w:bookmarkStart w:id="17" w:name="_Hlk165968429"/>
      <w:r>
        <w:rPr>
          <w:rFonts w:hint="eastAsia" w:cs="宋体" w:asciiTheme="minorEastAsia" w:hAnsiTheme="minorEastAsia" w:eastAsiaTheme="minorEastAsia"/>
          <w:bCs/>
          <w:color w:val="auto"/>
          <w:szCs w:val="21"/>
          <w:highlight w:val="none"/>
        </w:rPr>
        <w:t xml:space="preserve">时间：自招标文件公告发布之日起5个工作日</w:t>
      </w:r>
      <w:bookmarkEnd w:id="15"/>
      <w:r/>
      <w:r/>
    </w:p>
    <w:p>
      <w:pPr>
        <w:ind w:firstLine="420"/>
        <w:spacing w:line="360" w:lineRule="auto"/>
        <w:rPr>
          <w:rFonts w:hint="eastAsia" w:cs="宋体" w:asciiTheme="minorEastAsia" w:hAnsiTheme="minorEastAsia" w:eastAsiaTheme="minorEastAsia"/>
          <w:bCs/>
          <w:color w:val="auto"/>
          <w:szCs w:val="21"/>
          <w:highlight w:val="none"/>
        </w:rPr>
      </w:pPr>
      <w:r/>
      <w:bookmarkStart w:id="18" w:name="_Hlk77845475"/>
      <w:r>
        <w:rPr>
          <w:rFonts w:hint="eastAsia" w:cs="宋体" w:asciiTheme="minorEastAsia" w:hAnsiTheme="minorEastAsia" w:eastAsiaTheme="minorEastAsia"/>
          <w:bCs/>
          <w:color w:val="auto"/>
          <w:szCs w:val="21"/>
          <w:highlight w:val="none"/>
        </w:rPr>
        <w:t xml:space="preserve">地点：</w:t>
      </w:r>
      <w:bookmarkStart w:id="19" w:name="OLE_LINK20"/>
      <w:r>
        <w:rPr>
          <w:rFonts w:hint="eastAsia" w:cs="宋体" w:asciiTheme="minorEastAsia" w:hAnsiTheme="minorEastAsia" w:eastAsiaTheme="minorEastAsia"/>
          <w:bCs/>
          <w:color w:val="auto"/>
          <w:szCs w:val="21"/>
          <w:highlight w:val="none"/>
        </w:rPr>
        <w:t xml:space="preserve">江苏政府采购网</w:t>
      </w:r>
      <w:bookmarkStart w:id="20" w:name="OLE_LINK21"/>
      <w:r>
        <w:rPr>
          <w:rFonts w:hint="eastAsia" w:cs="宋体" w:asciiTheme="minorEastAsia" w:hAnsiTheme="minorEastAsia" w:eastAsiaTheme="minorEastAsia"/>
          <w:bCs/>
          <w:color w:val="auto"/>
          <w:szCs w:val="21"/>
          <w:highlight w:val="none"/>
        </w:rPr>
        <w:t xml:space="preserve">“苏采云”系统</w:t>
      </w:r>
      <w:bookmarkEnd w:id="19"/>
      <w:r/>
      <w:bookmarkEnd w:id="20"/>
      <w:r/>
      <w:r/>
    </w:p>
    <w:p>
      <w:pPr>
        <w:ind w:firstLine="420"/>
        <w:spacing w:line="360" w:lineRule="auto"/>
        <w:rPr>
          <w:rFonts w:hint="eastAsia" w:cs="宋体" w:asciiTheme="minorEastAsia" w:hAnsiTheme="minorEastAsia" w:eastAsiaTheme="minorEastAsia"/>
          <w:bCs/>
          <w:color w:val="auto"/>
          <w:szCs w:val="21"/>
          <w:highlight w:val="none"/>
        </w:rPr>
      </w:pPr>
      <w:r/>
      <w:bookmarkStart w:id="21" w:name="_Hlk75168366"/>
      <w:r/>
      <w:bookmarkStart w:id="22" w:name="_Hlk164960028"/>
      <w:r/>
      <w:bookmarkStart w:id="23" w:name="_Hlk168491149"/>
      <w:r/>
      <w:bookmarkStart w:id="24" w:name="_Hlk168491228"/>
      <w:r>
        <w:rPr>
          <w:rFonts w:hint="eastAsia" w:cs="宋体" w:asciiTheme="minorEastAsia" w:hAnsiTheme="minorEastAsia" w:eastAsiaTheme="minorEastAsia"/>
          <w:bCs/>
          <w:color w:val="auto"/>
          <w:szCs w:val="21"/>
          <w:highlight w:val="none"/>
        </w:rPr>
        <w:t xml:space="preserve">方式：</w:t>
      </w:r>
      <w:bookmarkEnd w:id="21"/>
      <w:r/>
      <w:bookmarkStart w:id="25" w:name="_Hlk168492824"/>
      <w:r/>
      <w:bookmarkStart w:id="26" w:name="_Hlk163662034"/>
      <w:r/>
      <w:bookmarkStart w:id="27" w:name="_Hlk95487722"/>
      <w:r>
        <w:rPr>
          <w:rFonts w:hint="eastAsia" w:cs="宋体" w:asciiTheme="minorEastAsia" w:hAnsiTheme="minorEastAsia" w:eastAsiaTheme="minorEastAsia"/>
          <w:bCs/>
          <w:color w:val="auto"/>
          <w:szCs w:val="21"/>
          <w:highlight w:val="none"/>
        </w:rPr>
        <w:t xml:space="preserve">投标人登录江苏政府采购网，在网站首页点击“苏采云”系统自行免费下载</w:t>
      </w:r>
      <w:bookmarkEnd w:id="17"/>
      <w:r/>
      <w:bookmarkEnd w:id="22"/>
      <w:r/>
      <w:bookmarkEnd w:id="23"/>
      <w:r/>
      <w:bookmarkEnd w:id="24"/>
      <w:r/>
      <w:bookmarkEnd w:id="25"/>
      <w:r/>
      <w:bookmarkEnd w:id="26"/>
      <w:r/>
      <w:r/>
    </w:p>
    <w:p>
      <w:pPr>
        <w:ind w:firstLine="420"/>
        <w:spacing w:line="360" w:lineRule="auto"/>
        <w:rPr>
          <w:rFonts w:hint="eastAsia" w:cs="宋体" w:asciiTheme="minorEastAsia" w:hAnsiTheme="minorEastAsia" w:eastAsiaTheme="minorEastAsia"/>
          <w:bCs/>
          <w:color w:val="auto"/>
          <w:szCs w:val="21"/>
          <w:highlight w:val="none"/>
        </w:rPr>
      </w:pPr>
      <w:r/>
      <w:bookmarkStart w:id="28" w:name="_Hlk128043211"/>
      <w:r>
        <w:rPr>
          <w:rFonts w:hint="eastAsia" w:cs="宋体" w:asciiTheme="minorEastAsia" w:hAnsiTheme="minorEastAsia" w:eastAsiaTheme="minorEastAsia"/>
          <w:bCs/>
          <w:color w:val="auto"/>
          <w:szCs w:val="21"/>
          <w:highlight w:val="none"/>
        </w:rPr>
        <w:t xml:space="preserve">售价：0元</w:t>
      </w:r>
      <w:bookmarkEnd w:id="16"/>
      <w:r/>
      <w:bookmarkEnd w:id="18"/>
      <w:r/>
      <w:bookmarkEnd w:id="27"/>
      <w:r/>
      <w:bookmarkEnd w:id="28"/>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highlight w:val="none"/>
        </w:rPr>
      </w:pPr>
      <w:r>
        <w:rPr>
          <w:rFonts w:cs="Arial" w:asciiTheme="minorEastAsia" w:hAnsiTheme="minorEastAsia" w:eastAsiaTheme="minorEastAsia"/>
          <w:b/>
          <w:color w:val="auto"/>
          <w:szCs w:val="21"/>
          <w:highlight w:val="none"/>
        </w:rPr>
        <w:t xml:space="preserve">四、</w:t>
      </w:r>
      <w:bookmarkStart w:id="29" w:name="_Hlk44579106"/>
      <w:r>
        <w:rPr>
          <w:rFonts w:hint="eastAsia" w:cs="Arial" w:asciiTheme="minorEastAsia" w:hAnsiTheme="minorEastAsia" w:eastAsiaTheme="minorEastAsia"/>
          <w:b/>
          <w:color w:val="auto"/>
          <w:szCs w:val="21"/>
          <w:highlight w:val="none"/>
        </w:rPr>
        <w:t xml:space="preserve">提交投标文件截止时间、开标时间和地点</w:t>
      </w:r>
      <w:bookmarkEnd w:id="29"/>
      <w:r/>
      <w:r/>
    </w:p>
    <w:p>
      <w:pPr>
        <w:ind w:firstLine="452"/>
        <w:jc w:val="left"/>
        <w:spacing w:line="360" w:lineRule="auto"/>
        <w:shd w:val="clear" w:color="auto" w:fill="ffffff"/>
        <w:widowControl/>
        <w:rPr>
          <w:rFonts w:hint="eastAsia" w:cs="Arial" w:asciiTheme="minorEastAsia" w:hAnsiTheme="minorEastAsia" w:eastAsiaTheme="minorEastAsia"/>
          <w:color w:val="auto"/>
          <w:szCs w:val="21"/>
          <w:highlight w:val="none"/>
        </w:rPr>
      </w:pPr>
      <w:r/>
      <w:bookmarkStart w:id="30" w:name="_Hlk44575721"/>
      <w:r>
        <w:rPr>
          <w:rFonts w:hint="eastAsia" w:cs="Arial" w:asciiTheme="minorEastAsia" w:hAnsiTheme="minorEastAsia" w:eastAsiaTheme="minorEastAsia"/>
          <w:color w:val="auto"/>
          <w:spacing w:val="8"/>
          <w:szCs w:val="21"/>
          <w:highlight w:val="none"/>
          <w:lang w:val="en-US" w:eastAsia="zh-CN"/>
        </w:rPr>
        <w:t xml:space="preserve">2026年7月3日</w:t>
      </w:r>
      <w:r>
        <w:rPr>
          <w:rFonts w:hint="eastAsia" w:cs="Arial" w:asciiTheme="minorEastAsia" w:hAnsiTheme="minorEastAsia" w:eastAsiaTheme="minorEastAsia"/>
          <w:color w:val="auto"/>
          <w:spacing w:val="8"/>
          <w:szCs w:val="21"/>
          <w:highlight w:val="none"/>
        </w:rPr>
        <w:t xml:space="preserve"> </w:t>
      </w:r>
      <w:r>
        <w:rPr>
          <w:rFonts w:hint="eastAsia" w:cs="Arial" w:asciiTheme="minorEastAsia" w:hAnsiTheme="minorEastAsia" w:eastAsiaTheme="minorEastAsia"/>
          <w:color w:val="auto"/>
          <w:spacing w:val="8"/>
          <w:szCs w:val="21"/>
          <w:highlight w:val="none"/>
          <w:lang w:val="en-US" w:eastAsia="zh-CN"/>
        </w:rPr>
        <w:t xml:space="preserve">9</w:t>
      </w:r>
      <w:r>
        <w:rPr>
          <w:rFonts w:hint="eastAsia" w:cs="Arial" w:asciiTheme="minorEastAsia" w:hAnsiTheme="minorEastAsia" w:eastAsiaTheme="minorEastAsia"/>
          <w:color w:val="auto"/>
          <w:spacing w:val="8"/>
          <w:szCs w:val="21"/>
          <w:highlight w:val="none"/>
        </w:rPr>
        <w:t xml:space="preserve">:</w:t>
      </w:r>
      <w:r>
        <w:rPr>
          <w:rFonts w:hint="eastAsia" w:cs="Arial" w:asciiTheme="minorEastAsia" w:hAnsiTheme="minorEastAsia" w:eastAsiaTheme="minorEastAsia"/>
          <w:color w:val="auto"/>
          <w:spacing w:val="8"/>
          <w:szCs w:val="21"/>
          <w:highlight w:val="none"/>
          <w:lang w:val="en-US" w:eastAsia="zh-CN"/>
        </w:rPr>
        <w:t xml:space="preserve">3</w:t>
      </w:r>
      <w:r>
        <w:rPr>
          <w:rFonts w:hint="eastAsia" w:cs="Arial" w:asciiTheme="minorEastAsia" w:hAnsiTheme="minorEastAsia" w:eastAsiaTheme="minorEastAsia"/>
          <w:color w:val="auto"/>
          <w:spacing w:val="8"/>
          <w:szCs w:val="21"/>
          <w:highlight w:val="none"/>
        </w:rPr>
        <w:t xml:space="preserve">0</w:t>
      </w:r>
      <w:bookmarkEnd w:id="30"/>
      <w:r>
        <w:rPr>
          <w:rFonts w:hint="eastAsia" w:cs="Arial" w:asciiTheme="minorEastAsia" w:hAnsiTheme="minorEastAsia" w:eastAsiaTheme="minorEastAsia"/>
          <w:color w:val="auto"/>
          <w:szCs w:val="21"/>
          <w:highlight w:val="none"/>
        </w:rPr>
        <w:t xml:space="preserve">  （北京时间）</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地点</w:t>
      </w:r>
      <w:bookmarkStart w:id="31" w:name="_Hlk176530129"/>
      <w:r>
        <w:rPr>
          <w:rFonts w:hint="eastAsia" w:cs="Arial" w:asciiTheme="minorEastAsia" w:hAnsiTheme="minorEastAsia" w:eastAsiaTheme="minorEastAsia"/>
          <w:color w:val="auto"/>
          <w:szCs w:val="21"/>
          <w:highlight w:val="none"/>
        </w:rPr>
        <w:t xml:space="preserve">：</w:t>
      </w:r>
      <w:r>
        <w:rPr>
          <w:rFonts w:hint="eastAsia" w:cs="Arial" w:asciiTheme="minorEastAsia" w:hAnsiTheme="minorEastAsia" w:eastAsiaTheme="minorEastAsia"/>
          <w:color w:val="auto"/>
          <w:spacing w:val="8"/>
          <w:szCs w:val="21"/>
          <w:highlight w:val="none"/>
        </w:rPr>
        <w:t xml:space="preserve">“</w:t>
      </w:r>
      <w:r>
        <w:rPr>
          <w:rFonts w:hint="eastAsia" w:cs="宋体" w:asciiTheme="minorEastAsia" w:hAnsiTheme="minorEastAsia" w:eastAsiaTheme="minorEastAsia"/>
          <w:color w:val="auto"/>
          <w:szCs w:val="21"/>
          <w:highlight w:val="none"/>
        </w:rPr>
        <w:t xml:space="preserve">苏采云”系统</w:t>
      </w:r>
      <w:r>
        <w:rPr>
          <w:rFonts w:hint="eastAsia" w:cs="宋体" w:asciiTheme="minorEastAsia" w:hAnsiTheme="minorEastAsia" w:eastAsiaTheme="minorEastAsia"/>
          <w:color w:val="auto"/>
          <w:szCs w:val="21"/>
          <w:highlight w:val="none"/>
        </w:rPr>
        <w:t xml:space="preserve">开标大厅</w:t>
      </w:r>
      <w:bookmarkEnd w:id="31"/>
      <w:r/>
      <w:r/>
    </w:p>
    <w:p>
      <w:pPr>
        <w:ind w:firstLine="422"/>
        <w:jc w:val="left"/>
        <w:spacing w:line="360" w:lineRule="auto"/>
        <w:shd w:val="clear" w:color="auto" w:fill="ffffff"/>
        <w:widowControl/>
        <w:rPr>
          <w:rFonts w:hint="eastAsia" w:cs="Arial" w:asciiTheme="minorEastAsia" w:hAnsiTheme="minorEastAsia" w:eastAsiaTheme="minorEastAsia"/>
          <w:b/>
          <w:bCs/>
          <w:color w:val="auto"/>
          <w:szCs w:val="21"/>
          <w:highlight w:val="none"/>
        </w:rPr>
      </w:pPr>
      <w:r>
        <w:rPr>
          <w:rFonts w:hint="eastAsia" w:cs="Arial" w:asciiTheme="minorEastAsia" w:hAnsiTheme="minorEastAsia" w:eastAsiaTheme="minorEastAsia"/>
          <w:b/>
          <w:bCs/>
          <w:color w:val="auto"/>
          <w:szCs w:val="21"/>
          <w:highlight w:val="none"/>
        </w:rPr>
        <w:t xml:space="preserve">五</w:t>
      </w:r>
      <w:r>
        <w:rPr>
          <w:rFonts w:cs="Arial" w:asciiTheme="minorEastAsia" w:hAnsiTheme="minorEastAsia" w:eastAsiaTheme="minorEastAsia"/>
          <w:b/>
          <w:bCs/>
          <w:color w:val="auto"/>
          <w:szCs w:val="21"/>
          <w:highlight w:val="none"/>
        </w:rPr>
        <w:t xml:space="preserve">、公告期限</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自本公告发布之日起</w:t>
      </w:r>
      <w:r>
        <w:rPr>
          <w:rFonts w:hint="eastAsia" w:cs="Arial" w:asciiTheme="minorEastAsia" w:hAnsiTheme="minorEastAsia" w:eastAsiaTheme="minorEastAsia"/>
          <w:color w:val="auto"/>
          <w:szCs w:val="21"/>
          <w:highlight w:val="none"/>
        </w:rPr>
        <w:t xml:space="preserve">5</w:t>
      </w:r>
      <w:r>
        <w:rPr>
          <w:rFonts w:cs="Arial" w:asciiTheme="minorEastAsia" w:hAnsiTheme="minorEastAsia" w:eastAsiaTheme="minorEastAsia"/>
          <w:color w:val="auto"/>
          <w:szCs w:val="21"/>
          <w:highlight w:val="none"/>
        </w:rPr>
        <w:t xml:space="preserve">个工作日。</w:t>
      </w:r>
      <w:r/>
    </w:p>
    <w:p>
      <w:pPr>
        <w:ind w:firstLine="422"/>
        <w:jc w:val="left"/>
        <w:spacing w:line="360" w:lineRule="auto"/>
        <w:shd w:val="clear" w:color="auto" w:fill="ffffff"/>
        <w:widowControl/>
        <w:rPr>
          <w:rFonts w:hint="eastAsia" w:cs="Arial" w:asciiTheme="minorEastAsia" w:hAnsiTheme="minorEastAsia" w:eastAsiaTheme="minorEastAsia"/>
          <w:b/>
          <w:bCs/>
          <w:color w:val="auto"/>
          <w:szCs w:val="21"/>
          <w:highlight w:val="none"/>
        </w:rPr>
      </w:pPr>
      <w:r>
        <w:rPr>
          <w:rFonts w:hint="eastAsia" w:cs="Arial" w:asciiTheme="minorEastAsia" w:hAnsiTheme="minorEastAsia" w:eastAsiaTheme="minorEastAsia"/>
          <w:b/>
          <w:bCs/>
          <w:color w:val="auto"/>
          <w:szCs w:val="21"/>
          <w:highlight w:val="none"/>
          <w:lang w:val="zh-CN"/>
        </w:rPr>
        <w:t xml:space="preserve">六</w:t>
      </w:r>
      <w:r>
        <w:rPr>
          <w:rFonts w:cs="Arial" w:asciiTheme="minorEastAsia" w:hAnsiTheme="minorEastAsia" w:eastAsiaTheme="minorEastAsia"/>
          <w:b/>
          <w:bCs/>
          <w:color w:val="auto"/>
          <w:szCs w:val="21"/>
          <w:highlight w:val="none"/>
        </w:rPr>
        <w:t xml:space="preserve">、其他补充事宜</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1.</w:t>
      </w:r>
      <w:r>
        <w:rPr>
          <w:rFonts w:hint="eastAsia"/>
          <w:color w:val="auto"/>
          <w:highlight w:val="none"/>
        </w:rPr>
        <w:t xml:space="preserve"> </w:t>
      </w:r>
      <w:r>
        <w:rPr>
          <w:rFonts w:hint="eastAsia" w:cs="Arial" w:asciiTheme="minorEastAsia" w:hAnsiTheme="minorEastAsia" w:eastAsiaTheme="minorEastAsia"/>
          <w:bCs/>
          <w:color w:val="auto"/>
          <w:szCs w:val="21"/>
          <w:highlight w:val="none"/>
        </w:rPr>
        <w:t xml:space="preserve">公告发布媒体：本项目在</w:t>
      </w:r>
      <w:r>
        <w:rPr>
          <w:rFonts w:hint="eastAsia" w:ascii="宋体" w:hAnsi="宋体" w:cs="Arial"/>
          <w:b/>
          <w:color w:val="auto"/>
          <w:szCs w:val="21"/>
          <w:highlight w:val="none"/>
        </w:rPr>
        <w:t xml:space="preserve">南京公共采购信息网、江苏政府采购网、中国政府采购网</w:t>
      </w:r>
      <w:r>
        <w:rPr>
          <w:rFonts w:hint="eastAsia" w:cs="Arial" w:asciiTheme="minorEastAsia" w:hAnsiTheme="minorEastAsia" w:eastAsiaTheme="minorEastAsia"/>
          <w:bCs/>
          <w:color w:val="auto"/>
          <w:szCs w:val="21"/>
          <w:highlight w:val="none"/>
        </w:rPr>
        <w:t xml:space="preserve">发布公告（其他媒体转载无效）。</w:t>
      </w:r>
      <w:r/>
    </w:p>
    <w:p>
      <w:pPr>
        <w:ind w:firstLine="420"/>
        <w:jc w:val="left"/>
        <w:spacing w:line="440" w:lineRule="exact"/>
        <w:shd w:val="clear" w:color="auto" w:fill="auto"/>
        <w:widowControl/>
        <w:rPr>
          <w:rFonts w:hint="eastAsia" w:cs="Arial" w:asciiTheme="minorEastAsia" w:hAnsiTheme="minorEastAsia" w:eastAsiaTheme="minorEastAsia"/>
          <w:bCs/>
          <w:color w:val="auto"/>
          <w:szCs w:val="24"/>
          <w:highlight w:val="none"/>
        </w:rPr>
      </w:pPr>
      <w:r>
        <w:rPr>
          <w:rFonts w:hint="eastAsia" w:cs="Arial" w:asciiTheme="minorEastAsia" w:hAnsiTheme="minorEastAsia" w:eastAsiaTheme="minorEastAsia"/>
          <w:bCs/>
          <w:color w:val="auto"/>
          <w:szCs w:val="21"/>
          <w:highlight w:val="none"/>
        </w:rPr>
        <w:t xml:space="preserve">2.</w:t>
      </w:r>
      <w:r>
        <w:rPr>
          <w:rFonts w:hint="eastAsia" w:asciiTheme="minorEastAsia" w:hAnsiTheme="minorEastAsia" w:eastAsiaTheme="minorEastAsia"/>
          <w:color w:val="auto"/>
          <w:highlight w:val="none"/>
          <w:shd w:val="clear" w:color="auto" w:fill="ffffff"/>
        </w:rPr>
        <w:t xml:space="preserve"> 本项目根据中小企业划型标准</w:t>
      </w:r>
      <w:r>
        <w:rPr>
          <w:rFonts w:hint="eastAsia" w:cs="Arial" w:asciiTheme="minorEastAsia" w:hAnsiTheme="minorEastAsia" w:eastAsiaTheme="minorEastAsia"/>
          <w:bCs/>
          <w:color w:val="auto"/>
          <w:szCs w:val="21"/>
          <w:highlight w:val="none"/>
        </w:rPr>
        <w:t xml:space="preserve">属于：</w:t>
      </w:r>
      <w:r>
        <w:rPr>
          <w:rFonts w:hint="eastAsia" w:cs="Arial" w:asciiTheme="minorEastAsia" w:hAnsiTheme="minorEastAsia" w:eastAsiaTheme="minorEastAsia"/>
          <w:bCs/>
          <w:color w:val="auto"/>
          <w:szCs w:val="21"/>
          <w:highlight w:val="none"/>
          <w:lang w:val="en-US" w:eastAsia="zh-CN"/>
        </w:rPr>
        <w:t xml:space="preserve">工业</w:t>
      </w:r>
      <w:r>
        <w:rPr>
          <w:rFonts w:hint="eastAsia" w:cs="Arial" w:asciiTheme="minorEastAsia" w:hAnsiTheme="minorEastAsia" w:eastAsiaTheme="minorEastAsia"/>
          <w:bCs/>
          <w:color w:val="auto"/>
          <w:szCs w:val="21"/>
          <w:highlight w:val="none"/>
        </w:rPr>
        <w:t xml:space="preserve">。</w:t>
      </w:r>
      <w:r/>
    </w:p>
    <w:p>
      <w:pPr>
        <w:ind w:firstLine="420"/>
        <w:jc w:val="left"/>
        <w:spacing w:line="360" w:lineRule="auto"/>
        <w:rPr>
          <w:rFonts w:hint="eastAsia" w:cs="Arial" w:asciiTheme="minorEastAsia" w:hAnsiTheme="minorEastAsia" w:eastAsiaTheme="minorEastAsia"/>
          <w:bCs/>
          <w:color w:val="auto"/>
          <w:szCs w:val="21"/>
          <w:highlight w:val="none"/>
          <w:lang w:val="en-US" w:eastAsia="zh-CN"/>
        </w:rPr>
      </w:pPr>
      <w:r>
        <w:rPr>
          <w:rFonts w:hint="eastAsia" w:cs="Arial" w:asciiTheme="minorEastAsia" w:hAnsiTheme="minorEastAsia" w:eastAsiaTheme="minorEastAsia"/>
          <w:bCs/>
          <w:color w:val="auto"/>
          <w:szCs w:val="21"/>
          <w:highlight w:val="none"/>
          <w:lang w:val="en-US" w:eastAsia="zh-CN"/>
        </w:rPr>
        <w:t xml:space="preserve">3. 本项目不专门面向中小微企业采购，执行价格扣除优惠政策，具体内容详见招标文件第二章政策功能。</w:t>
      </w:r>
      <w:r/>
    </w:p>
    <w:p>
      <w:pPr>
        <w:ind w:firstLine="420"/>
        <w:jc w:val="left"/>
        <w:spacing w:line="360" w:lineRule="auto"/>
        <w:rPr>
          <w:rFonts w:hint="eastAsia" w:cs="Arial" w:asciiTheme="minorEastAsia" w:hAnsiTheme="minorEastAsia" w:eastAsiaTheme="minorEastAsia"/>
          <w:color w:val="auto"/>
          <w:szCs w:val="21"/>
          <w:highlight w:val="none"/>
          <w:u w:val="single"/>
        </w:rPr>
      </w:pPr>
      <w:r>
        <w:rPr>
          <w:rFonts w:hint="eastAsia" w:cs="Arial" w:asciiTheme="minorEastAsia" w:hAnsiTheme="minorEastAsia" w:eastAsiaTheme="minorEastAsia"/>
          <w:bCs/>
          <w:color w:val="auto"/>
          <w:szCs w:val="21"/>
          <w:highlight w:val="none"/>
          <w:lang w:val="en-US" w:eastAsia="zh-CN"/>
        </w:rPr>
        <w:t xml:space="preserve">4</w:t>
      </w:r>
      <w:r>
        <w:rPr>
          <w:rFonts w:hint="eastAsia" w:cs="Arial" w:asciiTheme="minorEastAsia" w:hAnsiTheme="minorEastAsia" w:eastAsiaTheme="minorEastAsia"/>
          <w:bCs/>
          <w:color w:val="auto"/>
          <w:szCs w:val="21"/>
          <w:highlight w:val="none"/>
        </w:rPr>
        <w:t xml:space="preserve">. </w:t>
      </w:r>
      <w:r>
        <w:rPr>
          <w:rFonts w:cs="Arial" w:asciiTheme="minorEastAsia" w:hAnsiTheme="minorEastAsia" w:eastAsiaTheme="minorEastAsia"/>
          <w:bCs/>
          <w:color w:val="auto"/>
          <w:szCs w:val="21"/>
          <w:highlight w:val="none"/>
        </w:rPr>
        <w:t xml:space="preserve">勘察现场或答疑：</w:t>
      </w:r>
      <w:r>
        <w:rPr>
          <w:rFonts w:hint="eastAsia" w:cs="Arial" w:asciiTheme="minorEastAsia" w:hAnsiTheme="minorEastAsia" w:eastAsiaTheme="minorEastAsia"/>
          <w:bCs/>
          <w:color w:val="auto"/>
          <w:szCs w:val="21"/>
          <w:highlight w:val="none"/>
        </w:rPr>
        <w:t xml:space="preserve">采购人不统一组织，有需要的投标人可自行勘察。</w:t>
      </w:r>
      <w:r>
        <w:rPr>
          <w:rFonts w:hint="eastAsia" w:cs="Arial" w:asciiTheme="minorEastAsia" w:hAnsiTheme="minorEastAsia" w:eastAsiaTheme="minorEastAsia"/>
          <w:bCs/>
          <w:color w:val="auto"/>
          <w:szCs w:val="21"/>
          <w:highlight w:val="none"/>
          <w:lang w:val="en-US" w:eastAsia="zh-CN"/>
        </w:rPr>
        <w:t xml:space="preserve">  </w:t>
      </w:r>
      <w:r/>
    </w:p>
    <w:p>
      <w:pPr>
        <w:ind w:firstLine="422"/>
        <w:jc w:val="left"/>
        <w:spacing w:line="360" w:lineRule="auto"/>
        <w:shd w:val="clear" w:color="auto" w:fill="ffffff"/>
        <w:widowControl/>
        <w:rPr>
          <w:rFonts w:hint="eastAsia" w:cs="Arial" w:asciiTheme="minorEastAsia" w:hAnsiTheme="minorEastAsia" w:eastAsiaTheme="minorEastAsia"/>
          <w:b/>
          <w:bCs/>
          <w:color w:val="auto"/>
          <w:szCs w:val="21"/>
          <w:highlight w:val="none"/>
          <w:lang w:val="zh-CN"/>
        </w:rPr>
      </w:pPr>
      <w:r/>
      <w:bookmarkStart w:id="32" w:name="_Hlk163569423"/>
      <w:r>
        <w:rPr>
          <w:rFonts w:hint="eastAsia" w:cs="Arial" w:asciiTheme="minorEastAsia" w:hAnsiTheme="minorEastAsia" w:eastAsiaTheme="minorEastAsia"/>
          <w:b/>
          <w:bCs/>
          <w:color w:val="auto"/>
          <w:szCs w:val="21"/>
          <w:highlight w:val="none"/>
          <w:lang w:val="en-US" w:eastAsia="zh-CN"/>
        </w:rPr>
        <w:t xml:space="preserve">5.</w:t>
      </w:r>
      <w:r>
        <w:rPr>
          <w:rFonts w:hint="eastAsia" w:cs="Arial" w:asciiTheme="minorEastAsia" w:hAnsiTheme="minorEastAsia" w:eastAsiaTheme="minorEastAsia"/>
          <w:b/>
          <w:bCs/>
          <w:color w:val="auto"/>
          <w:szCs w:val="21"/>
          <w:highlight w:val="none"/>
          <w:lang w:val="zh-CN"/>
        </w:rPr>
        <w:t xml:space="preserve"> 拒绝下述投标人参加本次采购活动</w:t>
      </w:r>
      <w:r/>
    </w:p>
    <w:p>
      <w:pPr>
        <w:ind w:firstLine="420"/>
        <w:jc w:val="left"/>
        <w:spacing w:line="360" w:lineRule="auto"/>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（1）投标人</w:t>
      </w:r>
      <w:r>
        <w:rPr>
          <w:rFonts w:cs="Arial" w:asciiTheme="minorEastAsia" w:hAnsiTheme="minorEastAsia" w:eastAsiaTheme="minorEastAsia"/>
          <w:bCs/>
          <w:color w:val="auto"/>
          <w:szCs w:val="21"/>
          <w:highlight w:val="none"/>
        </w:rPr>
        <w:t xml:space="preserve">单位负责人为同一人或者存在直接控股、管理关系的不同投标人，不得参加同一合同项下的政府采购活动</w:t>
      </w:r>
      <w:r>
        <w:rPr>
          <w:rFonts w:hint="eastAsia" w:cs="Arial" w:asciiTheme="minorEastAsia" w:hAnsiTheme="minorEastAsia" w:eastAsiaTheme="minorEastAsia"/>
          <w:bCs/>
          <w:color w:val="auto"/>
          <w:szCs w:val="21"/>
          <w:highlight w:val="none"/>
        </w:rPr>
        <w:t xml:space="preserve">。</w:t>
      </w:r>
      <w:r/>
    </w:p>
    <w:p>
      <w:pPr>
        <w:ind w:firstLine="420"/>
        <w:jc w:val="left"/>
        <w:spacing w:line="360" w:lineRule="auto"/>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（2）</w:t>
      </w:r>
      <w:r>
        <w:rPr>
          <w:rFonts w:cs="Arial" w:asciiTheme="minorEastAsia" w:hAnsiTheme="minorEastAsia" w:eastAsiaTheme="minorEastAsia"/>
          <w:bCs/>
          <w:color w:val="auto"/>
          <w:szCs w:val="21"/>
          <w:highlight w:val="none"/>
        </w:rPr>
        <w:t xml:space="preserve">为采购项目提供整体设计、规范编制或者项目管理、监理、检测等服务的投标人，不得参加</w:t>
      </w:r>
      <w:r>
        <w:rPr>
          <w:rFonts w:hint="eastAsia" w:cs="Arial" w:asciiTheme="minorEastAsia" w:hAnsiTheme="minorEastAsia" w:eastAsiaTheme="minorEastAsia"/>
          <w:bCs/>
          <w:color w:val="auto"/>
          <w:szCs w:val="21"/>
          <w:highlight w:val="none"/>
        </w:rPr>
        <w:t xml:space="preserve">本项目的</w:t>
      </w:r>
      <w:r>
        <w:rPr>
          <w:rFonts w:cs="Arial" w:asciiTheme="minorEastAsia" w:hAnsiTheme="minorEastAsia" w:eastAsiaTheme="minorEastAsia"/>
          <w:bCs/>
          <w:color w:val="auto"/>
          <w:szCs w:val="21"/>
          <w:highlight w:val="none"/>
        </w:rPr>
        <w:t xml:space="preserve">采购活动</w:t>
      </w:r>
      <w:r>
        <w:rPr>
          <w:rFonts w:hint="eastAsia" w:cs="Arial" w:asciiTheme="minorEastAsia" w:hAnsiTheme="minorEastAsia" w:eastAsiaTheme="minorEastAsia"/>
          <w:bCs/>
          <w:color w:val="auto"/>
          <w:szCs w:val="21"/>
          <w:highlight w:val="none"/>
        </w:rPr>
        <w:t xml:space="preserve">。</w:t>
      </w:r>
      <w:r/>
    </w:p>
    <w:p>
      <w:pPr>
        <w:ind w:firstLine="420"/>
        <w:jc w:val="left"/>
        <w:spacing w:line="360" w:lineRule="auto"/>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（3）投标人被“信用中国”网站（www.creditchina.gov.cn）、“中国政府采购网”(www.ccgp.gov.cn)列入失信被执行人、重大税收违法案件当事人名单、政府采购严重违法失信行为记录名单。</w:t>
      </w:r>
      <w:r/>
    </w:p>
    <w:p>
      <w:pPr>
        <w:ind w:firstLine="420"/>
        <w:jc w:val="left"/>
        <w:spacing w:line="360" w:lineRule="auto"/>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（4）投标人未提供《南京市政府采购供应商信用记录表暨信用承诺书》。</w:t>
      </w:r>
      <w:r/>
    </w:p>
    <w:p>
      <w:pPr>
        <w:ind w:firstLine="422"/>
        <w:jc w:val="left"/>
        <w:spacing w:line="360" w:lineRule="auto"/>
        <w:rPr>
          <w:rFonts w:hint="eastAsia" w:cs="Arial" w:asciiTheme="minorEastAsia" w:hAnsiTheme="minorEastAsia" w:eastAsiaTheme="minorEastAsia"/>
          <w:b/>
          <w:color w:val="auto"/>
          <w:szCs w:val="21"/>
          <w:highlight w:val="none"/>
        </w:rPr>
      </w:pPr>
      <w:r>
        <w:rPr>
          <w:rFonts w:hint="eastAsia" w:cs="Arial" w:asciiTheme="minorEastAsia" w:hAnsiTheme="minorEastAsia" w:eastAsiaTheme="minorEastAsia"/>
          <w:b/>
          <w:color w:val="auto"/>
          <w:szCs w:val="21"/>
          <w:highlight w:val="none"/>
          <w:lang w:val="en-US" w:eastAsia="zh-CN"/>
        </w:rPr>
        <w:t xml:space="preserve">6</w:t>
      </w:r>
      <w:r>
        <w:rPr>
          <w:rFonts w:hint="eastAsia" w:cs="Arial" w:asciiTheme="minorEastAsia" w:hAnsiTheme="minorEastAsia" w:eastAsiaTheme="minorEastAsia"/>
          <w:b/>
          <w:color w:val="auto"/>
          <w:szCs w:val="21"/>
          <w:highlight w:val="none"/>
        </w:rPr>
        <w:t xml:space="preserve">.</w:t>
      </w:r>
      <w:r>
        <w:rPr>
          <w:rFonts w:hint="eastAsia" w:cs="宋体" w:asciiTheme="minorEastAsia" w:hAnsiTheme="minorEastAsia" w:eastAsiaTheme="minorEastAsia"/>
          <w:b/>
          <w:color w:val="auto"/>
          <w:sz w:val="28"/>
          <w:szCs w:val="28"/>
          <w:highlight w:val="none"/>
        </w:rPr>
        <w:t xml:space="preserve"> </w:t>
      </w:r>
      <w:bookmarkStart w:id="33" w:name="OLE_LINK17"/>
      <w:r>
        <w:rPr>
          <w:rFonts w:hint="eastAsia" w:cs="Arial" w:asciiTheme="minorEastAsia" w:hAnsiTheme="minorEastAsia" w:eastAsiaTheme="minorEastAsia"/>
          <w:b/>
          <w:color w:val="auto"/>
          <w:szCs w:val="21"/>
          <w:highlight w:val="none"/>
        </w:rPr>
        <w:t xml:space="preserve">投标人</w:t>
      </w:r>
      <w:bookmarkEnd w:id="33"/>
      <w:r>
        <w:rPr>
          <w:rFonts w:hint="eastAsia" w:cs="Arial" w:asciiTheme="minorEastAsia" w:hAnsiTheme="minorEastAsia" w:eastAsiaTheme="minorEastAsia"/>
          <w:b/>
          <w:color w:val="auto"/>
          <w:szCs w:val="21"/>
          <w:highlight w:val="none"/>
        </w:rPr>
        <w:t xml:space="preserve">通过苏采云系统参与政府采购项目，需要办理江苏省政府采购数字证书及电子签章，具体详见苏采云系统登录页“新CA办理指南”。投标人按《苏采云系统供应商操作手册》（以下简称“操作手册”）进行注册，并制作上传电子投标文件。《操作手册》</w:t>
      </w:r>
      <w:r>
        <w:rPr>
          <w:color w:val="auto"/>
          <w:highlight w:val="none"/>
        </w:rPr>
        <w:fldChar w:fldCharType="begin"/>
      </w:r>
      <w:r>
        <w:rPr>
          <w:color w:val="auto"/>
          <w:highlight w:val="none"/>
        </w:rPr>
        <w:instrText xml:space="preserve"> HYPERLINK "http://www.ccgp-jiangsu.gov.cn/jiangsu/zlxz/ee/ee3a4bc5a3454aa2b0d9312230633ce9.html" </w:instrText>
      </w:r>
      <w:r>
        <w:rPr>
          <w:color w:val="auto"/>
          <w:highlight w:val="none"/>
        </w:rPr>
        <w:fldChar w:fldCharType="separate"/>
      </w:r>
      <w:r>
        <w:rPr>
          <w:rStyle w:val="938"/>
          <w:rFonts w:hint="eastAsia" w:cs="Arial" w:asciiTheme="minorEastAsia" w:hAnsiTheme="minorEastAsia" w:eastAsiaTheme="minorEastAsia"/>
          <w:b/>
          <w:color w:val="auto"/>
          <w:szCs w:val="21"/>
          <w:highlight w:val="none"/>
        </w:rPr>
        <w:t xml:space="preserve">下载地址</w:t>
      </w:r>
      <w:r>
        <w:rPr>
          <w:rStyle w:val="938"/>
          <w:rFonts w:hint="eastAsia" w:cs="Arial" w:asciiTheme="minorEastAsia" w:hAnsiTheme="minorEastAsia" w:eastAsiaTheme="minorEastAsia"/>
          <w:b/>
          <w:color w:val="auto"/>
          <w:szCs w:val="21"/>
          <w:highlight w:val="none"/>
        </w:rPr>
        <w:fldChar w:fldCharType="end"/>
      </w:r>
      <w:r>
        <w:rPr>
          <w:rFonts w:hint="eastAsia" w:cs="Arial" w:asciiTheme="minorEastAsia" w:hAnsiTheme="minorEastAsia" w:eastAsiaTheme="minorEastAsia"/>
          <w:b/>
          <w:color w:val="auto"/>
          <w:szCs w:val="21"/>
          <w:highlight w:val="none"/>
        </w:rPr>
        <w:t xml:space="preserve">（</w:t>
      </w:r>
      <w:r>
        <w:rPr>
          <w:rFonts w:cs="Arial" w:asciiTheme="minorEastAsia" w:hAnsiTheme="minorEastAsia" w:eastAsiaTheme="minorEastAsia"/>
          <w:b/>
          <w:color w:val="auto"/>
          <w:szCs w:val="21"/>
          <w:highlight w:val="none"/>
        </w:rPr>
        <w:t xml:space="preserve">http://www.ccgp-jiangsu.gov.cn/jiangsu/zlxz/ee/ee3a4bc5a3454aa2b0d9312230633ce9.html</w:t>
      </w:r>
      <w:r>
        <w:rPr>
          <w:rFonts w:hint="eastAsia" w:cs="Arial" w:asciiTheme="minorEastAsia" w:hAnsiTheme="minorEastAsia" w:eastAsiaTheme="minorEastAsia"/>
          <w:b/>
          <w:color w:val="auto"/>
          <w:szCs w:val="21"/>
          <w:highlight w:val="none"/>
        </w:rPr>
        <w:t xml:space="preserve">）。</w:t>
      </w:r>
      <w:bookmarkStart w:id="34" w:name="OLE_LINK2"/>
      <w:r>
        <w:rPr>
          <w:rFonts w:hint="eastAsia" w:cs="Arial" w:asciiTheme="minorEastAsia" w:hAnsiTheme="minorEastAsia" w:eastAsiaTheme="minorEastAsia"/>
          <w:b/>
          <w:color w:val="auto"/>
          <w:szCs w:val="21"/>
          <w:highlight w:val="none"/>
        </w:rPr>
        <w:t xml:space="preserve">“苏采云”南京地区客服热线025-83633744、025-83633743。</w:t>
      </w:r>
      <w:bookmarkEnd w:id="34"/>
      <w:r/>
      <w:r/>
    </w:p>
    <w:p>
      <w:pPr>
        <w:ind w:firstLine="420"/>
        <w:jc w:val="left"/>
        <w:spacing w:line="360" w:lineRule="auto"/>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lang w:val="en-US" w:eastAsia="zh-CN"/>
        </w:rPr>
        <w:t xml:space="preserve">7</w:t>
      </w:r>
      <w:r>
        <w:rPr>
          <w:rFonts w:hint="eastAsia" w:cs="Arial" w:asciiTheme="minorEastAsia" w:hAnsiTheme="minorEastAsia" w:eastAsiaTheme="minorEastAsia"/>
          <w:bCs/>
          <w:color w:val="auto"/>
          <w:szCs w:val="21"/>
          <w:highlight w:val="none"/>
        </w:rPr>
        <w:t xml:space="preserve">.有关本次招标的事项若存在变动或修改，请及时关注“江苏政府采购网”（www.ccgp-jiangsu.gov.cn）更正公告。</w:t>
      </w:r>
      <w:r/>
    </w:p>
    <w:p>
      <w:pPr>
        <w:ind w:firstLine="422"/>
        <w:jc w:val="left"/>
        <w:spacing w:line="360" w:lineRule="auto"/>
        <w:rPr>
          <w:rFonts w:hint="eastAsia" w:cs="Arial" w:asciiTheme="minorEastAsia" w:hAnsiTheme="minorEastAsia" w:eastAsiaTheme="minorEastAsia"/>
          <w:b/>
          <w:color w:val="auto"/>
          <w:szCs w:val="21"/>
          <w:highlight w:val="none"/>
        </w:rPr>
      </w:pPr>
      <w:r>
        <w:rPr>
          <w:rFonts w:hint="eastAsia" w:cs="Arial" w:asciiTheme="minorEastAsia" w:hAnsiTheme="minorEastAsia" w:eastAsiaTheme="minorEastAsia"/>
          <w:b/>
          <w:color w:val="auto"/>
          <w:szCs w:val="21"/>
          <w:highlight w:val="none"/>
          <w:lang w:val="en-US" w:eastAsia="zh-CN"/>
        </w:rPr>
        <w:t xml:space="preserve">8</w:t>
      </w:r>
      <w:r>
        <w:rPr>
          <w:rFonts w:cs="Arial" w:asciiTheme="minorEastAsia" w:hAnsiTheme="minorEastAsia" w:eastAsiaTheme="minorEastAsia"/>
          <w:b/>
          <w:color w:val="auto"/>
          <w:szCs w:val="21"/>
          <w:highlight w:val="none"/>
        </w:rPr>
        <w:t xml:space="preserve">.</w:t>
      </w:r>
      <w:r>
        <w:rPr>
          <w:rFonts w:asciiTheme="minorEastAsia" w:hAnsiTheme="minorEastAsia" w:eastAsiaTheme="minorEastAsia"/>
          <w:b/>
          <w:color w:val="auto"/>
          <w:highlight w:val="none"/>
        </w:rPr>
        <w:t xml:space="preserve"> </w:t>
      </w:r>
      <w:bookmarkStart w:id="35" w:name="_Hlk167286560"/>
      <w:r>
        <w:rPr>
          <w:rFonts w:hint="eastAsia" w:cs="Arial" w:asciiTheme="minorEastAsia" w:hAnsiTheme="minorEastAsia" w:eastAsiaTheme="minorEastAsia"/>
          <w:b/>
          <w:color w:val="auto"/>
          <w:szCs w:val="21"/>
          <w:highlight w:val="none"/>
        </w:rPr>
        <w:t xml:space="preserve">政府采购信用承诺</w:t>
      </w:r>
      <w:bookmarkEnd w:id="35"/>
      <w:r/>
      <w:r/>
    </w:p>
    <w:p>
      <w:pPr>
        <w:ind w:firstLine="420"/>
        <w:jc w:val="left"/>
        <w:spacing w:line="360" w:lineRule="auto"/>
        <w:rPr>
          <w:rFonts w:hint="eastAsia" w:asciiTheme="minorEastAsia" w:hAnsiTheme="minorEastAsia" w:eastAsiaTheme="minorEastAsia"/>
          <w:color w:val="auto"/>
          <w:szCs w:val="21"/>
          <w:highlight w:val="none"/>
        </w:rPr>
      </w:pPr>
      <w:r/>
      <w:bookmarkStart w:id="36" w:name="_Hlk167286571"/>
      <w:r>
        <w:rPr>
          <w:rFonts w:asciiTheme="minorEastAsia" w:hAnsiTheme="minorEastAsia" w:eastAsiaTheme="minorEastAsia"/>
          <w:color w:val="auto"/>
          <w:szCs w:val="21"/>
          <w:highlight w:val="none"/>
        </w:rPr>
        <w:t xml:space="preserve">根据《关于在政府采购活动中推行信用承诺制的通知》宁财购通〔2021)5号规定，参加南京地区政府采购活动的供应商，应向采购人或政府采购代理机构作出信用承诺。供应商应尽早做好承诺工作，点击</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南京公共采购信息网</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首页(https://njgc.jfh.com/)</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南京市政府采购供应商诚信档案</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系统链接打开系统页面</w:t>
      </w:r>
      <w:r/>
    </w:p>
    <w:p>
      <w:pPr>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http://180.101.238.212:8280/hodeframe2018_cxda/index.action;jsessionid=769BA9C8E1729422E7173B991C8EC1E5）登录(未注册的供应商应先点击</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供应商注册点这里</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并按要求完成注册)，然后在“信用记录”模块页面点击“信用记录打印”下载本单位《南京市政府采购供应商信用记录表暨信用承诺书》，由法人签字并盖单位公章。</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在政府采购资格审查环节，供应商只需提供《南京市政府采购供应商信用记录表暨信用承诺书》，即可替代以下证明材料：</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w:t>
      </w:r>
      <w:r>
        <w:rPr>
          <w:rFonts w:asciiTheme="minorEastAsia" w:hAnsiTheme="minorEastAsia" w:eastAsiaTheme="minorEastAsia"/>
          <w:color w:val="auto"/>
          <w:szCs w:val="21"/>
          <w:highlight w:val="none"/>
        </w:rPr>
        <w:t xml:space="preserve">符合国家相关规定的财务状况报告</w:t>
      </w:r>
      <w:r>
        <w:rPr>
          <w:rFonts w:hint="eastAsia" w:asciiTheme="minorEastAsia" w:hAnsiTheme="minorEastAsia" w:eastAsiaTheme="minorEastAsia"/>
          <w:color w:val="auto"/>
          <w:szCs w:val="21"/>
          <w:highlight w:val="none"/>
        </w:rPr>
        <w:t xml:space="preserve">；</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（2）依法缴纳税收的证明材料；</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w:t>
      </w:r>
      <w:r>
        <w:rPr>
          <w:rFonts w:asciiTheme="minorEastAsia" w:hAnsiTheme="minorEastAsia" w:eastAsiaTheme="minorEastAsia"/>
          <w:color w:val="auto"/>
          <w:szCs w:val="21"/>
          <w:highlight w:val="none"/>
        </w:rPr>
        <w:t xml:space="preserve">依法缴纳社会保障资金的证明材料</w:t>
      </w:r>
      <w:r>
        <w:rPr>
          <w:rFonts w:hint="eastAsia" w:asciiTheme="minorEastAsia" w:hAnsiTheme="minorEastAsia" w:eastAsiaTheme="minorEastAsia"/>
          <w:color w:val="auto"/>
          <w:szCs w:val="21"/>
          <w:highlight w:val="none"/>
        </w:rPr>
        <w:t xml:space="preserve">；</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w:t>
      </w:r>
      <w:r>
        <w:rPr>
          <w:rFonts w:asciiTheme="minorEastAsia" w:hAnsiTheme="minorEastAsia" w:eastAsiaTheme="minorEastAsia"/>
          <w:color w:val="auto"/>
          <w:szCs w:val="21"/>
          <w:highlight w:val="none"/>
        </w:rPr>
        <w:t xml:space="preserve">具备履行政府采购合同所必需的设备和专业技术能力的证明材料</w:t>
      </w:r>
      <w:r>
        <w:rPr>
          <w:rFonts w:hint="eastAsia" w:asciiTheme="minorEastAsia" w:hAnsiTheme="minorEastAsia" w:eastAsiaTheme="minorEastAsia"/>
          <w:color w:val="auto"/>
          <w:szCs w:val="21"/>
          <w:highlight w:val="none"/>
        </w:rPr>
        <w:t xml:space="preserve">；</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（5）</w:t>
      </w:r>
      <w:r>
        <w:rPr>
          <w:rFonts w:asciiTheme="minorEastAsia" w:hAnsiTheme="minorEastAsia" w:eastAsiaTheme="minorEastAsia"/>
          <w:color w:val="auto"/>
          <w:szCs w:val="21"/>
          <w:highlight w:val="none"/>
        </w:rPr>
        <w:t xml:space="preserve">参加政府采购活动前三年内在经营活动中没有重大违法记录的证明材料</w:t>
      </w:r>
      <w:r>
        <w:rPr>
          <w:rFonts w:hint="eastAsia" w:asciiTheme="minorEastAsia" w:hAnsiTheme="minorEastAsia" w:eastAsiaTheme="minorEastAsia"/>
          <w:color w:val="auto"/>
          <w:szCs w:val="21"/>
          <w:highlight w:val="none"/>
        </w:rPr>
        <w:t xml:space="preserve">；</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（6）</w:t>
      </w:r>
      <w:r>
        <w:rPr>
          <w:rFonts w:asciiTheme="minorEastAsia" w:hAnsiTheme="minorEastAsia" w:eastAsiaTheme="minorEastAsia"/>
          <w:color w:val="auto"/>
          <w:szCs w:val="21"/>
          <w:highlight w:val="none"/>
        </w:rPr>
        <w:t xml:space="preserve">未被列入失信被执行人、重大税收违法失信主体、政府采购严重违法失信行为记录名单的证明材料。</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供应商在中标</w:t>
      </w:r>
      <w:r>
        <w:rPr>
          <w:rFonts w:asciiTheme="minorEastAsia" w:hAnsiTheme="minorEastAsia" w:eastAsiaTheme="minorEastAsia"/>
          <w:color w:val="auto"/>
          <w:szCs w:val="21"/>
          <w:highlight w:val="none"/>
        </w:rPr>
        <w:t xml:space="preserve">后，应按招标文件要求，将上述由信用承诺书替代的证明材料</w:t>
      </w:r>
      <w:r>
        <w:rPr>
          <w:rFonts w:hint="eastAsia" w:asciiTheme="minorEastAsia" w:hAnsiTheme="minorEastAsia" w:eastAsiaTheme="minorEastAsia"/>
          <w:color w:val="auto"/>
          <w:szCs w:val="21"/>
          <w:highlight w:val="none"/>
        </w:rPr>
        <w:t xml:space="preserve">（一式两份）加盖公章，</w:t>
      </w:r>
      <w:r>
        <w:rPr>
          <w:rFonts w:asciiTheme="minorEastAsia" w:hAnsiTheme="minorEastAsia" w:eastAsiaTheme="minorEastAsia"/>
          <w:color w:val="auto"/>
          <w:szCs w:val="21"/>
          <w:highlight w:val="none"/>
        </w:rPr>
        <w:t xml:space="preserve">提交采购人或采购代理机构核验。经核验无误后，由采购人或采购代理机构发出中标通知书。</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供应商涉及以下情形的，不适用信用承诺</w:t>
      </w:r>
      <w:r>
        <w:rPr>
          <w:rFonts w:asciiTheme="minorEastAsia" w:hAnsiTheme="minorEastAsia" w:eastAsiaTheme="minorEastAsia"/>
          <w:color w:val="auto"/>
          <w:szCs w:val="21"/>
          <w:highlight w:val="none"/>
        </w:rPr>
        <w:t xml:space="preserve">:</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w:t>
      </w:r>
      <w:r>
        <w:rPr>
          <w:rFonts w:asciiTheme="minorEastAsia" w:hAnsiTheme="minorEastAsia" w:eastAsiaTheme="minorEastAsia"/>
          <w:color w:val="auto"/>
          <w:szCs w:val="21"/>
          <w:highlight w:val="none"/>
        </w:rPr>
        <w:t xml:space="preserve">供应商被列入严重失信主体名单</w:t>
      </w:r>
      <w:r>
        <w:rPr>
          <w:rFonts w:hint="eastAsia" w:asciiTheme="minorEastAsia" w:hAnsiTheme="minorEastAsia" w:eastAsiaTheme="minorEastAsia"/>
          <w:color w:val="auto"/>
          <w:szCs w:val="21"/>
          <w:highlight w:val="none"/>
        </w:rPr>
        <w:t xml:space="preserve">；</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w:t>
      </w:r>
      <w:r>
        <w:rPr>
          <w:rFonts w:asciiTheme="minorEastAsia" w:hAnsiTheme="minorEastAsia" w:eastAsiaTheme="minorEastAsia"/>
          <w:color w:val="auto"/>
          <w:szCs w:val="21"/>
          <w:highlight w:val="none"/>
        </w:rPr>
        <w:t xml:space="preserve">被相关监管部门作出行政处罚且尚在处罚有效期内</w:t>
      </w:r>
      <w:r>
        <w:rPr>
          <w:rFonts w:hint="eastAsia" w:asciiTheme="minorEastAsia" w:hAnsiTheme="minorEastAsia" w:eastAsiaTheme="minorEastAsia"/>
          <w:color w:val="auto"/>
          <w:szCs w:val="21"/>
          <w:highlight w:val="none"/>
        </w:rPr>
        <w:t xml:space="preserve">；</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w:t>
      </w:r>
      <w:r>
        <w:rPr>
          <w:rFonts w:asciiTheme="minorEastAsia" w:hAnsiTheme="minorEastAsia" w:eastAsiaTheme="minorEastAsia"/>
          <w:color w:val="auto"/>
          <w:szCs w:val="21"/>
          <w:highlight w:val="none"/>
        </w:rPr>
        <w:t xml:space="preserve">其他法律、行政法规规定的不适用信用承诺的情形</w:t>
      </w:r>
      <w:r>
        <w:rPr>
          <w:rFonts w:hint="eastAsia" w:asciiTheme="minorEastAsia" w:hAnsiTheme="minorEastAsia" w:eastAsiaTheme="minorEastAsia"/>
          <w:color w:val="auto"/>
          <w:szCs w:val="21"/>
          <w:highlight w:val="none"/>
        </w:rPr>
        <w:t xml:space="preserve">；</w:t>
      </w:r>
      <w:r/>
    </w:p>
    <w:p>
      <w:pPr>
        <w:ind w:firstLine="420"/>
        <w:jc w:val="left"/>
        <w:spacing w:line="360" w:lineRule="auto"/>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供应商对信用承诺内容的真实性、合法性、有效性负责。如作出虚假信用承诺，视同为“提供虚假材料谋取中标、成交”的违法行为</w:t>
      </w:r>
      <w:r>
        <w:rPr>
          <w:rFonts w:hint="eastAsia" w:asciiTheme="minorEastAsia" w:hAnsiTheme="minorEastAsia" w:eastAsiaTheme="minorEastAsia"/>
          <w:color w:val="auto"/>
          <w:szCs w:val="21"/>
          <w:highlight w:val="none"/>
        </w:rPr>
        <w:t xml:space="preserve">。</w:t>
      </w:r>
      <w:bookmarkEnd w:id="32"/>
      <w:r/>
      <w:bookmarkEnd w:id="36"/>
      <w:r/>
      <w:r/>
    </w:p>
    <w:p>
      <w:pPr>
        <w:ind w:firstLine="422"/>
        <w:jc w:val="left"/>
        <w:spacing w:line="360" w:lineRule="auto"/>
        <w:shd w:val="clear" w:color="auto" w:fill="ffffff"/>
        <w:widowControl/>
        <w:rPr>
          <w:rFonts w:hint="eastAsia" w:cs="Arial" w:asciiTheme="minorEastAsia" w:hAnsiTheme="minorEastAsia" w:eastAsiaTheme="minorEastAsia"/>
          <w:b/>
          <w:bCs/>
          <w:color w:val="auto"/>
          <w:szCs w:val="21"/>
          <w:highlight w:val="none"/>
        </w:rPr>
      </w:pPr>
      <w:r>
        <w:rPr>
          <w:rFonts w:hint="eastAsia" w:cs="Arial" w:asciiTheme="minorEastAsia" w:hAnsiTheme="minorEastAsia" w:eastAsiaTheme="minorEastAsia"/>
          <w:b/>
          <w:bCs/>
          <w:color w:val="auto"/>
          <w:szCs w:val="21"/>
          <w:highlight w:val="none"/>
        </w:rPr>
        <w:t xml:space="preserve">七</w:t>
      </w:r>
      <w:r>
        <w:rPr>
          <w:rFonts w:cs="Arial" w:asciiTheme="minorEastAsia" w:hAnsiTheme="minorEastAsia" w:eastAsiaTheme="minorEastAsia"/>
          <w:b/>
          <w:bCs/>
          <w:color w:val="auto"/>
          <w:szCs w:val="21"/>
          <w:highlight w:val="none"/>
        </w:rPr>
        <w:t xml:space="preserve">、对本次</w:t>
      </w:r>
      <w:r>
        <w:rPr>
          <w:rFonts w:hint="eastAsia" w:cs="Arial" w:asciiTheme="minorEastAsia" w:hAnsiTheme="minorEastAsia" w:eastAsiaTheme="minorEastAsia"/>
          <w:b/>
          <w:bCs/>
          <w:color w:val="auto"/>
          <w:szCs w:val="21"/>
          <w:highlight w:val="none"/>
        </w:rPr>
        <w:t xml:space="preserve">招标</w:t>
      </w:r>
      <w:r>
        <w:rPr>
          <w:rFonts w:cs="Arial" w:asciiTheme="minorEastAsia" w:hAnsiTheme="minorEastAsia" w:eastAsiaTheme="minorEastAsia"/>
          <w:b/>
          <w:bCs/>
          <w:color w:val="auto"/>
          <w:szCs w:val="21"/>
          <w:highlight w:val="none"/>
        </w:rPr>
        <w:t xml:space="preserve">提出询问，请按以下方式联系</w:t>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highlight w:val="none"/>
        </w:rPr>
      </w:pPr>
      <w:r>
        <w:rPr>
          <w:rFonts w:hint="eastAsia" w:cs="Arial" w:asciiTheme="minorEastAsia" w:hAnsiTheme="minorEastAsia" w:eastAsiaTheme="minorEastAsia"/>
          <w:b/>
          <w:color w:val="auto"/>
          <w:szCs w:val="21"/>
          <w:highlight w:val="none"/>
        </w:rPr>
        <w:t xml:space="preserve">1.</w:t>
      </w:r>
      <w:r>
        <w:rPr>
          <w:rFonts w:cs="Arial" w:asciiTheme="minorEastAsia" w:hAnsiTheme="minorEastAsia" w:eastAsiaTheme="minorEastAsia"/>
          <w:b/>
          <w:color w:val="auto"/>
          <w:szCs w:val="21"/>
          <w:highlight w:val="none"/>
        </w:rPr>
        <w:t xml:space="preserve">采购人信息</w:t>
      </w:r>
      <w:r/>
    </w:p>
    <w:p>
      <w:pPr>
        <w:ind w:firstLine="420"/>
        <w:jc w:val="left"/>
        <w:spacing w:line="360" w:lineRule="auto"/>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单位名称：南京市教育技术装备中心</w:t>
      </w:r>
      <w:r/>
    </w:p>
    <w:p>
      <w:pPr>
        <w:ind w:firstLine="420"/>
        <w:jc w:val="left"/>
        <w:spacing w:line="360" w:lineRule="auto"/>
        <w:rPr>
          <w:rFonts w:hint="eastAsia" w:cs="Arial" w:asciiTheme="minorEastAsia" w:hAnsiTheme="minorEastAsia" w:eastAsiaTheme="minorEastAsia"/>
          <w:bCs/>
          <w:color w:val="auto"/>
          <w:szCs w:val="21"/>
          <w:highlight w:val="none"/>
          <w:lang w:val="zh-CN"/>
        </w:rPr>
      </w:pPr>
      <w:r>
        <w:rPr>
          <w:rFonts w:hint="eastAsia" w:cs="Arial" w:asciiTheme="minorEastAsia" w:hAnsiTheme="minorEastAsia" w:eastAsiaTheme="minorEastAsia"/>
          <w:bCs/>
          <w:color w:val="auto"/>
          <w:szCs w:val="21"/>
          <w:highlight w:val="none"/>
          <w:lang w:val="zh-CN"/>
        </w:rPr>
        <w:t xml:space="preserve">单位地址：南京市秦淮区马府街18号</w:t>
      </w:r>
      <w:r/>
    </w:p>
    <w:p>
      <w:pPr>
        <w:ind w:firstLine="420"/>
        <w:jc w:val="left"/>
        <w:spacing w:line="360" w:lineRule="auto"/>
        <w:rPr>
          <w:rFonts w:hint="eastAsia" w:asciiTheme="minorEastAsia" w:hAnsiTheme="minorEastAsia" w:eastAsiaTheme="minorEastAsia"/>
          <w:color w:val="auto"/>
          <w:szCs w:val="21"/>
          <w:highlight w:val="none"/>
          <w:lang w:val="zh-CN" w:eastAsia="zh-CN"/>
        </w:rPr>
      </w:pPr>
      <w:r>
        <w:rPr>
          <w:rFonts w:hint="eastAsia" w:asciiTheme="minorEastAsia" w:hAnsiTheme="minorEastAsia" w:eastAsiaTheme="minorEastAsia"/>
          <w:color w:val="auto"/>
          <w:szCs w:val="21"/>
          <w:highlight w:val="none"/>
          <w:lang w:val="zh-CN"/>
        </w:rPr>
        <w:t xml:space="preserve">联系人：臧卫民</w:t>
      </w:r>
      <w:r>
        <w:rPr>
          <w:rFonts w:hint="eastAsia" w:asciiTheme="minorEastAsia" w:hAnsiTheme="minorEastAsia" w:eastAsiaTheme="minorEastAsia"/>
          <w:color w:val="auto"/>
          <w:szCs w:val="21"/>
          <w:highlight w:val="none"/>
          <w:lang w:val="zh-CN" w:eastAsia="zh-CN"/>
        </w:rPr>
        <w:t xml:space="preserve"> </w:t>
      </w:r>
      <w:r/>
    </w:p>
    <w:p>
      <w:pPr>
        <w:ind w:firstLine="420"/>
        <w:jc w:val="left"/>
        <w:spacing w:line="360" w:lineRule="auto"/>
        <w:rPr>
          <w:rFonts w:hint="eastAsia" w:asciiTheme="minorEastAsia" w:hAnsiTheme="minorEastAsia" w:eastAsiaTheme="minorEastAsia"/>
          <w:color w:val="auto"/>
          <w:szCs w:val="21"/>
          <w:highlight w:val="none"/>
          <w:lang w:val="zh-CN" w:eastAsia="zh-CN"/>
        </w:rPr>
      </w:pPr>
      <w:r>
        <w:rPr>
          <w:rFonts w:hint="eastAsia" w:asciiTheme="minorEastAsia" w:hAnsiTheme="minorEastAsia" w:eastAsiaTheme="minorEastAsia"/>
          <w:color w:val="auto"/>
          <w:szCs w:val="21"/>
          <w:highlight w:val="none"/>
          <w:lang w:val="zh-CN"/>
        </w:rPr>
        <w:t xml:space="preserve">联系电话：</w:t>
      </w:r>
      <w:r>
        <w:rPr>
          <w:rFonts w:hint="eastAsia" w:asciiTheme="minorEastAsia" w:hAnsiTheme="minorEastAsia" w:eastAsiaTheme="minorEastAsia"/>
          <w:color w:val="auto"/>
          <w:szCs w:val="21"/>
          <w:highlight w:val="none"/>
          <w:lang w:val="zh-CN" w:eastAsia="zh-CN"/>
        </w:rPr>
        <w:t xml:space="preserve"> 13912943298</w:t>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highlight w:val="none"/>
        </w:rPr>
      </w:pPr>
      <w:r>
        <w:rPr>
          <w:rFonts w:hint="eastAsia" w:cs="Arial" w:asciiTheme="minorEastAsia" w:hAnsiTheme="minorEastAsia" w:eastAsiaTheme="minorEastAsia"/>
          <w:b/>
          <w:color w:val="auto"/>
          <w:szCs w:val="21"/>
          <w:highlight w:val="none"/>
        </w:rPr>
        <w:t xml:space="preserve">2.</w:t>
      </w:r>
      <w:r>
        <w:rPr>
          <w:rFonts w:cs="Arial" w:asciiTheme="minorEastAsia" w:hAnsiTheme="minorEastAsia" w:eastAsiaTheme="minorEastAsia"/>
          <w:b/>
          <w:color w:val="auto"/>
          <w:szCs w:val="21"/>
          <w:highlight w:val="none"/>
        </w:rPr>
        <w:t xml:space="preserve">采购代理机构信息</w:t>
      </w:r>
      <w:r>
        <w:rPr>
          <w:rFonts w:hint="eastAsia" w:cs="Arial" w:asciiTheme="minorEastAsia" w:hAnsiTheme="minorEastAsia" w:eastAsiaTheme="minorEastAsia"/>
          <w:b/>
          <w:color w:val="auto"/>
          <w:szCs w:val="21"/>
          <w:highlight w:val="none"/>
        </w:rPr>
        <w:t xml:space="preserve">（如有）</w:t>
      </w:r>
      <w:r/>
    </w:p>
    <w:p>
      <w:pPr>
        <w:ind w:firstLine="420"/>
        <w:jc w:val="left"/>
        <w:spacing w:line="360" w:lineRule="auto"/>
        <w:shd w:val="clear" w:color="auto" w:fill="ffffff"/>
        <w:widowControl/>
        <w:rPr>
          <w:rFonts w:hint="eastAsia" w:cs="Arial" w:asciiTheme="minorEastAsia" w:hAnsiTheme="minorEastAsia" w:eastAsiaTheme="minorEastAsia"/>
          <w:b/>
          <w:color w:val="auto"/>
          <w:szCs w:val="21"/>
          <w:highlight w:val="none"/>
        </w:rPr>
      </w:pPr>
      <w:r>
        <w:rPr>
          <w:rFonts w:hint="eastAsia" w:cs="Arial" w:asciiTheme="minorEastAsia" w:hAnsiTheme="minorEastAsia" w:eastAsiaTheme="minorEastAsia"/>
          <w:bCs/>
          <w:color w:val="auto"/>
          <w:szCs w:val="21"/>
          <w:highlight w:val="none"/>
        </w:rPr>
        <w:t xml:space="preserve">单位名称：江苏国采工程咨询有限公司</w:t>
      </w:r>
      <w:r/>
    </w:p>
    <w:p>
      <w:pPr>
        <w:ind w:firstLine="420"/>
        <w:jc w:val="left"/>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单位地址：南京市山西路8号金山大厦A座28层2</w:t>
      </w:r>
      <w:r>
        <w:rPr>
          <w:rFonts w:asciiTheme="minorEastAsia" w:hAnsiTheme="minorEastAsia" w:eastAsiaTheme="minorEastAsia"/>
          <w:color w:val="auto"/>
          <w:szCs w:val="21"/>
          <w:highlight w:val="none"/>
          <w:lang w:val="zh-CN"/>
        </w:rPr>
        <w:t xml:space="preserve">810</w:t>
      </w:r>
      <w:r>
        <w:rPr>
          <w:rFonts w:hint="eastAsia" w:asciiTheme="minorEastAsia" w:hAnsiTheme="minorEastAsia" w:eastAsiaTheme="minorEastAsia"/>
          <w:color w:val="auto"/>
          <w:szCs w:val="21"/>
          <w:highlight w:val="none"/>
          <w:lang w:val="zh-CN"/>
        </w:rPr>
        <w:t xml:space="preserve">室</w:t>
      </w:r>
      <w:r/>
    </w:p>
    <w:p>
      <w:pPr>
        <w:ind w:firstLine="420"/>
        <w:jc w:val="left"/>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邮箱:jsgczb@sina.com</w:t>
      </w:r>
      <w:r/>
    </w:p>
    <w:p>
      <w:pPr>
        <w:ind w:firstLine="420"/>
        <w:jc w:val="left"/>
        <w:spacing w:line="360" w:lineRule="auto"/>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zh-CN"/>
        </w:rPr>
        <w:t xml:space="preserve">联系人：</w:t>
      </w:r>
      <w:r>
        <w:rPr>
          <w:rFonts w:hint="eastAsia" w:asciiTheme="minorEastAsia" w:hAnsiTheme="minorEastAsia" w:eastAsiaTheme="minorEastAsia"/>
          <w:color w:val="auto"/>
          <w:szCs w:val="21"/>
          <w:highlight w:val="none"/>
          <w:lang w:val="en-US" w:eastAsia="zh-CN"/>
        </w:rPr>
        <w:t xml:space="preserve">濮钰铃 高捷</w:t>
      </w:r>
      <w:r/>
    </w:p>
    <w:p>
      <w:pPr>
        <w:ind w:firstLine="420"/>
        <w:jc w:val="left"/>
        <w:spacing w:line="360" w:lineRule="auto"/>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zh-CN"/>
        </w:rPr>
        <w:t xml:space="preserve">联系电话：</w:t>
      </w:r>
      <w:r>
        <w:rPr>
          <w:rFonts w:hint="eastAsia" w:asciiTheme="minorEastAsia" w:hAnsiTheme="minorEastAsia" w:eastAsiaTheme="minorEastAsia"/>
          <w:color w:val="auto"/>
          <w:szCs w:val="21"/>
          <w:highlight w:val="none"/>
          <w:lang w:val="en-US" w:eastAsia="zh-CN"/>
        </w:rPr>
        <w:t xml:space="preserve">025-83690579</w:t>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highlight w:val="none"/>
        </w:rPr>
      </w:pPr>
      <w:r>
        <w:rPr>
          <w:rFonts w:hint="eastAsia" w:cs="Arial" w:asciiTheme="minorEastAsia" w:hAnsiTheme="minorEastAsia" w:eastAsiaTheme="minorEastAsia"/>
          <w:b/>
          <w:color w:val="auto"/>
          <w:szCs w:val="21"/>
          <w:highlight w:val="none"/>
        </w:rPr>
        <w:t xml:space="preserve">3.</w:t>
      </w:r>
      <w:r>
        <w:rPr>
          <w:rFonts w:cs="Arial" w:asciiTheme="minorEastAsia" w:hAnsiTheme="minorEastAsia" w:eastAsiaTheme="minorEastAsia"/>
          <w:b/>
          <w:color w:val="auto"/>
          <w:szCs w:val="21"/>
          <w:highlight w:val="none"/>
        </w:rPr>
        <w:t xml:space="preserve">项目联系方式</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项目联系人</w:t>
      </w:r>
      <w:r>
        <w:rPr>
          <w:rFonts w:hint="eastAsia" w:cs="Arial" w:asciiTheme="minorEastAsia" w:hAnsiTheme="minorEastAsia" w:eastAsiaTheme="minorEastAsia"/>
          <w:color w:val="auto"/>
          <w:szCs w:val="21"/>
          <w:highlight w:val="none"/>
        </w:rPr>
        <w:t xml:space="preserve">：</w:t>
      </w:r>
      <w:r>
        <w:rPr>
          <w:rFonts w:hint="eastAsia" w:cs="Arial" w:asciiTheme="minorEastAsia" w:hAnsiTheme="minorEastAsia" w:eastAsiaTheme="minorEastAsia"/>
          <w:color w:val="auto"/>
          <w:szCs w:val="21"/>
          <w:highlight w:val="none"/>
          <w:lang w:val="en-US" w:eastAsia="zh-CN"/>
        </w:rPr>
        <w:t xml:space="preserve">濮钰铃 高捷</w:t>
      </w:r>
      <w:r>
        <w:rPr>
          <w:rFonts w:hint="eastAsia" w:cs="Arial" w:asciiTheme="minorEastAsia" w:hAnsiTheme="minorEastAsia" w:eastAsiaTheme="minorEastAsia"/>
          <w:color w:val="auto"/>
          <w:szCs w:val="21"/>
          <w:highlight w:val="none"/>
        </w:rPr>
        <w:t xml:space="preserve"> </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电话：</w:t>
      </w:r>
      <w:r>
        <w:rPr>
          <w:rFonts w:hint="eastAsia" w:cs="Arial" w:asciiTheme="minorEastAsia" w:hAnsiTheme="minorEastAsia" w:eastAsiaTheme="minorEastAsia"/>
          <w:color w:val="auto"/>
          <w:szCs w:val="21"/>
          <w:highlight w:val="none"/>
          <w:lang w:val="en-US" w:eastAsia="zh-CN"/>
        </w:rPr>
        <w:t xml:space="preserve">025-83690579</w:t>
      </w:r>
      <w:r>
        <w:rPr>
          <w:rFonts w:hint="eastAsia" w:asciiTheme="minorEastAsia" w:hAnsiTheme="minorEastAsia" w:eastAsiaTheme="minorEastAsia"/>
          <w:color w:val="auto"/>
          <w:szCs w:val="21"/>
          <w:highlight w:val="none"/>
        </w:rPr>
        <w:t xml:space="preserve">  </w:t>
      </w:r>
      <w:r/>
    </w:p>
    <w:p>
      <w:pPr>
        <w:ind w:firstLine="315"/>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bookmarkEnd w:id="3"/>
      <w:r/>
      <w:r/>
    </w:p>
    <w:p>
      <w:pPr>
        <w:pStyle w:val="890"/>
        <w:numPr>
          <w:ilvl w:val="0"/>
          <w:numId w:val="0"/>
        </w:numPr>
        <w:rPr>
          <w:rFonts w:hint="eastAsia" w:asciiTheme="minorEastAsia" w:hAnsiTheme="minorEastAsia" w:eastAsiaTheme="minorEastAsia"/>
          <w:color w:val="auto"/>
          <w:highlight w:val="none"/>
        </w:rPr>
      </w:pPr>
      <w:r>
        <w:rPr>
          <w:rFonts w:asciiTheme="minorEastAsia" w:hAnsiTheme="minorEastAsia" w:eastAsiaTheme="minorEastAsia"/>
          <w:color w:val="auto"/>
          <w:sz w:val="21"/>
          <w:szCs w:val="21"/>
          <w:highlight w:val="none"/>
        </w:rPr>
        <w:br w:type="page" w:clear="all"/>
      </w:r>
      <w:bookmarkStart w:id="37" w:name="_Toc7511"/>
      <w:r/>
      <w:bookmarkStart w:id="38" w:name="_Toc176529668"/>
      <w:r>
        <w:rPr>
          <w:rFonts w:hint="eastAsia" w:asciiTheme="minorEastAsia" w:hAnsiTheme="minorEastAsia" w:eastAsiaTheme="minorEastAsia"/>
          <w:color w:val="auto"/>
          <w:highlight w:val="none"/>
        </w:rPr>
        <w:t xml:space="preserve">第二章</w:t>
      </w:r>
      <w:bookmarkStart w:id="39" w:name="_Toc452625218"/>
      <w:r>
        <w:rPr>
          <w:rFonts w:hint="eastAsia" w:asciiTheme="minorEastAsia" w:hAnsiTheme="minorEastAsia" w:eastAsiaTheme="minorEastAsia"/>
          <w:color w:val="auto"/>
          <w:highlight w:val="none"/>
        </w:rPr>
        <w:t xml:space="preserve"> 投标人须知</w:t>
      </w:r>
      <w:bookmarkEnd w:id="37"/>
      <w:r/>
      <w:bookmarkEnd w:id="38"/>
      <w:r/>
      <w:bookmarkEnd w:id="39"/>
      <w:r/>
      <w:r/>
    </w:p>
    <w:p>
      <w:pPr>
        <w:ind w:firstLine="424"/>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一、总 则</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1.适用法律</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1.1本次采购适用《中华人民共和国政府采购法》、《中华人民共和国政府采购法实施条例》、《政府采购货物或服务招标投标管理办法》等法律、行政法规、部门规章和规范性文件。</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2.定义</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bookmarkStart w:id="40" w:name="_Hlk44576213"/>
      <w:r>
        <w:rPr>
          <w:rFonts w:hint="eastAsia" w:asciiTheme="minorEastAsia" w:hAnsiTheme="minorEastAsia" w:eastAsiaTheme="minorEastAsia"/>
          <w:color w:val="auto"/>
          <w:szCs w:val="21"/>
          <w:highlight w:val="none"/>
        </w:rPr>
        <w:t xml:space="preserve">2.1“采购人”是指南京市教育技术装备中心。</w:t>
      </w:r>
      <w:bookmarkEnd w:id="40"/>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2.2“</w:t>
      </w:r>
      <w:r>
        <w:rPr>
          <w:rFonts w:asciiTheme="minorEastAsia" w:hAnsiTheme="minorEastAsia" w:eastAsiaTheme="minorEastAsia"/>
          <w:color w:val="auto"/>
          <w:szCs w:val="21"/>
          <w:highlight w:val="none"/>
        </w:rPr>
        <w:t xml:space="preserve">投标人</w:t>
      </w:r>
      <w:r>
        <w:rPr>
          <w:rFonts w:hint="eastAsia" w:asciiTheme="minorEastAsia" w:hAnsiTheme="minorEastAsia" w:eastAsiaTheme="minorEastAsia"/>
          <w:color w:val="auto"/>
          <w:szCs w:val="21"/>
          <w:highlight w:val="none"/>
        </w:rPr>
        <w:t xml:space="preserve">或供应商”</w:t>
      </w:r>
      <w:r>
        <w:rPr>
          <w:rFonts w:asciiTheme="minorEastAsia" w:hAnsiTheme="minorEastAsia" w:eastAsiaTheme="minorEastAsia"/>
          <w:color w:val="auto"/>
          <w:szCs w:val="21"/>
          <w:highlight w:val="none"/>
        </w:rPr>
        <w:t xml:space="preserve">是</w:t>
      </w:r>
      <w:r>
        <w:rPr>
          <w:rFonts w:hint="eastAsia" w:asciiTheme="minorEastAsia" w:hAnsiTheme="minorEastAsia" w:eastAsiaTheme="minorEastAsia"/>
          <w:color w:val="auto"/>
          <w:szCs w:val="21"/>
          <w:highlight w:val="none"/>
        </w:rPr>
        <w:t xml:space="preserve">指参加投标竞争，并符合招标文件规定资格条件的法人、其他组织或者自然人。</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bookmarkStart w:id="41" w:name="_Hlk44576222"/>
      <w:r>
        <w:rPr>
          <w:rFonts w:hint="eastAsia" w:asciiTheme="minorEastAsia" w:hAnsiTheme="minorEastAsia" w:eastAsiaTheme="minorEastAsia"/>
          <w:color w:val="auto"/>
          <w:szCs w:val="21"/>
          <w:highlight w:val="none"/>
        </w:rPr>
        <w:t xml:space="preserve">2.3“采购代理机构”</w:t>
      </w:r>
      <w:r>
        <w:rPr>
          <w:rFonts w:asciiTheme="minorEastAsia" w:hAnsiTheme="minorEastAsia" w:eastAsiaTheme="minorEastAsia"/>
          <w:color w:val="auto"/>
          <w:szCs w:val="21"/>
          <w:highlight w:val="none"/>
        </w:rPr>
        <w:t xml:space="preserve">是指</w:t>
      </w:r>
      <w:r>
        <w:rPr>
          <w:rFonts w:hint="eastAsia" w:asciiTheme="minorEastAsia" w:hAnsiTheme="minorEastAsia" w:eastAsiaTheme="minorEastAsia"/>
          <w:color w:val="auto"/>
          <w:szCs w:val="21"/>
          <w:highlight w:val="none"/>
        </w:rPr>
        <w:t xml:space="preserve">江苏国采工程咨询有限公司</w:t>
      </w:r>
      <w:r>
        <w:rPr>
          <w:rFonts w:asciiTheme="minorEastAsia" w:hAnsiTheme="minorEastAsia" w:eastAsiaTheme="minorEastAsia"/>
          <w:color w:val="auto"/>
          <w:szCs w:val="21"/>
          <w:highlight w:val="none"/>
        </w:rPr>
        <w:t xml:space="preserve">。</w:t>
      </w:r>
      <w:bookmarkEnd w:id="41"/>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bookmarkStart w:id="42" w:name="_Hlk225955430"/>
      <w:r/>
      <w:bookmarkStart w:id="43" w:name="_Hlk118723819"/>
      <w:r/>
      <w:bookmarkStart w:id="44" w:name="_Hlk84583107"/>
      <w:r>
        <w:rPr>
          <w:rFonts w:hint="eastAsia" w:asciiTheme="minorEastAsia" w:hAnsiTheme="minorEastAsia" w:eastAsiaTheme="minorEastAsia"/>
          <w:color w:val="auto"/>
          <w:szCs w:val="21"/>
          <w:highlight w:val="none"/>
        </w:rPr>
        <w:t xml:space="preserve">2.4“货物和服务”指本招标文件中所述</w:t>
      </w:r>
      <w:r>
        <w:rPr>
          <w:rFonts w:hint="eastAsia" w:asciiTheme="minorEastAsia" w:hAnsiTheme="minorEastAsia" w:eastAsiaTheme="minorEastAsia"/>
          <w:bCs/>
          <w:color w:val="auto"/>
          <w:szCs w:val="21"/>
          <w:highlight w:val="none"/>
        </w:rPr>
        <w:t xml:space="preserve">产品及配套服务</w:t>
      </w:r>
      <w:r>
        <w:rPr>
          <w:rFonts w:hint="eastAsia" w:asciiTheme="minorEastAsia" w:hAnsiTheme="minorEastAsia" w:eastAsiaTheme="minorEastAsia"/>
          <w:color w:val="auto"/>
          <w:szCs w:val="21"/>
          <w:highlight w:val="none"/>
        </w:rPr>
        <w:t xml:space="preserve">。</w:t>
      </w:r>
      <w:bookmarkEnd w:id="42"/>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3.政策功能</w:t>
      </w:r>
      <w:bookmarkEnd w:id="43"/>
      <w:r/>
      <w:r/>
    </w:p>
    <w:p>
      <w:pPr>
        <w:ind w:firstLine="420"/>
        <w:spacing w:line="360" w:lineRule="auto"/>
        <w:shd w:val="clear" w:color="auto" w:fill="ffffff"/>
        <w:widowControl/>
        <w:rPr>
          <w:rFonts w:hint="eastAsia" w:cs="宋体" w:asciiTheme="minorEastAsia" w:hAnsiTheme="minorEastAsia" w:eastAsiaTheme="minorEastAsia"/>
          <w:b/>
          <w:color w:val="auto"/>
          <w:szCs w:val="21"/>
          <w:highlight w:val="none"/>
        </w:rPr>
      </w:pPr>
      <w:r/>
      <w:bookmarkStart w:id="45" w:name="_Hlk75345706"/>
      <w:r>
        <w:rPr>
          <w:rFonts w:hint="eastAsia" w:cs="宋体" w:asciiTheme="minorEastAsia" w:hAnsiTheme="minorEastAsia" w:eastAsiaTheme="minorEastAsia"/>
          <w:b/>
          <w:color w:val="auto"/>
          <w:szCs w:val="21"/>
          <w:highlight w:val="none"/>
        </w:rPr>
        <w:t xml:space="preserve">3.1 中小企业政策</w:t>
      </w:r>
      <w:r/>
    </w:p>
    <w:p>
      <w:pPr>
        <w:ind w:firstLine="420"/>
        <w:spacing w:line="360" w:lineRule="auto"/>
        <w:shd w:val="clear" w:color="auto" w:fill="ffffff"/>
        <w:widowControl/>
        <w:rPr>
          <w:rFonts w:hint="eastAsia" w:cs="宋体" w:asciiTheme="minorEastAsia" w:hAnsiTheme="minorEastAsia" w:eastAsiaTheme="minorEastAsia"/>
          <w:color w:val="auto"/>
          <w:szCs w:val="21"/>
          <w:highlight w:val="none"/>
        </w:rPr>
      </w:pPr>
      <w:r/>
      <w:bookmarkStart w:id="46" w:name="_Hlk77845870"/>
      <w:r/>
      <w:bookmarkStart w:id="47" w:name="_Hlk84580649"/>
      <w:r>
        <w:rPr>
          <w:rFonts w:hint="eastAsia" w:cs="宋体" w:asciiTheme="minorEastAsia" w:hAnsiTheme="minorEastAsia" w:eastAsiaTheme="minorEastAsia"/>
          <w:color w:val="auto"/>
          <w:szCs w:val="21"/>
          <w:highlight w:val="none"/>
        </w:rPr>
        <w:t xml:space="preserve">（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否则不得享受相关中小企业扶持政策。（</w:t>
      </w:r>
      <w:bookmarkStart w:id="48" w:name="OLE_LINK51"/>
      <w:r>
        <w:rPr>
          <w:rFonts w:hint="eastAsia" w:cs="宋体" w:asciiTheme="minorEastAsia" w:hAnsiTheme="minorEastAsia" w:eastAsiaTheme="minorEastAsia"/>
          <w:color w:val="auto"/>
          <w:szCs w:val="21"/>
          <w:highlight w:val="none"/>
        </w:rPr>
        <w:t xml:space="preserve">“中小企业划型标准”详见《关于印发中小企业划型标准规定的通知》工信部联企业〔2011〕300号及《</w:t>
      </w:r>
      <w:bookmarkStart w:id="49" w:name="OLE_LINK49"/>
      <w:r>
        <w:rPr>
          <w:rFonts w:hint="eastAsia" w:cs="宋体" w:asciiTheme="minorEastAsia" w:hAnsiTheme="minorEastAsia" w:eastAsiaTheme="minorEastAsia"/>
          <w:color w:val="auto"/>
          <w:szCs w:val="21"/>
          <w:highlight w:val="none"/>
        </w:rPr>
        <w:t xml:space="preserve">国家统计局关于印发&lt;统计上大中小微型企业划分办法（2017）&gt;的通知</w:t>
      </w:r>
      <w:bookmarkEnd w:id="49"/>
      <w:r>
        <w:rPr>
          <w:rFonts w:hint="eastAsia" w:cs="宋体" w:asciiTheme="minorEastAsia" w:hAnsiTheme="minorEastAsia" w:eastAsiaTheme="minorEastAsia"/>
          <w:color w:val="auto"/>
          <w:szCs w:val="21"/>
          <w:highlight w:val="none"/>
        </w:rPr>
        <w:t xml:space="preserve">》国统字〔2017〕213号）</w:t>
      </w:r>
      <w:bookmarkEnd w:id="48"/>
      <w:r/>
      <w:r/>
    </w:p>
    <w:p>
      <w:pPr>
        <w:ind w:firstLine="420"/>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bookmarkEnd w:id="45"/>
      <w:r/>
      <w:bookmarkEnd w:id="46"/>
      <w:r/>
      <w:r/>
    </w:p>
    <w:p>
      <w:pPr>
        <w:ind w:firstLine="420"/>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w:t>
      </w:r>
      <w:r>
        <w:rPr>
          <w:rFonts w:hint="eastAsia" w:cs="宋体" w:asciiTheme="minorEastAsia" w:hAnsiTheme="minorEastAsia" w:eastAsiaTheme="minorEastAsia"/>
          <w:color w:val="auto"/>
          <w:szCs w:val="21"/>
          <w:highlight w:val="none"/>
          <w:lang w:val="en-US" w:eastAsia="zh-CN"/>
        </w:rPr>
        <w:t xml:space="preserve">3</w:t>
      </w:r>
      <w:r>
        <w:rPr>
          <w:rFonts w:hint="eastAsia" w:cs="宋体" w:asciiTheme="minorEastAsia" w:hAnsiTheme="minorEastAsia" w:eastAsiaTheme="minorEastAsia"/>
          <w:color w:val="auto"/>
          <w:szCs w:val="21"/>
          <w:highlight w:val="none"/>
        </w:rPr>
        <w:t xml:space="preserve">）依据《政府采购促进中小企业发展管理办法》（财库〔2020〕46号）规定的扶持政策获取政府采购合同后，小型、微型企业不得将合同分包给大型、中型企业，中型企业不得将合同分包给大型企业。</w:t>
      </w:r>
      <w:bookmarkEnd w:id="47"/>
      <w:r/>
      <w:r/>
    </w:p>
    <w:p>
      <w:pPr>
        <w:ind w:firstLine="422"/>
        <w:spacing w:line="360" w:lineRule="auto"/>
        <w:rPr>
          <w:rFonts w:hint="eastAsia"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3</w:t>
      </w:r>
      <w:r>
        <w:rPr>
          <w:rFonts w:cs="宋体" w:asciiTheme="minorEastAsia" w:hAnsiTheme="minorEastAsia" w:eastAsiaTheme="minorEastAsia"/>
          <w:b/>
          <w:bCs/>
          <w:color w:val="auto"/>
          <w:szCs w:val="21"/>
          <w:highlight w:val="none"/>
        </w:rPr>
        <w:t xml:space="preserve">.</w:t>
      </w:r>
      <w:bookmarkStart w:id="50" w:name="_Hlk66802840"/>
      <w:r>
        <w:rPr>
          <w:rFonts w:cs="宋体" w:asciiTheme="minorEastAsia" w:hAnsiTheme="minorEastAsia" w:eastAsiaTheme="minorEastAsia"/>
          <w:b/>
          <w:bCs/>
          <w:color w:val="auto"/>
          <w:szCs w:val="21"/>
          <w:highlight w:val="none"/>
        </w:rPr>
        <w:t xml:space="preserve">2</w:t>
      </w:r>
      <w:r>
        <w:rPr>
          <w:rFonts w:hint="eastAsia" w:cs="宋体" w:asciiTheme="minorEastAsia" w:hAnsiTheme="minorEastAsia" w:eastAsiaTheme="minorEastAsia"/>
          <w:b/>
          <w:bCs/>
          <w:color w:val="auto"/>
          <w:szCs w:val="21"/>
          <w:highlight w:val="none"/>
        </w:rPr>
        <w:t xml:space="preserve">支持监狱企业（含监狱和戒毒企业）发展政策</w:t>
      </w:r>
      <w:bookmarkEnd w:id="50"/>
      <w:r/>
      <w:r/>
    </w:p>
    <w:p>
      <w:pPr>
        <w:ind w:firstLine="420"/>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w:t>
      </w:r>
      <w:r>
        <w:rPr>
          <w:rFonts w:cs="宋体" w:asciiTheme="minorEastAsia" w:hAnsiTheme="minorEastAsia" w:eastAsiaTheme="minorEastAsia"/>
          <w:color w:val="auto"/>
          <w:szCs w:val="21"/>
          <w:highlight w:val="none"/>
        </w:rPr>
        <w:t xml:space="preserve">1</w:t>
      </w:r>
      <w:r>
        <w:rPr>
          <w:rFonts w:hint="eastAsia" w:cs="宋体" w:asciiTheme="minorEastAsia" w:hAnsiTheme="minorEastAsia" w:eastAsiaTheme="minorEastAsia"/>
          <w:color w:val="auto"/>
          <w:szCs w:val="21"/>
          <w:highlight w:val="none"/>
        </w:rPr>
        <w:t xml:space="preserve">）根据《关于政府采购支持监狱企业发展有关问题的通知》，在政府采购活动中监狱企业视同小型、微型企业，享受预留份额、评审中价格扣除等政府采购促进中小企业发展的政府采购政策。</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bookmarkStart w:id="51" w:name="_Hlk77845906"/>
      <w:r>
        <w:rPr>
          <w:rFonts w:hint="eastAsia" w:cs="宋体" w:asciiTheme="minorEastAsia" w:hAnsiTheme="minorEastAsia" w:eastAsiaTheme="minorEastAsia"/>
          <w:color w:val="auto"/>
          <w:szCs w:val="21"/>
          <w:highlight w:val="none"/>
        </w:rPr>
        <w:t xml:space="preserve">（</w:t>
      </w:r>
      <w:r>
        <w:rPr>
          <w:rFonts w:cs="宋体" w:asciiTheme="minorEastAsia" w:hAnsiTheme="minorEastAsia" w:eastAsiaTheme="minorEastAsia"/>
          <w:color w:val="auto"/>
          <w:szCs w:val="21"/>
          <w:highlight w:val="none"/>
        </w:rPr>
        <w:t xml:space="preserve">2</w:t>
      </w:r>
      <w:r>
        <w:rPr>
          <w:rFonts w:hint="eastAsia" w:cs="宋体" w:asciiTheme="minorEastAsia" w:hAnsiTheme="minorEastAsia" w:eastAsiaTheme="minorEastAsia"/>
          <w:color w:val="auto"/>
          <w:szCs w:val="21"/>
          <w:highlight w:val="none"/>
        </w:rPr>
        <w:t xml:space="preserve">）参加政府采购活动的监狱企业提供由省级以上</w:t>
      </w:r>
      <w:bookmarkStart w:id="52" w:name="_Hlk163033106"/>
      <w:r>
        <w:rPr>
          <w:rFonts w:hint="eastAsia" w:cs="宋体" w:asciiTheme="minorEastAsia" w:hAnsiTheme="minorEastAsia" w:eastAsiaTheme="minorEastAsia"/>
          <w:color w:val="auto"/>
          <w:szCs w:val="21"/>
          <w:highlight w:val="none"/>
        </w:rPr>
        <w:t xml:space="preserve">监狱管理局、戒毒管理局</w:t>
      </w:r>
      <w:bookmarkEnd w:id="52"/>
      <w:r>
        <w:rPr>
          <w:rFonts w:hint="eastAsia" w:cs="宋体" w:asciiTheme="minorEastAsia" w:hAnsiTheme="minorEastAsia" w:eastAsiaTheme="minorEastAsia"/>
          <w:color w:val="auto"/>
          <w:szCs w:val="21"/>
          <w:highlight w:val="none"/>
        </w:rPr>
        <w:t xml:space="preserve">(含新疆生产建设兵团)出具的属于监狱企业的证明文件，</w:t>
      </w:r>
      <w:r>
        <w:rPr>
          <w:rFonts w:hint="eastAsia" w:cs="Arial" w:asciiTheme="minorEastAsia" w:hAnsiTheme="minorEastAsia" w:eastAsiaTheme="minorEastAsia"/>
          <w:color w:val="auto"/>
          <w:szCs w:val="21"/>
          <w:highlight w:val="none"/>
        </w:rPr>
        <w:t xml:space="preserve">监狱和戒毒企业享受政府采购支持政策的要求详见《关于政府采购支持监狱企业发展有关问题的通知》（财库〔2014〕68号）。</w:t>
      </w:r>
      <w:bookmarkEnd w:id="51"/>
      <w:r/>
      <w:r/>
    </w:p>
    <w:p>
      <w:pPr>
        <w:ind w:firstLine="422"/>
        <w:spacing w:line="360" w:lineRule="auto"/>
        <w:rPr>
          <w:rFonts w:hint="eastAsia"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3</w:t>
      </w:r>
      <w:r>
        <w:rPr>
          <w:rFonts w:cs="宋体" w:asciiTheme="minorEastAsia" w:hAnsiTheme="minorEastAsia" w:eastAsiaTheme="minorEastAsia"/>
          <w:b/>
          <w:bCs/>
          <w:color w:val="auto"/>
          <w:szCs w:val="21"/>
          <w:highlight w:val="none"/>
        </w:rPr>
        <w:t xml:space="preserve">.3</w:t>
      </w:r>
      <w:r>
        <w:rPr>
          <w:rFonts w:hint="eastAsia" w:cs="宋体" w:asciiTheme="minorEastAsia" w:hAnsiTheme="minorEastAsia" w:eastAsiaTheme="minorEastAsia"/>
          <w:b/>
          <w:bCs/>
          <w:color w:val="auto"/>
          <w:szCs w:val="21"/>
          <w:highlight w:val="none"/>
        </w:rPr>
        <w:t xml:space="preserve">促进残疾人就业政策</w:t>
      </w:r>
      <w:r/>
    </w:p>
    <w:p>
      <w:pPr>
        <w:ind w:firstLine="420"/>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w:t>
      </w:r>
      <w:r>
        <w:rPr>
          <w:rFonts w:cs="宋体" w:asciiTheme="minorEastAsia" w:hAnsiTheme="minorEastAsia" w:eastAsiaTheme="minorEastAsia"/>
          <w:color w:val="auto"/>
          <w:szCs w:val="21"/>
          <w:highlight w:val="none"/>
        </w:rPr>
        <w:t xml:space="preserve">1</w:t>
      </w:r>
      <w:r>
        <w:rPr>
          <w:rFonts w:hint="eastAsia" w:cs="宋体" w:asciiTheme="minorEastAsia" w:hAnsiTheme="minorEastAsia" w:eastAsiaTheme="minorEastAsia"/>
          <w:color w:val="auto"/>
          <w:szCs w:val="21"/>
          <w:highlight w:val="none"/>
        </w:rPr>
        <w:t xml:space="preserve">）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bookmarkStart w:id="53" w:name="_Hlk77845921"/>
      <w:r>
        <w:rPr>
          <w:rFonts w:hint="eastAsia" w:cs="宋体" w:asciiTheme="minorEastAsia" w:hAnsiTheme="minorEastAsia" w:eastAsiaTheme="minorEastAsia"/>
          <w:color w:val="auto"/>
          <w:szCs w:val="21"/>
          <w:highlight w:val="none"/>
        </w:rPr>
        <w:t xml:space="preserve">（</w:t>
      </w:r>
      <w:r>
        <w:rPr>
          <w:rFonts w:cs="宋体" w:asciiTheme="minorEastAsia" w:hAnsiTheme="minorEastAsia" w:eastAsiaTheme="minorEastAsia"/>
          <w:color w:val="auto"/>
          <w:szCs w:val="21"/>
          <w:highlight w:val="none"/>
        </w:rPr>
        <w:t xml:space="preserve">2</w:t>
      </w:r>
      <w:r>
        <w:rPr>
          <w:rFonts w:hint="eastAsia" w:cs="宋体" w:asciiTheme="minorEastAsia" w:hAnsiTheme="minorEastAsia" w:eastAsiaTheme="minorEastAsia"/>
          <w:color w:val="auto"/>
          <w:szCs w:val="21"/>
          <w:highlight w:val="none"/>
        </w:rPr>
        <w:t xml:space="preserve">）参加政府采购活动的残疾人福利性单位提供《残疾人福利性单位声明函》，残疾人福利性单位享受</w:t>
      </w:r>
      <w:r>
        <w:rPr>
          <w:rFonts w:hint="eastAsia" w:cs="Arial" w:asciiTheme="minorEastAsia" w:hAnsiTheme="minorEastAsia" w:eastAsiaTheme="minorEastAsia"/>
          <w:color w:val="auto"/>
          <w:szCs w:val="21"/>
          <w:highlight w:val="none"/>
        </w:rPr>
        <w:t xml:space="preserve">政府采购支持政策的要求详见《关于促进残疾人就业政府采购政策的通知》（财库〔2017〕141号）。</w:t>
      </w:r>
      <w:r/>
    </w:p>
    <w:p>
      <w:pPr>
        <w:ind w:firstLine="420"/>
        <w:spacing w:line="360" w:lineRule="auto"/>
        <w:shd w:val="clear" w:color="auto" w:fill="ffffff"/>
        <w:widowControl/>
        <w:rPr>
          <w:rFonts w:hint="eastAsia"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 xml:space="preserve">3.</w:t>
      </w:r>
      <w:r>
        <w:rPr>
          <w:rFonts w:cs="宋体" w:asciiTheme="minorEastAsia" w:hAnsiTheme="minorEastAsia" w:eastAsiaTheme="minorEastAsia"/>
          <w:b/>
          <w:color w:val="auto"/>
          <w:szCs w:val="21"/>
          <w:highlight w:val="none"/>
        </w:rPr>
        <w:t xml:space="preserve">4</w:t>
      </w:r>
      <w:r>
        <w:rPr>
          <w:rFonts w:hint="eastAsia" w:cs="宋体" w:asciiTheme="minorEastAsia" w:hAnsiTheme="minorEastAsia" w:eastAsiaTheme="minorEastAsia"/>
          <w:b/>
          <w:color w:val="auto"/>
          <w:szCs w:val="21"/>
          <w:highlight w:val="none"/>
        </w:rPr>
        <w:t xml:space="preserve">节能产品、环境标志产品政策 </w:t>
      </w:r>
      <w:r/>
    </w:p>
    <w:p>
      <w:pPr>
        <w:ind w:firstLine="420"/>
        <w:spacing w:line="360" w:lineRule="auto"/>
        <w:shd w:val="clear" w:color="auto" w:fill="ffffff"/>
        <w:widowControl/>
        <w:rPr>
          <w:rFonts w:hint="eastAsia" w:cs="宋体" w:asciiTheme="minorEastAsia" w:hAnsiTheme="minorEastAsia" w:eastAsiaTheme="minorEastAsia"/>
          <w:color w:val="auto"/>
          <w:szCs w:val="21"/>
          <w:highlight w:val="none"/>
        </w:rPr>
      </w:pPr>
      <w:r/>
      <w:bookmarkStart w:id="54" w:name="_Hlk176359127"/>
      <w:r>
        <w:rPr>
          <w:rFonts w:hint="eastAsia" w:cs="宋体" w:asciiTheme="minorEastAsia" w:hAnsiTheme="minorEastAsia" w:eastAsiaTheme="minorEastAsia"/>
          <w:color w:val="auto"/>
          <w:szCs w:val="21"/>
          <w:highlight w:val="none"/>
        </w:rPr>
        <w:t xml:space="preserve">（1）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spacing w:line="360" w:lineRule="auto"/>
        <w:shd w:val="clear" w:color="auto" w:fill="ffffff"/>
        <w:widowControl/>
        <w:rPr>
          <w:rFonts w:hint="eastAsia" w:cs="宋体" w:asciiTheme="minorEastAsia" w:hAnsiTheme="minorEastAsia" w:eastAsiaTheme="minorEastAsia"/>
          <w:b w:val="0"/>
          <w:bCs w:val="0"/>
          <w:color w:val="auto"/>
          <w:szCs w:val="21"/>
          <w:highlight w:val="none"/>
        </w:rPr>
      </w:pPr>
      <w:r>
        <w:rPr>
          <w:rFonts w:hint="eastAsia" w:cs="宋体" w:asciiTheme="minorEastAsia" w:hAnsiTheme="minorEastAsia" w:eastAsiaTheme="minorEastAsia"/>
          <w:b w:val="0"/>
          <w:bCs w:val="0"/>
          <w:color w:val="auto"/>
          <w:szCs w:val="21"/>
          <w:highlight w:val="none"/>
        </w:rPr>
        <w:t xml:space="preserve">（2）采购产品属于</w:t>
      </w:r>
      <w:bookmarkStart w:id="55" w:name="OLE_LINK15"/>
      <w:r/>
      <w:bookmarkStart w:id="56" w:name="OLE_LINK16"/>
      <w:r>
        <w:rPr>
          <w:rFonts w:hint="eastAsia" w:cs="宋体" w:asciiTheme="minorEastAsia" w:hAnsiTheme="minorEastAsia" w:eastAsiaTheme="minorEastAsia"/>
          <w:b w:val="0"/>
          <w:bCs w:val="0"/>
          <w:color w:val="auto"/>
          <w:szCs w:val="21"/>
          <w:highlight w:val="none"/>
        </w:rPr>
        <w:t xml:space="preserve">政府强制采购</w:t>
      </w:r>
      <w:bookmarkEnd w:id="55"/>
      <w:r>
        <w:rPr>
          <w:rFonts w:hint="eastAsia" w:cs="宋体" w:asciiTheme="minorEastAsia" w:hAnsiTheme="minorEastAsia" w:eastAsiaTheme="minorEastAsia"/>
          <w:b w:val="0"/>
          <w:bCs w:val="0"/>
          <w:color w:val="auto"/>
          <w:szCs w:val="21"/>
          <w:highlight w:val="none"/>
        </w:rPr>
        <w:t xml:space="preserve">节能产品</w:t>
      </w:r>
      <w:bookmarkEnd w:id="56"/>
      <w:r>
        <w:rPr>
          <w:rFonts w:hint="eastAsia" w:cs="宋体" w:asciiTheme="minorEastAsia" w:hAnsiTheme="minorEastAsia" w:eastAsiaTheme="minorEastAsia"/>
          <w:b w:val="0"/>
          <w:bCs w:val="0"/>
          <w:color w:val="auto"/>
          <w:szCs w:val="21"/>
          <w:highlight w:val="none"/>
        </w:rPr>
        <w:t xml:space="preserve">的，投标人应当选择依据</w:t>
      </w:r>
      <w:bookmarkStart w:id="57" w:name="OLE_LINK12"/>
      <w:r>
        <w:rPr>
          <w:rFonts w:hint="eastAsia" w:cs="宋体" w:asciiTheme="minorEastAsia" w:hAnsiTheme="minorEastAsia" w:eastAsiaTheme="minorEastAsia"/>
          <w:b w:val="0"/>
          <w:bCs w:val="0"/>
          <w:color w:val="auto"/>
          <w:szCs w:val="21"/>
          <w:highlight w:val="none"/>
        </w:rPr>
        <w:t xml:space="preserve">国家能效标准中二级能效（水效）指标认证的节能产品投标</w:t>
      </w:r>
      <w:bookmarkEnd w:id="57"/>
      <w:r>
        <w:rPr>
          <w:rFonts w:hint="eastAsia" w:cs="宋体" w:asciiTheme="minorEastAsia" w:hAnsiTheme="minorEastAsia" w:eastAsiaTheme="minorEastAsia"/>
          <w:b w:val="0"/>
          <w:bCs w:val="0"/>
          <w:color w:val="auto"/>
          <w:szCs w:val="21"/>
          <w:highlight w:val="none"/>
        </w:rPr>
        <w:t xml:space="preserve">，并提供国家确定的认证机构出具的、处于有效期之内的节能产品认证证书。 </w:t>
      </w:r>
      <w:r/>
    </w:p>
    <w:p>
      <w:pPr>
        <w:ind w:firstLine="420"/>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采购产品属于政府优先采购节能产品和环境标志产品的，对投标人提供的国家确定的认证机构出具的、处于有效期之内的节能产品或环境标志产品认证证书实行优先采购，分别给予投标价2%价格扣除，用扣除后的价格参与评审。</w:t>
      </w:r>
      <w:bookmarkEnd w:id="54"/>
      <w:r/>
      <w:r/>
    </w:p>
    <w:p>
      <w:pPr>
        <w:ind w:firstLine="420"/>
        <w:spacing w:line="360" w:lineRule="auto"/>
        <w:shd w:val="clear" w:color="auto" w:fill="ffffff"/>
        <w:widowControl/>
        <w:rPr>
          <w:rFonts w:hint="eastAsia"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 xml:space="preserve">3.</w:t>
      </w:r>
      <w:r>
        <w:rPr>
          <w:rFonts w:cs="宋体" w:asciiTheme="minorEastAsia" w:hAnsiTheme="minorEastAsia" w:eastAsiaTheme="minorEastAsia"/>
          <w:b/>
          <w:color w:val="auto"/>
          <w:szCs w:val="21"/>
          <w:highlight w:val="none"/>
        </w:rPr>
        <w:t xml:space="preserve">5</w:t>
      </w:r>
      <w:r>
        <w:rPr>
          <w:rFonts w:hint="eastAsia" w:cs="宋体" w:asciiTheme="minorEastAsia" w:hAnsiTheme="minorEastAsia" w:eastAsiaTheme="minorEastAsia"/>
          <w:b/>
          <w:color w:val="auto"/>
          <w:szCs w:val="21"/>
          <w:highlight w:val="none"/>
        </w:rPr>
        <w:tab/>
      </w:r>
      <w:r>
        <w:rPr>
          <w:rFonts w:hint="eastAsia" w:cs="宋体" w:asciiTheme="minorEastAsia" w:hAnsiTheme="minorEastAsia" w:eastAsiaTheme="minorEastAsia"/>
          <w:b/>
          <w:color w:val="auto"/>
          <w:szCs w:val="21"/>
          <w:highlight w:val="none"/>
        </w:rPr>
        <w:t xml:space="preserve">进口产品政策</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（2）允许进口产品参加的，满足需求的国内产品可以参加。</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hint="eastAsia" w:cs="Arial" w:asciiTheme="minorEastAsia" w:hAnsiTheme="minorEastAsia" w:eastAsiaTheme="minorEastAsia"/>
          <w:b/>
          <w:bCs/>
          <w:color w:val="auto"/>
          <w:szCs w:val="21"/>
          <w:highlight w:val="none"/>
        </w:rPr>
      </w:pPr>
      <w:r>
        <w:rPr>
          <w:rFonts w:hint="eastAsia" w:cs="Arial" w:asciiTheme="minorEastAsia" w:hAnsiTheme="minorEastAsia" w:eastAsiaTheme="minorEastAsia"/>
          <w:b/>
          <w:bCs/>
          <w:color w:val="auto"/>
          <w:szCs w:val="21"/>
          <w:highlight w:val="none"/>
        </w:rPr>
        <w:t xml:space="preserve">3.6绿色采购政策</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（1）</w:t>
      </w:r>
      <w:r>
        <w:rPr>
          <w:rFonts w:hint="eastAsia" w:cs="宋体" w:asciiTheme="minorEastAsia" w:hAnsiTheme="minorEastAsia" w:eastAsiaTheme="minorEastAsia"/>
          <w:color w:val="auto"/>
          <w:szCs w:val="21"/>
          <w:highlight w:val="none"/>
        </w:rPr>
        <w:t xml:space="preserve">拟采购产品</w:t>
      </w:r>
      <w:r>
        <w:rPr>
          <w:rFonts w:hint="eastAsia" w:cs="Arial" w:asciiTheme="minorEastAsia" w:hAnsiTheme="minorEastAsia" w:eastAsiaTheme="minorEastAsia"/>
          <w:color w:val="auto"/>
          <w:szCs w:val="21"/>
          <w:highlight w:val="none"/>
        </w:rPr>
        <w:t xml:space="preserve">涉及商品包装、快递包装要求的，应按照《商品包装政府采购需求标准（试行）》《快递包装政府采购需求标准（试行）》（财办库〔2020〕123号）、《江苏省财政厅关于加强政府绿色采购有关事项的通知》（苏财购〔2023〕65号）文件执行。招标文件对商品包装和快递包装有具体要求的，政府采购合同中应当载明对投标人提供产品及相关快递服务的具体包装要求和履约验收相关条款，投标人须严格执行，必要时应按照要求在履约验收环节出具检测报告。</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（2）</w:t>
      </w:r>
      <w:r>
        <w:rPr>
          <w:rFonts w:hint="eastAsia" w:cs="宋体" w:asciiTheme="minorEastAsia" w:hAnsiTheme="minorEastAsia" w:eastAsiaTheme="minorEastAsia"/>
          <w:color w:val="auto"/>
          <w:szCs w:val="21"/>
          <w:highlight w:val="none"/>
        </w:rPr>
        <w:t xml:space="preserve">拟采购产品</w:t>
      </w:r>
      <w:r>
        <w:rPr>
          <w:rFonts w:hint="eastAsia" w:cs="Arial" w:asciiTheme="minorEastAsia" w:hAnsiTheme="minorEastAsia" w:eastAsiaTheme="minorEastAsia"/>
          <w:color w:val="auto"/>
          <w:szCs w:val="21"/>
          <w:highlight w:val="none"/>
        </w:rPr>
        <w:t xml:space="preserve">涉及数据中心相关设备、运维服务的，应按照《关于印发〈绿色数据中心政府采购需求标准（试行）的通知》（财办库〔2023〕7号）、《江苏省财政厅关于加强政府绿色采购有关事项的通知》（苏财购〔2023〕65号）等文件执行。招标文件中涉及数据中心相关设备、运维服务的，投标人均以《绿色数据中心政府采购需求标准（试行）》提出的指标、标准为准。采购人应在政府采购合同中明确对相关指标的验收方式和违约责任，投标人应按合同约定提供设备或服务。</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（3）</w:t>
      </w:r>
      <w:r>
        <w:rPr>
          <w:rFonts w:hint="eastAsia" w:cs="宋体" w:asciiTheme="minorEastAsia" w:hAnsiTheme="minorEastAsia" w:eastAsiaTheme="minorEastAsia"/>
          <w:color w:val="auto"/>
          <w:szCs w:val="21"/>
          <w:highlight w:val="none"/>
        </w:rPr>
        <w:t xml:space="preserve">拟采购产品</w:t>
      </w:r>
      <w:r>
        <w:rPr>
          <w:rFonts w:hint="eastAsia" w:cs="Arial" w:asciiTheme="minorEastAsia" w:hAnsiTheme="minorEastAsia" w:eastAsiaTheme="minorEastAsia"/>
          <w:color w:val="auto"/>
          <w:szCs w:val="21"/>
          <w:highlight w:val="none"/>
        </w:rPr>
        <w:t xml:space="preserve">涉及涂料、胶黏剂、油墨、清洗剂等挥发性有机物产品的，属于强制性标准的，投标人应当提供符合国家和江苏省相关VOCs 含量限制标准的产品。</w:t>
      </w:r>
      <w:r>
        <w:rPr>
          <w:rFonts w:hint="eastAsia" w:cs="宋体" w:asciiTheme="minorEastAsia" w:hAnsiTheme="minorEastAsia" w:eastAsiaTheme="minorEastAsia"/>
          <w:color w:val="auto"/>
          <w:szCs w:val="21"/>
          <w:highlight w:val="none"/>
        </w:rPr>
        <w:t xml:space="preserve">拟采购产品</w:t>
      </w:r>
      <w:r>
        <w:rPr>
          <w:rFonts w:hint="eastAsia" w:cs="Arial" w:asciiTheme="minorEastAsia" w:hAnsiTheme="minorEastAsia" w:eastAsiaTheme="minorEastAsia"/>
          <w:color w:val="auto"/>
          <w:szCs w:val="21"/>
          <w:highlight w:val="none"/>
        </w:rPr>
        <w:t xml:space="preserve">涉及通用类货物、家具的，投标人应当优先使用低挥发性原辅材料，采购人将使用低VOCs含量的涂料、胶黏剂等纳入政府采购合同条款的，投标人必须严格执行。</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（4）</w:t>
      </w:r>
      <w:r>
        <w:rPr>
          <w:rFonts w:hint="eastAsia" w:cs="宋体" w:asciiTheme="minorEastAsia" w:hAnsiTheme="minorEastAsia" w:eastAsiaTheme="minorEastAsia"/>
          <w:color w:val="auto"/>
          <w:szCs w:val="21"/>
          <w:highlight w:val="none"/>
        </w:rPr>
        <w:t xml:space="preserve">拟采购产品</w:t>
      </w:r>
      <w:r>
        <w:rPr>
          <w:rFonts w:hint="eastAsia" w:cs="Arial" w:asciiTheme="minorEastAsia" w:hAnsiTheme="minorEastAsia" w:eastAsiaTheme="minorEastAsia"/>
          <w:color w:val="auto"/>
          <w:szCs w:val="21"/>
          <w:highlight w:val="none"/>
        </w:rPr>
        <w:t xml:space="preserve">涉及数据库、操作系统、通用服务器、工作站、一体式计算机、便携式计算机、台式计算机的，投标人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投标人所提供的上述产品进行验收，必要时可以委托依法取得检测、认证资质的机构进行检测、认证。</w:t>
      </w:r>
      <w:r/>
    </w:p>
    <w:p>
      <w:pPr>
        <w:ind w:firstLine="420"/>
        <w:spacing w:line="360" w:lineRule="auto"/>
        <w:shd w:val="clear" w:color="auto" w:fill="ffffff"/>
        <w:widowControl/>
        <w:rPr>
          <w:rFonts w:hint="eastAsia" w:cs="Arial" w:asciiTheme="minorEastAsia" w:hAnsiTheme="minorEastAsia" w:eastAsiaTheme="minorEastAsia"/>
          <w:b/>
          <w:bCs/>
          <w:color w:val="auto"/>
          <w:szCs w:val="21"/>
          <w:highlight w:val="none"/>
        </w:rPr>
      </w:pPr>
      <w:r>
        <w:rPr>
          <w:rFonts w:hint="eastAsia" w:cs="Arial" w:asciiTheme="minorEastAsia" w:hAnsiTheme="minorEastAsia" w:eastAsiaTheme="minorEastAsia"/>
          <w:b/>
          <w:bCs/>
          <w:color w:val="auto"/>
          <w:szCs w:val="21"/>
          <w:highlight w:val="none"/>
        </w:rPr>
        <w:t xml:space="preserve">3.7 本国产品支持政策</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1）本国产品应当符合以下条件：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2）本国产品标准的适用范围：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cs="Arial" w:asciiTheme="minorEastAsia" w:hAnsiTheme="minorEastAsia" w:eastAsiaTheme="minorEastAsia"/>
          <w:b/>
          <w:bCs/>
          <w:color w:val="auto"/>
          <w:szCs w:val="21"/>
          <w:highlight w:val="none"/>
        </w:rPr>
        <w:t xml:space="preserve">政府采购活动涉及本国产品的，投标人应当出具</w:t>
      </w:r>
      <w:bookmarkStart w:id="58" w:name="OLE_LINK44"/>
      <w:r>
        <w:rPr>
          <w:rFonts w:hint="eastAsia" w:cs="Arial" w:asciiTheme="minorEastAsia" w:hAnsiTheme="minorEastAsia" w:eastAsiaTheme="minorEastAsia"/>
          <w:b/>
          <w:bCs/>
          <w:color w:val="auto"/>
          <w:szCs w:val="21"/>
          <w:highlight w:val="none"/>
        </w:rPr>
        <w:t xml:space="preserve">《</w:t>
      </w:r>
      <w:bookmarkStart w:id="59" w:name="OLE_LINK43"/>
      <w:r>
        <w:rPr>
          <w:rFonts w:hint="eastAsia" w:cs="Arial" w:asciiTheme="minorEastAsia" w:hAnsiTheme="minorEastAsia" w:eastAsiaTheme="minorEastAsia"/>
          <w:b/>
          <w:bCs/>
          <w:color w:val="auto"/>
          <w:szCs w:val="21"/>
          <w:highlight w:val="none"/>
        </w:rPr>
        <w:t xml:space="preserve">关于符合本国产品标准的声明函</w:t>
      </w:r>
      <w:bookmarkEnd w:id="59"/>
      <w:r>
        <w:rPr>
          <w:rFonts w:hint="eastAsia" w:cs="Arial" w:asciiTheme="minorEastAsia" w:hAnsiTheme="minorEastAsia" w:eastAsiaTheme="minorEastAsia"/>
          <w:b/>
          <w:bCs/>
          <w:color w:val="auto"/>
          <w:szCs w:val="21"/>
          <w:highlight w:val="none"/>
        </w:rPr>
        <w:t xml:space="preserve">》</w:t>
      </w:r>
      <w:bookmarkEnd w:id="58"/>
      <w:r>
        <w:rPr>
          <w:rFonts w:hint="eastAsia" w:cs="Arial" w:asciiTheme="minorEastAsia" w:hAnsiTheme="minorEastAsia" w:eastAsiaTheme="minorEastAsia"/>
          <w:b/>
          <w:bCs/>
          <w:color w:val="auto"/>
          <w:szCs w:val="21"/>
          <w:highlight w:val="none"/>
        </w:rPr>
        <w:t xml:space="preserve">（格式见第六章附件，下同），否则不得享受价格评审优惠。</w:t>
      </w:r>
      <w:r>
        <w:rPr>
          <w:rFonts w:hint="eastAsia" w:cs="Arial" w:asciiTheme="minorEastAsia" w:hAnsiTheme="minorEastAsia" w:eastAsiaTheme="minorEastAsia"/>
          <w:color w:val="auto"/>
          <w:szCs w:val="21"/>
          <w:highlight w:val="none"/>
        </w:rPr>
        <w:t xml:space="preserve">本国产品支持政策详见《国务院办公厅关于在政府采购中实施本国产品标准及相关政策的通知》（国办发〔2025〕34号）。</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（3）对本国产品的支持政策：本项目政府采购活动中既有本国产品又有非本国产品参与竞争的，依法对本国产品给予价格评审优惠，对本国产品的报价给予20%的价格扣除，用扣除后的价格参与评审。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shd w:val="clear" w:color="auto" w:fill="ffffff"/>
        <w:widowControl/>
        <w:rPr>
          <w:rFonts w:hint="eastAsia" w:cs="Arial" w:asciiTheme="minorEastAsia" w:hAnsiTheme="minorEastAsia" w:eastAsiaTheme="minorEastAsia"/>
          <w:b/>
          <w:bCs/>
          <w:color w:val="auto"/>
          <w:szCs w:val="21"/>
          <w:highlight w:val="none"/>
        </w:rPr>
      </w:pPr>
      <w:r>
        <w:rPr>
          <w:rFonts w:hint="eastAsia" w:cs="Arial" w:asciiTheme="minorEastAsia" w:hAnsiTheme="minorEastAsia" w:eastAsiaTheme="minorEastAsia"/>
          <w:b w:val="0"/>
          <w:bCs w:val="0"/>
          <w:color w:val="auto"/>
          <w:szCs w:val="21"/>
          <w:highlight w:val="none"/>
        </w:rPr>
        <w:t xml:space="preserve">采购项目或者采购包中含有多种产品，</w:t>
      </w:r>
      <w:bookmarkStart w:id="60" w:name="_Hlk223360973"/>
      <w:r>
        <w:rPr>
          <w:rFonts w:hint="eastAsia" w:cs="Arial" w:asciiTheme="minorEastAsia" w:hAnsiTheme="minorEastAsia" w:eastAsiaTheme="minorEastAsia"/>
          <w:b w:val="0"/>
          <w:bCs w:val="0"/>
          <w:color w:val="auto"/>
          <w:szCs w:val="21"/>
          <w:highlight w:val="none"/>
        </w:rPr>
        <w:t xml:space="preserve">投标人</w:t>
      </w:r>
      <w:bookmarkEnd w:id="60"/>
      <w:r>
        <w:rPr>
          <w:rFonts w:hint="eastAsia" w:cs="Arial" w:asciiTheme="minorEastAsia" w:hAnsiTheme="minorEastAsia" w:eastAsiaTheme="minorEastAsia"/>
          <w:b w:val="0"/>
          <w:bCs w:val="0"/>
          <w:color w:val="auto"/>
          <w:szCs w:val="21"/>
          <w:highlight w:val="none"/>
        </w:rPr>
        <w:t xml:space="preserve">为该采购项目或者采购包提供的符合本国产品标准的产品成本之和占该投标人提供的全部产品成本之和的比例达到80%以上时</w:t>
      </w:r>
      <w:r>
        <w:rPr>
          <w:rFonts w:hint="eastAsia" w:cs="Arial" w:asciiTheme="minorEastAsia" w:hAnsiTheme="minorEastAsia" w:eastAsiaTheme="minorEastAsia"/>
          <w:b/>
          <w:bCs/>
          <w:color w:val="auto"/>
          <w:szCs w:val="21"/>
          <w:highlight w:val="none"/>
        </w:rPr>
        <w:t xml:space="preserve">(投标人需在</w:t>
      </w:r>
      <w:bookmarkStart w:id="61" w:name="OLE_LINK45"/>
      <w:r>
        <w:rPr>
          <w:rFonts w:hint="eastAsia" w:cs="Arial" w:asciiTheme="minorEastAsia" w:hAnsiTheme="minorEastAsia" w:eastAsiaTheme="minorEastAsia"/>
          <w:b/>
          <w:bCs/>
          <w:color w:val="auto"/>
          <w:szCs w:val="21"/>
          <w:highlight w:val="none"/>
        </w:rPr>
        <w:t xml:space="preserve">《关于符合本国产品标准的声明函》</w:t>
      </w:r>
      <w:bookmarkEnd w:id="61"/>
      <w:r>
        <w:rPr>
          <w:rFonts w:hint="eastAsia" w:cs="Arial" w:asciiTheme="minorEastAsia" w:hAnsiTheme="minorEastAsia" w:eastAsiaTheme="minorEastAsia"/>
          <w:b/>
          <w:bCs/>
          <w:color w:val="auto"/>
          <w:szCs w:val="21"/>
          <w:highlight w:val="none"/>
        </w:rPr>
        <w:t xml:space="preserve">中填写比例数值）</w:t>
      </w:r>
      <w:r>
        <w:rPr>
          <w:rFonts w:hint="eastAsia" w:cs="Arial" w:asciiTheme="minorEastAsia" w:hAnsiTheme="minorEastAsia" w:eastAsiaTheme="minorEastAsia"/>
          <w:b w:val="0"/>
          <w:bCs w:val="0"/>
          <w:color w:val="auto"/>
          <w:szCs w:val="21"/>
          <w:highlight w:val="none"/>
        </w:rPr>
        <w:t xml:space="preserve">，依法对该投标人提供的全部产品给予价格评审优惠，即对该投标人提供的全部产品的总报价给予20%的价格扣除，用扣除后的价格参与评审。</w:t>
      </w:r>
      <w:r>
        <w:rPr>
          <w:rFonts w:hint="eastAsia" w:cs="Arial" w:asciiTheme="minorEastAsia" w:hAnsiTheme="minorEastAsia" w:eastAsiaTheme="minorEastAsia"/>
          <w:b/>
          <w:bCs/>
          <w:color w:val="auto"/>
          <w:szCs w:val="21"/>
          <w:highlight w:val="none"/>
        </w:rPr>
        <w:t xml:space="preserve">投标人未填写比例数值，或比例数值未达到80%的，将不享受本国产品价格评审优惠。</w:t>
      </w:r>
      <w:r/>
    </w:p>
    <w:p>
      <w:pPr>
        <w:ind w:firstLine="420"/>
        <w:spacing w:line="360" w:lineRule="auto"/>
        <w:shd w:val="clear" w:color="auto" w:fill="ffffff"/>
        <w:widowControl/>
        <w:rPr>
          <w:rFonts w:hint="eastAsia" w:cs="Arial" w:asciiTheme="minorEastAsia" w:hAnsiTheme="minorEastAsia" w:eastAsiaTheme="minorEastAsia"/>
          <w:b/>
          <w:bCs/>
          <w:color w:val="auto"/>
          <w:szCs w:val="21"/>
          <w:highlight w:val="none"/>
        </w:rPr>
      </w:pPr>
      <w:r>
        <w:rPr>
          <w:rFonts w:hint="eastAsia" w:cs="Arial" w:asciiTheme="minorEastAsia" w:hAnsiTheme="minorEastAsia" w:eastAsiaTheme="minorEastAsia"/>
          <w:b w:val="0"/>
          <w:bCs w:val="0"/>
          <w:color w:val="auto"/>
          <w:szCs w:val="21"/>
          <w:highlight w:val="none"/>
        </w:rPr>
        <w:t xml:space="preserve">（4）政策执行要求：</w:t>
      </w:r>
      <w:r>
        <w:rPr>
          <w:rFonts w:hint="eastAsia" w:cs="Arial" w:asciiTheme="minorEastAsia" w:hAnsiTheme="minorEastAsia" w:eastAsiaTheme="minorEastAsia"/>
          <w:b/>
          <w:bCs/>
          <w:color w:val="auto"/>
          <w:szCs w:val="21"/>
          <w:highlight w:val="none"/>
        </w:rPr>
        <w:t xml:space="preserve">投标人需在《关于符合本国产品标准的声明函》中逐一、准确填写产品名称、厂名、生产厂址三项信息，三项信息中任意一项未填写的视为该项产品不符合本国产品标准，不享受本国产品价格评审优惠。</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评标过程中，如发现投标人提供的</w:t>
      </w:r>
      <w:bookmarkStart w:id="62" w:name="OLE_LINK48"/>
      <w:r>
        <w:rPr>
          <w:rFonts w:hint="eastAsia" w:cs="Arial" w:asciiTheme="minorEastAsia" w:hAnsiTheme="minorEastAsia" w:eastAsiaTheme="minorEastAsia"/>
          <w:color w:val="auto"/>
          <w:szCs w:val="21"/>
          <w:highlight w:val="none"/>
        </w:rPr>
        <w:t xml:space="preserve">《关于符合本国产品标准的声明函》</w:t>
      </w:r>
      <w:bookmarkEnd w:id="62"/>
      <w:r>
        <w:rPr>
          <w:rFonts w:hint="eastAsia" w:cs="Arial" w:asciiTheme="minorEastAsia" w:hAnsiTheme="minorEastAsia" w:eastAsiaTheme="minorEastAsia"/>
          <w:color w:val="auto"/>
          <w:szCs w:val="21"/>
          <w:highlight w:val="none"/>
        </w:rPr>
        <w:t xml:space="preserve">内容含义不明确、同类事项与投标文件表述不一致或者有明显文字错误等情况的，评标委员会应当以书面形式要求</w:t>
      </w:r>
      <w:bookmarkStart w:id="63" w:name="OLE_LINK46"/>
      <w:r>
        <w:rPr>
          <w:rFonts w:hint="eastAsia" w:cs="Arial" w:asciiTheme="minorEastAsia" w:hAnsiTheme="minorEastAsia" w:eastAsiaTheme="minorEastAsia"/>
          <w:color w:val="auto"/>
          <w:szCs w:val="21"/>
          <w:highlight w:val="none"/>
        </w:rPr>
        <w:t xml:space="preserve">投标人</w:t>
      </w:r>
      <w:bookmarkEnd w:id="63"/>
      <w:r>
        <w:rPr>
          <w:rFonts w:hint="eastAsia" w:cs="Arial" w:asciiTheme="minorEastAsia" w:hAnsiTheme="minorEastAsia" w:eastAsiaTheme="minorEastAsia"/>
          <w:color w:val="auto"/>
          <w:szCs w:val="21"/>
          <w:highlight w:val="none"/>
        </w:rPr>
        <w:t xml:space="preserve">作出必要的澄清、说明或者补正。经澄清、说明或者补正的《关于符合本国产品标准的声明函》仍然不符合《国务院办公厅关于在政府采购中实施本国产品标准及相关政策的通知》（国办发〔2025〕34号）和招标文件规定的，投标人提供的相关产品视为不符合本国产品标准。</w:t>
      </w:r>
      <w:r/>
    </w:p>
    <w:p>
      <w:pPr>
        <w:ind w:firstLine="420"/>
        <w:spacing w:line="360" w:lineRule="auto"/>
        <w:shd w:val="clear" w:color="auto" w:fill="ffffff"/>
        <w:widowControl/>
        <w:rPr>
          <w:rFonts w:hint="eastAsia" w:cs="Arial" w:asciiTheme="minorEastAsia" w:hAnsiTheme="minorEastAsia" w:eastAsiaTheme="minorEastAsia"/>
          <w:b/>
          <w:bCs/>
          <w:color w:val="auto"/>
          <w:szCs w:val="21"/>
          <w:highlight w:val="none"/>
        </w:rPr>
      </w:pPr>
      <w:r/>
      <w:bookmarkStart w:id="64" w:name="_Hlk223514161"/>
      <w:r>
        <w:rPr>
          <w:rFonts w:hint="eastAsia" w:cs="Arial" w:asciiTheme="minorEastAsia" w:hAnsiTheme="minorEastAsia" w:eastAsiaTheme="minorEastAsia"/>
          <w:b/>
          <w:bCs/>
          <w:color w:val="auto"/>
          <w:szCs w:val="21"/>
          <w:highlight w:val="none"/>
        </w:rPr>
        <w:t xml:space="preserve">对本国产品的支持政策与政府采购支持中小企业、节能环保等优惠政策可叠加使用，对应执行价格扣除政策的项目，统一在原报价的基础上给予价格扣除。</w:t>
      </w:r>
      <w:bookmarkEnd w:id="44"/>
      <w:r/>
      <w:bookmarkEnd w:id="53"/>
      <w:r/>
      <w:bookmarkEnd w:id="64"/>
      <w:r/>
      <w:r/>
    </w:p>
    <w:p>
      <w:pPr>
        <w:ind w:firstLine="412"/>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二、招标文件构成 </w:t>
      </w:r>
      <w:r/>
    </w:p>
    <w:p>
      <w:pPr>
        <w:ind w:firstLine="420"/>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4.招标文件组成</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4.1 招标文件由以下部分组成：</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（1）招标公告</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（2）投标人须知</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（3）评标标准</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（4）采购项目的内容和相关技术要求等</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（5）合同主要条款及格式</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（6）投标文件格式</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投标人应仔细检查招标文件是否齐全，如有缺漏请立即与采购代理机构联系。</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4.3 采购代理机构如果要求投标人按照招标文件规定提交备选投标方案的，投标人可以提交备选方案；招标文件中未明确规定允许提交备选方案的，投标人不得提交备选方案，否则，备选方案将被拒绝。</w:t>
      </w:r>
      <w:r/>
    </w:p>
    <w:p>
      <w:pPr>
        <w:ind w:firstLine="420"/>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4.4如招标文件中明确有核心产品，需提供核心产品品牌一览表，核心产品品牌一览表中所投核心产品品牌缺项的将视为无效投标。</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5.招标文件的澄清或者修改</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5.1</w:t>
      </w:r>
      <w:r>
        <w:rPr>
          <w:rFonts w:asciiTheme="minorEastAsia" w:hAnsiTheme="minorEastAsia" w:eastAsiaTheme="minorEastAsia"/>
          <w:color w:val="auto"/>
          <w:szCs w:val="21"/>
          <w:highlight w:val="none"/>
        </w:rPr>
        <w:t xml:space="preserve">采购人或者采购代理机构可以对已发出的招标文件、</w:t>
      </w:r>
      <w:r>
        <w:rPr>
          <w:rFonts w:hint="eastAsia" w:asciiTheme="minorEastAsia" w:hAnsiTheme="minorEastAsia" w:eastAsiaTheme="minorEastAsia"/>
          <w:color w:val="auto"/>
          <w:szCs w:val="21"/>
          <w:highlight w:val="none"/>
        </w:rPr>
        <w:t xml:space="preserve">招标公告</w:t>
      </w:r>
      <w:r>
        <w:rPr>
          <w:rFonts w:asciiTheme="minorEastAsia" w:hAnsiTheme="minorEastAsia" w:eastAsiaTheme="minorEastAsia"/>
          <w:color w:val="auto"/>
          <w:szCs w:val="21"/>
          <w:highlight w:val="none"/>
        </w:rPr>
        <w:t xml:space="preserve">进行必要的澄清或者修改，但不得改变采购标的和资格条件。澄清或者修改应当在原公告发布媒体上发布更正公告。</w:t>
      </w:r>
      <w:r>
        <w:rPr>
          <w:rFonts w:hint="eastAsia" w:asciiTheme="minorEastAsia" w:hAnsiTheme="minorEastAsia" w:eastAsiaTheme="minorEastAsia"/>
          <w:color w:val="auto"/>
          <w:szCs w:val="21"/>
          <w:highlight w:val="none"/>
        </w:rPr>
        <w:t xml:space="preserve">更正内容将作为招标文件的组成部分，并对投标人具有约束力</w:t>
      </w:r>
      <w:r>
        <w:rPr>
          <w:rFonts w:asciiTheme="minorEastAsia" w:hAnsiTheme="minorEastAsia" w:eastAsiaTheme="minorEastAsia"/>
          <w:color w:val="auto"/>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bookmarkStart w:id="65" w:name="OLE_LINK47"/>
      <w:r>
        <w:rPr>
          <w:rFonts w:hint="eastAsia" w:asciiTheme="minorEastAsia" w:hAnsiTheme="minorEastAsia" w:eastAsiaTheme="minorEastAsia"/>
          <w:color w:val="auto"/>
          <w:szCs w:val="21"/>
          <w:highlight w:val="none"/>
        </w:rPr>
        <w:t xml:space="preserve">5.2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5.3 采购代理机构有权按照法律法规的要求推迟投标截止日期和开标日期，并在原公告媒体发布更正公告。</w:t>
      </w:r>
      <w:bookmarkEnd w:id="65"/>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三、投标文件的编制</w:t>
      </w:r>
      <w:r/>
    </w:p>
    <w:p>
      <w:pPr>
        <w:ind w:firstLine="422"/>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6.投标文件的语言、计量单位</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6.1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6.2 除技术性能另有规定外，投标文件所使用的度量衡单位，均须采用国家法定计量单位。</w:t>
      </w:r>
      <w:r/>
    </w:p>
    <w:p>
      <w:pPr>
        <w:ind w:firstLine="422"/>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7.投标文件的组成</w:t>
      </w:r>
      <w:r/>
    </w:p>
    <w:p>
      <w:pPr>
        <w:ind w:right="210"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7.1投标人编写的投标文件应包括资格条件证明文件、符合条件证明文件、开标一览表、响应及偏离表、其他证明文件、分项报价表等部分。</w:t>
      </w:r>
      <w:r/>
    </w:p>
    <w:p>
      <w:pPr>
        <w:ind w:right="210"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7.2 如标书制作工具中格式和内容与“江苏政府采购网”发布的招标文件不一致，以“江苏政府采购网”发布的招标文件为准。</w:t>
      </w:r>
      <w:r/>
    </w:p>
    <w:p>
      <w:pPr>
        <w:ind w:firstLine="422"/>
        <w:spacing w:line="360" w:lineRule="auto"/>
        <w:shd w:val="clear" w:color="auto" w:fill="ffffff"/>
        <w:widowControl/>
        <w:rPr>
          <w:rFonts w:hint="eastAsia" w:asciiTheme="minorEastAsia" w:hAnsiTheme="minorEastAsia" w:eastAsiaTheme="minorEastAsia"/>
          <w:color w:val="auto"/>
          <w:szCs w:val="21"/>
          <w:highlight w:val="none"/>
        </w:rPr>
      </w:pPr>
      <w:r/>
      <w:bookmarkStart w:id="66" w:name="_Toc14577357"/>
      <w:r/>
      <w:bookmarkStart w:id="67" w:name="_Toc49090509"/>
      <w:r/>
      <w:bookmarkStart w:id="68" w:name="_Toc513029219"/>
      <w:r/>
      <w:bookmarkStart w:id="69" w:name="_Toc49090507"/>
      <w:r/>
      <w:bookmarkStart w:id="70" w:name="_Toc513029216"/>
      <w:r/>
      <w:bookmarkStart w:id="71" w:name="_Toc14577354"/>
      <w:r/>
      <w:bookmarkStart w:id="72" w:name="_Hlk176530273"/>
      <w:r>
        <w:rPr>
          <w:rFonts w:hint="eastAsia" w:asciiTheme="minorEastAsia" w:hAnsiTheme="minorEastAsia" w:eastAsiaTheme="minorEastAsia"/>
          <w:b/>
          <w:bCs/>
          <w:color w:val="auto"/>
          <w:szCs w:val="21"/>
          <w:highlight w:val="none"/>
        </w:rPr>
        <w:t xml:space="preserve">8</w:t>
      </w:r>
      <w:r>
        <w:rPr>
          <w:rFonts w:asciiTheme="minorEastAsia" w:hAnsiTheme="minorEastAsia" w:eastAsiaTheme="minorEastAsia"/>
          <w:b/>
          <w:bCs/>
          <w:color w:val="auto"/>
          <w:szCs w:val="21"/>
          <w:highlight w:val="none"/>
        </w:rPr>
        <w:t xml:space="preserve">.证明投标人及投标标的符合招标文件规定的文件</w:t>
      </w:r>
      <w:bookmarkEnd w:id="66"/>
      <w:r/>
      <w:bookmarkEnd w:id="67"/>
      <w:r/>
      <w:bookmarkEnd w:id="68"/>
      <w:r/>
      <w:bookmarkEnd w:id="69"/>
      <w:r/>
      <w:bookmarkEnd w:id="70"/>
      <w:r/>
      <w:bookmarkEnd w:id="71"/>
      <w:r/>
      <w:r/>
    </w:p>
    <w:p>
      <w:pPr>
        <w:ind w:right="210"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bookmarkStart w:id="73" w:name="_Toc49090508"/>
      <w:r/>
      <w:bookmarkStart w:id="74" w:name="_Toc14577355"/>
      <w:r>
        <w:rPr>
          <w:rFonts w:hint="eastAsia" w:asciiTheme="minorEastAsia" w:hAnsiTheme="minorEastAsia" w:eastAsiaTheme="minorEastAsia"/>
          <w:color w:val="auto"/>
          <w:szCs w:val="21"/>
          <w:highlight w:val="none"/>
        </w:rPr>
        <w:t xml:space="preserve">8.1 投标人应按照法律、法规、规章和规范性文件以及招标文件要求提交证明文件，证明其投标标的符合招标文件规定。</w:t>
      </w:r>
      <w:r/>
    </w:p>
    <w:p>
      <w:pPr>
        <w:ind w:right="210"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8.2 招标文件对证明文件无明确形式要求的，证明文件可以以文字资料、图纸和数据等形式提交。</w:t>
      </w:r>
      <w:bookmarkEnd w:id="72"/>
      <w:r/>
      <w:bookmarkEnd w:id="73"/>
      <w:r/>
      <w:bookmarkEnd w:id="74"/>
      <w:r/>
      <w:r/>
    </w:p>
    <w:p>
      <w:pPr>
        <w:ind w:firstLine="422"/>
        <w:jc w:val="left"/>
        <w:spacing w:line="360" w:lineRule="auto"/>
        <w:shd w:val="clear" w:color="auto" w:fill="ffffff"/>
        <w:widowControl/>
        <w:rPr>
          <w:rFonts w:hint="eastAsia" w:asciiTheme="minorEastAsia" w:hAnsiTheme="minorEastAsia" w:eastAsiaTheme="minorEastAsia"/>
          <w:color w:val="auto"/>
          <w:szCs w:val="21"/>
          <w:highlight w:val="none"/>
        </w:rPr>
      </w:pPr>
      <w:r/>
      <w:bookmarkStart w:id="75" w:name="_Hlt26954842"/>
      <w:r/>
      <w:bookmarkEnd w:id="75"/>
      <w:r/>
      <w:bookmarkStart w:id="76" w:name="_Hlt26670403"/>
      <w:r/>
      <w:bookmarkEnd w:id="76"/>
      <w:r/>
      <w:bookmarkStart w:id="77" w:name="_Hlt26954731"/>
      <w:r/>
      <w:bookmarkEnd w:id="77"/>
      <w:r/>
      <w:bookmarkStart w:id="78" w:name="_Hlt26668983"/>
      <w:r/>
      <w:bookmarkEnd w:id="78"/>
      <w:r/>
      <w:bookmarkStart w:id="79" w:name="_Hlt26954846"/>
      <w:r/>
      <w:bookmarkEnd w:id="79"/>
      <w:r/>
      <w:bookmarkStart w:id="80" w:name="_Hlt26670482"/>
      <w:r/>
      <w:bookmarkEnd w:id="80"/>
      <w:r/>
      <w:bookmarkStart w:id="81" w:name="_Hlt26670425"/>
      <w:r/>
      <w:bookmarkEnd w:id="81"/>
      <w:r/>
      <w:bookmarkStart w:id="82" w:name="_Hlt26670486"/>
      <w:r/>
      <w:bookmarkEnd w:id="82"/>
      <w:r/>
      <w:bookmarkStart w:id="83" w:name="_Hlt26954848"/>
      <w:r/>
      <w:bookmarkEnd w:id="83"/>
      <w:r/>
      <w:bookmarkStart w:id="84" w:name="_Hlt26954844"/>
      <w:r/>
      <w:bookmarkEnd w:id="84"/>
      <w:r>
        <w:rPr>
          <w:rFonts w:hint="eastAsia" w:asciiTheme="minorEastAsia" w:hAnsiTheme="minorEastAsia" w:eastAsiaTheme="minorEastAsia"/>
          <w:b/>
          <w:bCs/>
          <w:color w:val="auto"/>
          <w:szCs w:val="21"/>
          <w:highlight w:val="none"/>
        </w:rPr>
        <w:t xml:space="preserve">9</w:t>
      </w:r>
      <w:r>
        <w:rPr>
          <w:rFonts w:asciiTheme="minorEastAsia" w:hAnsiTheme="minorEastAsia" w:eastAsiaTheme="minorEastAsia"/>
          <w:b/>
          <w:bCs/>
          <w:color w:val="auto"/>
          <w:szCs w:val="21"/>
          <w:highlight w:val="none"/>
        </w:rPr>
        <w:t xml:space="preserve">.</w:t>
      </w:r>
      <w:r>
        <w:rPr>
          <w:rFonts w:hint="eastAsia" w:asciiTheme="minorEastAsia" w:hAnsiTheme="minorEastAsia" w:eastAsiaTheme="minorEastAsia"/>
          <w:b/>
          <w:bCs/>
          <w:color w:val="auto"/>
          <w:szCs w:val="21"/>
          <w:highlight w:val="none"/>
        </w:rPr>
        <w:t xml:space="preserve"> 投标货币</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9.1</w:t>
      </w:r>
      <w:bookmarkStart w:id="85" w:name="OLE_LINK63"/>
      <w:r>
        <w:rPr>
          <w:rFonts w:hint="eastAsia" w:asciiTheme="minorEastAsia" w:hAnsiTheme="minorEastAsia" w:eastAsiaTheme="minorEastAsia"/>
          <w:color w:val="auto"/>
          <w:szCs w:val="21"/>
          <w:highlight w:val="none"/>
        </w:rPr>
        <w:t xml:space="preserve">投标文件中的单价和总价无特殊规定的采用人民币报价，以元为单位标注。招标文件中另有规定的按规定执行。</w:t>
      </w:r>
      <w:bookmarkEnd w:id="85"/>
      <w:r/>
      <w:r/>
    </w:p>
    <w:p>
      <w:pPr>
        <w:ind w:firstLine="422"/>
        <w:jc w:val="left"/>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10</w:t>
      </w:r>
      <w:r>
        <w:rPr>
          <w:rFonts w:asciiTheme="minorEastAsia" w:hAnsiTheme="minorEastAsia" w:eastAsiaTheme="minorEastAsia"/>
          <w:b/>
          <w:bCs/>
          <w:color w:val="auto"/>
          <w:szCs w:val="21"/>
          <w:highlight w:val="none"/>
        </w:rPr>
        <w:t xml:space="preserve">.</w:t>
      </w:r>
      <w:bookmarkStart w:id="86" w:name="OLE_LINK60"/>
      <w:r>
        <w:rPr>
          <w:rFonts w:asciiTheme="minorEastAsia" w:hAnsiTheme="minorEastAsia" w:eastAsiaTheme="minorEastAsia"/>
          <w:b/>
          <w:bCs/>
          <w:color w:val="auto"/>
          <w:szCs w:val="21"/>
          <w:highlight w:val="none"/>
        </w:rPr>
        <w:t xml:space="preserve">响应及偏离</w:t>
      </w:r>
      <w:bookmarkEnd w:id="86"/>
      <w:r>
        <w:rPr>
          <w:rFonts w:asciiTheme="minorEastAsia" w:hAnsiTheme="minorEastAsia" w:eastAsiaTheme="minorEastAsia"/>
          <w:b/>
          <w:bCs/>
          <w:color w:val="auto"/>
          <w:szCs w:val="21"/>
          <w:highlight w:val="none"/>
        </w:rPr>
        <w:t xml:space="preserve">表</w:t>
      </w:r>
      <w:r/>
    </w:p>
    <w:p>
      <w:pPr>
        <w:ind w:firstLine="422"/>
        <w:jc w:val="left"/>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10.1投标人须对招标文件中的</w:t>
      </w:r>
      <w:bookmarkStart w:id="87" w:name="OLE_LINK57"/>
      <w:r>
        <w:rPr>
          <w:rFonts w:hint="eastAsia" w:asciiTheme="minorEastAsia" w:hAnsiTheme="minorEastAsia" w:eastAsiaTheme="minorEastAsia"/>
          <w:b/>
          <w:bCs/>
          <w:color w:val="auto"/>
          <w:szCs w:val="21"/>
          <w:highlight w:val="none"/>
        </w:rPr>
        <w:t xml:space="preserve">技术要求与商务要求的</w:t>
      </w:r>
      <w:bookmarkStart w:id="88" w:name="OLE_LINK58"/>
      <w:r>
        <w:rPr>
          <w:rFonts w:hint="eastAsia" w:asciiTheme="minorEastAsia" w:hAnsiTheme="minorEastAsia" w:eastAsiaTheme="minorEastAsia"/>
          <w:b/>
          <w:bCs/>
          <w:color w:val="auto"/>
          <w:szCs w:val="21"/>
          <w:highlight w:val="none"/>
        </w:rPr>
        <w:t xml:space="preserve">实质性要求</w:t>
      </w:r>
      <w:bookmarkEnd w:id="87"/>
      <w:r/>
      <w:bookmarkEnd w:id="88"/>
      <w:r>
        <w:rPr>
          <w:rFonts w:hint="eastAsia" w:asciiTheme="minorEastAsia" w:hAnsiTheme="minorEastAsia" w:eastAsiaTheme="minorEastAsia"/>
          <w:b/>
          <w:bCs/>
          <w:color w:val="auto"/>
          <w:szCs w:val="21"/>
          <w:highlight w:val="none"/>
        </w:rPr>
        <w:t xml:space="preserve">（斜体且有下划线部分，或者打“★”“*”等其他文字说明的商务和技术要求）做出明确响应，投标人未对实质性要求作出明确响应或有负偏离的，视为无效投标。</w:t>
      </w:r>
      <w:r/>
    </w:p>
    <w:p>
      <w:pPr>
        <w:ind w:right="210"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10.2 </w:t>
      </w:r>
      <w:bookmarkStart w:id="89" w:name="OLE_LINK56"/>
      <w:r>
        <w:rPr>
          <w:rFonts w:hint="eastAsia" w:asciiTheme="minorEastAsia" w:hAnsiTheme="minorEastAsia" w:eastAsiaTheme="minorEastAsia"/>
          <w:color w:val="auto"/>
          <w:szCs w:val="21"/>
          <w:highlight w:val="none"/>
        </w:rPr>
        <w:t xml:space="preserve">招标文件中除了实质性要求外的</w:t>
      </w:r>
      <w:bookmarkStart w:id="90" w:name="OLE_LINK52"/>
      <w:r>
        <w:rPr>
          <w:rFonts w:hint="eastAsia" w:asciiTheme="minorEastAsia" w:hAnsiTheme="minorEastAsia" w:eastAsiaTheme="minorEastAsia"/>
          <w:color w:val="auto"/>
          <w:szCs w:val="21"/>
          <w:highlight w:val="none"/>
        </w:rPr>
        <w:t xml:space="preserve">技术要求与商务要求</w:t>
      </w:r>
      <w:bookmarkEnd w:id="89"/>
      <w:r>
        <w:rPr>
          <w:rFonts w:hint="eastAsia" w:asciiTheme="minorEastAsia" w:hAnsiTheme="minorEastAsia" w:eastAsiaTheme="minorEastAsia"/>
          <w:color w:val="auto"/>
          <w:szCs w:val="21"/>
          <w:highlight w:val="none"/>
        </w:rPr>
        <w:t xml:space="preserve">，投标人未明确列明的，则视为全部响应、无偏离。</w:t>
      </w:r>
      <w:bookmarkEnd w:id="90"/>
      <w:r/>
      <w:r/>
    </w:p>
    <w:p>
      <w:pPr>
        <w:ind w:right="210"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10.3 </w:t>
      </w:r>
      <w:bookmarkStart w:id="91" w:name="_Hlk225775771"/>
      <w:r>
        <w:rPr>
          <w:rFonts w:hint="eastAsia" w:asciiTheme="minorEastAsia" w:hAnsiTheme="minorEastAsia" w:eastAsiaTheme="minorEastAsia"/>
          <w:color w:val="auto"/>
          <w:szCs w:val="21"/>
          <w:highlight w:val="none"/>
        </w:rPr>
        <w:t xml:space="preserve">投标人可以在投标文件中提供认为需要的其他技术文件或说明。</w:t>
      </w:r>
      <w:bookmarkEnd w:id="91"/>
      <w:r/>
      <w:r/>
    </w:p>
    <w:p>
      <w:pPr>
        <w:ind w:firstLine="422"/>
        <w:jc w:val="left"/>
        <w:spacing w:line="360" w:lineRule="auto"/>
        <w:shd w:val="clear" w:color="auto" w:fill="ffffff"/>
        <w:widowControl/>
        <w:rPr>
          <w:rFonts w:hint="eastAsia" w:asciiTheme="minorEastAsia" w:hAnsiTheme="minorEastAsia" w:eastAsiaTheme="minorEastAsia"/>
          <w:color w:val="auto"/>
          <w:szCs w:val="21"/>
          <w:highlight w:val="none"/>
        </w:rPr>
      </w:pPr>
      <w:r/>
      <w:bookmarkStart w:id="92" w:name="_Toc49090510"/>
      <w:r/>
      <w:bookmarkStart w:id="93" w:name="_Toc14577359"/>
      <w:r>
        <w:rPr>
          <w:rFonts w:asciiTheme="minorEastAsia" w:hAnsiTheme="minorEastAsia" w:eastAsiaTheme="minorEastAsia"/>
          <w:b/>
          <w:bCs/>
          <w:color w:val="auto"/>
          <w:szCs w:val="21"/>
          <w:highlight w:val="none"/>
        </w:rPr>
        <w:t xml:space="preserve">1</w:t>
      </w:r>
      <w:r>
        <w:rPr>
          <w:rFonts w:hint="eastAsia" w:asciiTheme="minorEastAsia" w:hAnsiTheme="minorEastAsia" w:eastAsiaTheme="minorEastAsia"/>
          <w:b/>
          <w:bCs/>
          <w:color w:val="auto"/>
          <w:szCs w:val="21"/>
          <w:highlight w:val="none"/>
        </w:rPr>
        <w:t xml:space="preserve">1</w:t>
      </w:r>
      <w:r>
        <w:rPr>
          <w:rFonts w:asciiTheme="minorEastAsia" w:hAnsiTheme="minorEastAsia" w:eastAsiaTheme="minorEastAsia"/>
          <w:b/>
          <w:bCs/>
          <w:color w:val="auto"/>
          <w:szCs w:val="21"/>
          <w:highlight w:val="none"/>
        </w:rPr>
        <w:t xml:space="preserve">.</w:t>
      </w:r>
      <w:bookmarkStart w:id="94" w:name="OLE_LINK27"/>
      <w:r>
        <w:rPr>
          <w:rFonts w:asciiTheme="minorEastAsia" w:hAnsiTheme="minorEastAsia" w:eastAsiaTheme="minorEastAsia"/>
          <w:b/>
          <w:bCs/>
          <w:color w:val="auto"/>
          <w:szCs w:val="21"/>
          <w:highlight w:val="none"/>
        </w:rPr>
        <w:t xml:space="preserve">投标函</w:t>
      </w:r>
      <w:bookmarkEnd w:id="94"/>
      <w:r>
        <w:rPr>
          <w:rFonts w:asciiTheme="minorEastAsia" w:hAnsiTheme="minorEastAsia" w:eastAsiaTheme="minorEastAsia"/>
          <w:b/>
          <w:bCs/>
          <w:color w:val="auto"/>
          <w:szCs w:val="21"/>
          <w:highlight w:val="none"/>
        </w:rPr>
        <w:t xml:space="preserve">和开标一览表</w:t>
      </w:r>
      <w:r/>
    </w:p>
    <w:p>
      <w:pPr>
        <w:ind w:right="210"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11.1 投标人应按照招标文件规定格式完整、正确填报投标函、开标一览表。</w:t>
      </w:r>
      <w:bookmarkEnd w:id="92"/>
      <w:r/>
      <w:bookmarkEnd w:id="93"/>
      <w:r/>
      <w:r/>
    </w:p>
    <w:p>
      <w:pPr>
        <w:ind w:right="210"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bookmarkStart w:id="95" w:name="_Hlk176879442"/>
      <w:r>
        <w:rPr>
          <w:rFonts w:hint="eastAsia" w:asciiTheme="minorEastAsia" w:hAnsiTheme="minorEastAsia" w:eastAsiaTheme="minorEastAsia"/>
          <w:color w:val="auto"/>
          <w:szCs w:val="21"/>
          <w:highlight w:val="none"/>
        </w:rPr>
        <w:t xml:space="preserve">11.2 </w:t>
      </w:r>
      <w:bookmarkStart w:id="96" w:name="OLE_LINK61"/>
      <w:r/>
      <w:bookmarkStart w:id="97" w:name="_Hlk175667315"/>
      <w:r>
        <w:rPr>
          <w:rFonts w:hint="eastAsia" w:asciiTheme="minorEastAsia" w:hAnsiTheme="minorEastAsia" w:eastAsiaTheme="minorEastAsia"/>
          <w:color w:val="auto"/>
          <w:szCs w:val="21"/>
          <w:highlight w:val="none"/>
        </w:rPr>
        <w:t xml:space="preserve">对于采用货币报价的项目，开标一览表中的投标总价应与分项报价表中的投标总价一致</w:t>
      </w:r>
      <w:bookmarkEnd w:id="96"/>
      <w:r>
        <w:rPr>
          <w:rFonts w:hint="eastAsia" w:asciiTheme="minorEastAsia" w:hAnsiTheme="minorEastAsia" w:eastAsiaTheme="minorEastAsia"/>
          <w:color w:val="auto"/>
          <w:szCs w:val="21"/>
          <w:highlight w:val="none"/>
        </w:rPr>
        <w:t xml:space="preserve">，如不一致评标时以开标一览表中价格为准。</w:t>
      </w:r>
      <w:bookmarkEnd w:id="95"/>
      <w:r/>
      <w:bookmarkEnd w:id="97"/>
      <w:r/>
      <w:r/>
    </w:p>
    <w:p>
      <w:pPr>
        <w:ind w:firstLine="422"/>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12.投标保证金</w:t>
      </w:r>
      <w:r/>
    </w:p>
    <w:p>
      <w:pPr>
        <w:ind w:firstLine="420"/>
        <w:spacing w:line="360" w:lineRule="auto"/>
        <w:shd w:val="clear" w:color="auto" w:fill="ffffff"/>
        <w:widowControl/>
        <w:rPr>
          <w:rFonts w:hint="eastAsia" w:asciiTheme="minorEastAsia" w:hAnsiTheme="minorEastAsia" w:eastAsiaTheme="minorEastAsia"/>
          <w:b/>
          <w:bCs/>
          <w:color w:val="auto"/>
          <w:szCs w:val="21"/>
          <w:highlight w:val="none"/>
        </w:rPr>
      </w:pPr>
      <w:r>
        <w:rPr>
          <w:rFonts w:asciiTheme="minorEastAsia" w:hAnsiTheme="minorEastAsia" w:eastAsiaTheme="minorEastAsia"/>
          <w:color w:val="auto"/>
          <w:szCs w:val="21"/>
          <w:highlight w:val="none"/>
        </w:rPr>
        <w:t xml:space="preserve">12.1</w:t>
      </w:r>
      <w:bookmarkStart w:id="98" w:name="_Hlk68014334"/>
      <w:r>
        <w:rPr>
          <w:rFonts w:hint="eastAsia" w:asciiTheme="minorEastAsia" w:hAnsiTheme="minorEastAsia" w:eastAsiaTheme="minorEastAsia"/>
          <w:bCs/>
          <w:color w:val="auto"/>
          <w:szCs w:val="21"/>
          <w:highlight w:val="none"/>
        </w:rPr>
        <w:t xml:space="preserve">本项目不收取投标保证金。</w:t>
      </w:r>
      <w:bookmarkEnd w:id="98"/>
      <w:r/>
      <w:r/>
    </w:p>
    <w:p>
      <w:pPr>
        <w:ind w:firstLine="422"/>
        <w:spacing w:line="360" w:lineRule="auto"/>
        <w:shd w:val="clear" w:color="auto" w:fill="ffffff"/>
        <w:widowControl/>
        <w:rPr>
          <w:rFonts w:hint="eastAsia" w:asciiTheme="minorEastAsia" w:hAnsiTheme="minorEastAsia" w:eastAsiaTheme="minorEastAsia"/>
          <w:b/>
          <w:bCs/>
          <w:color w:val="auto"/>
          <w:szCs w:val="21"/>
          <w:highlight w:val="none"/>
        </w:rPr>
      </w:pPr>
      <w:r/>
      <w:bookmarkStart w:id="99" w:name="_Hlk176182487"/>
      <w:r>
        <w:rPr>
          <w:rFonts w:hint="eastAsia" w:asciiTheme="minorEastAsia" w:hAnsiTheme="minorEastAsia" w:eastAsiaTheme="minorEastAsia"/>
          <w:b/>
          <w:bCs/>
          <w:color w:val="auto"/>
          <w:szCs w:val="21"/>
          <w:highlight w:val="none"/>
        </w:rPr>
        <w:t xml:space="preserve">13.投标有效期</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13.1 自开标之日起</w:t>
      </w:r>
      <w:r>
        <w:rPr>
          <w:rFonts w:asciiTheme="minorEastAsia" w:hAnsiTheme="minorEastAsia" w:eastAsiaTheme="minorEastAsia"/>
          <w:color w:val="auto"/>
          <w:szCs w:val="21"/>
          <w:highlight w:val="none"/>
        </w:rPr>
        <w:t xml:space="preserve">90</w:t>
      </w:r>
      <w:r>
        <w:rPr>
          <w:rFonts w:hint="eastAsia" w:asciiTheme="minorEastAsia" w:hAnsiTheme="minorEastAsia" w:eastAsiaTheme="minorEastAsia"/>
          <w:color w:val="auto"/>
          <w:szCs w:val="21"/>
          <w:highlight w:val="none"/>
        </w:rPr>
        <w:t xml:space="preserve">天内投标有效</w:t>
      </w:r>
      <w:r>
        <w:rPr>
          <w:rFonts w:hint="eastAsia" w:asciiTheme="minorEastAsia" w:hAnsiTheme="minorEastAsia" w:eastAsiaTheme="minorEastAsia"/>
          <w:color w:val="auto"/>
          <w:szCs w:val="21"/>
          <w:highlight w:val="none"/>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13.2 特殊情况下，在原投标有效期截止之前，采购代理机构可要求投标人同意延长投标有效期，这种要求与答复均应以书面形式提交。投标人可以拒绝采购代理机构的这一要求而放弃投标。同意延长投标有效期的投标人既不能要求也不允许修改其投标文件，同时受投标有效期约束的所有权利与义务均延长至新的有效期满。</w:t>
      </w:r>
      <w:bookmarkEnd w:id="99"/>
      <w:r/>
      <w:r/>
    </w:p>
    <w:p>
      <w:pPr>
        <w:ind w:firstLine="422"/>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14.投标费用</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14.1 投标人应承担所有与准备和参加投标有关的费用，无论采购结果如何，采购代理机构和采购人在任何情况下均无义务和责任承担这些费用。</w:t>
      </w:r>
      <w:r/>
    </w:p>
    <w:p>
      <w:pPr>
        <w:ind w:firstLine="420"/>
        <w:spacing w:line="360" w:lineRule="auto"/>
        <w:shd w:val="clear" w:color="auto" w:fill="ffffff"/>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14.2</w:t>
      </w:r>
      <w:bookmarkStart w:id="100" w:name="_Hlk75346033"/>
      <w:r>
        <w:rPr>
          <w:rFonts w:hint="eastAsia" w:asciiTheme="minorEastAsia" w:hAnsiTheme="minorEastAsia" w:eastAsiaTheme="minorEastAsia"/>
          <w:b/>
          <w:color w:val="auto"/>
          <w:szCs w:val="21"/>
          <w:highlight w:val="none"/>
        </w:rPr>
        <w:t xml:space="preserve"> </w:t>
      </w:r>
      <w:bookmarkStart w:id="101" w:name="_Hlk75346060"/>
      <w:r>
        <w:rPr>
          <w:rFonts w:hint="eastAsia" w:asciiTheme="minorEastAsia" w:hAnsiTheme="minorEastAsia" w:eastAsiaTheme="minorEastAsia"/>
          <w:b/>
          <w:color w:val="auto"/>
          <w:szCs w:val="21"/>
          <w:highlight w:val="none"/>
        </w:rPr>
        <w:t xml:space="preserve">采购代理服务费</w:t>
      </w:r>
      <w:bookmarkEnd w:id="100"/>
      <w:r/>
      <w:bookmarkEnd w:id="101"/>
      <w:r/>
      <w:r/>
    </w:p>
    <w:p>
      <w:pPr>
        <w:ind w:firstLine="420"/>
        <w:spacing w:line="360" w:lineRule="auto"/>
        <w:shd w:val="clear" w:color="auto" w:fill="ffffff"/>
        <w:widowControl/>
        <w:rPr>
          <w:rFonts w:hint="eastAsia" w:asciiTheme="minorEastAsia" w:hAnsiTheme="minorEastAsia" w:eastAsiaTheme="minorEastAsia"/>
          <w:color w:val="auto"/>
          <w:szCs w:val="21"/>
          <w:highlight w:val="none"/>
          <w:lang w:val="en-US" w:eastAsia="zh-CN"/>
        </w:rPr>
      </w:pPr>
      <w:r/>
      <w:bookmarkStart w:id="102" w:name="OLE_LINK24"/>
      <w:r/>
      <w:bookmarkStart w:id="103" w:name="_Hlk77845966"/>
      <w:r>
        <w:rPr>
          <w:rFonts w:hint="eastAsia" w:asciiTheme="minorEastAsia" w:hAnsiTheme="minorEastAsia" w:eastAsiaTheme="minorEastAsia"/>
          <w:color w:val="auto"/>
          <w:szCs w:val="21"/>
          <w:highlight w:val="none"/>
          <w:lang w:val="en-US" w:eastAsia="zh-CN"/>
        </w:rPr>
        <w:t xml:space="preserve">因采购预算中已包含了代理服务费，本次采购由中标人支付代理服务费。按照《江苏省政府采购代理服务费指导意见》（苏政采协「2024」20号）代理招标收费基准费率55%计算，中标人在领取中标通知书前向采购代理机构支付采购代理服务费。</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代理服务费汇款信息：</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单位名称：江苏国采工程咨询有限公司</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银行账户：3205 0159 5536 0000 1231</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开户行：中国建设银行股份有限公司南京鼓楼支行</w:t>
      </w:r>
      <w:r/>
    </w:p>
    <w:p>
      <w:pPr>
        <w:ind w:firstLine="420"/>
        <w:spacing w:line="360" w:lineRule="auto"/>
        <w:shd w:val="clear" w:color="auto" w:fill="ffffff"/>
        <w:widowControl/>
        <w:rPr>
          <w:rFonts w:hint="eastAsia"/>
          <w:color w:val="auto"/>
          <w:highlight w:val="none"/>
        </w:rPr>
      </w:pPr>
      <w:r>
        <w:rPr>
          <w:rFonts w:hint="eastAsia" w:asciiTheme="minorEastAsia" w:hAnsiTheme="minorEastAsia" w:eastAsiaTheme="minorEastAsia"/>
          <w:b/>
          <w:bCs/>
          <w:color w:val="auto"/>
          <w:szCs w:val="21"/>
          <w:highlight w:val="none"/>
        </w:rPr>
        <w:t xml:space="preserve">注：代理服务费汇款时需备注汇款单位名称、项目名称、项目编号。</w:t>
      </w:r>
      <w:bookmarkEnd w:id="102"/>
      <w:r/>
      <w:bookmarkEnd w:id="103"/>
      <w:r/>
      <w:r/>
    </w:p>
    <w:p>
      <w:pPr>
        <w:ind w:firstLine="420"/>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1</w:t>
      </w:r>
      <w:r>
        <w:rPr>
          <w:rFonts w:hint="eastAsia" w:asciiTheme="minorEastAsia" w:hAnsiTheme="minorEastAsia" w:eastAsiaTheme="minorEastAsia"/>
          <w:b/>
          <w:bCs/>
          <w:color w:val="auto"/>
          <w:szCs w:val="21"/>
          <w:highlight w:val="none"/>
          <w:lang w:val="en-US" w:eastAsia="zh-CN"/>
        </w:rPr>
        <w:t xml:space="preserve">4</w:t>
      </w:r>
      <w:r>
        <w:rPr>
          <w:rFonts w:hint="eastAsia" w:asciiTheme="minorEastAsia" w:hAnsiTheme="minorEastAsia" w:eastAsiaTheme="minorEastAsia"/>
          <w:b/>
          <w:bCs/>
          <w:color w:val="auto"/>
          <w:szCs w:val="21"/>
          <w:highlight w:val="none"/>
        </w:rPr>
        <w:t xml:space="preserve">.3 专家评审费</w:t>
      </w:r>
      <w:r/>
    </w:p>
    <w:p>
      <w:pPr>
        <w:ind w:firstLine="420"/>
        <w:spacing w:line="360" w:lineRule="auto"/>
        <w:shd w:val="clear" w:color="auto" w:fill="ffffff"/>
        <w:widowControl/>
        <w:rPr>
          <w:rFonts w:hint="eastAsia" w:asciiTheme="minorEastAsia" w:hAnsiTheme="minorEastAsia" w:eastAsiaTheme="minorEastAsia"/>
          <w:b w:val="0"/>
          <w:bCs w:val="0"/>
          <w:color w:val="auto"/>
          <w:szCs w:val="21"/>
          <w:highlight w:val="none"/>
        </w:rPr>
      </w:pPr>
      <w:r>
        <w:rPr>
          <w:rFonts w:hint="eastAsia" w:asciiTheme="minorEastAsia" w:hAnsiTheme="minorEastAsia" w:eastAsiaTheme="minorEastAsia"/>
          <w:b w:val="0"/>
          <w:bCs w:val="0"/>
          <w:color w:val="auto"/>
          <w:szCs w:val="21"/>
          <w:highlight w:val="none"/>
        </w:rPr>
        <w:t xml:space="preserve">本项目专家评审费参照《关于规范江苏省政府采购专家评审费标准的通知》，由采购人支付。</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四、投标文件的提交</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15.投标文件的提交</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bookmarkStart w:id="104" w:name="OLE_LINK1"/>
      <w:r>
        <w:rPr>
          <w:rFonts w:hint="eastAsia" w:asciiTheme="minorEastAsia" w:hAnsiTheme="minorEastAsia" w:eastAsiaTheme="minorEastAsia"/>
          <w:color w:val="auto"/>
          <w:szCs w:val="21"/>
          <w:highlight w:val="none"/>
        </w:rPr>
        <w:t xml:space="preserve">15.1 投标人应当按照《操作手册》规定，在招标公告规定的投标截止时间前制作并上传电子投标文件。</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15.2 投标人应充分考虑网络环境、网络带宽等因素可能对投标产生的影响，如因投标人自身原因造成的电子投标文件上传不成功的，按照本招标文件第二章第20.2.3.1条规定做无效投标处理。</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15.3 采购代理机构可以按照规定，通过修改招标文件酌情延长投标截止时间，在此情况下，投标人的所有权利和义务均以延长后新的截止时间为准。</w:t>
      </w:r>
      <w:bookmarkEnd w:id="104"/>
      <w:r/>
      <w:r/>
    </w:p>
    <w:p>
      <w:pPr>
        <w:ind w:firstLine="420"/>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16.投标文件的拒收</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16.1 采购代理机构拒绝接收投标截止时间后上传的任何投标文件。</w:t>
      </w:r>
      <w:r/>
    </w:p>
    <w:p>
      <w:pPr>
        <w:ind w:firstLine="420"/>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17.投标文件的撤回和修改</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17.1 投标文件的撤回</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17.1.1 投标人可在投标截止时间前撤回其电子投标文件，具体操作方法见《操作手册》。</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17.1.2 投标人撤回电子投标文件，则认为其不再参与本项目投标活动。</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17.2 投标文件的修改</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17.2.1 投标人可在投标截止时间前对其电子投标文件进行修改，具体操作方法见《操作手册》。</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17.2.2 投标截止时间之后，投标人不得对其电子投标文件作任何修改。</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17.3 在投标截止时间至招标文件中规定的投标有效期满之间的这段时间内，投标人不得撤回其投标。</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18.诚实信用</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18.1投标人应当遵循公平竞争的原则，不得恶意串通，不得妨碍其他投标人的竞争行为，不得损害采购人或者其他投标人的合法权益。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18.2在评标过程中发现投标人有上述情形的，评标委员会应当认定其投标无效，并书面报告本级财政部门。</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五、开标、评标与定标</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19.开标</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19.1 采购代理机构在招标公告中规定的时间和地点组织公开开标。投标人按照《操作手册》规定参加开标活动，并在苏采云系统规定的时间内对投标文件进行解密。苏采云系统公布各投标人名称和投标价格。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19.2 投标人在开标过程中涉及到的投标文件解密、开标结果确认等工作，应按照《操作手册》规定执行。</w:t>
      </w:r>
      <w:r/>
    </w:p>
    <w:p>
      <w:pPr>
        <w:ind w:firstLine="424"/>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color w:val="auto"/>
          <w:szCs w:val="21"/>
          <w:highlight w:val="none"/>
        </w:rPr>
        <w:t xml:space="preserve">19.3 投标人如果对开标过程和开标结果有疑义，应当根据《操作手册》规定提出，苏采云系统中《开标一览表》公布后5分钟内未提出的，视同认可开标结果。</w:t>
      </w:r>
      <w:bookmarkStart w:id="105" w:name="_Hlk44576482"/>
      <w:r/>
      <w:bookmarkEnd w:id="105"/>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20.评标 </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20.1 评标委员会 </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w:t>
      </w:r>
      <w:r>
        <w:rPr>
          <w:rFonts w:hint="eastAsia" w:asciiTheme="minorEastAsia" w:hAnsiTheme="minorEastAsia" w:eastAsiaTheme="minorEastAsia"/>
          <w:color w:val="auto"/>
          <w:szCs w:val="21"/>
          <w:highlight w:val="none"/>
        </w:rPr>
        <w:t xml:space="preserve">0</w:t>
      </w:r>
      <w:r>
        <w:rPr>
          <w:rFonts w:asciiTheme="minorEastAsia" w:hAnsiTheme="minorEastAsia" w:eastAsiaTheme="minorEastAsia"/>
          <w:color w:val="auto"/>
          <w:szCs w:val="21"/>
          <w:highlight w:val="none"/>
        </w:rPr>
        <w:t xml:space="preserve">.1.1</w:t>
      </w:r>
      <w:r>
        <w:rPr>
          <w:rFonts w:hint="eastAsia" w:asciiTheme="minorEastAsia" w:hAnsiTheme="minorEastAsia" w:eastAsiaTheme="minorEastAsia"/>
          <w:color w:val="auto"/>
          <w:szCs w:val="21"/>
          <w:highlight w:val="none"/>
        </w:rPr>
        <w:t xml:space="preserve">评标委员会负责具体评标事务，并独立履行下列职责：</w:t>
      </w:r>
      <w:r/>
    </w:p>
    <w:p>
      <w:pPr>
        <w:ind w:firstLine="420"/>
        <w:spacing w:line="360" w:lineRule="auto"/>
        <w:shd w:val="clear" w:color="auto" w:fill="ffffff"/>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（1）审查、评价投标文件是否符合招标文件的商务、技术等实质性要求；</w:t>
      </w:r>
      <w:r/>
    </w:p>
    <w:p>
      <w:pPr>
        <w:ind w:firstLine="420"/>
        <w:spacing w:line="360" w:lineRule="auto"/>
        <w:shd w:val="clear" w:color="auto" w:fill="ffffff"/>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（2）要求投标人对投标文件有关事项作出澄清或者说明；</w:t>
      </w:r>
      <w:r/>
    </w:p>
    <w:p>
      <w:pPr>
        <w:ind w:firstLine="420"/>
        <w:spacing w:line="360" w:lineRule="auto"/>
        <w:shd w:val="clear" w:color="auto" w:fill="ffffff"/>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（3）对投标文件进行比较和评价；</w:t>
      </w:r>
      <w:r/>
    </w:p>
    <w:p>
      <w:pPr>
        <w:ind w:firstLine="420"/>
        <w:spacing w:line="360" w:lineRule="auto"/>
        <w:shd w:val="clear" w:color="auto" w:fill="ffffff"/>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（4）确定中标候选人名单，以及根据采购人委托直接确定中标人；</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Cs/>
          <w:color w:val="auto"/>
          <w:szCs w:val="21"/>
          <w:highlight w:val="none"/>
        </w:rPr>
        <w:t xml:space="preserve">（5）向采购人、采购代理机构或者有关部门报告评标中发现的违法行为。</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w:t>
      </w:r>
      <w:r>
        <w:rPr>
          <w:rFonts w:hint="eastAsia" w:asciiTheme="minorEastAsia" w:hAnsiTheme="minorEastAsia" w:eastAsiaTheme="minorEastAsia"/>
          <w:color w:val="auto"/>
          <w:szCs w:val="21"/>
          <w:highlight w:val="none"/>
        </w:rPr>
        <w:t xml:space="preserve">0</w:t>
      </w:r>
      <w:r>
        <w:rPr>
          <w:rFonts w:asciiTheme="minorEastAsia" w:hAnsiTheme="minorEastAsia" w:eastAsiaTheme="minorEastAsia"/>
          <w:color w:val="auto"/>
          <w:szCs w:val="21"/>
          <w:highlight w:val="none"/>
        </w:rPr>
        <w:t xml:space="preserve">.1.2 </w:t>
      </w:r>
      <w:r>
        <w:rPr>
          <w:rFonts w:hint="eastAsia" w:asciiTheme="minorEastAsia" w:hAnsiTheme="minorEastAsia" w:eastAsiaTheme="minorEastAsia"/>
          <w:color w:val="auto"/>
          <w:szCs w:val="21"/>
          <w:highlight w:val="none"/>
        </w:rPr>
        <w:t xml:space="preserve">评标委员会由采购人代表和有关技术、经济等方面的专家组成，独立开展评审工作。</w:t>
      </w:r>
      <w:r/>
    </w:p>
    <w:p>
      <w:pPr>
        <w:ind w:firstLine="420"/>
        <w:jc w:val="left"/>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20.2  评标程序</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20.</w:t>
      </w:r>
      <w:r>
        <w:rPr>
          <w:rFonts w:hint="eastAsia" w:cs="宋体" w:asciiTheme="minorEastAsia" w:hAnsiTheme="minorEastAsia" w:eastAsiaTheme="minorEastAsia"/>
          <w:color w:val="auto"/>
          <w:szCs w:val="21"/>
          <w:highlight w:val="none"/>
        </w:rPr>
        <w:t xml:space="preserve">2.1</w:t>
      </w:r>
      <w:r>
        <w:rPr>
          <w:rFonts w:hint="eastAsia" w:asciiTheme="minorEastAsia" w:hAnsiTheme="minorEastAsia" w:eastAsiaTheme="minorEastAsia"/>
          <w:color w:val="auto"/>
          <w:szCs w:val="21"/>
          <w:highlight w:val="none"/>
        </w:rPr>
        <w:t xml:space="preserve">投标文件审查分为资格审查和符合性审查。</w:t>
      </w:r>
      <w:r/>
    </w:p>
    <w:p>
      <w:pPr>
        <w:ind w:firstLine="422"/>
        <w:jc w:val="left"/>
        <w:spacing w:line="360" w:lineRule="auto"/>
        <w:tabs>
          <w:tab w:val="left" w:pos="4825" w:leader="none"/>
        </w:tabs>
        <w:rPr>
          <w:rFonts w:hint="eastAsia" w:cs="宋体"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20.</w:t>
      </w:r>
      <w:r>
        <w:rPr>
          <w:rFonts w:hint="eastAsia" w:cs="宋体" w:asciiTheme="minorEastAsia" w:hAnsiTheme="minorEastAsia" w:eastAsiaTheme="minorEastAsia"/>
          <w:b/>
          <w:bCs/>
          <w:color w:val="auto"/>
          <w:szCs w:val="21"/>
          <w:highlight w:val="none"/>
        </w:rPr>
        <w:t xml:space="preserve">2.2投标文件的资格审查</w:t>
      </w:r>
      <w:r/>
    </w:p>
    <w:p>
      <w:pPr>
        <w:ind w:firstLine="420"/>
        <w:jc w:val="left"/>
        <w:spacing w:line="360" w:lineRule="auto"/>
        <w:tabs>
          <w:tab w:val="left" w:pos="4825" w:leader="none"/>
        </w:tabs>
        <w:rPr>
          <w:rFonts w:hint="eastAsia" w:cs="宋体" w:asciiTheme="minorEastAsia" w:hAnsiTheme="minorEastAsia" w:eastAsiaTheme="minorEastAsia"/>
          <w:color w:val="auto"/>
          <w:szCs w:val="21"/>
          <w:highlight w:val="none"/>
        </w:rPr>
      </w:pPr>
      <w:r/>
      <w:bookmarkStart w:id="106" w:name="_Hlk81573923"/>
      <w:r/>
      <w:bookmarkStart w:id="107" w:name="_Hlk84583325"/>
      <w:r>
        <w:rPr>
          <w:rFonts w:hint="eastAsia" w:cs="宋体" w:asciiTheme="minorEastAsia" w:hAnsiTheme="minorEastAsia" w:eastAsiaTheme="minorEastAsia"/>
          <w:color w:val="auto"/>
          <w:szCs w:val="21"/>
          <w:highlight w:val="none"/>
        </w:rPr>
        <w:t xml:space="preserve">资格审查：依据法律法规和招标文件规定，由</w:t>
      </w:r>
      <w:bookmarkStart w:id="108" w:name="OLE_LINK6"/>
      <w:r>
        <w:rPr>
          <w:rFonts w:hint="eastAsia" w:cs="宋体" w:asciiTheme="minorEastAsia" w:hAnsiTheme="minorEastAsia" w:eastAsiaTheme="minorEastAsia"/>
          <w:color w:val="auto"/>
          <w:szCs w:val="21"/>
          <w:highlight w:val="none"/>
        </w:rPr>
        <w:t xml:space="preserve">采购人或采购代理机构</w:t>
      </w:r>
      <w:bookmarkEnd w:id="108"/>
      <w:r>
        <w:rPr>
          <w:rFonts w:hint="eastAsia" w:cs="宋体" w:asciiTheme="minorEastAsia" w:hAnsiTheme="minorEastAsia" w:eastAsiaTheme="minorEastAsia"/>
          <w:color w:val="auto"/>
          <w:szCs w:val="21"/>
          <w:highlight w:val="none"/>
        </w:rPr>
        <w:t xml:space="preserve">对投标文件中的资格证明文件进行审查，并向评标委员会反馈审查结论。</w:t>
      </w:r>
      <w:bookmarkEnd w:id="106"/>
      <w:r/>
      <w:r/>
    </w:p>
    <w:p>
      <w:pPr>
        <w:ind w:firstLine="422"/>
        <w:jc w:val="left"/>
        <w:spacing w:line="360" w:lineRule="auto"/>
        <w:tabs>
          <w:tab w:val="left" w:pos="4825" w:leader="none"/>
        </w:tabs>
        <w:rPr>
          <w:rFonts w:hint="eastAsia"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 xml:space="preserve">20.2.2.1投标文件有下列情况之一的，在资格性审查时按照无效投标处理：</w:t>
      </w:r>
      <w:r/>
    </w:p>
    <w:p>
      <w:pPr>
        <w:numPr>
          <w:ilvl w:val="0"/>
          <w:numId w:val="4"/>
        </w:numPr>
        <w:ind w:firstLine="420"/>
        <w:jc w:val="left"/>
        <w:keepLines w:val="0"/>
        <w:keepNext w:val="0"/>
        <w:pageBreakBefore w:val="0"/>
        <w:spacing w:line="360" w:lineRule="auto"/>
        <w:widowControl w:val="off"/>
        <w:tabs>
          <w:tab w:val="left" w:pos="4825" w:leader="none"/>
        </w:tabs>
        <w:rPr>
          <w:rFonts w:hint="eastAsia" w:cs="宋体" w:asciiTheme="minorEastAsia" w:hAnsiTheme="minorEastAsia" w:eastAsiaTheme="minorEastAsia"/>
          <w:color w:val="auto"/>
          <w:szCs w:val="21"/>
          <w:highlight w:val="none"/>
        </w:rPr>
      </w:pPr>
      <w:r/>
      <w:bookmarkStart w:id="109" w:name="_Hlk81314966"/>
      <w:r/>
      <w:bookmarkStart w:id="110" w:name="_Hlk81573945"/>
      <w:r>
        <w:rPr>
          <w:rFonts w:hint="eastAsia" w:cs="宋体" w:asciiTheme="minorEastAsia" w:hAnsiTheme="minorEastAsia" w:eastAsiaTheme="minorEastAsia"/>
          <w:color w:val="auto"/>
          <w:szCs w:val="21"/>
          <w:highlight w:val="none"/>
        </w:rPr>
        <w:t xml:space="preserve">不具备招标文件中规定资格条件的；</w:t>
      </w:r>
      <w:bookmarkEnd w:id="109"/>
      <w:r/>
      <w:r/>
    </w:p>
    <w:p>
      <w:pPr>
        <w:pStyle w:val="1084"/>
        <w:numPr>
          <w:ilvl w:val="0"/>
          <w:numId w:val="4"/>
        </w:numPr>
        <w:jc w:val="left"/>
        <w:keepLines w:val="0"/>
        <w:keepNext w:val="0"/>
        <w:pageBreakBefore w:val="0"/>
        <w:spacing w:line="360" w:lineRule="auto"/>
        <w:widowControl w:val="off"/>
        <w:tabs>
          <w:tab w:val="left" w:pos="4825" w:leader="none"/>
        </w:tabs>
        <w:rPr>
          <w:rFonts w:hint="eastAsia" w:cs="宋体" w:asciiTheme="minorEastAsia" w:hAnsiTheme="minorEastAsia" w:eastAsiaTheme="minorEastAsia"/>
          <w:color w:val="auto"/>
          <w:szCs w:val="21"/>
          <w:highlight w:val="none"/>
        </w:rPr>
      </w:pPr>
      <w:r/>
      <w:bookmarkStart w:id="111" w:name="_Hlk77845984"/>
      <w:r>
        <w:rPr>
          <w:rFonts w:hint="eastAsia" w:cs="宋体" w:asciiTheme="minorEastAsia" w:hAnsiTheme="minorEastAsia" w:eastAsiaTheme="minorEastAsia"/>
          <w:color w:val="auto"/>
          <w:szCs w:val="21"/>
          <w:highlight w:val="none"/>
        </w:rPr>
        <w:t xml:space="preserve">未提供《南京市政府采购供应商信用记录表暨信用承诺书》;</w:t>
      </w:r>
      <w:r/>
    </w:p>
    <w:p>
      <w:pPr>
        <w:pStyle w:val="1084"/>
        <w:numPr>
          <w:ilvl w:val="0"/>
          <w:numId w:val="4"/>
        </w:numPr>
        <w:jc w:val="both"/>
        <w:keepLines w:val="0"/>
        <w:keepNext w:val="0"/>
        <w:pageBreakBefore w:val="0"/>
        <w:spacing w:line="360" w:lineRule="auto"/>
        <w:widowControl w:val="off"/>
        <w:rPr>
          <w:rFonts w:asciiTheme="minorEastAsia" w:hAnsiTheme="minorEastAsia" w:eastAsiaTheme="minorEastAsia"/>
          <w:color w:val="auto"/>
          <w:szCs w:val="21"/>
          <w:highlight w:val="none"/>
        </w:rPr>
      </w:pPr>
      <w:r/>
      <w:bookmarkStart w:id="112" w:name="_Hlk226017433"/>
      <w:r>
        <w:rPr>
          <w:rFonts w:hint="eastAsia" w:asciiTheme="minorEastAsia" w:hAnsiTheme="minorEastAsia" w:eastAsiaTheme="minorEastAsia"/>
          <w:color w:val="auto"/>
          <w:szCs w:val="21"/>
          <w:highlight w:val="none"/>
        </w:rPr>
        <w:t xml:space="preserve">投标人</w:t>
      </w:r>
      <w:r>
        <w:rPr>
          <w:rFonts w:asciiTheme="minorEastAsia" w:hAnsiTheme="minorEastAsia" w:eastAsiaTheme="minorEastAsia"/>
          <w:color w:val="auto"/>
          <w:szCs w:val="21"/>
          <w:highlight w:val="none"/>
        </w:rPr>
        <w:t xml:space="preserve">被“信用中国”网站（www.creditchina.gov.cn）、“中国政府采购网</w:t>
      </w:r>
      <w:r>
        <w:rPr>
          <w:rFonts w:hint="eastAsia" w:asciiTheme="minorEastAsia" w:hAnsiTheme="minorEastAsia" w:eastAsiaTheme="minorEastAsia"/>
          <w:color w:val="auto"/>
          <w:szCs w:val="21"/>
          <w:highlight w:val="none"/>
          <w:lang w:eastAsia="zh-CN"/>
        </w:rPr>
        <w:t xml:space="preserve">”</w:t>
      </w:r>
      <w:r>
        <w:rPr>
          <w:rFonts w:asciiTheme="minorEastAsia" w:hAnsiTheme="minorEastAsia" w:eastAsiaTheme="minorEastAsia"/>
          <w:color w:val="auto"/>
          <w:szCs w:val="21"/>
          <w:highlight w:val="none"/>
        </w:rPr>
        <w:t xml:space="preserve">(www.ccgp.gov.cn)列入失信被执行人、重大税收违</w:t>
      </w:r>
      <w:r>
        <w:rPr>
          <w:rFonts w:hint="eastAsia" w:asciiTheme="minorEastAsia" w:hAnsiTheme="minorEastAsia" w:eastAsiaTheme="minorEastAsia"/>
          <w:color w:val="auto"/>
          <w:szCs w:val="21"/>
          <w:highlight w:val="none"/>
        </w:rPr>
        <w:t xml:space="preserve">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bookmarkEnd w:id="112"/>
      <w:r/>
      <w:bookmarkEnd w:id="107"/>
      <w:r/>
      <w:bookmarkEnd w:id="110"/>
      <w:r/>
      <w:bookmarkEnd w:id="111"/>
      <w:r/>
      <w:r/>
    </w:p>
    <w:p>
      <w:pPr>
        <w:ind w:firstLine="422"/>
        <w:jc w:val="left"/>
        <w:keepLines w:val="0"/>
        <w:keepNext w:val="0"/>
        <w:pageBreakBefore w:val="0"/>
        <w:spacing w:line="360" w:lineRule="auto"/>
        <w:widowControl w:val="off"/>
        <w:tabs>
          <w:tab w:val="left" w:pos="4825" w:leader="none"/>
        </w:tabs>
        <w:rPr>
          <w:rFonts w:hint="eastAsia"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 xml:space="preserve">20.2.3投标文件的</w:t>
      </w:r>
      <w:bookmarkStart w:id="113" w:name="OLE_LINK18"/>
      <w:r>
        <w:rPr>
          <w:rFonts w:hint="eastAsia" w:cs="宋体" w:asciiTheme="minorEastAsia" w:hAnsiTheme="minorEastAsia" w:eastAsiaTheme="minorEastAsia"/>
          <w:b/>
          <w:color w:val="auto"/>
          <w:szCs w:val="21"/>
          <w:highlight w:val="none"/>
        </w:rPr>
        <w:t xml:space="preserve">符合性检查</w:t>
      </w:r>
      <w:bookmarkEnd w:id="113"/>
      <w:r/>
      <w:r/>
    </w:p>
    <w:p>
      <w:pPr>
        <w:ind w:firstLine="420"/>
        <w:jc w:val="left"/>
        <w:keepLines w:val="0"/>
        <w:keepNext w:val="0"/>
        <w:pageBreakBefore w:val="0"/>
        <w:spacing w:line="360" w:lineRule="auto"/>
        <w:widowControl w:val="off"/>
        <w:tabs>
          <w:tab w:val="left" w:pos="4825" w:leader="none"/>
        </w:tabs>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（1）评标委员会将依据法律法规和招标文件的规定，对投标文件的有效性完整性和对招标文件的响应程度进行审查，以确定是否对招标文件的实质性要求作出响应。</w:t>
      </w:r>
      <w:r/>
    </w:p>
    <w:p>
      <w:pPr>
        <w:ind w:firstLine="422"/>
        <w:jc w:val="left"/>
        <w:spacing w:line="360" w:lineRule="auto"/>
        <w:tabs>
          <w:tab w:val="left" w:pos="4825" w:leader="none"/>
        </w:tabs>
        <w:rPr>
          <w:rFonts w:hint="eastAsia"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（2）</w:t>
      </w:r>
      <w:bookmarkStart w:id="114" w:name="_Hlk176530503"/>
      <w:r>
        <w:rPr>
          <w:rFonts w:hint="eastAsia" w:cs="宋体" w:asciiTheme="minorEastAsia" w:hAnsiTheme="minorEastAsia" w:eastAsiaTheme="minorEastAsia"/>
          <w:b/>
          <w:bCs/>
          <w:color w:val="auto"/>
          <w:szCs w:val="21"/>
          <w:highlight w:val="none"/>
        </w:rPr>
        <w:t xml:space="preserve">实质性要求是指本</w:t>
      </w:r>
      <w:bookmarkStart w:id="115" w:name="OLE_LINK36"/>
      <w:r>
        <w:rPr>
          <w:rFonts w:hint="eastAsia" w:cs="宋体" w:asciiTheme="minorEastAsia" w:hAnsiTheme="minorEastAsia" w:eastAsiaTheme="minorEastAsia"/>
          <w:b/>
          <w:bCs/>
          <w:color w:val="auto"/>
          <w:szCs w:val="21"/>
          <w:highlight w:val="none"/>
        </w:rPr>
        <w:t xml:space="preserve">招标文件中斜体且有下划线部分，或者打“★”“</w:t>
      </w:r>
      <w:r>
        <w:rPr>
          <w:rFonts w:cs="宋体" w:asciiTheme="minorEastAsia" w:hAnsiTheme="minorEastAsia" w:eastAsiaTheme="minorEastAsia"/>
          <w:b/>
          <w:bCs/>
          <w:color w:val="auto"/>
          <w:szCs w:val="21"/>
          <w:highlight w:val="none"/>
        </w:rPr>
        <w:t xml:space="preserve">*”</w:t>
      </w:r>
      <w:r>
        <w:rPr>
          <w:rFonts w:hint="eastAsia" w:cs="宋体" w:asciiTheme="minorEastAsia" w:hAnsiTheme="minorEastAsia" w:eastAsiaTheme="minorEastAsia"/>
          <w:b/>
          <w:bCs/>
          <w:color w:val="auto"/>
          <w:szCs w:val="21"/>
          <w:highlight w:val="none"/>
        </w:rPr>
        <w:t xml:space="preserve">等其他文字说明的商务和技术要求。</w:t>
      </w:r>
      <w:bookmarkEnd w:id="114"/>
      <w:r/>
      <w:r/>
    </w:p>
    <w:p>
      <w:pPr>
        <w:ind w:firstLine="420"/>
        <w:jc w:val="left"/>
        <w:spacing w:line="360" w:lineRule="auto"/>
        <w:tabs>
          <w:tab w:val="left" w:pos="4825" w:leader="none"/>
        </w:tabs>
        <w:rPr>
          <w:rFonts w:hint="eastAsia" w:cs="宋体" w:asciiTheme="minorEastAsia" w:hAnsiTheme="minorEastAsia" w:eastAsiaTheme="minorEastAsia"/>
          <w:color w:val="auto"/>
          <w:szCs w:val="21"/>
          <w:highlight w:val="none"/>
        </w:rPr>
      </w:pPr>
      <w:r/>
      <w:bookmarkStart w:id="116" w:name="OLE_LINK7"/>
      <w:r>
        <w:rPr>
          <w:rFonts w:hint="eastAsia" w:cs="宋体" w:asciiTheme="minorEastAsia" w:hAnsiTheme="minorEastAsia" w:eastAsiaTheme="minorEastAsia"/>
          <w:color w:val="auto"/>
          <w:szCs w:val="21"/>
          <w:highlight w:val="none"/>
        </w:rPr>
        <w:t xml:space="preserve">（3）如果投标文件实质上没有响应招标文件的要求，评标委员会将予以拒绝，投标人不得通过修改或撤销不合要求的偏离或保留而使其投标成为实质性响应的投标。</w:t>
      </w:r>
      <w:bookmarkEnd w:id="115"/>
      <w:r/>
      <w:bookmarkEnd w:id="116"/>
      <w:r/>
      <w:r/>
    </w:p>
    <w:p>
      <w:pPr>
        <w:ind w:firstLine="422"/>
        <w:jc w:val="left"/>
        <w:spacing w:line="360" w:lineRule="auto"/>
        <w:tabs>
          <w:tab w:val="left" w:pos="4825" w:leader="none"/>
          <w:tab w:val="left" w:pos="7092" w:leader="none"/>
        </w:tabs>
        <w:rPr>
          <w:rFonts w:hint="eastAsia"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 xml:space="preserve">20.2.3.1投标文件属于下列情形之一的，在符合性审查时按照无效投标处理：</w:t>
      </w:r>
      <w:r>
        <w:rPr>
          <w:rFonts w:hint="eastAsia" w:cs="宋体" w:asciiTheme="minorEastAsia" w:hAnsiTheme="minorEastAsia" w:eastAsiaTheme="minorEastAsia"/>
          <w:b/>
          <w:color w:val="auto"/>
          <w:szCs w:val="21"/>
          <w:highlight w:val="none"/>
        </w:rPr>
        <w:tab/>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投标人在苏采云系统规定的时间内未成功解密电子投标文件；</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投标人未按照招标文件要求上传电子投标文件；</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投标文件未按照招标文件要求加盖电子公章；</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不具备招标文件中规定实质性要求的；</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投标</w:t>
      </w:r>
      <w:r>
        <w:rPr>
          <w:rFonts w:hint="eastAsia" w:cs="宋体" w:asciiTheme="minorEastAsia" w:hAnsiTheme="minorEastAsia" w:eastAsiaTheme="minorEastAsia"/>
          <w:color w:val="auto"/>
          <w:szCs w:val="21"/>
          <w:highlight w:val="none"/>
          <w:lang w:val="en-US" w:eastAsia="zh-CN"/>
        </w:rPr>
        <w:t xml:space="preserve">报价</w:t>
      </w:r>
      <w:r>
        <w:rPr>
          <w:rFonts w:hint="eastAsia" w:cs="宋体" w:asciiTheme="minorEastAsia" w:hAnsiTheme="minorEastAsia" w:eastAsiaTheme="minorEastAsia"/>
          <w:color w:val="auto"/>
          <w:szCs w:val="21"/>
          <w:highlight w:val="none"/>
        </w:rPr>
        <w:t xml:space="preserve">超出采购项目预算或者最高限价的；</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不同投标人的投标文件由同一单位或者个人编制的；</w:t>
      </w:r>
      <w:r/>
    </w:p>
    <w:p>
      <w:pPr>
        <w:numPr>
          <w:ilvl w:val="0"/>
          <w:numId w:val="5"/>
        </w:numPr>
        <w:ind w:firstLine="420"/>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不同投标人委托同一单位或者个人办理投标事宜；</w:t>
      </w:r>
      <w:r/>
    </w:p>
    <w:p>
      <w:pPr>
        <w:pStyle w:val="1084"/>
        <w:numPr>
          <w:ilvl w:val="0"/>
          <w:numId w:val="5"/>
        </w:numPr>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不同投标人的投标文件载明的项目管理成员</w:t>
      </w:r>
      <w:bookmarkStart w:id="117" w:name="_Hlk176185278"/>
      <w:r>
        <w:rPr>
          <w:rFonts w:hint="eastAsia" w:cs="宋体" w:asciiTheme="minorEastAsia" w:hAnsiTheme="minorEastAsia" w:eastAsiaTheme="minorEastAsia"/>
          <w:color w:val="auto"/>
          <w:szCs w:val="21"/>
          <w:highlight w:val="none"/>
        </w:rPr>
        <w:t xml:space="preserve">或者联系人员为同一人</w:t>
      </w:r>
      <w:bookmarkEnd w:id="117"/>
      <w:r>
        <w:rPr>
          <w:rFonts w:hint="eastAsia" w:cs="宋体" w:asciiTheme="minorEastAsia" w:hAnsiTheme="minorEastAsia" w:eastAsiaTheme="minorEastAsia"/>
          <w:color w:val="auto"/>
          <w:szCs w:val="21"/>
          <w:highlight w:val="none"/>
        </w:rPr>
        <w:t xml:space="preserve">；</w:t>
      </w:r>
      <w:r/>
    </w:p>
    <w:p>
      <w:pPr>
        <w:pStyle w:val="1084"/>
        <w:numPr>
          <w:ilvl w:val="0"/>
          <w:numId w:val="5"/>
        </w:numPr>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不同投标人的投标文件异常一致或者投标报价呈规律性差异；</w:t>
      </w:r>
      <w:r/>
    </w:p>
    <w:p>
      <w:pPr>
        <w:pStyle w:val="1084"/>
        <w:numPr>
          <w:ilvl w:val="0"/>
          <w:numId w:val="5"/>
        </w:numPr>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不同投标人的负责人为同一人或者存在控股、管理关系的；</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pStyle w:val="1084"/>
        <w:numPr>
          <w:ilvl w:val="0"/>
          <w:numId w:val="5"/>
        </w:numPr>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投标文件含有采购人不能接受的附加条件的；</w:t>
      </w:r>
      <w:r/>
    </w:p>
    <w:p>
      <w:pPr>
        <w:pStyle w:val="1084"/>
        <w:numPr>
          <w:ilvl w:val="0"/>
          <w:numId w:val="5"/>
        </w:numPr>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采购产品被财政部、国家发改委、生态环境部等列入“节能产品品目清单”强制采购范围，而投标人提供的产品不在强制采购范围内;</w:t>
      </w:r>
      <w:r/>
    </w:p>
    <w:p>
      <w:pPr>
        <w:pStyle w:val="1084"/>
        <w:numPr>
          <w:ilvl w:val="0"/>
          <w:numId w:val="5"/>
        </w:numPr>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不符合法律、法规和招标文件规定的其他实质性要求的。</w:t>
      </w:r>
      <w:r/>
    </w:p>
    <w:p>
      <w:pPr>
        <w:ind w:firstLine="422"/>
        <w:jc w:val="left"/>
        <w:spacing w:line="360" w:lineRule="auto"/>
        <w:shd w:val="clear" w:color="auto" w:fill="ffffff"/>
        <w:widowControl/>
        <w:rPr>
          <w:rFonts w:hint="eastAsia" w:cs="宋体"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20.</w:t>
      </w:r>
      <w:r>
        <w:rPr>
          <w:rFonts w:hint="eastAsia" w:cs="宋体" w:asciiTheme="minorEastAsia" w:hAnsiTheme="minorEastAsia" w:eastAsiaTheme="minorEastAsia"/>
          <w:b/>
          <w:bCs/>
          <w:color w:val="auto"/>
          <w:szCs w:val="21"/>
          <w:highlight w:val="none"/>
        </w:rPr>
        <w:t xml:space="preserve">2.4</w:t>
      </w:r>
      <w:r>
        <w:rPr>
          <w:rFonts w:hint="eastAsia" w:cs="宋体" w:asciiTheme="minorEastAsia" w:hAnsiTheme="minorEastAsia" w:eastAsiaTheme="minorEastAsia"/>
          <w:b/>
          <w:bCs/>
          <w:color w:val="auto"/>
          <w:szCs w:val="21"/>
          <w:highlight w:val="none"/>
        </w:rPr>
        <w:t xml:space="preserve">有下列情形之一的予以废标：</w:t>
      </w:r>
      <w:r/>
    </w:p>
    <w:p>
      <w:pPr>
        <w:ind w:firstLine="420"/>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（1）符合资格条件的投标人或者对招标文件作实质性响应的投标人不足三家的；</w:t>
      </w:r>
      <w:r/>
    </w:p>
    <w:p>
      <w:pPr>
        <w:ind w:firstLine="420"/>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（2）出现影响采购公正的违法、违规行为的；</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（3）因重大变故，采购任务取消的；</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（4）因苏采云系统故障造成开标不成功。</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20.</w:t>
      </w:r>
      <w:r>
        <w:rPr>
          <w:rFonts w:hint="eastAsia" w:cs="宋体" w:asciiTheme="minorEastAsia" w:hAnsiTheme="minorEastAsia" w:eastAsiaTheme="minorEastAsia"/>
          <w:color w:val="auto"/>
          <w:szCs w:val="21"/>
          <w:highlight w:val="none"/>
        </w:rPr>
        <w:t xml:space="preserve">2.5</w:t>
      </w:r>
      <w:r>
        <w:rPr>
          <w:rFonts w:hint="eastAsia" w:cs="宋体" w:asciiTheme="minorEastAsia" w:hAnsiTheme="minorEastAsia" w:eastAsiaTheme="minorEastAsia"/>
          <w:color w:val="auto"/>
          <w:szCs w:val="21"/>
          <w:highlight w:val="none"/>
        </w:rPr>
        <w:t xml:space="preserve">未通过资格审查或符合性审查的投标人，采购代理机构将通过苏采云系统告知其具体原因，评标结束后不再接受有关询问。</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20.</w:t>
      </w:r>
      <w:r>
        <w:rPr>
          <w:rFonts w:hint="eastAsia" w:cs="宋体" w:asciiTheme="minorEastAsia" w:hAnsiTheme="minorEastAsia" w:eastAsiaTheme="minorEastAsia"/>
          <w:color w:val="auto"/>
          <w:szCs w:val="21"/>
          <w:highlight w:val="none"/>
        </w:rPr>
        <w:t xml:space="preserve">2.6</w:t>
      </w:r>
      <w:r>
        <w:rPr>
          <w:rFonts w:hint="eastAsia" w:cs="宋体" w:asciiTheme="minorEastAsia" w:hAnsiTheme="minorEastAsia" w:eastAsiaTheme="minorEastAsia"/>
          <w:color w:val="auto"/>
          <w:szCs w:val="21"/>
          <w:highlight w:val="none"/>
        </w:rPr>
        <w:t xml:space="preserve">如出现投标截止时间后参加的投标人或者对招标文件作出实质性响应的投标人不足三家的情况，按政府采购相关规定执行。</w:t>
      </w:r>
      <w:r/>
    </w:p>
    <w:p>
      <w:pPr>
        <w:ind w:firstLine="420"/>
        <w:jc w:val="left"/>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20.3 评标过程中的澄清</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20.3</w:t>
      </w:r>
      <w:r>
        <w:rPr>
          <w:rFonts w:hint="eastAsia" w:asciiTheme="minorEastAsia" w:hAnsiTheme="minorEastAsia" w:eastAsiaTheme="minorEastAsia"/>
          <w:color w:val="auto"/>
          <w:szCs w:val="21"/>
          <w:highlight w:val="none"/>
        </w:rPr>
        <w:t xml:space="preserve">.1 评标期间，评标委员会对投标文件中含义不明确、同类问题表述不一致或者有明显文字和计算错误的内容，有权要求投标人作出必要的澄清、说明或者补正。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bookmarkStart w:id="118" w:name="OLE_LINK4"/>
      <w:r>
        <w:rPr>
          <w:rFonts w:hint="eastAsia" w:asciiTheme="minorEastAsia" w:hAnsiTheme="minorEastAsia" w:eastAsiaTheme="minorEastAsia"/>
          <w:color w:val="auto"/>
          <w:szCs w:val="21"/>
          <w:highlight w:val="none"/>
        </w:rPr>
        <w:t xml:space="preserve">投标人的澄清、说明或者补正不得超出投标文件的范围或者改变投标文件的实质性内容</w:t>
      </w:r>
      <w:bookmarkEnd w:id="118"/>
      <w:r>
        <w:rPr>
          <w:rFonts w:hint="eastAsia" w:asciiTheme="minorEastAsia" w:hAnsiTheme="minorEastAsia" w:eastAsiaTheme="minorEastAsia"/>
          <w:color w:val="auto"/>
          <w:szCs w:val="21"/>
          <w:highlight w:val="none"/>
        </w:rPr>
        <w:t xml:space="preserve">。</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评标委员会并非对每个投标人都做澄清要求。</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20.3</w:t>
      </w:r>
      <w:r>
        <w:rPr>
          <w:rFonts w:hint="eastAsia" w:asciiTheme="minorEastAsia" w:hAnsiTheme="minorEastAsia" w:eastAsiaTheme="minorEastAsia"/>
          <w:color w:val="auto"/>
          <w:szCs w:val="21"/>
          <w:highlight w:val="none"/>
        </w:rPr>
        <w:t xml:space="preserve">.2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20.3</w:t>
      </w:r>
      <w:r>
        <w:rPr>
          <w:rFonts w:hint="eastAsia" w:asciiTheme="minorEastAsia" w:hAnsiTheme="minorEastAsia" w:eastAsiaTheme="minorEastAsia"/>
          <w:color w:val="auto"/>
          <w:szCs w:val="21"/>
          <w:highlight w:val="none"/>
        </w:rPr>
        <w:t xml:space="preserve">.3接到评标委员会澄清、说明和补正要求的，投标人如未按规定作出澄清、说明和补正，其风险由投标人自行承担。</w:t>
      </w:r>
      <w:r/>
    </w:p>
    <w:p>
      <w:pPr>
        <w:ind w:firstLine="420"/>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20.3.4投标文件报价出现前后不一致的，除招标文件另有规定外，按照下列规定修正：</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w:t>
      </w:r>
      <w:bookmarkStart w:id="119" w:name="_Hlk225777398"/>
      <w:r>
        <w:rPr>
          <w:rFonts w:hint="eastAsia" w:asciiTheme="minorEastAsia" w:hAnsiTheme="minorEastAsia" w:eastAsiaTheme="minorEastAsia"/>
          <w:color w:val="auto"/>
          <w:szCs w:val="21"/>
          <w:highlight w:val="none"/>
        </w:rPr>
        <w:t xml:space="preserve">投标文件中开标一览表内容与投标文件中相应内容不一致的，以开标一览表为准</w:t>
      </w:r>
      <w:bookmarkEnd w:id="119"/>
      <w:r>
        <w:rPr>
          <w:rFonts w:hint="eastAsia" w:asciiTheme="minorEastAsia" w:hAnsiTheme="minorEastAsia" w:eastAsiaTheme="minorEastAsia"/>
          <w:color w:val="auto"/>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（2）大写金额和小写金额不一致的，以大写金额为准；</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（4）总价金额与按单价汇总金额不一致的，以单价金额计算结果为准。</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同时出现两种以上不一致的，按照前款规定的顺序修正。</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bookmarkStart w:id="120" w:name="_Hlk176184375"/>
      <w:r>
        <w:rPr>
          <w:rFonts w:hint="eastAsia" w:asciiTheme="minorEastAsia" w:hAnsiTheme="minorEastAsia" w:eastAsiaTheme="minorEastAsia"/>
          <w:color w:val="auto"/>
          <w:szCs w:val="21"/>
          <w:highlight w:val="none"/>
        </w:rPr>
        <w:t xml:space="preserve">评标委员会将按上述修正错误的方法调整投标文件中的投标报价，并通过苏采云系统告知投标人，调整后的价格对投标人具有约束力。如果投标人不接受修正后的价格，则其投标将被拒绝。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20.3.5投标人在开、评标全过程中应保持通讯畅通，</w:t>
      </w:r>
      <w:bookmarkStart w:id="121" w:name="OLE_LINK25"/>
      <w:r>
        <w:rPr>
          <w:rFonts w:hint="eastAsia" w:asciiTheme="minorEastAsia" w:hAnsiTheme="minorEastAsia" w:eastAsiaTheme="minorEastAsia"/>
          <w:b/>
          <w:bCs/>
          <w:color w:val="auto"/>
          <w:szCs w:val="21"/>
          <w:highlight w:val="none"/>
        </w:rPr>
        <w:t xml:space="preserve">及时登录苏采云系统查阅</w:t>
      </w:r>
      <w:bookmarkEnd w:id="121"/>
      <w:r>
        <w:rPr>
          <w:rFonts w:hint="eastAsia" w:asciiTheme="minorEastAsia" w:hAnsiTheme="minorEastAsia" w:eastAsiaTheme="minorEastAsia"/>
          <w:b/>
          <w:bCs/>
          <w:color w:val="auto"/>
          <w:szCs w:val="21"/>
          <w:highlight w:val="none"/>
        </w:rPr>
        <w:t xml:space="preserve">、答复相关信息，并安排专人与采购代理机构及评标委员会联系。</w:t>
      </w:r>
      <w:bookmarkEnd w:id="120"/>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20.4比较与评价</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Theme="minorEastAsia" w:hAnsiTheme="minorEastAsia" w:eastAsiaTheme="minorEastAsia"/>
          <w:b/>
          <w:bCs/>
          <w:color w:val="auto"/>
          <w:szCs w:val="21"/>
          <w:highlight w:val="none"/>
        </w:rPr>
      </w:pPr>
      <w:r>
        <w:rPr>
          <w:rFonts w:asciiTheme="minorEastAsia" w:hAnsiTheme="minorEastAsia" w:eastAsiaTheme="minorEastAsia"/>
          <w:b/>
          <w:bCs/>
          <w:color w:val="auto"/>
          <w:szCs w:val="21"/>
          <w:highlight w:val="none"/>
        </w:rPr>
        <w:t xml:space="preserve">2</w:t>
      </w:r>
      <w:r>
        <w:rPr>
          <w:rFonts w:hint="eastAsia" w:asciiTheme="minorEastAsia" w:hAnsiTheme="minorEastAsia" w:eastAsiaTheme="minorEastAsia"/>
          <w:b/>
          <w:bCs/>
          <w:color w:val="auto"/>
          <w:szCs w:val="21"/>
          <w:highlight w:val="none"/>
        </w:rPr>
        <w:t xml:space="preserve">0</w:t>
      </w:r>
      <w:r>
        <w:rPr>
          <w:rFonts w:asciiTheme="minorEastAsia" w:hAnsiTheme="minorEastAsia" w:eastAsiaTheme="minorEastAsia"/>
          <w:b/>
          <w:bCs/>
          <w:color w:val="auto"/>
          <w:szCs w:val="21"/>
          <w:highlight w:val="none"/>
        </w:rPr>
        <w:t xml:space="preserve">.</w:t>
      </w:r>
      <w:r>
        <w:rPr>
          <w:rFonts w:hint="eastAsia" w:asciiTheme="minorEastAsia" w:hAnsiTheme="minorEastAsia" w:eastAsiaTheme="minorEastAsia"/>
          <w:b/>
          <w:bCs/>
          <w:color w:val="auto"/>
          <w:szCs w:val="21"/>
          <w:highlight w:val="none"/>
        </w:rPr>
        <w:t xml:space="preserve">5 </w:t>
      </w:r>
      <w:bookmarkStart w:id="122" w:name="OLE_LINK8"/>
      <w:r>
        <w:rPr>
          <w:rFonts w:asciiTheme="minorEastAsia" w:hAnsiTheme="minorEastAsia" w:eastAsiaTheme="minorEastAsia"/>
          <w:b/>
          <w:bCs/>
          <w:color w:val="auto"/>
          <w:szCs w:val="21"/>
          <w:highlight w:val="none"/>
        </w:rPr>
        <w:t xml:space="preserve">评标委员会</w:t>
      </w:r>
      <w:bookmarkEnd w:id="122"/>
      <w:r>
        <w:rPr>
          <w:rFonts w:asciiTheme="minorEastAsia" w:hAnsiTheme="minorEastAsia" w:eastAsiaTheme="minorEastAsia"/>
          <w:b/>
          <w:bCs/>
          <w:color w:val="auto"/>
          <w:szCs w:val="21"/>
          <w:highlight w:val="none"/>
        </w:rPr>
        <w:t xml:space="preserve">启动异常低价投标审查的情形和具体要求</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20.5.1</w:t>
      </w:r>
      <w:r>
        <w:rPr>
          <w:rFonts w:asciiTheme="minorEastAsia" w:hAnsiTheme="minorEastAsia" w:eastAsiaTheme="minorEastAsia"/>
          <w:color w:val="auto"/>
          <w:szCs w:val="21"/>
          <w:highlight w:val="none"/>
        </w:rPr>
        <w:t xml:space="preserve">评</w:t>
      </w:r>
      <w:r>
        <w:rPr>
          <w:rFonts w:hint="eastAsia" w:asciiTheme="minorEastAsia" w:hAnsiTheme="minorEastAsia" w:eastAsiaTheme="minorEastAsia"/>
          <w:color w:val="auto"/>
          <w:szCs w:val="21"/>
          <w:highlight w:val="none"/>
        </w:rPr>
        <w:t xml:space="preserve">标</w:t>
      </w:r>
      <w:r>
        <w:rPr>
          <w:rFonts w:asciiTheme="minorEastAsia" w:hAnsiTheme="minorEastAsia" w:eastAsiaTheme="minorEastAsia"/>
          <w:color w:val="auto"/>
          <w:szCs w:val="21"/>
          <w:highlight w:val="none"/>
        </w:rPr>
        <w:t xml:space="preserve">过程中出现下列情形之一的，评标委员会应当启动异常低价投标审查程序： </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（1）投标报价低于全部通过符合性审查</w:t>
      </w:r>
      <w:r>
        <w:rPr>
          <w:rFonts w:hint="eastAsia" w:cs="Arial" w:asciiTheme="minorEastAsia" w:hAnsiTheme="minorEastAsia" w:eastAsiaTheme="minorEastAsia"/>
          <w:color w:val="auto"/>
          <w:szCs w:val="21"/>
          <w:highlight w:val="none"/>
        </w:rPr>
        <w:t xml:space="preserve">投标人</w:t>
      </w:r>
      <w:r>
        <w:rPr>
          <w:rFonts w:hint="eastAsia" w:asciiTheme="minorEastAsia" w:hAnsiTheme="minorEastAsia" w:eastAsiaTheme="minorEastAsia"/>
          <w:color w:val="auto"/>
          <w:szCs w:val="21"/>
          <w:highlight w:val="none"/>
        </w:rPr>
        <w:t xml:space="preserve">投标报价平均值50%的，即投标报价&lt;全部通过符合性审查</w:t>
      </w:r>
      <w:r>
        <w:rPr>
          <w:rFonts w:hint="eastAsia" w:cs="Arial" w:asciiTheme="minorEastAsia" w:hAnsiTheme="minorEastAsia" w:eastAsiaTheme="minorEastAsia"/>
          <w:color w:val="auto"/>
          <w:szCs w:val="21"/>
          <w:highlight w:val="none"/>
        </w:rPr>
        <w:t xml:space="preserve">投标人</w:t>
      </w:r>
      <w:r>
        <w:rPr>
          <w:rFonts w:hint="eastAsia" w:asciiTheme="minorEastAsia" w:hAnsiTheme="minorEastAsia" w:eastAsiaTheme="minorEastAsia"/>
          <w:color w:val="auto"/>
          <w:szCs w:val="21"/>
          <w:highlight w:val="none"/>
        </w:rPr>
        <w:t xml:space="preserve">投标报价平均值×50%；</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（2）投标报价低于通过符合性审查的次低报价</w:t>
      </w:r>
      <w:r>
        <w:rPr>
          <w:rFonts w:hint="eastAsia" w:cs="Arial" w:asciiTheme="minorEastAsia" w:hAnsiTheme="minorEastAsia" w:eastAsiaTheme="minorEastAsia"/>
          <w:color w:val="auto"/>
          <w:szCs w:val="21"/>
          <w:highlight w:val="none"/>
        </w:rPr>
        <w:t xml:space="preserve">投标人</w:t>
      </w:r>
      <w:r>
        <w:rPr>
          <w:rFonts w:hint="eastAsia" w:asciiTheme="minorEastAsia" w:hAnsiTheme="minorEastAsia" w:eastAsiaTheme="minorEastAsia"/>
          <w:color w:val="auto"/>
          <w:szCs w:val="21"/>
          <w:highlight w:val="none"/>
        </w:rPr>
        <w:t xml:space="preserve">投标报价50%的，即投标报价&lt;通过符合性审查的次低报价</w:t>
      </w:r>
      <w:r>
        <w:rPr>
          <w:rFonts w:hint="eastAsia" w:cs="Arial" w:asciiTheme="minorEastAsia" w:hAnsiTheme="minorEastAsia" w:eastAsiaTheme="minorEastAsia"/>
          <w:color w:val="auto"/>
          <w:szCs w:val="21"/>
          <w:highlight w:val="none"/>
        </w:rPr>
        <w:t xml:space="preserve">投标人</w:t>
      </w:r>
      <w:r>
        <w:rPr>
          <w:rFonts w:hint="eastAsia" w:asciiTheme="minorEastAsia" w:hAnsiTheme="minorEastAsia" w:eastAsiaTheme="minorEastAsia"/>
          <w:color w:val="auto"/>
          <w:szCs w:val="21"/>
          <w:highlight w:val="none"/>
        </w:rPr>
        <w:t xml:space="preserve">投标报价×50%；</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（3）投标报价低于采购项目最高限价50%的，即投标报价&lt;采购项目最高限价×50%；</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（4）评标委员会基于专业判断，认为</w:t>
      </w:r>
      <w:r>
        <w:rPr>
          <w:rFonts w:hint="eastAsia" w:cs="Arial" w:asciiTheme="minorEastAsia" w:hAnsiTheme="minorEastAsia" w:eastAsiaTheme="minorEastAsia"/>
          <w:color w:val="auto"/>
          <w:szCs w:val="21"/>
          <w:highlight w:val="none"/>
        </w:rPr>
        <w:t xml:space="preserve">投标人</w:t>
      </w:r>
      <w:r>
        <w:rPr>
          <w:rFonts w:hint="eastAsia" w:asciiTheme="minorEastAsia" w:hAnsiTheme="minorEastAsia" w:eastAsiaTheme="minorEastAsia"/>
          <w:color w:val="auto"/>
          <w:szCs w:val="21"/>
          <w:highlight w:val="none"/>
        </w:rPr>
        <w:t xml:space="preserve">报价过低，有可能影响产品质量或者不能诚信履约的其他情形。</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20.5.2 </w:t>
      </w:r>
      <w:bookmarkStart w:id="123" w:name="OLE_LINK33"/>
      <w:r>
        <w:rPr>
          <w:rFonts w:hint="eastAsia" w:asciiTheme="minorEastAsia" w:hAnsiTheme="minorEastAsia" w:eastAsiaTheme="minorEastAsia"/>
          <w:color w:val="auto"/>
          <w:szCs w:val="21"/>
          <w:highlight w:val="none"/>
        </w:rPr>
        <w:t xml:space="preserve">评标委员会</w:t>
      </w:r>
      <w:bookmarkEnd w:id="123"/>
      <w:r>
        <w:rPr>
          <w:rFonts w:hint="eastAsia" w:asciiTheme="minorEastAsia" w:hAnsiTheme="minorEastAsia" w:eastAsiaTheme="minorEastAsia"/>
          <w:color w:val="auto"/>
          <w:szCs w:val="21"/>
          <w:highlight w:val="none"/>
        </w:rPr>
        <w:t xml:space="preserve">启动异常低价投标审查后，属于前述第（1）项至第（4）项情形的，应当要求相关</w:t>
      </w:r>
      <w:r>
        <w:rPr>
          <w:rFonts w:hint="eastAsia" w:cs="Arial" w:asciiTheme="minorEastAsia" w:hAnsiTheme="minorEastAsia" w:eastAsiaTheme="minorEastAsia"/>
          <w:color w:val="auto"/>
          <w:szCs w:val="21"/>
          <w:highlight w:val="none"/>
        </w:rPr>
        <w:t xml:space="preserve">投标人</w:t>
      </w:r>
      <w:r>
        <w:rPr>
          <w:rFonts w:hint="eastAsia" w:asciiTheme="minorEastAsia" w:hAnsiTheme="minorEastAsia" w:eastAsiaTheme="minorEastAsia"/>
          <w:color w:val="auto"/>
          <w:szCs w:val="21"/>
          <w:highlight w:val="none"/>
        </w:rPr>
        <w:t xml:space="preserve">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p>
    <w:p>
      <w:pPr>
        <w:ind w:firstLine="420"/>
        <w:jc w:val="left"/>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20.</w:t>
      </w:r>
      <w:bookmarkStart w:id="124" w:name="_Hlk176875986"/>
      <w:r>
        <w:rPr>
          <w:rFonts w:hint="eastAsia" w:asciiTheme="minorEastAsia" w:hAnsiTheme="minorEastAsia" w:eastAsiaTheme="minorEastAsia"/>
          <w:b/>
          <w:bCs/>
          <w:color w:val="auto"/>
          <w:szCs w:val="21"/>
          <w:highlight w:val="none"/>
        </w:rPr>
        <w:t xml:space="preserve">6</w:t>
      </w:r>
      <w:r>
        <w:rPr>
          <w:rFonts w:hint="eastAsia" w:asciiTheme="minorEastAsia" w:hAnsiTheme="minorEastAsia" w:eastAsiaTheme="minorEastAsia"/>
          <w:b/>
          <w:bCs/>
          <w:color w:val="auto"/>
          <w:szCs w:val="21"/>
          <w:highlight w:val="none"/>
        </w:rPr>
        <w:t xml:space="preserve">相同品牌产品的投标</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单一产品采购项目，使用综合评分法的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非</w:t>
      </w:r>
      <w:bookmarkStart w:id="125" w:name="OLE_LINK11"/>
      <w:r>
        <w:rPr>
          <w:rFonts w:hint="eastAsia" w:asciiTheme="minorEastAsia" w:hAnsiTheme="minorEastAsia" w:eastAsiaTheme="minorEastAsia"/>
          <w:color w:val="auto"/>
          <w:szCs w:val="21"/>
          <w:highlight w:val="none"/>
        </w:rPr>
        <w:t xml:space="preserve">单一产品采购项目</w:t>
      </w:r>
      <w:bookmarkEnd w:id="125"/>
      <w:r>
        <w:rPr>
          <w:rFonts w:hint="eastAsia" w:asciiTheme="minorEastAsia" w:hAnsiTheme="minorEastAsia" w:eastAsiaTheme="minorEastAsia"/>
          <w:color w:val="auto"/>
          <w:szCs w:val="21"/>
          <w:highlight w:val="none"/>
        </w:rPr>
        <w:t xml:space="preserve">，核心产品在招标文件技术需求中载明。多家投标人提供的核心产品品牌相同的，按前款规定处理。</w:t>
      </w:r>
      <w:bookmarkEnd w:id="124"/>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21.评标方法和标准</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21.1本次</w:t>
      </w:r>
      <w:r>
        <w:rPr>
          <w:rFonts w:hint="eastAsia" w:asciiTheme="minorEastAsia" w:hAnsiTheme="minorEastAsia" w:eastAsiaTheme="minorEastAsia"/>
          <w:color w:val="auto"/>
          <w:szCs w:val="21"/>
          <w:highlight w:val="none"/>
        </w:rPr>
        <w:t xml:space="preserve">采购</w:t>
      </w:r>
      <w:r>
        <w:rPr>
          <w:rFonts w:hint="eastAsia" w:asciiTheme="minorEastAsia" w:hAnsiTheme="minorEastAsia" w:eastAsiaTheme="minorEastAsia"/>
          <w:color w:val="auto"/>
          <w:szCs w:val="21"/>
          <w:highlight w:val="none"/>
        </w:rPr>
        <w:t xml:space="preserve">采用综合评分法，评标方法和标准，详见本招标文件第三章。</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21.2综合评分法，是指投标文件满足招标文件全部实质性要求，且按照评审因素的量化指标评审得分最高的投标人为中标候选人的评标方法。</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22.确定中标人</w:t>
      </w:r>
      <w:r/>
    </w:p>
    <w:p>
      <w:pPr>
        <w:ind w:firstLine="420"/>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22.</w:t>
      </w:r>
      <w:r>
        <w:rPr>
          <w:rFonts w:asciiTheme="minorEastAsia" w:hAnsiTheme="minorEastAsia" w:eastAsiaTheme="minorEastAsia"/>
          <w:color w:val="auto"/>
          <w:szCs w:val="21"/>
          <w:highlight w:val="none"/>
        </w:rPr>
        <w:t xml:space="preserve">1</w:t>
      </w:r>
      <w:r>
        <w:rPr>
          <w:rFonts w:hint="eastAsia" w:asciiTheme="minorEastAsia" w:hAnsiTheme="minorEastAsia" w:eastAsiaTheme="minorEastAsia"/>
          <w:color w:val="auto"/>
          <w:szCs w:val="21"/>
          <w:highlight w:val="none"/>
        </w:rPr>
        <w:t xml:space="preserve">采用综合评分法的，评标结果按评审后得分由高到低顺序排列。得分相同的，按投标报价由低到高顺序排列。得分且投标报价相同的并列，按技术指标优劣顺序排列。</w:t>
      </w:r>
      <w:bookmarkStart w:id="126" w:name="_Hlk44576646"/>
      <w:r>
        <w:rPr>
          <w:rFonts w:hint="eastAsia" w:asciiTheme="minorEastAsia" w:hAnsiTheme="minorEastAsia" w:eastAsiaTheme="minorEastAsia"/>
          <w:color w:val="auto"/>
          <w:szCs w:val="21"/>
          <w:highlight w:val="none"/>
        </w:rPr>
        <w:t xml:space="preserve">投标文件满足招标文件全部实质性要求，</w:t>
      </w:r>
      <w:bookmarkStart w:id="127" w:name="_Hlk128053036"/>
      <w:r>
        <w:rPr>
          <w:rFonts w:hint="eastAsia" w:asciiTheme="minorEastAsia" w:hAnsiTheme="minorEastAsia" w:eastAsiaTheme="minorEastAsia"/>
          <w:color w:val="auto"/>
          <w:szCs w:val="21"/>
          <w:highlight w:val="none"/>
        </w:rPr>
        <w:t xml:space="preserve">且按照评审因素的量化指标评审得分最高的投标人为排名第一的中标候选人，经采购人授权，</w:t>
      </w:r>
      <w:bookmarkEnd w:id="126"/>
      <w:r>
        <w:rPr>
          <w:rFonts w:hint="eastAsia" w:cs="宋体" w:asciiTheme="minorEastAsia" w:hAnsiTheme="minorEastAsia" w:eastAsiaTheme="minorEastAsia"/>
          <w:color w:val="auto"/>
          <w:szCs w:val="21"/>
          <w:highlight w:val="none"/>
        </w:rPr>
        <w:t xml:space="preserve">评标委员会将综合排名第一的中标候选人确定为中标人。</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22.</w:t>
      </w:r>
      <w:r>
        <w:rPr>
          <w:rFonts w:asciiTheme="minorEastAsia" w:hAnsiTheme="minorEastAsia" w:eastAsiaTheme="minorEastAsia"/>
          <w:color w:val="auto"/>
          <w:szCs w:val="21"/>
          <w:highlight w:val="none"/>
        </w:rPr>
        <w:t xml:space="preserve">2</w:t>
      </w:r>
      <w:r>
        <w:rPr>
          <w:rFonts w:hint="eastAsia" w:asciiTheme="minorEastAsia" w:hAnsiTheme="minorEastAsia" w:eastAsiaTheme="minorEastAsia"/>
          <w:color w:val="auto"/>
          <w:szCs w:val="21"/>
          <w:highlight w:val="none"/>
        </w:rPr>
        <w:t xml:space="preserve">中标人确定后，采购代理机构在</w:t>
      </w:r>
      <w:r>
        <w:rPr>
          <w:rFonts w:hint="eastAsia" w:asciiTheme="minorEastAsia" w:hAnsiTheme="minorEastAsia" w:eastAsiaTheme="minorEastAsia"/>
          <w:color w:val="auto"/>
          <w:szCs w:val="21"/>
          <w:highlight w:val="none"/>
          <w:lang w:val="zh-CN"/>
        </w:rPr>
        <w:t xml:space="preserve">“江苏政府采购网”发布</w:t>
      </w:r>
      <w:r>
        <w:rPr>
          <w:rFonts w:hint="eastAsia" w:asciiTheme="minorEastAsia" w:hAnsiTheme="minorEastAsia" w:eastAsiaTheme="minorEastAsia"/>
          <w:color w:val="auto"/>
          <w:szCs w:val="21"/>
          <w:highlight w:val="none"/>
        </w:rPr>
        <w:t xml:space="preserve">中标公告，公告期限为1个工作日。</w:t>
      </w:r>
      <w:bookmarkEnd w:id="127"/>
      <w:r/>
      <w:r/>
    </w:p>
    <w:p>
      <w:pPr>
        <w:ind w:firstLine="412"/>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23.</w:t>
      </w:r>
      <w:r>
        <w:rPr>
          <w:rFonts w:hint="eastAsia" w:asciiTheme="minorEastAsia" w:hAnsiTheme="minorEastAsia" w:eastAsiaTheme="minorEastAsia"/>
          <w:color w:val="auto"/>
          <w:highlight w:val="none"/>
        </w:rPr>
        <w:t xml:space="preserve"> </w:t>
      </w:r>
      <w:r>
        <w:rPr>
          <w:rFonts w:hint="eastAsia" w:asciiTheme="minorEastAsia" w:hAnsiTheme="minorEastAsia" w:eastAsiaTheme="minorEastAsia"/>
          <w:b/>
          <w:bCs/>
          <w:color w:val="auto"/>
          <w:szCs w:val="21"/>
          <w:highlight w:val="none"/>
        </w:rPr>
        <w:t xml:space="preserve">中标通知书</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23.l 中标结果确定后，采购代理机构将向中标人发出中标通知书。中标人可在中标结果公告届满之日起三十日内,登录苏采云系统下载。</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23.2 中标通知书是合同的一个组成部分，对采购人和中标人均具有法律效力。中标通知书发出后，采购人改变中标结果或者中标人放弃中标项目的，应当依法承担法律责任。</w:t>
      </w:r>
      <w:r/>
    </w:p>
    <w:p>
      <w:pPr>
        <w:ind w:firstLine="420"/>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23.3 中标人在领取中标通知书时，需向采购代理机构提供纸质版投标文件一式叁份（盖章版本），投标文件提倡按照A4幅面打印或复印并进行装订（采用胶装形式递交）。</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24.评标过程的保密性</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24.1 采购人和采购代理机构将采取必要措施，保证评标在严格保密的情况下进行。</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24.2 任何单位和个人不得非法干预、影响评标办法的确定，以及评标过程和结果。</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24.3 凡是与审查、澄清、评价和比较投标的有关资料等，均不向投标人及与评标无关的其他人员透露。</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24.4采购代理机构和评标委员会不向未中标的投标人解释未中标原因，也不公布评标过程中的相关细节。</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bookmarkStart w:id="128" w:name="_Hlk176188663"/>
      <w:r>
        <w:rPr>
          <w:rFonts w:hint="eastAsia" w:asciiTheme="minorEastAsia" w:hAnsiTheme="minorEastAsia" w:eastAsiaTheme="minorEastAsia"/>
          <w:b/>
          <w:bCs/>
          <w:color w:val="auto"/>
          <w:szCs w:val="21"/>
          <w:highlight w:val="none"/>
        </w:rPr>
        <w:t xml:space="preserve">六、签订合同</w:t>
      </w:r>
      <w:bookmarkEnd w:id="128"/>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25.签订合同</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25.1采购人与中标人应当自中标通知书发出之日起</w:t>
      </w:r>
      <w:r>
        <w:rPr>
          <w:rFonts w:asciiTheme="minorEastAsia" w:hAnsiTheme="minorEastAsia" w:eastAsiaTheme="minorEastAsia"/>
          <w:color w:val="auto"/>
          <w:szCs w:val="21"/>
          <w:highlight w:val="none"/>
        </w:rPr>
        <w:t xml:space="preserve">30</w:t>
      </w:r>
      <w:r>
        <w:rPr>
          <w:rFonts w:hint="eastAsia" w:asciiTheme="minorEastAsia" w:hAnsiTheme="minorEastAsia" w:eastAsiaTheme="minorEastAsia"/>
          <w:color w:val="auto"/>
          <w:szCs w:val="21"/>
          <w:highlight w:val="none"/>
        </w:rPr>
        <w:t xml:space="preserve">日内，按照招标文件和中标人投标文件的规定，签订书面合同，</w:t>
      </w:r>
      <w:r>
        <w:rPr>
          <w:rFonts w:hint="eastAsia" w:asciiTheme="minorEastAsia" w:hAnsiTheme="minorEastAsia" w:eastAsiaTheme="minorEastAsia"/>
          <w:b/>
          <w:bCs/>
          <w:color w:val="auto"/>
          <w:szCs w:val="21"/>
          <w:highlight w:val="none"/>
        </w:rPr>
        <w:t xml:space="preserve">采购人于合同签订后2个工作日内通过苏采云系统进行公示</w:t>
      </w:r>
      <w:r>
        <w:rPr>
          <w:rFonts w:hint="eastAsia" w:asciiTheme="minorEastAsia" w:hAnsiTheme="minorEastAsia" w:eastAsiaTheme="minorEastAsia"/>
          <w:color w:val="auto"/>
          <w:szCs w:val="21"/>
          <w:highlight w:val="none"/>
        </w:rPr>
        <w:t xml:space="preserve">。所签订的合同不得对招标文件确定的事项和中标人投标文件作实质性修改。</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25.2采购人不得向中标人提出任何不合理的要求作为签订合同的条件。</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bookmarkStart w:id="129" w:name="_Hlk128053131"/>
      <w:r>
        <w:rPr>
          <w:rFonts w:hint="eastAsia" w:asciiTheme="minorEastAsia" w:hAnsiTheme="minorEastAsia" w:eastAsiaTheme="minorEastAsia"/>
          <w:color w:val="auto"/>
          <w:szCs w:val="21"/>
          <w:highlight w:val="none"/>
        </w:rPr>
        <w:t xml:space="preserve">25.3</w:t>
      </w:r>
      <w:bookmarkStart w:id="130" w:name="_Hlk134712780"/>
      <w:r>
        <w:rPr>
          <w:rFonts w:asciiTheme="minorEastAsia" w:hAnsiTheme="minorEastAsia" w:eastAsiaTheme="minorEastAsia"/>
          <w:color w:val="auto"/>
          <w:szCs w:val="21"/>
          <w:highlight w:val="none"/>
        </w:rPr>
        <w:t xml:space="preserve">中标人拒绝与采购人签订合同的，采购人可以按照</w:t>
      </w:r>
      <w:r>
        <w:rPr>
          <w:rFonts w:hint="eastAsia" w:asciiTheme="minorEastAsia" w:hAnsiTheme="minorEastAsia" w:eastAsiaTheme="minorEastAsia"/>
          <w:color w:val="auto"/>
          <w:szCs w:val="21"/>
          <w:highlight w:val="none"/>
        </w:rPr>
        <w:t xml:space="preserve">评标</w:t>
      </w:r>
      <w:r>
        <w:rPr>
          <w:rFonts w:asciiTheme="minorEastAsia" w:hAnsiTheme="minorEastAsia" w:eastAsiaTheme="minorEastAsia"/>
          <w:color w:val="auto"/>
          <w:szCs w:val="21"/>
          <w:highlight w:val="none"/>
        </w:rPr>
        <w:t xml:space="preserve">报告推荐的中标候选人名单排序，确定下一候选人为中标人，也可以重新开展政府采购活动。</w:t>
      </w:r>
      <w:bookmarkEnd w:id="129"/>
      <w:r/>
      <w:bookmarkEnd w:id="130"/>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25.4 </w:t>
      </w:r>
      <w:r>
        <w:rPr>
          <w:rFonts w:asciiTheme="minorEastAsia" w:hAnsiTheme="minorEastAsia" w:eastAsiaTheme="minorEastAsia"/>
          <w:color w:val="auto"/>
          <w:szCs w:val="21"/>
          <w:highlight w:val="none"/>
        </w:rPr>
        <w:t xml:space="preserve">政府采购合同履行中，采购人需追加与合同标的相同的</w:t>
      </w:r>
      <w:r>
        <w:rPr>
          <w:rFonts w:hint="eastAsia" w:asciiTheme="minorEastAsia" w:hAnsiTheme="minorEastAsia" w:eastAsiaTheme="minorEastAsia"/>
          <w:color w:val="auto"/>
          <w:szCs w:val="21"/>
          <w:highlight w:val="none"/>
        </w:rPr>
        <w:t xml:space="preserve">货物（包含与货物相关的服务）</w:t>
      </w:r>
      <w:r>
        <w:rPr>
          <w:rFonts w:asciiTheme="minorEastAsia" w:hAnsiTheme="minorEastAsia" w:eastAsiaTheme="minorEastAsia"/>
          <w:color w:val="auto"/>
          <w:szCs w:val="21"/>
          <w:highlight w:val="none"/>
        </w:rPr>
        <w:t xml:space="preserve">，在不改变合同其他条款的前提下，可以与</w:t>
      </w:r>
      <w:r>
        <w:rPr>
          <w:rFonts w:hint="eastAsia" w:asciiTheme="minorEastAsia" w:hAnsiTheme="minorEastAsia" w:eastAsiaTheme="minorEastAsia"/>
          <w:color w:val="auto"/>
          <w:szCs w:val="21"/>
          <w:highlight w:val="none"/>
        </w:rPr>
        <w:t xml:space="preserve">中</w:t>
      </w:r>
      <w:r>
        <w:rPr>
          <w:rFonts w:asciiTheme="minorEastAsia" w:hAnsiTheme="minorEastAsia" w:eastAsiaTheme="minorEastAsia"/>
          <w:color w:val="auto"/>
          <w:szCs w:val="21"/>
          <w:highlight w:val="none"/>
        </w:rPr>
        <w:t xml:space="preserve">标人协商签订补充合同，但所有补充合同的采购金额不得超过原合同采购金额的百分之十。</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25.5招标文件、中标人的投标文件及招标过程中有关澄清、承诺文件均作为合同附件。</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25.6采购人与中标人应当根据合同的约定依法履行合同义务。</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七、质疑和投诉</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26.质疑</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bookmarkStart w:id="131" w:name="_Hlk135041925"/>
      <w:r>
        <w:rPr>
          <w:rFonts w:hint="eastAsia" w:asciiTheme="minorEastAsia" w:hAnsiTheme="minorEastAsia" w:eastAsiaTheme="minorEastAsia"/>
          <w:color w:val="auto"/>
          <w:szCs w:val="21"/>
          <w:highlight w:val="none"/>
        </w:rPr>
        <w:t xml:space="preserve">26.1投标人对</w:t>
      </w:r>
      <w:r>
        <w:rPr>
          <w:rFonts w:hint="eastAsia" w:asciiTheme="minorEastAsia" w:hAnsiTheme="minorEastAsia" w:eastAsiaTheme="minorEastAsia"/>
          <w:color w:val="auto"/>
          <w:szCs w:val="21"/>
          <w:highlight w:val="none"/>
        </w:rPr>
        <w:t xml:space="preserve">采购</w:t>
      </w:r>
      <w:r>
        <w:rPr>
          <w:rFonts w:hint="eastAsia" w:asciiTheme="minorEastAsia" w:hAnsiTheme="minorEastAsia" w:eastAsiaTheme="minorEastAsia"/>
          <w:color w:val="auto"/>
          <w:szCs w:val="21"/>
          <w:highlight w:val="none"/>
        </w:rPr>
        <w:t xml:space="preserve">活动事项有疑问的，可以向采购代理机构提出询问，采购代理机构将依法作出答复，但答复的内容不涉及商业秘密。</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26.2</w:t>
      </w:r>
      <w:r>
        <w:rPr>
          <w:rFonts w:asciiTheme="minorEastAsia" w:hAnsiTheme="minorEastAsia" w:eastAsiaTheme="minorEastAsia"/>
          <w:color w:val="auto"/>
          <w:szCs w:val="21"/>
          <w:highlight w:val="none"/>
        </w:rPr>
        <w:t xml:space="preserve">提出质疑的投标人应当是参与所质疑项目采购活动的投标人。潜在投标人已依法获取其可质疑的招标文件的，可以对该文件提出质疑。</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以联合体形式参加政府采购活动的，其质疑应当由组成联合体的所有投标人共同提出，联合体各方均须按要求加盖公章。</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26.3投标人认为招标文件、采购过程和中标结果使自己的合法权益受到损害的，可以在知道或者应知其权益受到损害之日起七个工作日内，将质疑文件原件送达采购人或采购代理机构。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投标人应知其权益受到损害之日，是指：对招标文件提出质疑的，应当在获取招标文件或者招标文件公告期限届满之日起7个工作日内提出</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对采购过程提出质疑的，为各采购程序环节结束之日；对中标结果提出质疑的，为中标结果公告期限届满之日。</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投标人必须在法定质疑期内一次性提出针对同一采购程序环节的质疑。</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26.4 投标人提出质疑</w:t>
      </w:r>
      <w:r>
        <w:rPr>
          <w:rFonts w:hint="eastAsia" w:asciiTheme="minorEastAsia" w:hAnsiTheme="minorEastAsia" w:eastAsiaTheme="minorEastAsia"/>
          <w:color w:val="auto"/>
          <w:szCs w:val="21"/>
          <w:highlight w:val="none"/>
        </w:rPr>
        <w:t xml:space="preserve">应当按照《政府采购质疑和投诉办法》的规定</w:t>
      </w:r>
      <w:r>
        <w:rPr>
          <w:rFonts w:asciiTheme="minorEastAsia" w:hAnsiTheme="minorEastAsia" w:eastAsiaTheme="minorEastAsia"/>
          <w:color w:val="auto"/>
          <w:szCs w:val="21"/>
          <w:highlight w:val="none"/>
        </w:rPr>
        <w:t xml:space="preserve">提交质疑函和必要的证明材料。质疑函应当包括下列内容：</w:t>
      </w:r>
      <w:r/>
    </w:p>
    <w:p>
      <w:pPr>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rPr>
        <w:t xml:space="preserve"> </w:t>
      </w:r>
      <w:r>
        <w:rPr>
          <w:rFonts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rPr>
        <w:t xml:space="preserve">1</w:t>
      </w:r>
      <w:r>
        <w:rPr>
          <w:rFonts w:asciiTheme="minorEastAsia" w:hAnsiTheme="minorEastAsia" w:eastAsiaTheme="minorEastAsia"/>
          <w:color w:val="auto"/>
          <w:szCs w:val="21"/>
          <w:highlight w:val="none"/>
        </w:rPr>
        <w:t xml:space="preserve">）投标人的姓名或者名称、地址、邮编、联系人及联系电话；</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2</w:t>
      </w:r>
      <w:r>
        <w:rPr>
          <w:rFonts w:asciiTheme="minorEastAsia" w:hAnsiTheme="minorEastAsia" w:eastAsiaTheme="minorEastAsia"/>
          <w:color w:val="auto"/>
          <w:szCs w:val="21"/>
          <w:highlight w:val="none"/>
        </w:rPr>
        <w:t xml:space="preserve">）质疑项目的名称、编号；</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3</w:t>
      </w:r>
      <w:r>
        <w:rPr>
          <w:rFonts w:asciiTheme="minorEastAsia" w:hAnsiTheme="minorEastAsia" w:eastAsiaTheme="minorEastAsia"/>
          <w:color w:val="auto"/>
          <w:szCs w:val="21"/>
          <w:highlight w:val="none"/>
        </w:rPr>
        <w:t xml:space="preserve">）具体、明确的质疑事项和与质疑事项相关的请求</w:t>
      </w:r>
      <w:r>
        <w:rPr>
          <w:rFonts w:hint="eastAsia" w:asciiTheme="minorEastAsia" w:hAnsiTheme="minorEastAsia" w:eastAsiaTheme="minorEastAsia"/>
          <w:color w:val="auto"/>
          <w:szCs w:val="21"/>
          <w:highlight w:val="none"/>
        </w:rPr>
        <w:t xml:space="preserve">（具体条款）</w:t>
      </w:r>
      <w:r>
        <w:rPr>
          <w:rFonts w:asciiTheme="minorEastAsia" w:hAnsiTheme="minorEastAsia" w:eastAsiaTheme="minorEastAsia"/>
          <w:color w:val="auto"/>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4</w:t>
      </w:r>
      <w:r>
        <w:rPr>
          <w:rFonts w:asciiTheme="minorEastAsia" w:hAnsiTheme="minorEastAsia" w:eastAsiaTheme="minorEastAsia"/>
          <w:color w:val="auto"/>
          <w:szCs w:val="21"/>
          <w:highlight w:val="none"/>
        </w:rPr>
        <w:t xml:space="preserve">）事实依据</w:t>
      </w:r>
      <w:r>
        <w:rPr>
          <w:rFonts w:hint="eastAsia" w:asciiTheme="minorEastAsia" w:hAnsiTheme="minorEastAsia" w:eastAsiaTheme="minorEastAsia"/>
          <w:color w:val="auto"/>
          <w:szCs w:val="21"/>
          <w:highlight w:val="none"/>
        </w:rPr>
        <w:t xml:space="preserve">（具体条款）</w:t>
      </w:r>
      <w:r>
        <w:rPr>
          <w:rFonts w:asciiTheme="minorEastAsia" w:hAnsiTheme="minorEastAsia" w:eastAsiaTheme="minorEastAsia"/>
          <w:color w:val="auto"/>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5</w:t>
      </w:r>
      <w:r>
        <w:rPr>
          <w:rFonts w:asciiTheme="minorEastAsia" w:hAnsiTheme="minorEastAsia" w:eastAsiaTheme="minorEastAsia"/>
          <w:color w:val="auto"/>
          <w:szCs w:val="21"/>
          <w:highlight w:val="none"/>
        </w:rPr>
        <w:t xml:space="preserve">）必要的法律依据</w:t>
      </w:r>
      <w:r>
        <w:rPr>
          <w:rFonts w:hint="eastAsia" w:asciiTheme="minorEastAsia" w:hAnsiTheme="minorEastAsia" w:eastAsiaTheme="minorEastAsia"/>
          <w:color w:val="auto"/>
          <w:szCs w:val="21"/>
          <w:highlight w:val="none"/>
        </w:rPr>
        <w:t xml:space="preserve">（具体条款）</w:t>
      </w:r>
      <w:r>
        <w:rPr>
          <w:rFonts w:asciiTheme="minorEastAsia" w:hAnsiTheme="minorEastAsia" w:eastAsiaTheme="minorEastAsia"/>
          <w:color w:val="auto"/>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6</w:t>
      </w:r>
      <w:r>
        <w:rPr>
          <w:rFonts w:asciiTheme="minorEastAsia" w:hAnsiTheme="minorEastAsia" w:eastAsiaTheme="minorEastAsia"/>
          <w:color w:val="auto"/>
          <w:szCs w:val="21"/>
          <w:highlight w:val="none"/>
        </w:rPr>
        <w:t xml:space="preserve">）提出质疑的日期。</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投标人为自然人的，应当由本人签字；投标人为法人或者其他组织的，应当由法定代表人、主要负责人，或者其委托代理人签字或者盖章，并加盖公章。</w:t>
      </w:r>
      <w:r>
        <w:rPr>
          <w:rFonts w:hint="eastAsia" w:asciiTheme="minorEastAsia" w:hAnsiTheme="minorEastAsia" w:eastAsiaTheme="minorEastAsia"/>
          <w:color w:val="auto"/>
          <w:szCs w:val="21"/>
          <w:highlight w:val="none"/>
        </w:rPr>
        <w:t xml:space="preserve">代理人提出质疑和投诉，应当提交投标人签署的授权委托书。</w:t>
      </w:r>
      <w:r>
        <w:rPr>
          <w:rFonts w:asciiTheme="minorEastAsia" w:hAnsiTheme="minorEastAsia" w:eastAsiaTheme="minorEastAsia"/>
          <w:color w:val="auto"/>
          <w:szCs w:val="21"/>
          <w:highlight w:val="none"/>
        </w:rPr>
        <w:t xml:space="preserve">其授权委托书应当载明代理人的姓名或者名称、代理事项、具体权限、期限和相关事项。</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26.5 </w:t>
      </w:r>
      <w:r>
        <w:rPr>
          <w:rFonts w:hint="eastAsia" w:asciiTheme="minorEastAsia" w:hAnsiTheme="minorEastAsia" w:eastAsiaTheme="minorEastAsia"/>
          <w:color w:val="auto"/>
          <w:szCs w:val="21"/>
          <w:highlight w:val="none"/>
        </w:rPr>
        <w:t xml:space="preserve">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26.6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26.7 采购代理机构在收到投标人的书面质疑后将及时组织调查核实，在</w:t>
      </w:r>
      <w:r>
        <w:rPr>
          <w:rFonts w:hint="eastAsia" w:asciiTheme="minorEastAsia" w:hAnsiTheme="minorEastAsia" w:eastAsiaTheme="minorEastAsia"/>
          <w:b/>
          <w:bCs/>
          <w:color w:val="auto"/>
          <w:szCs w:val="21"/>
          <w:highlight w:val="none"/>
        </w:rPr>
        <w:t xml:space="preserve">七个工作日内</w:t>
      </w:r>
      <w:r>
        <w:rPr>
          <w:rFonts w:hint="eastAsia" w:asciiTheme="minorEastAsia" w:hAnsiTheme="minorEastAsia" w:eastAsiaTheme="minorEastAsia"/>
          <w:color w:val="auto"/>
          <w:szCs w:val="21"/>
          <w:highlight w:val="none"/>
        </w:rPr>
        <w:t xml:space="preserve">作出答复，并以书面或在网站公告形式通知质疑投标人和其他有关投标人，答复的内容不涉及商业秘密。</w:t>
      </w:r>
      <w:bookmarkEnd w:id="131"/>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27.投诉</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27.1质疑投标人对采购代理机构的答复不满意或者采购代理机构未在规定的时间内作出答复的，可以在答复期满后十五个工作日内向同级政府采购监督管理部门投诉。</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27.2</w:t>
      </w:r>
      <w:r>
        <w:rPr>
          <w:rFonts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rPr>
        <w:t xml:space="preserve">投标人投诉应当有明确的请求和必要的证明材料。投标人投诉的事项不得超出已质疑事项的范围。</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27.3</w:t>
      </w:r>
      <w:r>
        <w:rPr>
          <w:rFonts w:asciiTheme="minorEastAsia" w:hAnsiTheme="minorEastAsia" w:eastAsiaTheme="minorEastAsia"/>
          <w:color w:val="auto"/>
          <w:szCs w:val="21"/>
          <w:highlight w:val="none"/>
        </w:rPr>
        <w:t xml:space="preserve">投诉人对政府采购监督管理部门的投诉处理决定不服或者政府采购监督管理部门逾期未作处理的，可以依法申请行政复议或者向人民法院提起行政诉讼。</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27.4 投诉人在全国范围12个月内3次以上投诉查无实据的，由财政部门列入不良行为记录名单。</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w:t>
      </w:r>
      <w:r>
        <w:rPr>
          <w:rFonts w:asciiTheme="minorEastAsia" w:hAnsiTheme="minorEastAsia" w:eastAsiaTheme="minorEastAsia"/>
          <w:color w:val="auto"/>
          <w:szCs w:val="21"/>
          <w:highlight w:val="none"/>
        </w:rPr>
        <w:t xml:space="preserve">7.5</w:t>
      </w:r>
      <w:r>
        <w:rPr>
          <w:rFonts w:hint="eastAsia" w:asciiTheme="minorEastAsia" w:hAnsiTheme="minorEastAsia" w:eastAsiaTheme="minorEastAsia"/>
          <w:color w:val="auto"/>
          <w:szCs w:val="21"/>
          <w:highlight w:val="none"/>
        </w:rPr>
        <w:t xml:space="preserve">投诉人有下列行为之一的，属于虚假、恶意投诉，由财政部门列入不良行为记录名单，禁止其1至3年内参加政府采购活动：</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（1）捏造事实；</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（2）提供虚假材料；</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（3）以非法手段取得证明材料。证据来源的合法性存在明显疑问，投诉人无法证明其取得方式合法的，视为以非法手段取得证明材料。</w:t>
      </w:r>
      <w:r/>
    </w:p>
    <w:p>
      <w:pPr>
        <w:pStyle w:val="890"/>
        <w:numPr>
          <w:ilvl w:val="0"/>
          <w:numId w:val="0"/>
        </w:numPr>
        <w:rPr>
          <w:rFonts w:hint="eastAsia" w:asciiTheme="minorEastAsia" w:hAnsiTheme="minorEastAsia" w:eastAsiaTheme="minorEastAsia"/>
          <w:color w:val="auto"/>
          <w:highlight w:val="none"/>
        </w:rPr>
      </w:pPr>
      <w:r>
        <w:rPr>
          <w:rFonts w:asciiTheme="minorEastAsia" w:hAnsiTheme="minorEastAsia" w:eastAsiaTheme="minorEastAsia"/>
          <w:color w:val="auto"/>
          <w:sz w:val="21"/>
          <w:szCs w:val="21"/>
          <w:highlight w:val="none"/>
        </w:rPr>
        <w:br w:type="page" w:clear="all"/>
      </w:r>
      <w:bookmarkStart w:id="132" w:name="_Toc176529669"/>
      <w:r/>
      <w:bookmarkStart w:id="133" w:name="_Toc2754"/>
      <w:r/>
      <w:bookmarkStart w:id="134" w:name="_Toc481057145"/>
      <w:r>
        <w:rPr>
          <w:rFonts w:hint="eastAsia" w:asciiTheme="minorEastAsia" w:hAnsiTheme="minorEastAsia" w:eastAsiaTheme="minorEastAsia"/>
          <w:color w:val="auto"/>
          <w:highlight w:val="none"/>
        </w:rPr>
        <w:t xml:space="preserve">第三章 评标标准</w:t>
      </w:r>
      <w:bookmarkEnd w:id="132"/>
      <w:r/>
      <w:bookmarkEnd w:id="133"/>
      <w:r/>
      <w:bookmarkEnd w:id="134"/>
      <w:r/>
      <w:r/>
    </w:p>
    <w:p>
      <w:pPr>
        <w:ind w:firstLine="420"/>
        <w:spacing w:line="360" w:lineRule="auto"/>
        <w:rPr>
          <w:rFonts w:hint="eastAsia" w:asciiTheme="minorEastAsia" w:hAnsiTheme="minorEastAsia" w:eastAsiaTheme="minorEastAsia"/>
          <w:color w:val="auto"/>
          <w:szCs w:val="21"/>
          <w:highlight w:val="none"/>
        </w:rPr>
      </w:pPr>
      <w:r/>
      <w:bookmarkStart w:id="135" w:name="_Hlk44577066"/>
      <w:r>
        <w:rPr>
          <w:rFonts w:hint="eastAsia" w:asciiTheme="minorEastAsia" w:hAnsiTheme="minorEastAsia" w:eastAsiaTheme="minorEastAsia"/>
          <w:color w:val="auto"/>
          <w:szCs w:val="21"/>
          <w:highlight w:val="none"/>
        </w:rPr>
        <w:t xml:space="preserve">本项目采用综合评分法，评分统计方法将全部评委评分直接进行算术平均，小数点后保留2位。按评审后得分由高到低顺序排列，得分相同的，按投标报价由低到高顺序排列，得分且投标报价相同的，按</w:t>
      </w:r>
      <w:bookmarkStart w:id="136" w:name="OLE_LINK19"/>
      <w:r>
        <w:rPr>
          <w:rFonts w:hint="eastAsia" w:asciiTheme="minorEastAsia" w:hAnsiTheme="minorEastAsia" w:eastAsiaTheme="minorEastAsia"/>
          <w:color w:val="auto"/>
          <w:szCs w:val="21"/>
          <w:highlight w:val="none"/>
        </w:rPr>
        <w:t xml:space="preserve">技术指标</w:t>
      </w:r>
      <w:bookmarkEnd w:id="136"/>
      <w:r>
        <w:rPr>
          <w:rFonts w:hint="eastAsia" w:asciiTheme="minorEastAsia" w:hAnsiTheme="minorEastAsia" w:eastAsiaTheme="minorEastAsia"/>
          <w:color w:val="auto"/>
          <w:szCs w:val="21"/>
          <w:highlight w:val="none"/>
        </w:rPr>
        <w:t xml:space="preserve">优劣顺序排列，由评标委员会确定中标人。</w:t>
      </w:r>
      <w:bookmarkStart w:id="137" w:name="_Hlk176529455"/>
      <w:r/>
      <w:r/>
    </w:p>
    <w:tbl>
      <w:tblPr>
        <w:tblStyle w:val="900"/>
        <w:tblW w:w="97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1"/>
        <w:gridCol w:w="1039"/>
        <w:gridCol w:w="6800"/>
        <w:gridCol w:w="575"/>
        <w:gridCol w:w="789"/>
      </w:tblGrid>
      <w:tr>
        <w:trPr>
          <w:jc w:val="center"/>
          <w:trHeight w:val="422"/>
        </w:trPr>
        <w:tc>
          <w:tcPr>
            <w:tcW w:w="521" w:type="dxa"/>
            <w:vAlign w:val="center"/>
            <w:textDirection w:val="lrTb"/>
            <w:noWrap w:val="false"/>
          </w:tcPr>
          <w:p>
            <w:pPr>
              <w:jc w:val="center"/>
              <w:keepLines w:val="0"/>
              <w:keepNext w:val="0"/>
              <w:pageBreakBefore w:val="0"/>
              <w:spacing w:line="360" w:lineRule="auto"/>
              <w:rPr>
                <w:rFonts w:hint="eastAsia" w:ascii="宋体" w:hAnsi="宋体" w:cs="宋体"/>
                <w:b/>
                <w:bCs/>
                <w:color w:val="auto"/>
                <w:spacing w:val="-2"/>
                <w:szCs w:val="21"/>
                <w:highlight w:val="none"/>
              </w:rPr>
            </w:pPr>
            <w:r>
              <w:rPr>
                <w:rFonts w:hint="eastAsia" w:ascii="宋体" w:hAnsi="宋体" w:cs="宋体"/>
                <w:b/>
                <w:bCs/>
                <w:color w:val="auto"/>
                <w:szCs w:val="21"/>
                <w:highlight w:val="none"/>
              </w:rPr>
              <w:t xml:space="preserve">序号</w:t>
            </w:r>
            <w:r/>
          </w:p>
        </w:tc>
        <w:tc>
          <w:tcPr>
            <w:tcW w:w="1039" w:type="dxa"/>
            <w:vAlign w:val="center"/>
            <w:textDirection w:val="lrTb"/>
            <w:noWrap w:val="false"/>
          </w:tcPr>
          <w:p>
            <w:pPr>
              <w:jc w:val="center"/>
              <w:keepLines w:val="0"/>
              <w:keepNext w:val="0"/>
              <w:pageBreakBefore w:val="0"/>
              <w:spacing w:line="360" w:lineRule="auto"/>
              <w:rPr>
                <w:rFonts w:hint="eastAsia" w:ascii="宋体" w:hAnsi="宋体" w:cs="宋体"/>
                <w:b/>
                <w:bCs/>
                <w:color w:val="auto"/>
                <w:spacing w:val="-2"/>
                <w:szCs w:val="21"/>
                <w:highlight w:val="none"/>
              </w:rPr>
            </w:pPr>
            <w:r>
              <w:rPr>
                <w:rFonts w:hint="eastAsia" w:ascii="宋体" w:hAnsi="宋体" w:cs="宋体"/>
                <w:b/>
                <w:bCs/>
                <w:color w:val="auto"/>
                <w:szCs w:val="21"/>
                <w:highlight w:val="none"/>
              </w:rPr>
              <w:t xml:space="preserve">评分因素</w:t>
            </w:r>
            <w:r/>
          </w:p>
        </w:tc>
        <w:tc>
          <w:tcPr>
            <w:tcW w:w="6800" w:type="dxa"/>
            <w:vAlign w:val="center"/>
            <w:textDirection w:val="lrTb"/>
            <w:noWrap w:val="false"/>
          </w:tcPr>
          <w:p>
            <w:pPr>
              <w:jc w:val="center"/>
              <w:keepLines w:val="0"/>
              <w:keepNext w:val="0"/>
              <w:pageBreakBefore w:val="0"/>
              <w:spacing w:line="360" w:lineRule="auto"/>
              <w:rPr>
                <w:rFonts w:hint="eastAsia" w:ascii="宋体" w:hAnsi="宋体" w:cs="宋体"/>
                <w:b/>
                <w:bCs/>
                <w:color w:val="auto"/>
                <w:spacing w:val="-2"/>
                <w:szCs w:val="21"/>
                <w:highlight w:val="none"/>
              </w:rPr>
            </w:pPr>
            <w:r>
              <w:rPr>
                <w:rFonts w:hint="eastAsia" w:ascii="宋体" w:hAnsi="宋体" w:cs="宋体"/>
                <w:b/>
                <w:bCs/>
                <w:color w:val="auto"/>
                <w:szCs w:val="21"/>
                <w:highlight w:val="none"/>
              </w:rPr>
              <w:t xml:space="preserve">评审标准</w:t>
            </w:r>
            <w:r/>
          </w:p>
        </w:tc>
        <w:tc>
          <w:tcPr>
            <w:tcW w:w="575" w:type="dxa"/>
            <w:vAlign w:val="center"/>
            <w:textDirection w:val="lrTb"/>
            <w:noWrap w:val="false"/>
          </w:tcPr>
          <w:p>
            <w:pPr>
              <w:jc w:val="center"/>
              <w:keepLines w:val="0"/>
              <w:keepNext w:val="0"/>
              <w:pageBreakBefore w:val="0"/>
              <w:spacing w:line="360" w:lineRule="auto"/>
              <w:rPr>
                <w:rFonts w:hint="eastAsia" w:ascii="宋体" w:hAnsi="宋体" w:cs="宋体"/>
                <w:b/>
                <w:bCs/>
                <w:color w:val="auto"/>
                <w:spacing w:val="-2"/>
                <w:szCs w:val="21"/>
                <w:highlight w:val="none"/>
              </w:rPr>
            </w:pPr>
            <w:r>
              <w:rPr>
                <w:rFonts w:hint="eastAsia" w:ascii="宋体" w:hAnsi="宋体" w:cs="宋体"/>
                <w:b/>
                <w:bCs/>
                <w:color w:val="auto"/>
                <w:szCs w:val="21"/>
                <w:highlight w:val="none"/>
              </w:rPr>
              <w:t xml:space="preserve">分值</w:t>
            </w:r>
            <w:r/>
          </w:p>
        </w:tc>
        <w:tc>
          <w:tcPr>
            <w:tcW w:w="789" w:type="dxa"/>
            <w:vAlign w:val="center"/>
            <w:textDirection w:val="lrTb"/>
            <w:noWrap w:val="false"/>
          </w:tcPr>
          <w:p>
            <w:pPr>
              <w:jc w:val="center"/>
              <w:keepLines w:val="0"/>
              <w:keepNext w:val="0"/>
              <w:pageBreakBefore w:val="0"/>
              <w:spacing w:line="360" w:lineRule="auto"/>
              <w:rPr>
                <w:rFonts w:hint="eastAsia" w:ascii="宋体" w:hAnsi="宋体" w:cs="宋体"/>
                <w:b/>
                <w:bCs/>
                <w:color w:val="auto"/>
                <w:spacing w:val="-2"/>
                <w:szCs w:val="21"/>
                <w:highlight w:val="none"/>
              </w:rPr>
            </w:pPr>
            <w:r>
              <w:rPr>
                <w:rFonts w:hint="eastAsia" w:ascii="宋体" w:hAnsi="宋体" w:cs="宋体"/>
                <w:b/>
                <w:bCs/>
                <w:color w:val="auto"/>
                <w:szCs w:val="21"/>
                <w:highlight w:val="none"/>
              </w:rPr>
              <w:t xml:space="preserve">类型</w:t>
            </w:r>
            <w:r/>
          </w:p>
        </w:tc>
      </w:tr>
      <w:tr>
        <w:trPr>
          <w:jc w:val="center"/>
          <w:trHeight w:val="460"/>
        </w:trPr>
        <w:tc>
          <w:tcPr>
            <w:gridSpan w:val="5"/>
            <w:tcW w:w="9724" w:type="dxa"/>
            <w:vAlign w:val="center"/>
            <w:textDirection w:val="lrTb"/>
            <w:noWrap w:val="false"/>
          </w:tcPr>
          <w:p>
            <w:pPr>
              <w:jc w:val="center"/>
              <w:keepLines w:val="0"/>
              <w:keepNext w:val="0"/>
              <w:pageBreakBefore w:val="0"/>
              <w:spacing w:line="360" w:lineRule="auto"/>
              <w:rPr>
                <w:rFonts w:hint="eastAsia" w:ascii="宋体" w:hAnsi="宋体" w:cs="宋体"/>
                <w:color w:val="auto"/>
                <w:szCs w:val="21"/>
                <w:highlight w:val="none"/>
              </w:rPr>
            </w:pPr>
            <w:r>
              <w:rPr>
                <w:rFonts w:hint="eastAsia" w:ascii="宋体" w:hAnsi="宋体" w:cs="宋体"/>
                <w:b/>
                <w:bCs/>
                <w:color w:val="auto"/>
                <w:spacing w:val="-3"/>
                <w:szCs w:val="21"/>
                <w:highlight w:val="none"/>
              </w:rPr>
              <w:t xml:space="preserve">一、价</w:t>
            </w:r>
            <w:r>
              <w:rPr>
                <w:rFonts w:hint="eastAsia" w:ascii="宋体" w:hAnsi="宋体" w:cs="宋体"/>
                <w:b/>
                <w:bCs/>
                <w:color w:val="auto"/>
                <w:spacing w:val="-2"/>
                <w:szCs w:val="21"/>
                <w:highlight w:val="none"/>
              </w:rPr>
              <w:t xml:space="preserve">格 30分</w:t>
            </w:r>
            <w:r/>
          </w:p>
        </w:tc>
      </w:tr>
      <w:tr>
        <w:trPr>
          <w:jc w:val="center"/>
          <w:trHeight w:val="398"/>
        </w:trPr>
        <w:tc>
          <w:tcPr>
            <w:tcW w:w="521" w:type="dxa"/>
            <w:vAlign w:val="center"/>
            <w:textDirection w:val="lrTb"/>
            <w:noWrap w:val="false"/>
          </w:tcPr>
          <w:p>
            <w:pPr>
              <w:jc w:val="center"/>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039" w:type="dxa"/>
            <w:vAlign w:val="center"/>
            <w:textDirection w:val="lrTb"/>
            <w:noWrap w:val="false"/>
          </w:tcPr>
          <w:p>
            <w:pPr>
              <w:jc w:val="center"/>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价格</w:t>
            </w:r>
            <w:r/>
          </w:p>
        </w:tc>
        <w:tc>
          <w:tcPr>
            <w:tcW w:w="6800" w:type="dxa"/>
            <w:vAlign w:val="center"/>
            <w:textDirection w:val="lrTb"/>
            <w:noWrap w:val="false"/>
          </w:tcPr>
          <w:p>
            <w:pPr>
              <w:jc w:val="left"/>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采用低价优先法计算，即满足招标文件要求且投标价格最低的投标报价为评标基准价，其价格分为满分。其他投标人的价格分按照下列公式计算（小数点保留两位）。投标报价得分=(评标基准价／投标报价)×</w:t>
            </w:r>
            <w:r>
              <w:rPr>
                <w:rFonts w:hint="eastAsia" w:ascii="宋体" w:hAnsi="宋体" w:cs="宋体"/>
                <w:color w:val="auto"/>
                <w:szCs w:val="21"/>
                <w:highlight w:val="none"/>
              </w:rPr>
              <w:t xml:space="preserve">30</w:t>
            </w:r>
            <w:r>
              <w:rPr>
                <w:rFonts w:hint="eastAsia" w:ascii="宋体" w:hAnsi="宋体" w:cs="宋体"/>
                <w:color w:val="auto"/>
                <w:szCs w:val="21"/>
                <w:highlight w:val="none"/>
                <w:lang w:val="zh-CN"/>
              </w:rPr>
              <w:t xml:space="preserve">。</w:t>
            </w:r>
            <w:r/>
          </w:p>
        </w:tc>
        <w:tc>
          <w:tcPr>
            <w:tcW w:w="575" w:type="dxa"/>
            <w:vAlign w:val="center"/>
            <w:textDirection w:val="lrTb"/>
            <w:noWrap w:val="false"/>
          </w:tcPr>
          <w:p>
            <w:pPr>
              <w:jc w:val="center"/>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w:t>
            </w:r>
            <w:r/>
          </w:p>
        </w:tc>
        <w:tc>
          <w:tcPr>
            <w:tcW w:w="789" w:type="dxa"/>
            <w:vAlign w:val="center"/>
            <w:textDirection w:val="lrTb"/>
            <w:noWrap w:val="false"/>
          </w:tcPr>
          <w:p>
            <w:pPr>
              <w:jc w:val="center"/>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价格分</w:t>
            </w:r>
            <w:r/>
          </w:p>
        </w:tc>
      </w:tr>
      <w:tr>
        <w:trPr>
          <w:jc w:val="center"/>
          <w:trHeight w:val="448"/>
        </w:trPr>
        <w:tc>
          <w:tcPr>
            <w:gridSpan w:val="5"/>
            <w:tcW w:w="9724" w:type="dxa"/>
            <w:vAlign w:val="center"/>
            <w:textDirection w:val="lrTb"/>
            <w:noWrap w:val="false"/>
          </w:tcPr>
          <w:p>
            <w:pPr>
              <w:jc w:val="center"/>
              <w:keepLines w:val="0"/>
              <w:keepNext w:val="0"/>
              <w:pageBreakBefore w:val="0"/>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二、技术</w:t>
            </w:r>
            <w:r>
              <w:rPr>
                <w:rFonts w:hint="eastAsia" w:ascii="宋体" w:hAnsi="宋体" w:cs="宋体"/>
                <w:b/>
                <w:color w:val="auto"/>
                <w:szCs w:val="21"/>
                <w:highlight w:val="none"/>
                <w:lang w:val="en-US" w:eastAsia="zh-CN"/>
              </w:rPr>
              <w:t xml:space="preserve">49</w:t>
            </w:r>
            <w:r>
              <w:rPr>
                <w:rFonts w:hint="eastAsia" w:ascii="宋体" w:hAnsi="宋体" w:cs="宋体"/>
                <w:b/>
                <w:color w:val="auto"/>
                <w:szCs w:val="21"/>
                <w:highlight w:val="none"/>
              </w:rPr>
              <w:t xml:space="preserve">分</w:t>
            </w:r>
            <w:r/>
          </w:p>
        </w:tc>
      </w:tr>
      <w:tr>
        <w:trPr>
          <w:jc w:val="center"/>
          <w:trHeight w:val="463"/>
        </w:trPr>
        <w:tc>
          <w:tcPr>
            <w:tcW w:w="521" w:type="dxa"/>
            <w:vAlign w:val="center"/>
            <w:textDirection w:val="lrTb"/>
            <w:noWrap w:val="false"/>
          </w:tcPr>
          <w:p>
            <w:pPr>
              <w:jc w:val="center"/>
              <w:keepLines w:val="0"/>
              <w:keepNext w:val="0"/>
              <w:pageBreakBefore w:val="0"/>
              <w:spacing w:line="360" w:lineRule="auto"/>
              <w:rPr>
                <w:rFonts w:hint="eastAsia" w:ascii="宋体" w:hAnsi="宋体" w:cs="宋体"/>
                <w:color w:val="auto"/>
                <w:spacing w:val="-2"/>
                <w:szCs w:val="21"/>
                <w:highlight w:val="none"/>
              </w:rPr>
            </w:pPr>
            <w:r>
              <w:rPr>
                <w:rFonts w:hint="eastAsia" w:ascii="宋体" w:hAnsi="宋体" w:cs="宋体"/>
                <w:color w:val="auto"/>
                <w:spacing w:val="-2"/>
                <w:szCs w:val="21"/>
                <w:highlight w:val="none"/>
              </w:rPr>
              <w:t xml:space="preserve">1</w:t>
            </w:r>
            <w:r/>
          </w:p>
        </w:tc>
        <w:tc>
          <w:tcPr>
            <w:tcW w:w="1039" w:type="dxa"/>
            <w:vAlign w:val="center"/>
            <w:textDirection w:val="lrTb"/>
            <w:noWrap w:val="false"/>
          </w:tcPr>
          <w:p>
            <w:pPr>
              <w:jc w:val="center"/>
              <w:keepLines w:val="0"/>
              <w:keepNext w:val="0"/>
              <w:pageBreakBefore w:val="0"/>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技术参数</w:t>
            </w:r>
            <w:r/>
          </w:p>
          <w:p>
            <w:pPr>
              <w:jc w:val="center"/>
              <w:keepLines w:val="0"/>
              <w:keepNext w:val="0"/>
              <w:pageBreakBefore w:val="0"/>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响应</w:t>
            </w:r>
            <w:r/>
          </w:p>
        </w:tc>
        <w:tc>
          <w:tcPr>
            <w:tcW w:w="6800" w:type="dxa"/>
            <w:vAlign w:val="center"/>
            <w:textDirection w:val="lrTb"/>
            <w:noWrap w:val="false"/>
          </w:tcPr>
          <w:p>
            <w:pPr>
              <w:jc w:val="left"/>
              <w:keepLines w:val="0"/>
              <w:keepNext w:val="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根据投标人对第四章采购项目的内容和相关技术要求等中“三、拟采购标的需要满足的技术、商务要求（一）技术要求”</w:t>
            </w:r>
            <w:r>
              <w:rPr>
                <w:rFonts w:hint="eastAsia" w:ascii="宋体" w:hAnsi="宋体" w:cs="宋体"/>
                <w:color w:val="auto"/>
                <w:szCs w:val="21"/>
                <w:highlight w:val="none"/>
                <w:lang w:val="en-US" w:eastAsia="zh-CN"/>
              </w:rPr>
              <w:t xml:space="preserve">技术参数要求的</w:t>
            </w:r>
            <w:r>
              <w:rPr>
                <w:rFonts w:hint="eastAsia" w:ascii="宋体" w:hAnsi="宋体" w:cs="宋体"/>
                <w:color w:val="auto"/>
                <w:szCs w:val="21"/>
                <w:highlight w:val="none"/>
                <w:lang w:val="zh-CN"/>
              </w:rPr>
              <w:t xml:space="preserve">响应情况进行评分，投标人需在技术指标偏离表中对技术参数要求条款逐项回复，</w:t>
            </w:r>
            <w:r>
              <w:rPr>
                <w:rFonts w:hint="eastAsia" w:ascii="宋体" w:hAnsi="宋体" w:cs="宋体"/>
                <w:color w:val="auto"/>
                <w:szCs w:val="21"/>
                <w:highlight w:val="none"/>
                <w:lang w:val="en-US" w:eastAsia="zh-CN"/>
              </w:rPr>
              <w:t xml:space="preserve">打</w:t>
            </w:r>
            <w:r>
              <w:rPr>
                <w:rFonts w:hint="eastAsia" w:ascii="宋体" w:hAnsi="宋体" w:eastAsia="宋体" w:cs="宋体"/>
                <w:color w:val="auto"/>
                <w:szCs w:val="21"/>
                <w:highlight w:val="none"/>
                <w:lang w:eastAsia="zh-Hans"/>
              </w:rPr>
              <w:t xml:space="preserve">▲</w:t>
            </w:r>
            <w:r>
              <w:rPr>
                <w:rFonts w:hint="eastAsia" w:ascii="宋体" w:hAnsi="宋体" w:cs="宋体"/>
                <w:color w:val="auto"/>
                <w:szCs w:val="21"/>
                <w:highlight w:val="none"/>
                <w:lang w:val="zh-CN"/>
              </w:rPr>
              <w:t xml:space="preserve">指标</w:t>
            </w:r>
            <w:r>
              <w:rPr>
                <w:rFonts w:hint="eastAsia" w:ascii="宋体" w:hAnsi="宋体" w:cs="宋体"/>
                <w:color w:val="auto"/>
                <w:szCs w:val="21"/>
                <w:highlight w:val="none"/>
                <w:lang w:val="en-US" w:eastAsia="zh-CN"/>
              </w:rPr>
              <w:t xml:space="preserve">为重要参数，</w:t>
            </w:r>
            <w:r>
              <w:rPr>
                <w:rFonts w:hint="eastAsia" w:ascii="宋体" w:hAnsi="宋体" w:cs="宋体"/>
                <w:color w:val="auto"/>
                <w:szCs w:val="21"/>
                <w:highlight w:val="none"/>
                <w:lang w:eastAsia="zh-Hans"/>
              </w:rPr>
              <w:t xml:space="preserve">有一项</w:t>
            </w:r>
            <w:r>
              <w:rPr>
                <w:rFonts w:hint="eastAsia" w:ascii="宋体" w:hAnsi="宋体" w:cs="宋体"/>
                <w:color w:val="auto"/>
                <w:szCs w:val="21"/>
                <w:highlight w:val="none"/>
                <w:lang w:val="zh-CN"/>
              </w:rPr>
              <w:t xml:space="preserve">负偏离扣2分；</w:t>
            </w:r>
            <w:r>
              <w:rPr>
                <w:rFonts w:hint="eastAsia" w:ascii="宋体" w:hAnsi="宋体" w:cs="宋体"/>
                <w:color w:val="auto"/>
                <w:szCs w:val="21"/>
                <w:highlight w:val="none"/>
                <w:lang w:val="en-US" w:eastAsia="zh-CN"/>
              </w:rPr>
              <w:t xml:space="preserve">其余指标，有一项负偏离扣1分，</w:t>
            </w:r>
            <w:r>
              <w:rPr>
                <w:rFonts w:hint="eastAsia" w:ascii="宋体" w:hAnsi="宋体" w:cs="宋体"/>
                <w:color w:val="auto"/>
                <w:szCs w:val="21"/>
                <w:highlight w:val="none"/>
                <w:lang w:val="zh-CN"/>
              </w:rPr>
              <w:t xml:space="preserve">扣完为止。</w:t>
            </w:r>
            <w:r/>
          </w:p>
          <w:p>
            <w:pPr>
              <w:jc w:val="left"/>
              <w:keepLines w:val="0"/>
              <w:keepNext w:val="0"/>
              <w:pageBreakBefore w:val="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（投标人需在技术指标偏离表中对技术参数要求条款逐项响应，如出现负偏离或</w:t>
            </w:r>
            <w:r>
              <w:rPr>
                <w:rFonts w:hint="eastAsia" w:ascii="宋体" w:hAnsi="宋体" w:cs="宋体"/>
                <w:b/>
                <w:bCs/>
                <w:color w:val="auto"/>
                <w:szCs w:val="21"/>
                <w:highlight w:val="none"/>
                <w:lang w:val="en-US" w:eastAsia="zh-CN"/>
              </w:rPr>
              <w:t xml:space="preserve">未响应或</w:t>
            </w:r>
            <w:r>
              <w:rPr>
                <w:rFonts w:hint="eastAsia" w:ascii="宋体" w:hAnsi="宋体" w:cs="宋体"/>
                <w:b/>
                <w:bCs/>
                <w:color w:val="auto"/>
                <w:szCs w:val="21"/>
                <w:highlight w:val="none"/>
                <w:lang w:val="zh-CN"/>
              </w:rPr>
              <w:t xml:space="preserve">未提供相应材料的，扣除相应分值）</w:t>
            </w:r>
            <w:r/>
          </w:p>
        </w:tc>
        <w:tc>
          <w:tcPr>
            <w:tcW w:w="575"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26</w:t>
            </w:r>
            <w:r/>
          </w:p>
        </w:tc>
        <w:tc>
          <w:tcPr>
            <w:tcW w:w="789" w:type="dxa"/>
            <w:vAlign w:val="center"/>
            <w:textDirection w:val="lrTb"/>
            <w:noWrap w:val="false"/>
          </w:tcPr>
          <w:p>
            <w:pPr>
              <w:jc w:val="center"/>
              <w:keepLines w:val="0"/>
              <w:keepNext w:val="0"/>
              <w:pageBreakBefore w:val="0"/>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客观分</w:t>
            </w:r>
            <w:r/>
          </w:p>
        </w:tc>
      </w:tr>
      <w:tr>
        <w:trPr>
          <w:jc w:val="center"/>
          <w:trHeight w:val="463"/>
        </w:trPr>
        <w:tc>
          <w:tcPr>
            <w:tcW w:w="52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pacing w:val="-2"/>
                <w:szCs w:val="21"/>
                <w:highlight w:val="none"/>
                <w:lang w:val="en-US" w:eastAsia="zh-CN"/>
              </w:rPr>
            </w:pPr>
            <w:r>
              <w:rPr>
                <w:rFonts w:hint="eastAsia" w:ascii="宋体" w:hAnsi="宋体" w:cs="宋体"/>
                <w:color w:val="auto"/>
                <w:spacing w:val="-2"/>
                <w:szCs w:val="21"/>
                <w:highlight w:val="none"/>
                <w:lang w:val="en-US" w:eastAsia="zh-CN"/>
              </w:rPr>
              <w:t xml:space="preserve">2</w:t>
            </w:r>
            <w:r/>
          </w:p>
        </w:tc>
        <w:tc>
          <w:tcPr>
            <w:tcW w:w="103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pacing w:val="-2"/>
                <w:szCs w:val="21"/>
                <w:highlight w:val="none"/>
                <w:lang w:eastAsia="zh-CN"/>
              </w:rPr>
            </w:pPr>
            <w:r>
              <w:rPr>
                <w:rFonts w:hint="eastAsia" w:ascii="宋体" w:hAnsi="宋体" w:cs="宋体"/>
                <w:color w:val="auto"/>
                <w:spacing w:val="-2"/>
                <w:szCs w:val="21"/>
                <w:highlight w:val="none"/>
                <w:lang w:val="en-US" w:eastAsia="zh-CN"/>
              </w:rPr>
              <w:t xml:space="preserve">深化</w:t>
            </w:r>
            <w:r>
              <w:rPr>
                <w:rFonts w:hint="eastAsia" w:ascii="宋体" w:hAnsi="宋体" w:cs="宋体"/>
                <w:color w:val="auto"/>
                <w:spacing w:val="-2"/>
                <w:szCs w:val="21"/>
                <w:highlight w:val="none"/>
              </w:rPr>
              <w:t xml:space="preserve">设计</w:t>
            </w:r>
            <w:r>
              <w:rPr>
                <w:rFonts w:hint="eastAsia" w:ascii="宋体" w:hAnsi="宋体" w:cs="宋体"/>
                <w:color w:val="auto"/>
                <w:spacing w:val="-2"/>
                <w:szCs w:val="21"/>
                <w:highlight w:val="none"/>
                <w:lang w:val="en-US" w:eastAsia="zh-CN"/>
              </w:rPr>
              <w:t xml:space="preserve">方案</w:t>
            </w:r>
            <w:r/>
          </w:p>
        </w:tc>
        <w:tc>
          <w:tcPr>
            <w:tcW w:w="6800" w:type="dxa"/>
            <w:vAlign w:val="center"/>
            <w:textDirection w:val="lrTb"/>
            <w:noWrap w:val="false"/>
          </w:tcPr>
          <w:p>
            <w:pPr>
              <w:keepLines w:val="0"/>
              <w:keepNext w:val="0"/>
              <w:pageBreakBefore w:val="0"/>
              <w:spacing w:line="360" w:lineRule="auto"/>
              <w:rPr>
                <w:rFonts w:hint="eastAsia"/>
                <w:b w:val="0"/>
                <w:bCs w:val="0"/>
                <w:color w:val="auto"/>
                <w:highlight w:val="none"/>
              </w:rPr>
            </w:pPr>
            <w:r>
              <w:rPr>
                <w:rFonts w:hint="eastAsia"/>
                <w:b w:val="0"/>
                <w:bCs w:val="0"/>
                <w:color w:val="auto"/>
                <w:highlight w:val="none"/>
              </w:rPr>
              <w:t xml:space="preserve">投标人</w:t>
            </w:r>
            <w:r>
              <w:rPr>
                <w:rFonts w:hint="eastAsia"/>
                <w:b w:val="0"/>
                <w:bCs w:val="0"/>
                <w:color w:val="auto"/>
                <w:highlight w:val="none"/>
                <w:lang w:val="en-US" w:eastAsia="zh-CN"/>
              </w:rPr>
              <w:t xml:space="preserve">需提供以下场地的深化设计方案（原始图纸详见采购文件附件）：1.科创创趣厅；2.人文故事厅；3.劳动主题教室。</w:t>
            </w:r>
            <w:r/>
          </w:p>
          <w:p>
            <w:pPr>
              <w:keepLines w:val="0"/>
              <w:keepNext w:val="0"/>
              <w:pageBreakBefore w:val="0"/>
              <w:spacing w:line="360" w:lineRule="auto"/>
              <w:rPr>
                <w:rFonts w:hint="eastAsia"/>
                <w:b w:val="0"/>
                <w:bCs w:val="0"/>
                <w:color w:val="auto"/>
                <w:highlight w:val="none"/>
              </w:rPr>
            </w:pPr>
            <w:r>
              <w:rPr>
                <w:rFonts w:hint="eastAsia"/>
                <w:b w:val="0"/>
                <w:bCs w:val="0"/>
                <w:color w:val="auto"/>
                <w:highlight w:val="none"/>
              </w:rPr>
              <w:t xml:space="preserve">（1）上述</w:t>
            </w:r>
            <w:r>
              <w:rPr>
                <w:rFonts w:hint="eastAsia"/>
                <w:b w:val="0"/>
                <w:bCs w:val="0"/>
                <w:color w:val="auto"/>
                <w:highlight w:val="none"/>
                <w:lang w:val="en-US" w:eastAsia="zh-CN"/>
              </w:rPr>
              <w:t xml:space="preserve">每个场地图纸完整、规范、准确，系统结构十分合理的，</w:t>
            </w:r>
            <w:r>
              <w:rPr>
                <w:rFonts w:hint="eastAsia"/>
                <w:b w:val="0"/>
                <w:bCs w:val="0"/>
                <w:color w:val="auto"/>
                <w:highlight w:val="none"/>
              </w:rPr>
              <w:t xml:space="preserve">得</w:t>
            </w:r>
            <w:r>
              <w:rPr>
                <w:rFonts w:hint="eastAsia"/>
                <w:b w:val="0"/>
                <w:bCs w:val="0"/>
                <w:color w:val="auto"/>
                <w:highlight w:val="none"/>
                <w:lang w:val="en-US" w:eastAsia="zh-CN"/>
              </w:rPr>
              <w:t xml:space="preserve">2</w:t>
            </w:r>
            <w:r>
              <w:rPr>
                <w:rFonts w:hint="eastAsia"/>
                <w:b w:val="0"/>
                <w:bCs w:val="0"/>
                <w:color w:val="auto"/>
                <w:highlight w:val="none"/>
              </w:rPr>
              <w:t xml:space="preserve">分； </w:t>
            </w:r>
            <w:r/>
          </w:p>
          <w:p>
            <w:pPr>
              <w:keepLines w:val="0"/>
              <w:keepNext w:val="0"/>
              <w:pageBreakBefore w:val="0"/>
              <w:spacing w:line="360" w:lineRule="auto"/>
              <w:rPr>
                <w:rFonts w:hint="eastAsia"/>
                <w:b w:val="0"/>
                <w:bCs w:val="0"/>
                <w:color w:val="auto"/>
                <w:highlight w:val="none"/>
              </w:rPr>
            </w:pPr>
            <w:r>
              <w:rPr>
                <w:rFonts w:hint="eastAsia"/>
                <w:b w:val="0"/>
                <w:bCs w:val="0"/>
                <w:color w:val="auto"/>
                <w:highlight w:val="none"/>
              </w:rPr>
              <w:t xml:space="preserve">（2）上述</w:t>
            </w:r>
            <w:r>
              <w:rPr>
                <w:rFonts w:hint="eastAsia"/>
                <w:b w:val="0"/>
                <w:bCs w:val="0"/>
                <w:color w:val="auto"/>
                <w:highlight w:val="none"/>
                <w:lang w:val="en-US" w:eastAsia="zh-CN"/>
              </w:rPr>
              <w:t xml:space="preserve">每个场地图纸</w:t>
            </w:r>
            <w:r>
              <w:rPr>
                <w:rFonts w:hint="eastAsia"/>
                <w:b w:val="0"/>
                <w:bCs w:val="0"/>
                <w:color w:val="auto"/>
                <w:highlight w:val="none"/>
              </w:rPr>
              <w:t xml:space="preserve">未完全贴合项目实际情况，有瑕疵和轻微偏差，有实际可操作性的，得</w:t>
            </w:r>
            <w:r>
              <w:rPr>
                <w:rFonts w:hint="eastAsia"/>
                <w:b w:val="0"/>
                <w:bCs w:val="0"/>
                <w:color w:val="auto"/>
                <w:highlight w:val="none"/>
                <w:lang w:val="en-US" w:eastAsia="zh-CN"/>
              </w:rPr>
              <w:t xml:space="preserve">1</w:t>
            </w:r>
            <w:r>
              <w:rPr>
                <w:rFonts w:hint="eastAsia"/>
                <w:b w:val="0"/>
                <w:bCs w:val="0"/>
                <w:color w:val="auto"/>
                <w:highlight w:val="none"/>
              </w:rPr>
              <w:t xml:space="preserve">分； </w:t>
            </w:r>
            <w:r/>
          </w:p>
          <w:p>
            <w:pPr>
              <w:keepLines w:val="0"/>
              <w:keepNext w:val="0"/>
              <w:pageBreakBefore w:val="0"/>
              <w:spacing w:line="360" w:lineRule="auto"/>
              <w:rPr>
                <w:rFonts w:hint="eastAsia"/>
                <w:b w:val="0"/>
                <w:bCs w:val="0"/>
                <w:color w:val="auto"/>
                <w:highlight w:val="none"/>
              </w:rPr>
            </w:pPr>
            <w:r>
              <w:rPr>
                <w:rFonts w:hint="eastAsia"/>
                <w:b w:val="0"/>
                <w:bCs w:val="0"/>
                <w:color w:val="auto"/>
                <w:highlight w:val="none"/>
              </w:rPr>
              <w:t xml:space="preserve">（3）上述</w:t>
            </w:r>
            <w:r>
              <w:rPr>
                <w:rFonts w:hint="eastAsia"/>
                <w:b w:val="0"/>
                <w:bCs w:val="0"/>
                <w:color w:val="auto"/>
                <w:highlight w:val="none"/>
                <w:lang w:val="en-US" w:eastAsia="zh-CN"/>
              </w:rPr>
              <w:t xml:space="preserve">每个场地图纸不完整、不规范、不准确，系统结构不合理的或未提供的不得分</w:t>
            </w:r>
            <w:r>
              <w:rPr>
                <w:rFonts w:hint="eastAsia"/>
                <w:b w:val="0"/>
                <w:bCs w:val="0"/>
                <w:color w:val="auto"/>
                <w:highlight w:val="none"/>
              </w:rPr>
              <w:t xml:space="preserve">。</w:t>
            </w:r>
            <w:r/>
          </w:p>
        </w:tc>
        <w:tc>
          <w:tcPr>
            <w:shd w:val="clear" w:color="auto" w:fill="auto"/>
            <w:tcW w:w="575" w:type="dxa"/>
            <w:vAlign w:val="center"/>
            <w:textDirection w:val="lrTb"/>
            <w:noWrap w:val="false"/>
          </w:tcPr>
          <w:p>
            <w:pPr>
              <w:jc w:val="center"/>
              <w:keepLines w:val="0"/>
              <w:keepNext w:val="0"/>
              <w:pageBreakBefore w:val="0"/>
              <w:spacing w:line="360" w:lineRule="auto"/>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6</w:t>
            </w:r>
            <w:r/>
          </w:p>
        </w:tc>
        <w:tc>
          <w:tcPr>
            <w:shd w:val="clear" w:color="auto" w:fill="auto"/>
            <w:tcW w:w="789" w:type="dxa"/>
            <w:vAlign w:val="center"/>
            <w:textDirection w:val="lrTb"/>
            <w:noWrap w:val="false"/>
          </w:tcPr>
          <w:p>
            <w:pPr>
              <w:jc w:val="center"/>
              <w:keepLines w:val="0"/>
              <w:keepNext w:val="0"/>
              <w:pageBreakBefore w:val="0"/>
              <w:spacing w:line="360" w:lineRule="auto"/>
              <w:rPr>
                <w:rFonts w:hint="default" w:ascii="宋体" w:hAnsi="宋体" w:cs="宋体"/>
                <w:color w:val="auto"/>
                <w:spacing w:val="-6"/>
                <w:szCs w:val="21"/>
                <w:highlight w:val="none"/>
                <w:lang w:val="en-US" w:eastAsia="zh-CN"/>
              </w:rPr>
            </w:pPr>
            <w:r>
              <w:rPr>
                <w:rFonts w:hint="eastAsia" w:ascii="宋体" w:hAnsi="宋体" w:cs="宋体"/>
                <w:color w:val="auto"/>
                <w:spacing w:val="-6"/>
                <w:szCs w:val="21"/>
                <w:highlight w:val="none"/>
                <w:lang w:val="en-US" w:eastAsia="zh-CN"/>
              </w:rPr>
              <w:t xml:space="preserve">主观分</w:t>
            </w:r>
            <w:r/>
          </w:p>
        </w:tc>
      </w:tr>
      <w:tr>
        <w:trPr>
          <w:jc w:val="center"/>
          <w:trHeight w:val="463"/>
        </w:trPr>
        <w:tc>
          <w:tcPr>
            <w:tcW w:w="52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pacing w:val="-2"/>
                <w:szCs w:val="21"/>
                <w:highlight w:val="none"/>
                <w:lang w:val="en-US" w:eastAsia="zh-CN"/>
              </w:rPr>
            </w:pPr>
            <w:r>
              <w:rPr>
                <w:rFonts w:hint="eastAsia" w:ascii="宋体" w:hAnsi="宋体" w:cs="宋体"/>
                <w:color w:val="auto"/>
                <w:spacing w:val="-2"/>
                <w:szCs w:val="21"/>
                <w:highlight w:val="none"/>
                <w:lang w:val="en-US" w:eastAsia="zh-CN"/>
              </w:rPr>
              <w:t xml:space="preserve">3</w:t>
            </w:r>
            <w:r/>
          </w:p>
        </w:tc>
        <w:tc>
          <w:tcPr>
            <w:tcW w:w="1039" w:type="dxa"/>
            <w:vAlign w:val="center"/>
            <w:textDirection w:val="lrTb"/>
            <w:noWrap w:val="false"/>
          </w:tcPr>
          <w:p>
            <w:pPr>
              <w:jc w:val="center"/>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实施方案</w:t>
            </w:r>
            <w:r/>
          </w:p>
        </w:tc>
        <w:tc>
          <w:tcPr>
            <w:tcW w:w="6800" w:type="dxa"/>
            <w:vAlign w:val="center"/>
            <w:textDirection w:val="lrTb"/>
            <w:noWrap w:val="false"/>
          </w:tcPr>
          <w:p>
            <w:pPr>
              <w:keepLines w:val="0"/>
              <w:keepNext w:val="0"/>
              <w:pageBreakBefore w:val="0"/>
              <w:spacing w:line="360" w:lineRule="auto"/>
              <w:rPr>
                <w:rFonts w:hint="eastAsia" w:ascii="宋体" w:hAnsi="宋体" w:cs="宋体"/>
                <w:b/>
                <w:bCs/>
                <w:color w:val="auto"/>
                <w:spacing w:val="1"/>
                <w:szCs w:val="21"/>
                <w:highlight w:val="none"/>
              </w:rPr>
            </w:pPr>
            <w:r>
              <w:rPr>
                <w:rFonts w:hint="eastAsia" w:ascii="宋体" w:hAnsi="宋体" w:cs="宋体"/>
                <w:b/>
                <w:bCs/>
                <w:color w:val="auto"/>
                <w:spacing w:val="1"/>
                <w:szCs w:val="21"/>
                <w:highlight w:val="none"/>
                <w:lang w:eastAsia="zh-CN"/>
              </w:rPr>
              <w:t xml:space="preserve">评委根据投标人</w:t>
            </w:r>
            <w:r>
              <w:rPr>
                <w:rFonts w:hint="eastAsia" w:ascii="宋体" w:hAnsi="宋体" w:cs="宋体"/>
                <w:b/>
                <w:bCs/>
                <w:color w:val="auto"/>
                <w:spacing w:val="1"/>
                <w:szCs w:val="21"/>
                <w:highlight w:val="none"/>
                <w:lang w:val="en-US" w:eastAsia="zh-CN"/>
              </w:rPr>
              <w:t xml:space="preserve">提供的实施方案</w:t>
            </w:r>
            <w:r>
              <w:rPr>
                <w:rFonts w:hint="eastAsia" w:ascii="宋体" w:hAnsi="宋体" w:cs="宋体"/>
                <w:b/>
                <w:bCs/>
                <w:color w:val="auto"/>
                <w:spacing w:val="1"/>
                <w:szCs w:val="21"/>
                <w:highlight w:val="none"/>
              </w:rPr>
              <w:t xml:space="preserve">进行评分</w:t>
            </w:r>
            <w:r>
              <w:rPr>
                <w:rFonts w:hint="eastAsia" w:ascii="宋体" w:hAnsi="宋体" w:cs="宋体"/>
                <w:b/>
                <w:bCs/>
                <w:color w:val="auto"/>
                <w:spacing w:val="1"/>
                <w:szCs w:val="21"/>
                <w:highlight w:val="none"/>
                <w:lang w:eastAsia="zh-CN"/>
              </w:rPr>
              <w:t xml:space="preserve">，</w:t>
            </w:r>
            <w:r>
              <w:rPr>
                <w:rFonts w:hint="eastAsia" w:ascii="宋体" w:hAnsi="宋体" w:cs="宋体"/>
                <w:b/>
                <w:bCs/>
                <w:color w:val="auto"/>
                <w:spacing w:val="1"/>
                <w:szCs w:val="21"/>
                <w:highlight w:val="none"/>
              </w:rPr>
              <w:t xml:space="preserve">包含：</w:t>
            </w:r>
            <w:r>
              <w:rPr>
                <w:rFonts w:hint="eastAsia" w:ascii="宋体" w:hAnsi="宋体" w:cs="宋体"/>
                <w:b/>
                <w:bCs/>
                <w:color w:val="auto"/>
                <w:spacing w:val="1"/>
                <w:szCs w:val="21"/>
                <w:highlight w:val="none"/>
                <w:lang w:val="en-US" w:eastAsia="zh-CN"/>
              </w:rPr>
              <w:t xml:space="preserve">1.具体实施方案；2.时间进度安排；3.项目安全措施；4.质量措施；5.技术控制措施；6.档案管理措施等；7.验收方案内容。以上每项内容逐条阐述。</w:t>
            </w:r>
            <w:r/>
          </w:p>
          <w:p>
            <w:pPr>
              <w:keepLines w:val="0"/>
              <w:keepNext w:val="0"/>
              <w:pageBreakBefore w:val="0"/>
              <w:spacing w:line="360" w:lineRule="auto"/>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（1）上述每项内容完整，科学合理、思路清晰、操作性强，能把握重点、难点的，得</w:t>
            </w:r>
            <w:r>
              <w:rPr>
                <w:rFonts w:hint="eastAsia" w:ascii="宋体" w:hAnsi="宋体" w:cs="宋体"/>
                <w:color w:val="auto"/>
                <w:spacing w:val="1"/>
                <w:szCs w:val="21"/>
                <w:highlight w:val="none"/>
                <w:lang w:val="en-US" w:eastAsia="zh-CN"/>
              </w:rPr>
              <w:t xml:space="preserve">1</w:t>
            </w:r>
            <w:r>
              <w:rPr>
                <w:rFonts w:hint="eastAsia" w:ascii="宋体" w:hAnsi="宋体" w:cs="宋体"/>
                <w:color w:val="auto"/>
                <w:spacing w:val="1"/>
                <w:szCs w:val="21"/>
                <w:highlight w:val="none"/>
              </w:rPr>
              <w:t xml:space="preserve">分； </w:t>
            </w:r>
            <w:r/>
          </w:p>
          <w:p>
            <w:pPr>
              <w:keepLines w:val="0"/>
              <w:keepNext w:val="0"/>
              <w:pageBreakBefore w:val="0"/>
              <w:spacing w:line="360" w:lineRule="auto"/>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（2）上述每项内容片面，未完全贴合项目实际情况，有瑕疵和轻微偏差，</w:t>
            </w:r>
            <w:r>
              <w:rPr>
                <w:rFonts w:hint="eastAsia" w:ascii="宋体" w:hAnsi="宋体" w:cs="宋体"/>
                <w:color w:val="auto"/>
                <w:spacing w:val="1"/>
                <w:szCs w:val="21"/>
                <w:highlight w:val="none"/>
                <w:lang w:val="en-US" w:eastAsia="zh-CN"/>
              </w:rPr>
              <w:t xml:space="preserve">但</w:t>
            </w:r>
            <w:r>
              <w:rPr>
                <w:rFonts w:hint="eastAsia" w:ascii="宋体" w:hAnsi="宋体" w:cs="宋体"/>
                <w:color w:val="auto"/>
                <w:spacing w:val="1"/>
                <w:szCs w:val="21"/>
                <w:highlight w:val="none"/>
              </w:rPr>
              <w:t xml:space="preserve">有实际可操作性的，得</w:t>
            </w:r>
            <w:r>
              <w:rPr>
                <w:rFonts w:hint="eastAsia" w:ascii="宋体" w:hAnsi="宋体" w:cs="宋体"/>
                <w:color w:val="auto"/>
                <w:spacing w:val="1"/>
                <w:szCs w:val="21"/>
                <w:highlight w:val="none"/>
                <w:lang w:val="en-US" w:eastAsia="zh-CN"/>
              </w:rPr>
              <w:t xml:space="preserve">0.5</w:t>
            </w:r>
            <w:r>
              <w:rPr>
                <w:rFonts w:hint="eastAsia" w:ascii="宋体" w:hAnsi="宋体" w:cs="宋体"/>
                <w:color w:val="auto"/>
                <w:spacing w:val="1"/>
                <w:szCs w:val="21"/>
                <w:highlight w:val="none"/>
              </w:rPr>
              <w:t xml:space="preserve">分；  </w:t>
            </w:r>
            <w:r/>
          </w:p>
          <w:p>
            <w:pPr>
              <w:keepLines w:val="0"/>
              <w:keepNext w:val="0"/>
              <w:pageBreakBefore w:val="0"/>
              <w:spacing w:line="360" w:lineRule="auto"/>
              <w:rPr>
                <w:color w:val="auto"/>
                <w:highlight w:val="none"/>
              </w:rPr>
            </w:pPr>
            <w:r>
              <w:rPr>
                <w:rFonts w:hint="eastAsia" w:ascii="宋体" w:hAnsi="宋体" w:cs="宋体"/>
                <w:color w:val="auto"/>
                <w:spacing w:val="1"/>
                <w:szCs w:val="21"/>
                <w:highlight w:val="none"/>
              </w:rPr>
              <w:t xml:space="preserve">（3）上述每项内容偏离项目特点和要求，缺乏实际可操作性或未提供的不得分。</w:t>
            </w:r>
            <w:r/>
          </w:p>
        </w:tc>
        <w:tc>
          <w:tcPr>
            <w:tcW w:w="575" w:type="dxa"/>
            <w:vAlign w:val="center"/>
            <w:textDirection w:val="lrTb"/>
            <w:noWrap w:val="false"/>
          </w:tcPr>
          <w:p>
            <w:pPr>
              <w:jc w:val="center"/>
              <w:keepLines w:val="0"/>
              <w:keepNext w:val="0"/>
              <w:pageBreakBefore w:val="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7</w:t>
            </w:r>
            <w:r/>
          </w:p>
        </w:tc>
        <w:tc>
          <w:tcPr>
            <w:tcW w:w="789" w:type="dxa"/>
            <w:vAlign w:val="center"/>
            <w:textDirection w:val="lrTb"/>
            <w:noWrap w:val="false"/>
          </w:tcPr>
          <w:p>
            <w:pPr>
              <w:jc w:val="center"/>
              <w:keepLines w:val="0"/>
              <w:keepNext w:val="0"/>
              <w:pageBreakBefore w:val="0"/>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主观分</w:t>
            </w:r>
            <w:r/>
          </w:p>
        </w:tc>
      </w:tr>
      <w:tr>
        <w:trPr>
          <w:jc w:val="center"/>
          <w:trHeight w:val="463"/>
        </w:trPr>
        <w:tc>
          <w:tcPr>
            <w:tcW w:w="52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pacing w:val="-2"/>
                <w:szCs w:val="21"/>
                <w:highlight w:val="none"/>
                <w:lang w:val="en-US" w:eastAsia="zh-CN"/>
              </w:rPr>
            </w:pPr>
            <w:r>
              <w:rPr>
                <w:rFonts w:hint="eastAsia" w:ascii="宋体" w:hAnsi="宋体" w:cs="宋体"/>
                <w:color w:val="auto"/>
                <w:spacing w:val="-2"/>
                <w:szCs w:val="21"/>
                <w:highlight w:val="none"/>
                <w:lang w:val="en-US" w:eastAsia="zh-CN"/>
              </w:rPr>
              <w:t xml:space="preserve">4</w:t>
            </w:r>
            <w:r/>
          </w:p>
        </w:tc>
        <w:tc>
          <w:tcPr>
            <w:tcW w:w="1039" w:type="dxa"/>
            <w:vAlign w:val="center"/>
            <w:textDirection w:val="lrTb"/>
            <w:noWrap w:val="false"/>
          </w:tcPr>
          <w:p>
            <w:pPr>
              <w:jc w:val="center"/>
              <w:keepLines w:val="0"/>
              <w:keepNext w:val="0"/>
              <w:pageBreakBefore w:val="0"/>
              <w:spacing w:line="360" w:lineRule="auto"/>
              <w:rPr>
                <w:rFonts w:hint="default" w:ascii="宋体" w:hAnsi="宋体" w:eastAsia="宋体" w:cs="宋体"/>
                <w:color w:val="auto"/>
                <w:spacing w:val="-2"/>
                <w:szCs w:val="21"/>
                <w:highlight w:val="none"/>
                <w:lang w:val="en-US" w:eastAsia="zh-CN"/>
              </w:rPr>
            </w:pPr>
            <w:r>
              <w:rPr>
                <w:rFonts w:hint="eastAsia" w:ascii="宋体" w:hAnsi="宋体" w:cs="宋体"/>
                <w:color w:val="auto"/>
                <w:szCs w:val="21"/>
                <w:highlight w:val="none"/>
                <w:lang w:val="en-US" w:eastAsia="zh-CN"/>
              </w:rPr>
              <w:t xml:space="preserve">技术培训方案</w:t>
            </w:r>
            <w:r/>
          </w:p>
        </w:tc>
        <w:tc>
          <w:tcPr>
            <w:tcW w:w="6800" w:type="dxa"/>
            <w:vAlign w:val="center"/>
            <w:textDirection w:val="lrTb"/>
            <w:noWrap w:val="false"/>
          </w:tcPr>
          <w:p>
            <w:pPr>
              <w:keepLines w:val="0"/>
              <w:keepNext w:val="0"/>
              <w:pageBreakBefore w:val="0"/>
              <w:spacing w:line="360" w:lineRule="auto"/>
              <w:rPr>
                <w:rFonts w:hint="eastAsia" w:ascii="宋体" w:hAnsi="宋体" w:cs="宋体"/>
                <w:b/>
                <w:bCs/>
                <w:color w:val="auto"/>
                <w:spacing w:val="1"/>
                <w:szCs w:val="21"/>
                <w:highlight w:val="none"/>
              </w:rPr>
            </w:pPr>
            <w:r>
              <w:rPr>
                <w:rFonts w:hint="eastAsia" w:ascii="宋体" w:hAnsi="宋体" w:cs="宋体"/>
                <w:b/>
                <w:bCs/>
                <w:color w:val="auto"/>
                <w:spacing w:val="1"/>
                <w:szCs w:val="21"/>
                <w:highlight w:val="none"/>
                <w:lang w:eastAsia="zh-CN"/>
              </w:rPr>
              <w:t xml:space="preserve">评委根据投标人</w:t>
            </w:r>
            <w:r>
              <w:rPr>
                <w:rFonts w:hint="eastAsia" w:ascii="宋体" w:hAnsi="宋体" w:cs="宋体"/>
                <w:b/>
                <w:bCs/>
                <w:color w:val="auto"/>
                <w:spacing w:val="1"/>
                <w:szCs w:val="21"/>
                <w:highlight w:val="none"/>
                <w:lang w:val="en-US" w:eastAsia="zh-CN"/>
              </w:rPr>
              <w:t xml:space="preserve">提供的技术培训方案</w:t>
            </w:r>
            <w:r>
              <w:rPr>
                <w:rFonts w:hint="eastAsia" w:ascii="宋体" w:hAnsi="宋体" w:cs="宋体"/>
                <w:b/>
                <w:bCs/>
                <w:color w:val="auto"/>
                <w:spacing w:val="1"/>
                <w:szCs w:val="21"/>
                <w:highlight w:val="none"/>
              </w:rPr>
              <w:t xml:space="preserve">进行评分</w:t>
            </w:r>
            <w:r>
              <w:rPr>
                <w:rFonts w:hint="eastAsia" w:ascii="宋体" w:hAnsi="宋体" w:cs="宋体"/>
                <w:b/>
                <w:bCs/>
                <w:color w:val="auto"/>
                <w:spacing w:val="1"/>
                <w:szCs w:val="21"/>
                <w:highlight w:val="none"/>
                <w:lang w:eastAsia="zh-CN"/>
              </w:rPr>
              <w:t xml:space="preserve">，</w:t>
            </w:r>
            <w:r>
              <w:rPr>
                <w:rFonts w:hint="eastAsia" w:ascii="宋体" w:hAnsi="宋体" w:cs="宋体"/>
                <w:b/>
                <w:bCs/>
                <w:color w:val="auto"/>
                <w:spacing w:val="1"/>
                <w:szCs w:val="21"/>
                <w:highlight w:val="none"/>
              </w:rPr>
              <w:t xml:space="preserve">包含：</w:t>
            </w:r>
            <w:r>
              <w:rPr>
                <w:rFonts w:hint="eastAsia" w:ascii="宋体" w:hAnsi="宋体" w:cs="宋体"/>
                <w:b/>
                <w:bCs/>
                <w:color w:val="auto"/>
                <w:spacing w:val="1"/>
                <w:szCs w:val="21"/>
                <w:highlight w:val="none"/>
                <w:lang w:val="en-US" w:eastAsia="zh-CN"/>
              </w:rPr>
              <w:t xml:space="preserve">1.培训计划；2.培训师资力量；3.培训内容；4.培训方法和时间；5.资料交接。以上每项内容逐条阐述。</w:t>
            </w:r>
            <w:r/>
          </w:p>
          <w:p>
            <w:pPr>
              <w:keepLines w:val="0"/>
              <w:keepNext w:val="0"/>
              <w:pageBreakBefore w:val="0"/>
              <w:spacing w:line="360" w:lineRule="auto"/>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（1）上述每项内容完整，科学合理、思路清晰、操作性强，能把握重点、难点的，得</w:t>
            </w:r>
            <w:r>
              <w:rPr>
                <w:rFonts w:hint="eastAsia" w:ascii="宋体" w:hAnsi="宋体" w:cs="宋体"/>
                <w:color w:val="auto"/>
                <w:spacing w:val="1"/>
                <w:szCs w:val="21"/>
                <w:highlight w:val="none"/>
                <w:lang w:val="en-US" w:eastAsia="zh-CN"/>
              </w:rPr>
              <w:t xml:space="preserve">1</w:t>
            </w:r>
            <w:r>
              <w:rPr>
                <w:rFonts w:hint="eastAsia" w:ascii="宋体" w:hAnsi="宋体" w:cs="宋体"/>
                <w:color w:val="auto"/>
                <w:spacing w:val="1"/>
                <w:szCs w:val="21"/>
                <w:highlight w:val="none"/>
              </w:rPr>
              <w:t xml:space="preserve">分； </w:t>
            </w:r>
            <w:r/>
          </w:p>
          <w:p>
            <w:pPr>
              <w:keepLines w:val="0"/>
              <w:keepNext w:val="0"/>
              <w:pageBreakBefore w:val="0"/>
              <w:spacing w:line="360" w:lineRule="auto"/>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（2）上述每项内容片面，未完全贴合项目实际情况，有瑕疵和轻微偏差，</w:t>
            </w:r>
            <w:r>
              <w:rPr>
                <w:rFonts w:hint="eastAsia" w:ascii="宋体" w:hAnsi="宋体" w:cs="宋体"/>
                <w:color w:val="auto"/>
                <w:spacing w:val="1"/>
                <w:szCs w:val="21"/>
                <w:highlight w:val="none"/>
                <w:lang w:val="en-US" w:eastAsia="zh-CN"/>
              </w:rPr>
              <w:t xml:space="preserve">但</w:t>
            </w:r>
            <w:r>
              <w:rPr>
                <w:rFonts w:hint="eastAsia" w:ascii="宋体" w:hAnsi="宋体" w:cs="宋体"/>
                <w:color w:val="auto"/>
                <w:spacing w:val="1"/>
                <w:szCs w:val="21"/>
                <w:highlight w:val="none"/>
              </w:rPr>
              <w:t xml:space="preserve">有实际可操作性的，得</w:t>
            </w:r>
            <w:r>
              <w:rPr>
                <w:rFonts w:hint="eastAsia" w:ascii="宋体" w:hAnsi="宋体" w:cs="宋体"/>
                <w:color w:val="auto"/>
                <w:spacing w:val="1"/>
                <w:szCs w:val="21"/>
                <w:highlight w:val="none"/>
                <w:lang w:val="en-US" w:eastAsia="zh-CN"/>
              </w:rPr>
              <w:t xml:space="preserve">0.5</w:t>
            </w:r>
            <w:r>
              <w:rPr>
                <w:rFonts w:hint="eastAsia" w:ascii="宋体" w:hAnsi="宋体" w:cs="宋体"/>
                <w:color w:val="auto"/>
                <w:spacing w:val="1"/>
                <w:szCs w:val="21"/>
                <w:highlight w:val="none"/>
              </w:rPr>
              <w:t xml:space="preserve">分； </w:t>
            </w:r>
            <w:r/>
          </w:p>
          <w:p>
            <w:pPr>
              <w:keepLines w:val="0"/>
              <w:keepNext w:val="0"/>
              <w:pageBreakBefore w:val="0"/>
              <w:spacing w:line="360" w:lineRule="auto"/>
              <w:rPr>
                <w:color w:val="auto"/>
                <w:highlight w:val="none"/>
              </w:rPr>
            </w:pPr>
            <w:r>
              <w:rPr>
                <w:rFonts w:hint="eastAsia" w:ascii="宋体" w:hAnsi="宋体" w:cs="宋体"/>
                <w:color w:val="auto"/>
                <w:spacing w:val="1"/>
                <w:szCs w:val="21"/>
                <w:highlight w:val="none"/>
              </w:rPr>
              <w:t xml:space="preserve">（3）上述每项内容偏离项目特点和要求，缺乏实际可操作性或未提供的不得分。</w:t>
            </w:r>
            <w:r/>
          </w:p>
        </w:tc>
        <w:tc>
          <w:tcPr>
            <w:tcW w:w="575" w:type="dxa"/>
            <w:vAlign w:val="center"/>
            <w:textDirection w:val="lrTb"/>
            <w:noWrap w:val="false"/>
          </w:tcPr>
          <w:p>
            <w:pPr>
              <w:jc w:val="center"/>
              <w:keepLines w:val="0"/>
              <w:keepNext w:val="0"/>
              <w:pageBreakBefore w:val="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c>
          <w:tcPr>
            <w:tcW w:w="789" w:type="dxa"/>
            <w:vAlign w:val="center"/>
            <w:textDirection w:val="lrTb"/>
            <w:noWrap w:val="false"/>
          </w:tcPr>
          <w:p>
            <w:pPr>
              <w:jc w:val="center"/>
              <w:keepLines w:val="0"/>
              <w:keepNext w:val="0"/>
              <w:pageBreakBefore w:val="0"/>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主观分</w:t>
            </w:r>
            <w:r/>
          </w:p>
        </w:tc>
      </w:tr>
      <w:tr>
        <w:trPr>
          <w:jc w:val="center"/>
          <w:trHeight w:val="463"/>
        </w:trPr>
        <w:tc>
          <w:tcPr>
            <w:tcW w:w="521" w:type="dxa"/>
            <w:vAlign w:val="center"/>
            <w:textDirection w:val="lrTb"/>
            <w:noWrap w:val="false"/>
          </w:tcPr>
          <w:p>
            <w:pPr>
              <w:jc w:val="center"/>
              <w:keepLines w:val="0"/>
              <w:keepNext w:val="0"/>
              <w:pageBreakBefore w:val="0"/>
              <w:spacing w:line="360" w:lineRule="auto"/>
              <w:rPr>
                <w:rFonts w:hint="eastAsia" w:ascii="宋体" w:hAnsi="宋体" w:cs="宋体"/>
                <w:color w:val="auto"/>
                <w:spacing w:val="-2"/>
                <w:szCs w:val="21"/>
                <w:highlight w:val="none"/>
              </w:rPr>
            </w:pPr>
            <w:r>
              <w:rPr>
                <w:rFonts w:hint="eastAsia" w:ascii="宋体" w:hAnsi="宋体" w:cs="宋体"/>
                <w:color w:val="auto"/>
                <w:spacing w:val="-2"/>
                <w:szCs w:val="21"/>
                <w:highlight w:val="none"/>
              </w:rPr>
              <w:t xml:space="preserve">5</w:t>
            </w:r>
            <w:r/>
          </w:p>
        </w:tc>
        <w:tc>
          <w:tcPr>
            <w:tcW w:w="1039" w:type="dxa"/>
            <w:vAlign w:val="center"/>
            <w:textDirection w:val="lrTb"/>
            <w:noWrap w:val="false"/>
          </w:tcPr>
          <w:p>
            <w:pPr>
              <w:jc w:val="center"/>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售后服务方案</w:t>
            </w:r>
            <w:r/>
          </w:p>
        </w:tc>
        <w:tc>
          <w:tcPr>
            <w:tcW w:w="6800" w:type="dxa"/>
            <w:vAlign w:val="center"/>
            <w:textDirection w:val="lrTb"/>
            <w:noWrap w:val="false"/>
          </w:tcPr>
          <w:p>
            <w:pPr>
              <w:keepLines w:val="0"/>
              <w:keepNext w:val="0"/>
              <w:pageBreakBefore w:val="0"/>
              <w:spacing w:line="360" w:lineRule="auto"/>
              <w:rPr>
                <w:rFonts w:hint="eastAsia" w:ascii="宋体" w:hAnsi="宋体" w:cs="宋体"/>
                <w:b/>
                <w:bCs/>
                <w:color w:val="auto"/>
                <w:spacing w:val="1"/>
                <w:szCs w:val="21"/>
                <w:highlight w:val="none"/>
              </w:rPr>
            </w:pPr>
            <w:r>
              <w:rPr>
                <w:rFonts w:hint="eastAsia" w:ascii="宋体" w:hAnsi="宋体" w:cs="宋体"/>
                <w:b/>
                <w:bCs/>
                <w:color w:val="auto"/>
                <w:spacing w:val="1"/>
                <w:szCs w:val="21"/>
                <w:highlight w:val="none"/>
                <w:lang w:val="en-US" w:eastAsia="zh-CN"/>
              </w:rPr>
              <w:t xml:space="preserve">评委根据投标人提供的售后服务方案进行评分，包含：1.服务体系；2.服务内容；3.故障解决方案；4.日常维护保障；5.技术人员保障及服务电话等内容。</w:t>
            </w:r>
            <w:r>
              <w:rPr>
                <w:rFonts w:hint="eastAsia" w:ascii="宋体" w:hAnsi="宋体" w:cs="宋体"/>
                <w:b/>
                <w:bCs/>
                <w:color w:val="auto"/>
                <w:spacing w:val="1"/>
                <w:szCs w:val="21"/>
                <w:highlight w:val="none"/>
              </w:rPr>
              <w:t xml:space="preserve">以上每项内容逐条阐述。</w:t>
            </w:r>
            <w:r/>
          </w:p>
          <w:p>
            <w:pPr>
              <w:keepLines w:val="0"/>
              <w:keepNext w:val="0"/>
              <w:pageBreakBefore w:val="0"/>
              <w:spacing w:line="360" w:lineRule="auto"/>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（1）上述每项内容完整，科学合理、思路清晰、操作性强，能把握重点、难点的，得</w:t>
            </w:r>
            <w:r>
              <w:rPr>
                <w:rFonts w:hint="eastAsia" w:ascii="宋体" w:hAnsi="宋体" w:cs="宋体"/>
                <w:color w:val="auto"/>
                <w:spacing w:val="1"/>
                <w:szCs w:val="21"/>
                <w:highlight w:val="none"/>
                <w:lang w:val="en-US" w:eastAsia="zh-CN"/>
              </w:rPr>
              <w:t xml:space="preserve">1</w:t>
            </w:r>
            <w:r>
              <w:rPr>
                <w:rFonts w:hint="eastAsia" w:ascii="宋体" w:hAnsi="宋体" w:cs="宋体"/>
                <w:color w:val="auto"/>
                <w:spacing w:val="1"/>
                <w:szCs w:val="21"/>
                <w:highlight w:val="none"/>
              </w:rPr>
              <w:t xml:space="preserve">分； </w:t>
            </w:r>
            <w:r/>
          </w:p>
          <w:p>
            <w:pPr>
              <w:keepLines w:val="0"/>
              <w:keepNext w:val="0"/>
              <w:pageBreakBefore w:val="0"/>
              <w:spacing w:line="360" w:lineRule="auto"/>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（2）上述每项内容片面，未完全贴合项目实际情况，有瑕疵和轻微偏差，</w:t>
            </w:r>
            <w:r>
              <w:rPr>
                <w:rFonts w:hint="eastAsia" w:ascii="宋体" w:hAnsi="宋体" w:cs="宋体"/>
                <w:color w:val="auto"/>
                <w:spacing w:val="1"/>
                <w:szCs w:val="21"/>
                <w:highlight w:val="none"/>
                <w:lang w:val="en-US" w:eastAsia="zh-CN"/>
              </w:rPr>
              <w:t xml:space="preserve">但</w:t>
            </w:r>
            <w:r>
              <w:rPr>
                <w:rFonts w:hint="eastAsia" w:ascii="宋体" w:hAnsi="宋体" w:cs="宋体"/>
                <w:color w:val="auto"/>
                <w:spacing w:val="1"/>
                <w:szCs w:val="21"/>
                <w:highlight w:val="none"/>
              </w:rPr>
              <w:t xml:space="preserve">有实际可操作性的，得</w:t>
            </w:r>
            <w:r>
              <w:rPr>
                <w:rFonts w:hint="eastAsia" w:ascii="宋体" w:hAnsi="宋体" w:cs="宋体"/>
                <w:color w:val="auto"/>
                <w:spacing w:val="1"/>
                <w:szCs w:val="21"/>
                <w:highlight w:val="none"/>
                <w:lang w:val="en-US" w:eastAsia="zh-CN"/>
              </w:rPr>
              <w:t xml:space="preserve">0.5</w:t>
            </w:r>
            <w:r>
              <w:rPr>
                <w:rFonts w:hint="eastAsia" w:ascii="宋体" w:hAnsi="宋体" w:cs="宋体"/>
                <w:color w:val="auto"/>
                <w:spacing w:val="1"/>
                <w:szCs w:val="21"/>
                <w:highlight w:val="none"/>
              </w:rPr>
              <w:t xml:space="preserve">分； </w:t>
            </w:r>
            <w:r/>
          </w:p>
          <w:p>
            <w:pPr>
              <w:keepLines w:val="0"/>
              <w:keepNext w:val="0"/>
              <w:pageBreakBefore w:val="0"/>
              <w:spacing w:line="360" w:lineRule="auto"/>
              <w:rPr>
                <w:color w:val="auto"/>
                <w:highlight w:val="none"/>
              </w:rPr>
            </w:pPr>
            <w:r>
              <w:rPr>
                <w:rFonts w:hint="eastAsia" w:ascii="宋体" w:hAnsi="宋体" w:cs="宋体"/>
                <w:color w:val="auto"/>
                <w:spacing w:val="1"/>
                <w:szCs w:val="21"/>
                <w:highlight w:val="none"/>
              </w:rPr>
              <w:t xml:space="preserve">（3）上述每项内容偏离项目特点和要求，缺乏实际可操作性或未提供的不得分。</w:t>
            </w:r>
            <w:r/>
          </w:p>
        </w:tc>
        <w:tc>
          <w:tcPr>
            <w:tcW w:w="575" w:type="dxa"/>
            <w:vAlign w:val="center"/>
            <w:textDirection w:val="lrTb"/>
            <w:noWrap w:val="false"/>
          </w:tcPr>
          <w:p>
            <w:pPr>
              <w:jc w:val="center"/>
              <w:keepLines w:val="0"/>
              <w:keepNext w:val="0"/>
              <w:pageBreakBefore w:val="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c>
          <w:tcPr>
            <w:tcW w:w="789" w:type="dxa"/>
            <w:vAlign w:val="center"/>
            <w:textDirection w:val="lrTb"/>
            <w:noWrap w:val="false"/>
          </w:tcPr>
          <w:p>
            <w:pPr>
              <w:jc w:val="center"/>
              <w:keepLines w:val="0"/>
              <w:keepNext w:val="0"/>
              <w:pageBreakBefore w:val="0"/>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主观分</w:t>
            </w:r>
            <w:r/>
          </w:p>
        </w:tc>
      </w:tr>
      <w:tr>
        <w:trPr>
          <w:jc w:val="center"/>
          <w:trHeight w:val="323"/>
        </w:trPr>
        <w:tc>
          <w:tcPr>
            <w:gridSpan w:val="5"/>
            <w:tcW w:w="9724" w:type="dxa"/>
            <w:vAlign w:val="center"/>
            <w:textDirection w:val="lrTb"/>
            <w:noWrap w:val="false"/>
          </w:tcPr>
          <w:p>
            <w:pPr>
              <w:jc w:val="center"/>
              <w:keepLines w:val="0"/>
              <w:keepNext w:val="0"/>
              <w:pageBreakBefore w:val="0"/>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三、商务</w:t>
            </w:r>
            <w:r>
              <w:rPr>
                <w:rFonts w:hint="eastAsia" w:ascii="宋体" w:hAnsi="宋体" w:cs="宋体"/>
                <w:b/>
                <w:color w:val="auto"/>
                <w:szCs w:val="21"/>
                <w:highlight w:val="none"/>
                <w:lang w:val="en-US" w:eastAsia="zh-CN"/>
              </w:rPr>
              <w:t xml:space="preserve">11</w:t>
            </w:r>
            <w:r>
              <w:rPr>
                <w:rFonts w:hint="eastAsia" w:ascii="宋体" w:hAnsi="宋体" w:cs="宋体"/>
                <w:b/>
                <w:color w:val="auto"/>
                <w:szCs w:val="21"/>
                <w:highlight w:val="none"/>
              </w:rPr>
              <w:t xml:space="preserve">分</w:t>
            </w:r>
            <w:r/>
          </w:p>
        </w:tc>
      </w:tr>
      <w:tr>
        <w:trPr>
          <w:jc w:val="center"/>
          <w:trHeight w:val="410"/>
        </w:trPr>
        <w:tc>
          <w:tcPr>
            <w:tcW w:w="521" w:type="dxa"/>
            <w:vAlign w:val="center"/>
            <w:textDirection w:val="lrTb"/>
            <w:noWrap w:val="false"/>
          </w:tcPr>
          <w:p>
            <w:pPr>
              <w:jc w:val="center"/>
              <w:keepLines w:val="0"/>
              <w:keepNext w:val="0"/>
              <w:pageBreakBefore w:val="0"/>
              <w:spacing w:line="360" w:lineRule="auto"/>
              <w:rPr>
                <w:rFonts w:hint="eastAsia" w:ascii="宋体" w:hAnsi="宋体" w:cs="宋体"/>
                <w:color w:val="auto"/>
                <w:spacing w:val="-2"/>
                <w:szCs w:val="21"/>
                <w:highlight w:val="none"/>
              </w:rPr>
            </w:pPr>
            <w:r>
              <w:rPr>
                <w:rFonts w:hint="eastAsia" w:ascii="宋体" w:hAnsi="宋体" w:cs="宋体"/>
                <w:color w:val="auto"/>
                <w:spacing w:val="-2"/>
                <w:szCs w:val="21"/>
                <w:highlight w:val="none"/>
              </w:rPr>
              <w:t xml:space="preserve">1</w:t>
            </w:r>
            <w:r/>
          </w:p>
        </w:tc>
        <w:tc>
          <w:tcPr>
            <w:tcW w:w="1039" w:type="dxa"/>
            <w:vAlign w:val="center"/>
            <w:textDirection w:val="lrTb"/>
            <w:noWrap w:val="false"/>
          </w:tcPr>
          <w:p>
            <w:pPr>
              <w:jc w:val="center"/>
              <w:keepLines w:val="0"/>
              <w:keepNext w:val="0"/>
              <w:pageBreakBefore w:val="0"/>
              <w:spacing w:line="360" w:lineRule="auto"/>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业绩</w:t>
            </w:r>
            <w:r/>
          </w:p>
        </w:tc>
        <w:tc>
          <w:tcPr>
            <w:tcW w:w="6800" w:type="dxa"/>
            <w:vAlign w:val="center"/>
            <w:textDirection w:val="lrTb"/>
            <w:noWrap w:val="false"/>
          </w:tcPr>
          <w:p>
            <w:pPr>
              <w:ind w:firstLine="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投标人自202</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年1月1日（含）以来（以合同签订时间为准），</w:t>
            </w:r>
            <w:r>
              <w:rPr>
                <w:rFonts w:hint="eastAsia" w:ascii="宋体" w:hAnsi="宋体" w:cs="宋体"/>
                <w:color w:val="auto"/>
                <w:sz w:val="21"/>
                <w:szCs w:val="21"/>
                <w:highlight w:val="none"/>
                <w:lang w:val="en-US" w:eastAsia="zh-CN" w:bidi="ar-SA"/>
              </w:rPr>
              <w:t xml:space="preserve">具有</w:t>
            </w:r>
            <w:r>
              <w:rPr>
                <w:rFonts w:hint="eastAsia" w:ascii="宋体" w:hAnsi="宋体" w:eastAsia="宋体" w:cs="宋体"/>
                <w:color w:val="auto"/>
                <w:sz w:val="21"/>
                <w:szCs w:val="21"/>
                <w:highlight w:val="none"/>
                <w:lang w:val="en-US" w:eastAsia="zh-CN" w:bidi="ar-SA"/>
              </w:rPr>
              <w:t xml:space="preserve">与本项目类似项目业绩（或产品业绩至少包含</w:t>
            </w:r>
            <w:r>
              <w:rPr>
                <w:rFonts w:hint="eastAsia" w:ascii="宋体" w:hAnsi="宋体" w:cs="宋体"/>
                <w:color w:val="auto"/>
                <w:sz w:val="21"/>
                <w:szCs w:val="21"/>
                <w:highlight w:val="none"/>
                <w:lang w:val="en-US" w:eastAsia="zh-CN" w:bidi="ar-SA"/>
              </w:rPr>
              <w:t xml:space="preserve">学生午休课桌椅产品</w:t>
            </w:r>
            <w:r>
              <w:rPr>
                <w:rFonts w:hint="eastAsia" w:ascii="宋体" w:hAnsi="宋体" w:eastAsia="宋体" w:cs="宋体"/>
                <w:color w:val="auto"/>
                <w:sz w:val="21"/>
                <w:szCs w:val="21"/>
                <w:highlight w:val="none"/>
                <w:lang w:val="en-US" w:eastAsia="zh-CN" w:bidi="ar-SA"/>
              </w:rPr>
              <w:t xml:space="preserve">），每</w:t>
            </w:r>
            <w:r>
              <w:rPr>
                <w:rFonts w:hint="eastAsia" w:ascii="宋体" w:hAnsi="宋体" w:cs="宋体"/>
                <w:color w:val="auto"/>
                <w:sz w:val="21"/>
                <w:szCs w:val="21"/>
                <w:highlight w:val="none"/>
                <w:lang w:val="en-US" w:eastAsia="zh-CN" w:bidi="ar-SA"/>
              </w:rPr>
              <w:t xml:space="preserve">提供</w:t>
            </w:r>
            <w:r>
              <w:rPr>
                <w:rFonts w:hint="eastAsia" w:ascii="宋体" w:hAnsi="宋体" w:eastAsia="宋体" w:cs="宋体"/>
                <w:color w:val="auto"/>
                <w:sz w:val="21"/>
                <w:szCs w:val="21"/>
                <w:highlight w:val="none"/>
                <w:lang w:val="en-US" w:eastAsia="zh-CN" w:bidi="ar-SA"/>
              </w:rPr>
              <w:t xml:space="preserve">一个</w:t>
            </w:r>
            <w:r>
              <w:rPr>
                <w:rFonts w:hint="eastAsia" w:ascii="宋体" w:hAnsi="宋体" w:cs="宋体"/>
                <w:color w:val="auto"/>
                <w:sz w:val="21"/>
                <w:szCs w:val="21"/>
                <w:highlight w:val="none"/>
                <w:lang w:val="en-US" w:eastAsia="zh-CN" w:bidi="ar-SA"/>
              </w:rPr>
              <w:t xml:space="preserve">业绩</w:t>
            </w:r>
            <w:r>
              <w:rPr>
                <w:rFonts w:hint="eastAsia" w:ascii="宋体" w:hAnsi="宋体" w:eastAsia="宋体" w:cs="宋体"/>
                <w:color w:val="auto"/>
                <w:sz w:val="21"/>
                <w:szCs w:val="21"/>
                <w:highlight w:val="none"/>
                <w:lang w:val="en-US" w:eastAsia="zh-CN" w:bidi="ar-SA"/>
              </w:rPr>
              <w:t xml:space="preserve">得</w:t>
            </w: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分，最高得</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分。</w:t>
            </w:r>
            <w:r/>
          </w:p>
          <w:p>
            <w:pPr>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（业绩均需提供</w:t>
            </w:r>
            <w:r>
              <w:rPr>
                <w:rFonts w:hint="eastAsia" w:ascii="宋体" w:hAnsi="宋体" w:cs="宋体"/>
                <w:color w:val="auto"/>
                <w:szCs w:val="21"/>
                <w:highlight w:val="none"/>
                <w:lang w:val="en-US" w:eastAsia="zh-CN"/>
              </w:rPr>
              <w:t xml:space="preserve">以下证明材料：①</w:t>
            </w:r>
            <w:r>
              <w:rPr>
                <w:rFonts w:hint="eastAsia" w:ascii="宋体" w:hAnsi="宋体" w:cs="宋体"/>
                <w:color w:val="auto"/>
                <w:szCs w:val="21"/>
                <w:highlight w:val="none"/>
              </w:rPr>
              <w:t xml:space="preserve">业绩合同</w:t>
            </w:r>
            <w:r>
              <w:rPr>
                <w:rFonts w:hint="eastAsia" w:ascii="宋体" w:hAnsi="宋体" w:cs="宋体"/>
                <w:color w:val="auto"/>
                <w:szCs w:val="21"/>
                <w:highlight w:val="none"/>
                <w:lang w:val="en-US" w:eastAsia="zh-CN"/>
              </w:rPr>
              <w:t xml:space="preserve">及设备清单，②中标/成交通知书，③验收材料</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三者缺一不可。</w:t>
            </w:r>
            <w:r>
              <w:rPr>
                <w:rFonts w:hint="eastAsia" w:ascii="宋体" w:hAnsi="宋体" w:cs="宋体"/>
                <w:color w:val="auto"/>
                <w:szCs w:val="21"/>
                <w:highlight w:val="none"/>
              </w:rPr>
              <w:t xml:space="preserve">合同需能明确反映出合同内容，项目名称、双方签字盖章齐全，</w:t>
            </w:r>
            <w:r>
              <w:rPr>
                <w:rFonts w:hint="eastAsia" w:ascii="宋体" w:hAnsi="宋体" w:cs="宋体"/>
                <w:color w:val="auto"/>
                <w:szCs w:val="21"/>
                <w:highlight w:val="none"/>
                <w:lang w:val="en-US" w:eastAsia="zh-CN"/>
              </w:rPr>
              <w:t xml:space="preserve">若</w:t>
            </w:r>
            <w:r>
              <w:rPr>
                <w:rFonts w:hint="eastAsia" w:ascii="宋体" w:hAnsi="宋体" w:cs="宋体"/>
                <w:color w:val="auto"/>
                <w:szCs w:val="21"/>
                <w:highlight w:val="none"/>
                <w:lang w:val="zh-CN"/>
              </w:rPr>
              <w:t xml:space="preserve">产品名称</w:t>
            </w:r>
            <w:r>
              <w:rPr>
                <w:rFonts w:hint="eastAsia" w:ascii="宋体" w:hAnsi="宋体" w:cs="宋体"/>
                <w:color w:val="auto"/>
                <w:szCs w:val="21"/>
                <w:highlight w:val="none"/>
                <w:lang w:val="en-US" w:eastAsia="zh-CN"/>
              </w:rPr>
              <w:t xml:space="preserve">和功能</w:t>
            </w:r>
            <w:r>
              <w:rPr>
                <w:rFonts w:hint="eastAsia" w:ascii="宋体" w:hAnsi="宋体" w:cs="宋体"/>
                <w:color w:val="auto"/>
                <w:szCs w:val="21"/>
                <w:highlight w:val="none"/>
                <w:lang w:val="zh-CN"/>
              </w:rPr>
              <w:t xml:space="preserve">与评分细则规定不同时，应提供符合上述要求的内容（功能）说明及关键信息，否则不予认可。</w:t>
            </w:r>
            <w:r>
              <w:rPr>
                <w:rFonts w:hint="eastAsia" w:ascii="宋体" w:hAnsi="宋体" w:cs="宋体"/>
                <w:color w:val="auto"/>
                <w:szCs w:val="21"/>
                <w:highlight w:val="none"/>
              </w:rPr>
              <w:t xml:space="preserve">证明材料提供不符合要求或未提供不得分）</w:t>
            </w:r>
            <w:r/>
          </w:p>
        </w:tc>
        <w:tc>
          <w:tcPr>
            <w:tcW w:w="575" w:type="dxa"/>
            <w:vAlign w:val="center"/>
            <w:textDirection w:val="lrTb"/>
            <w:noWrap w:val="false"/>
          </w:tcPr>
          <w:p>
            <w:pPr>
              <w:jc w:val="center"/>
              <w:keepLines w:val="0"/>
              <w:keepNext w:val="0"/>
              <w:pageBreakBefore w:val="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p>
        </w:tc>
        <w:tc>
          <w:tcPr>
            <w:tcW w:w="789" w:type="dxa"/>
            <w:vAlign w:val="center"/>
            <w:textDirection w:val="lrTb"/>
            <w:noWrap w:val="false"/>
          </w:tcPr>
          <w:p>
            <w:pPr>
              <w:jc w:val="center"/>
              <w:keepLines w:val="0"/>
              <w:keepNext w:val="0"/>
              <w:pageBreakBefore w:val="0"/>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客观分</w:t>
            </w:r>
            <w:r/>
          </w:p>
        </w:tc>
      </w:tr>
      <w:tr>
        <w:trPr>
          <w:jc w:val="center"/>
          <w:trHeight w:val="410"/>
        </w:trPr>
        <w:tc>
          <w:tcPr>
            <w:tcW w:w="52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pacing w:val="-2"/>
                <w:szCs w:val="21"/>
                <w:highlight w:val="none"/>
                <w:lang w:val="en-US" w:eastAsia="zh-CN"/>
              </w:rPr>
            </w:pPr>
            <w:r>
              <w:rPr>
                <w:rFonts w:hint="eastAsia" w:ascii="宋体" w:hAnsi="宋体" w:cs="宋体"/>
                <w:color w:val="auto"/>
                <w:spacing w:val="-2"/>
                <w:szCs w:val="21"/>
                <w:highlight w:val="none"/>
                <w:lang w:val="en-US" w:eastAsia="zh-CN"/>
              </w:rPr>
              <w:t xml:space="preserve">2</w:t>
            </w:r>
            <w:r/>
          </w:p>
        </w:tc>
        <w:tc>
          <w:tcPr>
            <w:tcW w:w="1039" w:type="dxa"/>
            <w:vAlign w:val="center"/>
            <w:textDirection w:val="lrTb"/>
            <w:noWrap w:val="false"/>
          </w:tcPr>
          <w:p>
            <w:pPr>
              <w:jc w:val="center"/>
              <w:keepLines w:val="0"/>
              <w:keepNext w:val="0"/>
              <w:pageBreakBefore w:val="0"/>
              <w:spacing w:line="360" w:lineRule="auto"/>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节能环保</w:t>
            </w:r>
            <w:r/>
          </w:p>
        </w:tc>
        <w:tc>
          <w:tcPr>
            <w:tcW w:w="6800" w:type="dxa"/>
            <w:vAlign w:val="center"/>
            <w:textDirection w:val="lrTb"/>
            <w:noWrap w:val="false"/>
          </w:tcPr>
          <w:p>
            <w:pPr>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节能产品认证证书</w:t>
            </w:r>
            <w:r/>
          </w:p>
          <w:p>
            <w:pPr>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投标产品属于财政部、国家发改委公布的“节能产品品目清单”范围内的，投标人提供国家确定的认证机构出具的、处于有效期之内的该节能产品认证证书复印件的，有1个得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分，最多得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p>
          <w:p>
            <w:pPr>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环保产品认证证书</w:t>
            </w:r>
            <w:r/>
          </w:p>
          <w:p>
            <w:pPr>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投标产品属于财政部、生态环境部公布的“环境标志产品品目清单”范围内的，投标人提供国家确定的认证机构出具的、处于有效期内的该投标产品环境标志产品认证证书复印件的，有1个得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分，最多得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p>
          <w:p>
            <w:pPr>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提供相关证明材料并加盖公章</w:t>
            </w:r>
            <w:r>
              <w:rPr>
                <w:rFonts w:hint="eastAsia" w:ascii="宋体" w:hAnsi="宋体" w:cs="宋体"/>
                <w:color w:val="auto"/>
                <w:szCs w:val="21"/>
                <w:highlight w:val="none"/>
                <w:lang w:eastAsia="zh-CN"/>
              </w:rPr>
              <w:t xml:space="preserve">）</w:t>
            </w:r>
            <w:r/>
          </w:p>
        </w:tc>
        <w:tc>
          <w:tcPr>
            <w:tcW w:w="575"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4</w:t>
            </w:r>
            <w:r/>
          </w:p>
        </w:tc>
        <w:tc>
          <w:tcPr>
            <w:tcW w:w="78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pacing w:val="-6"/>
                <w:szCs w:val="21"/>
                <w:highlight w:val="none"/>
                <w:lang w:val="en-US" w:eastAsia="zh-CN"/>
              </w:rPr>
            </w:pPr>
            <w:r>
              <w:rPr>
                <w:rFonts w:hint="eastAsia" w:ascii="宋体" w:hAnsi="宋体" w:cs="宋体"/>
                <w:color w:val="auto"/>
                <w:spacing w:val="-6"/>
                <w:szCs w:val="21"/>
                <w:highlight w:val="none"/>
                <w:lang w:val="en-US" w:eastAsia="zh-CN"/>
              </w:rPr>
              <w:t xml:space="preserve">客观分</w:t>
            </w:r>
            <w:r/>
          </w:p>
        </w:tc>
      </w:tr>
      <w:tr>
        <w:trPr>
          <w:jc w:val="center"/>
          <w:trHeight w:val="410"/>
        </w:trPr>
        <w:tc>
          <w:tcPr>
            <w:shd w:val="clear" w:color="auto" w:fill="auto"/>
            <w:tcW w:w="52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pacing w:val="-2"/>
                <w:sz w:val="21"/>
                <w:szCs w:val="21"/>
                <w:highlight w:val="none"/>
                <w:lang w:val="en-US" w:eastAsia="zh-CN" w:bidi="ar-SA"/>
              </w:rPr>
            </w:pPr>
            <w:r>
              <w:rPr>
                <w:rFonts w:hint="eastAsia" w:ascii="宋体" w:hAnsi="宋体" w:cs="宋体"/>
                <w:color w:val="auto"/>
                <w:spacing w:val="-2"/>
                <w:szCs w:val="21"/>
                <w:highlight w:val="none"/>
                <w:lang w:val="en-US" w:eastAsia="zh-CN"/>
              </w:rPr>
              <w:t xml:space="preserve">3</w:t>
            </w:r>
            <w:r/>
          </w:p>
        </w:tc>
        <w:tc>
          <w:tcPr>
            <w:shd w:val="clear" w:color="auto" w:fill="auto"/>
            <w:tcW w:w="1039"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auto"/>
                <w:sz w:val="21"/>
                <w:szCs w:val="21"/>
                <w:highlight w:val="none"/>
                <w:lang w:val="en-US" w:eastAsia="zh-CN" w:bidi="ar-SA"/>
              </w:rPr>
            </w:pPr>
            <w:r>
              <w:rPr>
                <w:rFonts w:hint="eastAsia" w:ascii="宋体" w:hAnsi="宋体" w:cs="宋体"/>
                <w:b w:val="0"/>
                <w:bCs/>
                <w:color w:val="auto"/>
                <w:szCs w:val="21"/>
                <w:highlight w:val="none"/>
                <w:lang w:val="en-US" w:eastAsia="zh-CN"/>
              </w:rPr>
              <w:t xml:space="preserve">检测报告</w:t>
            </w:r>
            <w:r/>
          </w:p>
        </w:tc>
        <w:tc>
          <w:tcPr>
            <w:shd w:val="clear" w:color="auto" w:fill="auto"/>
            <w:tcW w:w="6800" w:type="dxa"/>
            <w:vAlign w:val="center"/>
            <w:textDirection w:val="lrTb"/>
            <w:noWrap w:val="false"/>
          </w:tcPr>
          <w:p>
            <w:pPr>
              <w:jc w:val="left"/>
              <w:keepLines w:val="0"/>
              <w:keepNext w:val="0"/>
              <w:pageBreakBefore w:val="0"/>
              <w:spacing w:line="360" w:lineRule="auto"/>
              <w:rPr>
                <w:rFonts w:hint="eastAsia" w:ascii="宋体" w:hAnsi="宋体" w:cs="宋体"/>
                <w:b w:val="0"/>
                <w:bCs w:val="0"/>
                <w:color w:val="auto"/>
                <w:szCs w:val="21"/>
                <w:highlight w:val="none"/>
                <w:lang w:val="zh-CN" w:eastAsia="zh-CN"/>
              </w:rPr>
            </w:pPr>
            <w:r>
              <w:rPr>
                <w:rFonts w:hint="eastAsia" w:ascii="宋体" w:hAnsi="宋体" w:cs="宋体"/>
                <w:b w:val="0"/>
                <w:bCs w:val="0"/>
                <w:color w:val="auto"/>
                <w:szCs w:val="21"/>
                <w:highlight w:val="none"/>
                <w:lang w:val="zh-CN"/>
              </w:rPr>
              <w:t xml:space="preserve">投标人或所投产品制造商提供2022年01月01日（</w:t>
            </w:r>
            <w:r>
              <w:rPr>
                <w:rFonts w:hint="eastAsia" w:ascii="宋体" w:hAnsi="宋体" w:cs="宋体"/>
                <w:b w:val="0"/>
                <w:bCs w:val="0"/>
                <w:color w:val="auto"/>
                <w:szCs w:val="21"/>
                <w:highlight w:val="none"/>
                <w:lang w:val="en-US" w:eastAsia="zh-CN"/>
              </w:rPr>
              <w:t xml:space="preserve">含，</w:t>
            </w:r>
            <w:r>
              <w:rPr>
                <w:rFonts w:hint="eastAsia" w:ascii="宋体" w:hAnsi="宋体" w:cs="宋体"/>
                <w:b w:val="0"/>
                <w:bCs w:val="0"/>
                <w:color w:val="auto"/>
                <w:szCs w:val="21"/>
                <w:highlight w:val="none"/>
                <w:lang w:val="zh-CN"/>
              </w:rPr>
              <w:t xml:space="preserve">以报告签发日期为准）以来，</w:t>
            </w:r>
            <w:r>
              <w:rPr>
                <w:rFonts w:hint="eastAsia" w:ascii="宋体" w:hAnsi="宋体" w:cs="宋体"/>
                <w:b w:val="0"/>
                <w:bCs w:val="0"/>
                <w:color w:val="auto"/>
                <w:szCs w:val="21"/>
                <w:highlight w:val="none"/>
                <w:lang w:val="en-US" w:eastAsia="zh-CN"/>
              </w:rPr>
              <w:t xml:space="preserve">以下产品需具有第三方检测机构出具的检测报告</w:t>
            </w:r>
            <w:r>
              <w:rPr>
                <w:rFonts w:hint="eastAsia" w:ascii="宋体" w:hAnsi="宋体" w:cs="宋体"/>
                <w:b w:val="0"/>
                <w:bCs w:val="0"/>
                <w:color w:val="auto"/>
                <w:szCs w:val="21"/>
                <w:highlight w:val="none"/>
                <w:lang w:val="zh-CN"/>
              </w:rPr>
              <w:t xml:space="preserve">：</w:t>
            </w:r>
            <w:r>
              <w:rPr>
                <w:rFonts w:hint="eastAsia" w:ascii="宋体" w:hAnsi="宋体" w:cs="宋体"/>
                <w:b w:val="0"/>
                <w:bCs w:val="0"/>
                <w:color w:val="auto"/>
                <w:szCs w:val="21"/>
                <w:highlight w:val="none"/>
                <w:lang w:val="zh-CN"/>
              </w:rPr>
              <w:br/>
            </w:r>
            <w:r>
              <w:rPr>
                <w:rFonts w:hint="eastAsia" w:ascii="宋体" w:hAnsi="宋体" w:cs="宋体"/>
                <w:b w:val="0"/>
                <w:bCs w:val="0"/>
                <w:color w:val="auto"/>
                <w:szCs w:val="21"/>
                <w:highlight w:val="none"/>
                <w:lang w:val="zh-CN" w:eastAsia="zh-CN"/>
              </w:rPr>
              <w:t xml:space="preserve">1、投标人所投“升降拼接桌”（</w:t>
            </w:r>
            <w:r>
              <w:rPr>
                <w:rFonts w:hint="eastAsia" w:ascii="宋体" w:hAnsi="宋体" w:cs="宋体"/>
                <w:b w:val="0"/>
                <w:bCs w:val="0"/>
                <w:color w:val="auto"/>
                <w:szCs w:val="21"/>
                <w:highlight w:val="none"/>
                <w:lang w:val="en-US" w:eastAsia="zh-CN"/>
              </w:rPr>
              <w:t xml:space="preserve">产品清单7</w:t>
            </w:r>
            <w:r>
              <w:rPr>
                <w:rFonts w:hint="eastAsia" w:ascii="宋体" w:hAnsi="宋体" w:cs="宋体"/>
                <w:b w:val="0"/>
                <w:bCs w:val="0"/>
                <w:color w:val="auto"/>
                <w:szCs w:val="21"/>
                <w:highlight w:val="none"/>
                <w:lang w:val="zh-CN" w:eastAsia="zh-CN"/>
              </w:rPr>
              <w:t xml:space="preserve">）需符合GB/T 24820-2024《实验室家具通用技术条件》中对理化性能“物理实验台面抗冲击、物理、化学实验台面耐高温、化学实验台面抗化学试剂、生物实验台面耐污染”的要求，判定结果为符合；</w:t>
            </w:r>
            <w:r/>
          </w:p>
          <w:p>
            <w:pPr>
              <w:jc w:val="left"/>
              <w:keepLines w:val="0"/>
              <w:keepNext w:val="0"/>
              <w:pageBreakBefore w:val="0"/>
              <w:spacing w:line="360" w:lineRule="auto"/>
              <w:rPr>
                <w:rFonts w:hint="eastAsia" w:ascii="宋体" w:hAnsi="宋体" w:cs="宋体"/>
                <w:b w:val="0"/>
                <w:bCs w:val="0"/>
                <w:color w:val="auto"/>
                <w:szCs w:val="21"/>
                <w:highlight w:val="none"/>
                <w:lang w:val="zh-CN" w:eastAsia="zh-CN"/>
              </w:rPr>
            </w:pPr>
            <w:r>
              <w:rPr>
                <w:rFonts w:hint="eastAsia" w:ascii="宋体" w:hAnsi="宋体" w:cs="宋体"/>
                <w:b w:val="0"/>
                <w:bCs w:val="0"/>
                <w:color w:val="auto"/>
                <w:szCs w:val="21"/>
                <w:highlight w:val="none"/>
                <w:lang w:val="zh-CN" w:eastAsia="zh-CN"/>
              </w:rPr>
              <w:t xml:space="preserve">2、投标人所投“智能吊装电网系统”（产品清单</w:t>
            </w:r>
            <w:r>
              <w:rPr>
                <w:rFonts w:hint="eastAsia" w:ascii="宋体" w:hAnsi="宋体" w:cs="宋体"/>
                <w:b w:val="0"/>
                <w:bCs w:val="0"/>
                <w:color w:val="auto"/>
                <w:szCs w:val="21"/>
                <w:highlight w:val="none"/>
                <w:lang w:val="en-US" w:eastAsia="zh-CN"/>
              </w:rPr>
              <w:t xml:space="preserve">13</w:t>
            </w:r>
            <w:r>
              <w:rPr>
                <w:rFonts w:hint="eastAsia" w:ascii="宋体" w:hAnsi="宋体" w:cs="宋体"/>
                <w:b w:val="0"/>
                <w:bCs w:val="0"/>
                <w:color w:val="auto"/>
                <w:szCs w:val="21"/>
                <w:highlight w:val="none"/>
                <w:lang w:val="zh-CN" w:eastAsia="zh-CN"/>
              </w:rPr>
              <w:t xml:space="preserve">）</w:t>
            </w:r>
            <w:r>
              <w:rPr>
                <w:rFonts w:hint="eastAsia" w:ascii="宋体" w:hAnsi="宋体" w:cs="宋体"/>
                <w:b w:val="0"/>
                <w:bCs w:val="0"/>
                <w:color w:val="auto"/>
                <w:szCs w:val="21"/>
                <w:highlight w:val="none"/>
                <w:lang w:val="en-US" w:eastAsia="zh-CN"/>
              </w:rPr>
              <w:t xml:space="preserve">需</w:t>
            </w:r>
            <w:r>
              <w:rPr>
                <w:rFonts w:hint="eastAsia" w:ascii="宋体" w:hAnsi="宋体" w:cs="宋体"/>
                <w:b w:val="0"/>
                <w:bCs w:val="0"/>
                <w:color w:val="auto"/>
                <w:szCs w:val="21"/>
                <w:highlight w:val="none"/>
                <w:lang w:val="zh-CN" w:eastAsia="zh-CN"/>
              </w:rPr>
              <w:t xml:space="preserve">符合GB 4793.1-2007《测量、控制和实验室用电气设备的安全要求 第1部分:通用要求》的安全性要求，检测内容包括防电击、防机械危险、耐机械冲击和撞击、防止火焰蔓延、设备的温度限值和耐热；</w:t>
            </w:r>
            <w:r/>
          </w:p>
          <w:p>
            <w:pPr>
              <w:jc w:val="left"/>
              <w:keepLines w:val="0"/>
              <w:keepNext w:val="0"/>
              <w:pageBreakBefore w:val="0"/>
              <w:spacing w:line="360" w:lineRule="auto"/>
              <w:rPr>
                <w:rFonts w:hint="eastAsia" w:ascii="宋体" w:hAnsi="宋体" w:cs="宋体"/>
                <w:b w:val="0"/>
                <w:bCs w:val="0"/>
                <w:color w:val="auto"/>
                <w:szCs w:val="21"/>
                <w:highlight w:val="none"/>
                <w:lang w:val="zh-CN" w:eastAsia="zh-CN"/>
              </w:rPr>
            </w:pPr>
            <w:r>
              <w:rPr>
                <w:rFonts w:hint="eastAsia" w:ascii="宋体" w:hAnsi="宋体" w:cs="宋体"/>
                <w:b w:val="0"/>
                <w:bCs w:val="0"/>
                <w:color w:val="auto"/>
                <w:szCs w:val="21"/>
                <w:highlight w:val="none"/>
                <w:lang w:val="zh-CN" w:eastAsia="zh-CN"/>
              </w:rPr>
              <w:t xml:space="preserve">3、投标人所投“多功能柜”（产品清单</w:t>
            </w:r>
            <w:r>
              <w:rPr>
                <w:rFonts w:hint="eastAsia" w:ascii="宋体" w:hAnsi="宋体" w:cs="宋体"/>
                <w:b w:val="0"/>
                <w:bCs w:val="0"/>
                <w:color w:val="auto"/>
                <w:szCs w:val="21"/>
                <w:highlight w:val="none"/>
                <w:lang w:val="en-US" w:eastAsia="zh-CN"/>
              </w:rPr>
              <w:t xml:space="preserve">27</w:t>
            </w:r>
            <w:r>
              <w:rPr>
                <w:rFonts w:hint="eastAsia" w:ascii="宋体" w:hAnsi="宋体" w:cs="宋体"/>
                <w:b w:val="0"/>
                <w:bCs w:val="0"/>
                <w:color w:val="auto"/>
                <w:szCs w:val="21"/>
                <w:highlight w:val="none"/>
                <w:lang w:val="zh-CN" w:eastAsia="zh-CN"/>
              </w:rPr>
              <w:t xml:space="preserve">）</w:t>
            </w:r>
            <w:r>
              <w:rPr>
                <w:rFonts w:hint="eastAsia" w:ascii="宋体" w:hAnsi="宋体" w:cs="宋体"/>
                <w:b w:val="0"/>
                <w:bCs w:val="0"/>
                <w:color w:val="auto"/>
                <w:szCs w:val="21"/>
                <w:highlight w:val="none"/>
                <w:lang w:val="en-US" w:eastAsia="zh-CN"/>
              </w:rPr>
              <w:t xml:space="preserve">需</w:t>
            </w:r>
            <w:r>
              <w:rPr>
                <w:rFonts w:hint="eastAsia" w:ascii="宋体" w:hAnsi="宋体" w:cs="宋体"/>
                <w:b w:val="0"/>
                <w:bCs w:val="0"/>
                <w:color w:val="auto"/>
                <w:szCs w:val="21"/>
                <w:highlight w:val="none"/>
                <w:lang w:val="zh-CN" w:eastAsia="zh-CN"/>
              </w:rPr>
              <w:t xml:space="preserve">符合GB/T 24820-2024《实验室家具通用技术条件》中对产品有害物质“甲醛释放量、苯、甲苯、二甲苯、总挥发性有机化合物、家具涂层可迁移元素”的要求，判定结果为符合；</w:t>
            </w:r>
            <w:r/>
          </w:p>
          <w:p>
            <w:pPr>
              <w:jc w:val="left"/>
              <w:keepLines w:val="0"/>
              <w:keepNext w:val="0"/>
              <w:pageBreakBefore w:val="0"/>
              <w:spacing w:line="360" w:lineRule="auto"/>
              <w:rPr>
                <w:rFonts w:hint="eastAsia" w:ascii="宋体" w:hAnsi="宋体" w:cs="宋体"/>
                <w:b w:val="0"/>
                <w:bCs w:val="0"/>
                <w:color w:val="auto"/>
                <w:szCs w:val="21"/>
                <w:highlight w:val="none"/>
                <w:lang w:val="zh-CN" w:eastAsia="zh-CN"/>
              </w:rPr>
            </w:pPr>
            <w:r>
              <w:rPr>
                <w:rFonts w:hint="eastAsia" w:ascii="宋体" w:hAnsi="宋体" w:cs="宋体"/>
                <w:b w:val="0"/>
                <w:bCs w:val="0"/>
                <w:color w:val="auto"/>
                <w:szCs w:val="21"/>
                <w:highlight w:val="none"/>
                <w:lang w:val="zh-CN" w:eastAsia="zh-CN"/>
              </w:rPr>
              <w:t xml:space="preserve">4、投标人所投“智慧门牌”（产品清单</w:t>
            </w:r>
            <w:r>
              <w:rPr>
                <w:rFonts w:hint="eastAsia" w:ascii="宋体" w:hAnsi="宋体" w:cs="宋体"/>
                <w:b w:val="0"/>
                <w:bCs w:val="0"/>
                <w:color w:val="auto"/>
                <w:szCs w:val="21"/>
                <w:highlight w:val="none"/>
                <w:lang w:val="en-US" w:eastAsia="zh-CN"/>
              </w:rPr>
              <w:t xml:space="preserve">117</w:t>
            </w:r>
            <w:r>
              <w:rPr>
                <w:rFonts w:hint="eastAsia" w:ascii="宋体" w:hAnsi="宋体" w:cs="宋体"/>
                <w:b w:val="0"/>
                <w:bCs w:val="0"/>
                <w:color w:val="auto"/>
                <w:szCs w:val="21"/>
                <w:highlight w:val="none"/>
                <w:lang w:val="zh-CN" w:eastAsia="zh-CN"/>
              </w:rPr>
              <w:t xml:space="preserve">）</w:t>
            </w:r>
            <w:r>
              <w:rPr>
                <w:rFonts w:hint="eastAsia" w:ascii="宋体" w:hAnsi="宋体" w:cs="宋体"/>
                <w:b w:val="0"/>
                <w:bCs w:val="0"/>
                <w:color w:val="auto"/>
                <w:szCs w:val="21"/>
                <w:highlight w:val="none"/>
                <w:lang w:val="en-US" w:eastAsia="zh-CN"/>
              </w:rPr>
              <w:t xml:space="preserve">需</w:t>
            </w:r>
            <w:r>
              <w:rPr>
                <w:rFonts w:hint="eastAsia" w:ascii="宋体" w:hAnsi="宋体" w:cs="宋体"/>
                <w:b w:val="0"/>
                <w:bCs w:val="0"/>
                <w:color w:val="auto"/>
                <w:szCs w:val="21"/>
                <w:highlight w:val="none"/>
                <w:lang w:val="zh-CN" w:eastAsia="zh-CN"/>
              </w:rPr>
              <w:t xml:space="preserve">整机内置红外补光灯和双目摄像头，能同时打开彩色和黑白照片，具备活体检测功能。</w:t>
            </w:r>
            <w:r/>
          </w:p>
          <w:p>
            <w:pPr>
              <w:jc w:val="left"/>
              <w:keepLines w:val="0"/>
              <w:keepNext w:val="0"/>
              <w:pageBreakBefore w:val="0"/>
              <w:spacing w:line="360" w:lineRule="auto"/>
              <w:rPr>
                <w:rFonts w:hint="eastAsia" w:ascii="宋体" w:hAnsi="宋体" w:cs="宋体"/>
                <w:b w:val="0"/>
                <w:bCs w:val="0"/>
                <w:color w:val="auto"/>
                <w:szCs w:val="21"/>
                <w:highlight w:val="none"/>
                <w:lang w:val="zh-CN" w:eastAsia="zh-CN"/>
              </w:rPr>
            </w:pPr>
            <w:r>
              <w:rPr>
                <w:rFonts w:hint="eastAsia" w:ascii="宋体" w:hAnsi="宋体" w:cs="宋体"/>
                <w:b w:val="0"/>
                <w:bCs w:val="0"/>
                <w:color w:val="auto"/>
                <w:szCs w:val="21"/>
                <w:highlight w:val="none"/>
                <w:lang w:val="zh-CN" w:eastAsia="zh-CN"/>
              </w:rPr>
              <w:t xml:space="preserve">提供有效期内的检测合格报告，每提供一个类别检测报告得 1 分，本项最多得 4分，未提供不得分。</w:t>
            </w:r>
            <w:r/>
          </w:p>
          <w:p>
            <w:pPr>
              <w:jc w:val="left"/>
              <w:keepLines w:val="0"/>
              <w:keepNext w:val="0"/>
              <w:pageBreakBefore w:val="0"/>
              <w:spacing w:line="360" w:lineRule="auto"/>
              <w:rPr>
                <w:rFonts w:hint="eastAsia" w:ascii="宋体" w:hAnsi="宋体" w:eastAsia="宋体" w:cs="宋体"/>
                <w:b w:val="0"/>
                <w:bCs w:val="0"/>
                <w:color w:val="auto"/>
                <w:sz w:val="21"/>
                <w:szCs w:val="21"/>
                <w:highlight w:val="none"/>
                <w:lang w:val="zh-CN" w:eastAsia="zh-CN" w:bidi="ar-SA"/>
              </w:rPr>
            </w:pPr>
            <w:r>
              <w:rPr>
                <w:rFonts w:hint="eastAsia" w:ascii="宋体" w:hAnsi="宋体" w:cs="宋体"/>
                <w:b w:val="0"/>
                <w:bCs w:val="0"/>
                <w:color w:val="auto"/>
                <w:szCs w:val="21"/>
                <w:highlight w:val="none"/>
                <w:lang w:val="zh-CN" w:eastAsia="zh-CN"/>
              </w:rPr>
              <w:t xml:space="preserve">备注：所提供检测报告中“产品名称和检测内容”与评分细则规定不同时，应提供符合上述要求的内容（功能）说明及关键信息，否则不予认可。为方便评委评审，功能参数可用箭头、标红或下划线等进行明显标注。</w:t>
            </w:r>
            <w:r/>
          </w:p>
        </w:tc>
        <w:tc>
          <w:tcPr>
            <w:shd w:val="clear" w:color="auto" w:fill="auto"/>
            <w:tcW w:w="57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Cs w:val="21"/>
                <w:highlight w:val="none"/>
                <w:lang w:val="en-US" w:eastAsia="zh-CN"/>
              </w:rPr>
              <w:t xml:space="preserve">4</w:t>
            </w:r>
            <w:r/>
          </w:p>
        </w:tc>
        <w:tc>
          <w:tcPr>
            <w:shd w:val="clear" w:color="auto" w:fill="auto"/>
            <w:tcW w:w="789"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val="0"/>
                <w:color w:val="auto"/>
                <w:spacing w:val="-6"/>
                <w:sz w:val="21"/>
                <w:szCs w:val="21"/>
                <w:highlight w:val="none"/>
                <w:lang w:val="en-US" w:eastAsia="zh-CN" w:bidi="ar-SA"/>
              </w:rPr>
            </w:pPr>
            <w:r>
              <w:rPr>
                <w:rFonts w:hint="eastAsia" w:ascii="宋体" w:hAnsi="宋体" w:cs="宋体"/>
                <w:b w:val="0"/>
                <w:bCs w:val="0"/>
                <w:color w:val="auto"/>
                <w:spacing w:val="-6"/>
                <w:szCs w:val="21"/>
                <w:highlight w:val="none"/>
                <w:lang w:val="en-US" w:eastAsia="zh-CN"/>
              </w:rPr>
              <w:t xml:space="preserve">客观分</w:t>
            </w:r>
            <w:r/>
          </w:p>
        </w:tc>
      </w:tr>
      <w:tr>
        <w:trPr>
          <w:jc w:val="center"/>
          <w:trHeight w:val="410"/>
        </w:trPr>
        <w:tc>
          <w:tcPr>
            <w:gridSpan w:val="5"/>
            <w:tcW w:w="9724" w:type="dxa"/>
            <w:vAlign w:val="center"/>
            <w:textDirection w:val="lrTb"/>
            <w:noWrap w:val="false"/>
          </w:tcPr>
          <w:p>
            <w:pPr>
              <w:jc w:val="center"/>
              <w:keepLines w:val="0"/>
              <w:keepNext w:val="0"/>
              <w:pageBreakBefore w:val="0"/>
              <w:spacing w:line="360" w:lineRule="auto"/>
              <w:rPr>
                <w:rFonts w:hint="default" w:ascii="宋体" w:hAnsi="宋体" w:cs="宋体"/>
                <w:b/>
                <w:bCs/>
                <w:color w:val="auto"/>
                <w:spacing w:val="-6"/>
                <w:szCs w:val="21"/>
                <w:highlight w:val="none"/>
                <w:lang w:val="en-US"/>
              </w:rPr>
            </w:pPr>
            <w:r>
              <w:rPr>
                <w:rFonts w:hint="eastAsia" w:ascii="宋体" w:hAnsi="宋体" w:cs="宋体"/>
                <w:b/>
                <w:bCs/>
                <w:color w:val="auto"/>
                <w:sz w:val="21"/>
                <w:szCs w:val="21"/>
                <w:highlight w:val="none"/>
                <w:lang w:val="en-US" w:eastAsia="zh-CN" w:bidi="ar-SA"/>
              </w:rPr>
              <w:t xml:space="preserve">四、视频演示10分</w:t>
            </w:r>
            <w:r/>
          </w:p>
        </w:tc>
      </w:tr>
      <w:tr>
        <w:trPr>
          <w:jc w:val="center"/>
          <w:trHeight w:val="410"/>
        </w:trPr>
        <w:tc>
          <w:tcPr>
            <w:tcW w:w="52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pacing w:val="-2"/>
                <w:szCs w:val="21"/>
                <w:highlight w:val="none"/>
                <w:lang w:val="en-US" w:eastAsia="zh-CN"/>
              </w:rPr>
            </w:pPr>
            <w:r>
              <w:rPr>
                <w:rFonts w:hint="eastAsia" w:ascii="宋体" w:hAnsi="宋体" w:cs="宋体"/>
                <w:color w:val="auto"/>
                <w:spacing w:val="-2"/>
                <w:szCs w:val="21"/>
                <w:highlight w:val="none"/>
                <w:lang w:val="en-US" w:eastAsia="zh-CN"/>
              </w:rPr>
              <w:t xml:space="preserve">1</w:t>
            </w:r>
            <w:r/>
          </w:p>
        </w:tc>
        <w:tc>
          <w:tcPr>
            <w:shd w:val="clear" w:color="auto" w:fill="auto"/>
            <w:tcW w:w="103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pacing w:val="-2"/>
                <w:sz w:val="21"/>
                <w:szCs w:val="21"/>
                <w:highlight w:val="none"/>
                <w:lang w:val="en-US" w:eastAsia="zh-CN" w:bidi="ar-SA"/>
              </w:rPr>
            </w:pPr>
            <w:r>
              <w:rPr>
                <w:rFonts w:hint="eastAsia" w:ascii="宋体" w:hAnsi="宋体" w:cs="宋体"/>
                <w:color w:val="auto"/>
                <w:spacing w:val="-2"/>
                <w:szCs w:val="21"/>
                <w:highlight w:val="none"/>
                <w:lang w:val="en-US" w:eastAsia="zh-CN"/>
              </w:rPr>
              <w:t xml:space="preserve">产品</w:t>
            </w:r>
            <w:r>
              <w:rPr>
                <w:rFonts w:hint="eastAsia" w:ascii="宋体" w:hAnsi="宋体" w:cs="宋体"/>
                <w:color w:val="auto"/>
                <w:spacing w:val="-2"/>
                <w:szCs w:val="21"/>
                <w:highlight w:val="none"/>
              </w:rPr>
              <w:t xml:space="preserve">功能视频演示</w:t>
            </w:r>
            <w:r/>
          </w:p>
        </w:tc>
        <w:tc>
          <w:tcPr>
            <w:shd w:val="clear" w:color="auto" w:fill="auto"/>
            <w:tcW w:w="6800" w:type="dxa"/>
            <w:vAlign w:val="center"/>
            <w:textDirection w:val="lrTb"/>
            <w:noWrap w:val="false"/>
          </w:tcPr>
          <w:p>
            <w:pPr>
              <w:keepLines w:val="0"/>
              <w:keepNext w:val="0"/>
              <w:pageBreakBefore w:val="0"/>
              <w:spacing w:line="360" w:lineRule="auto"/>
              <w:rPr>
                <w:rFonts w:hint="eastAsia"/>
                <w:b w:val="0"/>
                <w:bCs w:val="0"/>
                <w:color w:val="auto"/>
                <w:highlight w:val="none"/>
              </w:rPr>
            </w:pPr>
            <w:r>
              <w:rPr>
                <w:rFonts w:hint="eastAsia"/>
                <w:b w:val="0"/>
                <w:bCs w:val="0"/>
                <w:color w:val="auto"/>
                <w:highlight w:val="none"/>
              </w:rPr>
              <w:t xml:space="preserve">投标人对</w:t>
            </w:r>
            <w:r>
              <w:rPr>
                <w:rFonts w:hint="eastAsia"/>
                <w:b w:val="0"/>
                <w:bCs w:val="0"/>
                <w:color w:val="auto"/>
                <w:highlight w:val="none"/>
                <w:lang w:val="en-US" w:eastAsia="zh-CN"/>
              </w:rPr>
              <w:t xml:space="preserve">以下产品</w:t>
            </w:r>
            <w:r>
              <w:rPr>
                <w:rFonts w:hint="eastAsia"/>
                <w:b w:val="0"/>
                <w:bCs w:val="0"/>
                <w:color w:val="auto"/>
                <w:highlight w:val="none"/>
              </w:rPr>
              <w:t xml:space="preserve">进行视频演示，评委根据投标人提供的视频演示内容进行综合评分</w:t>
            </w:r>
            <w:r>
              <w:rPr>
                <w:rFonts w:hint="eastAsia"/>
                <w:b w:val="0"/>
                <w:bCs w:val="0"/>
                <w:color w:val="auto"/>
                <w:highlight w:val="none"/>
                <w:lang w:eastAsia="zh-CN"/>
              </w:rPr>
              <w:t xml:space="preserve">，</w:t>
            </w:r>
            <w:r>
              <w:rPr>
                <w:rFonts w:hint="eastAsia"/>
                <w:b w:val="0"/>
                <w:bCs w:val="0"/>
                <w:color w:val="auto"/>
                <w:highlight w:val="none"/>
                <w:lang w:val="en-US" w:eastAsia="zh-CN"/>
              </w:rPr>
              <w:t xml:space="preserve">每个功能满足得1分，最多得10分，功能要求如下</w:t>
            </w:r>
            <w:r>
              <w:rPr>
                <w:rFonts w:hint="eastAsia"/>
                <w:b w:val="0"/>
                <w:bCs w:val="0"/>
                <w:color w:val="auto"/>
                <w:highlight w:val="none"/>
              </w:rPr>
              <w:t xml:space="preserve">：</w:t>
            </w:r>
            <w:r/>
          </w:p>
          <w:p>
            <w:pPr>
              <w:keepLines w:val="0"/>
              <w:keepNext w:val="0"/>
              <w:pageBreakBefore w:val="0"/>
              <w:spacing w:line="360" w:lineRule="auto"/>
              <w:rPr>
                <w:rFonts w:hint="eastAsia"/>
                <w:b w:val="0"/>
                <w:bCs w:val="0"/>
                <w:color w:val="auto"/>
                <w:highlight w:val="none"/>
                <w:lang w:val="en-US" w:eastAsia="zh-CN"/>
              </w:rPr>
            </w:pPr>
            <w:r>
              <w:rPr>
                <w:rFonts w:hint="eastAsia"/>
                <w:b w:val="0"/>
                <w:bCs w:val="0"/>
                <w:color w:val="auto"/>
                <w:highlight w:val="none"/>
                <w:lang w:val="en-US" w:eastAsia="zh-CN"/>
              </w:rPr>
              <w:t xml:space="preserve">（一）学生午休课桌椅（产品清单2）：</w:t>
            </w:r>
            <w:r/>
          </w:p>
          <w:p>
            <w:pPr>
              <w:keepLines w:val="0"/>
              <w:keepNext w:val="0"/>
              <w:pageBreakBefore w:val="0"/>
              <w:spacing w:line="360" w:lineRule="auto"/>
              <w:rPr>
                <w:rFonts w:hint="eastAsia"/>
                <w:b w:val="0"/>
                <w:bCs w:val="0"/>
                <w:color w:val="auto"/>
                <w:highlight w:val="none"/>
                <w:lang w:val="en-US" w:eastAsia="zh-CN"/>
              </w:rPr>
            </w:pPr>
            <w:r>
              <w:rPr>
                <w:rFonts w:hint="eastAsia"/>
                <w:b w:val="0"/>
                <w:bCs w:val="0"/>
                <w:color w:val="auto"/>
                <w:highlight w:val="none"/>
                <w:lang w:val="en-US" w:eastAsia="zh-CN"/>
              </w:rPr>
              <w:t xml:space="preserve">1、演示通过机械原理实现靠背在90-135度分段缓冲切换（不得采用高压气缸或气弹簧机构）；</w:t>
            </w:r>
            <w:r/>
          </w:p>
          <w:p>
            <w:pPr>
              <w:keepLines w:val="0"/>
              <w:keepNext w:val="0"/>
              <w:pageBreakBefore w:val="0"/>
              <w:spacing w:line="360" w:lineRule="auto"/>
              <w:rPr>
                <w:rFonts w:hint="eastAsia"/>
                <w:b w:val="0"/>
                <w:bCs w:val="0"/>
                <w:color w:val="auto"/>
                <w:highlight w:val="none"/>
                <w:lang w:val="en-US" w:eastAsia="zh-CN"/>
              </w:rPr>
            </w:pPr>
            <w:r>
              <w:rPr>
                <w:rFonts w:hint="eastAsia"/>
                <w:b w:val="0"/>
                <w:bCs w:val="0"/>
                <w:color w:val="auto"/>
                <w:highlight w:val="none"/>
                <w:lang w:val="en-US" w:eastAsia="zh-CN"/>
              </w:rPr>
              <w:t xml:space="preserve">2、演示在上课状态下能轻松、平稳地挂置在课桌桌面上，并有防滑落、防划伤桌面处理。</w:t>
            </w:r>
            <w:r/>
          </w:p>
          <w:p>
            <w:pPr>
              <w:keepLines w:val="0"/>
              <w:keepNext w:val="0"/>
              <w:pageBreakBefore w:val="0"/>
              <w:spacing w:line="360" w:lineRule="auto"/>
              <w:rPr>
                <w:rFonts w:hint="eastAsia"/>
                <w:b w:val="0"/>
                <w:bCs w:val="0"/>
                <w:color w:val="auto"/>
                <w:highlight w:val="none"/>
                <w:lang w:val="en-US" w:eastAsia="zh-CN"/>
              </w:rPr>
            </w:pPr>
            <w:r>
              <w:rPr>
                <w:rFonts w:hint="eastAsia"/>
                <w:b w:val="0"/>
                <w:bCs w:val="0"/>
                <w:color w:val="auto"/>
                <w:highlight w:val="none"/>
                <w:lang w:val="en-US" w:eastAsia="zh-CN"/>
              </w:rPr>
              <w:t xml:space="preserve">（二）智能吊装电网系统（产品清单13）：</w:t>
            </w:r>
            <w:r/>
          </w:p>
          <w:p>
            <w:pPr>
              <w:keepLines w:val="0"/>
              <w:keepNext w:val="0"/>
              <w:pageBreakBefore w:val="0"/>
              <w:spacing w:line="360" w:lineRule="auto"/>
              <w:rPr>
                <w:rFonts w:hint="eastAsia"/>
                <w:b w:val="0"/>
                <w:bCs w:val="0"/>
                <w:color w:val="auto"/>
                <w:highlight w:val="none"/>
                <w:lang w:val="en-US" w:eastAsia="zh-CN"/>
              </w:rPr>
            </w:pPr>
            <w:r>
              <w:rPr>
                <w:rFonts w:hint="eastAsia"/>
                <w:b w:val="0"/>
                <w:bCs w:val="0"/>
                <w:color w:val="auto"/>
                <w:highlight w:val="none"/>
                <w:lang w:val="en-US" w:eastAsia="zh-CN"/>
              </w:rPr>
              <w:t xml:space="preserve">1、演示通过智能控制柜中的触控屏控制操作面板控制可升降电源组件升降,控制220V电源开关、切换直流交流、修改电压流数值、分组升降控制。最大升降范围大于2500mm；</w:t>
            </w:r>
            <w:r/>
          </w:p>
          <w:p>
            <w:pPr>
              <w:keepLines w:val="0"/>
              <w:keepNext w:val="0"/>
              <w:pageBreakBefore w:val="0"/>
              <w:spacing w:line="360" w:lineRule="auto"/>
              <w:rPr>
                <w:rFonts w:hint="eastAsia"/>
                <w:b w:val="0"/>
                <w:bCs w:val="0"/>
                <w:color w:val="auto"/>
                <w:highlight w:val="none"/>
                <w:lang w:val="en-US" w:eastAsia="zh-CN"/>
              </w:rPr>
            </w:pPr>
            <w:r>
              <w:rPr>
                <w:rFonts w:hint="eastAsia"/>
                <w:b w:val="0"/>
                <w:bCs w:val="0"/>
                <w:color w:val="auto"/>
                <w:highlight w:val="none"/>
                <w:lang w:val="en-US" w:eastAsia="zh-CN"/>
              </w:rPr>
              <w:t xml:space="preserve">2、演示可上升至安装在天花板上的顶部智能控制柜的嵌入式护罩位置，并与护罩重合；</w:t>
            </w:r>
            <w:r/>
          </w:p>
          <w:p>
            <w:pPr>
              <w:keepLines w:val="0"/>
              <w:keepNext w:val="0"/>
              <w:pageBreakBefore w:val="0"/>
              <w:spacing w:line="360" w:lineRule="auto"/>
              <w:rPr>
                <w:rFonts w:hint="eastAsia"/>
                <w:b w:val="0"/>
                <w:bCs w:val="0"/>
                <w:color w:val="auto"/>
                <w:highlight w:val="none"/>
                <w:lang w:val="en-US" w:eastAsia="zh-CN"/>
              </w:rPr>
            </w:pPr>
            <w:r>
              <w:rPr>
                <w:rFonts w:hint="eastAsia"/>
                <w:b w:val="0"/>
                <w:bCs w:val="0"/>
                <w:color w:val="auto"/>
                <w:highlight w:val="none"/>
                <w:lang w:val="en-US" w:eastAsia="zh-CN"/>
              </w:rPr>
              <w:t xml:space="preserve">3、演示用电接口均为内嵌式设计，在插口面板未展开的情况下，学生触碰不到任何的接口及开关；</w:t>
            </w:r>
            <w:r/>
          </w:p>
          <w:p>
            <w:pPr>
              <w:keepLines w:val="0"/>
              <w:keepNext w:val="0"/>
              <w:pageBreakBefore w:val="0"/>
              <w:spacing w:line="360" w:lineRule="auto"/>
              <w:rPr>
                <w:rFonts w:hint="eastAsia"/>
                <w:b w:val="0"/>
                <w:bCs w:val="0"/>
                <w:color w:val="auto"/>
                <w:highlight w:val="none"/>
                <w:lang w:val="en-US" w:eastAsia="zh-CN"/>
              </w:rPr>
            </w:pPr>
            <w:r>
              <w:rPr>
                <w:rFonts w:hint="eastAsia"/>
                <w:b w:val="0"/>
                <w:bCs w:val="0"/>
                <w:color w:val="auto"/>
                <w:highlight w:val="none"/>
                <w:lang w:val="en-US" w:eastAsia="zh-CN"/>
              </w:rPr>
              <w:t xml:space="preserve">4、演示具有功率检测报警功能，当接入功率大于额定功率1000W的设备，智能吊装电网系统将开启危险警报，该智能吊装系统屏幕跳出危险警报界面，同步蜂鸣器发出警报；</w:t>
            </w:r>
            <w:r/>
          </w:p>
          <w:p>
            <w:pPr>
              <w:keepLines w:val="0"/>
              <w:keepNext w:val="0"/>
              <w:pageBreakBefore w:val="0"/>
              <w:spacing w:line="360" w:lineRule="auto"/>
              <w:rPr>
                <w:rFonts w:hint="eastAsia"/>
                <w:b w:val="0"/>
                <w:bCs w:val="0"/>
                <w:color w:val="auto"/>
                <w:highlight w:val="none"/>
                <w:lang w:val="en-US" w:eastAsia="zh-CN"/>
              </w:rPr>
            </w:pPr>
            <w:r>
              <w:rPr>
                <w:rFonts w:hint="eastAsia"/>
                <w:b w:val="0"/>
                <w:bCs w:val="0"/>
                <w:color w:val="auto"/>
                <w:highlight w:val="none"/>
                <w:lang w:val="en-US" w:eastAsia="zh-CN"/>
              </w:rPr>
              <w:t xml:space="preserve">5、演示将开启过载保护，直接关停该智能吊装系统的电源输出，通过电笔检测将为不带电状态。</w:t>
            </w:r>
            <w:r/>
          </w:p>
          <w:p>
            <w:pPr>
              <w:keepLines w:val="0"/>
              <w:keepNext w:val="0"/>
              <w:pageBreakBefore w:val="0"/>
              <w:spacing w:line="360" w:lineRule="auto"/>
              <w:rPr>
                <w:rFonts w:hint="eastAsia"/>
                <w:b w:val="0"/>
                <w:bCs w:val="0"/>
                <w:color w:val="auto"/>
                <w:highlight w:val="none"/>
                <w:lang w:val="en-US" w:eastAsia="zh-CN"/>
              </w:rPr>
            </w:pPr>
            <w:r>
              <w:rPr>
                <w:rFonts w:hint="eastAsia"/>
                <w:b w:val="0"/>
                <w:bCs w:val="0"/>
                <w:color w:val="auto"/>
                <w:highlight w:val="none"/>
                <w:lang w:val="en-US" w:eastAsia="zh-CN"/>
              </w:rPr>
              <w:t xml:space="preserve">（三）学生移动终端（产品清单118）：</w:t>
            </w:r>
            <w:r/>
          </w:p>
          <w:p>
            <w:pPr>
              <w:keepLines w:val="0"/>
              <w:keepNext w:val="0"/>
              <w:pageBreakBefore w:val="0"/>
              <w:spacing w:line="360" w:lineRule="auto"/>
              <w:rPr>
                <w:rFonts w:hint="eastAsia"/>
                <w:b w:val="0"/>
                <w:bCs w:val="0"/>
                <w:color w:val="auto"/>
                <w:highlight w:val="none"/>
                <w:lang w:val="en-US" w:eastAsia="zh-CN"/>
              </w:rPr>
            </w:pPr>
            <w:r>
              <w:rPr>
                <w:rFonts w:hint="eastAsia"/>
                <w:b w:val="0"/>
                <w:bCs w:val="0"/>
                <w:color w:val="auto"/>
                <w:highlight w:val="none"/>
                <w:lang w:val="en-US" w:eastAsia="zh-CN"/>
              </w:rPr>
              <w:t xml:space="preserve">1、演示平板具备定制教育桌面，学生可通过桌面直接查看最近的作业等学习任务；支持学生自定义桌面布局，可通过增加/移除/移动位置进行个性化设置。</w:t>
            </w:r>
            <w:r/>
          </w:p>
          <w:p>
            <w:pPr>
              <w:keepLines w:val="0"/>
              <w:keepNext w:val="0"/>
              <w:pageBreakBefore w:val="0"/>
              <w:spacing w:line="360" w:lineRule="auto"/>
              <w:rPr>
                <w:rFonts w:hint="eastAsia"/>
                <w:b w:val="0"/>
                <w:bCs w:val="0"/>
                <w:color w:val="auto"/>
                <w:highlight w:val="none"/>
                <w:lang w:val="en-US" w:eastAsia="zh-CN"/>
              </w:rPr>
            </w:pPr>
            <w:r>
              <w:rPr>
                <w:rFonts w:hint="eastAsia"/>
                <w:b w:val="0"/>
                <w:bCs w:val="0"/>
                <w:color w:val="auto"/>
                <w:highlight w:val="none"/>
                <w:lang w:val="en-US" w:eastAsia="zh-CN"/>
              </w:rPr>
              <w:t xml:space="preserve">2、平板具备专属应用商店，教师授权分发安装使用的学习应用，通过后台推送后静默安装；演示远程管理开关学生平板的摄像头、蓝牙、USB功能。</w:t>
            </w:r>
            <w:r/>
          </w:p>
          <w:p>
            <w:pPr>
              <w:keepLines w:val="0"/>
              <w:keepNext w:val="0"/>
              <w:pageBreakBefore w:val="0"/>
              <w:spacing w:line="360" w:lineRule="auto"/>
              <w:rPr>
                <w:rFonts w:hint="eastAsia"/>
                <w:b w:val="0"/>
                <w:bCs w:val="0"/>
                <w:color w:val="auto"/>
                <w:highlight w:val="none"/>
                <w:lang w:val="en-US" w:eastAsia="zh-CN"/>
              </w:rPr>
            </w:pPr>
            <w:r>
              <w:rPr>
                <w:rFonts w:hint="eastAsia"/>
                <w:b w:val="0"/>
                <w:bCs w:val="0"/>
                <w:color w:val="auto"/>
                <w:highlight w:val="none"/>
                <w:lang w:val="en-US" w:eastAsia="zh-CN"/>
              </w:rPr>
              <w:t xml:space="preserve">3、演示教师下发互动课件，学生在平板端对课件内容进行拖拽、书写操作，教师端可实时查看学生在平板端的操作画面；演示授课模式下学生通过平板拍摄作业/作品，现场拍照即时上传教师授课端，教师可四分屏、任选其一全屏放映。</w:t>
            </w:r>
            <w:r/>
          </w:p>
          <w:p>
            <w:pPr>
              <w:keepLines w:val="0"/>
              <w:keepNext w:val="0"/>
              <w:pageBreakBefore w:val="0"/>
              <w:spacing w:line="360" w:lineRule="auto"/>
              <w:rPr>
                <w:rFonts w:hint="eastAsia" w:ascii="Times New Roman" w:hAnsi="Times New Roman" w:eastAsia="宋体" w:cs="Times New Roman"/>
                <w:color w:val="auto"/>
                <w:sz w:val="21"/>
                <w:szCs w:val="24"/>
                <w:highlight w:val="none"/>
                <w:lang w:val="en-US" w:eastAsia="zh-CN" w:bidi="ar-SA"/>
              </w:rPr>
            </w:pPr>
            <w:r>
              <w:rPr>
                <w:rFonts w:hint="eastAsia"/>
                <w:b/>
                <w:bCs/>
                <w:color w:val="auto"/>
                <w:highlight w:val="none"/>
              </w:rPr>
              <w:t xml:space="preserve">（</w:t>
            </w:r>
            <w:r>
              <w:rPr>
                <w:rFonts w:hint="eastAsia"/>
                <w:b/>
                <w:bCs/>
                <w:color w:val="auto"/>
                <w:highlight w:val="none"/>
                <w:lang w:val="en-US" w:eastAsia="zh-CN"/>
              </w:rPr>
              <w:t xml:space="preserve">未提供视频文件或因投标人自身原因视频文件无法打开或视频画面不清晰无法辨认的不得分。视频文件格式为*.mp4或*.avi，投标人须将视频文件压缩为*.zip文件上传(单个文件不得大于50M，所有文件合计不得大于300M)。文件上传方式见《操作手册》，上传的演示视频作为投标文件的组成部分。时间不超过10分钟。</w:t>
            </w:r>
            <w:r>
              <w:rPr>
                <w:rFonts w:hint="eastAsia"/>
                <w:b/>
                <w:bCs/>
                <w:color w:val="auto"/>
                <w:highlight w:val="none"/>
              </w:rPr>
              <w:t xml:space="preserve">）</w:t>
            </w:r>
            <w:r/>
          </w:p>
        </w:tc>
        <w:tc>
          <w:tcPr>
            <w:shd w:val="clear" w:color="auto" w:fill="auto"/>
            <w:tcW w:w="575"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10</w:t>
            </w:r>
            <w:r/>
          </w:p>
        </w:tc>
        <w:tc>
          <w:tcPr>
            <w:shd w:val="clear" w:color="auto" w:fill="auto"/>
            <w:tcW w:w="78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pacing w:val="-6"/>
                <w:sz w:val="21"/>
                <w:szCs w:val="21"/>
                <w:highlight w:val="none"/>
                <w:lang w:val="en-US" w:eastAsia="zh-CN" w:bidi="ar-SA"/>
              </w:rPr>
            </w:pPr>
            <w:r>
              <w:rPr>
                <w:rFonts w:hint="eastAsia" w:ascii="宋体" w:hAnsi="宋体" w:cs="宋体"/>
                <w:color w:val="auto"/>
                <w:spacing w:val="-6"/>
                <w:szCs w:val="21"/>
                <w:highlight w:val="none"/>
                <w:lang w:val="en-US" w:eastAsia="zh-CN"/>
              </w:rPr>
              <w:t xml:space="preserve">客观分</w:t>
            </w:r>
            <w:bookmarkEnd w:id="135"/>
            <w:r/>
            <w:bookmarkEnd w:id="137"/>
            <w:r/>
            <w:r/>
          </w:p>
        </w:tc>
      </w:tr>
    </w:tbl>
    <w:p>
      <w:pPr>
        <w:ind w:firstLine="420"/>
        <w:keepLines w:val="0"/>
        <w:keepNext w:val="0"/>
        <w:pageBreakBefore w:val="0"/>
        <w:spacing w:line="360" w:lineRule="auto"/>
        <w:widowControl w:val="off"/>
        <w:rPr>
          <w:rFonts w:hint="eastAsia" w:asciiTheme="minorEastAsia" w:hAnsiTheme="minorEastAsia" w:eastAsiaTheme="minorEastAsia"/>
          <w:color w:val="auto"/>
          <w:sz w:val="21"/>
          <w:szCs w:val="21"/>
          <w:highlight w:val="none"/>
          <w:lang w:val="en-US" w:eastAsia="zh-CN"/>
        </w:rPr>
      </w:pPr>
      <w:r>
        <w:rPr>
          <w:rFonts w:hint="eastAsia" w:asciiTheme="minorEastAsia" w:hAnsiTheme="minorEastAsia" w:eastAsiaTheme="minorEastAsia"/>
          <w:color w:val="auto"/>
          <w:sz w:val="21"/>
          <w:szCs w:val="21"/>
          <w:highlight w:val="none"/>
          <w:lang w:val="en-US" w:eastAsia="zh-CN"/>
        </w:rPr>
        <w:t xml:space="preserve">注：评标委员会启动异常低价投标审查的情形和具体要求</w:t>
      </w:r>
      <w:r/>
    </w:p>
    <w:p>
      <w:pPr>
        <w:ind w:firstLine="420"/>
        <w:keepLines w:val="0"/>
        <w:keepNext w:val="0"/>
        <w:pageBreakBefore w:val="0"/>
        <w:spacing w:line="360" w:lineRule="auto"/>
        <w:widowControl w:val="off"/>
        <w:rPr>
          <w:rFonts w:hint="eastAsia" w:asciiTheme="minorEastAsia" w:hAnsiTheme="minorEastAsia" w:eastAsiaTheme="minorEastAsia"/>
          <w:color w:val="auto"/>
          <w:sz w:val="21"/>
          <w:szCs w:val="21"/>
          <w:highlight w:val="none"/>
          <w:lang w:val="en-US" w:eastAsia="zh-CN"/>
        </w:rPr>
      </w:pPr>
      <w:r>
        <w:rPr>
          <w:rFonts w:hint="eastAsia" w:asciiTheme="minorEastAsia" w:hAnsiTheme="minorEastAsia" w:eastAsiaTheme="minorEastAsia"/>
          <w:color w:val="auto"/>
          <w:sz w:val="21"/>
          <w:szCs w:val="21"/>
          <w:highlight w:val="none"/>
          <w:lang w:val="en-US" w:eastAsia="zh-CN"/>
        </w:rPr>
        <w:t xml:space="preserve">1.评标过程中出现下列情形之一的，评标委员会应当启动异常低价投标审查程序： </w:t>
      </w:r>
      <w:r/>
    </w:p>
    <w:p>
      <w:pPr>
        <w:ind w:firstLine="420"/>
        <w:keepLines w:val="0"/>
        <w:keepNext w:val="0"/>
        <w:pageBreakBefore w:val="0"/>
        <w:spacing w:line="360" w:lineRule="auto"/>
        <w:widowControl w:val="off"/>
        <w:rPr>
          <w:rFonts w:hint="eastAsia" w:asciiTheme="minorEastAsia" w:hAnsiTheme="minorEastAsia" w:eastAsiaTheme="minorEastAsia"/>
          <w:color w:val="auto"/>
          <w:sz w:val="21"/>
          <w:szCs w:val="21"/>
          <w:highlight w:val="none"/>
          <w:lang w:val="en-US" w:eastAsia="zh-CN"/>
        </w:rPr>
      </w:pPr>
      <w:r>
        <w:rPr>
          <w:rFonts w:hint="eastAsia" w:asciiTheme="minorEastAsia" w:hAnsiTheme="minorEastAsia" w:eastAsiaTheme="minorEastAsia"/>
          <w:color w:val="auto"/>
          <w:sz w:val="21"/>
          <w:szCs w:val="21"/>
          <w:highlight w:val="none"/>
          <w:lang w:val="en-US" w:eastAsia="zh-CN"/>
        </w:rPr>
        <w:t xml:space="preserve">（1）投标报价低于全部通过符合性审查投标人投标报价平均值50%的，即投标报价&lt;全部通过符合性审查投标人投标报价平均值×50%；</w:t>
      </w:r>
      <w:r/>
    </w:p>
    <w:p>
      <w:pPr>
        <w:ind w:firstLine="420"/>
        <w:keepLines w:val="0"/>
        <w:keepNext w:val="0"/>
        <w:pageBreakBefore w:val="0"/>
        <w:spacing w:line="360" w:lineRule="auto"/>
        <w:widowControl w:val="off"/>
        <w:rPr>
          <w:rFonts w:hint="eastAsia" w:asciiTheme="minorEastAsia" w:hAnsiTheme="minorEastAsia" w:eastAsiaTheme="minorEastAsia"/>
          <w:color w:val="auto"/>
          <w:sz w:val="21"/>
          <w:szCs w:val="21"/>
          <w:highlight w:val="none"/>
          <w:lang w:val="en-US" w:eastAsia="zh-CN"/>
        </w:rPr>
      </w:pPr>
      <w:r>
        <w:rPr>
          <w:rFonts w:hint="eastAsia" w:asciiTheme="minorEastAsia" w:hAnsiTheme="minorEastAsia" w:eastAsiaTheme="minorEastAsia"/>
          <w:color w:val="auto"/>
          <w:sz w:val="21"/>
          <w:szCs w:val="21"/>
          <w:highlight w:val="none"/>
          <w:lang w:val="en-US" w:eastAsia="zh-CN"/>
        </w:rPr>
        <w:t xml:space="preserve">（2）投标报价低于通过符合性审查的次低报价投标人投标报价50%的，即投标报价&lt;通过符合性审查的次低报价投标人投标报价×50%；</w:t>
      </w:r>
      <w:r/>
    </w:p>
    <w:p>
      <w:pPr>
        <w:ind w:firstLine="420"/>
        <w:keepLines w:val="0"/>
        <w:keepNext w:val="0"/>
        <w:pageBreakBefore w:val="0"/>
        <w:spacing w:line="360" w:lineRule="auto"/>
        <w:widowControl w:val="off"/>
        <w:rPr>
          <w:rFonts w:hint="eastAsia" w:asciiTheme="minorEastAsia" w:hAnsiTheme="minorEastAsia" w:eastAsiaTheme="minorEastAsia"/>
          <w:color w:val="auto"/>
          <w:sz w:val="21"/>
          <w:szCs w:val="21"/>
          <w:highlight w:val="none"/>
          <w:lang w:val="en-US" w:eastAsia="zh-CN"/>
        </w:rPr>
      </w:pPr>
      <w:r>
        <w:rPr>
          <w:rFonts w:hint="eastAsia" w:asciiTheme="minorEastAsia" w:hAnsiTheme="minorEastAsia" w:eastAsiaTheme="minorEastAsia"/>
          <w:color w:val="auto"/>
          <w:sz w:val="21"/>
          <w:szCs w:val="21"/>
          <w:highlight w:val="none"/>
          <w:lang w:val="en-US" w:eastAsia="zh-CN"/>
        </w:rPr>
        <w:t xml:space="preserve">（3）投标报价低于采购项目最高限价50%的，即投标报价&lt;采购项目最高限价×50%；</w:t>
      </w:r>
      <w:r/>
    </w:p>
    <w:p>
      <w:pPr>
        <w:ind w:firstLine="420"/>
        <w:keepLines w:val="0"/>
        <w:keepNext w:val="0"/>
        <w:pageBreakBefore w:val="0"/>
        <w:spacing w:line="360" w:lineRule="auto"/>
        <w:widowControl w:val="off"/>
        <w:rPr>
          <w:rFonts w:hint="eastAsia" w:asciiTheme="minorEastAsia" w:hAnsiTheme="minorEastAsia" w:eastAsiaTheme="minorEastAsia"/>
          <w:color w:val="auto"/>
          <w:sz w:val="21"/>
          <w:szCs w:val="21"/>
          <w:highlight w:val="none"/>
          <w:lang w:val="en-US" w:eastAsia="zh-CN"/>
        </w:rPr>
      </w:pPr>
      <w:r>
        <w:rPr>
          <w:rFonts w:hint="eastAsia" w:asciiTheme="minorEastAsia" w:hAnsiTheme="minorEastAsia" w:eastAsiaTheme="minorEastAsia"/>
          <w:color w:val="auto"/>
          <w:sz w:val="21"/>
          <w:szCs w:val="21"/>
          <w:highlight w:val="none"/>
          <w:lang w:val="en-US" w:eastAsia="zh-CN"/>
        </w:rPr>
        <w:t xml:space="preserve">（4）评标委员会基于专业判断，认为投标人报价过低，有可能影响产品质量或者不能诚信履约的其他情形。</w:t>
      </w:r>
      <w:r/>
    </w:p>
    <w:p>
      <w:pPr>
        <w:ind w:firstLine="420"/>
        <w:keepLines w:val="0"/>
        <w:keepNext w:val="0"/>
        <w:pageBreakBefore w:val="0"/>
        <w:spacing w:line="360" w:lineRule="auto"/>
        <w:widowControl w:val="off"/>
        <w:rPr>
          <w:rFonts w:hint="eastAsia" w:asciiTheme="minorEastAsia" w:hAnsiTheme="minorEastAsia" w:eastAsiaTheme="minorEastAsia"/>
          <w:color w:val="auto"/>
          <w:sz w:val="21"/>
          <w:szCs w:val="21"/>
          <w:highlight w:val="none"/>
          <w:lang w:val="en-US" w:eastAsia="zh-CN"/>
        </w:rPr>
      </w:pPr>
      <w:r>
        <w:rPr>
          <w:rFonts w:hint="eastAsia" w:asciiTheme="minorEastAsia" w:hAnsiTheme="minorEastAsia" w:eastAsiaTheme="minorEastAsia"/>
          <w:color w:val="auto"/>
          <w:sz w:val="21"/>
          <w:szCs w:val="21"/>
          <w:highlight w:val="none"/>
          <w:lang w:val="en-US" w:eastAsia="zh-CN"/>
        </w:rPr>
        <w:t xml:space="preserve">2.评标委员会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keepLines w:val="0"/>
        <w:keepNext w:val="0"/>
        <w:pageBreakBefore w:val="0"/>
        <w:spacing w:line="360" w:lineRule="auto"/>
        <w:widowControl w:val="off"/>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1"/>
          <w:szCs w:val="21"/>
          <w:highlight w:val="none"/>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p>
    <w:p>
      <w:pPr>
        <w:rPr>
          <w:rFonts w:hint="eastAsia" w:asciiTheme="minorEastAsia" w:hAnsiTheme="minorEastAsia" w:eastAsiaTheme="minorEastAsia"/>
          <w:color w:val="auto"/>
          <w:highlight w:val="none"/>
        </w:rPr>
      </w:pPr>
      <w:r/>
      <w:bookmarkStart w:id="138" w:name="_Toc14826"/>
      <w:r/>
      <w:bookmarkStart w:id="139" w:name="_Toc176529670"/>
      <w:r>
        <w:rPr>
          <w:rFonts w:hint="eastAsia" w:asciiTheme="minorEastAsia" w:hAnsiTheme="minorEastAsia" w:eastAsiaTheme="minorEastAsia"/>
          <w:color w:val="auto"/>
          <w:highlight w:val="none"/>
        </w:rPr>
        <w:br w:type="page" w:clear="all"/>
      </w:r>
      <w:r/>
    </w:p>
    <w:p>
      <w:pPr>
        <w:pStyle w:val="890"/>
        <w:numPr>
          <w:ilvl w:val="0"/>
          <w:numId w:val="0"/>
        </w:numPr>
        <w:ind w:left="567"/>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第四章 </w:t>
      </w:r>
      <w:bookmarkEnd w:id="138"/>
      <w:r/>
      <w:bookmarkStart w:id="140" w:name="_Toc481057147"/>
      <w:r/>
      <w:bookmarkStart w:id="141" w:name="_Toc8808"/>
      <w:r>
        <w:rPr>
          <w:rFonts w:hint="eastAsia" w:asciiTheme="minorEastAsia" w:hAnsiTheme="minorEastAsia" w:eastAsiaTheme="minorEastAsia"/>
          <w:color w:val="auto"/>
          <w:highlight w:val="none"/>
        </w:rPr>
        <w:t xml:space="preserve">采购项目的内容和相关技术要求等</w:t>
      </w:r>
      <w:bookmarkEnd w:id="139"/>
      <w:r/>
      <w:r/>
    </w:p>
    <w:p>
      <w:pPr>
        <w:ind w:firstLine="482"/>
        <w:spacing w:line="360" w:lineRule="auto"/>
        <w:rPr>
          <w:rFonts w:hint="default" w:cs="黑体" w:asciiTheme="minorEastAsia" w:hAnsiTheme="minorEastAsia" w:eastAsiaTheme="minorEastAsia"/>
          <w:b/>
          <w:bCs/>
          <w:color w:val="auto"/>
          <w:sz w:val="24"/>
          <w:highlight w:val="none"/>
          <w:lang w:val="en-US" w:eastAsia="zh-CN"/>
        </w:rPr>
        <w:outlineLvl w:val="1"/>
      </w:pPr>
      <w:r/>
      <w:bookmarkStart w:id="142" w:name="_Hlk66377641"/>
      <w:r/>
      <w:bookmarkStart w:id="143" w:name="_Hlk176529481"/>
      <w:r>
        <w:rPr>
          <w:rFonts w:hint="eastAsia" w:cs="黑体" w:asciiTheme="minorEastAsia" w:hAnsiTheme="minorEastAsia" w:eastAsiaTheme="minorEastAsia"/>
          <w:b/>
          <w:bCs/>
          <w:color w:val="auto"/>
          <w:sz w:val="24"/>
          <w:highlight w:val="none"/>
        </w:rPr>
        <w:t xml:space="preserve">一、</w:t>
      </w:r>
      <w:r>
        <w:rPr>
          <w:rFonts w:hint="eastAsia" w:cs="黑体" w:asciiTheme="minorEastAsia" w:hAnsiTheme="minorEastAsia" w:eastAsiaTheme="minorEastAsia"/>
          <w:b/>
          <w:bCs/>
          <w:color w:val="auto"/>
          <w:sz w:val="24"/>
          <w:highlight w:val="none"/>
          <w:lang w:val="en-US" w:eastAsia="zh-CN"/>
        </w:rPr>
        <w:t xml:space="preserve">项目概况</w:t>
      </w:r>
      <w:r/>
    </w:p>
    <w:p>
      <w:pPr>
        <w:ind w:firstLine="420"/>
        <w:jc w:val="left"/>
        <w:keepLines w:val="0"/>
        <w:keepNext w:val="0"/>
        <w:pageBreakBefore w:val="0"/>
        <w:spacing w:line="360" w:lineRule="auto"/>
        <w:widowControl w:val="off"/>
        <w:rPr>
          <w:rFonts w:hint="default" w:ascii="宋体" w:hAnsi="宋体" w:eastAsia="宋体" w:cs="宋体"/>
          <w:b w:val="0"/>
          <w:bCs w:val="0"/>
          <w:color w:val="auto"/>
          <w:sz w:val="21"/>
          <w:szCs w:val="21"/>
          <w:highlight w:val="none"/>
          <w:lang w:val="en-US" w:eastAsia="zh-CN"/>
        </w:rPr>
        <w:outlineLvl w:val="9"/>
      </w:pPr>
      <w:r>
        <w:rPr>
          <w:rFonts w:hint="eastAsia" w:ascii="宋体" w:hAnsi="宋体" w:cs="宋体"/>
          <w:b w:val="0"/>
          <w:bCs w:val="0"/>
          <w:color w:val="auto"/>
          <w:sz w:val="21"/>
          <w:szCs w:val="21"/>
          <w:highlight w:val="none"/>
          <w:lang w:val="en-US" w:eastAsia="zh-CN"/>
        </w:rPr>
        <w:t xml:space="preserve">1.项目简介</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本项目为推进南京市新型优质小班制的实践研究，</w:t>
      </w:r>
      <w:r>
        <w:rPr>
          <w:rFonts w:hint="eastAsia" w:ascii="宋体" w:hAnsi="宋体" w:cs="宋体"/>
          <w:b w:val="0"/>
          <w:bCs w:val="0"/>
          <w:color w:val="auto"/>
          <w:sz w:val="21"/>
          <w:szCs w:val="21"/>
          <w:highlight w:val="none"/>
          <w:lang w:val="en-US" w:eastAsia="zh-CN"/>
        </w:rPr>
        <w:t xml:space="preserve">拟为</w:t>
      </w:r>
      <w:r>
        <w:rPr>
          <w:rFonts w:hint="eastAsia" w:ascii="宋体" w:hAnsi="宋体" w:eastAsia="宋体" w:cs="宋体"/>
          <w:b w:val="0"/>
          <w:bCs w:val="0"/>
          <w:color w:val="auto"/>
          <w:sz w:val="21"/>
          <w:szCs w:val="21"/>
          <w:highlight w:val="none"/>
          <w:lang w:val="en-US" w:eastAsia="zh-CN"/>
        </w:rPr>
        <w:t xml:space="preserve">雨花台区中华中学附属雨花小学、软件谷第二小学、岱山东路小学等试点学校建设新型学习活动场景。</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 主要采购内容：基础教学与信息化设备、智慧教具课堂家具、多功能创思教学展示墙、智慧创客设备，同步完成教室基础装修改造，配套提供设备安装调试、质保运维及教师操作培训。</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2.技术标准</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（1）《江苏省中小学教育技术装备标准(十二五版)》</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（2）《关于构建优质均衡的基本公共教育服务体系的实施方案》</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（3）《江苏教育现代化2035》</w:t>
      </w:r>
      <w:r/>
    </w:p>
    <w:p>
      <w:pPr>
        <w:ind w:firstLine="482"/>
        <w:spacing w:line="360" w:lineRule="auto"/>
        <w:rPr>
          <w:rFonts w:hint="eastAsia" w:cs="黑体" w:asciiTheme="minorEastAsia" w:hAnsiTheme="minorEastAsia" w:eastAsiaTheme="minorEastAsia"/>
          <w:b/>
          <w:bCs/>
          <w:color w:val="auto"/>
          <w:sz w:val="24"/>
          <w:highlight w:val="none"/>
        </w:rPr>
        <w:outlineLvl w:val="1"/>
      </w:pPr>
      <w:r>
        <w:rPr>
          <w:rFonts w:hint="eastAsia" w:cs="黑体" w:asciiTheme="minorEastAsia" w:hAnsiTheme="minorEastAsia" w:eastAsiaTheme="minorEastAsia"/>
          <w:b/>
          <w:bCs/>
          <w:color w:val="auto"/>
          <w:sz w:val="24"/>
          <w:highlight w:val="none"/>
        </w:rPr>
        <w:t xml:space="preserve">二、产品清单</w:t>
      </w:r>
      <w:r/>
    </w:p>
    <w:p>
      <w:pPr>
        <w:ind w:firstLine="482"/>
        <w:spacing w:line="360" w:lineRule="auto"/>
        <w:rPr>
          <w:rFonts w:hint="eastAsia" w:cs="黑体" w:asciiTheme="minorEastAsia" w:hAnsiTheme="minorEastAsia" w:eastAsiaTheme="minorEastAsia"/>
          <w:b/>
          <w:bCs/>
          <w:color w:val="auto"/>
          <w:sz w:val="24"/>
          <w:highlight w:val="none"/>
        </w:rPr>
        <w:outlineLvl w:val="1"/>
      </w:pPr>
      <w:r>
        <w:rPr>
          <w:rFonts w:hint="eastAsia" w:cs="黑体" w:asciiTheme="minorEastAsia" w:hAnsiTheme="minorEastAsia" w:eastAsiaTheme="minorEastAsia"/>
          <w:b/>
          <w:bCs/>
          <w:color w:val="auto"/>
          <w:sz w:val="24"/>
          <w:highlight w:val="none"/>
          <w:lang w:eastAsia="zh-CN"/>
        </w:rPr>
        <w:t xml:space="preserve">（</w:t>
      </w:r>
      <w:r>
        <w:rPr>
          <w:rFonts w:hint="eastAsia" w:cs="黑体" w:asciiTheme="minorEastAsia" w:hAnsiTheme="minorEastAsia" w:eastAsiaTheme="minorEastAsia"/>
          <w:b/>
          <w:bCs/>
          <w:color w:val="auto"/>
          <w:sz w:val="24"/>
          <w:highlight w:val="none"/>
          <w:lang w:val="en-US" w:eastAsia="zh-CN"/>
        </w:rPr>
        <w:t xml:space="preserve">一</w:t>
      </w:r>
      <w:r>
        <w:rPr>
          <w:rFonts w:hint="eastAsia" w:cs="黑体" w:asciiTheme="minorEastAsia" w:hAnsiTheme="minorEastAsia" w:eastAsiaTheme="minorEastAsia"/>
          <w:b/>
          <w:bCs/>
          <w:color w:val="auto"/>
          <w:sz w:val="24"/>
          <w:highlight w:val="none"/>
          <w:lang w:eastAsia="zh-CN"/>
        </w:rPr>
        <w:t xml:space="preserve">）</w:t>
      </w:r>
      <w:r>
        <w:rPr>
          <w:rFonts w:hint="eastAsia" w:cs="黑体" w:asciiTheme="minorEastAsia" w:hAnsiTheme="minorEastAsia" w:eastAsiaTheme="minorEastAsia"/>
          <w:b/>
          <w:bCs/>
          <w:color w:val="auto"/>
          <w:sz w:val="24"/>
          <w:highlight w:val="none"/>
          <w:lang w:val="en-US" w:eastAsia="zh-CN"/>
        </w:rPr>
        <w:t xml:space="preserve">设备总</w:t>
      </w:r>
      <w:r>
        <w:rPr>
          <w:rFonts w:hint="eastAsia" w:cs="黑体" w:asciiTheme="minorEastAsia" w:hAnsiTheme="minorEastAsia" w:eastAsiaTheme="minorEastAsia"/>
          <w:b/>
          <w:bCs/>
          <w:color w:val="auto"/>
          <w:sz w:val="24"/>
          <w:highlight w:val="none"/>
        </w:rPr>
        <w:t xml:space="preserve">清单</w:t>
      </w:r>
      <w:r/>
    </w:p>
    <w:tbl>
      <w:tblPr>
        <w:tblStyle w:val="900"/>
        <w:tblW w:w="477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97"/>
        <w:gridCol w:w="2086"/>
        <w:gridCol w:w="624"/>
        <w:gridCol w:w="1013"/>
        <w:gridCol w:w="979"/>
        <w:gridCol w:w="1275"/>
        <w:gridCol w:w="781"/>
        <w:gridCol w:w="1279"/>
      </w:tblGrid>
      <w:tr>
        <w:trPr>
          <w:trHeight w:val="41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序号</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设备名称</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数量</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highlight w:val="none"/>
                <w:lang w:val="en-US" w:eastAsia="zh-CN"/>
              </w:rPr>
              <w:t xml:space="preserve">单位</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产品类型</w:t>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所属行业类型</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属性</w:t>
            </w:r>
            <w:r/>
          </w:p>
        </w:tc>
        <w:tc>
          <w:tcPr>
            <w:shd w:val="clear" w:color="auto" w:fill="auto"/>
            <w:tcW w:w="723" w:type="pct"/>
            <w:vAlign w:val="center"/>
            <w:textDirection w:val="lrTb"/>
            <w:noWrap w:val="false"/>
          </w:tcPr>
          <w:p>
            <w:pPr>
              <w:jc w:val="center"/>
              <w:rPr>
                <w:rFonts w:hint="eastAsia"/>
                <w:highlight w:val="none"/>
                <w:lang w:val="en-US" w:eastAsia="zh-CN"/>
              </w:rPr>
            </w:pPr>
            <w:r>
              <w:rPr>
                <w:rFonts w:hint="eastAsia"/>
                <w:highlight w:val="none"/>
                <w:lang w:val="en-US" w:eastAsia="zh-CN"/>
              </w:rPr>
              <w:t xml:space="preserve">单价最高</w:t>
            </w:r>
            <w:r/>
          </w:p>
          <w:p>
            <w:pPr>
              <w:jc w:val="center"/>
              <w:rPr>
                <w:rFonts w:hint="eastAsia" w:ascii="宋体" w:hAnsi="宋体" w:eastAsia="宋体" w:cs="宋体"/>
                <w:b w:val="0"/>
                <w:bCs w:val="0"/>
                <w:color w:val="auto"/>
                <w:sz w:val="21"/>
                <w:szCs w:val="21"/>
                <w:highlight w:val="none"/>
              </w:rPr>
            </w:pPr>
            <w:r>
              <w:rPr>
                <w:rFonts w:hint="eastAsia"/>
                <w:highlight w:val="none"/>
                <w:lang w:val="en-US" w:eastAsia="zh-CN"/>
              </w:rPr>
              <w:t xml:space="preserve">（元）</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可移动讲台</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14</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highlight w:val="none"/>
                <w:lang w:val="en-US" w:eastAsia="zh-CN"/>
              </w:rPr>
              <w:t xml:space="preserve">个</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highlight w:val="none"/>
                <w:lang w:val="en-US" w:eastAsia="zh-CN"/>
              </w:rPr>
              <w:t xml:space="preserve">1000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学生午休课桌椅</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542</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 w:val="0"/>
                <w:bCs w:val="0"/>
                <w:color w:val="auto"/>
                <w:sz w:val="21"/>
                <w:szCs w:val="21"/>
                <w:highlight w:val="none"/>
                <w:lang w:val="en-US" w:eastAsia="zh-CN"/>
              </w:rPr>
              <w:outlineLvl w:val="1"/>
            </w:pPr>
            <w:r>
              <w:rPr>
                <w:rFonts w:hint="eastAsia" w:ascii="宋体" w:hAnsi="宋体" w:cs="宋体"/>
                <w:b w:val="0"/>
                <w:bCs w:val="0"/>
                <w:color w:val="auto"/>
                <w:sz w:val="21"/>
                <w:szCs w:val="21"/>
                <w:highlight w:val="none"/>
                <w:lang w:val="en-US" w:eastAsia="zh-CN"/>
              </w:rPr>
              <w:t xml:space="preserve">核心产品</w:t>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550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3</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书包柜</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336</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组</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180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4</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定制展示边柜</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组</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7900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5</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定制收纳书柜</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组</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34540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6</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定制榫卯结构互动装置</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48000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7</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升降拼接桌</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6</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组</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11800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8</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学生椅</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36</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张</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350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9</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定制边柜</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组</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25906</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10</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工程技术桌</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张</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10800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11</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学生升降凳</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8</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张</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268</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12</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智能吊装电网系统-控制柜</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项</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7500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13</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智能吊装电网系统</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6</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7000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14</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Calibri"/>
                <w:highlight w:val="none"/>
                <w:lang w:val="en-US" w:eastAsia="zh-CN"/>
              </w:rPr>
              <w:t xml:space="preserve">定制洞洞板展示柜</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组</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15550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15</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折叠展示架</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组</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575</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16</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异型涂鸦桌</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张</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3980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17</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三角注塑椅（大）</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8</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张</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230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18</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定制作品展示柜</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个</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3000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19</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定制室外阅读座</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6</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组</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9252</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20</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定制可移动屏风</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8</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组</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800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21</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定制软包沙发</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组</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17100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22</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定制储物边柜一</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组</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9404</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23</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定制储物边柜二</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组</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10790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24</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合唱台</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3</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组</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8000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25</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定制收纳边柜一</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4</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组</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18812</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26</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定制收纳边柜二</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组</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15420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27</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多功能柜</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张</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12000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28</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美术收纳柜</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组</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2102</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29</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教师课堂展示台</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个</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600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30</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卡巴萨</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个</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471</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31</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邦戈鼓</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个</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600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32</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卡宏鼓</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个</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600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33</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空灵鼓</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个</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700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34</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手指沙蛋</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个</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200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35</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藏族热巴鼓</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个</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400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36</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卡林巴</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个</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700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37</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雅马哈电钢琴</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个</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3500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38</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雅马哈电贝司</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个</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4000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39</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葫芦丝</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个</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600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40</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口琴</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个</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500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41</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口风琴</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个</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600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42</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晾纸架</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组</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1770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43</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储物柜</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组</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841</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44</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学生油画架</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6</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个</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383</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45</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教师油画架</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个</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540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46</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五层室内水培架</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个</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4980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47</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定制不锈钢种植箱</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3</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个</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800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48</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智能桌面水培箱</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4</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个</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500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49</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智慧微农场：轻量版</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台</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8500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50</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智能种植柜控制系统</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5000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51</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育苗套装</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229</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52</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营养液（大瓶装）</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110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53</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PHEC五合一水质检测笔</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支</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380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54</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中小学智慧微农场课程体系及教学材料</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2000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55</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吧台凳</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24</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435</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56</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背景墙石膏板基础</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14</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612</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57</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展示墙石膏板基础</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6</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1170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58</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挂板墙石膏板基础</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5940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59</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弧形墙面造型</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4</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10692</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60</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背景软木板</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14</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817</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61</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后墙软木板</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7</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1600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62</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展示软木板</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1280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63</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造型软木板</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1012</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64</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后墙书写白板</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7</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2520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65</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人文书写白板</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1623</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66</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创趣书写白板</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1800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67</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展示书写白板</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3510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68</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后墙木质洞洞板</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7</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2000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69</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科创木质洞洞板</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3800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70</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人文木质洞洞板</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3750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71</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展示木质洞洞板</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7</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1350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72</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美术作品展示板</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2760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73</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劳动工具展示板</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3825</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74</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劳动展示展示板</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2165</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75</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人文钢制洞洞板</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9000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76</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窗户挂板</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6</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432</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77</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侧墙挂板</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6</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648</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78</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展示钢制洞洞板</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4</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2808</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79</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异型地台</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7000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80</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音乐小舞台</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1780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81</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科学舞台</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2472</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82</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拆除及修复</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项</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 w:val="0"/>
                <w:bCs w:val="0"/>
                <w:color w:val="auto"/>
                <w:sz w:val="21"/>
                <w:szCs w:val="21"/>
                <w:highlight w:val="none"/>
                <w:lang w:val="en-US" w:eastAsia="zh-CN"/>
              </w:rPr>
              <w:outlineLvl w:val="1"/>
            </w:pPr>
            <w:r>
              <w:rPr>
                <w:rFonts w:hint="eastAsia" w:ascii="宋体" w:hAnsi="宋体" w:cs="宋体"/>
                <w:b w:val="0"/>
                <w:bCs w:val="0"/>
                <w:color w:val="auto"/>
                <w:sz w:val="21"/>
                <w:szCs w:val="21"/>
                <w:highlight w:val="none"/>
                <w:lang w:val="en-US" w:eastAsia="zh-CN"/>
              </w:rPr>
              <w:t xml:space="preserve">建筑业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 w:val="0"/>
                <w:bCs w:val="0"/>
                <w:color w:val="auto"/>
                <w:sz w:val="21"/>
                <w:szCs w:val="21"/>
                <w:highlight w:val="none"/>
                <w:lang w:val="en-US" w:eastAsia="zh-CN"/>
              </w:rPr>
              <w:outlineLvl w:val="1"/>
            </w:pPr>
            <w:r>
              <w:rPr>
                <w:rFonts w:hint="eastAsia" w:ascii="宋体" w:hAnsi="宋体" w:cs="宋体"/>
                <w:b w:val="0"/>
                <w:bCs w:val="0"/>
                <w:color w:val="auto"/>
                <w:sz w:val="21"/>
                <w:szCs w:val="21"/>
                <w:highlight w:val="none"/>
                <w:lang w:val="en-US" w:eastAsia="zh-CN"/>
              </w:rPr>
              <w:t xml:space="preserve">工程</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3600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83</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健康照明灯</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24</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盏</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450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84</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吊装字体</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10</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400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85</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导轨条</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32</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m</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80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86</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导轨灯</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32</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盏</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110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87</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吸顶平板灯</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12</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盏</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1000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88</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智能面板</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500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89</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音乐符号灯</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3</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盏</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600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90</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星球灯</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3</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盏</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1000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91</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乐高墙</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4330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92</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美术壁纸</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780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93</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科学墙布</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1341</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94</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定制木工板隔断</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5</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480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95</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护墙板</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6</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585</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96</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墙面装饰护墙板</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6900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97</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图书管理柜</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6</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2340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98</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美术展示柜</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1836</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99</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美术收纳柜</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1170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100</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双层柜体</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900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101</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多层展示柜</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5610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102</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双层多面展示柜</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38700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103</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石台面</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5376</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104</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铝合金木纹边框折叠窗</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9011</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105</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软包坐垫</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1500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106</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文字贴图</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项</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3200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107</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小游戏贴图</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项</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3000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108</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强弱电改造</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198</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 w:val="0"/>
                <w:bCs w:val="0"/>
                <w:color w:val="auto"/>
                <w:sz w:val="21"/>
                <w:szCs w:val="21"/>
                <w:highlight w:val="none"/>
                <w:lang w:val="en-US" w:eastAsia="zh-CN"/>
              </w:rPr>
              <w:outlineLvl w:val="1"/>
            </w:pPr>
            <w:r>
              <w:rPr>
                <w:rFonts w:hint="eastAsia" w:ascii="宋体" w:hAnsi="宋体" w:cs="宋体"/>
                <w:b w:val="0"/>
                <w:bCs w:val="0"/>
                <w:color w:val="auto"/>
                <w:sz w:val="21"/>
                <w:szCs w:val="21"/>
                <w:highlight w:val="none"/>
                <w:lang w:val="en-US" w:eastAsia="zh-CN"/>
              </w:rPr>
              <w:t xml:space="preserve">建筑业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 w:val="0"/>
                <w:bCs w:val="0"/>
                <w:color w:val="auto"/>
                <w:sz w:val="21"/>
                <w:szCs w:val="21"/>
                <w:highlight w:val="none"/>
                <w:lang w:val="en-US" w:eastAsia="zh-CN"/>
              </w:rPr>
              <w:outlineLvl w:val="1"/>
            </w:pPr>
            <w:r>
              <w:rPr>
                <w:rFonts w:hint="eastAsia" w:ascii="宋体" w:hAnsi="宋体" w:cs="宋体"/>
                <w:b w:val="0"/>
                <w:bCs w:val="0"/>
                <w:color w:val="auto"/>
                <w:sz w:val="21"/>
                <w:szCs w:val="21"/>
                <w:highlight w:val="none"/>
                <w:lang w:val="en-US" w:eastAsia="zh-CN"/>
              </w:rPr>
              <w:t xml:space="preserve">工程</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120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109</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铝扣板吊顶</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90</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300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110</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铝板造型柱</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9000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111</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树木造型柱</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18000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112</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地面防腐木装饰</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57</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700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113</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AI陪伴机器人</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7</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台</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4200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114</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3D打印机</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6478</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115</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耗材</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8</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盘</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100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116</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数字素材展示屏</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台</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9000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117</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智慧门牌</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6</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台</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5200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118</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学生移动终端</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86</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台</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2400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119</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教师移动终端</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台</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2400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120</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平板充电柜</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29</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台</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1500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121</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5口千兆POE交换机</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24</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台</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600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122</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无线AP</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24</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台</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2100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123</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教室无线网络线缆及辅材</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项</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8455</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124</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Calibri"/>
                <w:highlight w:val="none"/>
                <w:lang w:val="en-US" w:eastAsia="zh-CN"/>
              </w:rPr>
              <w:t xml:space="preserve">教室线路拆除和安装</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24</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间</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 w:val="0"/>
                <w:bCs w:val="0"/>
                <w:color w:val="auto"/>
                <w:sz w:val="21"/>
                <w:szCs w:val="21"/>
                <w:highlight w:val="none"/>
                <w:lang w:val="en-US" w:eastAsia="zh-CN"/>
              </w:rPr>
              <w:outlineLvl w:val="1"/>
            </w:pPr>
            <w:r>
              <w:rPr>
                <w:rFonts w:hint="eastAsia" w:ascii="宋体" w:hAnsi="宋体" w:cs="宋体"/>
                <w:b w:val="0"/>
                <w:bCs w:val="0"/>
                <w:color w:val="auto"/>
                <w:sz w:val="21"/>
                <w:szCs w:val="21"/>
                <w:highlight w:val="none"/>
                <w:lang w:val="en-US" w:eastAsia="zh-CN"/>
              </w:rPr>
              <w:t xml:space="preserve">建筑业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 w:val="0"/>
                <w:bCs w:val="0"/>
                <w:color w:val="auto"/>
                <w:sz w:val="21"/>
                <w:szCs w:val="21"/>
                <w:highlight w:val="none"/>
                <w:lang w:val="en-US" w:eastAsia="zh-CN"/>
              </w:rPr>
              <w:outlineLvl w:val="1"/>
            </w:pPr>
            <w:r>
              <w:rPr>
                <w:rFonts w:hint="eastAsia" w:ascii="宋体" w:hAnsi="宋体" w:cs="宋体"/>
                <w:b w:val="0"/>
                <w:bCs w:val="0"/>
                <w:color w:val="auto"/>
                <w:sz w:val="21"/>
                <w:szCs w:val="21"/>
                <w:highlight w:val="none"/>
                <w:lang w:val="en-US" w:eastAsia="zh-CN"/>
              </w:rPr>
              <w:t xml:space="preserve">工程</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400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125</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教室壁挂式扬声器套装</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7</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2500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126</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教室无线领夹麦克风接收器</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7</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台</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500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127</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教室无线领夹麦克风</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台</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500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128</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智能移动平板</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6</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台</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bidi="ar-SA"/>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bidi="ar-SA"/>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4000</w:t>
            </w:r>
            <w:r/>
          </w:p>
        </w:tc>
      </w:tr>
    </w:tbl>
    <w:p>
      <w:pPr>
        <w:ind w:firstLine="422"/>
        <w:keepLines w:val="0"/>
        <w:keepNext w:val="0"/>
        <w:pageBreakBefore w:val="0"/>
        <w:spacing w:line="360" w:lineRule="auto"/>
        <w:widowControl w:val="off"/>
        <w:rPr>
          <w:rFonts w:hint="eastAsia" w:cs="黑体" w:asciiTheme="minorEastAsia" w:hAnsiTheme="minorEastAsia" w:eastAsiaTheme="minorEastAsia"/>
          <w:b/>
          <w:bCs/>
          <w:color w:val="auto"/>
          <w:szCs w:val="21"/>
          <w:highlight w:val="none"/>
        </w:rPr>
        <w:outlineLvl w:val="1"/>
      </w:pPr>
      <w:r>
        <w:rPr>
          <w:rFonts w:hint="eastAsia" w:cs="黑体" w:asciiTheme="minorEastAsia" w:hAnsiTheme="minorEastAsia" w:eastAsiaTheme="minorEastAsia"/>
          <w:b/>
          <w:bCs/>
          <w:color w:val="auto"/>
          <w:szCs w:val="21"/>
          <w:highlight w:val="none"/>
        </w:rPr>
        <w:t xml:space="preserve">注：以上数量为暂定数量。实际数量以采购人需求为准。</w:t>
      </w:r>
      <w:r/>
    </w:p>
    <w:p>
      <w:pPr>
        <w:ind w:firstLine="422"/>
        <w:keepLines w:val="0"/>
        <w:keepNext w:val="0"/>
        <w:pageBreakBefore w:val="0"/>
        <w:spacing w:line="360" w:lineRule="auto"/>
        <w:widowControl w:val="off"/>
        <w:rPr>
          <w:rFonts w:hint="eastAsia" w:cs="黑体" w:asciiTheme="minorEastAsia" w:hAnsiTheme="minorEastAsia" w:eastAsiaTheme="minorEastAsia"/>
          <w:b/>
          <w:bCs/>
          <w:color w:val="auto"/>
          <w:szCs w:val="21"/>
          <w:highlight w:val="none"/>
        </w:rPr>
        <w:outlineLvl w:val="1"/>
      </w:pPr>
      <w:r>
        <w:rPr>
          <w:rFonts w:hint="eastAsia" w:cs="黑体" w:asciiTheme="minorEastAsia" w:hAnsiTheme="minorEastAsia" w:eastAsiaTheme="minorEastAsia"/>
          <w:b/>
          <w:bCs/>
          <w:color w:val="auto"/>
          <w:szCs w:val="21"/>
          <w:highlight w:val="none"/>
          <w:lang w:val="en-US" w:eastAsia="zh-CN"/>
        </w:rPr>
        <w:t xml:space="preserve">（二）分校设备清单</w:t>
      </w:r>
      <w:r/>
    </w:p>
    <w:tbl>
      <w:tblPr>
        <w:tblStyle w:val="933"/>
        <w:tblW w:w="85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0"/>
        <w:gridCol w:w="1752"/>
        <w:gridCol w:w="1525"/>
        <w:gridCol w:w="1525"/>
        <w:gridCol w:w="1525"/>
        <w:gridCol w:w="1528"/>
      </w:tblGrid>
      <w:tr>
        <w:trPr/>
        <w:tc>
          <w:tcPr>
            <w:tcW w:w="680" w:type="dxa"/>
            <w:vAlign w:val="center"/>
            <w:textDirection w:val="lrTb"/>
            <w:noWrap w:val="false"/>
          </w:tcPr>
          <w:p>
            <w:pPr>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序号</w:t>
            </w:r>
            <w:r/>
          </w:p>
        </w:tc>
        <w:tc>
          <w:tcPr>
            <w:tcW w:w="1752" w:type="dxa"/>
            <w:vAlign w:val="center"/>
            <w:textDirection w:val="lrTb"/>
            <w:noWrap w:val="false"/>
          </w:tcPr>
          <w:p>
            <w:pPr>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设备名称</w:t>
            </w:r>
            <w:r/>
          </w:p>
        </w:tc>
        <w:tc>
          <w:tcPr>
            <w:tcW w:w="1525" w:type="dxa"/>
            <w:vAlign w:val="center"/>
            <w:textDirection w:val="lrTb"/>
            <w:noWrap w:val="false"/>
          </w:tcPr>
          <w:p>
            <w:pPr>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中华中学附属雨花小学</w:t>
            </w:r>
            <w:r/>
          </w:p>
        </w:tc>
        <w:tc>
          <w:tcPr>
            <w:tcW w:w="1525" w:type="dxa"/>
            <w:vAlign w:val="center"/>
            <w:textDirection w:val="lrTb"/>
            <w:noWrap w:val="false"/>
          </w:tcPr>
          <w:p>
            <w:pPr>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南京市软件谷第二小学</w:t>
            </w:r>
            <w:r/>
          </w:p>
        </w:tc>
        <w:tc>
          <w:tcPr>
            <w:tcW w:w="1525" w:type="dxa"/>
            <w:vAlign w:val="center"/>
            <w:textDirection w:val="lrTb"/>
            <w:noWrap w:val="false"/>
          </w:tcPr>
          <w:p>
            <w:pPr>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金陵中学岱山分校东校区小学部</w:t>
            </w:r>
            <w:r/>
          </w:p>
        </w:tc>
        <w:tc>
          <w:tcPr>
            <w:tcW w:w="1528" w:type="dxa"/>
            <w:vAlign w:val="center"/>
            <w:textDirection w:val="lrTb"/>
            <w:noWrap w:val="false"/>
          </w:tcPr>
          <w:p>
            <w:pPr>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合计</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可移动讲台</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14</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学生午休课桌椅</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266</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228</w:t>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542</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书包柜</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336</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336</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定制展示边柜</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定制收纳书柜</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定制榫卯结构互动装置</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升降拼接桌</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6</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W w:w="1752" w:type="dxa"/>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eastAsia="宋体"/>
                <w:szCs w:val="20"/>
                <w:highlight w:val="none"/>
                <w:lang w:val="en-US" w:eastAsia="zh-CN"/>
              </w:rPr>
              <w:t xml:space="preserve">学生椅</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36</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W w:w="1752" w:type="dxa"/>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eastAsia="宋体"/>
                <w:szCs w:val="20"/>
                <w:highlight w:val="none"/>
                <w:lang w:val="en-US" w:eastAsia="zh-CN"/>
              </w:rPr>
              <w:t xml:space="preserve">定制边柜</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工程技术桌</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学生升降凳</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8</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智能吊装电网系统-控制柜</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智能吊装电网系统</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6</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定制洞洞板展示柜</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折叠展示架</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异型涂鸦桌</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三角注塑椅（大）</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8</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定制作品展示柜</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定制室外阅读座</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6</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定制可移动屏风</w:t>
            </w:r>
            <w:r/>
          </w:p>
        </w:tc>
        <w:tc>
          <w:tcPr>
            <w:shd w:val="clear" w:color="auto" w:fill="auto"/>
            <w:tcW w:w="152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8</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定制软包沙发</w:t>
            </w:r>
            <w:r/>
          </w:p>
        </w:tc>
        <w:tc>
          <w:tcPr>
            <w:shd w:val="clear" w:color="auto" w:fill="auto"/>
            <w:tcW w:w="152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定制储物边柜一</w:t>
            </w:r>
            <w:r/>
          </w:p>
        </w:tc>
        <w:tc>
          <w:tcPr>
            <w:shd w:val="clear" w:color="auto" w:fill="auto"/>
            <w:tcW w:w="152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定制储物边柜二</w:t>
            </w:r>
            <w:r/>
          </w:p>
        </w:tc>
        <w:tc>
          <w:tcPr>
            <w:shd w:val="clear" w:color="auto" w:fill="auto"/>
            <w:tcW w:w="152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合唱台</w:t>
            </w:r>
            <w:r/>
          </w:p>
        </w:tc>
        <w:tc>
          <w:tcPr>
            <w:shd w:val="clear" w:color="auto" w:fill="auto"/>
            <w:tcW w:w="152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定制收纳边柜一</w:t>
            </w:r>
            <w:r/>
          </w:p>
        </w:tc>
        <w:tc>
          <w:tcPr>
            <w:shd w:val="clear" w:color="auto" w:fill="auto"/>
            <w:tcW w:w="152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定制收纳边柜二</w:t>
            </w:r>
            <w:r/>
          </w:p>
        </w:tc>
        <w:tc>
          <w:tcPr>
            <w:shd w:val="clear" w:color="auto" w:fill="auto"/>
            <w:tcW w:w="152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多功能柜</w:t>
            </w:r>
            <w:r/>
          </w:p>
        </w:tc>
        <w:tc>
          <w:tcPr>
            <w:shd w:val="clear" w:color="auto" w:fill="auto"/>
            <w:tcW w:w="152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美术收纳柜</w:t>
            </w:r>
            <w:r/>
          </w:p>
        </w:tc>
        <w:tc>
          <w:tcPr>
            <w:shd w:val="clear" w:color="auto" w:fill="auto"/>
            <w:tcW w:w="152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教师课堂展示台</w:t>
            </w:r>
            <w:r/>
          </w:p>
        </w:tc>
        <w:tc>
          <w:tcPr>
            <w:shd w:val="clear" w:color="auto" w:fill="auto"/>
            <w:tcW w:w="152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卡巴萨</w:t>
            </w:r>
            <w:r/>
          </w:p>
        </w:tc>
        <w:tc>
          <w:tcPr>
            <w:shd w:val="clear" w:color="auto" w:fill="auto"/>
            <w:tcW w:w="152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邦戈鼓</w:t>
            </w:r>
            <w:r/>
          </w:p>
        </w:tc>
        <w:tc>
          <w:tcPr>
            <w:shd w:val="clear" w:color="auto" w:fill="auto"/>
            <w:tcW w:w="152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卡宏鼓</w:t>
            </w:r>
            <w:r/>
          </w:p>
        </w:tc>
        <w:tc>
          <w:tcPr>
            <w:shd w:val="clear" w:color="auto" w:fill="auto"/>
            <w:tcW w:w="152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空灵鼓</w:t>
            </w:r>
            <w:r/>
          </w:p>
        </w:tc>
        <w:tc>
          <w:tcPr>
            <w:shd w:val="clear" w:color="auto" w:fill="auto"/>
            <w:tcW w:w="152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手指沙蛋</w:t>
            </w:r>
            <w:r/>
          </w:p>
        </w:tc>
        <w:tc>
          <w:tcPr>
            <w:shd w:val="clear" w:color="auto" w:fill="auto"/>
            <w:tcW w:w="152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藏族热巴鼓</w:t>
            </w:r>
            <w:r/>
          </w:p>
        </w:tc>
        <w:tc>
          <w:tcPr>
            <w:shd w:val="clear" w:color="auto" w:fill="auto"/>
            <w:tcW w:w="152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卡林巴</w:t>
            </w:r>
            <w:r/>
          </w:p>
        </w:tc>
        <w:tc>
          <w:tcPr>
            <w:shd w:val="clear" w:color="auto" w:fill="auto"/>
            <w:tcW w:w="152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雅马哈电钢琴</w:t>
            </w:r>
            <w:r/>
          </w:p>
        </w:tc>
        <w:tc>
          <w:tcPr>
            <w:shd w:val="clear" w:color="auto" w:fill="auto"/>
            <w:tcW w:w="152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雅马哈电贝司</w:t>
            </w:r>
            <w:r/>
          </w:p>
        </w:tc>
        <w:tc>
          <w:tcPr>
            <w:shd w:val="clear" w:color="auto" w:fill="auto"/>
            <w:tcW w:w="152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葫芦丝</w:t>
            </w:r>
            <w:r/>
          </w:p>
        </w:tc>
        <w:tc>
          <w:tcPr>
            <w:shd w:val="clear" w:color="auto" w:fill="auto"/>
            <w:tcW w:w="152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口琴</w:t>
            </w:r>
            <w:r/>
          </w:p>
        </w:tc>
        <w:tc>
          <w:tcPr>
            <w:shd w:val="clear" w:color="auto" w:fill="auto"/>
            <w:tcW w:w="152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口风琴</w:t>
            </w:r>
            <w:r/>
          </w:p>
        </w:tc>
        <w:tc>
          <w:tcPr>
            <w:shd w:val="clear" w:color="auto" w:fill="auto"/>
            <w:tcW w:w="152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晾纸架</w:t>
            </w:r>
            <w:r/>
          </w:p>
        </w:tc>
        <w:tc>
          <w:tcPr>
            <w:shd w:val="clear" w:color="auto" w:fill="auto"/>
            <w:tcW w:w="152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储物柜</w:t>
            </w:r>
            <w:r/>
          </w:p>
        </w:tc>
        <w:tc>
          <w:tcPr>
            <w:shd w:val="clear" w:color="auto" w:fill="auto"/>
            <w:tcW w:w="152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学生油画架</w:t>
            </w:r>
            <w:r/>
          </w:p>
        </w:tc>
        <w:tc>
          <w:tcPr>
            <w:shd w:val="clear" w:color="auto" w:fill="auto"/>
            <w:tcW w:w="152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6</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教师油画架</w:t>
            </w:r>
            <w:r/>
          </w:p>
        </w:tc>
        <w:tc>
          <w:tcPr>
            <w:shd w:val="clear" w:color="auto" w:fill="auto"/>
            <w:tcW w:w="152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五层室内水培架</w:t>
            </w:r>
            <w:r/>
          </w:p>
        </w:tc>
        <w:tc>
          <w:tcPr>
            <w:shd w:val="clear" w:color="auto" w:fill="auto"/>
            <w:tcW w:w="152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定制不锈钢种植箱</w:t>
            </w:r>
            <w:r/>
          </w:p>
        </w:tc>
        <w:tc>
          <w:tcPr>
            <w:shd w:val="clear" w:color="auto" w:fill="auto"/>
            <w:tcW w:w="152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智能桌面水培箱</w:t>
            </w:r>
            <w:r/>
          </w:p>
        </w:tc>
        <w:tc>
          <w:tcPr>
            <w:shd w:val="clear" w:color="auto" w:fill="auto"/>
            <w:tcW w:w="152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智慧微农场：轻量版</w:t>
            </w:r>
            <w:r/>
          </w:p>
        </w:tc>
        <w:tc>
          <w:tcPr>
            <w:shd w:val="clear" w:color="auto" w:fill="auto"/>
            <w:tcW w:w="152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智能种植柜控制系统</w:t>
            </w:r>
            <w:r/>
          </w:p>
        </w:tc>
        <w:tc>
          <w:tcPr>
            <w:shd w:val="clear" w:color="auto" w:fill="auto"/>
            <w:tcW w:w="152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育苗套装</w:t>
            </w:r>
            <w:r/>
          </w:p>
        </w:tc>
        <w:tc>
          <w:tcPr>
            <w:shd w:val="clear" w:color="auto" w:fill="auto"/>
            <w:tcW w:w="152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营养液（大瓶装）</w:t>
            </w:r>
            <w:r/>
          </w:p>
        </w:tc>
        <w:tc>
          <w:tcPr>
            <w:shd w:val="clear" w:color="auto" w:fill="auto"/>
            <w:tcW w:w="152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PHEC五合一水质检测笔</w:t>
            </w:r>
            <w:r/>
          </w:p>
        </w:tc>
        <w:tc>
          <w:tcPr>
            <w:shd w:val="clear" w:color="auto" w:fill="auto"/>
            <w:tcW w:w="152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中小学智慧微农场课程体系及教学材料</w:t>
            </w:r>
            <w:r/>
          </w:p>
        </w:tc>
        <w:tc>
          <w:tcPr>
            <w:shd w:val="clear" w:color="auto" w:fill="auto"/>
            <w:tcW w:w="152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吧台凳</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24</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背景墙石膏板基础</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14</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展示墙石膏板基础</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6</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挂板墙石膏板基础</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弧形墙面造型</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背景软木板</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14</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后墙软木板</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7</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展示软木板</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造型软木板</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后墙书写白板</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7</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人文书写白板</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创趣书写白板</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67</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展示书写白板</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后墙木质洞洞板</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7</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69</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科创木质洞洞板</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人文木质洞洞板</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71</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展示木质洞洞板</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7</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美术作品展示板</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73</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劳动工具展示板</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74</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劳动展示展示板</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人文钢制洞洞板</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窗户挂板</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6</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77</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侧墙挂板</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6</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展示钢制洞洞板</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79</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异型地台</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音乐小舞台</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81</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科学舞台</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82</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拆除及修复</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83</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健康照明灯</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24</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吊装字体</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85</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导轨条</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32</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86</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导轨灯</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32</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87</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吸顶平板灯</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12</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88</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智能面板</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89</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音乐符号灯</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星球灯</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91</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乐高墙</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92</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美术壁纸</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93</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科学墙布</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94</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定制木工板隔断</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95</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护墙板</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6</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96</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墙面装饰护墙板</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97</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图书管理柜</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6</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98</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美术展示柜</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99</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美术收纳柜</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双层柜体</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101</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多层展示柜</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102</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双层多面展示柜</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103</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石台面</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104</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铝合金木纹边框折叠窗</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105</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软包坐垫</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106</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文字贴图</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107</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小游戏贴图</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108</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强弱电改造</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198</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198</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109</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铝扣板吊顶</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90</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110</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铝板造型柱</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111</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树木造型柱</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112</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地面防腐木装饰</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57</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113</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AI陪伴机器人</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7</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114</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3D打印机</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115</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耗材</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8</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116</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数字素材展示屏</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117</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智慧门牌</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6</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118</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学生移动终端</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86</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119</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教师移动终端</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平板充电柜</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29</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121</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5口千兆POE交换机</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24</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122</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无线AP</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24</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123</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教室无线网络线缆及辅材</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124</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教室线路拆除和安装</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24</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125</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教室壁挂式扬声器套装</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7</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126</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教室无线领夹麦克风接收器</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7</w:t>
            </w:r>
            <w:r/>
          </w:p>
        </w:tc>
      </w:tr>
      <w:tr>
        <w:trPr/>
        <w:tc>
          <w:tcPr>
            <w:tcW w:w="680"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127</w:t>
            </w:r>
            <w:r/>
          </w:p>
        </w:tc>
        <w:tc>
          <w:tcPr>
            <w:tcW w:w="1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教室无线领夹麦克风</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21</w:t>
            </w:r>
            <w:r/>
          </w:p>
        </w:tc>
      </w:tr>
      <w:tr>
        <w:trPr/>
        <w:tc>
          <w:tcPr>
            <w:shd w:val="clear" w:color="auto" w:fill="auto"/>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128</w:t>
            </w:r>
            <w:r/>
          </w:p>
        </w:tc>
        <w:tc>
          <w:tcPr>
            <w:shd w:val="clear" w:color="auto" w:fill="auto"/>
            <w:tcW w:w="1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智能移动平板</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W w:w="1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152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r>
    </w:tbl>
    <w:p>
      <w:pPr>
        <w:ind w:firstLine="422"/>
        <w:keepLines w:val="0"/>
        <w:keepNext w:val="0"/>
        <w:pageBreakBefore w:val="0"/>
        <w:spacing w:line="360" w:lineRule="auto"/>
        <w:widowControl w:val="off"/>
        <w:rPr>
          <w:rFonts w:hint="eastAsia" w:cs="宋体" w:asciiTheme="minorEastAsia" w:hAnsiTheme="minorEastAsia" w:eastAsiaTheme="minorEastAsia"/>
          <w:b/>
          <w:bCs/>
          <w:color w:val="auto"/>
          <w:szCs w:val="21"/>
          <w:highlight w:val="none"/>
        </w:rPr>
        <w:outlineLvl w:val="1"/>
      </w:pPr>
      <w:r>
        <w:rPr>
          <w:rFonts w:hint="eastAsia" w:cs="黑体" w:asciiTheme="minorEastAsia" w:hAnsiTheme="minorEastAsia" w:eastAsiaTheme="minorEastAsia"/>
          <w:b/>
          <w:bCs/>
          <w:color w:val="auto"/>
          <w:szCs w:val="21"/>
          <w:highlight w:val="none"/>
        </w:rPr>
        <w:t xml:space="preserve">三、拟采购标的需要满足的技术、商务要求</w:t>
      </w:r>
      <w:r/>
    </w:p>
    <w:p>
      <w:pPr>
        <w:ind w:firstLine="422"/>
        <w:keepLines w:val="0"/>
        <w:keepNext w:val="0"/>
        <w:pageBreakBefore w:val="0"/>
        <w:spacing w:line="360" w:lineRule="auto"/>
        <w:widowControl w:val="off"/>
        <w:rPr>
          <w:rFonts w:hint="eastAsia" w:asciiTheme="minorEastAsia" w:hAnsiTheme="minorEastAsia" w:eastAsiaTheme="minorEastAsia"/>
          <w:b/>
          <w:bCs/>
          <w:color w:val="auto"/>
          <w:szCs w:val="21"/>
          <w:highlight w:val="none"/>
        </w:rPr>
        <w:outlineLvl w:val="1"/>
      </w:pPr>
      <w:r>
        <w:rPr>
          <w:rFonts w:hint="eastAsia" w:asciiTheme="minorEastAsia" w:hAnsiTheme="minorEastAsia" w:eastAsiaTheme="minorEastAsia"/>
          <w:b/>
          <w:bCs/>
          <w:color w:val="auto"/>
          <w:szCs w:val="21"/>
          <w:highlight w:val="none"/>
        </w:rPr>
        <w:t xml:space="preserve">（一）技术要求</w:t>
      </w:r>
      <w:r/>
    </w:p>
    <w:tbl>
      <w:tblPr>
        <w:tblStyle w:val="933"/>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1"/>
        <w:gridCol w:w="1179"/>
        <w:gridCol w:w="7475"/>
      </w:tblGrid>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序号</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设备名称</w:t>
            </w:r>
            <w:r/>
          </w:p>
        </w:tc>
        <w:tc>
          <w:tcPr>
            <w:tcW w:w="4046"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技术参数</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可移动讲台</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1、规格：≥1200*600*900mm；</w:t>
            </w:r>
            <w:r/>
          </w:p>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2、钢木结构；</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3、台面：采用≥12.7mm厚双面膜耐腐蚀实芯理化板制作，四角倒R15圆角。耐酸、耐碱、耐高温，坚固耐用，防潮、无细孔、不膨胀、不龟裂、不变形、不导电、便于维护及具有良好的承重性能；</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主框架采用≥50*50mm矩形管焊接而成，表面经酸洗磷化、纯环氧树脂塑粉高温固化处理，平整光滑，不允许有喷涂层脱落、鼓泡、凹陷、压痕以及表面划伤、麻点、裂痕、崩角和刃口等，切割、钻孔和倒角应去毛刺；</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柜身：柜身为悬柜，基材为≥16mm厚实验室专用环保生态板材制作，柜身可任意移出，便捷、灵活性强。可见截面均经过PVC封边；贴面和封边部件应严密、平整，不允许脱胶、鼓泡、凹陷、压痕以及表面划伤、麻点、裂痕、崩角和刃口，外表的圆角、倒棱应均匀一致；</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6、正前方设置可移动置物架，放置教案和教具；</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7、桌脚：采用静音医用万向轮。</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2</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学生午休课桌椅</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学生午休课桌  </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1、材质：采用三聚氰胺饰面板封边笔槽一次注塑成型；</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2、规格尺寸：≥宽600mm×深400mm×高18mm±2mm；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3、结构：圆形升降立柱设有可调节高度插孔，采用圆形插孔抱箍锁定升降孔位，外螺纹上盖及内旋螺纹下盖旋合锁紧即可实现高度调节，每孔间隔≤30mm，桌面高度范围：610mm-760mm；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4、材质：螺纹上下旋盖采用PP（聚丙烯）一体注塑成型，抱箍插销采用合金+聚丙烯PP一次注塑成型；</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5、调节高度：无需任何工具，插入圆形插孔抱箍锁定高度孔位，旋紧上下盖即可实现高度调节。 </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学生午休课椅</w:t>
            </w:r>
            <w:r/>
          </w:p>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1、靠背：材质：座板采用PP（聚丙烯）一次注塑成型。规格尺寸：≥宽438×高440mm±3mm（不含头枕）；</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2、椅座：材质：采用PP（ 聚丙烯）一体注塑成型，规格尺寸：≥宽410m×深415mm±3mm；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靠背支撑支架：采用环保PA尼龙复合材料一体注塑成型，双边垂直对称支撑靠背板，中间≥2道横梁连接，和背板通过螺丝锁付，为确保不同身高学生使用，支架具备预留孔位，实现靠背板≥60mm高度可调节范围；</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4、椅背角度调节：通过机械阻尼机构，可实现椅背分段缓冲调节角度；</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午休机置：午休椅背折叠机构支撑外壳、折叠锁定释放机构均采用环保PA尼龙复合材料一体注塑成型，为确保安全性能，不得采用高压气缸或气弹簧机构，需通过纯物理机械原理实现靠背在90-135度缓冲切换，从而实现午休功能。</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3</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书包柜</w:t>
            </w:r>
            <w:r/>
          </w:p>
        </w:tc>
        <w:tc>
          <w:tcPr>
            <w:tcW w:w="4046" w:type="pct"/>
            <w:vAlign w:val="top"/>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1、单柜规格：≥高315*宽320*深420mm（不含底座）；</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2、材质：全塑环保储物柜全部为ABS/改性HIPS及全新工程塑料制成，强度高、韧性好、耐冲击，不易腐蚀，无毒无味，环保耐用；</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3、工艺：采用针阀式热流道模具恒温、气辅注塑成型，全程自动化生产；采用注塑一次成型；</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4、安装方式：积木式模块化安装，简单快捷，安装时不用胶水粘结，不用任何螺丝，凹凸多向定位连接，产品不变形、不扭曲，牢固耐用，达到可重复拆装使用；</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5柜门拉手椭圆形防撬设计，在门反手位置采用多个90°角台阶形成阻挡板与门的正面形成阶梯状的防撬设计，门把手设有两个固定卡扣和一个弹力卡扣,在上机械锁或其他锁具时加强防盗功能；</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6、柜门拉手安装时正面的台阶需压在门板外表面上,两个固定卡扣和一个弹力卡扣需卡在门板背面固定板的对应卡槽内；</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防柜门脱落设计：柜门与柜体的连接采用上下同轴结构连接，门板的右上角设有一个可伸缩弹力门轴（规格：Ø8*26mm），按压后可卡入上下板门轴洞，此设计在门板拆卸时需从上到下依次从门轴洞按压插销后才可拆卸门，避免学生碰撞门板脱落砸伤或学生自行从柜内拆装柜门发生意外等风险；</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8、铰链防脱落设计：门板铰链采用单个一体铰链（规格：≥27.5*27*20mm）单个零件组成.铰链上设有五个U形格栅,与门板固定轴连接处设有8个卡扣点,与柜体侧板连接处设两个长9mm宽7.5mm的卡扣，通过10个卡点设计大幅减少门板发生碰撞时脱落风险；</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9、门板快速换装设计：出厂时铰链已安装在门板上，安装时只需朝柜体一侧转动铰链与柜体铰链卡槽进行扣紧就可完成安装，拆卸时无需把正门和副门分开后拆卸铰链，避免正副门拆卸时卡扣断裂影响开关门及正副门松动脱落砸伤风险。拆卸时需按压自动门轴后门板抬高柜门才可拆卸下来，避免外力推拉时门板脱漏砸伤学生；</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10、门板采用一体成型及大角度开合设计：出厂时门板为一体式，安装和拆卸时无需再拼装正副门，保证门板长期使用后的牢固性，门板表面采用平面设计，门板表面硬度等级达到3H以上，可有效防止日常使用刮擦，色彩自然绚丽，易清理，开合角采用120°角，开门时不占用太多通道空间。</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4</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定制展示边柜</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1、规格：≥5800*300*800mm；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2、材料：采用国标E0级多层板芯免漆板，柜体及门板厚度≥18mm；材料环保安全；板材具备硬度强，环境适应性强，防潮防湿，易清洁等优点。</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5</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定制收纳书柜</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1、规格：≥6200*400*1800mm；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2、材质：采用国标E0级免漆板；柜体及门板厚度≥18mm；软包采用高回弹海绵芯材，外包优质布艺饰面；</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3、颜色按采购人采购需求定制；</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4、层板顶部带造型。</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6</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定制榫卯结构互动装置</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1、产品尺寸≥32寸，宽高比例 16:9，面板规格类型 TFT-LCD，光源类型 WLED，亮度 ≥400cd/㎡，对比度 ≥1300：1，分辨率 1920*1080，可视角度 ≥178º（H）/178º(V)，使用寿命 ≥50000小时，CPU ≥12核24线程，内存 ≥16G，硬盘 ≥120G SSD；</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互动软件开发：榫卯结构互动软件开发，通过主动探索学习方式，引导学生学习榫卯的相关知识，软件展示了中国从古至今一致沿用的榫卯结构，和榫卯结构的独特效果，包含各种榫卯的名称、介绍、图解、结构等信息，介绍榫卯结构的总数不少于30种。</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7</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升降拼接桌</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1、规格：≥2030*1780*640~790mm；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台面：采用≥12.7mm厚双面膜耐腐蚀实芯理化板制作，表面使用特殊树脂处理，具有耐酸碱，耐刮磨、耐冲击、耐水、耐高温，易清洁保养等特点，台面加工采用CNC雕刻工艺，为确保安全，台面四角倒R20圆角,上下边沿倒R2圆角，避免划伤风险；</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yellow"/>
                <w:lang w:val="en-US" w:eastAsia="zh-CN"/>
              </w:rPr>
              <w:t xml:space="preserve">3、桌架：桌腿以铸铝浇注而成，壁厚不低于5 mm,内部合理布置加强筋，部件采用金属钣金连接固定，厚重沉稳，中间横梁则用铝型材作为主要材料；桌架部件一体成型，平滑无焊接，转弯处弧形圆滑，表面喷涂层光滑均匀，色彩一致，无流挂、疙瘩、皱皮，飞漆等缺陷；</w:t>
            </w:r>
            <w:r>
              <w:rPr>
                <w:rFonts w:hint="eastAsia" w:cs="宋体" w:asciiTheme="minorEastAsia" w:hAnsiTheme="minorEastAsia" w:eastAsiaTheme="minorEastAsia"/>
                <w:b w:val="0"/>
                <w:bCs/>
                <w:color w:val="auto"/>
                <w:szCs w:val="21"/>
                <w:highlight w:val="yellow"/>
                <w:lang w:val="en-US" w:eastAsia="zh-CN"/>
              </w:rPr>
              <w:br/>
            </w:r>
            <w:r>
              <w:rPr>
                <w:rFonts w:hint="eastAsia" w:cs="宋体" w:asciiTheme="minorEastAsia" w:hAnsiTheme="minorEastAsia" w:eastAsiaTheme="minorEastAsia"/>
                <w:b w:val="0"/>
                <w:bCs/>
                <w:color w:val="auto"/>
                <w:szCs w:val="21"/>
                <w:highlight w:val="yellow"/>
                <w:lang w:val="en-US" w:eastAsia="zh-CN"/>
              </w:rPr>
              <w:t xml:space="preserve">4、结构安全性：桌腿采用分段式设计，尺寸不低于550*90*627~777，组装后宽度是常规桌腿的两倍左右，结构稳固；台面采用镶嵌螺母工艺，采用不少于10颗不锈钢M6内六角螺丝和桌架紧固，相较于市面常用的自攻螺丝或胶粘方法更加稳固，持久，即便后期拆卸维修也不会对台面造成二次伤害；桌子用材及喷涂和安装工艺环保安全；</w:t>
            </w:r>
            <w:r>
              <w:rPr>
                <w:rFonts w:hint="eastAsia" w:cs="宋体" w:asciiTheme="minorEastAsia" w:hAnsiTheme="minorEastAsia" w:eastAsiaTheme="minorEastAsia"/>
                <w:b w:val="0"/>
                <w:bCs/>
                <w:color w:val="auto"/>
                <w:szCs w:val="21"/>
                <w:highlight w:val="yellow"/>
                <w:lang w:val="en-US" w:eastAsia="zh-CN"/>
              </w:rPr>
              <w:br/>
            </w:r>
            <w:r>
              <w:rPr>
                <w:rFonts w:hint="eastAsia" w:cs="宋体" w:asciiTheme="minorEastAsia" w:hAnsiTheme="minorEastAsia" w:eastAsiaTheme="minorEastAsia"/>
                <w:b w:val="0"/>
                <w:bCs/>
                <w:color w:val="auto"/>
                <w:szCs w:val="21"/>
                <w:highlight w:val="yellow"/>
                <w:lang w:val="en-US" w:eastAsia="zh-CN"/>
              </w:rPr>
              <w:t xml:space="preserve">5、升降：产品可以以每档30mm间距从640mm高度调至790mm高度，档位高度符合GB/T 3976-2014《学校课桌椅功能尺寸及技术要求》要求；桌腿以滑轮为实现升降功能的结构，搭配气弹簧和滑轮插销，使得升降操作简单，顺畅，采用定制气弹簧，长度325±2MM，行程150MM，采用液压和气压组合方式，活塞杆镀硬铬，使得升降更加平缓，均匀，耐用性更强；</w:t>
            </w:r>
            <w:r>
              <w:rPr>
                <w:rFonts w:hint="eastAsia" w:cs="宋体" w:asciiTheme="minorEastAsia" w:hAnsiTheme="minorEastAsia" w:eastAsiaTheme="minorEastAsia"/>
                <w:b w:val="0"/>
                <w:bCs/>
                <w:color w:val="auto"/>
                <w:szCs w:val="21"/>
                <w:highlight w:val="yellow"/>
                <w:lang w:val="en-US" w:eastAsia="zh-CN"/>
              </w:rPr>
              <w:br/>
            </w:r>
            <w:r>
              <w:rPr>
                <w:rFonts w:hint="eastAsia" w:cs="宋体" w:asciiTheme="minorEastAsia" w:hAnsiTheme="minorEastAsia" w:eastAsiaTheme="minorEastAsia"/>
                <w:b w:val="0"/>
                <w:bCs/>
                <w:color w:val="auto"/>
                <w:szCs w:val="21"/>
                <w:highlight w:val="none"/>
                <w:lang w:val="en-US" w:eastAsia="zh-CN"/>
              </w:rPr>
              <w:t xml:space="preserve">6、台面挡边：台面挡边采用铸铝工艺，拼缝少且小，两头无需装饰收口盖，较传统挡水更加美观，整体，品质升级；挡水和台面采用螺丝紧固的方式，抗冲击性强，更加牢固耐用，表面采用高温静电粉末喷涂的处理工艺，漆面坚硬，环保安全；</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凳子挂架：桌架横梁下配置凳子挂架，挂架采用一体式设计方案，既解决了凳子的收纳问题，便于打扫卫生，又增强了桌架结构的稳定性；挂架采用不低于4MM厚冷轧碳素钢板，承重强，不易变形，挂板倾斜式设计，桌子有轻微晃动，凳子也不易滑落，确保安全，稳固；</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8、置物挂钩：桌架两侧配置隐蔽式书包挂钩，内置反弹机构，需要时拉出，不用时可自动归位，美观，安全，避免了外置挂钩的安全隐患问题；挂钩采用不低于5 mm厚冷轧碳素钢板，承重强，不易变形，表面采用高温静电粉末喷涂的处理工艺，漆面坚硬，环保安全。</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8</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学生椅</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1、规格尺寸：≥469*582*837mm；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2、材质及工艺：</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（1）靠背：尺寸≥354*345*89mm，PP+GF增强PP材料原料一体成型，轻盈，简洁，靠背有小幅度倾斜设计，有效缓解疲劳；有害物质邻苯二甲酸酯符合 GB/T 32487-2016 《塑料家具通用技术条件》中的限量要求；</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（2）靠背橡胶件：靠背与座板的衔接橡胶件，可以起到靠背前后软性调节，使靠背能够沿着固定支撑的位置前后翘动，缓冲人体腰部、背部肌肉压力，符合人体工程学设计原理；</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座板：尺寸≥405*430*57mm，PP+GF增强PP材料原料一体成型，底部连接处有橡胶垫有效缓冲，坐感舒适度；靠背与坐面采用镂空设计增加透气性，降低椅子自重，同样缓冲人体背部及臀部肌肉压力；有害物质邻苯二甲酸酯符合 GB/T 32487-2016 《塑料家具通用技术条件》中的限量要求；</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（4）靠背后呣锺盖板：PP+GF增强PP材料原料一体成型，用数控折弯成型的定制管衔接靠背与座板，结构稳固，材质、色彩与座椅整体统一；有害物质邻苯二甲酸酯符合 GB/T 32487-2016 《塑料家具通用技术条件》中的限量要求；</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（5）座板后盖板：PP+GF增强PP材料原料一体成型，用数控折弯成型的定制管衔接座板与支撑弯管椅腿，确保衔接处结构稳固，不暴露螺孔与接驳面，美观大方；有害物质邻苯二甲酸酯符合 GB/T 32487-2016 《塑料家具通用技术条件》中的限量要求；</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（6）座板橡胶件：座板与椅腿的衔接橡胶件，可以起到座板前后软性调节，使座板能够沿着固定支撑的位置前后翘动，缓冲人体臀部肌肉压力；</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（7）衔接靠背与座板以及椅腿的钢管20*30 管壁厚1.5mm喷涂支架，一体加热弯折成型，金属质感，整体更轻盈，稳固性强支撑更稳定； </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（8）椅腿护套：椅腿弯折位置，以及椅腿4个顶端，包覆6个PP材质护套，静音防滑，保护椅腿主体结构稳定。</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9</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定制边柜</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1、规格：≥8400*450*900mm；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2、材质：柜体及台面级采用国标E0级免漆板，柜体及门板厚度≥18mm；桌子搭配金属框架，结构稳固；表面静电粉末喷涂处理，漆面平滑坚硬，不易脱落；</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3、五金：拖柜配置静音滑轮，移动方便；柜内配置优质ABS工程塑料收纳盒。</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10</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工程技术桌</w:t>
            </w:r>
            <w:r/>
          </w:p>
        </w:tc>
        <w:tc>
          <w:tcPr>
            <w:tcW w:w="4046" w:type="pct"/>
            <w:vAlign w:val="top"/>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1、规格：≥2400*1200*800mm；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台面：采用北美进口白蜡木实木制作，硬度及平整度高，抗冲击和耐磨性强，不易开裂变形，表面经脱水、脱胶、防腐、防虫化学处理，木材保持8%～17%的含水量，表面无贯穿裂纹、缺口、虫蛀，树脂囊，节子，木纹纹理自然，纹理图案应对称，颜色相似，表面洁净无污染；表面经反复打磨，涂刷优质天然木蜡油，不含甲醛，环保安全，即使日常有磕碰也容易修补；</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3、桌架：桌腿采用分段式设计，尺寸≥550*90*627*777，组装后宽度是常规桌腿的两倍左</w:t>
            </w:r>
            <w:r>
              <w:rPr>
                <w:rFonts w:hint="eastAsia" w:cs="宋体" w:asciiTheme="minorEastAsia" w:hAnsiTheme="minorEastAsia" w:eastAsiaTheme="minorEastAsia"/>
                <w:b w:val="0"/>
                <w:bCs/>
                <w:color w:val="auto"/>
                <w:szCs w:val="21"/>
                <w:highlight w:val="none"/>
                <w:lang w:val="en-US" w:eastAsia="zh-CN"/>
              </w:rPr>
              <w:t xml:space="preserve">右，结构稳固；桌腿以铸铝浇注而成，壁厚5MM,内部合理布置加强筋，部件采用金属钣金连接固定，厚重沉稳，中间横梁则用铝型材作为主要材料；桌架采用高温静电粉末喷涂的表面处理工艺，涂层光滑均匀，色泽一致，无流挂、疙瘩、皱皮，飞漆等缺陷，硬度高，耐冲击强、耐腐蚀，外观和理化性能符合GB/T 24820-2024 《实验室家具通用技术条件要求》标准；桌架所有部件边沿倒角皆大于1MM，采用金属紧固件紧密连接，结构稳固性强，产品的结构安全性、力学性能符合GB/T 24820-2024 《实验室家具通用技术条件要求》标准；</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4、升降：产品可以以每档30mm间距从640mm高度调至790mm高度（底部放置收纳柜体后升降高度只能调760~790mm两档），档位高度符合GB/T 3976-2014《中小学课桌椅高度》要求；桌腿以滑轮为实现升降功能的结构，搭配气弹簧和滑轮插销，使得升降操作简单，顺畅，采用定制气弹簧，长度325±2MM，行程150MM，采用液压和气压组合方式，活塞杆镀硬铬，使得升降更加平缓，均匀，耐用性更强；</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置物挂钩：桌架两侧配置隐蔽式书包挂钩，内置反弹机构，需要时拉出，不用时可自动归位，美观，安全，避免了外置挂钩的安全隐患问题；挂钩采用≥5mm厚冷轧碳素钢板，承重强，不易变形；表面采用高温静电粉末喷涂的处理工艺，漆面坚硬，环保安全；</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6、柜体采用E0级多层板芯免漆板，同色PVC封边，柜内配合工具收纳盒，柜门采用优质阻尼铰链。</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11</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学生升降凳</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1、规格：≥Φ490*415-515mm；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2、凳面采用双色注塑工艺：底层为增强改性聚丙烯（PP），表层为热塑性弹性体（TPE）；内部与气压杆连接处采用定制金属缸套嵌件一体注塑成型；</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3、连接结构：增强尼龙注塑件+30 mm金属内衬，内径≥28 mm（±3mm），接触面均为金属材质，热膨胀系数匹配，确保结构稳固；</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4、锥型凳杆装饰筒采用增强改性PP注塑成型；</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5、凳杆气泵：气弹簧符合 GBIT 29525-2013《座椅升降气弹簧技术条件》中耐高低温性能、循环寿命技术要求。</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12</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智能吊装电网系统-控制柜</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1、尺寸：≥400*500*150mm；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2、屏幕尺寸≥10英寸；</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3、支持触摸控制；</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4、支持独立或编组调整学生电源低压电输出；</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5、支持控制学生220V电源通断电；</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6、支持授权学生自主调节低压电输出；</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7、支持控制学生终端升降。</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13</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智能吊装电网系统</w:t>
            </w:r>
            <w:r/>
          </w:p>
        </w:tc>
        <w:tc>
          <w:tcPr>
            <w:tcW w:w="4046" w:type="pct"/>
            <w:vAlign w:val="top"/>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1、可升降电源由显示屏、可开合壳体（内置开关面板）等零部件组成，当开关面板闭合时，学生无法接触到电源插口；</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2、触控显示屏</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（1）形状尺寸：圆形，与设备造型协调统一，尺寸：≥2英寸；</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（2）屏幕分辨率：≥480*480；</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（3）支持控制低压电源数值，支持实时显示学生电源输出电压、电流及功率；</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3、内置开关面板</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（1）结构：触控设计，使用时触控开关流畅打开；</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（2）插座：220V 5孔插座≥4组；</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（3）低压直流电源接口：输出范围，DC1.5V-32V，分辨率0.1V，误差不超过+/-（U标*2%+0.1），可显示设定数值；</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（4）低压交流电源接口：输出范围，AC2V-24V，分辨率0.1V，误差不超过+/-（U标*5%+0.3），可显示设定数值；</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（5）网络电源接口：≥2个，传输速率≥100M；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（6）USB供电口：≥4个，单路及4路总电流≤2A；</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4、可开合壳体</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（1）壳体使用ABS材质，纺锤形流线设计，外观典雅，富有科技感；</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（2）壳体可开合，所有接口（电源接口、网线接口）均设置在壳体内部，升起及收纳状态下接口内置，防尘防短路；</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壳体设置电磁铁，通过触摸方式打开，在相对地面垂直状态下可自然滑动打开，无需外力拉拽，教师可通过控制终端一键控制学生端电磁铁锁定，锁定状态下壳体无法打开，防止学生在非教师授权下操作电源，造成危险；</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（4）壳体四周设置不少于6个接线槽，可将接入的设备线材分类引出，防止在桌面出现缠绕现象。</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5、顶部升降装置</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（1）顶部升降装置由电机、传感器等零部件组成；</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（2）尺寸：≤500*250*500mm；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（3）电机：支持正反转，支持断电锁停；</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（4）传感器：通过感应开关控制上升限位；</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（5）材质：金属加塑料材质；</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（6）可升降高度：≥2800mm；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（7）最小调节区间≤100mm；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（8）支持教师端统一控制单个或多个终端进行升降，支持不同终端处于不同高度。</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6、升降线材</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（1）升降线材由一根扁平状外部主绕线和8根内布线组成，内部布线通过抱箍卡环等方式固定在主线内，升降运动时内部线材不易发生位移和缠绕，防止出现磨损和拉扯；</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（2）内部布线设置不低于以下种类和数量：</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   ①220V供电线*3根（火线、地线、零线）</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   ②24V低压供电线*2根</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   ③升降信号线*2根</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   ④8芯网线*1根</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（3）内线与终端主板接口部位需设置防位移抱箍卡环，当设备升降运动或发生旋转时，各内线接口处均不受升降、旋转外力影响，防止出现短路及接触不良现象。</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7、急停装置直连空气开关，可以稳定、安全、迅速的停止学生电源供电。</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8、供电线材采用扁形线材，防止供电线在升降过程中缠绕、大幅降低升降过程中晃动。</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9、通过感应开关控制上升限位，避免因上升过限而产生安全隐患。</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10、所有接口均为内嵌式设计，电源板闭合情况下，触碰不到任何接口及开关。</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11、当接入功率＞1100W时开启过载保护，直接关停电源输出，通过电笔检测将为不带电状态。总控屏幕同步跳出危险警报界面，确认过载设备已拔出后，可解除过载保护状态。</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▲12.外壳防护等级：满足《GB/T 4208-2017 外壳防护等级（IP代码）》中对IP20的要求。（提供第三方检测机构出具检测报告扫描件或复印件）</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14</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定制洞洞板展示柜</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1、规格：长度≥7142*1800mm；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2、材质：边框及基层采用优质木板，洞洞板采用优质冷轧钢板，表面静电粉末喷涂处理，漆面平滑坚硬，不易脱落。</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15</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折叠展示架</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1、规格尺寸：单扇≥650*1550mm（4扇）；</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2、层板材质：实木；</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3、层数：2层；</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4、底部带滑轮带底板，折叠展示架4块；</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5、网格尺寸：≥600*1200mm；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6、配件：含≥40个夹子，≥20个挂钩。</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16</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异型涂鸦桌</w:t>
            </w:r>
            <w:r/>
          </w:p>
        </w:tc>
        <w:tc>
          <w:tcPr>
            <w:tcW w:w="4046" w:type="pct"/>
            <w:vAlign w:val="top"/>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1、规格：尺寸：≥长1650*宽1140高750mm；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2、材质：桌面采用搪瓷白板，采用高温烧结搪瓷工艺，板面为哑光白色，无反光，不刺眼；</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（1）硬度：硬度9H，耐刮擦、耐磨耗，长期书写不易留痕、不脱层，使用寿命远超普通烤漆白板；</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（2）书写性能：支持白板笔书写，易擦除、无残留，可反复书写数万次，无笔迹残留、无 “鬼影”；</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（3）基材采用E0级环保密度板，满足以下技术指标：</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（4）环保性能：游离甲醛释放量 ≤ 0.050 mg/m³；总挥发性有机化合物（TVOC）≤ 85μg/m³；苯、甲苯未检出（检出限符合GB/T 18883-2022标准）；</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（5）理化性能：密度 ≥ 0.60 g/cm³，板内密度偏差范围 ±3.4%；含水率 5%~9%；</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（6）板面握钉力≥1180 N，板边握钉力 ≥ 1100 N；表面胶合强度 ≥ 1.1 MPa，内胶合强度 ≥ 0.30 MPa；2h吸水厚度膨胀率 ≤ 8%；</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（7）静曲强度≥11MPa，弹性模量 ≥ 2100 MPa。</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3、封边：采用高温喷射固化技术，防水，边缘光滑。            </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4、桌架：</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（1）钢制桌架支撑，支撑性和承重性强，厚实稳固；</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（2）材质：采用25*50mm，壁厚不小于 1.5mm 厚的钢管；桌腿采用直径38mm的圆管；</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（3）处理工艺：表面采用酸洗磷化进行除油除锈防化处理后用环保型粉静电喷塑处理，以保证粉末与桌架良好结合，钢架整体承重不小于250公斤；</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（4）调节脚：采用万向尼龙或ABS或固定塑胶桌脚脚垫，防滑耐磨，对pvc地板无伤害 。</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17</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三角注塑椅（大）</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1、规格：≥宽535*深575*高780（座高460）±5mm；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2、工艺 整体PP（聚丙烯）一体注塑成型；</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3、外观 座面：三角形边长≥350mm±5mm。中间內凹造型；</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4、椅腿：三腿支撑，椅背带圆形提手孔。</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18</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定制作品展示柜</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1.规格：≥1800*800*950mm；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2、材质：实木；</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3、采用优质木制工艺，具有储藏和展示功能；绿色环保，稳固结实。</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19</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定制室外阅读座</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1、规格：≥5000*400*900mm；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2、材质：采用国标E0级免漆板，柜体及门板厚度≥18mm；软包采用高回弹海绵芯材，外包优质布艺饰面；</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3、颜色按采购人采购需求定制。</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20</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定制可移动屏风</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1、规格尺寸：≥1200*1800mm；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2、单扇座屏，具有分隔，装饰美化，挡风，协调的功能；</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3、外框采用优质松木制作，坚固耐用，纹路自然，久用不变形；</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4、布面工艺采用环保写真油画布；</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5、底座结构稳固牢靠，不易倾倒，不易变形。</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21</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定制软包沙发</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1、规格：≥9450*360*360mm；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2、材质：棉布面料；</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3、承重：≤150千克；</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4、形状：长方体；</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5、采用环保面料，甲醛释放量≤0.5mg/L，结实耐磨。</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22</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定制储物边柜一</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1、规格：≥6100*400*900mm；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2、材料：采用国标E0级多层板芯免漆板，柜体及门板厚度≥18mm；材料环保安全；板材具备硬度强，环境适应性强，防潮防湿，易清洁等优点；</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3、铰链：柜门采用优质静音阻尼铰链（二段缓冲+三维调节+防腐防锈，高强承重，十万次开合测试）。</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23</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定制储物边柜二</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1、规格：≥7000*400*900mm；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2、材料：采用国标E0级多层板芯免漆板，柜体及门板厚度≥18mm；材料环保安全；板材具备硬度强，环境适应性强，防潮防湿，易清洁等优点；</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3、铰链：柜门采用优质静音阻尼铰链（二段缓冲+三维调节+防腐防锈，高强承重，十万次开合测试）。</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24</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合唱台</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1、规格：≥1200*1300*750mm；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2、材质：采用优质实木，环保，安全;木质坚韧，结构稳固；具有耐磨.耐压.耐撞击等优点；中间金属架支撑，结构稳固；</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3、功能：底部配置滑轮，方便移动收纳；两边配置金属桅杆，安全稳固。</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25</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定制收纳边柜一</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1、规格：≥6100*450*900mm；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2、材质：柜体及台面级采用国标E0级免漆板，柜体及门板厚度≥18mm；桌子搭配金属框架，结构稳固；表面静电粉末喷涂处理，漆面平滑坚硬，不易脱落；</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3、五金：拖柜配置静音滑轮，移动方便；柜内配置优质ABS工程塑料收纳盒。</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26</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定制收纳边柜二</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1、规格：≥5000*450*900mm；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2、材质：柜体及台面级采用国标E0级免漆板，柜体及门板厚度≥18mm；桌子搭配金属框架，结构稳固；表面静电粉末喷涂处理，漆面平滑坚硬，不易脱落；</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3、五金：拖柜配置静音滑轮，移动方便；柜内配置优质ABS工程塑料收纳盒。</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27</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多功能柜</w:t>
            </w:r>
            <w:r/>
          </w:p>
        </w:tc>
        <w:tc>
          <w:tcPr>
            <w:tcW w:w="4046" w:type="pct"/>
            <w:vAlign w:val="top"/>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1、规格：≥2000*1045*780/1045*640*1780mm；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功能：一款可升降多功能桌，常规模式是一个结构稳固的操作台，升起即变身收纳展示柜，底部配置重型福马轮，移动方便，可优化空间功能，实现空间的灵活利用；桌架两边配置常用工具收纳空间，底部搭配活动工具柜，一站式解决操作和工具材料收纳需求；</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3、材料：主体结构采用红橡木实木制作，硬度及</w:t>
            </w:r>
            <w:r>
              <w:rPr>
                <w:rFonts w:hint="eastAsia" w:cs="宋体" w:asciiTheme="minorEastAsia" w:hAnsiTheme="minorEastAsia" w:eastAsiaTheme="minorEastAsia"/>
                <w:b w:val="0"/>
                <w:bCs/>
                <w:color w:val="auto"/>
                <w:szCs w:val="21"/>
                <w:highlight w:val="none"/>
                <w:lang w:val="en-US" w:eastAsia="zh-CN"/>
              </w:rPr>
              <w:t xml:space="preserve">平整度高，抗冲击和耐磨性强，不易开裂变形，木材硬度根据GB/T 1927.19-2021《无疵小试样木材物理力学性质试验方法 第19部分：硬度测定》检测方法，端面硬度达到6453N;木材握钉力根据GB/T 1927.21-2022《无疵小试样木材物理力学性质试验方法第 21部分：握钉力测定》检测方法，径面握钉力达到30.7N;表面经脱水、脱胶、防腐、防虫化学处理，木材含水率根据GB/T 1927.4-2021《无疵小试样木材物理力学性质试验方法 第4部分：含水率测定》检测方法，含水率为9.2%；表面经反复打</w:t>
            </w:r>
            <w:r>
              <w:rPr>
                <w:rFonts w:hint="eastAsia" w:cs="宋体" w:asciiTheme="minorEastAsia" w:hAnsiTheme="minorEastAsia" w:eastAsiaTheme="minorEastAsia"/>
                <w:b w:val="0"/>
                <w:bCs/>
                <w:color w:val="auto"/>
                <w:szCs w:val="21"/>
                <w:highlight w:val="none"/>
                <w:lang w:val="en-US" w:eastAsia="zh-CN"/>
              </w:rPr>
              <w:t xml:space="preserve">磨，涂刷优质天然木蜡油，环保安全，即使日常有磕碰也容易修补，甲醛释放量根据GB/T 39600-2021《人造板及其制品甲醛释放量分级》的检测方法，达到E0级；木材表面纹理自然，颜色相似，表面洁净无划痕、色差、鼓包，无贯通裂缝、缺口、虫蛀，树脂囊，节子，木材外观符合GB/T 24820-2024《实验室家具通用技术条件》标准；工具挂板采用1.2厚冷轧钢板，表面高温静电粉末喷涂工艺，喷涂层光滑均匀，色彩一致，无流挂、疙瘩、皱皮，飞漆等缺陷，外观符合GB/T 24820-2024《实验室家具通用技术条件》标准；</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▲4、需符合GB/T 24820-2024《实验室家具通用技术条件》中对表面金属喷漆涂层“硬度、冲击强度、耐腐蚀、附着力”的要求，判定结果为符合；（提供第三方检测机构出具检测报告扫描件或复印件）</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5、结构安全性：主体结构采用传统榫卯结构搭配现代紧固件的方式，确保结构稳固，长时间使用也不易晃动，力学性能符合GB/T</w:t>
            </w:r>
            <w:r>
              <w:rPr>
                <w:rFonts w:hint="eastAsia" w:cs="宋体" w:asciiTheme="minorEastAsia" w:hAnsiTheme="minorEastAsia" w:eastAsiaTheme="minorEastAsia"/>
                <w:b w:val="0"/>
                <w:bCs/>
                <w:color w:val="auto"/>
                <w:szCs w:val="21"/>
                <w:highlight w:val="none"/>
                <w:lang w:val="en-US" w:eastAsia="zh-CN"/>
              </w:rPr>
              <w:t xml:space="preserve"> 24820-2024《实验室家具通用技术条件》标准。考虑到台面边角容易碰损，每块台面两侧安装实心5052铝板（500 mm × 25 mm × 25 mm），共8块，5052铝材硬度高，经CNC加工而成，喷砂并阳极氧化的表面处理方式，不仅耐磨而且美观，所有外露边角倒角大于1.5mm，无安全隐患，镭射雕刻的方式来制作标尺，不仅清晰且不易脱落,洞洞板单孔径大小15mm*5mm，防止夹手;桌架所有部件边沿倒角皆大于1mm，无锐边、锐角，结构安全性符合GB/T 24820-2024《实验室家具通用技术条件》标准；</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6、福马轮：为保证产品的稳定性和方便移动，桌脚配置GB-60F重型福马轮，360度万向转动，超高单轮承重250kg，安装高度92mm，水平可调10mm 加宽轮面的设计，移动时稳定性高；</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7、其他：为保证升降过程的稳定性，容易操作，以及安全性，桌架两侧各配置一个气弹簧。</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28</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美术收纳柜</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1、规格：≥1200*400*900mm；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2、优质面板E0级MFC板，含水率在6%-8%；</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3、整体板面正负误差在0.5mm以内，密度为0.85K/cm3，甲醛释放量≤0.5mg/L，含收纳盒。</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29</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教师课堂展示台</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1、规格：≥600*1000*600mm，下带柜子，对开门，可制动脚轮；</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2、带背板，背板与底板成100度角，接缝无开裂，表面平整光滑无毛刺；</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3、材质：使用环保板材；                                            4、颜色：可定制浅色或木本色。</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30</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卡巴萨</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1、尺寸规格：大号，筒体直径约10cm，总长（含手柄）约22cm；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2、材质结构：实木筒身 +12 排不锈钢珠链，一体式实木手柄，坚固耐摔、不易掉珠。</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31</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邦戈鼓</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1、尺寸规格：7 寸（高音，直径约 18cm）+9 寸（低音，直径约 23cm）；深木色，连体式设计；</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2、材质结构：同材质实木鼓腔，水牛皮鼓皮，黑色金属框 + 调音螺栓，木质连接桥。</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32</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卡宏鼓</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1、尺寸规格：310×300×480mm；酷黑色电箱款，带前置拾音模块与 6.35mm 输出接口；</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2、材质结构：胡桃木拍面（耐磨抗造）+椴木鼓腔（共鸣强）；内置可调节军鼓响弦，带开关旋钮，可切换纯木箱 / 带响弦两种音色。</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33</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空灵鼓</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1、尺寸规格：13 寸（直径约 33cm），15 音 D 调，莲花造型，斑点绿环保烤漆；</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2、材质结构：升级碳钢材质，一体成型鼓腔，音舌精密切割，边缘圆润防刮，配编织保护圈。</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34</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手指沙蛋</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1、尺寸规格：直径约5cm，指环式设计，弹性绑带适配不同手指粗细；黑色、灰色两款可选。</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2、材质结构：高韧塑料外壳（轻便耐摔），内置精细沙粒；人体工学弧度，佩戴稳固不硌手，不影响演奏其他乐器（如卡宏鼓、吉他）。</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35</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藏族热巴鼓</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1、尺寸：鼓面直径30cm（成人款），总长约56cm（含手柄）；</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2、材质：手工黑牛皮鼓面，实木鼓框 + 实木手柄。</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36</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卡林巴</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1、音域与结构：34 音双层 C 调（下层 17 音 + 上层 17 半音），覆盖超 3 个八度，含完整半音，可弹复杂曲目；</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2、材质与工艺：北美胡桃木实木琴身（单板共振好），升级碳钢琴键（防锈、音色亮），边缘圆润打磨。</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37</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雅马哈电钢琴</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1、键盘手感：88 键 GHS 渐层式锤感键盘，低音重、高音轻，4 级力度可调；</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2、音色音源：AWM 立体声采样，10 种音色，64 复音，4 种混响；</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3、扬声器功率：双 6W（12cm×2）立体声扬声器，音色清晰饱满；</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4、尺寸重量：1326×295×154mm，约 11.5kg，便携轻薄；</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5、接口供电：USB</w:t>
            </w:r>
            <w:r>
              <w:rPr>
                <w:rFonts w:hint="eastAsia" w:cs="宋体" w:asciiTheme="minorEastAsia" w:hAnsiTheme="minorEastAsia" w:eastAsiaTheme="minorEastAsia"/>
                <w:b w:val="0"/>
                <w:bCs/>
                <w:color w:val="auto"/>
                <w:szCs w:val="21"/>
                <w:highlight w:val="none"/>
                <w:lang w:val="en-US" w:eastAsia="zh-CN"/>
              </w:rPr>
              <w:noBreakHyphen/>
            </w:r>
            <w:r>
              <w:rPr>
                <w:rFonts w:hint="eastAsia" w:cs="宋体" w:asciiTheme="minorEastAsia" w:hAnsiTheme="minorEastAsia" w:eastAsiaTheme="minorEastAsia"/>
                <w:b w:val="0"/>
                <w:bCs/>
                <w:color w:val="auto"/>
                <w:szCs w:val="21"/>
                <w:highlight w:val="none"/>
                <w:lang w:val="en-US" w:eastAsia="zh-CN"/>
              </w:rPr>
              <w:t xml:space="preserve">MIDI、耳机 / 延音踏板接口，DC12V 供电；</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6、配套便携X架。</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38</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雅马哈电贝司</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1、弦长与结构：5 弦、34 英寸（863.6mm）标准弦长；琴体为桃花心木实木，琴颈5 拼枫木 + 桃花心木，24 品，玫瑰木指板；</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2、拾音与电路：前后双陶瓷双线圈拾音器；主动 2 段 EQ（高低音）+ 5 档 Performance EQ 预设，带降噪设计；</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3、硬件规格：上弦枕宽43mm，压铸高 Mass 琴桥（弦距 18mm），封闭式镀铬弦钮。</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39</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葫芦丝</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1、调性与结构：降 B 调三音葫芦丝（主管 + 两副管），标准 7 孔，音域低音 5～高音 6；全乌木管体 + 实木葫芦，白铜梅花扣加固；</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2、材质与配件：乌木主管 / 副管、仿牛角吹嘴、白铜金属件；配专用硬壳包、专业鼓棒、中国结挂饰、教材，考级演奏套装。</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40</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口琴</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1、结构与尺寸：24 孔复音、C 调（常用）；超薄纤薄设计，尺寸约 182×30×23mm，重量约 160g，吹嘴顺滑、八度吹奏；</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2、材质配置：全铜镀铬银色盖板、透明树脂琴格、磷青铜簧片，座板二次冲压；</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41</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口风琴</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1、键盘与音域：37 键，完整 3 个八度，音域 F3～F6；</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2、尺寸与重量：约 483×104×49mm，重约 780–790g；配原装硬盒、吹管；</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3、音色与气密性：黄铜簧片带防腐涂层，音色明亮饱满、发音灵敏；无缝橡胶密封防漏气，按键独立弹簧 + 防震导向。</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42</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晾纸架</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1、规格：≥900*400*900mm；                                             2、材质：柜子整体采用E0级≥16mm厚MFC板，PVC同色封边；</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3、网格层板：≥30*30*Φ4圆钢网格，四周为≥Φ8实心圆钢筋；</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4、带踢脚线。</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43</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储物柜</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1、规格：≥800*400*900mm；                                            2、材质：敞格框体≥16mm厚MFC板，含2块层板；</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3、柜脚：5公分铝合金调节脚。</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44</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学生油画架</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1、规格尺寸:≥400*400*1500mm，可调节高度到1900mm；                       2、材质：榉木材质，落地画架，可以升降，带抽屉可收纳，方便携带。</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45</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教师油画架</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1、规格尺寸：≥430*500*1350mm，最高可伸长至220cm ，宽度不限；                                                                2、材质：榉木材质，平立两用落地画架；                                    3、可以升降，平放，倾斜（调节任意角度），还可以折叠，方便携带。带万向轮，方便在室内移动，前面两个轮子带刹车，可以锁死。</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46</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五层室内水培架</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1、产品尺寸:≥770*400*1700mm；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2、产品质量:≥30kg；</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3、额定电压:220V；</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4、架层数量:5 层；</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5、育苗孔位:85 孔，定植孔位:72 孔；</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6、平均耗电:种菜1.8度/天；育苗0.4度/天；</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7、营养液箱容量:40L；</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8、光源:LED 全光谱冷光源；</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9、控制模式:控制面板；</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10、可种植物: 高度不超过 20cm 的蔬菜、水果、花卉。</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47</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定制不锈钢种植箱</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1、规格尺寸：≥1200*300*800mm，二层架子；                           2、材质：不锈钢。</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48</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智能桌面水培箱</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1、种植篮*12，- 种植棉*12，育苗罩*12；</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2、肥料A,肥料B；</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3、输入电压:12（V）；</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4、LED灯珠颗数:139；</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5、光通量:2340（lm）；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6、灯具光效:130（lm/W）；</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7、防护等级:IP42；</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8、尺寸:≥404*194*174mm。</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49</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智慧微农场：轻量版</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1、尺寸（长*宽*高）：≥480 * 470 * 960mm；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2、用电量：1~2.5度/天（视外界环境）；</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3、通信方式：Wi-Fi 2.4G；</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4、温度控制：0~30℃ （可自动调节）；</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5、传感器：温度、湿度、光照度、PH值、EC值、水温、水位、CO2、PM2.5、PM1.0、甲醛、TVOC等；</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6、植物照明：白光、红光、蓝光，PWM调节亮度及波长（自动）；</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7、水循环：2.5L / 分钟；</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8、空气循环：0.5m3 / 分钟；</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9、摄像头：1个，1080P；</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10、柜门：电磁感应门（监测开关状态）；</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11、种植层数：3层，每层20个定植孔，最多可同时种植60株；</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12、智能类型：远程控制 ｜全自动种植流程；</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13、支持开放API接口：Restful HTTP。</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50</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智能种植柜控制系统</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1、支持中英文切换；</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2、支持查看种植状态:包括品种、种植时间、肥料循环次数等；</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3、支持查看设备状态:包括网络状态、照明状态、摄像头状态、柜门状态、风扇状态、水泵状态；</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4、支持查看环境状态:包括温度、湿度、光照度、PH值、EC值、水温、水位、CO2、PM2.5、甲醛、TVOC等；</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5、支持一键下发种植程序：Vegetable-蔬菜、Flower-花卉、Fruit-水果；</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6、支持远程控制：包括照明、风扇、水循环、制冷；</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7、支持光谱亮度调节：包括白光、红光、蓝光；</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8、支持本地中控屏控制、移动端远程控制等多种控制方式。</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51</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育苗套装</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1、育苗托盘 * 1；</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2、海绵或基质+育苗漂盘 * 1；</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3、小宝石生菜种子 * 100；</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4、刻度容器 * 1；</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5、工具（镊子、小勺、搅拌棒） * 1；</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6、定植篮 * 100；</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7、遮光盖 * 200；</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8、营养(蓝)粉 * 1；</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9、水溶硝酸钙 * 1。</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52</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营养液（大瓶装）</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1、贮存条件：阴凉、避光；</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2、容量：A、B液各500ml；</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3、适用对象：叶菜类；</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4、兑水比例：育苗期（三四片叶子）：兑水比例：1:1000，EC值600-1000；生长期（移植到设备后）：兑水比例：1:500，EC值1000-1500；成熟期（采摘前一周）：兑水比例：1:3000，EC值1300-1800。</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53</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PHEC五合一水质检测笔</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1、检测项目：酸碱度（PH）、EC、TDS、盐度；</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2、分辨率：PH:0.01ph，EC:1us/cm，TDS:1ppm，海水盐:1ppm，食用盐:0.01%；</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3、检测范围：PH:0.00-14.00pH，EC:0-10000us/cm，TDS:0-1000ppm,海水盐:0-10000ppm，食用油:0.01-25%,温度:0.1-60℃；</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4、温度精度：PH:0.05ph,TDS&amp;EC:±2% ,SALT:±1%。</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54</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中小学智慧微农场课程体系及教学材料</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1、育苗实验、植物生命周期、温度与光照实验、水肥实验、物联网基础、传感器入门、大数据初探、人工智能简介。</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55</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吧台凳</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1、规格：370*370*530mm；                                              2、凳身材质：采用高弹海绵芯材，外包优质布艺饰面；</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3、凳腿材质：用优质实木，环保，安全;木质坚韧，结构稳固；具有耐磨、耐压、耐撞击等优点。</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56</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背景墙石膏板基础</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1、规格：1700*1200*100mm（±100mm）；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2、基础规格：墙面石膏板基础总厚度约为100mm（与现有的智慧黑板齐平），采用“纸面石膏板+轻钢龙骨”复合结构；</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3、材质性能：石膏板采用9mm厚纸面石膏板；轻钢龙骨采用热镀锌材质/木方线条作为基础；采用石膏填充并贴网格布加固。</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57</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展示墙石膏板基础</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1、规格：1300*3000*100mm（±100mm）；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2、基础规格：墙面石膏板基础总厚度约为100mm（与现有的智慧黑板齐平），采用“纸面石膏板+轻钢龙骨”复合结构；</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3、材质性能：石膏板采用9mm厚纸面石膏板；轻钢龙骨采用热镀锌材质/木方线条作为基础；采用石膏填充并贴网格布加固。</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58</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挂板墙石膏板基础</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1、规格：6600*3000*100mm（±100mm）；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2、基础规格：墙面石膏板基础总厚度约为100mm，采用“纸面石膏板+轻钢龙骨”复合结构；</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3、材质性能：石膏板采用9mm厚纸面石膏板；轻钢龙骨采用热镀锌材质/木方线条作为基础；采用石膏填充并贴网格布加固；表面涂刷环保乳胶漆。</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59</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弧形墙面造型</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1、规格：6600*3000*250mm（±100mm）；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2、基础规格：墙面石膏板基础总厚度约为250mm，采用“纸面石膏板+轻钢龙骨”复合结构；</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3、材质性能：石膏板采用9mm厚纸面石膏板；轻钢龙骨采用热镀锌材质/木方线条作为基础；采用石膏填充并贴网格布加固；表面涂刷环保乳胶漆。</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60</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背景软木板</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1、规格：1700*1200mm（±100mm）；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2、软木板：采用软木板，厚度≥9mm，防潮防霉，不易变形；</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3、边框：采用优质实木，环保，安全；木纹通达清晰，木质坚韧，结构稳固，具有耐磨.耐压、耐撞击等优点。</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61</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后墙软木板</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1、规格：2000*2000mm（±100mm）；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2、软木板：采用软木板，厚度≥9mm，防潮防霉，不易变形；</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3、边框：采用优质实木，环保，安全；木纹通达清晰，木质坚韧，结构稳固，具有耐磨.耐压、耐撞击等优点。</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62</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展示软木板</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1、规格：下半部分：1300*1950mm，上半部分：φ1300mm半圆形状（±100mm）；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2、软木板：采用优质软木板，厚度≥9mm，防潮防霉，不易变形。</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3、边框：采用优质实木，环保，安全；木纹通达清晰，木质坚韧，结构稳固，具有耐磨.耐压.耐撞击等优点。</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63</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造型软木板</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1、规格：下半部分：1800*700mm，上半部分：φ1800mm半圆形状（±100mm）；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2、软木板：采用优质软木板，厚度≥9mm，防潮防霉，不易变形。</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3、边框：采用优质实木，环保，安全；木纹通达清晰，木质坚韧，结构稳固，具有耐磨.耐压.耐撞击等优点。</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64</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后墙书写白板</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1、规格：2800*2000mm（±100mm），由两块拼接而成；</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2、白板：采用钢化烤漆玻璃，厚度≥4mm，漆面平滑坚硬，易于书写，带磁吸功能；</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3、边框：采用优质实木，环保，安全；木纹通达清晰，木质坚韧，结构稳固，具有耐磨.耐压、耐撞击等优点。</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65</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人文书写白板</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1、规格：2200*1640mm（±100mm），由两块拼接而成；</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2、白板：采用钢化烤漆玻璃，厚度≥4mm，漆面平滑坚硬，易于书写，带磁吸功能。</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66</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创趣书写白板</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1、规格：2000*2000mm（±100mm），由两块拼接而成；</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2、白板：采用钢化烤漆玻璃，厚度≥4mm，漆面平滑坚硬，易于书写，带磁吸功能。</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67</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展示书写白板</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1、规格：3000*2600mm（±100mm），根据现场情况定制；</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2、白板：采用钢化烤漆玻璃，厚度≥4mm，漆面平滑坚硬，易于书写，带磁吸功能；</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3、边框：采用优质实木，环保，安全；木纹通达清晰，木质坚韧，结构稳固，具有耐磨.耐压、耐撞击等优点。</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68</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后墙木质洞洞板</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1、规格：2000*2000mm（±100mm）；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2、洞洞板：采用多层板，厚度≥12mm，孔径≥12mm，孔距≥25mm，边缘无崩边毛刺，表面采用水性环保漆处理；</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3、边框：采用优质实木，环保，安全；木纹通达清晰，木质坚韧，结构稳固，具有耐磨.耐压、耐撞击等优点。</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69</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科创木质洞洞板</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1、规格：3800*2000mm（±100mm）；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2、洞洞板：采用多层板，厚度≥12mm，孔径≥12mm，孔距≥25mm，边缘无崩边毛刺，表面采用水性环保漆处理；</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3、边框：采用优质实木，环保，安全；木纹通达清晰，木质坚韧，结构稳固，具有耐磨.耐压、耐撞击等优点。</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70</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人文木质洞洞板</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1、规格：2500*3000mm（±100mm）；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2、洞洞板：采用多层板，厚度≥12mm，孔径≥12mm，孔距≥25mm，边缘无崩边毛刺，表面采用水性环保漆处理；</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3、边框：采用优质实木，环保，安全；木纹通达清晰，木质坚韧，结构稳固，具有耐磨.耐压、耐撞击等优点。</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71</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展示木质洞洞板</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1、规格：1300*2000mm（±100mm）；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2、洞洞板：采用多层板，厚度≥12mm，孔径≥12mm，孔距≥25mm，边缘无崩边毛刺，表面采用水性环保漆处理；</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3、边框：采用优质实木，环保，安全；木纹通达清晰，木质坚韧，结构稳固，具有耐磨.耐压、耐撞击等优点。</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72</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美术作品展示板</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1、洞洞板建设面积≥5.5㎡；</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2、洞洞板：采用多层板，厚度≥12mm，孔径≥12mm，孔距≥25mm，边缘无崩边毛刺，表面采用水性环保漆处理；</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3、边框：采用优质实木，环保，安全；木纹通达清晰，木质坚韧，结构稳固，具有耐磨.耐压、耐撞击等优点。</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73</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劳动工具展示板</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1、洞洞板建设面积≥7.4㎡；</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2、洞洞板：采用多层板，厚度≥12mm，孔径≥12mm，孔距≥25mm，边缘无崩边毛刺，表面采用水性环保漆处理；</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3、边框：采用优质实木，环保，安全；木纹通达清晰，木质坚韧，结构稳固，具有耐磨.耐压、耐撞击等优点。</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74</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劳动展示展示板</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1、规格：下半部分：1800*1700mm，上半部分：φ1800mm半圆形状（±100mm）；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2、洞洞板：采用多层板，厚度≥12mm，孔径≥12mm，孔距≥25mm，边缘无崩边毛刺，表面采用水性环保漆处理；</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3、边框：采用优质实木，环保，安全；木纹通达清晰，木质坚韧，结构稳固，具有耐磨.耐压、耐撞击等优点。</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75</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人文钢制洞洞板</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1、规格：5000*3000mm（±100mm）；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2、采用优质冷轧钢板材质，厚度≥1.2mm，表面静电喷塑处理，防锈耐磨不易褪色；</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3、标准圆形冲孔，孔径均匀排布，板面平整坚固，通用性强适配各类五金挂钩；</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4、整体折弯加固成型，结构稳固承重性好。</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76</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窗户挂板</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1、规格：600*1200mm（±100mm）；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2、采用优质冷轧钢板材质，厚度≥1.2mm，表面静电喷塑处理，防锈耐磨不易褪色；</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3、标准圆形冲孔，孔径均匀排布，板面平整坚固，通用性强适配各类五金挂钩；</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4、整体折弯加固成型，结构稳固承重性好。</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77</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侧墙挂板</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1、规格：900*1200mm（±100mm）；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2、采用优质冷轧钢板材质，厚度≥1.2mm，表面静电喷塑处理，防锈耐磨不易褪色；</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3、标准圆形冲孔，孔径均匀排布，板面平整坚固，通用性强适配各类五金挂钩；</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4、整体折弯加固成型，结构稳固承重性好。</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78</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展示钢制洞洞板</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1、规格：1800*2600mm（±100mm）；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2、采用优质冷轧钢板材质，厚度≥1.2mm，表面静电喷塑处理，防锈耐磨不易褪色；</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3、标准圆形冲孔，孔径均匀排布，板面平整坚固，通用性强适配各类五金挂钩；</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4、整体折弯加固成型，结构稳固承重性好。</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79</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异型地台</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1、地台建设面积≥10㎡；</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2、结构材质：地台高度：130mm，地台主骨架采用优质轻钢方管或实木多层结构，整体焊接、螺丝紧固成型，结构稳固不变形；台面采用高密度板材，板面平整、无开裂、无脱层，整体防潮、防腐、耐撞击；</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3、施工与安全性能：地台边角做圆角打磨防撞处理，无尖锐毛刺；整体牢固无松动、无异响，表面耐磨易清洁，具备良好防潮、抗压、抗变形性能。</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80</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音乐小舞台</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1、规格：半径：1300mm四分之一圆形状（±100mm）；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2、结构材质：地台高度：130mm，地台主骨架采用优质轻钢方管或实木多层结构，整体焊接、螺丝紧固成型，结构稳固不变形；台面采用高密度板材，板面平整、无开裂、无脱层，整体防潮、防腐、耐撞击；</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3、施工与安全性能：地台边角做圆角打磨防撞处理，无尖锐毛刺；整体牢固无松动、无异响，表面耐磨易清洁，具备良好防潮、抗压、抗变形性能。</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81</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科学舞台</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1、规格：半径：1500mm二分之一圆形状（±100mm）；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2、结构材质：地台高度：130mm，地台主骨架采用优质轻钢方管或实木多层结构，整体焊接、螺丝紧固成型，结构稳固不变形；台面采用高密度板材，板面平整、无开裂、无脱层，整体防潮、防腐、耐撞击；</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3、施工与安全性能：地台边角做圆角打磨防撞处理，无尖锐毛刺；整体牢固无松动、无异响，表面耐磨易清洁，具备良好防潮、抗压、抗变形性能。</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82</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拆除及修复</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1、玻璃窗户、墙体拆除，搬运至学校指定地点或车辆拖离学校。</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2、玻璃框四周采用水泥找平。</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83</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健康照明灯</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1、功率：36W、尺寸：1200*300*39MM、额定电压:AC220V、频率:50/60Hz、功率因数&gt;0.95、显示指数&gt;90、照度2m:450Lux、色温:4800K-5200K、波动深度:≤1%；</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2、LED 微晶教室灯光通量≥3000LM，光效≥90LM/W；</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3、配套T型转换框，固定灯光。</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84</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吊装字体</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1、定制偏旁部首，发光字体灯具，尺寸约30cm</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85</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导轨条</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1、电气：AC220V，三线（火/零/地），铜芯导电；</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2、颜色：白；</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3、材质：铝合金，表面烤漆。</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86</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导轨灯</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1、额定电压：AC220V，功率：20W，LED 高亮光源；</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2、色温：3300-5500K，显色指数 Ra≥95；</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3、铝合金散热壳体，多角度自由调节。</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87</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吸顶平板灯</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1、功率：160W、尺寸：900*600*100MM、额定电压：AC220V、频率:50/60Hz、功率因数&gt;0.95、显示指数&gt;98、色温:2700K-6500K；</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2、支持亮度调节，支持接入手机APP远程控制。</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88</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智能面板</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1、尺寸：86mm*86mm*38.7mm，3.23寸触控屏，三路开关，内置网关；</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2、连接方式：WiFi、蓝牙；</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3、支持触屏、语音、手机远程等开启方式。</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89</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音乐符号灯</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1、音乐符号，挂灯，配套电源、开关等配件。</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90</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星球灯</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1、星球灯，挂灯，配套电源、开关等配件</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91</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乐高墙</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1、规格：下半部分：1800*1700mm，上半部分：φ1800mm半圆形状（±100mm）；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2、基材：优质 ABS 工程塑料板，韧性强、抗撞击，不易变形断裂，底部预留收纳槽。</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92</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美术壁纸</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1、规格：下半部分：1800*1700mm，上半部分：φ1800mm半圆形状（±100mm）；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2、高精密聚酯纤维无纺布基底，柔韧度佳，不易开裂掉层，根据客户需求定制图案。</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93</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科学墙布</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1、墙布建设面积≥7㎡；</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2、高精密聚酯纤维无纺布基底，柔韧度佳，不易开裂掉层，根据客户需求定制图案。</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94</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定制木工板隔断</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1、规格：4000*250mm（±100mm）；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2、基材：采用多层实木木工板，厚度≥16mm。</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95</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护墙板</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1、规格：1300*900mm（±100mm）；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2、基材：采用多层实木木工板，厚度≥12mm。</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96</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墙面装饰护墙板</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1、规格：4600*3000mm（±100mm）；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2、基材：采用多层实木木工板，厚度≥12mm。</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97</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图书管理柜</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1、规格：1300*3000*250mm（±100mm）；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2、柜体：采用18mm厚生态免漆板加工制作，1.5mm厚PVC封边条机械封边。</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98</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美术展示柜</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1、规格：1800*1700*250mm（±100mm）；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2、柜体：采用18mm厚生态免漆板加工制作，1.5mm厚PVC封边条机械封边。</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99</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美术收纳柜</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1、规格：3000*650*250mm（±100mm）；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2、柜体：采用18mm厚生态免漆板加工制作，1.5mm厚PVC封边条机械封边。</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100</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双层柜体</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1、规格：1800*1000*250mm（±100mm）；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2、柜体：采用18mm厚生态免漆板加工制作，1.5mm厚PVC封边条机械封边。</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101</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多层展示柜</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1、规格：1700*3000*600mm（±100mm）；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2、柜体：采用18mm厚生态免漆板加工制作，1.5mm厚PVC封边条机械封边。</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102</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双层多面展示柜</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1、规格：8600*3000*800mm（±100mm），中间镂空：6400*1280*800mm（±100mm）；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2、柜体：采用18mm厚生态免漆板加工制作，1.5mm厚PVC封边条机械封边。</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103</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石台面</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1、规格：6400*800mm（±100mm）；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2、材质：以树脂、天然大理石粉末为主要原料，添加固化剂、颜料压制而成，厚度≥12mm表面无气孔、无裂纹，色泽均匀。</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104</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铝合金木纹边框折叠窗</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1、规格：6400*1280mm（±100mm）；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1、型材：采用铝合金型材，主型材壁厚≥1.5mm，表面采用高温转印木纹工艺，纹理逼真、附着力强，防腐防锈、结构稳定不易变形；</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3、结构：采用多扇折叠开启结构，开合顺畅无卡顿，配备不锈钢承重铰链与静音滑轮，支持开合，配置钢化玻璃。</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105</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软包坐垫</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1、规格：7680*350mm（±100mm）；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2、材质：背面采用生态板，正面采用人造皮革，内充海绵，整体厚度≥40mm，颜色可选；</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3、工艺：嵌入式长条卡座软包，与柜体一体化设计。</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106</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文字贴图</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1、规格：地面贴图文字，根据现场情况定制；</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2、材质规格：采用PVC环保材质，柔韧度高、不易断裂，表面高密度纹理压制，无色差、无杂点，图案清晰通透，整体平整度好。</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107</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小游戏贴图</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1、规格：地面贴图小游戏，根据现场情况定制；</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2、材质规格：采用PVC环保材质，柔韧度高、不易断裂，表面高密度纹理压制，无色差、无杂点，图案清晰通透，整体平整度好。</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108</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强弱电改造</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1、包含开关插座，照明管内穿线2.5平方、六类网络线套管铺设，强弱电管线铺设、专业人工切割打槽、水泥沙修补等工作。</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109</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铝扣板吊顶</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1、规格：600mm*600mm铝扣板吊顶，预留窗帘盒位置；</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2、基材：以铝合金板材为基底，通过开料、剪角、压成型，厚度不低于0.9mm，铝扣板表面穿孔，采用喷塑涂层，防锈，防氧化；</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3、施工：采用暗架系统卡扣式安装;吊杆间距不超过 1.2米，50主龙，三角龙骨与主龙垂直，放入扣板，保持平整。</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110</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铝板造型柱</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1、规格：≥950*800*2500mm，高度根据现场情况定制，柱子四面需全部采用铝板包围；</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2、材质：采用铝合金材质，厚度≥1.5mm，抗弯抗压，结构稳定性强；</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3、基础：轻钢龙骨采用热镀锌材质/木方线条作为基础。</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111</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树木造型柱</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1、规格：不规则树木造型，高度根据现场情况定制，柱子四周采用艺术漆喷涂；</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2、材质：钢筋做基础，采用混凝土浇筑，表面采用艺术漆喷涂，形成树木造型。</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112</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地面防腐木装饰</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1、底部：地面采用混凝土浇筑25公分；</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2、基础：采用40*60mm防腐木方做基础；</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3、材质：表面铺设防腐木板，厚度≥15mm。</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113</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AI陪伴机器人</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1、产品形态：小型人形教育机器人，整机尺寸约 245×149×112mm，重量≤720g（含电池）；</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2、自由度与舵机：全身≥14 个高精度伺服舵机，减速精度≤1°；头部 3 自由度、单臂 2 自由度、腰部 1 自由度、双腿各 3 自由度，可流畅完成舞蹈、功夫、俯卧撑等动作；</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3、核心算力：八核处理器（MTK 6750，主频≥1.5GHz），GPU Mail T860；内存≥2GB RAM，存储≥32GB ROM，支持系统在线升级与应用扩展；</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4、视觉系统：标配≥500 万像素广角摄像头，支持绘本识别、人脸追踪、远程视频通话与监控；</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5、语音交互：4 麦环形阵列麦克风，支持 360° 声源定位、降噪；内置 AI 大模型，支持中英文对话、语音控制、英语发音纠正、百科问答；</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6、交互显示：头部配备 1.22 英寸 26 万色 TFT 彩屏，分辨率 240×240，可动态显示表情、状态；胸口设多功能触控按键；</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7、续航与电源：内置 7.4V 锂电池，容量≥1500mAh；持续互动≥4 小时，最长待机≥8 小时；Type</w:t>
            </w:r>
            <w:r>
              <w:rPr>
                <w:rFonts w:hint="eastAsia" w:cs="宋体" w:asciiTheme="minorEastAsia" w:hAnsiTheme="minorEastAsia" w:eastAsiaTheme="minorEastAsia"/>
                <w:b w:val="0"/>
                <w:bCs/>
                <w:color w:val="auto"/>
                <w:szCs w:val="21"/>
                <w:highlight w:val="none"/>
                <w:lang w:val="en-US" w:eastAsia="zh-CN"/>
              </w:rPr>
              <w:noBreakHyphen/>
            </w:r>
            <w:r>
              <w:rPr>
                <w:rFonts w:hint="eastAsia" w:cs="宋体" w:asciiTheme="minorEastAsia" w:hAnsiTheme="minorEastAsia" w:eastAsiaTheme="minorEastAsia"/>
                <w:b w:val="0"/>
                <w:bCs/>
                <w:color w:val="auto"/>
                <w:szCs w:val="21"/>
                <w:highlight w:val="none"/>
                <w:lang w:val="en-US" w:eastAsia="zh-CN"/>
              </w:rPr>
              <w:t xml:space="preserve">C 充电，支持边充边用；</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8、通信能力：支持 Wi</w:t>
            </w:r>
            <w:r>
              <w:rPr>
                <w:rFonts w:hint="eastAsia" w:cs="宋体" w:asciiTheme="minorEastAsia" w:hAnsiTheme="minorEastAsia" w:eastAsiaTheme="minorEastAsia"/>
                <w:b w:val="0"/>
                <w:bCs/>
                <w:color w:val="auto"/>
                <w:szCs w:val="21"/>
                <w:highlight w:val="none"/>
                <w:lang w:val="en-US" w:eastAsia="zh-CN"/>
              </w:rPr>
              <w:noBreakHyphen/>
            </w:r>
            <w:r>
              <w:rPr>
                <w:rFonts w:hint="eastAsia" w:cs="宋体" w:asciiTheme="minorEastAsia" w:hAnsiTheme="minorEastAsia" w:eastAsiaTheme="minorEastAsia"/>
                <w:b w:val="0"/>
                <w:bCs/>
                <w:color w:val="auto"/>
                <w:szCs w:val="21"/>
                <w:highlight w:val="none"/>
                <w:lang w:val="en-US" w:eastAsia="zh-CN"/>
              </w:rPr>
              <w:t xml:space="preserve">Fi 802.11 a/b/g/n/ac（2.4G/5G 双频）、蓝牙 5.0；支持 APP 远程控制、内容推送、固件升级、远程视频互动。</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114</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3D打印机</w:t>
            </w:r>
            <w:r/>
          </w:p>
        </w:tc>
        <w:tc>
          <w:tcPr>
            <w:tcW w:w="4046" w:type="pct"/>
            <w:vAlign w:val="top"/>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1、成型尺寸：256×256×256mm，封闭式机身设计；</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2、打印速度：最高 600mm/s，最大加速度 20000mm/s²；</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3、加热性能：喷嘴最高 300℃，热床最高 110℃；</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4、打印精度：XY 轴 ±0.02mm，Z 轴 ±0.01mm；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5、分层厚度：最小打印层厚 0.05mm；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6、网络配置：支持 2.4G/5G 双频 WiFi + 有线以太网；</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7、供料系统：标配 AMS 2 Pro 自动换色供料系统；</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8、智能功能：内置高清摄像头，支持 AI 智能打印监测；</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9、耗材适配：兼容 PLA、PETG、ABS、ASA、碳纤维等耗材。</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115</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耗材</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1、高速打印高韧性易打印环保线材RFID智能参数识别，净重1kg。</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116</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数字素材展示屏</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1、液晶屏显示尺寸≥55寸，分辨率≥3840*2160，显示比例16:9，支持横、竖安装方式，厚度≤46mm；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2、整机边框采用金属边框，角部采用圆角设计，外边框采用喷涂环保木纹工艺；</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3、屏幕采用了高雾度偏光片，屏体雾度值≥25%，可视角度≥178°，最大亮度≥350nit；</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4、整机安装到墙面后无任何外置、外露、外挂的线材、天线及元器件模块隐藏；</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5、内置2.0声道环绕功放，支持音视频声音外放；</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6、整机接口：USB 2.0≥2，HDMI-IN≥1,RJ45≥1，内置Wi-Fi模块（10M/100M/1000M），内置蓝牙模块。全部端口采用隐藏设计，无可见外露端口；</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7、CPU≥4核，工作频率≥1.9GHz。运行内存≥2G，存储空间≥8G；</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8、兼容主流多媒体格式。视频格式：MPEG1、MPEG2、MPEG4、 H.263、H.264等；音频格式：MP3等；图片格式：JPG、JPEG、BMP、PNG、GIF 等；</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9、信息发布系统与设备一体化集成，无需外接任何信息发布设备即可完成信息发布；</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▲10、整机≥3个实体按键，可以对播放的节目进行前后翻页和暂停/播放控制；（提供第三方检测机构出具检测报告扫描件或复印件）</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11、支持手机通过蓝牙连接整机，对整机进行遥控控制。</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117</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智慧门牌</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1、采用21.5英寸横屏式电容显示屏，支持10点触控，屏幕分辨率≥1920*1080，显示比例16:9；屏幕亮度≥500cd/㎡；</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▲2、屏体采用宽温液晶屏，屏体工作温度区间跨度不小于零下20°C-80°C；（提供第三方检测机构出具检测报告扫描件或复印件）</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3、具备≥两条LED状态指示灯，支持通过状态指示灯不同颜色的变化，便于甄别场地的不同占用状态；</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4、整机软硬件设计可兼容横竖屏壁挂，无需增加其它配件，适用于不同空间场景的需求；</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5、整机采用防水防尘结构设计，适用于学校教室半户外环境，防护等级不低于IP65；</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6、整机背部与墙面微距全贴合，正面覆盖钢化玻璃，具备防眩光功能；</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7、可拍摄不低于200W像素的照片，支持不少于10人同时进行人脸识别，在逆光（人像处于背景照度≥80000Lux）环境下距离≤0.5m可正常进行人脸识别；</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8、内置高灵敏度的全向麦克风，拾音半径不小于0.5m；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9、内置2.0立体声道功放；</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10、整机具备至少一路RJ45网络接口；具备不少于2路USB 2.0接口；</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11、CPU≥4核，最高主频≥1.9G，运行内存不低于2GB，存储容量不低于16GB；</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12、整机支持自动感光调节屏幕亮度。</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118</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学生移动终端</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1、显示屏尺寸：≥10.95英寸，屏幕分辨率：≥1920×1200；</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2、采用八核CPU，主频：≥2.0GHz；</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3、内存容量：≥6GB；存储容量：≥128GB；</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4、电池容量：≥8000mAh（典型值）；</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5、摄像头：双摄像头，前置≥800万像素，后置≥800万像素，后摄支持文档矫正增强功能，可以倾斜拍摄文档，并进行自动矫正和文字效果显示增强；</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6、接口支持：扬声器≥2个；麦克风≥2个；USB TYPE C接口≥1个；支持耳机功能；Micro SD卡接口≥1个；</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7、WiFi：支持802.11a/b/g/n/ac（2.4G&amp;5.8GHz)；蓝牙：支持；</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8、操作系统：Android 10.0或以上版本定制化操作系统，使用定制化桌面，避免与学习无关信息的干扰；</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9、屏幕支持防眩光功能；通过类纸显示标准符合性证书；蓝光危害级别为RG0无危害；</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10、护眼功能：支持距离感应功能，用户与平板距离低于设定距离时，自动弹出护眼警示；支持感光保护，自动检测环境光亮度，自动调整匹配的屏幕亮度；</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11、防护设计：支持防摔，带皮套100cm掉落至地面无损坏；支持IP43防尘防水；</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12、配套管控软件、电容笔。</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119</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教师移动终端</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1、显示屏尺寸：≥10.95英寸，屏幕分辨率：≥1920×1200；</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2、采用八核CPU，主频：≥2.0GHz；</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3、内存容量：≥6GB；存储容量：≥128GB；</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4、电池容量：≥8000mAh（典型值）；</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5、摄像头：双摄像头，前置≥800万像素，后置≥800万像素，后摄支持文档矫正增强功能，可以倾斜拍摄文档，并进行自动矫正和文字效果显示增强；</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6、接口支持：扬声器≥2个；麦克风≥2个；USB TYPE C接口≥1个；支持耳机功能；Micro SD卡接口≥1个（最大支持512GB）；</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7、WiFi：支持802.11a/b/g/n/ac（2.4G&amp;5.8GHz)；蓝牙：支持；</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8、操作系统：Android 10.0或以上版本定制化操作系统；</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9、屏幕支持防眩光功能；通过类纸显示标准符合性证书；蓝光危害级别为RG0无危害；</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10、护眼功能：支持距离感应功能，用户与平板距离低于设定距离时，自动弹出护眼警示；支持感光保护，自动检测环境光亮度，自动调整匹配的屏幕亮度；</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11、防护设计：支持防摔，带皮套100cm掉落至地面无损坏；支持IP43防尘防水；</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12、配套管控软件、电容笔。</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120</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平板充电柜</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1、宽*高*深：400*420*380mm；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2、单口输出电压/电流：5V/3A，输出总功率：200W；</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3、配备10个充电口，充电口旁配充电指示灯，充电亮红灯，充满亮绿灯；</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4、金属材质，机械锁。</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121</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5口千兆POE交换机</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1、5个10/100/1000BASE-T自适应RJ45端口，其中4个支持PoE/PoE+供电，1个为上联电口；</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2、整机POE功率：54W，单端口最大输出：30W；</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3、交换容量10Gbps，包转发率7.4 Mpps，MAC地址表容量2K。</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122</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无线AP</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1、支持IEEE 802.11a/b/g/n/ac/ax（Wi</w:t>
            </w:r>
            <w:r>
              <w:rPr>
                <w:rFonts w:hint="eastAsia" w:cs="宋体" w:asciiTheme="minorEastAsia" w:hAnsiTheme="minorEastAsia" w:eastAsiaTheme="minorEastAsia"/>
                <w:b w:val="0"/>
                <w:bCs/>
                <w:color w:val="auto"/>
                <w:szCs w:val="21"/>
                <w:highlight w:val="none"/>
                <w:lang w:val="en-US" w:eastAsia="zh-CN"/>
              </w:rPr>
              <w:noBreakHyphen/>
            </w:r>
            <w:r>
              <w:rPr>
                <w:rFonts w:hint="eastAsia" w:cs="宋体" w:asciiTheme="minorEastAsia" w:hAnsiTheme="minorEastAsia" w:eastAsiaTheme="minorEastAsia"/>
                <w:b w:val="0"/>
                <w:bCs/>
                <w:color w:val="auto"/>
                <w:szCs w:val="21"/>
                <w:highlight w:val="none"/>
                <w:lang w:val="en-US" w:eastAsia="zh-CN"/>
              </w:rPr>
              <w:t xml:space="preserve">Fi6），三射频设计（2.4G+双 5G），整机10条空间流，最大无线速率≥6.817Gbps；</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2、最大并发在线用户数≥1536，支持OFDMA、MU</w:t>
            </w:r>
            <w:r>
              <w:rPr>
                <w:rFonts w:hint="eastAsia" w:cs="宋体" w:asciiTheme="minorEastAsia" w:hAnsiTheme="minorEastAsia" w:eastAsiaTheme="minorEastAsia"/>
                <w:b w:val="0"/>
                <w:bCs/>
                <w:color w:val="auto"/>
                <w:szCs w:val="21"/>
                <w:highlight w:val="none"/>
                <w:lang w:val="en-US" w:eastAsia="zh-CN"/>
              </w:rPr>
              <w:noBreakHyphen/>
            </w:r>
            <w:r>
              <w:rPr>
                <w:rFonts w:hint="eastAsia" w:cs="宋体" w:asciiTheme="minorEastAsia" w:hAnsiTheme="minorEastAsia" w:eastAsiaTheme="minorEastAsia"/>
                <w:b w:val="0"/>
                <w:bCs/>
                <w:color w:val="auto"/>
                <w:szCs w:val="21"/>
                <w:highlight w:val="none"/>
                <w:lang w:val="en-US" w:eastAsia="zh-CN"/>
              </w:rPr>
              <w:t xml:space="preserve">MIMO、BSS着色等Wi</w:t>
            </w:r>
            <w:r>
              <w:rPr>
                <w:rFonts w:hint="eastAsia" w:cs="宋体" w:asciiTheme="minorEastAsia" w:hAnsiTheme="minorEastAsia" w:eastAsiaTheme="minorEastAsia"/>
                <w:b w:val="0"/>
                <w:bCs/>
                <w:color w:val="auto"/>
                <w:szCs w:val="21"/>
                <w:highlight w:val="none"/>
                <w:lang w:val="en-US" w:eastAsia="zh-CN"/>
              </w:rPr>
              <w:noBreakHyphen/>
            </w:r>
            <w:r>
              <w:rPr>
                <w:rFonts w:hint="eastAsia" w:cs="宋体" w:asciiTheme="minorEastAsia" w:hAnsiTheme="minorEastAsia" w:eastAsiaTheme="minorEastAsia"/>
                <w:b w:val="0"/>
                <w:bCs/>
                <w:color w:val="auto"/>
                <w:szCs w:val="21"/>
                <w:highlight w:val="none"/>
                <w:lang w:val="en-US" w:eastAsia="zh-CN"/>
              </w:rPr>
              <w:t xml:space="preserve">Fi6高密特性；</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3、配备3个千兆电口，其中2个支持 802.3af/at PoE入电，1个支持PoE 输出12V/2W；内置 BLE蓝牙及IoT扩展接口；</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4、支持DC48V本地供电及802.3af/at PoE供电；整机最大功耗≤25.5W。</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123</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教室无线网络线缆及辅材</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1、教室无线网络施工过程中所需的六类非屏蔽网线、六类非屏蔽水晶头、电源线、接线板、多媒体箱等；</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2、辅材：线槽线管、膨胀螺丝、标贴、胶带、机柜螺丝、扎带等；</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3、投标报价应包含教室无线网络线缆及辅材全部费用及责任，后续不予增补。</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124</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教室线路拆除和安装</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1、智慧黑板原有线路回抽至教室多媒体箱，铺设电源线缆至教室多媒体箱；</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2、多媒体箱铺设线路至智慧黑板及无线AP，线管线槽铺设；</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3、投标报价应包含教室线路拆除和安装的全部费用，后续不予增补。</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125</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教室壁挂式扬声器套装</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1、系统组成：每套含1只全频有源音柱、1只全频无源音柱；</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2、单元组成：≥3*3英寸；</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3、频响范围：85Hz - 20kHz ，波动范围为 -3dB；</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4、灵敏度：92dB/1W；</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5、输入阻抗:2.6Ω(欧姆)；</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6、功率：额定输入功率≥2*60w，最大输入功率≥2*120w。</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7、啸叫抑制方式:DSP抑制。</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126</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教室无线领夹麦克风接收器</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1、系统组成：领夹麦克风接收器；</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2、接收器:有源扬声器供电，无需外接电源；</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3、安装：含接收器安装及供电配件。</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127</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教室无线领夹麦克风</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1、系统组成：领夹麦克风（磁吸配件）、充电仓；</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2、对频方式：近距离磁感应后自动对频；</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3、无线性能：采用2.4G无线传输，30米稳定传输；</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4、电池：麦克风续航6小时，快充仓支持麦克风的2次充电。</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128</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智能移动平板</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1、尺寸/分辨率：27英寸，1920×1080（1080P），60Hz刷新率；</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2、显示：IPS面板，AG防眩光磨砂玻璃，350nit亮度，10点触控；</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 护眼：支持硬件级低蓝光、无频闪</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4、内存/存储：6GB+128GB（支持microSD卡扩展）；</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5、网络：2.4G/5G双频Wi-Fi，蓝牙5.0</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6、电池：6500mAh，连续使用时间≥7小时，待机时间≥5天；</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7、接口：HDMI 2.0（支持投屏）、USB-C、DC电源口；</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8、音频：2×5W中低频扬声器 + 2×5W高频扬声器；</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9、摄像头：前置500万像素；</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10支架：底部万向轮，支持200mm升降、±90°旋转、俯仰调节（仰角25°/俯角25°），需手动锁死卡扣。</w:t>
            </w:r>
            <w:r/>
          </w:p>
        </w:tc>
      </w:tr>
    </w:tbl>
    <w:p>
      <w:pPr>
        <w:ind w:firstLine="422"/>
        <w:keepLines w:val="0"/>
        <w:keepNext w:val="0"/>
        <w:pageBreakBefore w:val="0"/>
        <w:spacing w:line="360" w:lineRule="auto"/>
        <w:widowControl w:val="off"/>
        <w:rPr>
          <w:rFonts w:hint="eastAsia" w:cs="宋体" w:asciiTheme="minorEastAsia" w:hAnsiTheme="minorEastAsia" w:eastAsiaTheme="minorEastAsia"/>
          <w:b/>
          <w:bCs w:val="0"/>
          <w:color w:val="auto"/>
          <w:szCs w:val="21"/>
          <w:highlight w:val="none"/>
        </w:rPr>
        <w:outlineLvl w:val="1"/>
      </w:pPr>
      <w:r>
        <w:rPr>
          <w:rFonts w:hint="eastAsia" w:cs="宋体" w:asciiTheme="minorEastAsia" w:hAnsiTheme="minorEastAsia" w:eastAsiaTheme="minorEastAsia"/>
          <w:b/>
          <w:bCs w:val="0"/>
          <w:color w:val="auto"/>
          <w:szCs w:val="21"/>
          <w:highlight w:val="none"/>
        </w:rPr>
        <w:t xml:space="preserve">（二）商务要求</w:t>
      </w:r>
      <w:r/>
    </w:p>
    <w:p>
      <w:pPr>
        <w:ind w:firstLine="420"/>
        <w:jc w:val="left"/>
        <w:keepLines w:val="0"/>
        <w:keepNext w:val="0"/>
        <w:pageBreakBefore w:val="0"/>
        <w:spacing w:line="360" w:lineRule="auto"/>
        <w:widowControl w:val="off"/>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rPr>
        <w:t xml:space="preserve">1.</w:t>
      </w:r>
      <w:r>
        <w:rPr>
          <w:rFonts w:hint="eastAsia" w:asciiTheme="minorEastAsia" w:hAnsiTheme="minorEastAsia" w:eastAsiaTheme="minorEastAsia"/>
          <w:color w:val="auto"/>
          <w:szCs w:val="21"/>
          <w:highlight w:val="none"/>
          <w:lang w:val="en-US" w:eastAsia="zh-CN"/>
        </w:rPr>
        <w:t xml:space="preserve">交付时间及地点</w:t>
      </w:r>
      <w:r/>
    </w:p>
    <w:p>
      <w:pPr>
        <w:pStyle w:val="944"/>
        <w:ind w:firstLine="420"/>
        <w:keepLines w:val="0"/>
        <w:keepNext w:val="0"/>
        <w:pageBreakBefore w:val="0"/>
        <w:spacing w:line="360" w:lineRule="auto"/>
        <w:widowControl w:val="off"/>
        <w:rPr>
          <w:rFonts w:hint="eastAsia"/>
          <w:color w:val="auto"/>
          <w:highlight w:val="none"/>
        </w:rPr>
      </w:pPr>
      <w:r>
        <w:rPr>
          <w:rFonts w:hint="eastAsia"/>
          <w:color w:val="auto"/>
          <w:highlight w:val="none"/>
          <w:lang w:eastAsia="zh-CN"/>
        </w:rPr>
        <w:t xml:space="preserve">（1）交付时间：</w:t>
      </w:r>
      <w:r>
        <w:rPr>
          <w:rFonts w:hint="eastAsia"/>
          <w:color w:val="auto"/>
          <w:highlight w:val="none"/>
          <w:lang w:val="en-US" w:eastAsia="zh-CN"/>
        </w:rPr>
        <w:t xml:space="preserve">合同签订后40天内交付并完成安装调试及验收等相关工作。</w:t>
      </w:r>
      <w:r/>
    </w:p>
    <w:p>
      <w:pPr>
        <w:pStyle w:val="944"/>
        <w:ind w:firstLine="420"/>
        <w:keepLines w:val="0"/>
        <w:keepNext w:val="0"/>
        <w:pageBreakBefore w:val="0"/>
        <w:spacing w:line="360" w:lineRule="auto"/>
        <w:widowControl w:val="off"/>
        <w:rPr>
          <w:rFonts w:hint="eastAsia"/>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2</w:t>
      </w:r>
      <w:r>
        <w:rPr>
          <w:rFonts w:hint="eastAsia"/>
          <w:color w:val="auto"/>
          <w:highlight w:val="none"/>
          <w:lang w:eastAsia="zh-CN"/>
        </w:rPr>
        <w:t xml:space="preserve">）</w:t>
      </w:r>
      <w:r>
        <w:rPr>
          <w:rFonts w:hint="eastAsia"/>
          <w:color w:val="auto"/>
          <w:highlight w:val="none"/>
        </w:rPr>
        <w:t xml:space="preserve">项目质保期</w:t>
      </w:r>
      <w:r>
        <w:rPr>
          <w:rFonts w:hint="eastAsia"/>
          <w:color w:val="auto"/>
          <w:highlight w:val="none"/>
          <w:lang w:eastAsia="zh-CN"/>
        </w:rPr>
        <w:t xml:space="preserve">：</w:t>
      </w:r>
      <w:r>
        <w:rPr>
          <w:rFonts w:hint="eastAsia"/>
          <w:color w:val="auto"/>
          <w:highlight w:val="none"/>
          <w:lang w:val="en-US" w:eastAsia="zh-CN"/>
        </w:rPr>
        <w:t xml:space="preserve">质保期三年（验收合格之日起进入质保期，含硬件、软件等），质保期内包含免费上门调试、故障维修及软件升级服务。</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（2）交付地点：</w:t>
      </w:r>
      <w:r>
        <w:rPr>
          <w:rFonts w:hint="eastAsia" w:asciiTheme="minorEastAsia" w:hAnsiTheme="minorEastAsia" w:eastAsiaTheme="minorEastAsia"/>
          <w:color w:val="auto"/>
          <w:szCs w:val="21"/>
          <w:highlight w:val="none"/>
          <w:lang w:val="en-US" w:eastAsia="zh-CN"/>
        </w:rPr>
        <w:t xml:space="preserve">中标人</w:t>
      </w:r>
      <w:r>
        <w:rPr>
          <w:rFonts w:hint="eastAsia" w:asciiTheme="minorEastAsia" w:hAnsiTheme="minorEastAsia" w:eastAsiaTheme="minorEastAsia"/>
          <w:color w:val="auto"/>
          <w:szCs w:val="21"/>
          <w:highlight w:val="none"/>
        </w:rPr>
        <w:t xml:space="preserve">负责将货物运到采购人指定地点，由</w:t>
      </w:r>
      <w:r>
        <w:rPr>
          <w:rFonts w:hint="eastAsia" w:asciiTheme="minorEastAsia" w:hAnsiTheme="minorEastAsia" w:eastAsiaTheme="minorEastAsia"/>
          <w:color w:val="auto"/>
          <w:szCs w:val="21"/>
          <w:highlight w:val="none"/>
          <w:lang w:val="en-US" w:eastAsia="zh-CN"/>
        </w:rPr>
        <w:t xml:space="preserve">中标人</w:t>
      </w:r>
      <w:r>
        <w:rPr>
          <w:rFonts w:hint="eastAsia" w:asciiTheme="minorEastAsia" w:hAnsiTheme="minorEastAsia" w:eastAsiaTheme="minorEastAsia"/>
          <w:color w:val="auto"/>
          <w:szCs w:val="21"/>
          <w:highlight w:val="none"/>
        </w:rPr>
        <w:t xml:space="preserve">负责办理运输和装卸、安装等，费用由</w:t>
      </w:r>
      <w:r>
        <w:rPr>
          <w:rFonts w:hint="eastAsia" w:asciiTheme="minorEastAsia" w:hAnsiTheme="minorEastAsia" w:eastAsiaTheme="minorEastAsia"/>
          <w:color w:val="auto"/>
          <w:szCs w:val="21"/>
          <w:highlight w:val="none"/>
          <w:lang w:val="en-US" w:eastAsia="zh-CN"/>
        </w:rPr>
        <w:t xml:space="preserve">中标人</w:t>
      </w:r>
      <w:r>
        <w:rPr>
          <w:rFonts w:hint="eastAsia" w:asciiTheme="minorEastAsia" w:hAnsiTheme="minorEastAsia" w:eastAsiaTheme="minorEastAsia"/>
          <w:color w:val="auto"/>
          <w:szCs w:val="21"/>
          <w:highlight w:val="none"/>
        </w:rPr>
        <w:t xml:space="preserve">负责，由采购人组织验收，检验不合格或不符合质量要求，</w:t>
      </w:r>
      <w:r>
        <w:rPr>
          <w:rFonts w:hint="eastAsia" w:asciiTheme="minorEastAsia" w:hAnsiTheme="minorEastAsia" w:eastAsiaTheme="minorEastAsia"/>
          <w:color w:val="auto"/>
          <w:szCs w:val="21"/>
          <w:highlight w:val="none"/>
          <w:lang w:val="en-US" w:eastAsia="zh-CN"/>
        </w:rPr>
        <w:t xml:space="preserve">中标人</w:t>
      </w:r>
      <w:r>
        <w:rPr>
          <w:rFonts w:hint="eastAsia" w:asciiTheme="minorEastAsia" w:hAnsiTheme="minorEastAsia" w:eastAsiaTheme="minorEastAsia"/>
          <w:color w:val="auto"/>
          <w:szCs w:val="21"/>
          <w:highlight w:val="none"/>
        </w:rPr>
        <w:t xml:space="preserve">除无条件退货、返工外，还应承担采购人的一切损失。</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2.供货</w:t>
      </w:r>
      <w:r>
        <w:rPr>
          <w:rFonts w:hint="eastAsia" w:asciiTheme="minorEastAsia" w:hAnsiTheme="minorEastAsia" w:eastAsiaTheme="minorEastAsia"/>
          <w:color w:val="auto"/>
          <w:szCs w:val="21"/>
          <w:highlight w:val="none"/>
          <w:lang w:val="en-US" w:eastAsia="zh-CN"/>
        </w:rPr>
        <w:t xml:space="preserve">与履约</w:t>
      </w:r>
      <w:r>
        <w:rPr>
          <w:rFonts w:hint="eastAsia" w:asciiTheme="minorEastAsia" w:hAnsiTheme="minorEastAsia" w:eastAsiaTheme="minorEastAsia"/>
          <w:color w:val="auto"/>
          <w:szCs w:val="21"/>
          <w:highlight w:val="none"/>
        </w:rPr>
        <w:t xml:space="preserve">要求</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（1）管理平台数据同步</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中标人须同步使用“南京市教育装备项目管理平台”，并在平台中完成以下操作：公开投标文件与合同资料；上传施工过程影像资料与履约文件；发起验收流程；申请售后服务；制作设备二维码标签并粘贴。</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（2）项目过程性管理</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投标人应编制施工进度计划，并在履约全过程中根据实际进展动态更新。须参与采购人组织的定期工程会议，每周汇报项目进展情况，并接受采购人及相关部门的飞行检查与管理。</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en-US" w:eastAsia="zh-CN"/>
        </w:rPr>
        <w:t xml:space="preserve">3.</w:t>
      </w:r>
      <w:r>
        <w:rPr>
          <w:rFonts w:hint="eastAsia" w:asciiTheme="minorEastAsia" w:hAnsiTheme="minorEastAsia" w:eastAsiaTheme="minorEastAsia"/>
          <w:color w:val="auto"/>
          <w:szCs w:val="21"/>
          <w:highlight w:val="none"/>
        </w:rPr>
        <w:t xml:space="preserve">验收要求</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（1）验收方法</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成立验收小组现场验收，对产品数量、质量和功能性、学校应用情况达成等进行检查复核。</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（2）验收标准</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验收材料完整，设备数量与合同一致，系统功能达成与投标人投标文件中的承诺一致。</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4.</w:t>
      </w:r>
      <w:r>
        <w:rPr>
          <w:rFonts w:hint="eastAsia" w:asciiTheme="minorEastAsia" w:hAnsiTheme="minorEastAsia" w:eastAsiaTheme="minorEastAsia"/>
          <w:color w:val="auto"/>
          <w:szCs w:val="21"/>
          <w:highlight w:val="none"/>
        </w:rPr>
        <w:t xml:space="preserve">售后</w:t>
      </w:r>
      <w:r>
        <w:rPr>
          <w:rFonts w:hint="eastAsia" w:asciiTheme="minorEastAsia" w:hAnsiTheme="minorEastAsia" w:eastAsiaTheme="minorEastAsia"/>
          <w:color w:val="auto"/>
          <w:szCs w:val="21"/>
          <w:highlight w:val="none"/>
          <w:lang w:val="en-US" w:eastAsia="zh-CN"/>
        </w:rPr>
        <w:t xml:space="preserve">要求</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在质保期内，因中标人所供设备、材料制造质量或安装问题出现设备故障时，中标人在接采购人通知后，2小时内响应，并在24小时内赶到采购人现场，免费予以排除故障、修复或更换零部件。还应支付因更换所发生的运输、保险、安装、检测等有关的全部费用。</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en-US" w:eastAsia="zh-CN"/>
        </w:rPr>
        <w:t xml:space="preserve">5.</w:t>
      </w:r>
      <w:r>
        <w:rPr>
          <w:rFonts w:hint="eastAsia" w:asciiTheme="minorEastAsia" w:hAnsiTheme="minorEastAsia" w:eastAsiaTheme="minorEastAsia"/>
          <w:color w:val="auto"/>
          <w:szCs w:val="21"/>
          <w:highlight w:val="none"/>
        </w:rPr>
        <w:t xml:space="preserve">培训要求</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须完成每校到校设备操作培训视频，涵盖操作流程、常见故障排查及安全规程（参训人员应覆盖学校涉及岗位，开展教师培训实操评价，合格率100%）。</w:t>
      </w:r>
      <w:r/>
    </w:p>
    <w:p>
      <w:pPr>
        <w:ind w:firstLine="420"/>
        <w:jc w:val="left"/>
        <w:keepLines w:val="0"/>
        <w:keepNext w:val="0"/>
        <w:pageBreakBefore w:val="0"/>
        <w:spacing w:line="360" w:lineRule="auto"/>
        <w:widowControl w:val="off"/>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6.报价要求</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投标人认为需要的其他费用等。</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（2）投标人的任何错漏、优惠、竞争性报价不得作为减轻责任、减少服务、增加收费、降低服务质量的理由。</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（3）投标人报价除包含招标文件中列明的项目外，还应包括保障产品正常使用应当具有的物资和服务，对产品正常使用应当具有的物资和服务理解不一致的以采购单位理解为准。</w:t>
      </w:r>
      <w:r/>
    </w:p>
    <w:p>
      <w:pPr>
        <w:ind w:firstLine="420"/>
        <w:jc w:val="left"/>
        <w:keepLines w:val="0"/>
        <w:keepNext w:val="0"/>
        <w:pageBreakBefore w:val="0"/>
        <w:spacing w:line="360" w:lineRule="auto"/>
        <w:widowControl w:val="off"/>
        <w:rPr>
          <w:rFonts w:hint="eastAsia" w:asciiTheme="minorEastAsia" w:hAnsiTheme="minorEastAsia" w:eastAsiaTheme="minorEastAsia"/>
          <w:b w:val="0"/>
          <w:bCs w:val="0"/>
          <w:color w:val="auto"/>
          <w:szCs w:val="21"/>
          <w:highlight w:val="none"/>
          <w:lang w:val="en-US" w:eastAsia="zh-CN"/>
        </w:rPr>
      </w:pPr>
      <w:r>
        <w:rPr>
          <w:rFonts w:hint="eastAsia" w:asciiTheme="minorEastAsia" w:hAnsiTheme="minorEastAsia" w:eastAsiaTheme="minorEastAsia"/>
          <w:b w:val="0"/>
          <w:bCs w:val="0"/>
          <w:color w:val="auto"/>
          <w:szCs w:val="21"/>
          <w:highlight w:val="none"/>
          <w:lang w:val="en-US" w:eastAsia="zh-CN"/>
        </w:rPr>
        <w:t xml:space="preserve">（4）投标人必须按照所投采购包，对应填写《分项报价表》，不得调整清单数量。</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7.履约保证金</w:t>
      </w:r>
      <w:r/>
    </w:p>
    <w:p>
      <w:pPr>
        <w:ind w:firstLine="420"/>
        <w:jc w:val="left"/>
        <w:keepLines w:val="0"/>
        <w:keepNext w:val="0"/>
        <w:pageBreakBefore w:val="0"/>
        <w:spacing w:line="360" w:lineRule="auto"/>
        <w:widowControl w:val="off"/>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该项目签订合同时须向采购人缴纳合同总额的3%作为履约保证金，缴纳方式建议采用银行保函，质保期满无质量或服务问题无息退还。</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8.付款方式</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合同签订后支付合同总额的30%作为预付款；项目竣工后，经使用学校对标功能评估合格、专家验收考评合格后，支付剩余合同总额。</w:t>
      </w:r>
      <w:bookmarkEnd w:id="142"/>
      <w:r/>
      <w:bookmarkEnd w:id="143"/>
      <w:r/>
      <w:r/>
    </w:p>
    <w:p>
      <w:pPr>
        <w:ind w:firstLine="422"/>
        <w:keepLines w:val="0"/>
        <w:keepNext w:val="0"/>
        <w:pageBreakBefore w:val="0"/>
        <w:spacing w:line="360" w:lineRule="auto"/>
        <w:widowControl w:val="off"/>
        <w:rPr>
          <w:rFonts w:hint="eastAsia" w:cs="宋体" w:asciiTheme="minorEastAsia" w:hAnsiTheme="minorEastAsia" w:eastAsiaTheme="minorEastAsia"/>
          <w:b/>
          <w:bCs w:val="0"/>
          <w:color w:val="auto"/>
          <w:szCs w:val="21"/>
          <w:highlight w:val="none"/>
          <w:lang w:val="en-US" w:eastAsia="zh-CN"/>
        </w:rPr>
        <w:outlineLvl w:val="1"/>
      </w:pPr>
      <w:r/>
      <w:bookmarkStart w:id="144" w:name="_Toc176529671"/>
      <w:r>
        <w:rPr>
          <w:rFonts w:hint="eastAsia" w:cs="宋体" w:asciiTheme="minorEastAsia" w:hAnsiTheme="minorEastAsia" w:eastAsiaTheme="minorEastAsia"/>
          <w:b/>
          <w:bCs w:val="0"/>
          <w:color w:val="auto"/>
          <w:szCs w:val="21"/>
          <w:highlight w:val="none"/>
          <w:lang w:val="en-US" w:eastAsia="zh-CN"/>
        </w:rPr>
        <w:t xml:space="preserve">（三）招标文件附件</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科创创趣厅、人文故事厅、劳动主题教室相关图纸详见采购公告附件。</w:t>
      </w:r>
      <w:r>
        <w:rPr>
          <w:rFonts w:hint="eastAsia" w:asciiTheme="minorEastAsia" w:hAnsiTheme="minorEastAsia" w:eastAsiaTheme="minorEastAsia"/>
          <w:color w:val="auto"/>
          <w:szCs w:val="21"/>
          <w:highlight w:val="none"/>
          <w:lang w:val="en-US" w:eastAsia="zh-CN"/>
        </w:rPr>
        <w:br w:type="page" w:clear="all"/>
      </w:r>
      <w:r/>
    </w:p>
    <w:p>
      <w:pPr>
        <w:pStyle w:val="890"/>
        <w:numPr>
          <w:ilvl w:val="0"/>
          <w:numId w:val="0"/>
        </w:numPr>
        <w:ind w:left="567"/>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第五章 合同主要条款及格式</w:t>
      </w:r>
      <w:bookmarkEnd w:id="140"/>
      <w:r/>
      <w:bookmarkEnd w:id="141"/>
      <w:r/>
      <w:bookmarkEnd w:id="144"/>
      <w:r/>
      <w:r/>
    </w:p>
    <w:p>
      <w:pP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jc w:val="center"/>
        <w:spacing w:line="360" w:lineRule="auto"/>
        <w:shd w:val="clear" w:color="auto" w:fill="ffffff"/>
        <w:widowControl/>
        <w:rPr>
          <w:rFonts w:hint="eastAsia" w:cs="宋体" w:asciiTheme="minorEastAsia" w:hAnsiTheme="minorEastAsia" w:eastAsiaTheme="minorEastAsia"/>
          <w:b/>
          <w:bCs/>
          <w:color w:val="auto"/>
          <w:sz w:val="32"/>
          <w:szCs w:val="32"/>
          <w:highlight w:val="none"/>
        </w:rPr>
      </w:pPr>
      <w:r/>
      <w:bookmarkStart w:id="145" w:name="_Toc12929"/>
      <w:r>
        <w:rPr>
          <w:rFonts w:hint="eastAsia" w:cs="宋体" w:asciiTheme="minorEastAsia" w:hAnsiTheme="minorEastAsia" w:eastAsiaTheme="minorEastAsia"/>
          <w:b/>
          <w:bCs/>
          <w:color w:val="auto"/>
          <w:sz w:val="32"/>
          <w:szCs w:val="32"/>
          <w:highlight w:val="none"/>
        </w:rPr>
        <w:t xml:space="preserve">政府采购合同</w:t>
      </w:r>
      <w:r/>
    </w:p>
    <w:p>
      <w:pPr>
        <w:ind w:firstLine="315"/>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b/>
          <w:bCs/>
          <w:color w:val="auto"/>
          <w:sz w:val="36"/>
          <w:szCs w:val="36"/>
          <w:highlight w:val="none"/>
        </w:rPr>
        <w:t xml:space="preserve"> </w:t>
      </w:r>
      <w:r/>
    </w:p>
    <w:p>
      <w:pPr>
        <w:spacing w:line="360" w:lineRule="auto"/>
        <w:shd w:val="clear" w:color="auto" w:fill="ffffff"/>
        <w:widowControl/>
        <w:rPr>
          <w:rFonts w:hint="eastAsia" w:cs="宋体" w:asciiTheme="minorEastAsia" w:hAnsiTheme="minorEastAsia" w:eastAsiaTheme="minorEastAsia"/>
          <w:b/>
          <w:bCs/>
          <w:color w:val="auto"/>
          <w:sz w:val="36"/>
          <w:szCs w:val="36"/>
          <w:highlight w:val="none"/>
        </w:rPr>
      </w:pPr>
      <w:r>
        <w:rPr>
          <w:rFonts w:hint="eastAsia" w:cs="宋体" w:asciiTheme="minorEastAsia" w:hAnsiTheme="minorEastAsia" w:eastAsiaTheme="minorEastAsia"/>
          <w:b/>
          <w:bCs/>
          <w:color w:val="auto"/>
          <w:sz w:val="36"/>
          <w:szCs w:val="36"/>
          <w:highlight w:val="none"/>
        </w:rPr>
      </w:r>
      <w:r/>
    </w:p>
    <w:p>
      <w:pPr>
        <w:spacing w:line="360" w:lineRule="auto"/>
        <w:shd w:val="clear" w:color="auto" w:fill="ffffff"/>
        <w:widowControl/>
        <w:rPr>
          <w:rFonts w:hint="eastAsia" w:cs="宋体" w:asciiTheme="minorEastAsia" w:hAnsiTheme="minorEastAsia" w:eastAsiaTheme="minorEastAsia"/>
          <w:b/>
          <w:bCs/>
          <w:color w:val="auto"/>
          <w:sz w:val="36"/>
          <w:szCs w:val="36"/>
          <w:highlight w:val="none"/>
        </w:rPr>
      </w:pPr>
      <w:r>
        <w:rPr>
          <w:rFonts w:hint="eastAsia" w:cs="宋体" w:asciiTheme="minorEastAsia" w:hAnsiTheme="minorEastAsia" w:eastAsiaTheme="minorEastAsia"/>
          <w:b/>
          <w:bCs/>
          <w:color w:val="auto"/>
          <w:sz w:val="36"/>
          <w:szCs w:val="36"/>
          <w:highlight w:val="none"/>
        </w:rPr>
      </w:r>
      <w:r/>
    </w:p>
    <w:p>
      <w:pPr>
        <w:spacing w:line="360" w:lineRule="auto"/>
        <w:shd w:val="clear" w:color="auto" w:fill="ffffff"/>
        <w:widowControl/>
        <w:rPr>
          <w:rFonts w:hint="eastAsia" w:cs="宋体" w:asciiTheme="minorEastAsia" w:hAnsiTheme="minorEastAsia" w:eastAsiaTheme="minorEastAsia"/>
          <w:b/>
          <w:bCs/>
          <w:color w:val="auto"/>
          <w:sz w:val="36"/>
          <w:szCs w:val="36"/>
          <w:highlight w:val="none"/>
        </w:rPr>
      </w:pPr>
      <w:r>
        <w:rPr>
          <w:rFonts w:hint="eastAsia" w:cs="宋体" w:asciiTheme="minorEastAsia" w:hAnsiTheme="minorEastAsia" w:eastAsiaTheme="minorEastAsia"/>
          <w:b/>
          <w:bCs/>
          <w:color w:val="auto"/>
          <w:sz w:val="36"/>
          <w:szCs w:val="36"/>
          <w:highlight w:val="none"/>
        </w:rPr>
      </w:r>
      <w:r/>
    </w:p>
    <w:p>
      <w:pPr>
        <w:spacing w:line="360" w:lineRule="auto"/>
        <w:shd w:val="clear" w:color="auto" w:fill="ffffff"/>
        <w:widowControl/>
        <w:rPr>
          <w:rFonts w:hint="eastAsia" w:cs="宋体" w:asciiTheme="minorEastAsia" w:hAnsiTheme="minorEastAsia" w:eastAsiaTheme="minorEastAsia"/>
          <w:color w:val="auto"/>
          <w:sz w:val="32"/>
          <w:szCs w:val="32"/>
          <w:highlight w:val="none"/>
        </w:rPr>
      </w:pPr>
      <w:r>
        <w:rPr>
          <w:rFonts w:hint="eastAsia" w:cs="宋体" w:asciiTheme="minorEastAsia" w:hAnsiTheme="minorEastAsia" w:eastAsiaTheme="minorEastAsia"/>
          <w:color w:val="auto"/>
          <w:sz w:val="32"/>
          <w:szCs w:val="32"/>
          <w:highlight w:val="none"/>
        </w:rPr>
      </w:r>
      <w:r/>
    </w:p>
    <w:p>
      <w:pPr>
        <w:ind w:firstLine="1918"/>
        <w:spacing w:line="360" w:lineRule="auto"/>
        <w:shd w:val="clear" w:color="auto" w:fill="ffffff"/>
        <w:widowControl/>
        <w:rPr>
          <w:rFonts w:hint="eastAsia" w:cs="宋体" w:asciiTheme="minorEastAsia" w:hAnsiTheme="minorEastAsia" w:eastAsiaTheme="minorEastAsia"/>
          <w:color w:val="auto"/>
          <w:sz w:val="32"/>
          <w:szCs w:val="32"/>
          <w:highlight w:val="none"/>
        </w:rPr>
      </w:pPr>
      <w:r>
        <w:rPr>
          <w:rFonts w:hint="eastAsia" w:cs="宋体" w:asciiTheme="minorEastAsia" w:hAnsiTheme="minorEastAsia" w:eastAsiaTheme="minorEastAsia"/>
          <w:b/>
          <w:bCs/>
          <w:color w:val="auto"/>
          <w:sz w:val="32"/>
          <w:szCs w:val="32"/>
          <w:highlight w:val="none"/>
        </w:rPr>
        <w:t xml:space="preserve">合同编号 ：</w:t>
      </w:r>
      <w:r>
        <w:rPr>
          <w:rFonts w:hint="eastAsia" w:cs="宋体" w:asciiTheme="minorEastAsia" w:hAnsiTheme="minorEastAsia" w:eastAsiaTheme="minorEastAsia"/>
          <w:b/>
          <w:bCs/>
          <w:color w:val="auto"/>
          <w:sz w:val="32"/>
          <w:szCs w:val="32"/>
          <w:highlight w:val="none"/>
          <w:u w:val="single"/>
        </w:rPr>
        <w:t xml:space="preserve">          </w:t>
      </w:r>
      <w:r/>
    </w:p>
    <w:p>
      <w:pPr>
        <w:ind w:firstLine="1918"/>
        <w:spacing w:line="360" w:lineRule="auto"/>
        <w:shd w:val="clear" w:color="auto" w:fill="ffffff"/>
        <w:widowControl/>
        <w:rPr>
          <w:rFonts w:hint="eastAsia" w:cs="宋体" w:asciiTheme="minorEastAsia" w:hAnsiTheme="minorEastAsia" w:eastAsiaTheme="minorEastAsia"/>
          <w:color w:val="auto"/>
          <w:sz w:val="32"/>
          <w:szCs w:val="32"/>
          <w:highlight w:val="none"/>
        </w:rPr>
      </w:pPr>
      <w:r>
        <w:rPr>
          <w:rFonts w:hint="eastAsia" w:cs="宋体" w:asciiTheme="minorEastAsia" w:hAnsiTheme="minorEastAsia" w:eastAsiaTheme="minorEastAsia"/>
          <w:b/>
          <w:bCs/>
          <w:color w:val="auto"/>
          <w:sz w:val="32"/>
          <w:szCs w:val="32"/>
          <w:highlight w:val="none"/>
        </w:rPr>
        <w:t xml:space="preserve">项目名称 ：</w:t>
      </w:r>
      <w:r>
        <w:rPr>
          <w:rFonts w:hint="eastAsia" w:cs="宋体" w:asciiTheme="minorEastAsia" w:hAnsiTheme="minorEastAsia" w:eastAsiaTheme="minorEastAsia"/>
          <w:b/>
          <w:bCs/>
          <w:color w:val="auto"/>
          <w:sz w:val="32"/>
          <w:szCs w:val="32"/>
          <w:highlight w:val="none"/>
          <w:u w:val="single"/>
        </w:rPr>
        <w:t xml:space="preserve">          </w:t>
      </w:r>
      <w:r/>
    </w:p>
    <w:p>
      <w:pPr>
        <w:ind w:firstLine="1918"/>
        <w:spacing w:line="360" w:lineRule="auto"/>
        <w:shd w:val="clear" w:color="auto" w:fill="ffffff"/>
        <w:widowControl/>
        <w:rPr>
          <w:rFonts w:hint="eastAsia" w:cs="宋体" w:asciiTheme="minorEastAsia" w:hAnsiTheme="minorEastAsia" w:eastAsiaTheme="minorEastAsia"/>
          <w:color w:val="auto"/>
          <w:sz w:val="32"/>
          <w:szCs w:val="32"/>
          <w:highlight w:val="none"/>
        </w:rPr>
      </w:pPr>
      <w:r>
        <w:rPr>
          <w:rFonts w:hint="eastAsia" w:cs="宋体" w:asciiTheme="minorEastAsia" w:hAnsiTheme="minorEastAsia" w:eastAsiaTheme="minorEastAsia"/>
          <w:b/>
          <w:bCs/>
          <w:color w:val="auto"/>
          <w:sz w:val="32"/>
          <w:szCs w:val="32"/>
          <w:highlight w:val="none"/>
        </w:rPr>
        <w:t xml:space="preserve">采购人（甲方） ：</w:t>
      </w:r>
      <w:r>
        <w:rPr>
          <w:rFonts w:hint="eastAsia" w:cs="宋体" w:asciiTheme="minorEastAsia" w:hAnsiTheme="minorEastAsia" w:eastAsiaTheme="minorEastAsia"/>
          <w:b/>
          <w:bCs/>
          <w:color w:val="auto"/>
          <w:sz w:val="32"/>
          <w:szCs w:val="32"/>
          <w:highlight w:val="none"/>
          <w:u w:val="single"/>
        </w:rPr>
        <w:t xml:space="preserve">       </w:t>
      </w:r>
      <w:r/>
    </w:p>
    <w:p>
      <w:pPr>
        <w:ind w:firstLine="1916"/>
        <w:spacing w:line="360" w:lineRule="auto"/>
        <w:shd w:val="clear" w:color="auto" w:fill="ffffff"/>
        <w:widowControl/>
        <w:rPr>
          <w:rFonts w:hint="eastAsia" w:cs="宋体" w:asciiTheme="minorEastAsia" w:hAnsiTheme="minorEastAsia" w:eastAsiaTheme="minorEastAsia"/>
          <w:color w:val="auto"/>
          <w:sz w:val="32"/>
          <w:szCs w:val="32"/>
          <w:highlight w:val="none"/>
        </w:rPr>
      </w:pPr>
      <w:r>
        <w:rPr>
          <w:rFonts w:hint="eastAsia" w:cs="宋体" w:asciiTheme="minorEastAsia" w:hAnsiTheme="minorEastAsia" w:eastAsiaTheme="minorEastAsia"/>
          <w:b/>
          <w:bCs/>
          <w:color w:val="auto"/>
          <w:sz w:val="32"/>
          <w:szCs w:val="32"/>
          <w:highlight w:val="none"/>
        </w:rPr>
        <w:t xml:space="preserve">中标人（乙方） ：</w:t>
      </w:r>
      <w:r>
        <w:rPr>
          <w:rFonts w:hint="eastAsia" w:cs="宋体" w:asciiTheme="minorEastAsia" w:hAnsiTheme="minorEastAsia" w:eastAsiaTheme="minorEastAsia"/>
          <w:b/>
          <w:bCs/>
          <w:color w:val="auto"/>
          <w:sz w:val="32"/>
          <w:szCs w:val="32"/>
          <w:highlight w:val="none"/>
          <w:u w:val="single"/>
        </w:rPr>
        <w:t xml:space="preserve">       </w:t>
      </w:r>
      <w:r/>
    </w:p>
    <w:p>
      <w:pPr>
        <w:ind w:firstLine="1916"/>
        <w:spacing w:line="360" w:lineRule="auto"/>
        <w:shd w:val="clear" w:color="auto" w:fill="ffffff"/>
        <w:widowControl/>
        <w:rPr>
          <w:rFonts w:hint="eastAsia" w:cs="宋体" w:asciiTheme="minorEastAsia" w:hAnsiTheme="minorEastAsia" w:eastAsiaTheme="minorEastAsia"/>
          <w:color w:val="auto"/>
          <w:sz w:val="32"/>
          <w:szCs w:val="32"/>
          <w:highlight w:val="none"/>
        </w:rPr>
      </w:pPr>
      <w:r>
        <w:rPr>
          <w:rFonts w:hint="eastAsia" w:cs="宋体" w:asciiTheme="minorEastAsia" w:hAnsiTheme="minorEastAsia" w:eastAsiaTheme="minorEastAsia"/>
          <w:b/>
          <w:bCs/>
          <w:color w:val="auto"/>
          <w:sz w:val="32"/>
          <w:szCs w:val="32"/>
          <w:highlight w:val="none"/>
        </w:rPr>
        <w:t xml:space="preserve">签订日期 ：</w:t>
      </w:r>
      <w:r>
        <w:rPr>
          <w:rFonts w:hint="eastAsia" w:cs="宋体" w:asciiTheme="minorEastAsia" w:hAnsiTheme="minorEastAsia" w:eastAsiaTheme="minorEastAsia"/>
          <w:b/>
          <w:bCs/>
          <w:color w:val="auto"/>
          <w:sz w:val="32"/>
          <w:szCs w:val="32"/>
          <w:highlight w:val="none"/>
          <w:u w:val="single"/>
        </w:rPr>
        <w:t xml:space="preserve">          </w:t>
      </w:r>
      <w:r/>
    </w:p>
    <w:p>
      <w:pPr>
        <w:spacing w:line="360" w:lineRule="auto"/>
        <w:shd w:val="clear" w:color="auto" w:fill="ffffff"/>
        <w:widowControl/>
        <w:rPr>
          <w:rFonts w:hint="eastAsia" w:cs="宋体" w:asciiTheme="minorEastAsia" w:hAnsiTheme="minorEastAsia" w:eastAsiaTheme="minorEastAsia"/>
          <w:color w:val="auto"/>
          <w:sz w:val="32"/>
          <w:szCs w:val="32"/>
          <w:highlight w:val="none"/>
        </w:rPr>
      </w:pPr>
      <w:r>
        <w:rPr>
          <w:rFonts w:hint="eastAsia" w:cs="宋体" w:asciiTheme="minorEastAsia" w:hAnsiTheme="minorEastAsia" w:eastAsiaTheme="minorEastAsia"/>
          <w:color w:val="auto"/>
          <w:sz w:val="32"/>
          <w:szCs w:val="32"/>
          <w:highlight w:val="none"/>
        </w:rPr>
        <w:t xml:space="preserve">      </w:t>
      </w:r>
      <w:r>
        <w:rPr>
          <w:rFonts w:hint="eastAsia" w:cs="宋体" w:asciiTheme="minorEastAsia" w:hAnsiTheme="minorEastAsia" w:eastAsiaTheme="minorEastAsia"/>
          <w:b/>
          <w:bCs/>
          <w:color w:val="auto"/>
          <w:sz w:val="32"/>
          <w:szCs w:val="32"/>
          <w:highlight w:val="none"/>
        </w:rPr>
        <w:t xml:space="preserve">   </w:t>
      </w:r>
      <w:r/>
    </w:p>
    <w:p>
      <w:pPr>
        <w:ind w:firstLine="2984"/>
        <w:spacing w:line="360" w:lineRule="auto"/>
        <w:shd w:val="clear" w:color="auto" w:fill="ffffff"/>
        <w:widowControl/>
        <w:rPr>
          <w:rFonts w:hint="eastAsia" w:cs="宋体" w:asciiTheme="minorEastAsia" w:hAnsiTheme="minorEastAsia" w:eastAsiaTheme="minorEastAsia"/>
          <w:color w:val="auto"/>
          <w:sz w:val="32"/>
          <w:szCs w:val="32"/>
          <w:highlight w:val="none"/>
        </w:rPr>
      </w:pPr>
      <w:r>
        <w:rPr>
          <w:rFonts w:hint="eastAsia" w:cs="宋体" w:asciiTheme="minorEastAsia" w:hAnsiTheme="minorEastAsia" w:eastAsiaTheme="minorEastAsia"/>
          <w:b/>
          <w:bCs/>
          <w:color w:val="auto"/>
          <w:sz w:val="32"/>
          <w:szCs w:val="32"/>
          <w:highlight w:val="none"/>
        </w:rPr>
        <w:t xml:space="preserve"> </w:t>
      </w:r>
      <w:r/>
    </w:p>
    <w:p>
      <w:pPr>
        <w:spacing w:line="360" w:lineRule="auto"/>
        <w:shd w:val="clear" w:color="auto" w:fill="ffffff"/>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br w:type="page" w:clear="all"/>
      </w:r>
      <w:r/>
    </w:p>
    <w:p>
      <w:pPr>
        <w:spacing w:line="360" w:lineRule="auto"/>
        <w:shd w:val="clear" w:color="auto" w:fill="ffffff"/>
        <w:widowControl/>
        <w:rPr>
          <w:rFonts w:hint="eastAsia" w:cs="宋体" w:asciiTheme="minorEastAsia" w:hAnsiTheme="minorEastAsia" w:eastAsiaTheme="minorEastAsia"/>
          <w:color w:val="auto"/>
          <w:szCs w:val="21"/>
          <w:highlight w:val="none"/>
        </w:rPr>
      </w:pPr>
      <w:r/>
      <w:bookmarkStart w:id="146" w:name="_Hlk66377681"/>
      <w:r>
        <w:rPr>
          <w:rFonts w:hint="eastAsia" w:cs="宋体" w:asciiTheme="minorEastAsia" w:hAnsiTheme="minorEastAsia" w:eastAsiaTheme="minorEastAsia"/>
          <w:color w:val="auto"/>
          <w:szCs w:val="21"/>
          <w:highlight w:val="none"/>
        </w:rPr>
        <w:t xml:space="preserve">合同编号：</w:t>
      </w:r>
      <w:r/>
    </w:p>
    <w:p>
      <w:pPr>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政府采购计划号：</w:t>
      </w:r>
      <w:r/>
    </w:p>
    <w:p>
      <w:pPr>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bl>
      <w:tblPr>
        <w:tblStyle w:val="900"/>
        <w:tblW w:w="8522" w:type="dxa"/>
        <w:tblInd w:w="108"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采购人（以下称甲方）：</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中标人（以下称乙方）：</w:t>
            </w:r>
            <w:r/>
          </w:p>
        </w:tc>
      </w:tr>
      <w:tr>
        <w:trPr>
          <w:trHeight w:val="253"/>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住所地：</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住所地：</w:t>
            </w:r>
            <w:r/>
          </w:p>
        </w:tc>
      </w:tr>
    </w:tbl>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根据《中华人民共和国政府采购法》、《中华人民共和国民法典》等法律法规的规定，甲乙双方按照采购代理机构的采购结果签订本合同。</w:t>
      </w:r>
      <w:r/>
    </w:p>
    <w:p>
      <w:pPr>
        <w:ind w:firstLine="422"/>
        <w:rPr>
          <w:rFonts w:hint="eastAsia" w:asciiTheme="minorEastAsia" w:hAnsiTheme="minorEastAsia" w:eastAsiaTheme="minorEastAsia"/>
          <w:b/>
          <w:bCs/>
          <w:color w:val="auto"/>
          <w:highlight w:val="none"/>
        </w:rPr>
      </w:pPr>
      <w:r>
        <w:rPr>
          <w:rFonts w:hint="eastAsia" w:cs="宋体" w:asciiTheme="minorEastAsia" w:hAnsiTheme="minorEastAsia" w:eastAsiaTheme="minorEastAsia"/>
          <w:b/>
          <w:bCs/>
          <w:color w:val="auto"/>
          <w:szCs w:val="21"/>
          <w:highlight w:val="none"/>
        </w:rPr>
        <w:t xml:space="preserve">第一条 项目</w:t>
      </w:r>
      <w:r>
        <w:rPr>
          <w:rFonts w:asciiTheme="minorEastAsia" w:hAnsiTheme="minorEastAsia" w:eastAsiaTheme="minorEastAsia"/>
          <w:b/>
          <w:bCs/>
          <w:color w:val="auto"/>
          <w:highlight w:val="none"/>
        </w:rPr>
        <w:t xml:space="preserve">说明</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受甲方委托，</w:t>
      </w:r>
      <w:r>
        <w:rPr>
          <w:rFonts w:hint="eastAsia" w:asciiTheme="minorEastAsia" w:hAnsiTheme="minorEastAsia" w:eastAsiaTheme="minorEastAsia"/>
          <w:color w:val="auto"/>
          <w:highlight w:val="none"/>
        </w:rPr>
        <w:t xml:space="preserve">采购代理机构</w:t>
      </w:r>
      <w:r>
        <w:rPr>
          <w:rFonts w:asciiTheme="minorEastAsia" w:hAnsiTheme="minorEastAsia" w:eastAsiaTheme="minorEastAsia"/>
          <w:color w:val="auto"/>
          <w:highlight w:val="none"/>
        </w:rPr>
        <w:t xml:space="preserve">于</w:t>
      </w:r>
      <w:r>
        <w:rPr>
          <w:rFonts w:hint="eastAsia" w:asciiTheme="minorEastAsia" w:hAnsiTheme="minorEastAsia" w:eastAsiaTheme="minorEastAsia"/>
          <w:color w:val="auto"/>
          <w:highlight w:val="none"/>
        </w:rPr>
        <w:t xml:space="preserve">X</w:t>
      </w:r>
      <w:r>
        <w:rPr>
          <w:rFonts w:asciiTheme="minorEastAsia" w:hAnsiTheme="minorEastAsia" w:eastAsiaTheme="minorEastAsia"/>
          <w:color w:val="auto"/>
          <w:highlight w:val="none"/>
        </w:rPr>
        <w:t xml:space="preserve">年</w:t>
      </w:r>
      <w:r>
        <w:rPr>
          <w:rFonts w:hint="eastAsia" w:asciiTheme="minorEastAsia" w:hAnsiTheme="minorEastAsia" w:eastAsiaTheme="minorEastAsia"/>
          <w:color w:val="auto"/>
          <w:highlight w:val="none"/>
        </w:rPr>
        <w:t xml:space="preserve">X月X日</w:t>
      </w:r>
      <w:r>
        <w:rPr>
          <w:rFonts w:asciiTheme="minorEastAsia" w:hAnsiTheme="minorEastAsia" w:eastAsiaTheme="minorEastAsia"/>
          <w:color w:val="auto"/>
          <w:highlight w:val="none"/>
        </w:rPr>
        <w:t xml:space="preserve">组织了</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 xml:space="preserve">（采购单位）</w:t>
      </w:r>
      <w:r>
        <w:rPr>
          <w:rFonts w:asciiTheme="minorEastAsia" w:hAnsiTheme="minorEastAsia" w:eastAsiaTheme="minorEastAsia"/>
          <w:color w:val="auto"/>
          <w:highlight w:val="none"/>
        </w:rPr>
        <w:t xml:space="preserve">所需</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 xml:space="preserve">（项目名称）</w:t>
      </w:r>
      <w:r>
        <w:rPr>
          <w:rFonts w:asciiTheme="minorEastAsia" w:hAnsiTheme="minorEastAsia" w:eastAsiaTheme="minorEastAsia"/>
          <w:color w:val="auto"/>
          <w:highlight w:val="none"/>
        </w:rPr>
        <w:t xml:space="preserve">的</w:t>
      </w:r>
      <w:r>
        <w:rPr>
          <w:rFonts w:hint="eastAsia" w:asciiTheme="minorEastAsia" w:hAnsiTheme="minorEastAsia" w:eastAsiaTheme="minorEastAsia"/>
          <w:color w:val="auto"/>
          <w:highlight w:val="none"/>
        </w:rPr>
        <w:t xml:space="preserve">采购</w:t>
      </w:r>
      <w:r>
        <w:rPr>
          <w:rFonts w:asciiTheme="minorEastAsia" w:hAnsiTheme="minorEastAsia" w:eastAsiaTheme="minorEastAsia"/>
          <w:color w:val="auto"/>
          <w:highlight w:val="none"/>
        </w:rPr>
        <w:t xml:space="preserve">，经评委认真严格地评审，确定由乙方</w:t>
      </w:r>
      <w:r>
        <w:rPr>
          <w:rFonts w:hint="eastAsia" w:asciiTheme="minorEastAsia" w:hAnsiTheme="minorEastAsia" w:eastAsiaTheme="minorEastAsia"/>
          <w:color w:val="auto"/>
          <w:highlight w:val="none"/>
        </w:rPr>
        <w:t xml:space="preserve">中标</w:t>
      </w:r>
      <w:r>
        <w:rPr>
          <w:rFonts w:asciiTheme="minorEastAsia" w:hAnsiTheme="minorEastAsia" w:eastAsiaTheme="minorEastAsia"/>
          <w:color w:val="auto"/>
          <w:highlight w:val="none"/>
        </w:rPr>
        <w:t xml:space="preserve">。</w:t>
      </w:r>
      <w:r/>
    </w:p>
    <w:p>
      <w:pPr>
        <w:ind w:firstLine="422"/>
        <w:rPr>
          <w:rFonts w:hint="eastAsia" w:asciiTheme="minorEastAsia" w:hAnsiTheme="minorEastAsia" w:eastAsiaTheme="minorEastAsia"/>
          <w:b/>
          <w:bCs/>
          <w:color w:val="auto"/>
          <w:highlight w:val="none"/>
        </w:rPr>
      </w:pPr>
      <w:r>
        <w:rPr>
          <w:rFonts w:hint="eastAsia" w:cs="宋体" w:asciiTheme="minorEastAsia" w:hAnsiTheme="minorEastAsia" w:eastAsiaTheme="minorEastAsia"/>
          <w:b/>
          <w:bCs/>
          <w:color w:val="auto"/>
          <w:szCs w:val="21"/>
          <w:highlight w:val="none"/>
        </w:rPr>
        <w:t xml:space="preserve">第二条 </w:t>
      </w:r>
      <w:r>
        <w:rPr>
          <w:rFonts w:asciiTheme="minorEastAsia" w:hAnsiTheme="minorEastAsia" w:eastAsiaTheme="minorEastAsia"/>
          <w:b/>
          <w:bCs/>
          <w:color w:val="auto"/>
          <w:highlight w:val="none"/>
        </w:rPr>
        <w:t xml:space="preserve">合同条款</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合同由买卖双方签订，并依据</w:t>
      </w:r>
      <w:r>
        <w:rPr>
          <w:rFonts w:hint="eastAsia" w:asciiTheme="minorEastAsia" w:hAnsiTheme="minorEastAsia" w:eastAsiaTheme="minorEastAsia"/>
          <w:color w:val="auto"/>
          <w:highlight w:val="none"/>
        </w:rPr>
        <w:t xml:space="preserve">项目编号：</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 xml:space="preserve">招标文件</w:t>
      </w:r>
      <w:r>
        <w:rPr>
          <w:rFonts w:asciiTheme="minorEastAsia" w:hAnsiTheme="minorEastAsia" w:eastAsiaTheme="minorEastAsia"/>
          <w:color w:val="auto"/>
          <w:highlight w:val="none"/>
        </w:rPr>
        <w:t xml:space="preserve">规定，按下列合同条款甲方同意购入，乙方同意卖出下列设备及服务。</w:t>
      </w:r>
      <w:r/>
    </w:p>
    <w:p>
      <w:pPr>
        <w:ind w:firstLine="420"/>
        <w:spacing w:line="360" w:lineRule="auto"/>
        <w:rPr>
          <w:rFonts w:hint="eastAsia" w:asciiTheme="minorEastAsia" w:hAnsiTheme="minorEastAsia" w:eastAsiaTheme="minorEastAsia"/>
          <w:color w:val="auto"/>
          <w:highlight w:val="none"/>
          <w:u w:val="single"/>
        </w:rPr>
      </w:pPr>
      <w:r>
        <w:rPr>
          <w:rFonts w:asciiTheme="minorEastAsia" w:hAnsiTheme="minorEastAsia" w:eastAsiaTheme="minorEastAsia"/>
          <w:color w:val="auto"/>
          <w:highlight w:val="none"/>
        </w:rPr>
        <w:t xml:space="preserve">1</w:t>
      </w: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设备名称、型号规格、数量及服务内容</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 </w:t>
      </w:r>
      <w:r/>
    </w:p>
    <w:p>
      <w:pPr>
        <w:ind w:firstLine="420"/>
        <w:spacing w:line="360" w:lineRule="auto"/>
        <w:rPr>
          <w:rFonts w:hint="eastAsia" w:asciiTheme="minorEastAsia" w:hAnsiTheme="minorEastAsia" w:eastAsiaTheme="minorEastAsia"/>
          <w:color w:val="auto"/>
          <w:highlight w:val="none"/>
          <w:u w:val="single"/>
        </w:rPr>
      </w:pPr>
      <w:r>
        <w:rPr>
          <w:rFonts w:asciiTheme="minorEastAsia" w:hAnsiTheme="minorEastAsia" w:eastAsiaTheme="minorEastAsia"/>
          <w:color w:val="auto"/>
          <w:highlight w:val="none"/>
        </w:rPr>
        <w:t xml:space="preserve">详见</w:t>
      </w:r>
      <w:r>
        <w:rPr>
          <w:rFonts w:hint="eastAsia" w:asciiTheme="minorEastAsia" w:hAnsiTheme="minorEastAsia" w:eastAsiaTheme="minorEastAsia"/>
          <w:color w:val="auto"/>
          <w:highlight w:val="none"/>
        </w:rPr>
        <w:t xml:space="preserve">文件</w:t>
      </w:r>
      <w:r>
        <w:rPr>
          <w:rFonts w:asciiTheme="minorEastAsia" w:hAnsiTheme="minorEastAsia" w:eastAsiaTheme="minorEastAsia"/>
          <w:color w:val="auto"/>
          <w:highlight w:val="none"/>
        </w:rPr>
        <w:t xml:space="preserve">技术规格、参数及其他要求</w:t>
      </w:r>
      <w:r>
        <w:rPr>
          <w:rFonts w:hint="eastAsia" w:asciiTheme="minorEastAsia" w:hAnsiTheme="minorEastAsia" w:eastAsiaTheme="minorEastAsia"/>
          <w:color w:val="auto"/>
          <w:highlight w:val="none"/>
        </w:rPr>
        <w:t xml:space="preserve">。</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w:t>
      </w: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合同总价（大写）：</w:t>
      </w:r>
      <w:r>
        <w:rPr>
          <w:rFonts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rPr>
        <w:t xml:space="preserve">。</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2.1</w:t>
      </w:r>
      <w:r>
        <w:rPr>
          <w:rFonts w:hint="eastAsia" w:asciiTheme="minorEastAsia" w:hAnsiTheme="minorEastAsia" w:eastAsiaTheme="minorEastAsia"/>
          <w:color w:val="auto"/>
          <w:highlight w:val="none"/>
        </w:rPr>
        <w:t xml:space="preserve"> </w:t>
      </w:r>
      <w:r>
        <w:rPr>
          <w:rFonts w:asciiTheme="minorEastAsia" w:hAnsiTheme="minorEastAsia" w:eastAsiaTheme="minorEastAsia"/>
          <w:color w:val="auto"/>
          <w:highlight w:val="none"/>
        </w:rPr>
        <w:t xml:space="preserve">投标报价，应包括本次采购范围内全部设备、材料、随设备提供的备品配件及专用工具的价格、全部税、包装费、运杂费（运抵甲方项目现场）、保险费、安装费、调试费、甲方操作维护人员培训费、验收检定费（含运输等费用）及</w:t>
      </w:r>
      <w:r>
        <w:rPr>
          <w:rFonts w:hint="eastAsia" w:asciiTheme="minorEastAsia" w:hAnsiTheme="minorEastAsia" w:eastAsiaTheme="minorEastAsia"/>
          <w:color w:val="auto"/>
          <w:highlight w:val="none"/>
        </w:rPr>
        <w:t xml:space="preserve">乙方</w:t>
      </w:r>
      <w:r>
        <w:rPr>
          <w:rFonts w:asciiTheme="minorEastAsia" w:hAnsiTheme="minorEastAsia" w:eastAsiaTheme="minorEastAsia"/>
          <w:color w:val="auto"/>
          <w:highlight w:val="none"/>
        </w:rPr>
        <w:t xml:space="preserve">认为需要的其他费用等。</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2.2</w:t>
      </w:r>
      <w:r>
        <w:rPr>
          <w:rFonts w:hint="eastAsia" w:asciiTheme="minorEastAsia" w:hAnsiTheme="minorEastAsia" w:eastAsiaTheme="minorEastAsia"/>
          <w:color w:val="auto"/>
          <w:highlight w:val="none"/>
        </w:rPr>
        <w:t xml:space="preserve"> </w:t>
      </w:r>
      <w:r>
        <w:rPr>
          <w:rFonts w:asciiTheme="minorEastAsia" w:hAnsiTheme="minorEastAsia" w:eastAsiaTheme="minorEastAsia"/>
          <w:color w:val="auto"/>
          <w:highlight w:val="none"/>
        </w:rPr>
        <w:t xml:space="preserve">在安装、调试、验收过程中，如发现有漏项、缺件，乙方应无条件、无偿补齐，所发生的一切费用，视为已包含在乙方投标时的投标报价之中，且并不因此而影响交付甲方使用的时间。</w:t>
      </w:r>
      <w:r/>
    </w:p>
    <w:p>
      <w:pPr>
        <w:ind w:firstLine="420"/>
        <w:spacing w:line="360" w:lineRule="auto"/>
        <w:rPr>
          <w:rFonts w:hint="eastAsia" w:asciiTheme="minorEastAsia" w:hAnsiTheme="minorEastAsia" w:eastAsiaTheme="minorEastAsia"/>
          <w:bCs/>
          <w:color w:val="auto"/>
          <w:highlight w:val="none"/>
        </w:rPr>
      </w:pPr>
      <w:r>
        <w:rPr>
          <w:rFonts w:asciiTheme="minorEastAsia" w:hAnsiTheme="minorEastAsia" w:eastAsiaTheme="minorEastAsia"/>
          <w:bCs/>
          <w:color w:val="auto"/>
          <w:highlight w:val="none"/>
        </w:rPr>
        <w:t xml:space="preserve">3</w:t>
      </w:r>
      <w:r>
        <w:rPr>
          <w:rFonts w:hint="eastAsia" w:asciiTheme="minorEastAsia" w:hAnsiTheme="minorEastAsia" w:eastAsiaTheme="minorEastAsia"/>
          <w:bCs/>
          <w:color w:val="auto"/>
          <w:highlight w:val="none"/>
        </w:rPr>
        <w:t xml:space="preserve">.</w:t>
      </w:r>
      <w:r>
        <w:rPr>
          <w:rFonts w:asciiTheme="minorEastAsia" w:hAnsiTheme="minorEastAsia" w:eastAsiaTheme="minorEastAsia"/>
          <w:bCs/>
          <w:color w:val="auto"/>
          <w:highlight w:val="none"/>
        </w:rPr>
        <w:t xml:space="preserve">交付使用时间：</w:t>
      </w:r>
      <w:r/>
    </w:p>
    <w:p>
      <w:pPr>
        <w:ind w:firstLine="420"/>
        <w:spacing w:line="360" w:lineRule="auto"/>
        <w:rPr>
          <w:rFonts w:hint="eastAsia" w:asciiTheme="minorEastAsia" w:hAnsiTheme="minorEastAsia" w:eastAsiaTheme="minorEastAsia"/>
          <w:bCs/>
          <w:color w:val="auto"/>
          <w:highlight w:val="none"/>
        </w:rPr>
      </w:pPr>
      <w:r>
        <w:rPr>
          <w:rFonts w:hint="eastAsia" w:asciiTheme="minorEastAsia" w:hAnsiTheme="minorEastAsia" w:eastAsiaTheme="minorEastAsia"/>
          <w:bCs/>
          <w:color w:val="auto"/>
          <w:highlight w:val="none"/>
        </w:rPr>
        <w:t xml:space="preserve">合同签订生效后，X个月内全部</w:t>
      </w:r>
      <w:r>
        <w:rPr>
          <w:rFonts w:asciiTheme="minorEastAsia" w:hAnsiTheme="minorEastAsia" w:eastAsiaTheme="minorEastAsia"/>
          <w:bCs/>
          <w:color w:val="auto"/>
          <w:highlight w:val="none"/>
        </w:rPr>
        <w:t xml:space="preserve">设备、</w:t>
      </w:r>
      <w:r>
        <w:rPr>
          <w:rFonts w:hint="eastAsia" w:asciiTheme="minorEastAsia" w:hAnsiTheme="minorEastAsia" w:eastAsiaTheme="minorEastAsia"/>
          <w:bCs/>
          <w:color w:val="auto"/>
          <w:highlight w:val="none"/>
        </w:rPr>
        <w:t xml:space="preserve">材料</w:t>
      </w:r>
      <w:r>
        <w:rPr>
          <w:rFonts w:asciiTheme="minorEastAsia" w:hAnsiTheme="minorEastAsia" w:eastAsiaTheme="minorEastAsia"/>
          <w:bCs/>
          <w:color w:val="auto"/>
          <w:highlight w:val="none"/>
        </w:rPr>
        <w:t xml:space="preserve">全部</w:t>
      </w:r>
      <w:r>
        <w:rPr>
          <w:rFonts w:hint="eastAsia" w:asciiTheme="minorEastAsia" w:hAnsiTheme="minorEastAsia" w:eastAsiaTheme="minorEastAsia"/>
          <w:bCs/>
          <w:color w:val="auto"/>
          <w:highlight w:val="none"/>
        </w:rPr>
        <w:t xml:space="preserve">运抵现场，</w:t>
      </w:r>
      <w:r>
        <w:rPr>
          <w:rFonts w:asciiTheme="minorEastAsia" w:hAnsiTheme="minorEastAsia" w:eastAsiaTheme="minorEastAsia"/>
          <w:bCs/>
          <w:color w:val="auto"/>
          <w:highlight w:val="none"/>
        </w:rPr>
        <w:t xml:space="preserve">并安装、调试结束，交付甲方使用。</w:t>
      </w:r>
      <w:r/>
    </w:p>
    <w:p>
      <w:pPr>
        <w:ind w:firstLine="420"/>
        <w:spacing w:line="360" w:lineRule="auto"/>
        <w:rPr>
          <w:rFonts w:hint="eastAsia" w:asciiTheme="minorEastAsia" w:hAnsiTheme="minorEastAsia" w:eastAsiaTheme="minorEastAsia"/>
          <w:bCs/>
          <w:color w:val="auto"/>
          <w:highlight w:val="none"/>
        </w:rPr>
      </w:pPr>
      <w:r>
        <w:rPr>
          <w:rFonts w:asciiTheme="minorEastAsia" w:hAnsiTheme="minorEastAsia" w:eastAsiaTheme="minorEastAsia"/>
          <w:bCs/>
          <w:color w:val="auto"/>
          <w:highlight w:val="none"/>
        </w:rPr>
        <w:t xml:space="preserve">4</w:t>
      </w:r>
      <w:r>
        <w:rPr>
          <w:rFonts w:hint="eastAsia" w:asciiTheme="minorEastAsia" w:hAnsiTheme="minorEastAsia" w:eastAsiaTheme="minorEastAsia"/>
          <w:bCs/>
          <w:color w:val="auto"/>
          <w:highlight w:val="none"/>
        </w:rPr>
        <w:t xml:space="preserve">.</w:t>
      </w:r>
      <w:r>
        <w:rPr>
          <w:rFonts w:asciiTheme="minorEastAsia" w:hAnsiTheme="minorEastAsia" w:eastAsiaTheme="minorEastAsia"/>
          <w:bCs/>
          <w:color w:val="auto"/>
          <w:highlight w:val="none"/>
        </w:rPr>
        <w:t xml:space="preserve">收货人：</w:t>
      </w:r>
      <w:r>
        <w:rPr>
          <w:rFonts w:asciiTheme="minorEastAsia" w:hAnsiTheme="minorEastAsia" w:eastAsiaTheme="minorEastAsia"/>
          <w:bCs/>
          <w:color w:val="auto"/>
          <w:highlight w:val="none"/>
          <w:u w:val="single"/>
        </w:rPr>
        <w:t xml:space="preserve">                       </w:t>
      </w:r>
      <w:r>
        <w:rPr>
          <w:rFonts w:hint="eastAsia" w:asciiTheme="minorEastAsia" w:hAnsiTheme="minorEastAsia" w:eastAsiaTheme="minorEastAsia"/>
          <w:bCs/>
          <w:color w:val="auto"/>
          <w:highlight w:val="none"/>
        </w:rPr>
        <w:t xml:space="preserve">。</w:t>
      </w:r>
      <w:r>
        <w:rPr>
          <w:rFonts w:asciiTheme="minorEastAsia" w:hAnsiTheme="minorEastAsia" w:eastAsiaTheme="minorEastAsia"/>
          <w:bCs/>
          <w:color w:val="auto"/>
          <w:highlight w:val="none"/>
        </w:rPr>
        <w:t xml:space="preserve"> </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5</w:t>
      </w: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交货地点：甲方指定地点。</w:t>
      </w:r>
      <w:r/>
    </w:p>
    <w:p>
      <w:pPr>
        <w:ind w:firstLine="420"/>
        <w:spacing w:line="360" w:lineRule="auto"/>
        <w:rPr>
          <w:rFonts w:hint="eastAsia" w:asciiTheme="minorEastAsia" w:hAnsiTheme="minorEastAsia" w:eastAsiaTheme="minorEastAsia"/>
          <w:color w:val="auto"/>
          <w:highlight w:val="none"/>
          <w:u w:val="single"/>
        </w:rPr>
      </w:pPr>
      <w:r>
        <w:rPr>
          <w:rFonts w:asciiTheme="minorEastAsia" w:hAnsiTheme="minorEastAsia" w:eastAsiaTheme="minorEastAsia"/>
          <w:color w:val="auto"/>
          <w:highlight w:val="none"/>
        </w:rPr>
        <w:t xml:space="preserve">6</w:t>
      </w: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设备的制造应符合</w:t>
      </w:r>
      <w:r>
        <w:rPr>
          <w:rFonts w:hint="eastAsia" w:asciiTheme="minorEastAsia" w:hAnsiTheme="minorEastAsia" w:eastAsiaTheme="minorEastAsia"/>
          <w:color w:val="auto"/>
          <w:highlight w:val="none"/>
        </w:rPr>
        <w:t xml:space="preserve">国家</w:t>
      </w:r>
      <w:r>
        <w:rPr>
          <w:rFonts w:asciiTheme="minorEastAsia" w:hAnsiTheme="minorEastAsia" w:eastAsiaTheme="minorEastAsia"/>
          <w:color w:val="auto"/>
          <w:highlight w:val="none"/>
        </w:rPr>
        <w:t xml:space="preserve">标准或规范并据此验收</w:t>
      </w:r>
      <w:r>
        <w:rPr>
          <w:rFonts w:hint="eastAsia" w:asciiTheme="minorEastAsia" w:hAnsiTheme="minorEastAsia" w:eastAsiaTheme="minorEastAsia"/>
          <w:color w:val="auto"/>
          <w:highlight w:val="none"/>
        </w:rPr>
        <w:t xml:space="preserve">。</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7</w:t>
      </w: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包装要求：全部货物的外包装，必须采用防漏、防潮、防震、防锈、防盗和考虑到可能会发生的野蛮装卸等长途内陆运输及多次装卸之需要。</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8</w:t>
      </w: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甲方付款方式及期限：</w:t>
      </w:r>
      <w:r>
        <w:rPr>
          <w:rFonts w:hint="eastAsia" w:asciiTheme="minorEastAsia" w:hAnsiTheme="minorEastAsia" w:eastAsiaTheme="minorEastAsia"/>
          <w:color w:val="auto"/>
          <w:highlight w:val="none"/>
          <w:lang w:val="en-US" w:eastAsia="zh-CN"/>
        </w:rPr>
        <w:t xml:space="preserve">合同签订后支付合同总额的30%作为预付款；项目竣工后，经使用学校对标功能评估合格、专家验收考评合格后，支付剩余合同总额。</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9</w:t>
      </w: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验收</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甲方自行组织或视情邀请相关专家或国家认可的质量检测机构参加验收，乙方提供的产品和服务不符合文件和合同规定的，甲方有权拒收，乙方承担验收费用等。</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10</w:t>
      </w: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质保期及售后服务</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10.1</w:t>
      </w:r>
      <w:r>
        <w:rPr>
          <w:rFonts w:hint="eastAsia" w:asciiTheme="minorEastAsia" w:hAnsiTheme="minorEastAsia" w:eastAsiaTheme="minorEastAsia"/>
          <w:color w:val="auto"/>
          <w:highlight w:val="none"/>
        </w:rPr>
        <w:t xml:space="preserve"> </w:t>
      </w:r>
      <w:r>
        <w:rPr>
          <w:rFonts w:asciiTheme="minorEastAsia" w:hAnsiTheme="minorEastAsia" w:eastAsiaTheme="minorEastAsia"/>
          <w:color w:val="auto"/>
          <w:highlight w:val="none"/>
        </w:rPr>
        <w:t xml:space="preserve">乙方所供设备、材料及安装的质量保证期至少为</w:t>
      </w:r>
      <w:r>
        <w:rPr>
          <w:rFonts w:hint="eastAsia" w:asciiTheme="minorEastAsia" w:hAnsiTheme="minorEastAsia" w:eastAsiaTheme="minorEastAsia"/>
          <w:color w:val="auto"/>
          <w:highlight w:val="none"/>
        </w:rPr>
        <w:t xml:space="preserve">X</w:t>
      </w:r>
      <w:r>
        <w:rPr>
          <w:rFonts w:asciiTheme="minorEastAsia" w:hAnsiTheme="minorEastAsia" w:eastAsiaTheme="minorEastAsia"/>
          <w:color w:val="auto"/>
          <w:highlight w:val="none"/>
        </w:rPr>
        <w:t xml:space="preserve">年，自验收合格起计算。</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10.2</w:t>
      </w:r>
      <w:r>
        <w:rPr>
          <w:rFonts w:hint="eastAsia" w:asciiTheme="minorEastAsia" w:hAnsiTheme="minorEastAsia" w:eastAsiaTheme="minorEastAsia"/>
          <w:color w:val="auto"/>
          <w:highlight w:val="none"/>
        </w:rPr>
        <w:t xml:space="preserve"> </w:t>
      </w:r>
      <w:r>
        <w:rPr>
          <w:rFonts w:asciiTheme="minorEastAsia" w:hAnsiTheme="minorEastAsia" w:eastAsiaTheme="minorEastAsia"/>
          <w:color w:val="auto"/>
          <w:highlight w:val="none"/>
        </w:rPr>
        <w:t xml:space="preserve">在质保期内，因乙方所供设备、材料制造质量或安装问题出现设备故障时，乙方在接甲方通知后，</w:t>
      </w:r>
      <w:r>
        <w:rPr>
          <w:rFonts w:hint="eastAsia" w:asciiTheme="minorEastAsia" w:hAnsiTheme="minorEastAsia" w:eastAsiaTheme="minorEastAsia"/>
          <w:color w:val="auto"/>
          <w:highlight w:val="none"/>
        </w:rPr>
        <w:t xml:space="preserve">X</w:t>
      </w:r>
      <w:r>
        <w:rPr>
          <w:rFonts w:asciiTheme="minorEastAsia" w:hAnsiTheme="minorEastAsia" w:eastAsiaTheme="minorEastAsia"/>
          <w:color w:val="auto"/>
          <w:highlight w:val="none"/>
        </w:rPr>
        <w:t xml:space="preserve">小时内响应，并在</w:t>
      </w:r>
      <w:r>
        <w:rPr>
          <w:rFonts w:hint="eastAsia" w:asciiTheme="minorEastAsia" w:hAnsiTheme="minorEastAsia" w:eastAsiaTheme="minorEastAsia"/>
          <w:color w:val="auto"/>
          <w:highlight w:val="none"/>
        </w:rPr>
        <w:t xml:space="preserve">X</w:t>
      </w:r>
      <w:r>
        <w:rPr>
          <w:rFonts w:asciiTheme="minorEastAsia" w:hAnsiTheme="minorEastAsia" w:eastAsiaTheme="minorEastAsia"/>
          <w:color w:val="auto"/>
          <w:highlight w:val="none"/>
        </w:rPr>
        <w:t xml:space="preserve">小时内赶到甲方现场，免费予以排除故障、修复或更换零部件。还应支付因更换所发生的运输、保险、安装、检测等有关的全部费用。</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10.3</w:t>
      </w:r>
      <w:r>
        <w:rPr>
          <w:rFonts w:hint="eastAsia" w:asciiTheme="minorEastAsia" w:hAnsiTheme="minorEastAsia" w:eastAsiaTheme="minorEastAsia"/>
          <w:color w:val="auto"/>
          <w:highlight w:val="none"/>
        </w:rPr>
        <w:t xml:space="preserve"> </w:t>
      </w:r>
      <w:r>
        <w:rPr>
          <w:rFonts w:asciiTheme="minorEastAsia" w:hAnsiTheme="minorEastAsia" w:eastAsiaTheme="minorEastAsia"/>
          <w:color w:val="auto"/>
          <w:highlight w:val="none"/>
        </w:rPr>
        <w:t xml:space="preserve">在质保期内，因甲方使用不当原因出现设备故障时，乙方在接甲方通知后，应在10.2条款中所述的时限内赶到甲方现场，帮助排除故障、修复或更换零部件，需购买零部件时，酌情收取成本费。</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10.4</w:t>
      </w:r>
      <w:r>
        <w:rPr>
          <w:rFonts w:hint="eastAsia" w:asciiTheme="minorEastAsia" w:hAnsiTheme="minorEastAsia" w:eastAsiaTheme="minorEastAsia"/>
          <w:color w:val="auto"/>
          <w:highlight w:val="none"/>
        </w:rPr>
        <w:t xml:space="preserve"> </w:t>
      </w:r>
      <w:r>
        <w:rPr>
          <w:rFonts w:asciiTheme="minorEastAsia" w:hAnsiTheme="minorEastAsia" w:eastAsiaTheme="minorEastAsia"/>
          <w:color w:val="auto"/>
          <w:highlight w:val="none"/>
        </w:rPr>
        <w:t xml:space="preserve">质保期满后，如设备出现故障，乙方在接甲方通知后，仍应在上述时间内响应、派人赶到甲方现场，帮助排除故障、修复或更换零部件，需购买零部件时，酌情收取成本费。</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11</w:t>
      </w: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技术资料</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按第四章</w:t>
      </w:r>
      <w:r>
        <w:rPr>
          <w:rFonts w:hint="eastAsia" w:asciiTheme="minorEastAsia" w:hAnsiTheme="minorEastAsia" w:eastAsiaTheme="minorEastAsia"/>
          <w:color w:val="auto"/>
          <w:highlight w:val="none"/>
        </w:rPr>
        <w:t xml:space="preserve">采购</w:t>
      </w:r>
      <w:r>
        <w:rPr>
          <w:rFonts w:asciiTheme="minorEastAsia" w:hAnsiTheme="minorEastAsia" w:eastAsiaTheme="minorEastAsia"/>
          <w:color w:val="auto"/>
          <w:highlight w:val="none"/>
        </w:rPr>
        <w:t xml:space="preserve">需求中的要求提供相关资料。</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12</w:t>
      </w: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乙方的违约责任</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12.1</w:t>
      </w:r>
      <w:r>
        <w:rPr>
          <w:rFonts w:hint="eastAsia" w:asciiTheme="minorEastAsia" w:hAnsiTheme="minorEastAsia" w:eastAsiaTheme="minorEastAsia"/>
          <w:color w:val="auto"/>
          <w:highlight w:val="none"/>
        </w:rPr>
        <w:t xml:space="preserve"> </w:t>
      </w:r>
      <w:r>
        <w:rPr>
          <w:rFonts w:asciiTheme="minorEastAsia" w:hAnsiTheme="minorEastAsia" w:eastAsiaTheme="minorEastAsia"/>
          <w:color w:val="auto"/>
          <w:highlight w:val="none"/>
        </w:rPr>
        <w:t xml:space="preserve">乙方未按合同规定的质量要求交货，甲方有权拒收，由此造成的直接损失和间接损失由乙方赔偿。</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12.2</w:t>
      </w:r>
      <w:r>
        <w:rPr>
          <w:rFonts w:hint="eastAsia" w:asciiTheme="minorEastAsia" w:hAnsiTheme="minorEastAsia" w:eastAsiaTheme="minorEastAsia"/>
          <w:color w:val="auto"/>
          <w:highlight w:val="none"/>
        </w:rPr>
        <w:t xml:space="preserve"> </w:t>
      </w:r>
      <w:r>
        <w:rPr>
          <w:rFonts w:asciiTheme="minorEastAsia" w:hAnsiTheme="minorEastAsia" w:eastAsiaTheme="minorEastAsia"/>
          <w:color w:val="auto"/>
          <w:highlight w:val="none"/>
        </w:rPr>
        <w:t xml:space="preserve">乙方逾期交付（包括整修、返工、补交或由甲方提出更改、乙方承诺，但未在承诺的工期内完成等）应向甲方偿付违约金，每逾期1天，按合同总价的万分之五偿付违约金。</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12.3 乙方不能交付或不能完成合同，乙方双倍返还甲方已支付的货款。</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12.4</w:t>
      </w:r>
      <w:r>
        <w:rPr>
          <w:rFonts w:hint="eastAsia" w:asciiTheme="minorEastAsia" w:hAnsiTheme="minorEastAsia" w:eastAsiaTheme="minorEastAsia"/>
          <w:color w:val="auto"/>
          <w:highlight w:val="none"/>
        </w:rPr>
        <w:t xml:space="preserve"> </w:t>
      </w:r>
      <w:r>
        <w:rPr>
          <w:rFonts w:asciiTheme="minorEastAsia" w:hAnsiTheme="minorEastAsia" w:eastAsiaTheme="minorEastAsia"/>
          <w:color w:val="auto"/>
          <w:highlight w:val="none"/>
        </w:rPr>
        <w:t xml:space="preserve">本合同所有货物的制造及安装，都必须由乙方自己或响应文件中明确的单位承担，不得分包给其他单位。否则，甲方有权按乙方不能交付或不能完成合同处理。</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12.5 乙方履行义务不符合合同约定时，甲方将扣减</w:t>
      </w:r>
      <w:r>
        <w:rPr>
          <w:rFonts w:hint="eastAsia" w:asciiTheme="minorEastAsia" w:hAnsiTheme="minorEastAsia" w:eastAsiaTheme="minorEastAsia"/>
          <w:color w:val="auto"/>
          <w:highlight w:val="none"/>
        </w:rPr>
        <w:t xml:space="preserve">10</w:t>
      </w:r>
      <w:r>
        <w:rPr>
          <w:rFonts w:asciiTheme="minorEastAsia" w:hAnsiTheme="minorEastAsia" w:eastAsiaTheme="minorEastAsia"/>
          <w:color w:val="auto"/>
          <w:highlight w:val="none"/>
        </w:rPr>
        <w:t xml:space="preserve">%尾款。</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13</w:t>
      </w: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甲方的违约责任：甲方未按合同规定的时间和要求向乙方提供相关安装条件等，乙方交付时间顺延。</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14</w:t>
      </w: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乙方供给甲方的设备、材料及乙方自己的施工用具，进入甲方工地现场后的保管，由乙方负责；乙方在甲方工地现场安装、调试、验收人员的安全、保险、食宿、交通由乙方负责。</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15</w:t>
      </w: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乙方在设备安装、调试过程中，甲方提供</w:t>
      </w:r>
      <w:r>
        <w:rPr>
          <w:rFonts w:hint="eastAsia" w:asciiTheme="minorEastAsia" w:hAnsiTheme="minorEastAsia" w:eastAsiaTheme="minorEastAsia"/>
          <w:color w:val="auto"/>
          <w:highlight w:val="none"/>
        </w:rPr>
        <w:t xml:space="preserve">必要的</w:t>
      </w:r>
      <w:r>
        <w:rPr>
          <w:rFonts w:asciiTheme="minorEastAsia" w:hAnsiTheme="minorEastAsia" w:eastAsiaTheme="minorEastAsia"/>
          <w:color w:val="auto"/>
          <w:highlight w:val="none"/>
        </w:rPr>
        <w:t xml:space="preserve">条件和配合</w:t>
      </w:r>
      <w:r>
        <w:rPr>
          <w:rFonts w:hint="eastAsia" w:asciiTheme="minorEastAsia" w:hAnsiTheme="minorEastAsia" w:eastAsiaTheme="minorEastAsia"/>
          <w:color w:val="auto"/>
          <w:highlight w:val="none"/>
        </w:rPr>
        <w:t xml:space="preserve">。</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16</w:t>
      </w: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甲方使用乙方提供的设备，当受到第三方提出的侵犯其专利权、商标权或工业设计权的起诉时，一切后果由乙方负责。</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b/>
          <w:bCs/>
          <w:color w:val="auto"/>
          <w:szCs w:val="21"/>
          <w:highlight w:val="none"/>
        </w:rPr>
        <w:t xml:space="preserve">第三条 合同的变更和终止</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1.除《政府采购法》第50条第二款规定的情形外，本合同一经签订，甲乙双方不得擅自变更、中止或终止合同。</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2.除发生法律规定的不能预见、不能避免并不能克服的客观情况外，甲乙双方不得放弃或拒绝履行合同。</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b/>
          <w:bCs/>
          <w:color w:val="auto"/>
          <w:szCs w:val="21"/>
          <w:highlight w:val="none"/>
        </w:rPr>
        <w:t xml:space="preserve">第四条 合同的转让</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乙方不得擅自部分或全部转让其应履行的合同义务。</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b/>
          <w:bCs/>
          <w:color w:val="auto"/>
          <w:szCs w:val="21"/>
          <w:highlight w:val="none"/>
        </w:rPr>
        <w:t xml:space="preserve">第五条 争议的解决</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1.因履行本合同引起的或与本合同有关的争议，甲、乙双方应首先通过友好协商解决，如果协商不能解决争议，则采取以下第（</w:t>
      </w:r>
      <w:r>
        <w:rPr>
          <w:rFonts w:cs="宋体" w:asciiTheme="minorEastAsia" w:hAnsiTheme="minorEastAsia" w:eastAsiaTheme="minorEastAsia"/>
          <w:color w:val="auto"/>
          <w:szCs w:val="21"/>
          <w:highlight w:val="none"/>
        </w:rPr>
        <w:t xml:space="preserve">1</w:t>
      </w:r>
      <w:r>
        <w:rPr>
          <w:rFonts w:hint="eastAsia" w:cs="宋体" w:asciiTheme="minorEastAsia" w:hAnsiTheme="minorEastAsia" w:eastAsiaTheme="minorEastAsia"/>
          <w:color w:val="auto"/>
          <w:szCs w:val="21"/>
          <w:highlight w:val="none"/>
        </w:rPr>
        <w:t xml:space="preserve">）种方式解决争议：</w:t>
      </w:r>
      <w:r/>
    </w:p>
    <w:p>
      <w:pPr>
        <w:ind w:firstLine="56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（1）向甲方所在地有管辖权的人民法院提起诉讼；</w:t>
      </w:r>
      <w:r/>
    </w:p>
    <w:p>
      <w:pPr>
        <w:ind w:firstLine="56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（2）向南京仲裁委员会按其仲裁规则申请仲裁。</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2</w:t>
      </w:r>
      <w:r>
        <w:rPr>
          <w:rFonts w:hint="eastAsia" w:cs="宋体" w:asciiTheme="minorEastAsia" w:hAnsiTheme="minorEastAsia" w:eastAsiaTheme="minorEastAsia"/>
          <w:color w:val="auto"/>
          <w:szCs w:val="21"/>
          <w:highlight w:val="none"/>
        </w:rPr>
        <w:t xml:space="preserve">.在诉讼期间，本合同应继续履行。</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b/>
          <w:bCs/>
          <w:color w:val="auto"/>
          <w:szCs w:val="21"/>
          <w:highlight w:val="none"/>
        </w:rPr>
        <w:t xml:space="preserve">第六条 诚实信用</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乙方应诚实信用，严格按照招标文件要求和承诺履行合同，不向甲方进行商业贿赂或者提供不正当利益。</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b/>
          <w:bCs/>
          <w:color w:val="auto"/>
          <w:szCs w:val="21"/>
          <w:highlight w:val="none"/>
        </w:rPr>
        <w:t xml:space="preserve">第七条 合同生效及其他</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1.本合同自签订之日起生效。</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2.本合同一式四份，甲乙双方各执两份。</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3.本合同应按照中华人民共和国的现行法律进行解释。</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（以下无正文）</w:t>
      </w:r>
      <w:r/>
    </w:p>
    <w:tbl>
      <w:tblPr>
        <w:tblStyle w:val="900"/>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甲方：（盖章）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zh-CN"/>
              </w:rPr>
              <w:t xml:space="preserve">法定代表人或委托代理人</w:t>
            </w:r>
            <w:r>
              <w:rPr>
                <w:rFonts w:hint="eastAsia" w:cs="宋体" w:asciiTheme="minorEastAsia" w:hAnsiTheme="minorEastAsia" w:eastAsiaTheme="minorEastAsia"/>
                <w:color w:val="auto"/>
                <w:szCs w:val="21"/>
                <w:highlight w:val="none"/>
              </w:rPr>
              <w:t xml:space="preserve">：</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zh-CN"/>
              </w:rPr>
              <w:t xml:space="preserve">法定代表人或委托代理人</w:t>
            </w:r>
            <w:r>
              <w:rPr>
                <w:rFonts w:hint="eastAsia" w:cs="宋体" w:asciiTheme="minorEastAsia" w:hAnsiTheme="minorEastAsia" w:eastAsiaTheme="minorEastAsia"/>
                <w:color w:val="auto"/>
                <w:szCs w:val="21"/>
                <w:highlight w:val="none"/>
              </w:rPr>
              <w:t xml:space="preserve">：</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zh-CN"/>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zh-CN"/>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账</w:t>
            </w:r>
            <w:r>
              <w:rPr>
                <w:rFonts w:hint="eastAsia" w:cs="宋体" w:asciiTheme="minorEastAsia" w:hAnsiTheme="minorEastAsia" w:eastAsiaTheme="minorEastAsia"/>
                <w:color w:val="auto"/>
                <w:szCs w:val="21"/>
                <w:highlight w:val="none"/>
                <w:lang w:val="zh-CN"/>
              </w:rPr>
              <w:t xml:space="preserve">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账</w:t>
            </w:r>
            <w:r>
              <w:rPr>
                <w:rFonts w:hint="eastAsia" w:cs="宋体" w:asciiTheme="minorEastAsia" w:hAnsiTheme="minorEastAsia" w:eastAsiaTheme="minorEastAsia"/>
                <w:color w:val="auto"/>
                <w:szCs w:val="21"/>
                <w:highlight w:val="none"/>
                <w:lang w:val="zh-CN"/>
              </w:rPr>
              <w:t xml:space="preserve">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日期： 年 月 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日期： 年 月 日</w:t>
            </w:r>
            <w:r/>
          </w:p>
        </w:tc>
      </w:tr>
    </w:tbl>
    <w:p>
      <w:pPr>
        <w:jc w:val="left"/>
        <w:widowControl/>
        <w:rPr>
          <w:rFonts w:hint="eastAsia" w:asciiTheme="minorEastAsia" w:hAnsiTheme="minorEastAsia" w:eastAsiaTheme="minorEastAsia"/>
          <w:b/>
          <w:bCs/>
          <w:color w:val="auto"/>
          <w:szCs w:val="21"/>
          <w:highlight w:val="none"/>
          <w:lang w:val="zh-CN"/>
        </w:rPr>
      </w:pPr>
      <w:r>
        <w:rPr>
          <w:rFonts w:hint="eastAsia" w:asciiTheme="minorEastAsia" w:hAnsiTheme="minorEastAsia" w:eastAsiaTheme="minorEastAsia"/>
          <w:b/>
          <w:bCs/>
          <w:color w:val="auto"/>
          <w:szCs w:val="21"/>
          <w:highlight w:val="none"/>
          <w:lang w:val="zh-CN"/>
        </w:rPr>
      </w:r>
      <w:r/>
    </w:p>
    <w:p>
      <w:pPr>
        <w:jc w:val="left"/>
        <w:spacing w:line="360" w:lineRule="auto"/>
        <w:widowControl/>
        <w:rPr>
          <w:rFonts w:hint="eastAsia" w:asciiTheme="minorEastAsia" w:hAnsiTheme="minorEastAsia" w:eastAsiaTheme="minorEastAsia"/>
          <w:b/>
          <w:bCs/>
          <w:color w:val="auto"/>
          <w:szCs w:val="21"/>
          <w:highlight w:val="none"/>
          <w:lang w:val="zh-CN"/>
        </w:rPr>
      </w:pPr>
      <w:r>
        <w:rPr>
          <w:rFonts w:hint="eastAsia" w:asciiTheme="minorEastAsia" w:hAnsiTheme="minorEastAsia" w:eastAsiaTheme="minorEastAsia"/>
          <w:b/>
          <w:bCs/>
          <w:color w:val="auto"/>
          <w:szCs w:val="21"/>
          <w:highlight w:val="none"/>
          <w:lang w:val="zh-CN"/>
        </w:rPr>
      </w:r>
      <w:r/>
    </w:p>
    <w:p>
      <w:pPr>
        <w:jc w:val="left"/>
        <w:widowControl/>
        <w:rPr>
          <w:rFonts w:hint="eastAsia" w:asciiTheme="minorEastAsia" w:hAnsiTheme="minorEastAsia" w:eastAsiaTheme="minorEastAsia"/>
          <w:b/>
          <w:bCs/>
          <w:color w:val="auto"/>
          <w:szCs w:val="21"/>
          <w:highlight w:val="none"/>
          <w:lang w:val="zh-CN"/>
        </w:rPr>
      </w:pPr>
      <w:r>
        <w:rPr>
          <w:rFonts w:hint="eastAsia" w:asciiTheme="minorEastAsia" w:hAnsiTheme="minorEastAsia" w:eastAsiaTheme="minorEastAsia"/>
          <w:b/>
          <w:bCs/>
          <w:color w:val="auto"/>
          <w:szCs w:val="21"/>
          <w:highlight w:val="none"/>
          <w:lang w:val="zh-CN"/>
        </w:rPr>
      </w:r>
      <w:bookmarkEnd w:id="146"/>
      <w:r/>
      <w:r/>
    </w:p>
    <w:p>
      <w:pPr>
        <w:pStyle w:val="890"/>
        <w:numPr>
          <w:ilvl w:val="0"/>
          <w:numId w:val="0"/>
        </w:numPr>
        <w:rPr>
          <w:rFonts w:hint="eastAsia" w:asciiTheme="minorEastAsia" w:hAnsiTheme="minorEastAsia" w:eastAsiaTheme="minorEastAsia"/>
          <w:color w:val="auto"/>
          <w:highlight w:val="none"/>
        </w:rPr>
      </w:pPr>
      <w:r/>
      <w:bookmarkStart w:id="147" w:name="_Toc176529672"/>
      <w:r>
        <w:rPr>
          <w:rFonts w:hint="eastAsia" w:asciiTheme="minorEastAsia" w:hAnsiTheme="minorEastAsia" w:eastAsiaTheme="minorEastAsia"/>
          <w:color w:val="auto"/>
          <w:highlight w:val="none"/>
        </w:rPr>
        <w:t xml:space="preserve">第六章 投标文件格式</w:t>
      </w:r>
      <w:bookmarkEnd w:id="145"/>
      <w:r/>
      <w:bookmarkEnd w:id="147"/>
      <w:r/>
      <w:r/>
    </w:p>
    <w:p>
      <w:pPr>
        <w:jc w:val="left"/>
        <w:spacing w:line="240" w:lineRule="atLeast"/>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r>
      <w:r/>
    </w:p>
    <w:p>
      <w:pPr>
        <w:spacing w:line="440" w:lineRule="exact"/>
        <w:rPr>
          <w:rFonts w:hint="eastAsia" w:asciiTheme="minorEastAsia" w:hAnsiTheme="minorEastAsia" w:eastAsiaTheme="minorEastAsia"/>
          <w:color w:val="auto"/>
          <w:sz w:val="20"/>
          <w:szCs w:val="20"/>
          <w:highlight w:val="none"/>
        </w:rPr>
      </w:pPr>
      <w:r>
        <w:rPr>
          <w:rFonts w:hint="eastAsia" w:asciiTheme="minorEastAsia" w:hAnsiTheme="minorEastAsia" w:eastAsiaTheme="minorEastAsia"/>
          <w:color w:val="auto"/>
          <w:sz w:val="20"/>
          <w:szCs w:val="20"/>
          <w:highlight w:val="none"/>
        </w:rPr>
      </w:r>
      <w:r/>
    </w:p>
    <w:p>
      <w:pPr>
        <w:spacing w:line="440" w:lineRule="exact"/>
        <w:rPr>
          <w:rFonts w:hint="eastAsia" w:asciiTheme="minorEastAsia" w:hAnsiTheme="minorEastAsia" w:eastAsiaTheme="minorEastAsia"/>
          <w:color w:val="auto"/>
          <w:sz w:val="20"/>
          <w:szCs w:val="20"/>
          <w:highlight w:val="none"/>
        </w:rPr>
      </w:pPr>
      <w:r>
        <w:rPr>
          <w:rFonts w:hint="eastAsia" w:asciiTheme="minorEastAsia" w:hAnsiTheme="minorEastAsia" w:eastAsiaTheme="minorEastAsia"/>
          <w:color w:val="auto"/>
          <w:sz w:val="20"/>
          <w:szCs w:val="20"/>
          <w:highlight w:val="none"/>
        </w:rPr>
      </w:r>
      <w:r/>
    </w:p>
    <w:p>
      <w:pPr>
        <w:spacing w:line="440" w:lineRule="exact"/>
        <w:rPr>
          <w:rFonts w:hint="eastAsia" w:asciiTheme="minorEastAsia" w:hAnsiTheme="minorEastAsia" w:eastAsiaTheme="minorEastAsia"/>
          <w:color w:val="auto"/>
          <w:sz w:val="20"/>
          <w:szCs w:val="20"/>
          <w:highlight w:val="none"/>
        </w:rPr>
      </w:pPr>
      <w:r>
        <w:rPr>
          <w:rFonts w:hint="eastAsia" w:asciiTheme="minorEastAsia" w:hAnsiTheme="minorEastAsia" w:eastAsiaTheme="minorEastAsia"/>
          <w:color w:val="auto"/>
          <w:sz w:val="20"/>
          <w:szCs w:val="20"/>
          <w:highlight w:val="none"/>
        </w:rPr>
      </w:r>
      <w:r/>
    </w:p>
    <w:p>
      <w:pPr>
        <w:spacing w:line="440" w:lineRule="exact"/>
        <w:rPr>
          <w:rFonts w:hint="eastAsia" w:asciiTheme="minorEastAsia" w:hAnsiTheme="minorEastAsia" w:eastAsiaTheme="minorEastAsia"/>
          <w:color w:val="auto"/>
          <w:sz w:val="20"/>
          <w:szCs w:val="20"/>
          <w:highlight w:val="none"/>
        </w:rPr>
      </w:pPr>
      <w:r>
        <w:rPr>
          <w:rFonts w:hint="eastAsia" w:asciiTheme="minorEastAsia" w:hAnsiTheme="minorEastAsia" w:eastAsiaTheme="minorEastAsia"/>
          <w:color w:val="auto"/>
          <w:sz w:val="20"/>
          <w:szCs w:val="20"/>
          <w:highlight w:val="none"/>
        </w:rPr>
      </w:r>
      <w:r/>
    </w:p>
    <w:p>
      <w:pPr>
        <w:spacing w:line="440" w:lineRule="exact"/>
        <w:rPr>
          <w:rFonts w:hint="eastAsia"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r>
      <w:r/>
    </w:p>
    <w:p>
      <w:pPr>
        <w:jc w:val="center"/>
        <w:rPr>
          <w:rFonts w:hint="eastAsia"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r>
      <w:r/>
    </w:p>
    <w:p>
      <w:pPr>
        <w:rPr>
          <w:rFonts w:hint="eastAsia"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r>
      <w:r/>
    </w:p>
    <w:p>
      <w:pPr>
        <w:jc w:val="center"/>
        <w:rPr>
          <w:rFonts w:hint="eastAsia" w:asciiTheme="minorEastAsia" w:hAnsiTheme="minorEastAsia" w:eastAsiaTheme="minorEastAsia"/>
          <w:color w:val="auto"/>
          <w:sz w:val="52"/>
          <w:szCs w:val="52"/>
          <w:highlight w:val="none"/>
        </w:rPr>
      </w:pPr>
      <w:r>
        <w:rPr>
          <w:rFonts w:hint="eastAsia" w:asciiTheme="minorEastAsia" w:hAnsiTheme="minorEastAsia" w:eastAsiaTheme="minorEastAsia"/>
          <w:color w:val="auto"/>
          <w:sz w:val="52"/>
          <w:szCs w:val="52"/>
          <w:highlight w:val="none"/>
        </w:rPr>
        <w:t xml:space="preserve">投标文件</w:t>
      </w:r>
      <w:r/>
    </w:p>
    <w:p>
      <w:pPr>
        <w:rPr>
          <w:rFonts w:hint="eastAsia"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r>
      <w:r/>
    </w:p>
    <w:p>
      <w:pPr>
        <w:rPr>
          <w:rFonts w:hint="eastAsia"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r>
      <w:r/>
    </w:p>
    <w:p>
      <w:pPr>
        <w:rPr>
          <w:rFonts w:hint="eastAsia"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r>
      <w:r/>
    </w:p>
    <w:p>
      <w:pPr>
        <w:rPr>
          <w:rFonts w:hint="eastAsia"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r>
      <w:r/>
    </w:p>
    <w:p>
      <w:pPr>
        <w:rPr>
          <w:rFonts w:hint="eastAsia"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r>
      <w:r/>
    </w:p>
    <w:p>
      <w:pPr>
        <w:ind w:firstLine="1084"/>
        <w:rPr>
          <w:rFonts w:hint="eastAsia" w:asciiTheme="minorEastAsia" w:hAnsiTheme="minorEastAsia" w:eastAsiaTheme="minorEastAsia"/>
          <w:b/>
          <w:color w:val="auto"/>
          <w:sz w:val="36"/>
          <w:szCs w:val="21"/>
          <w:highlight w:val="none"/>
        </w:rPr>
      </w:pPr>
      <w:r>
        <w:rPr>
          <w:rFonts w:hint="eastAsia" w:asciiTheme="minorEastAsia" w:hAnsiTheme="minorEastAsia" w:eastAsiaTheme="minorEastAsia"/>
          <w:b/>
          <w:color w:val="auto"/>
          <w:sz w:val="36"/>
          <w:szCs w:val="21"/>
          <w:highlight w:val="none"/>
        </w:rPr>
        <w:t xml:space="preserve">项 目 名 称：</w:t>
      </w:r>
      <w:r>
        <w:rPr>
          <w:rFonts w:hint="eastAsia" w:asciiTheme="minorEastAsia" w:hAnsiTheme="minorEastAsia" w:eastAsiaTheme="minorEastAsia"/>
          <w:b/>
          <w:color w:val="auto"/>
          <w:sz w:val="36"/>
          <w:szCs w:val="21"/>
          <w:highlight w:val="none"/>
          <w:u w:val="single"/>
        </w:rPr>
        <w:t xml:space="preserve">                   </w:t>
      </w:r>
      <w:r/>
    </w:p>
    <w:p>
      <w:pPr>
        <w:ind w:firstLine="1084"/>
        <w:rPr>
          <w:rFonts w:hint="eastAsia" w:asciiTheme="minorEastAsia" w:hAnsiTheme="minorEastAsia" w:eastAsiaTheme="minorEastAsia"/>
          <w:b/>
          <w:color w:val="auto"/>
          <w:sz w:val="36"/>
          <w:szCs w:val="21"/>
          <w:highlight w:val="none"/>
          <w:u w:val="single"/>
        </w:rPr>
      </w:pPr>
      <w:r>
        <w:rPr>
          <w:rFonts w:hint="eastAsia" w:asciiTheme="minorEastAsia" w:hAnsiTheme="minorEastAsia" w:eastAsiaTheme="minorEastAsia"/>
          <w:b/>
          <w:color w:val="auto"/>
          <w:sz w:val="36"/>
          <w:szCs w:val="21"/>
          <w:highlight w:val="none"/>
        </w:rPr>
        <w:t xml:space="preserve">项 目 编 号：</w:t>
      </w:r>
      <w:r>
        <w:rPr>
          <w:rFonts w:hint="eastAsia" w:asciiTheme="minorEastAsia" w:hAnsiTheme="minorEastAsia" w:eastAsiaTheme="minorEastAsia"/>
          <w:b/>
          <w:color w:val="auto"/>
          <w:sz w:val="36"/>
          <w:szCs w:val="21"/>
          <w:highlight w:val="none"/>
          <w:u w:val="single"/>
        </w:rPr>
        <w:t xml:space="preserve">                   </w:t>
      </w:r>
      <w:r/>
    </w:p>
    <w:p>
      <w:pPr>
        <w:rPr>
          <w:rFonts w:hint="eastAsia" w:asciiTheme="minorEastAsia" w:hAnsiTheme="minorEastAsia" w:eastAsiaTheme="minorEastAsia"/>
          <w:b/>
          <w:color w:val="auto"/>
          <w:sz w:val="36"/>
          <w:szCs w:val="21"/>
          <w:highlight w:val="none"/>
          <w:u w:val="single"/>
        </w:rPr>
      </w:pPr>
      <w:r>
        <w:rPr>
          <w:rFonts w:hint="eastAsia" w:asciiTheme="minorEastAsia" w:hAnsiTheme="minorEastAsia" w:eastAsiaTheme="minorEastAsia"/>
          <w:b/>
          <w:color w:val="auto"/>
          <w:sz w:val="36"/>
          <w:szCs w:val="21"/>
          <w:highlight w:val="none"/>
        </w:rPr>
        <w:t xml:space="preserve">      投标人名称 ：</w:t>
      </w:r>
      <w:r>
        <w:rPr>
          <w:rFonts w:hint="eastAsia" w:asciiTheme="minorEastAsia" w:hAnsiTheme="minorEastAsia" w:eastAsiaTheme="minorEastAsia"/>
          <w:b/>
          <w:color w:val="auto"/>
          <w:sz w:val="36"/>
          <w:szCs w:val="21"/>
          <w:highlight w:val="none"/>
          <w:u w:val="single"/>
        </w:rPr>
        <w:t xml:space="preserve">（加盖电子公章）   </w:t>
      </w:r>
      <w:r/>
    </w:p>
    <w:p>
      <w:pPr>
        <w:rPr>
          <w:rFonts w:hint="eastAsia" w:asciiTheme="minorEastAsia" w:hAnsiTheme="minorEastAsia" w:eastAsiaTheme="minorEastAsia"/>
          <w:b/>
          <w:color w:val="auto"/>
          <w:sz w:val="36"/>
          <w:szCs w:val="21"/>
          <w:highlight w:val="none"/>
          <w:u w:val="single"/>
        </w:rPr>
      </w:pPr>
      <w:r>
        <w:rPr>
          <w:rFonts w:hint="eastAsia" w:asciiTheme="minorEastAsia" w:hAnsiTheme="minorEastAsia" w:eastAsiaTheme="minorEastAsia"/>
          <w:b/>
          <w:color w:val="auto"/>
          <w:sz w:val="36"/>
          <w:szCs w:val="21"/>
          <w:highlight w:val="none"/>
        </w:rPr>
        <w:t xml:space="preserve">      日      期 ：</w:t>
      </w:r>
      <w:r>
        <w:rPr>
          <w:rFonts w:hint="eastAsia" w:asciiTheme="minorEastAsia" w:hAnsiTheme="minorEastAsia" w:eastAsiaTheme="minorEastAsia"/>
          <w:b/>
          <w:color w:val="auto"/>
          <w:sz w:val="36"/>
          <w:szCs w:val="21"/>
          <w:highlight w:val="none"/>
          <w:u w:val="single"/>
        </w:rPr>
        <w:t xml:space="preserve">                   </w:t>
      </w:r>
      <w:r/>
    </w:p>
    <w:p>
      <w:pPr>
        <w:jc w:val="center"/>
        <w:rPr>
          <w:rFonts w:hint="eastAsia" w:asciiTheme="minorEastAsia" w:hAnsiTheme="minorEastAsia" w:eastAsiaTheme="minorEastAsia"/>
          <w:b/>
          <w:bCs/>
          <w:color w:val="auto"/>
          <w:sz w:val="32"/>
          <w:szCs w:val="32"/>
          <w:highlight w:val="none"/>
        </w:rPr>
      </w:pPr>
      <w:r>
        <w:rPr>
          <w:rFonts w:asciiTheme="minorEastAsia" w:hAnsiTheme="minorEastAsia" w:eastAsiaTheme="minorEastAsia"/>
          <w:b/>
          <w:bCs/>
          <w:color w:val="auto"/>
          <w:sz w:val="32"/>
          <w:szCs w:val="32"/>
          <w:highlight w:val="none"/>
        </w:rPr>
        <w:br/>
      </w:r>
      <w:r/>
    </w:p>
    <w:p>
      <w:pPr>
        <w:pStyle w:val="891"/>
        <w:numPr>
          <w:ilvl w:val="1"/>
          <w:numId w:val="0"/>
        </w:numPr>
        <w:rPr>
          <w:rFonts w:hint="eastAsia" w:asciiTheme="minorEastAsia" w:hAnsiTheme="minorEastAsia" w:eastAsiaTheme="minorEastAsia"/>
          <w:color w:val="auto"/>
          <w:highlight w:val="none"/>
        </w:rPr>
      </w:pPr>
      <w:r/>
      <w:bookmarkStart w:id="148" w:name="_Toc66375424"/>
      <w:r/>
      <w:bookmarkStart w:id="149" w:name="_Toc43917771"/>
      <w:r>
        <w:rPr>
          <w:rFonts w:hint="eastAsia" w:asciiTheme="minorEastAsia" w:hAnsiTheme="minorEastAsia" w:eastAsiaTheme="minorEastAsia"/>
          <w:color w:val="auto"/>
          <w:highlight w:val="none"/>
        </w:rPr>
        <w:t xml:space="preserve">附件一、投标函</w:t>
      </w:r>
      <w:bookmarkEnd w:id="148"/>
      <w:r/>
      <w:bookmarkEnd w:id="149"/>
      <w:r/>
      <w:r/>
    </w:p>
    <w:p>
      <w:pPr>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b/>
          <w:color w:val="auto"/>
          <w:sz w:val="32"/>
          <w:szCs w:val="32"/>
          <w:highlight w:val="none"/>
        </w:rPr>
        <w:t xml:space="preserve">投标函</w:t>
      </w:r>
      <w:r/>
    </w:p>
    <w:p>
      <w:pPr>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致：南京市教育技术装备中心</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江苏国采工程咨询有限公司</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根据贵方</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bCs/>
          <w:color w:val="auto"/>
          <w:szCs w:val="21"/>
          <w:highlight w:val="none"/>
          <w:u w:val="single"/>
        </w:rPr>
        <w:t xml:space="preserve">（</w:t>
      </w:r>
      <w:r>
        <w:rPr>
          <w:rFonts w:hint="eastAsia" w:asciiTheme="minorEastAsia" w:hAnsiTheme="minorEastAsia" w:eastAsiaTheme="minorEastAsia"/>
          <w:color w:val="auto"/>
          <w:szCs w:val="21"/>
          <w:highlight w:val="none"/>
        </w:rPr>
        <w:t xml:space="preserve">项目名称） </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（项目编号）投标邀请，正式授权</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(姓名和职务)代表投标人</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（投标人名称），提交投标文件并宣布同意如下内容： </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1.按招标文件规定的各项要求，向采购人提供所需货物或服务。</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2.我们已详细审核全部招标文件及其有效补充文件。</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3.我们同意从规定的开标日期起遵循本投标文件，并在规定的投标有效期期满之前均具有约束力。</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4.我们同意向贵方提供贵方可能另外要求的与投标有关的任何证据或资料，并保证我方已提供和将要提供的文件是真实的、准确的。</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5.一旦我方中标，我方将根据招标文件的规定，严格履行合同的责任和义务，并保证在招标文件规定的时间完成项目，交付采购人验收、使用。</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6.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7.与本投标有关的正式联系方式为：</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地   址：</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rPr>
        <w:t xml:space="preserve">  </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电   话：</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rPr>
        <w:t xml:space="preserve">  </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传   真：</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rPr>
        <w:t xml:space="preserve">  </w:t>
      </w:r>
      <w:r/>
    </w:p>
    <w:p>
      <w:pPr>
        <w:ind w:firstLine="420"/>
        <w:spacing w:line="360" w:lineRule="auto"/>
        <w:shd w:val="clear" w:color="auto" w:fill="ffffff"/>
        <w:widowControl/>
        <w:rPr>
          <w:rFonts w:hint="eastAsia"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 xml:space="preserve">开户银行：</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p>
    <w:p>
      <w:pPr>
        <w:ind w:firstLine="420"/>
        <w:spacing w:line="360" w:lineRule="auto"/>
        <w:shd w:val="clear" w:color="auto" w:fill="ffffff"/>
        <w:widowControl/>
        <w:rPr>
          <w:rFonts w:hint="eastAsia"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 xml:space="preserve">银行账号：</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color w:val="auto"/>
          <w:szCs w:val="21"/>
          <w:highlight w:val="none"/>
        </w:rPr>
        <w:t xml:space="preserve">8.</w:t>
      </w:r>
      <w:r>
        <w:rPr>
          <w:rFonts w:hint="eastAsia" w:asciiTheme="minorEastAsia" w:hAnsiTheme="minorEastAsia" w:eastAsiaTheme="minorEastAsia"/>
          <w:bCs/>
          <w:color w:val="auto"/>
          <w:szCs w:val="21"/>
          <w:highlight w:val="none"/>
        </w:rPr>
        <w:t xml:space="preserve">我方具有独立承担民事责任的能力（法人或其他组织提供营业执照，自然人提供身份证明）。</w:t>
      </w:r>
      <w:r/>
    </w:p>
    <w:p>
      <w:pPr>
        <w:ind w:firstLine="422"/>
        <w:jc w:val="center"/>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营业执照</w:t>
      </w:r>
      <w:r>
        <w:rPr>
          <w:rFonts w:hint="eastAsia" w:asciiTheme="minorEastAsia" w:hAnsiTheme="minorEastAsia" w:eastAsiaTheme="minorEastAsia"/>
          <w:b/>
          <w:color w:val="auto"/>
          <w:szCs w:val="21"/>
          <w:highlight w:val="none"/>
        </w:rPr>
        <w:t xml:space="preserve">扫描件：</w:t>
      </w:r>
      <w:r/>
    </w:p>
    <w:p>
      <w:pPr>
        <w:ind w:firstLine="420"/>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420"/>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420"/>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420"/>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420"/>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420"/>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420"/>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420"/>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420"/>
        <w:spacing w:line="360" w:lineRule="auto"/>
        <w:shd w:val="clear" w:color="auto" w:fill="ffffff"/>
        <w:widowControl/>
        <w:rPr>
          <w:rFonts w:hint="eastAsia"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u w:val="single"/>
        </w:rPr>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投标人名称：</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w:t>
      </w:r>
      <w:bookmarkStart w:id="150" w:name="_Hlk176254267"/>
      <w:r>
        <w:rPr>
          <w:rFonts w:hint="eastAsia" w:asciiTheme="minorEastAsia" w:hAnsiTheme="minorEastAsia" w:eastAsiaTheme="minorEastAsia"/>
          <w:color w:val="auto"/>
          <w:szCs w:val="21"/>
          <w:highlight w:val="none"/>
        </w:rPr>
        <w:t xml:space="preserve">加盖电子公章</w:t>
      </w:r>
      <w:bookmarkEnd w:id="150"/>
      <w:r>
        <w:rPr>
          <w:rFonts w:hint="eastAsia" w:asciiTheme="minorEastAsia" w:hAnsiTheme="minorEastAsia" w:eastAsiaTheme="minorEastAsia"/>
          <w:color w:val="auto"/>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日    期：</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年</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月</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日</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br w:type="page" w:clear="all"/>
      </w:r>
      <w:r/>
    </w:p>
    <w:p>
      <w:pPr>
        <w:pStyle w:val="891"/>
        <w:rPr>
          <w:rFonts w:hint="eastAsia" w:asciiTheme="minorEastAsia" w:hAnsiTheme="minorEastAsia" w:eastAsiaTheme="minorEastAsia"/>
          <w:color w:val="auto"/>
          <w:highlight w:val="none"/>
        </w:rPr>
      </w:pPr>
      <w:r/>
      <w:bookmarkStart w:id="151" w:name="_Toc66375425"/>
      <w:r/>
      <w:bookmarkStart w:id="152" w:name="_Toc43917772"/>
      <w:r>
        <w:rPr>
          <w:rFonts w:hint="eastAsia" w:asciiTheme="minorEastAsia" w:hAnsiTheme="minorEastAsia" w:eastAsiaTheme="minorEastAsia"/>
          <w:color w:val="auto"/>
          <w:highlight w:val="none"/>
        </w:rPr>
        <w:t xml:space="preserve">附件二、法定代表人授权委托书</w:t>
      </w:r>
      <w:bookmarkEnd w:id="151"/>
      <w:r/>
      <w:bookmarkEnd w:id="152"/>
      <w:r/>
      <w:r/>
    </w:p>
    <w:p>
      <w:pPr>
        <w:ind w:firstLine="720"/>
        <w:jc w:val="center"/>
        <w:spacing w:line="360" w:lineRule="auto"/>
        <w:shd w:val="clear" w:color="auto" w:fill="ffffff"/>
        <w:widowControl/>
        <w:rPr>
          <w:rFonts w:hint="eastAsia" w:asciiTheme="minorEastAsia" w:hAnsiTheme="minorEastAsia" w:eastAsiaTheme="minorEastAsia"/>
          <w:color w:val="auto"/>
          <w:sz w:val="36"/>
          <w:szCs w:val="36"/>
          <w:highlight w:val="none"/>
        </w:rPr>
      </w:pPr>
      <w:r>
        <w:rPr>
          <w:rFonts w:hint="eastAsia" w:asciiTheme="minorEastAsia" w:hAnsiTheme="minorEastAsia" w:eastAsiaTheme="minorEastAsia"/>
          <w:color w:val="auto"/>
          <w:sz w:val="36"/>
          <w:szCs w:val="36"/>
          <w:highlight w:val="none"/>
        </w:rPr>
      </w:r>
      <w:r/>
    </w:p>
    <w:p>
      <w:pPr>
        <w:ind w:firstLine="720"/>
        <w:jc w:val="center"/>
        <w:spacing w:line="360" w:lineRule="auto"/>
        <w:shd w:val="clear" w:color="auto" w:fill="ffffff"/>
        <w:widowControl/>
        <w:rPr>
          <w:rFonts w:hint="eastAsia"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t xml:space="preserve">法定代表人授权委托书</w:t>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致：南京市教育技术装备中心</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江苏国采工程咨询有限公司</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本授权书声明：注册于</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（投标人住址）的</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（投标人名称）法定代表人</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（法定代表人姓名、职务）代表本公司授权</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（投标人代表姓名、职务）为本公司的合法代理人，就贵方组织的</w:t>
      </w:r>
      <w:r>
        <w:rPr>
          <w:rFonts w:hint="eastAsia" w:asciiTheme="minorEastAsia" w:hAnsiTheme="minorEastAsia" w:eastAsiaTheme="minorEastAsia"/>
          <w:b/>
          <w:bCs/>
          <w:color w:val="auto"/>
          <w:szCs w:val="21"/>
          <w:highlight w:val="none"/>
          <w:u w:val="single"/>
        </w:rPr>
        <w:t xml:space="preserve">          </w:t>
      </w:r>
      <w:r>
        <w:rPr>
          <w:rFonts w:hint="eastAsia" w:asciiTheme="minorEastAsia" w:hAnsiTheme="minorEastAsia" w:eastAsiaTheme="minorEastAsia"/>
          <w:color w:val="auto"/>
          <w:szCs w:val="21"/>
          <w:highlight w:val="none"/>
        </w:rPr>
        <w:t xml:space="preserve">（项目名称），</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（项目编号）投标，以本公司名义处理一切与之有关的事务。</w:t>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本授权书于    年  月  </w:t>
      </w:r>
      <w:bookmarkStart w:id="153" w:name="_Hlk176528397"/>
      <w:r>
        <w:rPr>
          <w:rFonts w:hint="eastAsia" w:asciiTheme="minorEastAsia" w:hAnsiTheme="minorEastAsia" w:eastAsiaTheme="minorEastAsia"/>
          <w:color w:val="auto"/>
          <w:szCs w:val="21"/>
          <w:highlight w:val="none"/>
        </w:rPr>
        <w:t xml:space="preserve">日加盖电子公章</w:t>
      </w:r>
      <w:bookmarkEnd w:id="153"/>
      <w:r>
        <w:rPr>
          <w:rFonts w:hint="eastAsia" w:asciiTheme="minorEastAsia" w:hAnsiTheme="minorEastAsia" w:eastAsiaTheme="minorEastAsia"/>
          <w:color w:val="auto"/>
          <w:szCs w:val="21"/>
          <w:highlight w:val="none"/>
        </w:rPr>
        <w:t xml:space="preserve">生效，特此声明。</w:t>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825"/>
        <w:jc w:val="left"/>
        <w:spacing w:line="360" w:lineRule="auto"/>
        <w:shd w:val="clear" w:color="auto" w:fill="ffffff"/>
        <w:widowControl/>
        <w:rPr>
          <w:rFonts w:hint="eastAsia" w:asciiTheme="minorEastAsia" w:hAnsiTheme="minorEastAsia" w:eastAsiaTheme="minorEastAsia"/>
          <w:color w:val="auto"/>
          <w:szCs w:val="21"/>
          <w:highlight w:val="none"/>
        </w:rPr>
      </w:pPr>
      <w:r/>
      <w:bookmarkStart w:id="154" w:name="_Hlk176254280"/>
      <w:r>
        <w:rPr>
          <w:rFonts w:hint="eastAsia" w:asciiTheme="minorEastAsia" w:hAnsiTheme="minorEastAsia" w:eastAsiaTheme="minorEastAsia"/>
          <w:color w:val="auto"/>
          <w:szCs w:val="21"/>
          <w:highlight w:val="none"/>
        </w:rPr>
        <w:t xml:space="preserve">投标人（</w:t>
      </w:r>
      <w:bookmarkStart w:id="155" w:name="OLE_LINK3"/>
      <w:r>
        <w:rPr>
          <w:rFonts w:hint="eastAsia" w:asciiTheme="minorEastAsia" w:hAnsiTheme="minorEastAsia" w:eastAsiaTheme="minorEastAsia"/>
          <w:color w:val="auto"/>
          <w:szCs w:val="21"/>
          <w:highlight w:val="none"/>
        </w:rPr>
        <w:t xml:space="preserve">加盖电子公章</w:t>
      </w:r>
      <w:bookmarkEnd w:id="155"/>
      <w:r>
        <w:rPr>
          <w:rFonts w:hint="eastAsia" w:asciiTheme="minorEastAsia" w:hAnsiTheme="minorEastAsia" w:eastAsiaTheme="minorEastAsia"/>
          <w:color w:val="auto"/>
          <w:szCs w:val="21"/>
          <w:highlight w:val="none"/>
        </w:rPr>
        <w:t xml:space="preserve">）： </w:t>
      </w:r>
      <w:bookmarkEnd w:id="154"/>
      <w:r>
        <w:rPr>
          <w:rFonts w:hint="eastAsia" w:asciiTheme="minorEastAsia" w:hAnsiTheme="minorEastAsia" w:eastAsiaTheme="minorEastAsia"/>
          <w:color w:val="auto"/>
          <w:szCs w:val="21"/>
          <w:highlight w:val="none"/>
        </w:rPr>
        <w:t xml:space="preserve">                 </w:t>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日     期：        年    月    日</w:t>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bookmarkStart w:id="156" w:name="_Hlk45291991"/>
      <w:r>
        <w:rPr>
          <w:rFonts w:hint="eastAsia" w:asciiTheme="minorEastAsia" w:hAnsiTheme="minorEastAsia" w:eastAsiaTheme="minorEastAsia"/>
          <w:color w:val="auto"/>
          <w:szCs w:val="21"/>
          <w:highlight w:val="none"/>
        </w:rPr>
        <w:t xml:space="preserve">法定代表人身份证的复印件:</w:t>
      </w:r>
      <w:bookmarkEnd w:id="156"/>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委托代理人身份证的复印件:</w:t>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pStyle w:val="891"/>
        <w:rPr>
          <w:rFonts w:hint="eastAsia" w:asciiTheme="minorEastAsia" w:hAnsiTheme="minorEastAsia" w:eastAsiaTheme="minorEastAsia"/>
          <w:color w:val="auto"/>
          <w:highlight w:val="none"/>
        </w:rPr>
      </w:pPr>
      <w:r/>
      <w:bookmarkStart w:id="157" w:name="_Toc66375435"/>
      <w:r/>
      <w:bookmarkStart w:id="158" w:name="_Toc43917782"/>
      <w:r>
        <w:rPr>
          <w:rFonts w:hint="eastAsia" w:asciiTheme="minorEastAsia" w:hAnsiTheme="minorEastAsia" w:eastAsiaTheme="minorEastAsia"/>
          <w:color w:val="auto"/>
          <w:highlight w:val="none"/>
        </w:rPr>
        <w:t xml:space="preserve">附件三、资格证明文件</w:t>
      </w:r>
      <w:bookmarkEnd w:id="157"/>
      <w:r/>
      <w:bookmarkEnd w:id="158"/>
      <w:r/>
      <w:r/>
    </w:p>
    <w:p>
      <w:pPr>
        <w:ind w:firstLine="420"/>
        <w:spacing w:line="360" w:lineRule="auto"/>
        <w:rPr>
          <w:rFonts w:hint="eastAsia" w:asciiTheme="minorEastAsia" w:hAnsiTheme="minorEastAsia" w:eastAsiaTheme="minorEastAsia"/>
          <w:bCs/>
          <w:color w:val="auto"/>
          <w:szCs w:val="21"/>
          <w:highlight w:val="none"/>
        </w:rPr>
      </w:pPr>
      <w:r/>
      <w:bookmarkStart w:id="159" w:name="_Hlk168584506"/>
      <w:r>
        <w:rPr>
          <w:rFonts w:hint="eastAsia" w:asciiTheme="minorEastAsia" w:hAnsiTheme="minorEastAsia" w:eastAsiaTheme="minorEastAsia"/>
          <w:bCs/>
          <w:color w:val="auto"/>
          <w:szCs w:val="21"/>
          <w:highlight w:val="none"/>
        </w:rPr>
        <w:t xml:space="preserve">1.第一章招标公告中二、申请人的资格要求（二）落实政府采购政策需满足的资格要求相关材料（如有）；</w:t>
      </w:r>
      <w:r/>
    </w:p>
    <w:p>
      <w:pPr>
        <w:ind w:firstLine="420"/>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2.第一章招标公告中二、申请人的资格要求（三）本项目特定资格要求证明文件（如有）；</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bCs/>
          <w:color w:val="auto"/>
          <w:szCs w:val="21"/>
          <w:highlight w:val="none"/>
        </w:rPr>
        <w:t xml:space="preserve">3.《</w:t>
      </w:r>
      <w:r>
        <w:rPr>
          <w:rFonts w:hint="eastAsia" w:cs="宋体" w:asciiTheme="minorEastAsia" w:hAnsiTheme="minorEastAsia" w:eastAsiaTheme="minorEastAsia"/>
          <w:color w:val="auto"/>
          <w:szCs w:val="21"/>
          <w:highlight w:val="none"/>
        </w:rPr>
        <w:t xml:space="preserve">南京市政府采购供应商信用记录表暨信用承诺书</w:t>
      </w:r>
      <w:r>
        <w:rPr>
          <w:rFonts w:hint="eastAsia" w:asciiTheme="minorEastAsia" w:hAnsiTheme="minorEastAsia" w:eastAsiaTheme="minorEastAsia"/>
          <w:bCs/>
          <w:color w:val="auto"/>
          <w:szCs w:val="21"/>
          <w:highlight w:val="none"/>
        </w:rPr>
        <w:t xml:space="preserve">》，需</w:t>
      </w:r>
      <w:r>
        <w:rPr>
          <w:rFonts w:asciiTheme="minorEastAsia" w:hAnsiTheme="minorEastAsia" w:eastAsiaTheme="minorEastAsia"/>
          <w:color w:val="auto"/>
          <w:szCs w:val="21"/>
          <w:highlight w:val="none"/>
        </w:rPr>
        <w:t xml:space="preserve">由法人签字并盖单位公章</w:t>
      </w:r>
      <w:r>
        <w:rPr>
          <w:rFonts w:hint="eastAsia" w:asciiTheme="minorEastAsia" w:hAnsiTheme="minorEastAsia" w:eastAsiaTheme="minorEastAsia"/>
          <w:color w:val="auto"/>
          <w:szCs w:val="21"/>
          <w:highlight w:val="none"/>
        </w:rPr>
        <w:t xml:space="preserve">；</w:t>
      </w:r>
      <w:r/>
    </w:p>
    <w:p>
      <w:pPr>
        <w:ind w:firstLine="420"/>
        <w:spacing w:line="360" w:lineRule="auto"/>
        <w:rPr>
          <w:rFonts w:hint="eastAsia" w:asciiTheme="minorEastAsia" w:hAnsiTheme="minorEastAsia" w:eastAsiaTheme="minorEastAsia"/>
          <w:bCs/>
          <w:color w:val="auto"/>
          <w:szCs w:val="21"/>
          <w:highlight w:val="none"/>
        </w:rPr>
      </w:pPr>
      <w:r/>
      <w:bookmarkStart w:id="160" w:name="_Hlk81574079"/>
      <w:r>
        <w:rPr>
          <w:rFonts w:hint="eastAsia" w:asciiTheme="minorEastAsia" w:hAnsiTheme="minorEastAsia" w:eastAsiaTheme="minorEastAsia"/>
          <w:bCs/>
          <w:color w:val="auto"/>
          <w:szCs w:val="21"/>
          <w:highlight w:val="none"/>
        </w:rPr>
        <w:t xml:space="preserve">4. 第一章招标公告中二、申请人的资格要求（一）《中华人民共和国政府采购法》2--5条规定的资格证明文件；</w:t>
      </w:r>
      <w:r/>
    </w:p>
    <w:p>
      <w:pPr>
        <w:ind w:firstLine="420"/>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5.</w:t>
      </w:r>
      <w:r>
        <w:rPr>
          <w:rFonts w:hint="eastAsia" w:cs="Arial" w:asciiTheme="minorEastAsia" w:hAnsiTheme="minorEastAsia" w:eastAsiaTheme="minorEastAsia"/>
          <w:bCs/>
          <w:color w:val="auto"/>
          <w:szCs w:val="21"/>
          <w:highlight w:val="none"/>
        </w:rPr>
        <w:t xml:space="preserve">投标人未被“信用中国”网站（www.creditchina.gov.cn）、“中国政府采购网”(www.ccgp.gov.cn)列入失信被执行人、重大税收违法案件当事人名单、政府采购严重违法失信行为记录名单</w:t>
      </w:r>
      <w:r>
        <w:rPr>
          <w:rFonts w:hint="eastAsia" w:asciiTheme="minorEastAsia" w:hAnsiTheme="minorEastAsia" w:eastAsiaTheme="minorEastAsia"/>
          <w:bCs/>
          <w:color w:val="auto"/>
          <w:szCs w:val="21"/>
          <w:highlight w:val="none"/>
        </w:rPr>
        <w:t xml:space="preserve">证明文件。</w:t>
      </w:r>
      <w:r/>
    </w:p>
    <w:p>
      <w:pPr>
        <w:ind w:firstLine="422"/>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注：上述“4和5”项，投标人可以在投标文件中一次性提交资格证明材料，也可以在投标文件中提供《南京市政府采购供应商信用记录表暨信用承诺书》。</w:t>
      </w:r>
      <w:r/>
    </w:p>
    <w:p>
      <w:pPr>
        <w:ind w:firstLine="422"/>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投标人仅提供信用承诺书而未提供证明材料的，须在中标后另行提供上述由信用承诺书替代的证明材料（一式两份）</w:t>
      </w:r>
      <w:r>
        <w:rPr>
          <w:rFonts w:hint="eastAsia" w:asciiTheme="minorEastAsia" w:hAnsiTheme="minorEastAsia" w:eastAsiaTheme="minorEastAsia"/>
          <w:b/>
          <w:bCs/>
          <w:color w:val="auto"/>
          <w:szCs w:val="21"/>
          <w:highlight w:val="none"/>
        </w:rPr>
        <w:t xml:space="preserve">加盖公章</w:t>
      </w:r>
      <w:r>
        <w:rPr>
          <w:rFonts w:hint="eastAsia" w:asciiTheme="minorEastAsia" w:hAnsiTheme="minorEastAsia" w:eastAsiaTheme="minorEastAsia"/>
          <w:b/>
          <w:color w:val="auto"/>
          <w:szCs w:val="21"/>
          <w:highlight w:val="none"/>
        </w:rPr>
        <w:t xml:space="preserve">，提交采购人或采购代理机构核验。经核验无误后，由采购人或采购代理机构发出中标通知书。</w:t>
      </w:r>
      <w:r/>
    </w:p>
    <w:p>
      <w:pPr>
        <w:ind w:firstLine="422"/>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投标人涉及以下情形的，不适用信用承诺，仍须提供上述证明材料：</w:t>
      </w:r>
      <w:r/>
    </w:p>
    <w:p>
      <w:pPr>
        <w:ind w:firstLine="211"/>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w:t>
      </w:r>
      <w:r>
        <w:rPr>
          <w:rFonts w:asciiTheme="minorEastAsia" w:hAnsiTheme="minorEastAsia" w:eastAsiaTheme="minorEastAsia"/>
          <w:b/>
          <w:color w:val="auto"/>
          <w:szCs w:val="21"/>
          <w:highlight w:val="none"/>
        </w:rPr>
        <w:t xml:space="preserve">1</w:t>
      </w:r>
      <w:r>
        <w:rPr>
          <w:rFonts w:hint="eastAsia" w:asciiTheme="minorEastAsia" w:hAnsiTheme="minorEastAsia" w:eastAsiaTheme="minorEastAsia"/>
          <w:b/>
          <w:color w:val="auto"/>
          <w:szCs w:val="21"/>
          <w:highlight w:val="none"/>
        </w:rPr>
        <w:t xml:space="preserve">）投标人被列入严重失信主体名单；</w:t>
      </w:r>
      <w:r/>
    </w:p>
    <w:p>
      <w:pPr>
        <w:ind w:firstLine="211"/>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w:t>
      </w:r>
      <w:r>
        <w:rPr>
          <w:rFonts w:asciiTheme="minorEastAsia" w:hAnsiTheme="minorEastAsia" w:eastAsiaTheme="minorEastAsia"/>
          <w:b/>
          <w:color w:val="auto"/>
          <w:szCs w:val="21"/>
          <w:highlight w:val="none"/>
        </w:rPr>
        <w:t xml:space="preserve">2</w:t>
      </w:r>
      <w:r>
        <w:rPr>
          <w:rFonts w:hint="eastAsia" w:asciiTheme="minorEastAsia" w:hAnsiTheme="minorEastAsia" w:eastAsiaTheme="minorEastAsia"/>
          <w:b/>
          <w:color w:val="auto"/>
          <w:szCs w:val="21"/>
          <w:highlight w:val="none"/>
        </w:rPr>
        <w:t xml:space="preserve">）被相关监管部门作出行政处罚且尚在处罚有效期内；</w:t>
      </w:r>
      <w:r/>
    </w:p>
    <w:p>
      <w:pPr>
        <w:ind w:firstLine="211"/>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w:t>
      </w:r>
      <w:r>
        <w:rPr>
          <w:rFonts w:asciiTheme="minorEastAsia" w:hAnsiTheme="minorEastAsia" w:eastAsiaTheme="minorEastAsia"/>
          <w:b/>
          <w:color w:val="auto"/>
          <w:szCs w:val="21"/>
          <w:highlight w:val="none"/>
        </w:rPr>
        <w:t xml:space="preserve">3</w:t>
      </w:r>
      <w:r>
        <w:rPr>
          <w:rFonts w:hint="eastAsia" w:asciiTheme="minorEastAsia" w:hAnsiTheme="minorEastAsia" w:eastAsiaTheme="minorEastAsia"/>
          <w:b/>
          <w:color w:val="auto"/>
          <w:szCs w:val="21"/>
          <w:highlight w:val="none"/>
        </w:rPr>
        <w:t xml:space="preserve">）其他法律、行政法规规定的不适用信用承诺的情形。</w:t>
      </w:r>
      <w:r/>
    </w:p>
    <w:p>
      <w:pPr>
        <w:ind w:firstLine="422"/>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投标人对信用承诺内容的真实性、合法性、有效性负责。如作出虚假信用承诺，视同为“提供虚假材料谋取中标”的违法行为。</w:t>
      </w:r>
      <w:bookmarkEnd w:id="160"/>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bookmarkEnd w:id="159"/>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br w:type="page" w:clear="all"/>
      </w:r>
      <w:r/>
    </w:p>
    <w:p>
      <w:pPr>
        <w:pStyle w:val="891"/>
        <w:rPr>
          <w:rFonts w:hint="eastAsia" w:asciiTheme="minorEastAsia" w:hAnsiTheme="minorEastAsia" w:eastAsiaTheme="minorEastAsia"/>
          <w:color w:val="auto"/>
          <w:highlight w:val="none"/>
          <w:lang w:val="zh-CN"/>
        </w:rPr>
      </w:pPr>
      <w:r/>
      <w:bookmarkStart w:id="161" w:name="_Toc26810"/>
      <w:r/>
      <w:bookmarkStart w:id="162" w:name="_Toc43917773"/>
      <w:r/>
      <w:bookmarkStart w:id="163" w:name="_Toc66375426"/>
      <w:r/>
      <w:bookmarkStart w:id="164" w:name="OLE_LINK38"/>
      <w:r>
        <w:rPr>
          <w:rFonts w:hint="eastAsia" w:asciiTheme="minorEastAsia" w:hAnsiTheme="minorEastAsia" w:eastAsiaTheme="minorEastAsia"/>
          <w:color w:val="auto"/>
          <w:highlight w:val="none"/>
          <w:lang w:val="zh-CN"/>
        </w:rPr>
        <w:t xml:space="preserve">附件四、</w:t>
      </w:r>
      <w:bookmarkEnd w:id="161"/>
      <w:r/>
      <w:bookmarkEnd w:id="162"/>
      <w:r/>
      <w:bookmarkEnd w:id="163"/>
      <w:r>
        <w:rPr>
          <w:rFonts w:hint="eastAsia" w:asciiTheme="minorEastAsia" w:hAnsiTheme="minorEastAsia" w:eastAsiaTheme="minorEastAsia"/>
          <w:color w:val="auto"/>
          <w:highlight w:val="none"/>
          <w:lang w:val="zh-CN"/>
        </w:rPr>
        <w:t xml:space="preserve">开标一览表</w:t>
      </w:r>
      <w:bookmarkEnd w:id="164"/>
      <w:r/>
      <w:r/>
    </w:p>
    <w:p>
      <w:pPr>
        <w:jc w:val="center"/>
        <w:rPr>
          <w:rFonts w:hint="eastAsia" w:cs="宋体" w:asciiTheme="minorEastAsia" w:hAnsiTheme="minorEastAsia" w:eastAsiaTheme="minorEastAsia"/>
          <w:b/>
          <w:color w:val="auto"/>
          <w:sz w:val="32"/>
          <w:szCs w:val="32"/>
          <w:highlight w:val="none"/>
        </w:rPr>
      </w:pPr>
      <w:r>
        <w:rPr>
          <w:rFonts w:hint="eastAsia" w:cs="宋体" w:asciiTheme="minorEastAsia" w:hAnsiTheme="minorEastAsia" w:eastAsiaTheme="minorEastAsia"/>
          <w:b/>
          <w:color w:val="auto"/>
          <w:sz w:val="32"/>
          <w:szCs w:val="32"/>
          <w:highlight w:val="none"/>
        </w:rPr>
        <w:t xml:space="preserve">开标一览表</w:t>
      </w:r>
      <w:r/>
    </w:p>
    <w:p>
      <w:pPr>
        <w:pStyle w:val="903"/>
        <w:ind w:firstLine="210"/>
        <w:spacing w:line="360" w:lineRule="auto"/>
        <w:rPr>
          <w:rFonts w:hint="eastAsia" w:asciiTheme="minorEastAsia" w:hAnsiTheme="minorEastAsia" w:eastAsiaTheme="minorEastAsia"/>
          <w:b w:val="0"/>
          <w:bCs/>
          <w:color w:val="auto"/>
          <w:sz w:val="21"/>
          <w:szCs w:val="21"/>
          <w:highlight w:val="none"/>
        </w:rPr>
      </w:pPr>
      <w:r>
        <w:rPr>
          <w:rFonts w:hint="eastAsia" w:cs="宋体" w:asciiTheme="minorEastAsia" w:hAnsiTheme="minorEastAsia" w:eastAsiaTheme="minorEastAsia"/>
          <w:b w:val="0"/>
          <w:bCs/>
          <w:color w:val="auto"/>
          <w:sz w:val="21"/>
          <w:szCs w:val="21"/>
          <w:highlight w:val="none"/>
        </w:rPr>
        <w:t xml:space="preserve">项目编号：                                        货币单位：人民币元</w:t>
      </w:r>
      <w:r/>
    </w:p>
    <w:tbl>
      <w:tblPr>
        <w:tblStyle w:val="900"/>
        <w:tblW w:w="97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5"/>
        <w:gridCol w:w="4282"/>
      </w:tblGrid>
      <w:tr>
        <w:trPr>
          <w:cantSplit/>
          <w:trHeight w:val="350"/>
        </w:trPr>
        <w:tc>
          <w:tcPr>
            <w:tcW w:w="2735" w:type="dxa"/>
            <w:vAlign w:val="center"/>
            <w:textDirection w:val="lrTb"/>
            <w:noWrap w:val="false"/>
          </w:tcPr>
          <w:p>
            <w:pPr>
              <w:jc w:val="center"/>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项目名称</w:t>
            </w:r>
            <w:r/>
          </w:p>
        </w:tc>
        <w:tc>
          <w:tcPr>
            <w:tcW w:w="2735" w:type="dxa"/>
            <w:vAlign w:val="center"/>
            <w:textDirection w:val="lrTb"/>
            <w:noWrap w:val="false"/>
          </w:tcPr>
          <w:p>
            <w:pPr>
              <w:jc w:val="center"/>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项目内容</w:t>
            </w:r>
            <w:r/>
          </w:p>
        </w:tc>
        <w:tc>
          <w:tcPr>
            <w:tcW w:w="4282" w:type="dxa"/>
            <w:vAlign w:val="center"/>
            <w:textDirection w:val="lrTb"/>
            <w:noWrap w:val="false"/>
          </w:tcPr>
          <w:p>
            <w:pPr>
              <w:jc w:val="center"/>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总价（小写）</w:t>
            </w:r>
            <w:r/>
          </w:p>
        </w:tc>
      </w:tr>
      <w:tr>
        <w:trPr>
          <w:cantSplit/>
          <w:trHeight w:val="725"/>
        </w:trPr>
        <w:tc>
          <w:tcPr>
            <w:tcW w:w="2735" w:type="dxa"/>
            <w:vAlign w:val="center"/>
            <w:textDirection w:val="lrTb"/>
            <w:noWrap w:val="false"/>
          </w:tcPr>
          <w:p>
            <w:pPr>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r>
            <w:r/>
          </w:p>
        </w:tc>
        <w:tc>
          <w:tcPr>
            <w:tcW w:w="2735" w:type="dxa"/>
            <w:vAlign w:val="center"/>
            <w:textDirection w:val="lrTb"/>
            <w:noWrap w:val="false"/>
          </w:tcPr>
          <w:p>
            <w:pPr>
              <w:jc w:val="center"/>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详见投标文件</w:t>
            </w:r>
            <w:r/>
          </w:p>
        </w:tc>
        <w:tc>
          <w:tcPr>
            <w:tcW w:w="4282" w:type="dxa"/>
            <w:vAlign w:val="center"/>
            <w:textDirection w:val="lrTb"/>
            <w:noWrap w:val="false"/>
          </w:tcPr>
          <w:p>
            <w:pPr>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r>
            <w:r/>
          </w:p>
        </w:tc>
      </w:tr>
      <w:tr>
        <w:trPr>
          <w:cantSplit/>
          <w:trHeight w:val="725"/>
        </w:trPr>
        <w:tc>
          <w:tcPr>
            <w:tcW w:w="2735" w:type="dxa"/>
            <w:vAlign w:val="center"/>
            <w:textDirection w:val="lrTb"/>
            <w:noWrap w:val="false"/>
          </w:tcPr>
          <w:p>
            <w:pPr>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总价（大写）：</w:t>
            </w:r>
            <w:r/>
          </w:p>
        </w:tc>
        <w:tc>
          <w:tcPr>
            <w:gridSpan w:val="2"/>
            <w:tcW w:w="7017" w:type="dxa"/>
            <w:vAlign w:val="center"/>
            <w:textDirection w:val="lrTb"/>
            <w:noWrap w:val="false"/>
          </w:tcPr>
          <w:p>
            <w:pPr>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r>
            <w:r/>
          </w:p>
        </w:tc>
      </w:tr>
    </w:tbl>
    <w:p>
      <w:pPr>
        <w:jc w:val="center"/>
        <w:rPr>
          <w:rFonts w:hint="eastAsia" w:cs="宋体" w:asciiTheme="minorEastAsia" w:hAnsiTheme="minorEastAsia" w:eastAsiaTheme="minorEastAsia"/>
          <w:b/>
          <w:color w:val="auto"/>
          <w:sz w:val="32"/>
          <w:szCs w:val="32"/>
          <w:highlight w:val="none"/>
        </w:rPr>
      </w:pPr>
      <w:r>
        <w:rPr>
          <w:rFonts w:hint="eastAsia" w:cs="宋体" w:asciiTheme="minorEastAsia" w:hAnsiTheme="minorEastAsia" w:eastAsiaTheme="minorEastAsia"/>
          <w:b/>
          <w:color w:val="auto"/>
          <w:sz w:val="32"/>
          <w:szCs w:val="32"/>
          <w:highlight w:val="none"/>
        </w:rPr>
      </w:r>
      <w:r/>
    </w:p>
    <w:p>
      <w:pPr>
        <w:jc w:val="center"/>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bookmarkStart w:id="165" w:name="_Hlk44577819"/>
      <w:r>
        <w:rPr>
          <w:rFonts w:hint="eastAsia" w:asciiTheme="minorEastAsia" w:hAnsiTheme="minorEastAsia" w:eastAsiaTheme="minorEastAsia"/>
          <w:color w:val="auto"/>
          <w:szCs w:val="21"/>
          <w:highlight w:val="none"/>
        </w:rPr>
        <w:t xml:space="preserve">说明:</w:t>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1、报价包括完成项目的所有费用，采购人不再支付报价以外的任何费用。</w:t>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2、报价以总价为准，大小写不一致以大写为准。</w:t>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bookmarkEnd w:id="165"/>
      <w:r/>
      <w:r/>
    </w:p>
    <w:p>
      <w:pPr>
        <w:jc w:val="left"/>
        <w:spacing w:line="360" w:lineRule="auto"/>
        <w:shd w:val="clear" w:color="auto" w:fill="ffffff"/>
        <w:widowControl/>
        <w:rPr>
          <w:rFonts w:hint="eastAsia" w:asciiTheme="minorEastAsia" w:hAnsiTheme="minorEastAsia" w:eastAsiaTheme="minorEastAsia"/>
          <w:color w:val="auto"/>
          <w:szCs w:val="21"/>
          <w:highlight w:val="none"/>
          <w:u w:val="single"/>
        </w:rPr>
      </w:pPr>
      <w:r/>
      <w:bookmarkStart w:id="166" w:name="OLE_LINK9"/>
      <w:r/>
      <w:bookmarkStart w:id="167" w:name="_Hlk175836563"/>
      <w:r>
        <w:rPr>
          <w:rFonts w:hint="eastAsia" w:cs="宋体" w:asciiTheme="minorEastAsia" w:hAnsiTheme="minorEastAsia" w:eastAsiaTheme="minorEastAsia"/>
          <w:color w:val="auto"/>
          <w:szCs w:val="21"/>
          <w:highlight w:val="none"/>
        </w:rPr>
        <w:t xml:space="preserve">投标人</w:t>
      </w:r>
      <w:bookmarkEnd w:id="166"/>
      <w:r>
        <w:rPr>
          <w:rFonts w:hint="eastAsia" w:cs="宋体" w:asciiTheme="minorEastAsia" w:hAnsiTheme="minorEastAsia" w:eastAsiaTheme="minorEastAsia"/>
          <w:color w:val="auto"/>
          <w:szCs w:val="21"/>
          <w:highlight w:val="none"/>
        </w:rPr>
        <w:t xml:space="preserve">（</w:t>
      </w:r>
      <w:bookmarkStart w:id="168" w:name="_Hlk176254322"/>
      <w:r>
        <w:rPr>
          <w:rFonts w:hint="eastAsia" w:cs="宋体" w:asciiTheme="minorEastAsia" w:hAnsiTheme="minorEastAsia" w:eastAsiaTheme="minorEastAsia"/>
          <w:color w:val="auto"/>
          <w:szCs w:val="21"/>
          <w:highlight w:val="none"/>
        </w:rPr>
        <w:t xml:space="preserve">加盖电子公章</w:t>
      </w:r>
      <w:bookmarkEnd w:id="168"/>
      <w:r>
        <w:rPr>
          <w:rFonts w:hint="eastAsia" w:cs="宋体"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u w:val="single"/>
        </w:rPr>
        <w:t xml:space="preserve">                                      </w:t>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日    期：   年    月    日</w:t>
      </w:r>
      <w:r/>
    </w:p>
    <w:p>
      <w:pPr>
        <w:jc w:val="left"/>
        <w:spacing w:line="360" w:lineRule="auto"/>
        <w:shd w:val="clear" w:color="auto" w:fill="ffffff"/>
        <w:widowControl/>
        <w:rPr>
          <w:rFonts w:hint="eastAsia"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u w:val="single"/>
        </w:rPr>
      </w:r>
      <w:r/>
    </w:p>
    <w:p>
      <w:pPr>
        <w:jc w:val="left"/>
        <w:spacing w:line="360" w:lineRule="auto"/>
        <w:shd w:val="clear" w:color="auto" w:fill="ffffff"/>
        <w:widowControl/>
        <w:rPr>
          <w:rFonts w:hint="eastAsia"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u w:val="single"/>
        </w:rPr>
      </w:r>
      <w:r/>
    </w:p>
    <w:p>
      <w:pPr>
        <w:jc w:val="left"/>
        <w:spacing w:line="360" w:lineRule="auto"/>
        <w:shd w:val="clear" w:color="auto" w:fill="ffffff"/>
        <w:widowControl/>
        <w:rPr>
          <w:rFonts w:hint="eastAsia"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u w:val="single"/>
        </w:rPr>
      </w:r>
      <w:r/>
    </w:p>
    <w:p>
      <w:pPr>
        <w:jc w:val="left"/>
        <w:spacing w:line="360" w:lineRule="auto"/>
        <w:shd w:val="clear" w:color="auto" w:fill="ffffff"/>
        <w:widowControl/>
        <w:rPr>
          <w:rFonts w:hint="eastAsia"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u w:val="single"/>
        </w:rPr>
      </w:r>
      <w:r/>
    </w:p>
    <w:p>
      <w:pPr>
        <w:jc w:val="left"/>
        <w:spacing w:line="360" w:lineRule="auto"/>
        <w:shd w:val="clear" w:color="auto" w:fill="ffffff"/>
        <w:widowControl/>
        <w:rPr>
          <w:rFonts w:hint="eastAsia"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u w:val="single"/>
        </w:rPr>
      </w:r>
      <w:r/>
    </w:p>
    <w:p>
      <w:pPr>
        <w:jc w:val="left"/>
        <w:spacing w:line="360" w:lineRule="auto"/>
        <w:shd w:val="clear" w:color="auto" w:fill="ffffff"/>
        <w:widowControl/>
        <w:rPr>
          <w:rFonts w:hint="eastAsia"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u w:val="single"/>
        </w:rPr>
      </w:r>
      <w:r/>
    </w:p>
    <w:p>
      <w:pPr>
        <w:jc w:val="left"/>
        <w:spacing w:line="360" w:lineRule="auto"/>
        <w:shd w:val="clear" w:color="auto" w:fill="ffffff"/>
        <w:widowControl/>
        <w:rPr>
          <w:rFonts w:hint="eastAsia"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u w:val="single"/>
        </w:rPr>
      </w:r>
      <w:r/>
    </w:p>
    <w:p>
      <w:pPr>
        <w:jc w:val="left"/>
        <w:spacing w:line="360" w:lineRule="auto"/>
        <w:shd w:val="clear" w:color="auto" w:fill="ffffff"/>
        <w:widowControl/>
        <w:rPr>
          <w:rFonts w:hint="eastAsia"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u w:val="single"/>
        </w:rPr>
      </w:r>
      <w:r/>
    </w:p>
    <w:p>
      <w:pPr>
        <w:jc w:val="left"/>
        <w:spacing w:line="360" w:lineRule="auto"/>
        <w:shd w:val="clear" w:color="auto" w:fill="ffffff"/>
        <w:widowControl/>
        <w:rPr>
          <w:rFonts w:hint="eastAsia"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u w:val="single"/>
        </w:rPr>
      </w:r>
      <w:r/>
    </w:p>
    <w:p>
      <w:pPr>
        <w:jc w:val="left"/>
        <w:spacing w:line="360" w:lineRule="auto"/>
        <w:shd w:val="clear" w:color="auto" w:fill="ffffff"/>
        <w:widowControl/>
        <w:rPr>
          <w:rFonts w:hint="eastAsia"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u w:val="single"/>
        </w:rPr>
      </w:r>
      <w:r/>
    </w:p>
    <w:p>
      <w:pPr>
        <w:jc w:val="left"/>
        <w:spacing w:line="360" w:lineRule="auto"/>
        <w:shd w:val="clear" w:color="auto" w:fill="ffffff"/>
        <w:widowControl/>
        <w:rPr>
          <w:rFonts w:hint="eastAsia"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u w:val="single"/>
        </w:rPr>
      </w:r>
      <w:r/>
    </w:p>
    <w:p>
      <w:pPr>
        <w:jc w:val="left"/>
        <w:spacing w:line="360" w:lineRule="auto"/>
        <w:shd w:val="clear" w:color="auto" w:fill="ffffff"/>
        <w:widowControl/>
        <w:rPr>
          <w:rFonts w:hint="eastAsia"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u w:val="single"/>
        </w:rPr>
      </w:r>
      <w:bookmarkEnd w:id="167"/>
      <w:r/>
      <w:r/>
    </w:p>
    <w:p>
      <w:pPr>
        <w:pStyle w:val="891"/>
        <w:rPr>
          <w:rFonts w:hint="eastAsia" w:asciiTheme="minorEastAsia" w:hAnsiTheme="minorEastAsia" w:eastAsiaTheme="minorEastAsia"/>
          <w:color w:val="auto"/>
          <w:highlight w:val="none"/>
          <w:lang w:val="zh-CN"/>
        </w:rPr>
      </w:pPr>
      <w:r/>
      <w:bookmarkStart w:id="169" w:name="_Toc43917774"/>
      <w:r/>
      <w:bookmarkStart w:id="170" w:name="_Toc12264"/>
      <w:r/>
      <w:bookmarkStart w:id="171" w:name="_Toc66375427"/>
      <w:r>
        <w:rPr>
          <w:rFonts w:hint="eastAsia" w:asciiTheme="minorEastAsia" w:hAnsiTheme="minorEastAsia" w:eastAsiaTheme="minorEastAsia"/>
          <w:color w:val="auto"/>
          <w:highlight w:val="none"/>
          <w:lang w:val="zh-CN"/>
        </w:rPr>
        <w:t xml:space="preserve">附件五、分项报价表</w:t>
      </w:r>
      <w:bookmarkEnd w:id="169"/>
      <w:r/>
      <w:bookmarkEnd w:id="170"/>
      <w:r/>
      <w:bookmarkEnd w:id="171"/>
      <w:r/>
      <w:r/>
    </w:p>
    <w:p>
      <w:pPr>
        <w:jc w:val="center"/>
        <w:spacing w:line="360" w:lineRule="auto"/>
        <w:shd w:val="clear" w:color="auto" w:fill="ffffff"/>
        <w:widowControl/>
        <w:rPr>
          <w:rFonts w:hint="eastAsia" w:asciiTheme="minorEastAsia" w:hAnsiTheme="minorEastAsia" w:eastAsiaTheme="minorEastAsia"/>
          <w:b/>
          <w:color w:val="auto"/>
          <w:sz w:val="32"/>
          <w:szCs w:val="32"/>
          <w:highlight w:val="none"/>
          <w:lang w:eastAsia="zh-CN"/>
        </w:rPr>
      </w:pPr>
      <w:r/>
      <w:bookmarkStart w:id="172" w:name="OLE_LINK39"/>
      <w:r>
        <w:rPr>
          <w:rFonts w:hint="eastAsia" w:asciiTheme="minorEastAsia" w:hAnsiTheme="minorEastAsia" w:eastAsiaTheme="minorEastAsia"/>
          <w:b/>
          <w:color w:val="auto"/>
          <w:sz w:val="32"/>
          <w:szCs w:val="32"/>
          <w:highlight w:val="none"/>
        </w:rPr>
        <w:t xml:space="preserve">分项报价表</w:t>
      </w:r>
      <w:bookmarkEnd w:id="172"/>
      <w:r/>
      <w:r/>
    </w:p>
    <w:p>
      <w:pPr>
        <w:ind w:firstLine="294"/>
        <w:jc w:val="left"/>
        <w:spacing w:line="360" w:lineRule="auto"/>
        <w:widowControl/>
        <w:tabs>
          <w:tab w:val="left" w:pos="5397" w:leader="none"/>
        </w:tabs>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项目名称：</w:t>
      </w:r>
      <w:r>
        <w:rPr>
          <w:rFonts w:asciiTheme="minorEastAsia" w:hAnsiTheme="minorEastAsia" w:eastAsiaTheme="minorEastAsia"/>
          <w:color w:val="auto"/>
          <w:szCs w:val="21"/>
          <w:highlight w:val="none"/>
        </w:rPr>
        <w:tab/>
      </w:r>
      <w:r>
        <w:rPr>
          <w:rFonts w:hint="eastAsia" w:asciiTheme="minorEastAsia" w:hAnsiTheme="minorEastAsia" w:eastAsiaTheme="minorEastAsia"/>
          <w:color w:val="auto"/>
          <w:szCs w:val="21"/>
          <w:highlight w:val="none"/>
        </w:rPr>
        <w:t xml:space="preserve">项目编号：</w:t>
      </w:r>
      <w:r/>
    </w:p>
    <w:p>
      <w:pPr>
        <w:pStyle w:val="941"/>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bl>
      <w:tblPr>
        <w:tblStyle w:val="900"/>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2"/>
        <w:gridCol w:w="1625"/>
        <w:gridCol w:w="864"/>
        <w:gridCol w:w="864"/>
        <w:gridCol w:w="864"/>
        <w:gridCol w:w="864"/>
        <w:gridCol w:w="864"/>
        <w:gridCol w:w="864"/>
        <w:gridCol w:w="864"/>
        <w:gridCol w:w="870"/>
      </w:tblGrid>
      <w:tr>
        <w:trPr>
          <w:trHeight w:val="41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序号</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设备名称</w:t>
            </w:r>
            <w:r/>
          </w:p>
        </w:tc>
        <w:tc>
          <w:tcPr>
            <w:shd w:val="clear" w:color="auto" w:fill="auto"/>
            <w:tcW w:w="467" w:type="pct"/>
            <w:vAlign w:val="center"/>
            <w:textDirection w:val="lrTb"/>
            <w:noWrap w:val="false"/>
          </w:tcPr>
          <w:p>
            <w:pPr>
              <w:jc w:val="center"/>
              <w:spacing w:line="0" w:lineRule="atLeast"/>
              <w:rPr>
                <w:rFonts w:hint="eastAsia" w:cs="Times New Roman" w:asciiTheme="minorEastAsia" w:hAnsiTheme="minorEastAsia" w:eastAsiaTheme="minorEastAsia"/>
                <w:color w:val="auto"/>
                <w:sz w:val="21"/>
                <w:szCs w:val="21"/>
                <w:lang w:val="en-US" w:eastAsia="zh-CN" w:bidi="ar-SA"/>
              </w:rPr>
            </w:pPr>
            <w:r>
              <w:rPr>
                <w:rFonts w:hint="eastAsia" w:cs="Times New Roman" w:asciiTheme="minorEastAsia" w:hAnsiTheme="minorEastAsia" w:eastAsiaTheme="minorEastAsia"/>
                <w:color w:val="auto"/>
                <w:szCs w:val="21"/>
              </w:rPr>
              <w:t xml:space="preserve">品牌、规格或型号</w:t>
            </w:r>
            <w:r/>
          </w:p>
        </w:tc>
        <w:tc>
          <w:tcPr>
            <w:shd w:val="clear" w:color="auto" w:fill="auto"/>
            <w:tcW w:w="467" w:type="pct"/>
            <w:vAlign w:val="center"/>
            <w:textDirection w:val="lrTb"/>
            <w:noWrap w:val="false"/>
          </w:tcPr>
          <w:p>
            <w:pPr>
              <w:jc w:val="center"/>
              <w:spacing w:line="0" w:lineRule="atLeast"/>
              <w:rPr>
                <w:rFonts w:hint="eastAsia" w:cs="Times New Roman" w:asciiTheme="minorEastAsia" w:hAnsiTheme="minorEastAsia" w:eastAsiaTheme="minorEastAsia"/>
                <w:color w:val="auto"/>
                <w:sz w:val="21"/>
                <w:szCs w:val="21"/>
                <w:lang w:val="en-US" w:eastAsia="zh-CN" w:bidi="ar-SA"/>
              </w:rPr>
            </w:pPr>
            <w:r>
              <w:rPr>
                <w:rFonts w:hint="eastAsia" w:cs="Times New Roman" w:asciiTheme="minorEastAsia" w:hAnsiTheme="minorEastAsia" w:eastAsiaTheme="minorEastAsia"/>
                <w:color w:val="auto"/>
                <w:szCs w:val="21"/>
              </w:rPr>
              <w:t xml:space="preserve">是否为本国产品（是或否）</w:t>
            </w:r>
            <w:r/>
          </w:p>
        </w:tc>
        <w:tc>
          <w:tcPr>
            <w:shd w:val="clear" w:color="auto" w:fill="auto"/>
            <w:tcW w:w="467" w:type="pct"/>
            <w:vAlign w:val="center"/>
            <w:textDirection w:val="lrTb"/>
            <w:noWrap w:val="false"/>
          </w:tcPr>
          <w:p>
            <w:pPr>
              <w:jc w:val="center"/>
              <w:spacing w:line="0" w:lineRule="atLeast"/>
              <w:rPr>
                <w:rFonts w:hint="eastAsia" w:cs="Times New Roman" w:asciiTheme="minorEastAsia" w:hAnsiTheme="minorEastAsia" w:eastAsiaTheme="minorEastAsia"/>
                <w:color w:val="auto"/>
                <w:sz w:val="21"/>
                <w:szCs w:val="21"/>
                <w:lang w:val="en-US" w:eastAsia="zh-CN" w:bidi="ar-SA"/>
              </w:rPr>
            </w:pPr>
            <w:r>
              <w:rPr>
                <w:rFonts w:hint="eastAsia" w:cs="Times New Roman" w:asciiTheme="minorEastAsia" w:hAnsiTheme="minorEastAsia" w:eastAsiaTheme="minorEastAsia"/>
                <w:color w:val="auto"/>
                <w:szCs w:val="21"/>
              </w:rPr>
              <w:t xml:space="preserve">交付期</w:t>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数量</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Times New Roman" w:eastAsia="宋体"/>
                <w:highlight w:val="none"/>
                <w:lang w:val="en-US" w:eastAsia="zh-CN"/>
              </w:rPr>
              <w:t xml:space="preserve">单位</w:t>
            </w:r>
            <w:r/>
          </w:p>
        </w:tc>
        <w:tc>
          <w:tcPr>
            <w:shd w:val="clear" w:color="auto" w:fill="auto"/>
            <w:tcW w:w="467" w:type="pct"/>
            <w:vAlign w:val="center"/>
            <w:textDirection w:val="lrTb"/>
            <w:noWrap w:val="false"/>
          </w:tcPr>
          <w:p>
            <w:pPr>
              <w:jc w:val="center"/>
              <w:rPr>
                <w:rFonts w:hint="eastAsia"/>
                <w:highlight w:val="none"/>
                <w:lang w:val="en-US" w:eastAsia="zh-CN"/>
              </w:rPr>
            </w:pPr>
            <w:r>
              <w:rPr>
                <w:rFonts w:hint="eastAsia" w:ascii="Times New Roman" w:eastAsia="宋体"/>
                <w:highlight w:val="none"/>
                <w:lang w:val="en-US" w:eastAsia="zh-CN"/>
              </w:rPr>
              <w:t xml:space="preserve">单价最高</w:t>
            </w:r>
            <w:r/>
          </w:p>
          <w:p>
            <w:pPr>
              <w:jc w:val="center"/>
              <w:rPr>
                <w:rFonts w:hint="eastAsia" w:ascii="宋体" w:hAnsi="宋体" w:eastAsia="宋体" w:cs="宋体"/>
                <w:b w:val="0"/>
                <w:bCs w:val="0"/>
                <w:color w:val="auto"/>
                <w:sz w:val="21"/>
                <w:szCs w:val="21"/>
                <w:highlight w:val="none"/>
              </w:rPr>
            </w:pPr>
            <w:r>
              <w:rPr>
                <w:rFonts w:hint="eastAsia" w:ascii="Times New Roman" w:eastAsia="宋体"/>
                <w:highlight w:val="none"/>
                <w:lang w:val="en-US" w:eastAsia="zh-CN"/>
              </w:rPr>
              <w:t xml:space="preserve">（元）</w:t>
            </w:r>
            <w:r/>
          </w:p>
        </w:tc>
        <w:tc>
          <w:tcPr>
            <w:shd w:val="clear" w:color="auto" w:fill="auto"/>
            <w:tcW w:w="467" w:type="pct"/>
            <w:vAlign w:val="center"/>
            <w:textDirection w:val="lrTb"/>
            <w:noWrap w:val="false"/>
          </w:tcPr>
          <w:p>
            <w:pPr>
              <w:jc w:val="center"/>
              <w:spacing w:line="0" w:lineRule="atLeast"/>
              <w:rPr>
                <w:rFonts w:hint="eastAsia" w:cs="Times New Roman" w:asciiTheme="minorEastAsia" w:hAnsiTheme="minorEastAsia" w:eastAsiaTheme="minorEastAsia"/>
                <w:color w:val="auto"/>
                <w:sz w:val="21"/>
                <w:szCs w:val="21"/>
                <w:lang w:val="en-US" w:eastAsia="zh-CN" w:bidi="ar-SA"/>
              </w:rPr>
            </w:pPr>
            <w:r>
              <w:rPr>
                <w:rFonts w:hint="eastAsia" w:cs="Times New Roman" w:asciiTheme="minorEastAsia" w:hAnsiTheme="minorEastAsia" w:eastAsiaTheme="minorEastAsia"/>
                <w:color w:val="auto"/>
                <w:szCs w:val="21"/>
              </w:rPr>
              <w:t xml:space="preserve">单价</w:t>
            </w:r>
            <w:r/>
          </w:p>
        </w:tc>
        <w:tc>
          <w:tcPr>
            <w:shd w:val="clear" w:color="auto" w:fill="auto"/>
            <w:tcW w:w="471" w:type="pct"/>
            <w:vAlign w:val="center"/>
            <w:textDirection w:val="lrTb"/>
            <w:noWrap w:val="false"/>
          </w:tcPr>
          <w:p>
            <w:pPr>
              <w:jc w:val="center"/>
              <w:spacing w:line="0" w:lineRule="atLeast"/>
              <w:rPr>
                <w:rFonts w:hint="eastAsia" w:cs="Times New Roman" w:asciiTheme="minorEastAsia" w:hAnsiTheme="minorEastAsia" w:eastAsiaTheme="minorEastAsia"/>
                <w:color w:val="auto"/>
                <w:sz w:val="21"/>
                <w:szCs w:val="21"/>
                <w:lang w:val="en-US" w:eastAsia="zh-CN" w:bidi="ar-SA"/>
              </w:rPr>
            </w:pPr>
            <w:r>
              <w:rPr>
                <w:rFonts w:hint="eastAsia" w:cs="Times New Roman" w:asciiTheme="minorEastAsia" w:hAnsiTheme="minorEastAsia" w:eastAsiaTheme="minorEastAsia"/>
                <w:color w:val="auto"/>
                <w:szCs w:val="21"/>
              </w:rPr>
              <w:t xml:space="preserve">总价</w:t>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可移动讲台</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14</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Times New Roman" w:eastAsia="宋体"/>
                <w:highlight w:val="none"/>
                <w:lang w:val="en-US" w:eastAsia="zh-CN"/>
              </w:rPr>
              <w:t xml:space="preserve">个</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Times New Roman" w:eastAsia="宋体"/>
                <w:highlight w:val="none"/>
                <w:lang w:val="en-US" w:eastAsia="zh-CN"/>
              </w:rPr>
              <w:t xml:space="preserve">1000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学生午休课桌椅</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542</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550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3</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书包柜</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336</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组</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180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4</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定制展示边柜</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组</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7900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5</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定制收纳书柜</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组</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34540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6</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定制榫卯结构互动装置</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48000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7</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升降拼接桌</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6</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组</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11800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8</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学生椅</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36</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张</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350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9</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定制边柜</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组</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25906</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10</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工程技术桌</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张</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10800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11</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学生升降凳</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8</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张</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268</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12</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智能吊装电网系统-控制柜</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项</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7500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13</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智能吊装电网系统</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6</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7000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14</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Calibri"/>
                <w:highlight w:val="none"/>
                <w:lang w:val="en-US" w:eastAsia="zh-CN"/>
              </w:rPr>
              <w:t xml:space="preserve">定制洞洞板展示柜</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组</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15550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15</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折叠展示架</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组</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575</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16</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异型涂鸦桌</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张</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3980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17</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三角注塑椅（大）</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8</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张</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230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18</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定制作品展示柜</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个</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3000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19</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定制室外阅读座</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6</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组</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9252</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20</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定制可移动屏风</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8</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组</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800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21</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定制软包沙发</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组</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17100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22</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定制储物边柜一</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组</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9404</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23</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定制储物边柜二</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组</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10790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24</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合唱台</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3</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组</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8000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25</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定制收纳边柜一</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4</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组</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18812</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26</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定制收纳边柜二</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组</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15420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27</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多功能柜</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张</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12000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28</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美术收纳柜</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组</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2102</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29</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教师课堂展示台</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个</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600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30</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卡巴萨</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个</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471</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31</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邦戈鼓</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个</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600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32</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卡宏鼓</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个</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600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33</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空灵鼓</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个</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700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34</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手指沙蛋</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个</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200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35</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藏族热巴鼓</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个</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400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36</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卡林巴</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个</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700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37</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雅马哈电钢琴</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个</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3500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38</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雅马哈电贝司</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个</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4000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39</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葫芦丝</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个</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600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40</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口琴</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个</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500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41</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口风琴</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个</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600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42</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晾纸架</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组</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1770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43</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储物柜</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组</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841</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44</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学生油画架</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6</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个</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383</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45</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教师油画架</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个</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540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46</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五层室内水培架</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个</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4980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47</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定制不锈钢种植箱</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3</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个</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800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48</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智能桌面水培箱</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4</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个</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500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49</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智慧微农场：轻量版</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台</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8500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50</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智能种植柜控制系统</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5000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51</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育苗套装</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229</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52</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营养液（大瓶装）</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110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53</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PHEC五合一水质检测笔</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支</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380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54</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中小学智慧微农场课程体系及教学材料</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2000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55</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吧台凳</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24</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435</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56</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背景墙石膏板基础</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14</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612</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57</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展示墙石膏板基础</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6</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1170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58</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挂板墙石膏板基础</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5940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59</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弧形墙面造型</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4</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10692</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60</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背景软木板</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14</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817</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61</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后墙软木板</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7</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1600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62</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展示软木板</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1280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63</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造型软木板</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1012</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64</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后墙书写白板</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7</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2520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65</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人文书写白板</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1623</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66</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创趣书写白板</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1800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67</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展示书写白板</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3510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68</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后墙木质洞洞板</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7</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2000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69</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科创木质洞洞板</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3800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70</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人文木质洞洞板</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3750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71</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展示木质洞洞板</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7</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1350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72</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美术作品展示板</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2760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73</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劳动工具展示板</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3825</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74</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劳动展示展示板</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2165</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75</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人文钢制洞洞板</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9000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76</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窗户挂板</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6</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432</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77</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侧墙挂板</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6</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648</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78</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展示钢制洞洞板</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4</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2808</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79</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异型地台</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7000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80</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音乐小舞台</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1780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81</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科学舞台</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2472</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82</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拆除及修复</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项</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3600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83</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健康照明灯</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24</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盏</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450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84</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吊装字体</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10</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400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85</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导轨条</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32</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m</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80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86</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导轨灯</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32</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盏</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110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87</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吸顶平板灯</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12</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盏</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1000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88</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智能面板</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500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89</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音乐符号灯</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3</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盏</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600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90</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星球灯</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3</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盏</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1000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91</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乐高墙</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4330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92</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美术壁纸</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780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93</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科学墙布</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1341</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94</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定制木工板隔断</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5</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480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95</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护墙板</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6</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585</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96</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墙面装饰护墙板</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6900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97</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图书管理柜</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6</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2340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98</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美术展示柜</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1836</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99</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美术收纳柜</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1170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100</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双层柜体</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900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101</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多层展示柜</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5610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102</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双层多面展示柜</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38700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103</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石台面</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5376</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104</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铝合金木纹边框折叠窗</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9011</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105</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软包坐垫</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1500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106</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文字贴图</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项</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3200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107</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小游戏贴图</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项</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3000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108</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强弱电改造</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198</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120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109</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铝扣板吊顶</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90</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300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110</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铝板造型柱</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9000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111</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树木造型柱</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18000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112</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地面防腐木装饰</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57</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700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113</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AI陪伴机器人</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7</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台</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4200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114</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3D打印机</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6478</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115</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耗材</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8</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盘</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100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116</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数字素材展示屏</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台</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9000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117</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智慧门牌</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6</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台</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5200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118</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学生移动终端</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86</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台</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2400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119</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教师移动终端</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台</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2400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120</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平板充电柜</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29</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台</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1500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121</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5口千兆POE交换机</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24</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台</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600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122</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无线AP</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24</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台</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2100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123</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教室无线网络线缆及辅材</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项</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8455</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124</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Calibri"/>
                <w:highlight w:val="none"/>
                <w:lang w:val="en-US" w:eastAsia="zh-CN"/>
              </w:rPr>
              <w:t xml:space="preserve">教室线路拆除和安装</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24</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间</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400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125</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教室壁挂式扬声器套装</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7</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2500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126</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教室无线领夹麦克风接收器</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7</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台</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500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127</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教室无线领夹麦克风</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台</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500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128</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智能移动平板</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6</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台</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4000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852"/>
        </w:trPr>
        <w:tc>
          <w:tcPr>
            <w:gridSpan w:val="10"/>
            <w:shd w:val="clear" w:color="auto" w:fill="auto"/>
            <w:tcW w:w="5000" w:type="pct"/>
            <w:vAlign w:val="center"/>
            <w:textDirection w:val="lrTb"/>
            <w:noWrap w:val="false"/>
          </w:tcPr>
          <w:p>
            <w:pPr>
              <w:jc w:val="center"/>
              <w:rPr>
                <w:rFonts w:hint="default" w:ascii="Times New Roman" w:eastAsia="宋体"/>
                <w:highlight w:val="none"/>
                <w:lang w:val="en-US" w:eastAsia="zh-CN"/>
              </w:rPr>
            </w:pPr>
            <w:r>
              <w:rPr>
                <w:rFonts w:hint="eastAsia"/>
                <w:highlight w:val="none"/>
                <w:lang w:val="en-US" w:eastAsia="zh-CN"/>
              </w:rPr>
              <w:t xml:space="preserve">合计：</w:t>
            </w:r>
            <w:r/>
          </w:p>
        </w:tc>
      </w:tr>
    </w:tbl>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bookmarkStart w:id="173" w:name="OLE_LINK31"/>
      <w:r>
        <w:rPr>
          <w:rFonts w:hint="eastAsia" w:asciiTheme="minorEastAsia" w:hAnsiTheme="minorEastAsia" w:eastAsiaTheme="minorEastAsia"/>
          <w:color w:val="auto"/>
          <w:szCs w:val="21"/>
          <w:highlight w:val="none"/>
        </w:rPr>
        <w:t xml:space="preserve">说明：</w:t>
      </w:r>
      <w:r/>
    </w:p>
    <w:p>
      <w:pPr>
        <w:ind w:left="210"/>
        <w:jc w:val="left"/>
        <w:spacing w:line="360" w:lineRule="auto"/>
        <w:shd w:val="clear" w:color="auto" w:fill="ffffff"/>
        <w:widowControl/>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1.“投标总价”应包括为完成整个项目所产生的所有费用，招标文件另有规定的除外。</w:t>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2.《分项报价表》中“投标总价”应当与《开标一览表》中“投标总价”一致。</w:t>
      </w:r>
      <w:r/>
    </w:p>
    <w:p>
      <w:pPr>
        <w:ind w:firstLine="210"/>
        <w:jc w:val="left"/>
        <w:spacing w:line="360" w:lineRule="auto"/>
        <w:shd w:val="clear" w:color="auto" w:fill="ffffff"/>
        <w:widowControl/>
        <w:rPr>
          <w:rFonts w:hint="eastAsia" w:asciiTheme="minorEastAsia" w:hAnsiTheme="minorEastAsia" w:eastAsiaTheme="minorEastAsia"/>
          <w:color w:val="auto"/>
          <w:highlight w:val="none"/>
          <w:lang w:val="zh-CN" w:eastAsia="zh-CN"/>
        </w:rPr>
      </w:pPr>
      <w:r>
        <w:rPr>
          <w:rFonts w:hint="eastAsia" w:asciiTheme="minorEastAsia" w:hAnsiTheme="minorEastAsia" w:eastAsiaTheme="minorEastAsia"/>
          <w:color w:val="auto"/>
          <w:highlight w:val="none"/>
          <w:lang w:val="en-US" w:eastAsia="zh-CN"/>
        </w:rPr>
        <w:t xml:space="preserve">3.</w:t>
      </w:r>
      <w:r>
        <w:rPr>
          <w:rFonts w:hint="eastAsia" w:asciiTheme="minorEastAsia" w:hAnsiTheme="minorEastAsia" w:eastAsiaTheme="minorEastAsia"/>
          <w:color w:val="auto"/>
          <w:highlight w:val="none"/>
          <w:lang w:val="zh-CN" w:eastAsia="zh-CN"/>
        </w:rPr>
        <w:t xml:space="preserve">投标人按照所投采购包，对应填写《分项报价表》，不得调整清单数量。</w:t>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highlight w:val="none"/>
          <w:lang w:val="en-US" w:eastAsia="zh-CN"/>
        </w:rPr>
        <w:t xml:space="preserve">4.</w:t>
      </w:r>
      <w:r>
        <w:rPr>
          <w:rFonts w:asciiTheme="minorEastAsia" w:hAnsiTheme="minorEastAsia" w:eastAsiaTheme="minorEastAsia"/>
          <w:color w:val="auto"/>
          <w:szCs w:val="21"/>
          <w:highlight w:val="none"/>
        </w:rPr>
        <w:t xml:space="preserve">如果行数不够，请自行增加。</w:t>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投标人（加盖电子公章）：</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rPr>
          <w:rFonts w:hint="eastAsia" w:asciiTheme="minorEastAsia" w:hAnsiTheme="minorEastAsia" w:eastAsiaTheme="minorEastAsia"/>
          <w:color w:val="auto"/>
          <w:szCs w:val="21"/>
          <w:highlight w:val="none"/>
        </w:rPr>
      </w:pPr>
      <w:r>
        <w:rPr>
          <w:rFonts w:hint="eastAsia" w:asciiTheme="minorEastAsia" w:hAnsiTheme="minorEastAsia" w:eastAsiaTheme="minorEastAsia"/>
          <w:b/>
          <w:color w:val="auto"/>
          <w:sz w:val="32"/>
          <w:szCs w:val="32"/>
          <w:highlight w:val="none"/>
        </w:rPr>
        <w:br w:type="page" w:clear="all"/>
      </w:r>
      <w:bookmarkEnd w:id="173"/>
      <w:r/>
      <w:r/>
    </w:p>
    <w:p>
      <w:pPr>
        <w:pStyle w:val="891"/>
        <w:numPr>
          <w:ilvl w:val="1"/>
          <w:numId w:val="0"/>
        </w:numPr>
        <w:rPr>
          <w:rFonts w:hint="eastAsia" w:asciiTheme="minorEastAsia" w:hAnsiTheme="minorEastAsia" w:eastAsiaTheme="minorEastAsia"/>
          <w:color w:val="auto"/>
          <w:highlight w:val="none"/>
          <w:lang w:val="zh-CN"/>
        </w:rPr>
      </w:pPr>
      <w:r/>
      <w:bookmarkStart w:id="174" w:name="_Toc43917775"/>
      <w:r/>
      <w:bookmarkStart w:id="175" w:name="_Toc66375428"/>
      <w:r>
        <w:rPr>
          <w:rFonts w:hint="eastAsia" w:asciiTheme="minorEastAsia" w:hAnsiTheme="minorEastAsia" w:eastAsiaTheme="minorEastAsia"/>
          <w:color w:val="auto"/>
          <w:highlight w:val="none"/>
          <w:lang w:val="zh-CN"/>
        </w:rPr>
        <w:t xml:space="preserve">附件六、</w:t>
      </w:r>
      <w:bookmarkStart w:id="176" w:name="_Hlk176528721"/>
      <w:r>
        <w:rPr>
          <w:rFonts w:hint="eastAsia" w:asciiTheme="minorEastAsia" w:hAnsiTheme="minorEastAsia" w:eastAsiaTheme="minorEastAsia"/>
          <w:color w:val="auto"/>
          <w:highlight w:val="none"/>
          <w:lang w:val="zh-CN"/>
        </w:rPr>
        <w:t xml:space="preserve">技术要求响应及偏离表</w:t>
      </w:r>
      <w:bookmarkEnd w:id="174"/>
      <w:r/>
      <w:bookmarkEnd w:id="175"/>
      <w:r/>
      <w:bookmarkEnd w:id="176"/>
      <w:r/>
      <w:r/>
    </w:p>
    <w:p>
      <w:pPr>
        <w:ind w:left="435"/>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 w:val="24"/>
          <w:highlight w:val="none"/>
        </w:rPr>
        <w:t xml:space="preserve"> </w:t>
      </w:r>
      <w:r/>
    </w:p>
    <w:p>
      <w:pPr>
        <w:jc w:val="center"/>
        <w:spacing w:line="360" w:lineRule="auto"/>
        <w:shd w:val="clear" w:color="auto" w:fill="ffffff"/>
        <w:widowControl/>
        <w:rPr>
          <w:rFonts w:hint="eastAsia" w:asciiTheme="minorEastAsia" w:hAnsiTheme="minorEastAsia" w:eastAsiaTheme="minorEastAsia"/>
          <w:color w:val="auto"/>
          <w:szCs w:val="21"/>
          <w:highlight w:val="none"/>
          <w:lang w:eastAsia="zh-CN"/>
        </w:rPr>
        <w:outlineLvl w:val="2"/>
      </w:pPr>
      <w:r/>
      <w:bookmarkStart w:id="177" w:name="_Hlk176528733"/>
      <w:r>
        <w:rPr>
          <w:rFonts w:hint="eastAsia" w:asciiTheme="minorEastAsia" w:hAnsiTheme="minorEastAsia" w:eastAsiaTheme="minorEastAsia"/>
          <w:b/>
          <w:color w:val="auto"/>
          <w:sz w:val="32"/>
          <w:szCs w:val="32"/>
          <w:highlight w:val="none"/>
        </w:rPr>
        <w:t xml:space="preserve">技术要求响应及偏离表</w:t>
      </w:r>
      <w:r/>
    </w:p>
    <w:p>
      <w:pPr>
        <w:ind w:firstLine="294"/>
        <w:jc w:val="left"/>
        <w:spacing w:line="360" w:lineRule="auto"/>
        <w:widowControl/>
        <w:tabs>
          <w:tab w:val="left" w:pos="5397" w:leader="none"/>
        </w:tabs>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项目名称：</w:t>
      </w:r>
      <w:r>
        <w:rPr>
          <w:rFonts w:asciiTheme="minorEastAsia" w:hAnsiTheme="minorEastAsia" w:eastAsiaTheme="minorEastAsia"/>
          <w:color w:val="auto"/>
          <w:szCs w:val="21"/>
          <w:highlight w:val="none"/>
        </w:rPr>
        <w:tab/>
      </w:r>
      <w:r>
        <w:rPr>
          <w:rFonts w:hint="eastAsia" w:asciiTheme="minorEastAsia" w:hAnsiTheme="minorEastAsia" w:eastAsiaTheme="minorEastAsia"/>
          <w:color w:val="auto"/>
          <w:szCs w:val="21"/>
          <w:highlight w:val="none"/>
        </w:rPr>
        <w:t xml:space="preserve">项目编号：</w:t>
      </w:r>
      <w:r/>
    </w:p>
    <w:tbl>
      <w:tblPr>
        <w:tblStyle w:val="900"/>
        <w:tblW w:w="53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65"/>
        <w:gridCol w:w="1021"/>
        <w:gridCol w:w="5243"/>
        <w:gridCol w:w="1188"/>
        <w:gridCol w:w="1474"/>
      </w:tblGrid>
      <w:tr>
        <w:trPr>
          <w:jc w:val="center"/>
          <w:trHeight w:val="284"/>
        </w:trPr>
        <w:tc>
          <w:tcPr>
            <w:tcMar>
              <w:left w:w="10" w:type="dxa"/>
              <w:top w:w="0" w:type="dxa"/>
              <w:right w:w="10" w:type="dxa"/>
              <w:bottom w:w="0" w:type="dxa"/>
            </w:tcMar>
            <w:tcW w:w="347" w:type="pct"/>
            <w:vAlign w:val="center"/>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bookmarkStart w:id="178" w:name="_Hlk66784099"/>
            <w:r>
              <w:rPr>
                <w:rFonts w:hint="eastAsia" w:asciiTheme="minorEastAsia" w:hAnsiTheme="minorEastAsia" w:eastAsiaTheme="minorEastAsia"/>
                <w:b/>
                <w:color w:val="auto"/>
                <w:szCs w:val="21"/>
                <w:highlight w:val="none"/>
              </w:rPr>
              <w:t xml:space="preserve">序号</w:t>
            </w:r>
            <w:r/>
          </w:p>
        </w:tc>
        <w:tc>
          <w:tcPr>
            <w:tcMar>
              <w:left w:w="10" w:type="dxa"/>
              <w:top w:w="0" w:type="dxa"/>
              <w:right w:w="10" w:type="dxa"/>
              <w:bottom w:w="0" w:type="dxa"/>
            </w:tcMar>
            <w:tcW w:w="532" w:type="pct"/>
            <w:vAlign w:val="center"/>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lang w:val="en-US" w:eastAsia="zh-CN"/>
              </w:rPr>
              <w:t xml:space="preserve">设备名称</w:t>
            </w:r>
            <w:r/>
          </w:p>
        </w:tc>
        <w:tc>
          <w:tcPr>
            <w:tcMar>
              <w:left w:w="10" w:type="dxa"/>
              <w:top w:w="0" w:type="dxa"/>
              <w:right w:w="10" w:type="dxa"/>
              <w:bottom w:w="0" w:type="dxa"/>
            </w:tcMar>
            <w:tcW w:w="2732" w:type="pct"/>
            <w:vAlign w:val="center"/>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招标文件的技术要求</w:t>
            </w:r>
            <w:r/>
          </w:p>
        </w:tc>
        <w:tc>
          <w:tcPr>
            <w:tcMar>
              <w:left w:w="10" w:type="dxa"/>
              <w:top w:w="0" w:type="dxa"/>
              <w:right w:w="10" w:type="dxa"/>
              <w:bottom w:w="0" w:type="dxa"/>
            </w:tcMar>
            <w:tcW w:w="619" w:type="pct"/>
            <w:vAlign w:val="center"/>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投标响应</w:t>
            </w:r>
            <w:r/>
          </w:p>
        </w:tc>
        <w:tc>
          <w:tcPr>
            <w:tcMar>
              <w:left w:w="10" w:type="dxa"/>
              <w:top w:w="0" w:type="dxa"/>
              <w:right w:w="10" w:type="dxa"/>
              <w:bottom w:w="0" w:type="dxa"/>
            </w:tcMar>
            <w:tcW w:w="768" w:type="pct"/>
            <w:vAlign w:val="center"/>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偏离情况</w:t>
            </w:r>
            <w:r/>
          </w:p>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（正偏离、无偏离或负偏离）</w:t>
            </w:r>
            <w:bookmarkEnd w:id="178"/>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可移动讲台</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1、规格：≥1200*600*900mm；</w:t>
            </w:r>
            <w:r/>
          </w:p>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2、钢木结构；</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3、台面：采用≥12.7mm厚双面膜耐腐蚀实芯理化板制作，四角倒R15圆角。耐酸、耐碱、耐高温，坚固耐用，防潮、无细孔、不膨胀、不龟裂、不变形、不导电、便于维护及具有良好的承重性能；</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主框架采用≥50*50mm矩形管焊接而成，表面经酸洗磷化、纯环氧树脂塑粉高温固化处理，平整光滑，不允许有喷涂层脱落、鼓泡、凹陷、压痕以及表面划伤、麻点、裂痕、崩角和刃口等，切割、钻孔和倒角应去毛刺；</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柜身：柜身为悬柜，基材为≥16mm厚实验室专用环保生态板材制作，柜身可任意移出，便捷、灵活性强。可见截面均经过PVC封边；贴面和封边部件应严密、平整，不允许脱胶、鼓泡、凹陷、压痕以及表面划伤、麻点、裂痕、崩角和刃口，外表的圆角、倒棱应均匀一致；</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6、正前方设置可移动置物架，放置教案和教具；</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7、桌脚：采用静音医用万向轮。</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2</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学生午休课桌椅</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学生午休课桌  </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1、材质：采用三聚氰胺饰面板封边笔槽一次注塑成型；</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2、规格尺寸：≥宽600mm×深400mm×高18mm±2mm；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3、结构：圆形升降立柱设有可调节高度插孔，采用圆形插孔抱箍锁定升降孔位，外螺纹上盖及内旋螺纹下盖旋合锁紧即可实现高度调节，每孔间隔≤30mm，桌面高度范围：610mm-760mm；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4、材质：螺纹上下旋盖采用PP（聚丙烯）一体注塑成型，抱箍插销采用合金+聚丙烯PP一次注塑成型；</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5、调节高度：无需任何工具，插入圆形插孔抱箍锁定高度孔位，旋紧上下盖即可实现高度调节。 </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学生午休课椅</w:t>
            </w:r>
            <w:r/>
          </w:p>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1、靠背：材质：座板采用PP（聚丙烯）一次注塑成型。规格尺寸：≥宽438×高440mm±3mm（不含头枕）；</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2、椅座：材质：采用PP（ 聚丙烯）一体注塑成型，规格尺寸：≥宽410m×深415mm±3mm；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靠背支撑支架：采用环保PA尼龙复合材料一体注塑成型，双边垂直对称支撑靠背板，中间≥2道横梁连接，和背板通过螺丝锁付，为确保不同身高学生使用，支架具备预留孔位，实现靠背板≥60mm高度可调节范围；</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4、椅背角度调节：通过机械阻尼机构，可实现椅背分段缓冲调节角度；</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午休机置：午休椅背折叠机构支撑外壳、折叠锁定释放机构均采用环保PA尼龙复合材料一体注塑成型，为确保安全性能，不得采用高压气缸或气弹簧机构，需通过纯物理机械原理实现靠背在90-135度缓冲切换，从而实现午休功能。</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3</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书包柜</w:t>
            </w:r>
            <w:r/>
          </w:p>
        </w:tc>
        <w:tc>
          <w:tcPr>
            <w:shd w:val="clear" w:color="auto" w:fill="auto"/>
            <w:tcW w:w="2732" w:type="pct"/>
            <w:vAlign w:val="top"/>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1、单柜规格：≥高315*宽320*深420mm（不含底座）；</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2、材质：全塑环保储物柜全部为ABS/改性HIPS及全新工程塑料制成，强度高、韧性好、耐冲击，不易腐蚀，无毒无味，环保耐用；</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3、工艺：采用针阀式热流道模具恒温、气辅注塑成型，全程自动化生产；采用注塑一次成型；</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4、安装方式：积木式模块化安装，简单快捷，安装时不用胶水粘结，不用任何螺丝，凹凸多向定位连接，产品不变形、不扭曲，牢固耐用，达到可重复拆装使用；</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5柜门拉手椭圆形防撬设计，在门反手位置采用多个90°角台阶形成阻挡板与门的正面形成阶梯状的防撬设计，门把手设有两个固定卡扣和一个弹力卡扣,在上机械锁或其他锁具时加强防盗功能；</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6、柜门拉手安装时正面的台阶需压在门板外表面上,两个固定卡扣和一个弹力卡扣需卡在门板背面固定板的对应卡槽内；</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防柜门脱落设计：柜门与柜体的连接采用上下同轴结构连接，门板的右上角设有一个可伸缩弹力门轴（规格：Ø8*26mm），按压后可卡入上下板门轴洞，此设计在门板拆卸时需从上到下依次从门轴洞按压插销后才可拆卸门，避免学生碰撞门板脱落砸伤或学生自行从柜内拆装柜门发生意外等风险；</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8、铰链防脱落设计：门板铰链采用单个一体铰链（规格：≥27.5*27*20mm）单个零件组成.铰链上设有五个U形格栅,与门板固定轴连接处设有8个卡扣点,与柜体侧板连接处设两个长9mm宽7.5mm的卡扣，通过10个卡点设计大幅减少门板发生碰撞时脱落风险；</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9、门板快速换装设计：出厂时铰链已安装在门板上，安装时只需朝柜体一侧转动铰链与柜体铰链卡槽进行扣紧就可完成安装，拆卸时无需把正门和副门分开后拆卸铰链，避免正副门拆卸时卡扣断裂影响开关门及正副门松动脱落砸伤风险。拆卸时需按压自动门轴后门板抬高柜门才可拆卸下来，避免外力推拉时门板脱漏砸伤学生；</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10、门板采用一体成型及大角度开合设计：出厂时门板为一体式，安装和拆卸时无需再拼装正副门，保证门板长期使用后的牢固性，门板表面采用平面设计，门板表面硬度等级达到3H以上，可有效防止日常使用刮擦，色彩自然绚丽，易清理，开合角采用120°角，开门时不占用太多通道空间。</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4</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定制展示边柜</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1、规格：≥5800*300*800mm；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2、材料：采用国标E0级多层板芯免漆板，柜体及门板厚度≥18mm；材料环保安全；板材具备硬度强，环境适应性强，防潮防湿，易清洁等优点。</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5</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定制收纳书柜</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1、规格：≥6200*400*1800mm；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2、材质：采用国标E0级免漆板；柜体及门板厚度≥18mm；软包采用高回弹海绵芯材，外包优质布艺饰面；</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3、颜色按采购人采购需求定制；</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4、层板顶部带造型。</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6</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定制榫卯结构互动装置</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1、产品尺寸≥32寸，宽高比例 16:9，面板规格类型 TFT-LCD，光源类型 WLED，亮度 ≥400cd/㎡，对比度 ≥1300：1，分辨率 1920*1080，可视角度 ≥178º（H）/178º(V)，使用寿命 ≥50000小时，CPU ≥12核24线程，内存 ≥16G，硬盘 ≥120G SSD；</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互动软件开发：榫卯结构互动软件开发，通过主动探索学习方式，引导学生学习榫卯的相关知识，软件展示了中国从古至今一致沿用的榫卯结构，和榫卯结构的独特效果，包含各种榫卯的名称、介绍、图解、结构等信息，介绍榫卯结构的总数不少于30种。</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7</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升降拼接桌</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1、规格：≥2030*1780*640~790mm；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2、台面：采用≥12.7mm厚双面膜耐腐蚀实芯理化板制作，表面使用特殊树脂处理，具有耐酸碱，耐刮磨、耐冲击、耐水、耐高温</w:t>
            </w:r>
            <w:bookmarkStart w:id="212" w:name="_GoBack"/>
            <w:r/>
            <w:bookmarkEnd w:id="212"/>
            <w:r>
              <w:rPr>
                <w:rFonts w:hint="eastAsia" w:cs="宋体" w:asciiTheme="minorEastAsia" w:hAnsiTheme="minorEastAsia" w:eastAsiaTheme="minorEastAsia"/>
                <w:b w:val="0"/>
                <w:bCs/>
                <w:color w:val="auto"/>
                <w:szCs w:val="21"/>
                <w:highlight w:val="none"/>
                <w:lang w:val="en-US" w:eastAsia="zh-CN"/>
              </w:rPr>
              <w:t xml:space="preserve">，易清洁保养等特点，台面加工采用CNC雕刻工艺，为确保安全，台面四角倒R20圆角,上下边沿倒R2圆角，避免划伤风险；</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yellow"/>
                <w:lang w:val="en-US" w:eastAsia="zh-CN"/>
              </w:rPr>
              <w:t xml:space="preserve">3、桌架：桌腿以铸铝浇注而成，壁厚不低于5 mm,内部合理布置加强筋，部件采用金属钣金连接固定，厚重沉稳，中间横梁则用铝型材作为主要材料；桌架部件一体成型，平滑无焊接，转弯处弧形圆滑，表面喷涂层光滑均匀，色彩一致，无流挂、疙瘩、皱皮，飞漆等缺陷；</w:t>
            </w:r>
            <w:r>
              <w:rPr>
                <w:rFonts w:hint="eastAsia" w:cs="宋体" w:asciiTheme="minorEastAsia" w:hAnsiTheme="minorEastAsia" w:eastAsiaTheme="minorEastAsia"/>
                <w:b w:val="0"/>
                <w:bCs/>
                <w:color w:val="auto"/>
                <w:szCs w:val="21"/>
                <w:highlight w:val="yellow"/>
                <w:lang w:val="en-US" w:eastAsia="zh-CN"/>
              </w:rPr>
              <w:br/>
            </w:r>
            <w:r>
              <w:rPr>
                <w:rFonts w:hint="eastAsia" w:cs="宋体" w:asciiTheme="minorEastAsia" w:hAnsiTheme="minorEastAsia" w:eastAsiaTheme="minorEastAsia"/>
                <w:b w:val="0"/>
                <w:bCs/>
                <w:color w:val="auto"/>
                <w:szCs w:val="21"/>
                <w:highlight w:val="yellow"/>
                <w:lang w:val="en-US" w:eastAsia="zh-CN"/>
              </w:rPr>
              <w:t xml:space="preserve">4、结构安全性：桌腿采用分段式设计，尺寸不低于550*90*627~777，组装后宽度是常规桌腿的两倍左右，结构稳固；台面采用镶嵌螺母工艺，采用不少于10颗不锈钢M6内六角螺丝和桌架紧固，相较于市面常用的自攻螺丝或胶粘方法更加稳固，持久，即便后期拆卸维修也不会对台面造成二次伤害；桌子用材及喷涂和安装工艺环保安全；</w:t>
            </w:r>
            <w:r>
              <w:rPr>
                <w:rFonts w:hint="eastAsia" w:cs="宋体" w:asciiTheme="minorEastAsia" w:hAnsiTheme="minorEastAsia" w:eastAsiaTheme="minorEastAsia"/>
                <w:b w:val="0"/>
                <w:bCs/>
                <w:color w:val="auto"/>
                <w:szCs w:val="21"/>
                <w:highlight w:val="yellow"/>
                <w:lang w:val="en-US" w:eastAsia="zh-CN"/>
              </w:rPr>
              <w:br/>
            </w:r>
            <w:r>
              <w:rPr>
                <w:rFonts w:hint="eastAsia" w:cs="宋体" w:asciiTheme="minorEastAsia" w:hAnsiTheme="minorEastAsia" w:eastAsiaTheme="minorEastAsia"/>
                <w:b w:val="0"/>
                <w:bCs/>
                <w:color w:val="auto"/>
                <w:szCs w:val="21"/>
                <w:highlight w:val="yellow"/>
                <w:lang w:val="en-US" w:eastAsia="zh-CN"/>
              </w:rPr>
              <w:t xml:space="preserve">5、升降：产品可以以每档30mm间距从640mm高度调至790mm高度，档位高度符合GB/T 3976-2014《学校课桌椅功能尺寸及技术要求》要求；桌腿以滑轮为实现升降功能的结构，搭配气弹簧和滑轮插销，使得升降操作简单，顺畅，采用定制气弹簧，长度325±2MM，行程150MM，采用液压和气压组合方式，活塞杆镀硬铬，使得升降更加平缓，均匀，耐用性更强；</w:t>
            </w:r>
            <w:r>
              <w:rPr>
                <w:rFonts w:hint="eastAsia" w:cs="宋体" w:asciiTheme="minorEastAsia" w:hAnsiTheme="minorEastAsia" w:eastAsiaTheme="minorEastAsia"/>
                <w:b w:val="0"/>
                <w:bCs/>
                <w:color w:val="auto"/>
                <w:szCs w:val="21"/>
                <w:highlight w:val="yellow"/>
                <w:lang w:val="en-US" w:eastAsia="zh-CN"/>
              </w:rPr>
              <w:br/>
            </w:r>
            <w:r>
              <w:rPr>
                <w:rFonts w:hint="eastAsia" w:cs="宋体" w:asciiTheme="minorEastAsia" w:hAnsiTheme="minorEastAsia" w:eastAsiaTheme="minorEastAsia"/>
                <w:b w:val="0"/>
                <w:bCs/>
                <w:color w:val="auto"/>
                <w:szCs w:val="21"/>
                <w:highlight w:val="none"/>
                <w:lang w:val="en-US" w:eastAsia="zh-CN"/>
              </w:rPr>
              <w:t xml:space="preserve">6、台面挡边：台面挡边采用铸铝工艺，拼缝少且小，两头无需装饰收口盖，较传统挡水更加美观，整体，品质升级；挡水和台面采用螺丝紧固的方式，抗冲击性强，更加牢固耐用，表面采用高温静电粉末喷涂的处理工艺，漆面坚硬，环保安全；</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凳子挂架：桌架横梁下配置凳子挂架，挂架采用一体式设计方案，既解决了凳子的收纳问题，便于打扫卫生，又增强了桌架结构的稳定性；挂架采用不低于4MM厚冷轧碳素钢板，承重强，不易变形，挂板倾斜式设计，桌子有轻微晃动，凳子也不易滑落，确保安全，稳固；</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8、置物挂钩：桌架两侧配置隐蔽式书包挂钩，内置反弹机构，需要时拉出，不用时可自动归位，美观，安全，避免了外置挂钩的安全隐患问题；挂钩采用不低于5 mm厚冷轧碳素钢板，承重强，不易变形，表面采用高温静电粉末喷涂的处理工艺，漆面坚硬，环保安全。</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8</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学生椅</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1、规格尺寸：≥469*582*837mm；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2、材质及工艺：</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（1）靠背：尺寸≥354*345*89mm，PP+GF增强PP材料原料一体成型，轻盈，简洁，靠背有小幅度倾斜设计，有效缓解疲劳；有害物质邻苯二甲酸酯符合 GB/T 32487-2016 《塑料家具通用技术条件》中的限量要求；</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（2）靠背橡胶件：靠背与座板的衔接橡胶件，可以起到靠背前后软性调节，使靠背能够沿着固定支撑的位置前后翘动，缓冲人体腰部、背部肌肉压力，符合人体工程学设计原理；</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座板：尺寸≥405*430*57mm，PP+GF增强PP材料原料一体成型，底部连接处有橡胶垫有效缓冲，坐感舒适度；靠背与坐面采用镂空设计增加透气性，降低椅子自重，同样缓冲人体背部及臀部肌肉压力；有害物质邻苯二甲酸酯符合 GB/T 32487-2016 《塑料家具通用技术条件》中的限量要求；</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（4）靠背后呣锺盖板：PP+GF增强PP材料原料一体成型，用数控折弯成型的定制管衔接靠背与座板，结构稳固，材质、色彩与座椅整体统一；有害物质邻苯二甲酸酯符合 GB/T 32487-2016 《塑料家具通用技术条件》中的限量要求；</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（5）座板后盖板：PP+GF增强PP材料原料一体成型，用数控折弯成型的定制管衔接座板与支撑弯管椅腿，确保衔接处结构稳固，不暴露螺孔与接驳面，美观大方；有害物质邻苯二甲酸酯符合 GB/T 32487-2016 《塑料家具通用技术条件》中的限量要求；</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（6）座板橡胶件：座板与椅腿的衔接橡胶件，可以起到座板前后软性调节，使座板能够沿着固定支撑的位置前后翘动，缓冲人体臀部肌肉压力；</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（7）衔接靠背与座板以及椅腿的钢管20*30 管壁厚1.5mm喷涂支架，一体加热弯折成型，金属质感，整体更轻盈，稳固性强支撑更稳定； </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（8）椅腿护套：椅腿弯折位置，以及椅腿4个顶端，包覆6个PP材质护套，静音防滑，保护椅腿主体结构稳定。</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9</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定制边柜</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1、规格：≥8400*450*900mm；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2、材质：柜体及台面级采用国标E0级免漆板，柜体及门板厚度≥18mm；桌子搭配金属框架，结构稳固；表面静电粉末喷涂处理，漆面平滑坚硬，不易脱落；</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3、五金：拖柜配置静音滑轮，移动方便；柜内配置优质ABS工程塑料收纳盒。</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10</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工程技术桌</w:t>
            </w:r>
            <w:r/>
          </w:p>
        </w:tc>
        <w:tc>
          <w:tcPr>
            <w:shd w:val="clear" w:color="auto" w:fill="auto"/>
            <w:tcW w:w="2732" w:type="pct"/>
            <w:vAlign w:val="top"/>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1、规格：≥2400*1200*800mm；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台面：采用北美进口白蜡木实木制作，硬度及平整度高，抗冲击和耐磨性强，不易开裂变形，表面经脱水、脱胶、防腐、防虫化学处理，木材保持8%～17%的含水量，表面无贯穿裂纹、缺口、虫蛀，树脂囊，节子，木纹纹理自然，纹理图案应对称，颜色相似，表面洁净无污染；表面经反复打磨，涂刷优质天然木蜡油，不含甲醛，环保安全，即使日常有磕碰也容易修补；</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3、桌架：桌腿采用分段式设计，尺寸≥550*90*627*777，组装后宽度是常规桌腿的两倍左</w:t>
            </w:r>
            <w:r>
              <w:rPr>
                <w:rFonts w:hint="eastAsia" w:cs="宋体" w:asciiTheme="minorEastAsia" w:hAnsiTheme="minorEastAsia" w:eastAsiaTheme="minorEastAsia"/>
                <w:b w:val="0"/>
                <w:bCs/>
                <w:color w:val="auto"/>
                <w:szCs w:val="21"/>
                <w:highlight w:val="none"/>
                <w:lang w:val="en-US" w:eastAsia="zh-CN"/>
              </w:rPr>
              <w:t xml:space="preserve">右，结构稳固；桌腿以铸铝浇注而成，壁厚5MM,内部合理布置加强筋，部件采用金属钣金连接固定，厚重沉稳，中间横梁则用铝型材作为主要材料；桌架采用高温静电粉末喷涂的表面处理工艺，涂层光滑均匀，色泽一致，无流挂、疙瘩、皱皮，飞漆等缺陷，硬度高，耐冲击强、耐腐蚀，外观和理化性能符合GB/T 24820-2024 《实验室家具通用技术条件要求》标准；桌架所有部件边沿倒角皆大于1MM，采用金属紧固件紧密连接，结构稳固性强，产品的结构安全性、力学性能符合GB/T 24820-2024 《实验室家具通用技术条件要求》标准；</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4、升降：产品可以以每档30mm间距从640mm高度调至790mm高度（底部放置收纳柜体后升降高度只能调760~790mm两档），档位高度符合GB/T 3976-2014《中小学课桌椅高度》要求；桌腿以滑轮为实现升降功能的结构，搭配气弹簧和滑轮插销，使得升降操作简单，顺畅，采用定制气弹簧，长度325±2MM，行程150MM，采用液压和气压组合方式，活塞杆镀硬铬，使得升降更加平缓，均匀，耐用性更强；</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置物挂钩：桌架两侧配置隐蔽式书包挂钩，内置反弹机构，需要时拉出，不用时可自动归位，美观，安全，避免了外置挂钩的安全隐患问题；挂钩采用≥5mm厚冷轧碳素钢板，承重强，不易变形；表面采用高温静电粉末喷涂的处理工艺，漆面坚硬，环保安全；</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6、柜体采用E0级多层板芯免漆板，同色PVC封边，柜内配合工具收纳盒，柜门采用优质阻尼铰链。</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11</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学生升降凳</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1、规格：≥Φ490*415-515mm；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2、凳面采用双色注塑工艺：底层为增强改性聚丙烯（PP），表层为热塑性弹性体（TPE）；内部与气压杆连接处采用定制金属缸套嵌件一体注塑成型；</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3、连接结构：增强尼龙注塑件+30 mm金属内衬，内径≥28 mm（±3mm），接触面均为金属材质，热膨胀系数匹配，确保结构稳固；</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4、锥型凳杆装饰筒采用增强改性PP注塑成型；</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5、凳杆气泵：气弹簧符合 GBIT 29525-2013《座椅升降气弹簧技术条件》中耐高低温性能、循环寿命技术要求。</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12</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智能吊装电网系统-控制柜</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1、尺寸：≥400*500*150mm；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2、屏幕尺寸≥10英寸；</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3、支持触摸控制；</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4、支持独立或编组调整学生电源低压电输出；</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5、支持控制学生220V电源通断电；</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6、支持授权学生自主调节低压电输出；</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7、支持控制学生终端升降。</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13</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智能吊装电网系统</w:t>
            </w:r>
            <w:r/>
          </w:p>
        </w:tc>
        <w:tc>
          <w:tcPr>
            <w:shd w:val="clear" w:color="auto" w:fill="auto"/>
            <w:tcW w:w="2732" w:type="pct"/>
            <w:vAlign w:val="top"/>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1、可升降电源由显示屏、可开合壳体（内置开关面板）等零部件组成，当开关面板闭合时，学生无法接触到电源插口；</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2、触控显示屏</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（1）形状尺寸：圆形，与设备造型协调统一，尺寸：≥2英寸；</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（2）屏幕分辨率：≥480*480；</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（3）支持控制低压电源数值，支持实时显示学生电源输出电压、电流及功率；</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3、内置开关面板</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（1）结构：触控设计，使用时触控开关流畅打开；</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（2）插座：220V 5孔插座≥4组；</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（3）低压直流电源接口：输出范围，DC1.5V-32V，分辨率0.1V，误差不超过+/-（U标*2%+0.1），可显示设定数值；</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（4）低压交流电源接口：输出范围，AC2V-24V，分辨率0.1V，误差不超过+/-（U标*5%+0.3），可显示设定数值；</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（5）网络电源接口：≥2个，传输速率≥100M；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（6）USB供电口：≥4个，单路及4路总电流≤2A；</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4、可开合壳体</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（1）壳体使用ABS材质，纺锤形流线设计，外观典雅，富有科技感；</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（2）壳体可开合，所有接口（电源接口、网线接口）均设置在壳体内部，升起及收纳状态下接口内置，防尘防短路；</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壳体设置电磁铁，通过触摸方式打开，在相对地面垂直状态下可自然滑动打开，无需外力拉拽，教师可通过控制终端一键控制学生端电磁铁锁定，锁定状态下壳体无法打开，防止学生在非教师授权下操作电源，造成危险；</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（4）壳体四周设置不少于6个接线槽，可将接入的设备线材分类引出，防止在桌面出现缠绕现象。</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5、顶部升降装置</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（1）顶部升降装置由电机、传感器等零部件组成；</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（2）尺寸：≤500*250*500mm；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（3）电机：支持正反转，支持断电锁停；</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（4）传感器：通过感应开关控制上升限位；</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（5）材质：金属加塑料材质；</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（6）可升降高度：≥2800mm；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（7）最小调节区间≤100mm；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（8）支持教师端统一控制单个或多个终端进行升降，支持不同终端处于不同高度。</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6、升降线材</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（1）升降线材由一根扁平状外部主绕线和8根内布线组成，内部布线通过抱箍卡环等方式固定在主线内，升降运动时内部线材不易发生位移和缠绕，防止出现磨损和拉扯；</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（2）内部布线设置不低于以下种类和数量：</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   ①220V供电线*3根（火线、地线、零线）</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   ②24V低压供电线*2根</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   ③升降信号线*2根</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   ④8芯网线*1根</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（3）内线与终端主板接口部位需设置防位移抱箍卡环，当设备升降运动或发生旋转时，各内线接口处均不受升降、旋转外力影响，防止出现短路及接触不良现象。</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7、急停装置直连空气开关，可以稳定、安全、迅速的停止学生电源供电。</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8、供电线材采用扁形线材，防止供电线在升降过程中缠绕、大幅降低升降过程中晃动。</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9、通过感应开关控制上升限位，避免因上升过限而产生安全隐患。</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10、所有接口均为内嵌式设计，电源板闭合情况下，触碰不到任何接口及开关。</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11、当接入功率＞1100W时开启过载保护，直接关停电源输出，通过电笔检测将为不带电状态。总控屏幕同步跳出危险警报界面，确认过载设备已拔出后，可解除过载保护状态。</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▲12.外壳防护等级：满足《GB/T 4208-2017 外壳防护等级（IP代码）》中对IP20的要求。（提供第三方检测机构出具检测报告扫描件或复印件）</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14</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定制洞洞板展示柜</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1、规格：长度≥7142*1800mm；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2、材质：边框及基层采用优质木板，洞洞板采用优质冷轧钢板，表面静电粉末喷涂处理，漆面平滑坚硬，不易脱落。</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15</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折叠展示架</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1、规格尺寸：单扇≥650*1550mm（4扇）；</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2、层板材质：实木；</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3、层数：2层；</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4、底部带滑轮带底板，折叠展示架4块；</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5、网格尺寸：≥600*1200mm；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6、配件：含≥40个夹子，≥20个挂钩。</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16</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异型涂鸦桌</w:t>
            </w:r>
            <w:r/>
          </w:p>
        </w:tc>
        <w:tc>
          <w:tcPr>
            <w:shd w:val="clear" w:color="auto" w:fill="auto"/>
            <w:tcW w:w="2732" w:type="pct"/>
            <w:vAlign w:val="top"/>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1、规格：尺寸：≥长1650*宽1140高750mm；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2、材质：桌面采用搪瓷白板，采用高温烧结搪瓷工艺，板面为哑光白色，无反光，不刺眼；</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（1）硬度：硬度9H，耐刮擦、耐磨耗，长期书写不易留痕、不脱层，使用寿命远超普通烤漆白板；</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（2）书写性能：支持白板笔书写，易擦除、无残留，可反复书写数万次，无笔迹残留、无 “鬼影”；</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（3）基材采用E0级环保密度板，满足以下技术指标：</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（4）环保性能：游离甲醛释放量 ≤ 0.050 mg/m³；总挥发性有机化合物（TVOC）≤ 85μg/m³；苯、甲苯未检出（检出限符合GB/T 18883-2022标准）；</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（5）理化性能：密度 ≥ 0.60 g/cm³，板内密度偏差范围 ±3.4%；含水率 5%~9%；</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（6）板面握钉力≥1180 N，板边握钉力 ≥ 1100 N；表面胶合强度 ≥ 1.1 MPa，内胶合强度 ≥ 0.30 MPa；2h吸水厚度膨胀率 ≤ 8%；</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（7）静曲强度≥11MPa，弹性模量 ≥ 2100 MPa。</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3、封边：采用高温喷射固化技术，防水，边缘光滑。            </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4、桌架：</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（1）钢制桌架支撑，支撑性和承重性强，厚实稳固；</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（2）材质：采用25*50mm，壁厚不小于 1.5mm 厚的钢管；桌腿采用直径38mm的圆管；</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（3）处理工艺：表面采用酸洗磷化进行除油除锈防化处理后用环保型粉静电喷塑处理，以保证粉末与桌架良好结合，钢架整体承重不小于250公斤；</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（4）调节脚：采用万向尼龙或ABS或固定塑胶桌脚脚垫，防滑耐磨，对pvc地板无伤害 。</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17</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三角注塑椅（大）</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1、规格：≥宽535*深575*高780（座高460）±5mm；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2、工艺 整体PP（聚丙烯）一体注塑成型；</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3、外观 座面：三角形边长≥350mm±5mm。中间內凹造型；</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4、椅腿：三腿支撑，椅背带圆形提手孔。</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18</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定制作品展示柜</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1.规格：≥1800*800*950mm；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2、材质：实木；</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3、采用优质木制工艺，具有储藏和展示功能；绿色环保，稳固结实。</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19</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定制室外阅读座</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1、规格：≥5000*400*900mm；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2、材质：采用国标E0级免漆板，柜体及门板厚度≥18mm；软包采用高回弹海绵芯材，外包优质布艺饰面；</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3、颜色按采购人采购需求定制。</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20</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定制可移动屏风</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1、规格尺寸：≥1200*1800mm；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2、单扇座屏，具有分隔，装饰美化，挡风，协调的功能；</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3、外框采用优质松木制作，坚固耐用，纹路自然，久用不变形；</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4、布面工艺采用环保写真油画布；</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5、底座结构稳固牢靠，不易倾倒，不易变形。</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21</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定制软包沙发</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1、规格：≥9450*360*360mm；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2、材质：棉布面料；</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3、承重：≤150千克；</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4、形状：长方体；</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5、采用环保面料，甲醛释放量≤0.5mg/L，结实耐磨。</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22</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定制储物边柜一</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1、规格：≥6100*400*900mm；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2、材料：采用国标E0级多层板芯免漆板，柜体及门板厚度≥18mm；材料环保安全；板材具备硬度强，环境适应性强，防潮防湿，易清洁等优点；</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3、铰链：柜门采用优质静音阻尼铰链（二段缓冲+三维调节+防腐防锈，高强承重，十万次开合测试）。</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23</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定制储物边柜二</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1、规格：≥7000*400*900mm；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2、材料：采用国标E0级多层板芯免漆板，柜体及门板厚度≥18mm；材料环保安全；板材具备硬度强，环境适应性强，防潮防湿，易清洁等优点；</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3、铰链：柜门采用优质静音阻尼铰链（二段缓冲+三维调节+防腐防锈，高强承重，十万次开合测试）。</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24</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合唱台</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1、规格：≥1200*1300*750mm；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2、材质：采用优质实木，环保，安全;木质坚韧，结构稳固；具有耐磨.耐压.耐撞击等优点；中间金属架支撑，结构稳固；</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3、功能：底部配置滑轮，方便移动收纳；两边配置金属桅杆，安全稳固。</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25</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定制收纳边柜一</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1、规格：≥6100*450*900mm；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2、材质：柜体及台面级采用国标E0级免漆板，柜体及门板厚度≥18mm；桌子搭配金属框架，结构稳固；表面静电粉末喷涂处理，漆面平滑坚硬，不易脱落；</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3、五金：拖柜配置静音滑轮，移动方便；柜内配置优质ABS工程塑料收纳盒。</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26</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定制收纳边柜二</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1、规格：≥5000*450*900mm；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2、材质：柜体及台面级采用国标E0级免漆板，柜体及门板厚度≥18mm；桌子搭配金属框架，结构稳固；表面静电粉末喷涂处理，漆面平滑坚硬，不易脱落；</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3、五金：拖柜配置静音滑轮，移动方便；柜内配置优质ABS工程塑料收纳盒。</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27</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多功能柜</w:t>
            </w:r>
            <w:r/>
          </w:p>
        </w:tc>
        <w:tc>
          <w:tcPr>
            <w:shd w:val="clear" w:color="auto" w:fill="auto"/>
            <w:tcW w:w="2732" w:type="pct"/>
            <w:vAlign w:val="top"/>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1、规格：≥2000*1045*780/1045*640*1780mm；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功能：一款可升降多功能桌，常规模式是一个结构稳固的操作台，升起即变身收纳展示柜，底部配置重型福马轮，移动方便，可优化空间功能，实现空间的灵活利用；桌架两边配置常用工具收纳空间，底部搭配活动工具柜，一站式解决操作和工具材料收纳需求；</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3、材料：主体结构采用红橡木实木制作，硬度及</w:t>
            </w:r>
            <w:r>
              <w:rPr>
                <w:rFonts w:hint="eastAsia" w:cs="宋体" w:asciiTheme="minorEastAsia" w:hAnsiTheme="minorEastAsia" w:eastAsiaTheme="minorEastAsia"/>
                <w:b w:val="0"/>
                <w:bCs/>
                <w:color w:val="auto"/>
                <w:szCs w:val="21"/>
                <w:highlight w:val="none"/>
                <w:lang w:val="en-US" w:eastAsia="zh-CN"/>
              </w:rPr>
              <w:t xml:space="preserve">平整度高，抗冲击和耐磨性强，不易开裂变形，木材硬度根据GB/T 1927.19-2021《无疵小试样木材物理力学性质试验方法 第19部分：硬度测定》检测方法，端面硬度达到6453N;木材握钉力根据GB/T 1927.21-2022《无疵小试样木材物理力学性质试验方法第 21部分：握钉力测定》检测方法，径面握钉力达到30.7N;表面经脱水、脱胶、防腐、防虫化学处理，木材含水率根据GB/T 1927.4-2021《无疵小试样木材物理力学性质试验方法 第4部分：含水率测定》检测方法，含水率为9.2%；表面经反复打</w:t>
            </w:r>
            <w:r>
              <w:rPr>
                <w:rFonts w:hint="eastAsia" w:cs="宋体" w:asciiTheme="minorEastAsia" w:hAnsiTheme="minorEastAsia" w:eastAsiaTheme="minorEastAsia"/>
                <w:b w:val="0"/>
                <w:bCs/>
                <w:color w:val="auto"/>
                <w:szCs w:val="21"/>
                <w:highlight w:val="none"/>
                <w:lang w:val="en-US" w:eastAsia="zh-CN"/>
              </w:rPr>
              <w:t xml:space="preserve">磨，涂刷优质天然木蜡油，环保安全，即使日常有磕碰也容易修补，甲醛释放量根据GB/T 39600-2021《人造板及其制品甲醛释放量分级》的检测方法，达到E0级；木材表面纹理自然，颜色相似，表面洁净无划痕、色差、鼓包，无贯通裂缝、缺口、虫蛀，树脂囊，节子，木材外观符合GB/T 24820-2024《实验室家具通用技术条件》标准；工具挂板采用1.2厚冷轧钢板，表面高温静电粉末喷涂工艺，喷涂层光滑均匀，色彩一致，无流挂、疙瘩、皱皮，飞漆等缺陷，外观符合GB/T 24820-2024《实验室家具通用技术条件》标准；</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▲4、需符合GB/T 24820-2024《实验室家具通用技术条件》中对表面金属喷漆涂层“硬度、冲击强度、耐腐蚀、附着力”的要求，判定结果为符合；（提供第三方检测机构出具检测报告扫描件或复印件）</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5、结构安全性：主体结构采用传统榫卯结构搭配现代紧固件的方式，确保结构稳固，长时间使用也不易晃动，力学性能符合GB/T</w:t>
            </w:r>
            <w:r>
              <w:rPr>
                <w:rFonts w:hint="eastAsia" w:cs="宋体" w:asciiTheme="minorEastAsia" w:hAnsiTheme="minorEastAsia" w:eastAsiaTheme="minorEastAsia"/>
                <w:b w:val="0"/>
                <w:bCs/>
                <w:color w:val="auto"/>
                <w:szCs w:val="21"/>
                <w:highlight w:val="none"/>
                <w:lang w:val="en-US" w:eastAsia="zh-CN"/>
              </w:rPr>
              <w:t xml:space="preserve"> 24820-2024《实验室家具通用技术条件》标准。考虑到台面边角容易碰损，每块台面两侧安装实心5052铝板（500 mm × 25 mm × 25 mm），共8块，5052铝材硬度高，经CNC加工而成，喷砂并阳极氧化的表面处理方式，不仅耐磨而且美观，所有外露边角倒角大于1.5mm，无安全隐患，镭射雕刻的方式来制作标尺，不仅清晰且不易脱落,洞洞板单孔径大小15mm*5mm，防止夹手;桌架所有部件边沿倒角皆大于1mm，无锐边、锐角，结构安全性符合GB/T 24820-2024《实验室家具通用技术条件》标准；</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6、福马轮：为保证产品的稳定性和方便移动，桌脚配置GB-60F重型福马轮，360度万向转动，超高单轮承重250kg，安装高度92mm，水平可调10mm 加宽轮面的设计，移动时稳定性高；</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7、其他：为保证升降过程的稳定性，容易操作，以及安全性，桌架两侧各配置一个气弹簧。</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28</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美术收纳柜</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1、规格：≥1200*400*900mm；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2、优质面板E0级MFC板，含水率在6%-8%；</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3、整体板面正负误差在0.5mm以内，密度为0.85K/cm3，甲醛释放量≤0.5mg/L，含收纳盒。</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29</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教师课堂展示台</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1、规格：≥600*1000*600mm，下带柜子，对开门，可制动脚轮；</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2、带背板，背板与底板成100度角，接缝无开裂，表面平整光滑无毛刺；</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3、材质：使用环保板材；                                            4、颜色：可定制浅色或木本色。</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30</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卡巴萨</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1、尺寸规格：大号，筒体直径约10cm，总长（含手柄）约22cm；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2、材质结构：实木筒身 +12 排不锈钢珠链，一体式实木手柄，坚固耐摔、不易掉珠。</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31</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邦戈鼓</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1、尺寸规格：7 寸（高音，直径约 18cm）+9 寸（低音，直径约 23cm）；深木色，连体式设计；</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2、材质结构：同材质实木鼓腔，水牛皮鼓皮，黑色金属框 + 调音螺栓，木质连接桥。</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32</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卡宏鼓</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1、尺寸规格：310×300×480mm；酷黑色电箱款，带前置拾音模块与 6.35mm 输出接口；</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2、材质结构：胡桃木拍面（耐磨抗造）+椴木鼓腔（共鸣强）；内置可调节军鼓响弦，带开关旋钮，可切换纯木箱 / 带响弦两种音色。</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33</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空灵鼓</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1、尺寸规格：13 寸（直径约 33cm），15 音 D 调，莲花造型，斑点绿环保烤漆；</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2、材质结构：升级碳钢材质，一体成型鼓腔，音舌精密切割，边缘圆润防刮，配编织保护圈。</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34</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手指沙蛋</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1、尺寸规格：直径约5cm，指环式设计，弹性绑带适配不同手指粗细；黑色、灰色两款可选。</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2、材质结构：高韧塑料外壳（轻便耐摔），内置精细沙粒；人体工学弧度，佩戴稳固不硌手，不影响演奏其他乐器（如卡宏鼓、吉他）。</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35</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藏族热巴鼓</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1、尺寸：鼓面直径30cm（成人款），总长约56cm（含手柄）；</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2、材质：手工黑牛皮鼓面，实木鼓框 + 实木手柄。</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36</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卡林巴</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1、音域与结构：34 音双层 C 调（下层 17 音 + 上层 17 半音），覆盖超 3 个八度，含完整半音，可弹复杂曲目；</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2、材质与工艺：北美胡桃木实木琴身（单板共振好），升级碳钢琴键（防锈、音色亮），边缘圆润打磨。</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37</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雅马哈电钢琴</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1、键盘手感：88 键 GHS 渐层式锤感键盘，低音重、高音轻，4 级力度可调；</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2、音色音源：AWM 立体声采样，10 种音色，64 复音，4 种混响；</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3、扬声器功率：双 6W（12cm×2）立体声扬声器，音色清晰饱满；</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4、尺寸重量：1326×295×154mm，约 11.5kg，便携轻薄；</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5、接口供电：USB</w:t>
            </w:r>
            <w:r>
              <w:rPr>
                <w:rFonts w:hint="eastAsia" w:cs="宋体" w:asciiTheme="minorEastAsia" w:hAnsiTheme="minorEastAsia" w:eastAsiaTheme="minorEastAsia"/>
                <w:b w:val="0"/>
                <w:bCs/>
                <w:color w:val="auto"/>
                <w:szCs w:val="21"/>
                <w:highlight w:val="none"/>
                <w:lang w:val="en-US" w:eastAsia="zh-CN"/>
              </w:rPr>
              <w:noBreakHyphen/>
            </w:r>
            <w:r>
              <w:rPr>
                <w:rFonts w:hint="eastAsia" w:cs="宋体" w:asciiTheme="minorEastAsia" w:hAnsiTheme="minorEastAsia" w:eastAsiaTheme="minorEastAsia"/>
                <w:b w:val="0"/>
                <w:bCs/>
                <w:color w:val="auto"/>
                <w:szCs w:val="21"/>
                <w:highlight w:val="none"/>
                <w:lang w:val="en-US" w:eastAsia="zh-CN"/>
              </w:rPr>
              <w:t xml:space="preserve">MIDI、耳机 / 延音踏板接口，DC12V 供电；</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6、配套便携X架。</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38</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雅马哈电贝司</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1、弦长与结构：5 弦、34 英寸（863.6mm）标准弦长；琴体为桃花心木实木，琴颈5 拼枫木 + 桃花心木，24 品，玫瑰木指板；</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2、拾音与电路：前后双陶瓷双线圈拾音器；主动 2 段 EQ（高低音）+ 5 档 Performance EQ 预设，带降噪设计；</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3、硬件规格：上弦枕宽43mm，压铸高 Mass 琴桥（弦距 18mm），封闭式镀铬弦钮。</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39</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葫芦丝</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1、调性与结构：降 B 调三音葫芦丝（主管 + 两副管），标准 7 孔，音域低音 5～高音 6；全乌木管体 + 实木葫芦，白铜梅花扣加固；</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2、材质与配件：乌木主管 / 副管、仿牛角吹嘴、白铜金属件；配专用硬壳包、专业鼓棒、中国结挂饰、教材，考级演奏套装。</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40</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口琴</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1、结构与尺寸：24 孔复音、C 调（常用）；超薄纤薄设计，尺寸约 182×30×23mm，重量约 160g，吹嘴顺滑、八度吹奏；</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2、材质配置：全铜镀铬银色盖板、透明树脂琴格、磷青铜簧片，座板二次冲压；</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41</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口风琴</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1、键盘与音域：37 键，完整 3 个八度，音域 F3～F6；</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2、尺寸与重量：约 483×104×49mm，重约 780–790g；配原装硬盒、吹管；</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3、音色与气密性：黄铜簧片带防腐涂层，音色明亮饱满、发音灵敏；无缝橡胶密封防漏气，按键独立弹簧 + 防震导向。</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42</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晾纸架</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1、规格：≥900*400*900mm；                                             2、材质：柜子整体采用E0级≥16mm厚MFC板，PVC同色封边；</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3、网格层板：≥30*30*Φ4圆钢网格，四周为≥Φ8实心圆钢筋；</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4、带踢脚线。</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43</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储物柜</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1、规格：≥800*400*900mm；                                            2、材质：敞格框体≥16mm厚MFC板，含2块层板；</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3、柜脚：5公分铝合金调节脚。</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44</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学生油画架</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1、规格尺寸:≥400*400*1500mm，可调节高度到1900mm；                       2、材质：榉木材质，落地画架，可以升降，带抽屉可收纳，方便携带。</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45</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教师油画架</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1、规格尺寸：≥430*500*1350mm，最高可伸长至220cm ，宽度不限；                                                                2、材质：榉木材质，平立两用落地画架；                                    3、可以升降，平放，倾斜（调节任意角度），还可以折叠，方便携带。带万向轮，方便在室内移动，前面两个轮子带刹车，可以锁死。</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46</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五层室内水培架</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1、产品尺寸:≥770*400*1700mm；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2、产品质量:≥30kg；</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3、额定电压:220V；</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4、架层数量:5 层；</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5、育苗孔位:85 孔，定植孔位:72 孔；</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6、平均耗电:种菜1.8度/天；育苗0.4度/天；</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7、营养液箱容量:40L；</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8、光源:LED 全光谱冷光源；</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9、控制模式:控制面板；</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10、可种植物: 高度不超过 20cm 的蔬菜、水果、花卉。</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47</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定制不锈钢种植箱</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1、规格尺寸：≥1200*300*800mm，二层架子；                           2、材质：不锈钢。</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48</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智能桌面水培箱</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1、种植篮*12，- 种植棉*12，育苗罩*12；</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2、肥料A,肥料B；</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3、输入电压:12（V）；</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4、LED灯珠颗数:139；</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5、光通量:2340（lm）；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6、灯具光效:130（lm/W）；</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7、防护等级:IP42；</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8、尺寸:≥404*194*174mm。</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49</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智慧微农场：轻量版</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1、尺寸（长*宽*高）：≥480 * 470 * 960mm；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2、用电量：1~2.5度/天（视外界环境）；</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3、通信方式：Wi-Fi 2.4G；</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4、温度控制：0~30℃ （可自动调节）；</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5、传感器：温度、湿度、光照度、PH值、EC值、水温、水位、CO2、PM2.5、PM1.0、甲醛、TVOC等；</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6、植物照明：白光、红光、蓝光，PWM调节亮度及波长（自动）；</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7、水循环：2.5L / 分钟；</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8、空气循环：0.5m3 / 分钟；</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9、摄像头：1个，1080P；</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10、柜门：电磁感应门（监测开关状态）；</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11、种植层数：3层，每层20个定植孔，最多可同时种植60株；</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12、智能类型：远程控制 ｜全自动种植流程；</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13、支持开放API接口：Restful HTTP。</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50</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智能种植柜控制系统</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1、支持中英文切换；</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2、支持查看种植状态:包括品种、种植时间、肥料循环次数等；</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3、支持查看设备状态:包括网络状态、照明状态、摄像头状态、柜门状态、风扇状态、水泵状态；</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4、支持查看环境状态:包括温度、湿度、光照度、PH值、EC值、水温、水位、CO2、PM2.5、甲醛、TVOC等；</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5、支持一键下发种植程序：Vegetable-蔬菜、Flower-花卉、Fruit-水果；</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6、支持远程控制：包括照明、风扇、水循环、制冷；</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7、支持光谱亮度调节：包括白光、红光、蓝光；</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8、支持本地中控屏控制、移动端远程控制等多种控制方式。</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51</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育苗套装</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1、育苗托盘 * 1；</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2、海绵或基质+育苗漂盘 * 1；</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3、小宝石生菜种子 * 100；</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4、刻度容器 * 1；</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5、工具（镊子、小勺、搅拌棒） * 1；</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6、定植篮 * 100；</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7、遮光盖 * 200；</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8、营养(蓝)粉 * 1；</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9、水溶硝酸钙 * 1。</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52</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营养液（大瓶装）</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1、贮存条件：阴凉、避光；</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2、容量：A、B液各500ml；</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3、适用对象：叶菜类；</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4、兑水比例：育苗期（三四片叶子）：兑水比例：1:1000，EC值600-1000；生长期（移植到设备后）：兑水比例：1:500，EC值1000-1500；成熟期（采摘前一周）：兑水比例：1:3000，EC值1300-1800。</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53</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PHEC五合一水质检测笔</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1、检测项目：酸碱度（PH）、EC、TDS、盐度；</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2、分辨率：PH:0.01ph，EC:1us/cm，TDS:1ppm，海水盐:1ppm，食用盐:0.01%；</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3、检测范围：PH:0.00-14.00pH，EC:0-10000us/cm，TDS:0-1000ppm,海水盐:0-10000ppm，食用油:0.01-25%,温度:0.1-60℃；</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4、温度精度：PH:0.05ph,TDS&amp;EC:±2% ,SALT:±1%。</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54</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中小学智慧微农场课程体系及教学材料</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1、育苗实验、植物生命周期、温度与光照实验、水肥实验、物联网基础、传感器入门、大数据初探、人工智能简介。</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55</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吧台凳</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1、规格：370*370*530mm；                                              2、凳身材质：采用高弹海绵芯材，外包优质布艺饰面；</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3、凳腿材质：用优质实木，环保，安全;木质坚韧，结构稳固；具有耐磨、耐压、耐撞击等优点。</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56</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背景墙石膏板基础</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1、规格：1700*1200*100mm（±100mm）；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2、基础规格：墙面石膏板基础总厚度约为100mm（与现有的智慧黑板齐平），采用“纸面石膏板+轻钢龙骨”复合结构；</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3、材质性能：石膏板采用9mm厚纸面石膏板；轻钢龙骨采用热镀锌材质/木方线条作为基础；采用石膏填充并贴网格布加固。</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57</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展示墙石膏板基础</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1、规格：1300*3000*100mm（±100mm）；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2、基础规格：墙面石膏板基础总厚度约为100mm（与现有的智慧黑板齐平），采用“纸面石膏板+轻钢龙骨”复合结构；</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3、材质性能：石膏板采用9mm厚纸面石膏板；轻钢龙骨采用热镀锌材质/木方线条作为基础；采用石膏填充并贴网格布加固。</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58</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挂板墙石膏板基础</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1、规格：6600*3000*100mm（±100mm）；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2、基础规格：墙面石膏板基础总厚度约为100mm，采用“纸面石膏板+轻钢龙骨”复合结构；</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3、材质性能：石膏板采用9mm厚纸面石膏板；轻钢龙骨采用热镀锌材质/木方线条作为基础；采用石膏填充并贴网格布加固；表面涂刷环保乳胶漆。</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59</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弧形墙面造型</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1、规格：6600*3000*250mm（±100mm）；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2、基础规格：墙面石膏板基础总厚度约为250mm，采用“纸面石膏板+轻钢龙骨”复合结构；</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3、材质性能：石膏板采用9mm厚纸面石膏板；轻钢龙骨采用热镀锌材质/木方线条作为基础；采用石膏填充并贴网格布加固；表面涂刷环保乳胶漆。</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60</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背景软木板</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1、规格：1700*1200mm（±100mm）；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2、软木板：采用软木板，厚度≥9mm，防潮防霉，不易变形；</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3、边框：采用优质实木，环保，安全；木纹通达清晰，木质坚韧，结构稳固，具有耐磨.耐压、耐撞击等优点。</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61</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后墙软木板</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1、规格：2000*2000mm（±100mm）；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2、软木板：采用软木板，厚度≥9mm，防潮防霉，不易变形；</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3、边框：采用优质实木，环保，安全；木纹通达清晰，木质坚韧，结构稳固，具有耐磨.耐压、耐撞击等优点。</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62</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展示软木板</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1、规格：下半部分：1300*1950mm，上半部分：φ1300mm半圆形状（±100mm）；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2、软木板：采用优质软木板，厚度≥9mm，防潮防霉，不易变形。</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3、边框：采用优质实木，环保，安全；木纹通达清晰，木质坚韧，结构稳固，具有耐磨.耐压.耐撞击等优点。</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63</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造型软木板</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1、规格：下半部分：1800*700mm，上半部分：φ1800mm半圆形状（±100mm）；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2、软木板：采用优质软木板，厚度≥9mm，防潮防霉，不易变形。</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3、边框：采用优质实木，环保，安全；木纹通达清晰，木质坚韧，结构稳固，具有耐磨.耐压.耐撞击等优点。</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64</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后墙书写白板</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1、规格：2800*2000mm（±100mm），由两块拼接而成；</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2、白板：采用钢化烤漆玻璃，厚度≥4mm，漆面平滑坚硬，易于书写，带磁吸功能；</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3、边框：采用优质实木，环保，安全；木纹通达清晰，木质坚韧，结构稳固，具有耐磨.耐压、耐撞击等优点。</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65</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人文书写白板</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1、规格：2200*1640mm（±100mm），由两块拼接而成；</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2、白板：采用钢化烤漆玻璃，厚度≥4mm，漆面平滑坚硬，易于书写，带磁吸功能。</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66</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创趣书写白板</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1、规格：2000*2000mm（±100mm），由两块拼接而成；</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2、白板：采用钢化烤漆玻璃，厚度≥4mm，漆面平滑坚硬，易于书写，带磁吸功能。</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67</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展示书写白板</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1、规格：3000*2600mm（±100mm），根据现场情况定制；</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2、白板：采用钢化烤漆玻璃，厚度≥4mm，漆面平滑坚硬，易于书写，带磁吸功能；</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3、边框：采用优质实木，环保，安全；木纹通达清晰，木质坚韧，结构稳固，具有耐磨.耐压、耐撞击等优点。</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68</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后墙木质洞洞板</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1、规格：2000*2000mm（±100mm）；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2、洞洞板：采用多层板，厚度≥12mm，孔径≥12mm，孔距≥25mm，边缘无崩边毛刺，表面采用水性环保漆处理；</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3、边框：采用优质实木，环保，安全；木纹通达清晰，木质坚韧，结构稳固，具有耐磨.耐压、耐撞击等优点。</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69</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科创木质洞洞板</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1、规格：3800*2000mm（±100mm）；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2、洞洞板：采用多层板，厚度≥12mm，孔径≥12mm，孔距≥25mm，边缘无崩边毛刺，表面采用水性环保漆处理；</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3、边框：采用优质实木，环保，安全；木纹通达清晰，木质坚韧，结构稳固，具有耐磨.耐压、耐撞击等优点。</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70</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人文木质洞洞板</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1、规格：2500*3000mm（±100mm）；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2、洞洞板：采用多层板，厚度≥12mm，孔径≥12mm，孔距≥25mm，边缘无崩边毛刺，表面采用水性环保漆处理；</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3、边框：采用优质实木，环保，安全；木纹通达清晰，木质坚韧，结构稳固，具有耐磨.耐压、耐撞击等优点。</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71</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展示木质洞洞板</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1、规格：1300*2000mm（±100mm）；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2、洞洞板：采用多层板，厚度≥12mm，孔径≥12mm，孔距≥25mm，边缘无崩边毛刺，表面采用水性环保漆处理；</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3、边框：采用优质实木，环保，安全；木纹通达清晰，木质坚韧，结构稳固，具有耐磨.耐压、耐撞击等优点。</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72</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美术作品展示板</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1、洞洞板建设面积≥5.5㎡；</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2、洞洞板：采用多层板，厚度≥12mm，孔径≥12mm，孔距≥25mm，边缘无崩边毛刺，表面采用水性环保漆处理；</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3、边框：采用优质实木，环保，安全；木纹通达清晰，木质坚韧，结构稳固，具有耐磨.耐压、耐撞击等优点。</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73</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劳动工具展示板</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1、洞洞板建设面积≥7.4㎡；</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2、洞洞板：采用多层板，厚度≥12mm，孔径≥12mm，孔距≥25mm，边缘无崩边毛刺，表面采用水性环保漆处理；</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3、边框：采用优质实木，环保，安全；木纹通达清晰，木质坚韧，结构稳固，具有耐磨.耐压、耐撞击等优点。</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74</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劳动展示展示板</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1、规格：下半部分：1800*1700mm，上半部分：φ1800mm半圆形状（±100mm）；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2、洞洞板：采用多层板，厚度≥12mm，孔径≥12mm，孔距≥25mm，边缘无崩边毛刺，表面采用水性环保漆处理；</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3、边框：采用优质实木，环保，安全；木纹通达清晰，木质坚韧，结构稳固，具有耐磨.耐压、耐撞击等优点。</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75</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人文钢制洞洞板</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1、规格：5000*3000mm（±100mm）；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2、采用优质冷轧钢板材质，厚度≥1.2mm，表面静电喷塑处理，防锈耐磨不易褪色；</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3、标准圆形冲孔，孔径均匀排布，板面平整坚固，通用性强适配各类五金挂钩；</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4、整体折弯加固成型，结构稳固承重性好。</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76</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窗户挂板</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1、规格：600*1200mm（±100mm）；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2、采用优质冷轧钢板材质，厚度≥1.2mm，表面静电喷塑处理，防锈耐磨不易褪色；</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3、标准圆形冲孔，孔径均匀排布，板面平整坚固，通用性强适配各类五金挂钩；</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4、整体折弯加固成型，结构稳固承重性好。</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77</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侧墙挂板</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1、规格：900*1200mm（±100mm）；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2、采用优质冷轧钢板材质，厚度≥1.2mm，表面静电喷塑处理，防锈耐磨不易褪色；</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3、标准圆形冲孔，孔径均匀排布，板面平整坚固，通用性强适配各类五金挂钩；</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4、整体折弯加固成型，结构稳固承重性好。</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78</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展示钢制洞洞板</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1、规格：1800*2600mm（±100mm）；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2、采用优质冷轧钢板材质，厚度≥1.2mm，表面静电喷塑处理，防锈耐磨不易褪色；</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3、标准圆形冲孔，孔径均匀排布，板面平整坚固，通用性强适配各类五金挂钩；</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4、整体折弯加固成型，结构稳固承重性好。</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79</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异型地台</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1、地台建设面积≥10㎡；</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2、结构材质：地台高度：130mm，地台主骨架采用优质轻钢方管或实木多层结构，整体焊接、螺丝紧固成型，结构稳固不变形；台面采用高密度板材，板面平整、无开裂、无脱层，整体防潮、防腐、耐撞击；</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3、施工与安全性能：地台边角做圆角打磨防撞处理，无尖锐毛刺；整体牢固无松动、无异响，表面耐磨易清洁，具备良好防潮、抗压、抗变形性能。</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80</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音乐小舞台</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1、规格：半径：1300mm四分之一圆形状（±100mm）；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2、结构材质：地台高度：130mm，地台主骨架采用优质轻钢方管或实木多层结构，整体焊接、螺丝紧固成型，结构稳固不变形；台面采用高密度板材，板面平整、无开裂、无脱层，整体防潮、防腐、耐撞击；</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3、施工与安全性能：地台边角做圆角打磨防撞处理，无尖锐毛刺；整体牢固无松动、无异响，表面耐磨易清洁，具备良好防潮、抗压、抗变形性能。</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81</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科学舞台</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1、规格：半径：1500mm二分之一圆形状（±100mm）；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2、结构材质：地台高度：130mm，地台主骨架采用优质轻钢方管或实木多层结构，整体焊接、螺丝紧固成型，结构稳固不变形；台面采用高密度板材，板面平整、无开裂、无脱层，整体防潮、防腐、耐撞击；</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3、施工与安全性能：地台边角做圆角打磨防撞处理，无尖锐毛刺；整体牢固无松动、无异响，表面耐磨易清洁，具备良好防潮、抗压、抗变形性能。</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82</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拆除及修复</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1、玻璃窗户、墙体拆除，搬运至学校指定地点或车辆拖离学校。</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2、玻璃框四周采用水泥找平。</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83</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健康照明灯</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1、功率：36W、尺寸：1200*300*39MM、额定电压:AC220V、频率:50/60Hz、功率因数&gt;0.95、显示指数&gt;90、照度2m:450Lux、色温:4800K-5200K、波动深度:≤1%；</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2、LED 微晶教室灯光通量≥3000LM，光效≥90LM/W；</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3、配套T型转换框，固定灯光。</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84</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吊装字体</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1、定制偏旁部首，发光字体灯具，尺寸约30cm</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85</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导轨条</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1、电气：AC220V，三线（火/零/地），铜芯导电；</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2、颜色：白；</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3、材质：铝合金，表面烤漆。</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86</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导轨灯</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1、额定电压：AC220V，功率：20W，LED 高亮光源；</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2、色温：3300-5500K，显色指数 Ra≥95；</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3、铝合金散热壳体，多角度自由调节。</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87</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吸顶平板灯</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1、功率：160W、尺寸：900*600*100MM、额定电压：AC220V、频率:50/60Hz、功率因数&gt;0.95、显示指数&gt;98、色温:2700K-6500K；</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2、支持亮度调节，支持接入手机APP远程控制。</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88</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智能面板</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1、尺寸：86mm*86mm*38.7mm，3.23寸触控屏，三路开关，内置网关；</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2、连接方式：WiFi、蓝牙；</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3、支持触屏、语音、手机远程等开启方式。</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89</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音乐符号灯</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1、音乐符号，挂灯，配套电源、开关等配件。</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90</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星球灯</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1、星球灯，挂灯，配套电源、开关等配件</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91</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乐高墙</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1、规格：下半部分：1800*1700mm，上半部分：φ1800mm半圆形状（±100mm）；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2、基材：优质 ABS 工程塑料板，韧性强、抗撞击，不易变形断裂，底部预留收纳槽。</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92</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美术壁纸</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1、规格：下半部分：1800*1700mm，上半部分：φ1800mm半圆形状（±100mm）；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2、高精密聚酯纤维无纺布基底，柔韧度佳，不易开裂掉层，根据客户需求定制图案。</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93</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科学墙布</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1、墙布建设面积≥7㎡；</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2、高精密聚酯纤维无纺布基底，柔韧度佳，不易开裂掉层，根据客户需求定制图案。</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94</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定制木工板隔断</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1、规格：4000*250mm（±100mm）；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2、基材：采用多层实木木工板，厚度≥16mm。</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95</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护墙板</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1、规格：1300*900mm（±100mm）；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2、基材：采用多层实木木工板，厚度≥12mm。</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96</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墙面装饰护墙板</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1、规格：4600*3000mm（±100mm）；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2、基材：采用多层实木木工板，厚度≥12mm。</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97</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图书管理柜</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1、规格：1300*3000*250mm（±100mm）；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2、柜体：采用18mm厚生态免漆板加工制作，1.5mm厚PVC封边条机械封边。</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98</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美术展示柜</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1、规格：1800*1700*250mm（±100mm）；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2、柜体：采用18mm厚生态免漆板加工制作，1.5mm厚PVC封边条机械封边。</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99</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美术收纳柜</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1、规格：3000*650*250mm（±100mm）；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2、柜体：采用18mm厚生态免漆板加工制作，1.5mm厚PVC封边条机械封边。</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100</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双层柜体</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1、规格：1800*1000*250mm（±100mm）；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2、柜体：采用18mm厚生态免漆板加工制作，1.5mm厚PVC封边条机械封边。</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101</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多层展示柜</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1、规格：1700*3000*600mm（±100mm）；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2、柜体：采用18mm厚生态免漆板加工制作，1.5mm厚PVC封边条机械封边。</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102</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双层多面展示柜</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1、规格：8600*3000*800mm（±100mm），中间镂空：6400*1280*800mm（±100mm）；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2、柜体：采用18mm厚生态免漆板加工制作，1.5mm厚PVC封边条机械封边。</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103</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石台面</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1、规格：6400*800mm（±100mm）；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2、材质：以树脂、天然大理石粉末为主要原料，添加固化剂、颜料压制而成，厚度≥12mm表面无气孔、无裂纹，色泽均匀。</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104</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铝合金木纹边框折叠窗</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1、规格：6400*1280mm（±100mm）；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1、型材：采用铝合金型材，主型材壁厚≥1.5mm，表面采用高温转印木纹工艺，纹理逼真、附着力强，防腐防锈、结构稳定不易变形；</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3、结构：采用多扇折叠开启结构，开合顺畅无卡顿，配备不锈钢承重铰链与静音滑轮，支持开合，配置钢化玻璃。</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105</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软包坐垫</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1、规格：7680*350mm（±100mm）；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2、材质：背面采用生态板，正面采用人造皮革，内充海绵，整体厚度≥40mm，颜色可选；</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3、工艺：嵌入式长条卡座软包，与柜体一体化设计。</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106</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文字贴图</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1、规格：地面贴图文字，根据现场情况定制；</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2、材质规格：采用PVC环保材质，柔韧度高、不易断裂，表面高密度纹理压制，无色差、无杂点，图案清晰通透，整体平整度好。</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107</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小游戏贴图</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1、规格：地面贴图小游戏，根据现场情况定制；</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2、材质规格：采用PVC环保材质，柔韧度高、不易断裂，表面高密度纹理压制，无色差、无杂点，图案清晰通透，整体平整度好。</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108</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强弱电改造</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1、包含开关插座，照明管内穿线2.5平方、六类网络线套管铺设，强弱电管线铺设、专业人工切割打槽、水泥沙修补等工作。</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109</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铝扣板吊顶</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1、规格：600mm*600mm铝扣板吊顶，预留窗帘盒位置；</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2、基材：以铝合金板材为基底，通过开料、剪角、压成型，厚度不低于0.9mm，铝扣板表面穿孔，采用喷塑涂层，防锈，防氧化；</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3、施工：采用暗架系统卡扣式安装;吊杆间距不超过 1.2米，50主龙，三角龙骨与主龙垂直，放入扣板，保持平整。</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110</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铝板造型柱</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1、规格：≥950*800*2500mm，高度根据现场情况定制，柱子四面需全部采用铝板包围；</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2、材质：采用铝合金材质，厚度≥1.5mm，抗弯抗压，结构稳定性强；</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3、基础：轻钢龙骨采用热镀锌材质/木方线条作为基础。</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111</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树木造型柱</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1、规格：不规则树木造型，高度根据现场情况定制，柱子四周采用艺术漆喷涂；</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2、材质：钢筋做基础，采用混凝土浇筑，表面采用艺术漆喷涂，形成树木造型。</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112</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地面防腐木装饰</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1、底部：地面采用混凝土浇筑25公分；</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2、基础：采用40*60mm防腐木方做基础；</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3、材质：表面铺设防腐木板，厚度≥15mm。</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113</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AI陪伴机器人</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1、产品形态：小型人形教育机器人，整机尺寸约 245×149×112mm，重量≤720g（含电池）；</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2、自由度与舵机：全身≥14 个高精度伺服舵机，减速精度≤1°；头部 3 自由度、单臂 2 自由度、腰部 1 自由度、双腿各 3 自由度，可流畅完成舞蹈、功夫、俯卧撑等动作；</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3、核心算力：八核处理器（MTK 6750，主频≥1.5GHz），GPU Mail T860；内存≥2GB RAM，存储≥32GB ROM，支持系统在线升级与应用扩展；</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4、视觉系统：标配≥500 万像素广角摄像头，支持绘本识别、人脸追踪、远程视频通话与监控；</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5、语音交互：4 麦环形阵列麦克风，支持 360° 声源定位、降噪；内置 AI 大模型，支持中英文对话、语音控制、英语发音纠正、百科问答；</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6、交互显示：头部配备 1.22 英寸 26 万色 TFT 彩屏，分辨率 240×240，可动态显示表情、状态；胸口设多功能触控按键；</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7、续航与电源：内置 7.4V 锂电池，容量≥1500mAh；持续互动≥4 小时，最长待机≥8 小时；Type</w:t>
            </w:r>
            <w:r>
              <w:rPr>
                <w:rFonts w:hint="eastAsia" w:cs="宋体" w:asciiTheme="minorEastAsia" w:hAnsiTheme="minorEastAsia" w:eastAsiaTheme="minorEastAsia"/>
                <w:b w:val="0"/>
                <w:bCs/>
                <w:color w:val="auto"/>
                <w:szCs w:val="21"/>
                <w:highlight w:val="none"/>
                <w:lang w:val="en-US" w:eastAsia="zh-CN"/>
              </w:rPr>
              <w:noBreakHyphen/>
            </w:r>
            <w:r>
              <w:rPr>
                <w:rFonts w:hint="eastAsia" w:cs="宋体" w:asciiTheme="minorEastAsia" w:hAnsiTheme="minorEastAsia" w:eastAsiaTheme="minorEastAsia"/>
                <w:b w:val="0"/>
                <w:bCs/>
                <w:color w:val="auto"/>
                <w:szCs w:val="21"/>
                <w:highlight w:val="none"/>
                <w:lang w:val="en-US" w:eastAsia="zh-CN"/>
              </w:rPr>
              <w:t xml:space="preserve">C 充电，支持边充边用；</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8、通信能力：支持 Wi</w:t>
            </w:r>
            <w:r>
              <w:rPr>
                <w:rFonts w:hint="eastAsia" w:cs="宋体" w:asciiTheme="minorEastAsia" w:hAnsiTheme="minorEastAsia" w:eastAsiaTheme="minorEastAsia"/>
                <w:b w:val="0"/>
                <w:bCs/>
                <w:color w:val="auto"/>
                <w:szCs w:val="21"/>
                <w:highlight w:val="none"/>
                <w:lang w:val="en-US" w:eastAsia="zh-CN"/>
              </w:rPr>
              <w:noBreakHyphen/>
            </w:r>
            <w:r>
              <w:rPr>
                <w:rFonts w:hint="eastAsia" w:cs="宋体" w:asciiTheme="minorEastAsia" w:hAnsiTheme="minorEastAsia" w:eastAsiaTheme="minorEastAsia"/>
                <w:b w:val="0"/>
                <w:bCs/>
                <w:color w:val="auto"/>
                <w:szCs w:val="21"/>
                <w:highlight w:val="none"/>
                <w:lang w:val="en-US" w:eastAsia="zh-CN"/>
              </w:rPr>
              <w:t xml:space="preserve">Fi 802.11 a/b/g/n/ac（2.4G/5G 双频）、蓝牙 5.0；支持 APP 远程控制、内容推送、固件升级、远程视频互动。</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114</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3D打印机</w:t>
            </w:r>
            <w:r/>
          </w:p>
        </w:tc>
        <w:tc>
          <w:tcPr>
            <w:shd w:val="clear" w:color="auto" w:fill="auto"/>
            <w:tcW w:w="2732" w:type="pct"/>
            <w:vAlign w:val="top"/>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1、成型尺寸：256×256×256mm，封闭式机身设计；</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2、打印速度：最高 600mm/s，最大加速度 20000mm/s²；</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3、加热性能：喷嘴最高 300℃，热床最高 110℃；</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4、打印精度：XY 轴 ±0.02mm，Z 轴 ±0.01mm；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5、分层厚度：最小打印层厚 0.05mm；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6、网络配置：支持 2.4G/5G 双频 WiFi + 有线以太网；</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7、供料系统：标配 AMS 2 Pro 自动换色供料系统；</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8、智能功能：内置高清摄像头，支持 AI 智能打印监测；</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9、耗材适配：兼容 PLA、PETG、ABS、ASA、碳纤维等耗材。</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115</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耗材</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1、高速打印高韧性易打印环保线材RFID智能参数识别，净重1kg。</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116</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数字素材展示屏</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1、液晶屏显示尺寸≥55寸，分辨率≥3840*2160，显示比例16:9，支持横、竖安装方式，厚度≤46mm；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2、整机边框采用金属边框，角部采用圆角设计，外边框采用喷涂环保木纹工艺；</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3、屏幕采用了高雾度偏光片，屏体雾度值≥25%，可视角度≥178°，最大亮度≥350nit；</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4、整机安装到墙面后无任何外置、外露、外挂的线材、天线及元器件模块隐藏；</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5、内置2.0声道环绕功放，支持音视频声音外放；</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6、整机接口：USB 2.0≥2，HDMI-IN≥1,RJ45≥1，内置Wi-Fi模块（10M/100M/1000M），内置蓝牙模块。全部端口采用隐藏设计，无可见外露端口；</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7、CPU≥4核，工作频率≥1.9GHz。运行内存≥2G，存储空间≥8G；</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8、兼容主流多媒体格式。视频格式：MPEG1、MPEG2、MPEG4、 H.263、H.264等；音频格式：MP3等；图片格式：JPG、JPEG、BMP、PNG、GIF 等；</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9、信息发布系统与设备一体化集成，无需外接任何信息发布设备即可完成信息发布；</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▲10、整机≥3个实体按键，可以对播放的节目进行前后翻页和暂停/播放控制；（提供第三方检测机构出具检测报告扫描件或复印件）</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11、支持手机通过蓝牙连接整机，对整机进行遥控控制。</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117</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智慧门牌</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1、采用21.5英寸横屏式电容显示屏，支持10点触控，屏幕分辨率≥1920*1080，显示比例16:9；屏幕亮度≥500cd/㎡；</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▲2、屏体采用宽温液晶屏，屏体工作温度区间跨度不小于零下20°C-80°C；（提供第三方检测机构出具检测报告扫描件或复印件）</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3、具备≥两条LED状态指示灯，支持通过状态指示灯不同颜色的变化，便于甄别场地的不同占用状态；</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4、整机软硬件设计可兼容横竖屏壁挂，无需增加其它配件，适用于不同空间场景的需求；</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5、整机采用防水防尘结构设计，适用于学校教室半户外环境，防护等级不低于IP65；</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6、整机背部与墙面微距全贴合，正面覆盖钢化玻璃，具备防眩光功能；</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7、可拍摄不低于200W像素的照片，支持不少于10人同时进行人脸识别，在逆光（人像处于背景照度≥80000Lux）环境下距离≤0.5m可正常进行人脸识别；</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8、内置高灵敏度的全向麦克风，拾音半径不小于0.5m；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9、内置2.0立体声道功放；</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10、整机具备至少一路RJ45网络接口；具备不少于2路USB 2.0接口；</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11、CPU≥4核，最高主频≥1.9G，运行内存不低于2GB，存储容量不低于16GB；</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12、整机支持自动感光调节屏幕亮度。</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118</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学生移动终端</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1、显示屏尺寸：≥10.95英寸，屏幕分辨率：≥1920×1200；</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2、采用八核CPU，主频：≥2.0GHz；</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3、内存容量：≥6GB；存储容量：≥128GB；</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4、电池容量：≥8000mAh（典型值）；</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5、摄像头：双摄像头，前置≥800万像素，后置≥800万像素，后摄支持文档矫正增强功能，可以倾斜拍摄文档，并进行自动矫正和文字效果显示增强；</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6、接口支持：扬声器≥2个；麦克风≥2个；USB TYPE C接口≥1个；支持耳机功能；Micro SD卡接口≥1个；</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7、WiFi：支持802.11a/b/g/n/ac（2.4G&amp;5.8GHz)；蓝牙：支持；</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8、操作系统：Android 10.0或以上版本定制化操作系统，使用定制化桌面，避免与学习无关信息的干扰；</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9、屏幕支持防眩光功能；通过类纸显示标准符合性证书；蓝光危害级别为RG0无危害；</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10、护眼功能：支持距离感应功能，用户与平板距离低于设定距离时，自动弹出护眼警示；支持感光保护，自动检测环境光亮度，自动调整匹配的屏幕亮度；</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11、防护设计：支持防摔，带皮套100cm掉落至地面无损坏；支持IP43防尘防水；</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12、配套管控软件、电容笔。</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119</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教师移动终端</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1、显示屏尺寸：≥10.95英寸，屏幕分辨率：≥1920×1200；</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2、采用八核CPU，主频：≥2.0GHz；</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3、内存容量：≥6GB；存储容量：≥128GB；</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4、电池容量：≥8000mAh（典型值）；</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5、摄像头：双摄像头，前置≥800万像素，后置≥800万像素，后摄支持文档矫正增强功能，可以倾斜拍摄文档，并进行自动矫正和文字效果显示增强；</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6、接口支持：扬声器≥2个；麦克风≥2个；USB TYPE C接口≥1个；支持耳机功能；Micro SD卡接口≥1个（最大支持512GB）；</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7、WiFi：支持802.11a/b/g/n/ac（2.4G&amp;5.8GHz)；蓝牙：支持；</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8、操作系统：Android 10.0或以上版本定制化操作系统；</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9、屏幕支持防眩光功能；通过类纸显示标准符合性证书；蓝光危害级别为RG0无危害；</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10、护眼功能：支持距离感应功能，用户与平板距离低于设定距离时，自动弹出护眼警示；支持感光保护，自动检测环境光亮度，自动调整匹配的屏幕亮度；</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11、防护设计：支持防摔，带皮套100cm掉落至地面无损坏；支持IP43防尘防水；</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12、配套管控软件、电容笔。</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120</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平板充电柜</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1、宽*高*深：400*420*380mm；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2、单口输出电压/电流：5V/3A，输出总功率：200W；</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3、配备10个充电口，充电口旁配充电指示灯，充电亮红灯，充满亮绿灯；</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4、金属材质，机械锁。</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121</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5口千兆POE交换机</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1、5个10/100/1000BASE-T自适应RJ45端口，其中4个支持PoE/PoE+供电，1个为上联电口；</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2、整机POE功率：54W，单端口最大输出：30W；</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3、交换容量10Gbps，包转发率7.4 Mpps，MAC地址表容量2K。</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122</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无线AP</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1、支持IEEE 802.11a/b/g/n/ac/ax（Wi</w:t>
            </w:r>
            <w:r>
              <w:rPr>
                <w:rFonts w:hint="eastAsia" w:cs="宋体" w:asciiTheme="minorEastAsia" w:hAnsiTheme="minorEastAsia" w:eastAsiaTheme="minorEastAsia"/>
                <w:b w:val="0"/>
                <w:bCs/>
                <w:color w:val="auto"/>
                <w:szCs w:val="21"/>
                <w:highlight w:val="none"/>
                <w:lang w:val="en-US" w:eastAsia="zh-CN"/>
              </w:rPr>
              <w:noBreakHyphen/>
            </w:r>
            <w:r>
              <w:rPr>
                <w:rFonts w:hint="eastAsia" w:cs="宋体" w:asciiTheme="minorEastAsia" w:hAnsiTheme="minorEastAsia" w:eastAsiaTheme="minorEastAsia"/>
                <w:b w:val="0"/>
                <w:bCs/>
                <w:color w:val="auto"/>
                <w:szCs w:val="21"/>
                <w:highlight w:val="none"/>
                <w:lang w:val="en-US" w:eastAsia="zh-CN"/>
              </w:rPr>
              <w:t xml:space="preserve">Fi6），三射频设计（2.4G+双 5G），整机10条空间流，最大无线速率≥6.817Gbps；</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2、最大并发在线用户数≥1536，支持OFDMA、MU</w:t>
            </w:r>
            <w:r>
              <w:rPr>
                <w:rFonts w:hint="eastAsia" w:cs="宋体" w:asciiTheme="minorEastAsia" w:hAnsiTheme="minorEastAsia" w:eastAsiaTheme="minorEastAsia"/>
                <w:b w:val="0"/>
                <w:bCs/>
                <w:color w:val="auto"/>
                <w:szCs w:val="21"/>
                <w:highlight w:val="none"/>
                <w:lang w:val="en-US" w:eastAsia="zh-CN"/>
              </w:rPr>
              <w:noBreakHyphen/>
            </w:r>
            <w:r>
              <w:rPr>
                <w:rFonts w:hint="eastAsia" w:cs="宋体" w:asciiTheme="minorEastAsia" w:hAnsiTheme="minorEastAsia" w:eastAsiaTheme="minorEastAsia"/>
                <w:b w:val="0"/>
                <w:bCs/>
                <w:color w:val="auto"/>
                <w:szCs w:val="21"/>
                <w:highlight w:val="none"/>
                <w:lang w:val="en-US" w:eastAsia="zh-CN"/>
              </w:rPr>
              <w:t xml:space="preserve">MIMO、BSS着色等Wi</w:t>
            </w:r>
            <w:r>
              <w:rPr>
                <w:rFonts w:hint="eastAsia" w:cs="宋体" w:asciiTheme="minorEastAsia" w:hAnsiTheme="minorEastAsia" w:eastAsiaTheme="minorEastAsia"/>
                <w:b w:val="0"/>
                <w:bCs/>
                <w:color w:val="auto"/>
                <w:szCs w:val="21"/>
                <w:highlight w:val="none"/>
                <w:lang w:val="en-US" w:eastAsia="zh-CN"/>
              </w:rPr>
              <w:noBreakHyphen/>
            </w:r>
            <w:r>
              <w:rPr>
                <w:rFonts w:hint="eastAsia" w:cs="宋体" w:asciiTheme="minorEastAsia" w:hAnsiTheme="minorEastAsia" w:eastAsiaTheme="minorEastAsia"/>
                <w:b w:val="0"/>
                <w:bCs/>
                <w:color w:val="auto"/>
                <w:szCs w:val="21"/>
                <w:highlight w:val="none"/>
                <w:lang w:val="en-US" w:eastAsia="zh-CN"/>
              </w:rPr>
              <w:t xml:space="preserve">Fi6高密特性；</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3、配备3个千兆电口，其中2个支持 802.3af/at PoE入电，1个支持PoE 输出12V/2W；内置 BLE蓝牙及IoT扩展接口；</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4、支持DC48V本地供电及802.3af/at PoE供电；整机最大功耗≤25.5W。</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123</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教室无线网络线缆及辅材</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1、教室无线网络施工过程中所需的六类非屏蔽网线、六类非屏蔽水晶头、电源线、接线板、多媒体箱等；</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2、辅材：线槽线管、膨胀螺丝、标贴、胶带、机柜螺丝、扎带等；</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3、投标报价应包含教室无线网络线缆及辅材全部费用及责任，后续不予增补。</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124</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教室线路拆除和安装</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1、智慧黑板原有线路回抽至教室多媒体箱，铺设电源线缆至教室多媒体箱；</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2、多媒体箱铺设线路至智慧黑板及无线AP，线管线槽铺设；</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3、投标报价应包含教室线路拆除和安装的全部费用，后续不予增补。</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125</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教室壁挂式扬声器套装</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1、系统组成：每套含1只全频有源音柱、1只全频无源音柱；</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2、单元组成：≥3*3英寸；</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3、频响范围：85Hz - 20kHz ，波动范围为 -3dB；</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4、灵敏度：92dB/1W；</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5、输入阻抗:2.6Ω(欧姆)；</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6、功率：额定输入功率≥2*60w，最大输入功率≥2*120w。</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7、啸叫抑制方式:DSP抑制。</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126</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教室无线领夹麦克风接收器</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1、系统组成：领夹麦克风接收器；</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2、接收器:有源扬声器供电，无需外接电源；</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3、安装：含接收器安装及供电配件。</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127</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教室无线领夹麦克风</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1、系统组成：领夹麦克风（磁吸配件）、充电仓；</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2、对频方式：近距离磁感应后自动对频；</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3、无线性能：采用2.4G无线传输，30米稳定传输；</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4、电池：麦克风续航6小时，快充仓支持麦克风的2次充电。</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128</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智能移动平板</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1、尺寸/分辨率：27英寸，1920×1080（1080P），60Hz刷新率；</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2、显示：IPS面板，AG防眩光磨砂玻璃，350nit亮度，10点触控；</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 护眼：支持硬件级低蓝光、无频闪</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4、内存/存储：6GB+128GB（支持microSD卡扩展）；</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5、网络：2.4G/5G双频Wi-Fi，蓝牙5.0</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6、电池：6500mAh，连续使用时间≥7小时，待机时间≥5天；</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7、接口：HDMI 2.0（支持投屏）、USB-C、DC电源口；</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8、音频：2×5W中低频扬声器 + 2×5W高频扬声器；</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9、摄像头：前置500万像素；</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10支架：底部万向轮，支持200mm升降、±90°旋转、俯仰调节（仰角25°/俯角25°），需手动锁死卡扣。</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default"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采购文件要求的所有技术要求</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bl>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说明：</w:t>
      </w:r>
      <w:r/>
    </w:p>
    <w:p>
      <w:pPr>
        <w:ind w:firstLine="211"/>
        <w:jc w:val="left"/>
        <w:spacing w:line="360" w:lineRule="auto"/>
        <w:shd w:val="clear" w:color="auto" w:fill="ffffff"/>
        <w:widowControl/>
        <w:rPr>
          <w:rFonts w:hint="eastAsia" w:asciiTheme="minorEastAsia" w:hAnsiTheme="minorEastAsia" w:eastAsiaTheme="minorEastAsia"/>
          <w:b/>
          <w:bCs/>
          <w:color w:val="auto"/>
          <w:szCs w:val="21"/>
          <w:highlight w:val="none"/>
          <w:lang w:val="en-US" w:eastAsia="zh-CN"/>
        </w:rPr>
      </w:pPr>
      <w:r>
        <w:rPr>
          <w:rFonts w:hint="eastAsia" w:asciiTheme="minorEastAsia" w:hAnsiTheme="minorEastAsia" w:eastAsiaTheme="minorEastAsia"/>
          <w:b/>
          <w:bCs/>
          <w:color w:val="auto"/>
          <w:szCs w:val="21"/>
          <w:highlight w:val="none"/>
        </w:rPr>
        <w:t xml:space="preserve">1.</w:t>
      </w:r>
      <w:r>
        <w:rPr>
          <w:rFonts w:hint="eastAsia" w:asciiTheme="minorEastAsia" w:hAnsiTheme="minorEastAsia" w:eastAsiaTheme="minorEastAsia"/>
          <w:b/>
          <w:bCs/>
          <w:color w:val="auto"/>
          <w:szCs w:val="21"/>
          <w:highlight w:val="none"/>
          <w:lang w:val="zh-CN"/>
        </w:rPr>
        <w:t xml:space="preserve">投标人需在技术指标偏离表中对技术参数要求条款逐项响应，如出现负偏离或</w:t>
      </w:r>
      <w:r>
        <w:rPr>
          <w:rFonts w:hint="eastAsia" w:asciiTheme="minorEastAsia" w:hAnsiTheme="minorEastAsia" w:eastAsiaTheme="minorEastAsia"/>
          <w:b/>
          <w:bCs/>
          <w:color w:val="auto"/>
          <w:szCs w:val="21"/>
          <w:highlight w:val="none"/>
          <w:lang w:val="zh-CN" w:eastAsia="zh-CN"/>
        </w:rPr>
        <w:t xml:space="preserve">未响应或</w:t>
      </w:r>
      <w:r>
        <w:rPr>
          <w:rFonts w:hint="eastAsia" w:asciiTheme="minorEastAsia" w:hAnsiTheme="minorEastAsia" w:eastAsiaTheme="minorEastAsia"/>
          <w:b/>
          <w:bCs/>
          <w:color w:val="auto"/>
          <w:szCs w:val="21"/>
          <w:highlight w:val="none"/>
          <w:lang w:val="zh-CN"/>
        </w:rPr>
        <w:t xml:space="preserve">未提供相应材料的，扣除相应分值。</w:t>
      </w:r>
      <w:r/>
    </w:p>
    <w:p>
      <w:pPr>
        <w:ind w:firstLine="211"/>
        <w:jc w:val="left"/>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highlight w:val="none"/>
          <w:lang w:val="en-US" w:eastAsia="zh-CN"/>
        </w:rPr>
        <w:t xml:space="preserve">2.</w:t>
      </w:r>
      <w:r>
        <w:rPr>
          <w:rFonts w:hint="eastAsia" w:asciiTheme="minorEastAsia" w:hAnsiTheme="minorEastAsia" w:eastAsiaTheme="minorEastAsia"/>
          <w:b/>
          <w:bCs/>
          <w:color w:val="auto"/>
          <w:highlight w:val="none"/>
        </w:rPr>
        <w:t xml:space="preserve">投标人</w:t>
      </w:r>
      <w:r>
        <w:rPr>
          <w:rFonts w:hint="eastAsia" w:asciiTheme="minorEastAsia" w:hAnsiTheme="minorEastAsia" w:eastAsiaTheme="minorEastAsia"/>
          <w:b/>
          <w:bCs/>
          <w:color w:val="auto"/>
          <w:szCs w:val="21"/>
          <w:highlight w:val="none"/>
        </w:rPr>
        <w:t xml:space="preserve">须对招标文件技术要求中的实质性要求（斜体且有下划线部分，或者打“★”“*”等其他文字说明的商务和技术要求）做出明确响应，</w:t>
      </w:r>
      <w:r>
        <w:rPr>
          <w:rFonts w:hint="eastAsia" w:asciiTheme="minorEastAsia" w:hAnsiTheme="minorEastAsia" w:eastAsiaTheme="minorEastAsia"/>
          <w:b/>
          <w:bCs/>
          <w:color w:val="auto"/>
          <w:highlight w:val="none"/>
        </w:rPr>
        <w:t xml:space="preserve">投标人</w:t>
      </w:r>
      <w:r>
        <w:rPr>
          <w:rFonts w:hint="eastAsia" w:asciiTheme="minorEastAsia" w:hAnsiTheme="minorEastAsia" w:eastAsiaTheme="minorEastAsia"/>
          <w:b/>
          <w:bCs/>
          <w:color w:val="auto"/>
          <w:szCs w:val="21"/>
          <w:highlight w:val="none"/>
        </w:rPr>
        <w:t xml:space="preserve">未对实质性要求作出明确响应或有负偏离的，视为无效投标。</w:t>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2.行数不够，可自行添加。</w:t>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投标人（加盖电子公章）：</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p>
    <w:p>
      <w:pPr>
        <w:jc w:val="center"/>
        <w:spacing w:line="360" w:lineRule="auto"/>
        <w:shd w:val="clear" w:color="auto" w:fill="ffffff"/>
        <w:widowControl/>
        <w:rPr>
          <w:rFonts w:hint="eastAsia"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r>
      <w:bookmarkEnd w:id="177"/>
      <w:r/>
      <w:r/>
    </w:p>
    <w:p>
      <w:pPr>
        <w:jc w:val="left"/>
        <w:spacing w:line="240" w:lineRule="auto"/>
        <w:shd w:val="clear" w:color="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rPr>
          <w:rFonts w:hint="eastAsia" w:asciiTheme="minorEastAsia" w:hAnsiTheme="minorEastAsia" w:eastAsiaTheme="minorEastAsia"/>
          <w:color w:val="auto"/>
          <w:highlight w:val="none"/>
        </w:rPr>
      </w:pPr>
      <w:r/>
      <w:bookmarkStart w:id="179" w:name="_Toc66375429"/>
      <w:r/>
      <w:bookmarkStart w:id="180" w:name="_Toc43917776"/>
      <w:r>
        <w:rPr>
          <w:rFonts w:hint="eastAsia" w:asciiTheme="minorEastAsia" w:hAnsiTheme="minorEastAsia" w:eastAsiaTheme="minorEastAsia"/>
          <w:color w:val="auto"/>
          <w:highlight w:val="none"/>
        </w:rPr>
        <w:br w:type="page" w:clear="all"/>
      </w:r>
      <w:r/>
    </w:p>
    <w:p>
      <w:pPr>
        <w:pStyle w:val="891"/>
        <w:numPr>
          <w:ilvl w:val="1"/>
          <w:numId w:val="0"/>
        </w:numP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附件七、</w:t>
      </w:r>
      <w:bookmarkStart w:id="181" w:name="_Hlk176528748"/>
      <w:r>
        <w:rPr>
          <w:rFonts w:hint="eastAsia" w:asciiTheme="minorEastAsia" w:hAnsiTheme="minorEastAsia" w:eastAsiaTheme="minorEastAsia"/>
          <w:color w:val="auto"/>
          <w:highlight w:val="none"/>
        </w:rPr>
        <w:t xml:space="preserve">商务要求响应及偏离表</w:t>
      </w:r>
      <w:bookmarkEnd w:id="179"/>
      <w:r/>
      <w:bookmarkEnd w:id="180"/>
      <w:r/>
      <w:bookmarkEnd w:id="181"/>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bookmarkStart w:id="182" w:name="_Hlk176528759"/>
      <w:r/>
      <w:r/>
    </w:p>
    <w:p>
      <w:pPr>
        <w:jc w:val="center"/>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color w:val="auto"/>
          <w:sz w:val="32"/>
          <w:szCs w:val="32"/>
          <w:highlight w:val="none"/>
        </w:rPr>
        <w:t xml:space="preserve">商务要求响应及偏离表</w:t>
      </w:r>
      <w:r/>
    </w:p>
    <w:p>
      <w:pPr>
        <w:ind w:firstLine="306"/>
        <w:jc w:val="left"/>
        <w:spacing w:line="360" w:lineRule="auto"/>
        <w:widowControl/>
        <w:tabs>
          <w:tab w:val="left" w:pos="5366" w:leader="none"/>
        </w:tabs>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项目名称：</w:t>
      </w:r>
      <w:r>
        <w:rPr>
          <w:rFonts w:asciiTheme="minorEastAsia" w:hAnsiTheme="minorEastAsia" w:eastAsiaTheme="minorEastAsia"/>
          <w:color w:val="auto"/>
          <w:szCs w:val="21"/>
          <w:highlight w:val="none"/>
        </w:rPr>
        <w:tab/>
      </w:r>
      <w:r>
        <w:rPr>
          <w:rFonts w:hint="eastAsia" w:asciiTheme="minorEastAsia" w:hAnsiTheme="minorEastAsia" w:eastAsiaTheme="minorEastAsia"/>
          <w:color w:val="auto"/>
          <w:szCs w:val="21"/>
          <w:highlight w:val="none"/>
        </w:rPr>
        <w:t xml:space="preserve">项目编号：         </w:t>
      </w:r>
      <w:r/>
    </w:p>
    <w:tbl>
      <w:tblPr>
        <w:tblStyle w:val="900"/>
        <w:tblW w:w="8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51"/>
        <w:gridCol w:w="4825"/>
        <w:gridCol w:w="1368"/>
        <w:gridCol w:w="1497"/>
      </w:tblGrid>
      <w:tr>
        <w:trPr>
          <w:jc w:val="center"/>
          <w:trHeight w:val="284"/>
        </w:trPr>
        <w:tc>
          <w:tcPr>
            <w:tcMar>
              <w:left w:w="10" w:type="dxa"/>
              <w:top w:w="0" w:type="dxa"/>
              <w:right w:w="10" w:type="dxa"/>
              <w:bottom w:w="0" w:type="dxa"/>
            </w:tcMar>
            <w:tcW w:w="851"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b/>
                <w:color w:val="auto"/>
                <w:szCs w:val="21"/>
                <w:highlight w:val="none"/>
              </w:rPr>
            </w:pPr>
            <w:r/>
            <w:bookmarkStart w:id="183" w:name="_Hlk66784541"/>
            <w:r>
              <w:rPr>
                <w:rFonts w:hint="eastAsia" w:asciiTheme="minorEastAsia" w:hAnsiTheme="minorEastAsia" w:eastAsiaTheme="minorEastAsia"/>
                <w:b/>
                <w:color w:val="auto"/>
                <w:szCs w:val="21"/>
                <w:highlight w:val="none"/>
              </w:rPr>
              <w:t xml:space="preserve">序号</w:t>
            </w:r>
            <w:r/>
          </w:p>
        </w:tc>
        <w:tc>
          <w:tcPr>
            <w:tcMar>
              <w:left w:w="10" w:type="dxa"/>
              <w:top w:w="0" w:type="dxa"/>
              <w:right w:w="10" w:type="dxa"/>
              <w:bottom w:w="0" w:type="dxa"/>
            </w:tcMar>
            <w:tcW w:w="4825"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招标文件的商务要求</w:t>
            </w:r>
            <w:r/>
          </w:p>
        </w:tc>
        <w:tc>
          <w:tcPr>
            <w:tcMar>
              <w:left w:w="10" w:type="dxa"/>
              <w:top w:w="0" w:type="dxa"/>
              <w:right w:w="10" w:type="dxa"/>
              <w:bottom w:w="0" w:type="dxa"/>
            </w:tcMar>
            <w:tcW w:w="1368"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投标响应</w:t>
            </w:r>
            <w:r/>
          </w:p>
          <w:p>
            <w:pPr>
              <w:jc w:val="center"/>
              <w:keepLines w:val="0"/>
              <w:keepNext w:val="0"/>
              <w:pageBreakBefore w:val="0"/>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(响应或不响应)</w:t>
            </w:r>
            <w:r/>
          </w:p>
        </w:tc>
        <w:tc>
          <w:tcPr>
            <w:tcMar>
              <w:left w:w="10" w:type="dxa"/>
              <w:top w:w="0" w:type="dxa"/>
              <w:right w:w="10" w:type="dxa"/>
              <w:bottom w:w="0" w:type="dxa"/>
            </w:tcMar>
            <w:tcW w:w="1497"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b/>
                <w:color w:val="auto"/>
                <w:szCs w:val="21"/>
                <w:highlight w:val="none"/>
              </w:rPr>
            </w:pPr>
            <w:r/>
            <w:bookmarkStart w:id="184" w:name="OLE_LINK53"/>
            <w:r>
              <w:rPr>
                <w:rFonts w:hint="eastAsia" w:asciiTheme="minorEastAsia" w:hAnsiTheme="minorEastAsia" w:eastAsiaTheme="minorEastAsia"/>
                <w:b/>
                <w:color w:val="auto"/>
                <w:szCs w:val="21"/>
                <w:highlight w:val="none"/>
              </w:rPr>
              <w:t xml:space="preserve">偏离情况</w:t>
            </w:r>
            <w:r/>
          </w:p>
          <w:p>
            <w:pPr>
              <w:jc w:val="center"/>
              <w:keepLines w:val="0"/>
              <w:keepNext w:val="0"/>
              <w:pageBreakBefore w:val="0"/>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（正偏离、无偏离或负偏离）</w:t>
            </w:r>
            <w:bookmarkEnd w:id="184"/>
            <w:r/>
            <w:r/>
          </w:p>
        </w:tc>
      </w:tr>
      <w:tr>
        <w:trPr>
          <w:jc w:val="center"/>
          <w:trHeight w:val="284"/>
        </w:trPr>
        <w:tc>
          <w:tcPr>
            <w:tcMar>
              <w:left w:w="10" w:type="dxa"/>
              <w:top w:w="0" w:type="dxa"/>
              <w:right w:w="10" w:type="dxa"/>
              <w:bottom w:w="0" w:type="dxa"/>
            </w:tcMar>
            <w:tcW w:w="851" w:type="dxa"/>
            <w:vAlign w:val="center"/>
            <w:textDirection w:val="lrTb"/>
            <w:noWrap w:val="false"/>
          </w:tcPr>
          <w:p>
            <w:pPr>
              <w:jc w:val="center"/>
              <w:spacing w:line="360" w:lineRule="auto"/>
              <w:widowControl/>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1</w:t>
            </w:r>
            <w:r/>
          </w:p>
        </w:tc>
        <w:tc>
          <w:tcPr>
            <w:tcMar>
              <w:left w:w="10" w:type="dxa"/>
              <w:top w:w="0" w:type="dxa"/>
              <w:right w:w="10" w:type="dxa"/>
              <w:bottom w:w="0" w:type="dxa"/>
            </w:tcMar>
            <w:tcW w:w="4825"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rPr>
              <w:t xml:space="preserve">1.</w:t>
            </w:r>
            <w:r>
              <w:rPr>
                <w:rFonts w:hint="eastAsia" w:asciiTheme="minorEastAsia" w:hAnsiTheme="minorEastAsia" w:eastAsiaTheme="minorEastAsia"/>
                <w:color w:val="auto"/>
                <w:szCs w:val="21"/>
                <w:highlight w:val="none"/>
                <w:lang w:val="en-US" w:eastAsia="zh-CN"/>
              </w:rPr>
              <w:t xml:space="preserve">交付时间及地点</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 xml:space="preserve">（1）交付时间：</w:t>
            </w:r>
            <w:r>
              <w:rPr>
                <w:rFonts w:hint="eastAsia" w:asciiTheme="minorEastAsia" w:hAnsiTheme="minorEastAsia" w:eastAsiaTheme="minorEastAsia"/>
                <w:color w:val="auto"/>
                <w:szCs w:val="21"/>
                <w:highlight w:val="none"/>
                <w:lang w:val="en-US" w:eastAsia="zh-CN"/>
              </w:rPr>
              <w:t xml:space="preserve">合同签订后40天内交付并完成安装调试及验收等相关工作。</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2</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项目质保期</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质保期三年（验收合格之日起进入质保期，含硬件、软件等），质保期内包含免费上门调试、故障维修及软件升级服务。</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（2）交付地点：</w:t>
            </w:r>
            <w:r>
              <w:rPr>
                <w:rFonts w:hint="eastAsia" w:asciiTheme="minorEastAsia" w:hAnsiTheme="minorEastAsia" w:eastAsiaTheme="minorEastAsia"/>
                <w:color w:val="auto"/>
                <w:szCs w:val="21"/>
                <w:highlight w:val="none"/>
                <w:lang w:val="en-US" w:eastAsia="zh-CN"/>
              </w:rPr>
              <w:t xml:space="preserve">中标人</w:t>
            </w:r>
            <w:r>
              <w:rPr>
                <w:rFonts w:hint="eastAsia" w:asciiTheme="minorEastAsia" w:hAnsiTheme="minorEastAsia" w:eastAsiaTheme="minorEastAsia"/>
                <w:color w:val="auto"/>
                <w:szCs w:val="21"/>
                <w:highlight w:val="none"/>
              </w:rPr>
              <w:t xml:space="preserve">负责将货物运到采购人指定地点，由</w:t>
            </w:r>
            <w:r>
              <w:rPr>
                <w:rFonts w:hint="eastAsia" w:asciiTheme="minorEastAsia" w:hAnsiTheme="minorEastAsia" w:eastAsiaTheme="minorEastAsia"/>
                <w:color w:val="auto"/>
                <w:szCs w:val="21"/>
                <w:highlight w:val="none"/>
                <w:lang w:val="en-US" w:eastAsia="zh-CN"/>
              </w:rPr>
              <w:t xml:space="preserve">中标人</w:t>
            </w:r>
            <w:r>
              <w:rPr>
                <w:rFonts w:hint="eastAsia" w:asciiTheme="minorEastAsia" w:hAnsiTheme="minorEastAsia" w:eastAsiaTheme="minorEastAsia"/>
                <w:color w:val="auto"/>
                <w:szCs w:val="21"/>
                <w:highlight w:val="none"/>
              </w:rPr>
              <w:t xml:space="preserve">负责办理运输和装卸、安装等，费用由</w:t>
            </w:r>
            <w:r>
              <w:rPr>
                <w:rFonts w:hint="eastAsia" w:asciiTheme="minorEastAsia" w:hAnsiTheme="minorEastAsia" w:eastAsiaTheme="minorEastAsia"/>
                <w:color w:val="auto"/>
                <w:szCs w:val="21"/>
                <w:highlight w:val="none"/>
                <w:lang w:val="en-US" w:eastAsia="zh-CN"/>
              </w:rPr>
              <w:t xml:space="preserve">中标人</w:t>
            </w:r>
            <w:r>
              <w:rPr>
                <w:rFonts w:hint="eastAsia" w:asciiTheme="minorEastAsia" w:hAnsiTheme="minorEastAsia" w:eastAsiaTheme="minorEastAsia"/>
                <w:color w:val="auto"/>
                <w:szCs w:val="21"/>
                <w:highlight w:val="none"/>
              </w:rPr>
              <w:t xml:space="preserve">负责，由采购人组织验收，检验不合格或不符合质量要求，</w:t>
            </w:r>
            <w:r>
              <w:rPr>
                <w:rFonts w:hint="eastAsia" w:asciiTheme="minorEastAsia" w:hAnsiTheme="minorEastAsia" w:eastAsiaTheme="minorEastAsia"/>
                <w:color w:val="auto"/>
                <w:szCs w:val="21"/>
                <w:highlight w:val="none"/>
                <w:lang w:val="en-US" w:eastAsia="zh-CN"/>
              </w:rPr>
              <w:t xml:space="preserve">中标人</w:t>
            </w:r>
            <w:r>
              <w:rPr>
                <w:rFonts w:hint="eastAsia" w:asciiTheme="minorEastAsia" w:hAnsiTheme="minorEastAsia" w:eastAsiaTheme="minorEastAsia"/>
                <w:color w:val="auto"/>
                <w:szCs w:val="21"/>
                <w:highlight w:val="none"/>
              </w:rPr>
              <w:t xml:space="preserve">除无条件退货、返工外，还应承担采购人的一切损失。</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2.供货</w:t>
            </w:r>
            <w:r>
              <w:rPr>
                <w:rFonts w:hint="eastAsia" w:asciiTheme="minorEastAsia" w:hAnsiTheme="minorEastAsia" w:eastAsiaTheme="minorEastAsia"/>
                <w:color w:val="auto"/>
                <w:szCs w:val="21"/>
                <w:highlight w:val="none"/>
                <w:lang w:val="en-US" w:eastAsia="zh-CN"/>
              </w:rPr>
              <w:t xml:space="preserve">与履约</w:t>
            </w:r>
            <w:r>
              <w:rPr>
                <w:rFonts w:hint="eastAsia" w:asciiTheme="minorEastAsia" w:hAnsiTheme="minorEastAsia" w:eastAsiaTheme="minorEastAsia"/>
                <w:color w:val="auto"/>
                <w:szCs w:val="21"/>
                <w:highlight w:val="none"/>
              </w:rPr>
              <w:t xml:space="preserve">要求</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（1）管理平台数据同步</w:t>
            </w:r>
            <w:r/>
          </w:p>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中标人须同步使用“南京市教育装备项目管理平台”，并在平台中完成以下操作：公开投标文件与合同资料；上传施工过程影像资料与履约文件；发起验收流程；申请售后服务；制作设备二维码标签并粘贴。</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（2）项目过程性管理</w:t>
            </w:r>
            <w:r/>
          </w:p>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投标人应编制施工进度计划，并在履约全过程中根据实际进展动态更新。须参与采购人组织的定期工程会议，每周汇报项目进展情况，并接受采购人及相关部门的飞行检查与管理。</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en-US" w:eastAsia="zh-CN"/>
              </w:rPr>
              <w:t xml:space="preserve">3.</w:t>
            </w:r>
            <w:r>
              <w:rPr>
                <w:rFonts w:hint="eastAsia" w:asciiTheme="minorEastAsia" w:hAnsiTheme="minorEastAsia" w:eastAsiaTheme="minorEastAsia"/>
                <w:color w:val="auto"/>
                <w:szCs w:val="21"/>
                <w:highlight w:val="none"/>
              </w:rPr>
              <w:t xml:space="preserve">验收要求</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（1）验收方法</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成立验收小组现场验收，对产品数量、质量和功能性、学校应用情况达成等进行检查复核。</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（2）验收标准</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验收材料完整，设备数量与合同一致，系统功能达成与投标人投标文件中的承诺一致。</w:t>
            </w:r>
            <w:r/>
          </w:p>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4.</w:t>
            </w:r>
            <w:r>
              <w:rPr>
                <w:rFonts w:hint="eastAsia" w:asciiTheme="minorEastAsia" w:hAnsiTheme="minorEastAsia" w:eastAsiaTheme="minorEastAsia"/>
                <w:color w:val="auto"/>
                <w:szCs w:val="21"/>
                <w:highlight w:val="none"/>
              </w:rPr>
              <w:t xml:space="preserve">售后</w:t>
            </w:r>
            <w:r>
              <w:rPr>
                <w:rFonts w:hint="eastAsia" w:asciiTheme="minorEastAsia" w:hAnsiTheme="minorEastAsia" w:eastAsiaTheme="minorEastAsia"/>
                <w:color w:val="auto"/>
                <w:szCs w:val="21"/>
                <w:highlight w:val="none"/>
                <w:lang w:val="en-US" w:eastAsia="zh-CN"/>
              </w:rPr>
              <w:t xml:space="preserve">要求</w:t>
            </w:r>
            <w:r/>
          </w:p>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在质保期内，因中标人所供设备、材料制造质量或安装问题出现设备故障时，中标人在接采购人通知后，2小时内响应，并在24小时内赶到采购人现场，免费予以排除故障、修复或更换零部件。还应支付因更换所发生的运输、保险、安装、检测等有关的全部费用。</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en-US" w:eastAsia="zh-CN"/>
              </w:rPr>
              <w:t xml:space="preserve">5.</w:t>
            </w:r>
            <w:r>
              <w:rPr>
                <w:rFonts w:hint="eastAsia" w:asciiTheme="minorEastAsia" w:hAnsiTheme="minorEastAsia" w:eastAsiaTheme="minorEastAsia"/>
                <w:color w:val="auto"/>
                <w:szCs w:val="21"/>
                <w:highlight w:val="none"/>
              </w:rPr>
              <w:t xml:space="preserve">培训要求</w:t>
            </w:r>
            <w:r/>
          </w:p>
          <w:p>
            <w:pPr>
              <w:jc w:val="both"/>
              <w:spacing w:line="360" w:lineRule="auto"/>
              <w:widowControl/>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须完成每校到校设备操作培训视频，涵盖操作流程、常见故障排查及安全规程（参训人员应覆盖学校涉及岗位，开展教师培训实操评价，合格率100%）。</w:t>
            </w:r>
            <w:r/>
          </w:p>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6.报价要求</w:t>
            </w:r>
            <w:r/>
          </w:p>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投标人认为需要的其他费用等。</w:t>
            </w:r>
            <w:r/>
          </w:p>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（2）投标人的任何错漏、优惠、竞争性报价不得作为减轻责任、减少服务、增加收费、降低服务质量的理由。</w:t>
            </w:r>
            <w:r/>
          </w:p>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（3）投标人报价除包含招标文件中列明的项目外，还应包括保障产品正常使用应当具有的物资和服务，对产品正常使用应当具有的物资和服务理解不一致的以采购单位理解为准。</w:t>
            </w:r>
            <w:r/>
          </w:p>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（4）投标人必须按照所投采购包，对应填写《分项报价表》，不得调整清单数量。</w:t>
            </w:r>
            <w:r/>
          </w:p>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7.履约保证金</w:t>
            </w:r>
            <w:r/>
          </w:p>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该项目签订合同时须向采购人缴纳合同总额的3%作为履约保证金，缴纳方式建议采用银行保函，质保期满无质量或服务问题无息退还。</w:t>
            </w:r>
            <w:r/>
          </w:p>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8.付款方式</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en-US" w:eastAsia="zh-CN"/>
              </w:rPr>
              <w:t xml:space="preserve">合同签订后支付合同总额的30%作为预付款；项目竣工后，经使用学校对标功能评估合格、专家验收考评合格后，支付剩余合同总额。</w:t>
            </w:r>
            <w:r/>
          </w:p>
        </w:tc>
        <w:tc>
          <w:tcPr>
            <w:tcMar>
              <w:left w:w="10" w:type="dxa"/>
              <w:top w:w="0" w:type="dxa"/>
              <w:right w:w="10" w:type="dxa"/>
              <w:bottom w:w="0" w:type="dxa"/>
            </w:tcMar>
            <w:tcW w:w="1368"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 w:type="dxa"/>
              <w:top w:w="0" w:type="dxa"/>
              <w:right w:w="10" w:type="dxa"/>
              <w:bottom w:w="0" w:type="dxa"/>
            </w:tcMar>
            <w:tcW w:w="1497"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Height w:val="284"/>
        </w:trPr>
        <w:tc>
          <w:tcPr>
            <w:tcMar>
              <w:left w:w="10" w:type="dxa"/>
              <w:top w:w="0" w:type="dxa"/>
              <w:right w:w="10" w:type="dxa"/>
              <w:bottom w:w="0" w:type="dxa"/>
            </w:tcMar>
            <w:tcW w:w="851" w:type="dxa"/>
            <w:vAlign w:val="center"/>
            <w:textDirection w:val="lrTb"/>
            <w:noWrap w:val="false"/>
          </w:tcPr>
          <w:p>
            <w:pPr>
              <w:jc w:val="center"/>
              <w:spacing w:line="360" w:lineRule="auto"/>
              <w:widowControl/>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2</w:t>
            </w:r>
            <w:r/>
          </w:p>
        </w:tc>
        <w:tc>
          <w:tcPr>
            <w:tcMar>
              <w:left w:w="10" w:type="dxa"/>
              <w:top w:w="0" w:type="dxa"/>
              <w:right w:w="10" w:type="dxa"/>
              <w:bottom w:w="0" w:type="dxa"/>
            </w:tcMar>
            <w:tcW w:w="4825" w:type="dxa"/>
            <w:vAlign w:val="center"/>
            <w:textDirection w:val="lrTb"/>
            <w:noWrap w:val="false"/>
          </w:tcPr>
          <w:p>
            <w:pPr>
              <w:jc w:val="both"/>
              <w:spacing w:line="360" w:lineRule="auto"/>
              <w:widowControl/>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lang w:val="en-US" w:eastAsia="zh-CN"/>
              </w:rPr>
              <w:t xml:space="preserve">招标文件要求的所有商务要求。</w:t>
            </w:r>
            <w:r/>
          </w:p>
        </w:tc>
        <w:tc>
          <w:tcPr>
            <w:tcMar>
              <w:left w:w="10" w:type="dxa"/>
              <w:top w:w="0" w:type="dxa"/>
              <w:right w:w="10" w:type="dxa"/>
              <w:bottom w:w="0" w:type="dxa"/>
            </w:tcMar>
            <w:tcW w:w="1368"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1497"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bookmarkEnd w:id="183"/>
            <w:r/>
            <w:r/>
          </w:p>
        </w:tc>
      </w:tr>
    </w:tbl>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说明：</w:t>
      </w:r>
      <w:r/>
    </w:p>
    <w:p>
      <w:pPr>
        <w:ind w:firstLine="211"/>
        <w:jc w:val="left"/>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1.</w:t>
      </w:r>
      <w:r>
        <w:rPr>
          <w:rFonts w:hint="eastAsia" w:asciiTheme="minorEastAsia" w:hAnsiTheme="minorEastAsia" w:eastAsiaTheme="minorEastAsia"/>
          <w:b/>
          <w:bCs/>
          <w:color w:val="auto"/>
          <w:highlight w:val="none"/>
        </w:rPr>
        <w:t xml:space="preserve">投标人</w:t>
      </w:r>
      <w:r>
        <w:rPr>
          <w:rFonts w:hint="eastAsia" w:asciiTheme="minorEastAsia" w:hAnsiTheme="minorEastAsia" w:eastAsiaTheme="minorEastAsia"/>
          <w:b/>
          <w:bCs/>
          <w:color w:val="auto"/>
          <w:szCs w:val="21"/>
          <w:highlight w:val="none"/>
        </w:rPr>
        <w:t xml:space="preserve">须对招标文件商务要求中的实质性要求（斜体且有下划线部分，或者打“★”“*”等其他文字说明的商务和技术要求）做出明确响应，</w:t>
      </w:r>
      <w:r>
        <w:rPr>
          <w:rFonts w:hint="eastAsia" w:asciiTheme="minorEastAsia" w:hAnsiTheme="minorEastAsia" w:eastAsiaTheme="minorEastAsia"/>
          <w:b/>
          <w:bCs/>
          <w:color w:val="auto"/>
          <w:highlight w:val="none"/>
        </w:rPr>
        <w:t xml:space="preserve">投标人</w:t>
      </w:r>
      <w:r>
        <w:rPr>
          <w:rFonts w:hint="eastAsia" w:asciiTheme="minorEastAsia" w:hAnsiTheme="minorEastAsia" w:eastAsiaTheme="minorEastAsia"/>
          <w:b/>
          <w:bCs/>
          <w:color w:val="auto"/>
          <w:szCs w:val="21"/>
          <w:highlight w:val="none"/>
        </w:rPr>
        <w:t xml:space="preserve">未对实质性要求作出明确响应或有负偏离的，视为无效投标。</w:t>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2.行数不够，可自行添加。</w:t>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投标人（加盖电子公章）：</w:t>
      </w:r>
      <w:r>
        <w:rPr>
          <w:rFonts w:asciiTheme="minorEastAsia" w:hAnsiTheme="minorEastAsia" w:eastAsiaTheme="minorEastAsia"/>
          <w:color w:val="auto"/>
          <w:szCs w:val="21"/>
          <w:highlight w:val="none"/>
          <w:u w:val="single"/>
        </w:rPr>
        <w:t xml:space="preserve">                              </w:t>
      </w:r>
      <w:bookmarkEnd w:id="182"/>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p>
      <w:pPr>
        <w:rPr>
          <w:rFonts w:hint="eastAsia" w:asciiTheme="minorEastAsia" w:hAnsiTheme="minorEastAsia" w:eastAsiaTheme="minorEastAsia"/>
          <w:color w:val="auto"/>
          <w:highlight w:val="none"/>
        </w:rPr>
      </w:pPr>
      <w:r/>
      <w:bookmarkStart w:id="185" w:name="_Toc43917778"/>
      <w:r/>
      <w:bookmarkStart w:id="186" w:name="_Toc66375431"/>
      <w:r>
        <w:rPr>
          <w:rFonts w:hint="eastAsia" w:asciiTheme="minorEastAsia" w:hAnsiTheme="minorEastAsia" w:eastAsiaTheme="minorEastAsia"/>
          <w:color w:val="auto"/>
          <w:highlight w:val="none"/>
        </w:rPr>
        <w:br w:type="page" w:clear="all"/>
      </w:r>
      <w:r/>
    </w:p>
    <w:p>
      <w:pPr>
        <w:pStyle w:val="891"/>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附件八、拟参与本项目服务人员一览表</w:t>
      </w:r>
      <w:bookmarkEnd w:id="185"/>
      <w:r/>
      <w:bookmarkEnd w:id="186"/>
      <w:r/>
      <w:r/>
    </w:p>
    <w:p>
      <w:pPr>
        <w:spacing w:line="460" w:lineRule="atLeast"/>
        <w:widowControl/>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r>
      <w:r/>
    </w:p>
    <w:p>
      <w:pPr>
        <w:ind w:left="420"/>
        <w:jc w:val="center"/>
        <w:spacing w:line="360" w:lineRule="auto"/>
        <w:shd w:val="clear" w:color="auto" w:fill="ffffff"/>
        <w:widowControl/>
        <w:rPr>
          <w:rFonts w:hint="eastAsia" w:asciiTheme="minorEastAsia" w:hAnsiTheme="minorEastAsia" w:eastAsiaTheme="minorEastAsia"/>
          <w:b/>
          <w:color w:val="auto"/>
          <w:sz w:val="30"/>
          <w:szCs w:val="30"/>
          <w:highlight w:val="none"/>
        </w:rPr>
      </w:pPr>
      <w:r/>
      <w:bookmarkStart w:id="187" w:name="_Hlk67995747"/>
      <w:r>
        <w:rPr>
          <w:rFonts w:hint="eastAsia" w:asciiTheme="minorEastAsia" w:hAnsiTheme="minorEastAsia" w:eastAsiaTheme="minorEastAsia"/>
          <w:b/>
          <w:color w:val="auto"/>
          <w:sz w:val="32"/>
          <w:szCs w:val="32"/>
          <w:highlight w:val="none"/>
        </w:rPr>
        <w:t xml:space="preserve">拟参与本项目服务人员一览表</w:t>
      </w:r>
      <w:bookmarkEnd w:id="187"/>
      <w:r/>
      <w:bookmarkStart w:id="188" w:name="_Hlk66378104"/>
      <w:r/>
      <w:bookmarkEnd w:id="188"/>
      <w:r/>
      <w:r/>
    </w:p>
    <w:p>
      <w:pPr>
        <w:jc w:val="center"/>
        <w:widowControl/>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r>
      <w:r/>
    </w:p>
    <w:p>
      <w:pPr>
        <w:widowControl/>
        <w:rPr>
          <w:rFonts w:hint="eastAsia" w:asciiTheme="minorEastAsia" w:hAnsiTheme="minorEastAsia" w:eastAsiaTheme="minorEastAsia"/>
          <w:color w:val="auto"/>
          <w:szCs w:val="21"/>
          <w:highlight w:val="none"/>
        </w:rPr>
      </w:pPr>
      <w:r/>
      <w:bookmarkStart w:id="189" w:name="_Hlk66784308"/>
      <w:r>
        <w:rPr>
          <w:rFonts w:hint="eastAsia" w:asciiTheme="minorEastAsia" w:hAnsiTheme="minorEastAsia" w:eastAsiaTheme="minorEastAsia"/>
          <w:color w:val="auto"/>
          <w:szCs w:val="21"/>
          <w:highlight w:val="none"/>
        </w:rPr>
        <w:t xml:space="preserve">项目名称：                                 项目编号：</w:t>
      </w:r>
      <w:bookmarkEnd w:id="189"/>
      <w:r/>
      <w:r/>
    </w:p>
    <w:tbl>
      <w:tblPr>
        <w:tblStyle w:val="900"/>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58"/>
        <w:gridCol w:w="890"/>
        <w:gridCol w:w="890"/>
        <w:gridCol w:w="890"/>
        <w:gridCol w:w="890"/>
        <w:gridCol w:w="891"/>
        <w:gridCol w:w="891"/>
        <w:gridCol w:w="891"/>
        <w:gridCol w:w="891"/>
        <w:gridCol w:w="891"/>
        <w:gridCol w:w="89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执业</w:t>
            </w:r>
            <w:r/>
          </w:p>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项目负责人</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bl>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说明：</w:t>
      </w:r>
      <w:bookmarkStart w:id="190" w:name="OLE_LINK10"/>
      <w:r>
        <w:rPr>
          <w:rFonts w:asciiTheme="minorEastAsia" w:hAnsiTheme="minorEastAsia" w:eastAsiaTheme="minorEastAsia"/>
          <w:color w:val="auto"/>
          <w:szCs w:val="21"/>
          <w:highlight w:val="none"/>
        </w:rPr>
        <w:t xml:space="preserve">如果行数不够，请自行增加。</w:t>
      </w:r>
      <w:bookmarkEnd w:id="190"/>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投标人（加盖电子公章）：</w:t>
      </w:r>
      <w:r>
        <w:rPr>
          <w:rFonts w:asciiTheme="minorEastAsia" w:hAnsiTheme="minorEastAsia" w:eastAsiaTheme="minorEastAsia"/>
          <w:color w:val="auto"/>
          <w:szCs w:val="21"/>
          <w:highlight w:val="none"/>
          <w:u w:val="single"/>
        </w:rPr>
        <w:t xml:space="preserve">                                    </w:t>
      </w:r>
      <w:r/>
    </w:p>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widowControl/>
        <w:rPr>
          <w:rFonts w:hint="eastAsia" w:asciiTheme="minorEastAsia" w:hAnsiTheme="minorEastAsia" w:eastAsiaTheme="minorEastAsia"/>
          <w:b/>
          <w:bCs/>
          <w:color w:val="auto"/>
          <w:szCs w:val="21"/>
          <w:highlight w:val="none"/>
        </w:rPr>
      </w:pPr>
      <w:r>
        <w:rPr>
          <w:rFonts w:asciiTheme="minorEastAsia" w:hAnsiTheme="minorEastAsia" w:eastAsiaTheme="minorEastAsia"/>
          <w:b/>
          <w:bCs/>
          <w:color w:val="auto"/>
          <w:szCs w:val="21"/>
          <w:highlight w:val="none"/>
        </w:rPr>
        <w:br w:type="page" w:clear="all"/>
      </w:r>
      <w:r/>
    </w:p>
    <w:p>
      <w:pPr>
        <w:pStyle w:val="891"/>
        <w:rPr>
          <w:rFonts w:hint="eastAsia" w:asciiTheme="minorEastAsia" w:hAnsiTheme="minorEastAsia" w:eastAsiaTheme="minorEastAsia"/>
          <w:color w:val="auto"/>
          <w:highlight w:val="none"/>
        </w:rPr>
      </w:pPr>
      <w:r/>
      <w:bookmarkStart w:id="191" w:name="_Toc66375432"/>
      <w:r/>
      <w:bookmarkStart w:id="192" w:name="_Toc43917779"/>
      <w:r>
        <w:rPr>
          <w:rFonts w:hint="eastAsia" w:asciiTheme="minorEastAsia" w:hAnsiTheme="minorEastAsia" w:eastAsiaTheme="minorEastAsia"/>
          <w:color w:val="auto"/>
          <w:highlight w:val="none"/>
        </w:rPr>
        <w:t xml:space="preserve">附件九、投标人类似业绩情况表</w:t>
      </w:r>
      <w:bookmarkEnd w:id="191"/>
      <w:r/>
      <w:bookmarkEnd w:id="192"/>
      <w:r/>
      <w:r/>
    </w:p>
    <w:p>
      <w:pPr>
        <w:jc w:val="center"/>
        <w:spacing w:line="360" w:lineRule="auto"/>
        <w:widowControl/>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r>
      <w:r/>
    </w:p>
    <w:p>
      <w:pPr>
        <w:jc w:val="center"/>
        <w:spacing w:line="360" w:lineRule="auto"/>
        <w:rPr>
          <w:rFonts w:hint="eastAsia"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t xml:space="preserve">投标人类似业绩情况表</w:t>
      </w:r>
      <w:r/>
    </w:p>
    <w:p>
      <w:pPr>
        <w:jc w:val="left"/>
        <w:spacing w:line="360" w:lineRule="auto"/>
        <w:rPr>
          <w:rFonts w:hint="eastAsia" w:asciiTheme="minorEastAsia" w:hAnsiTheme="minorEastAsia" w:eastAsiaTheme="minorEastAsia"/>
          <w:b/>
          <w:color w:val="auto"/>
          <w:sz w:val="32"/>
          <w:szCs w:val="32"/>
          <w:highlight w:val="none"/>
        </w:rPr>
      </w:pPr>
      <w:r>
        <w:rPr>
          <w:rFonts w:hint="eastAsia" w:asciiTheme="minorEastAsia" w:hAnsiTheme="minorEastAsia" w:eastAsiaTheme="minorEastAsia"/>
          <w:color w:val="auto"/>
          <w:szCs w:val="21"/>
          <w:highlight w:val="none"/>
        </w:rPr>
        <w:t xml:space="preserve">项目名称：                            </w:t>
      </w:r>
      <w:r>
        <w:rPr>
          <w:rFonts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rPr>
        <w:t xml:space="preserve">     项目编号：</w:t>
      </w:r>
      <w:r/>
    </w:p>
    <w:tbl>
      <w:tblPr>
        <w:tblStyle w:val="900"/>
        <w:tblW w:w="10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341"/>
        <w:gridCol w:w="1211"/>
        <w:gridCol w:w="969"/>
      </w:tblGrid>
      <w:tr>
        <w:trPr>
          <w:jc w:val="center"/>
        </w:trPr>
        <w:tc>
          <w:tcPr>
            <w:tcW w:w="733" w:type="dxa"/>
            <w:vAlign w:val="center"/>
            <w:textDirection w:val="lrTb"/>
            <w:noWrap w:val="false"/>
          </w:tcPr>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序号</w:t>
            </w:r>
            <w:r/>
          </w:p>
        </w:tc>
        <w:tc>
          <w:tcPr>
            <w:tcW w:w="2310" w:type="dxa"/>
            <w:vAlign w:val="center"/>
            <w:textDirection w:val="lrTb"/>
            <w:noWrap w:val="false"/>
          </w:tcPr>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项目名称</w:t>
            </w:r>
            <w:r/>
          </w:p>
        </w:tc>
        <w:tc>
          <w:tcPr>
            <w:tcW w:w="2257" w:type="dxa"/>
            <w:vAlign w:val="center"/>
            <w:textDirection w:val="lrTb"/>
            <w:noWrap w:val="false"/>
          </w:tcPr>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采购单位</w:t>
            </w:r>
            <w:r/>
          </w:p>
        </w:tc>
        <w:tc>
          <w:tcPr>
            <w:tcW w:w="1255" w:type="dxa"/>
            <w:vAlign w:val="center"/>
            <w:textDirection w:val="lrTb"/>
            <w:noWrap w:val="false"/>
          </w:tcPr>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合同金额</w:t>
            </w:r>
            <w:r/>
          </w:p>
        </w:tc>
        <w:tc>
          <w:tcPr>
            <w:tcW w:w="1341" w:type="dxa"/>
            <w:textDirection w:val="lrTb"/>
            <w:noWrap w:val="false"/>
          </w:tcPr>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合同签订</w:t>
            </w:r>
            <w:r/>
          </w:p>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时间</w:t>
            </w:r>
            <w:r/>
          </w:p>
        </w:tc>
        <w:tc>
          <w:tcPr>
            <w:tcW w:w="1211" w:type="dxa"/>
            <w:textDirection w:val="lrTb"/>
            <w:noWrap w:val="false"/>
          </w:tcPr>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联系人及电话</w:t>
            </w:r>
            <w:r/>
          </w:p>
        </w:tc>
        <w:tc>
          <w:tcPr>
            <w:tcW w:w="969" w:type="dxa"/>
            <w:vAlign w:val="center"/>
            <w:textDirection w:val="lrTb"/>
            <w:noWrap w:val="false"/>
          </w:tcPr>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备注</w:t>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2310"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2257" w:type="dxa"/>
            <w:textDirection w:val="lrTb"/>
            <w:noWrap w:val="false"/>
          </w:tcPr>
          <w:p>
            <w:pPr>
              <w:ind w:firstLine="12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255"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341"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211"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969"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2310"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2257"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255"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341"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211"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969"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2310"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2257"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255"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341"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211"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969"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2310"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2257"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255"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341"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211"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969"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2310"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2257"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255"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341"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211"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969"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2310"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2257"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255"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341"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211"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969"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r>
    </w:tbl>
    <w:p>
      <w:pPr>
        <w:spacing w:line="360" w:lineRule="auto"/>
        <w:rPr>
          <w:rFonts w:hint="eastAsia" w:asciiTheme="minorEastAsia" w:hAnsiTheme="minorEastAsia" w:eastAsiaTheme="minorEastAsia"/>
          <w:b/>
          <w:color w:val="auto"/>
          <w:sz w:val="24"/>
          <w:highlight w:val="none"/>
        </w:rPr>
      </w:pPr>
      <w:r/>
      <w:bookmarkStart w:id="193" w:name="_Hlk66784249"/>
      <w:r/>
      <w:r/>
    </w:p>
    <w:p>
      <w:pPr>
        <w:spacing w:line="360" w:lineRule="auto"/>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说</w:t>
      </w:r>
      <w:r>
        <w:rPr>
          <w:rFonts w:hint="eastAsia" w:asciiTheme="minorEastAsia" w:hAnsiTheme="minorEastAsia" w:eastAsiaTheme="minorEastAsia"/>
          <w:b/>
          <w:color w:val="auto"/>
          <w:szCs w:val="21"/>
          <w:highlight w:val="none"/>
        </w:rPr>
        <w:t xml:space="preserve">明：投标人如实填写业绩情况表，</w:t>
      </w:r>
      <w:bookmarkStart w:id="194" w:name="_Hlk66378132"/>
      <w:r>
        <w:rPr>
          <w:rFonts w:hint="eastAsia" w:asciiTheme="minorEastAsia" w:hAnsiTheme="minorEastAsia" w:eastAsiaTheme="minorEastAsia"/>
          <w:b/>
          <w:color w:val="auto"/>
          <w:szCs w:val="21"/>
          <w:highlight w:val="none"/>
        </w:rPr>
        <w:t xml:space="preserve">并根据招标文件要求附业绩证明材料。</w:t>
      </w:r>
      <w:bookmarkEnd w:id="194"/>
      <w:r/>
      <w:bookmarkEnd w:id="193"/>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投标人（加盖电子公章）：</w:t>
      </w:r>
      <w:r>
        <w:rPr>
          <w:rFonts w:asciiTheme="minorEastAsia" w:hAnsiTheme="minorEastAsia" w:eastAsiaTheme="minorEastAsia"/>
          <w:color w:val="auto"/>
          <w:szCs w:val="21"/>
          <w:highlight w:val="none"/>
          <w:u w:val="single"/>
        </w:rPr>
        <w:t xml:space="preserve">                                  </w:t>
      </w:r>
      <w:r/>
    </w:p>
    <w:p>
      <w:pPr>
        <w:spacing w:line="360" w:lineRule="auto"/>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r>
      <w:r/>
    </w:p>
    <w:p>
      <w:pPr>
        <w:spacing w:line="360" w:lineRule="auto"/>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r>
      <w:r/>
    </w:p>
    <w:p>
      <w:pPr>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br w:type="page" w:clear="all"/>
      </w:r>
      <w:r/>
    </w:p>
    <w:p>
      <w:pPr>
        <w:pStyle w:val="891"/>
        <w:rPr>
          <w:rFonts w:hint="eastAsia" w:asciiTheme="minorEastAsia" w:hAnsiTheme="minorEastAsia" w:eastAsiaTheme="minorEastAsia"/>
          <w:color w:val="auto"/>
          <w:highlight w:val="none"/>
        </w:rPr>
      </w:pPr>
      <w:r/>
      <w:bookmarkStart w:id="195" w:name="_Toc66375433"/>
      <w:r/>
      <w:bookmarkStart w:id="196" w:name="_Toc43917780"/>
      <w:r>
        <w:rPr>
          <w:rFonts w:hint="eastAsia" w:asciiTheme="minorEastAsia" w:hAnsiTheme="minorEastAsia" w:eastAsiaTheme="minorEastAsia"/>
          <w:color w:val="auto"/>
          <w:highlight w:val="none"/>
        </w:rPr>
        <w:t xml:space="preserve">附件十、企业声明函</w:t>
      </w:r>
      <w:bookmarkEnd w:id="195"/>
      <w:r/>
      <w:bookmarkEnd w:id="196"/>
      <w:r/>
      <w:r/>
    </w:p>
    <w:p>
      <w:pPr>
        <w:jc w:val="center"/>
        <w:spacing w:line="360" w:lineRule="auto"/>
        <w:rPr>
          <w:rFonts w:hint="eastAsia" w:cs="Arial" w:asciiTheme="minorEastAsia" w:hAnsiTheme="minorEastAsia" w:eastAsiaTheme="minorEastAsia"/>
          <w:b/>
          <w:bCs/>
          <w:color w:val="auto"/>
          <w:sz w:val="28"/>
          <w:szCs w:val="28"/>
          <w:highlight w:val="none"/>
        </w:rPr>
      </w:pPr>
      <w:r/>
      <w:bookmarkStart w:id="197" w:name="_Hlk84581158"/>
      <w:r/>
      <w:bookmarkStart w:id="198" w:name="OLE_LINK14"/>
      <w:r/>
      <w:bookmarkStart w:id="199" w:name="OLE_LINK13"/>
      <w:r>
        <w:rPr>
          <w:rFonts w:hint="eastAsia" w:cs="Arial" w:asciiTheme="minorEastAsia" w:hAnsiTheme="minorEastAsia" w:eastAsiaTheme="minorEastAsia"/>
          <w:b/>
          <w:bCs/>
          <w:color w:val="auto"/>
          <w:sz w:val="28"/>
          <w:szCs w:val="28"/>
          <w:highlight w:val="none"/>
        </w:rPr>
        <w:t xml:space="preserve">中小企业声明函（货物）</w:t>
      </w:r>
      <w:r/>
    </w:p>
    <w:p>
      <w:pPr>
        <w:ind w:firstLine="420"/>
        <w:jc w:val="left"/>
        <w:spacing w:line="440" w:lineRule="exact"/>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highlight w:val="none"/>
        </w:rPr>
        <w:t xml:space="preserve">本公司（联合体）郑重声明，根据《政府采购促进中小企业发展管理办法》（财库〔2020 ） 46号）的规定，本公司 （联合体）参加</w:t>
      </w:r>
      <w:r>
        <w:rPr>
          <w:rFonts w:hint="eastAsia" w:cs="Arial" w:asciiTheme="minorEastAsia" w:hAnsiTheme="minorEastAsia" w:eastAsiaTheme="minorEastAsia"/>
          <w:color w:val="auto"/>
          <w:highlight w:val="none"/>
          <w:u w:val="single"/>
        </w:rPr>
        <w:t xml:space="preserve">（单位名称）</w:t>
      </w:r>
      <w:r>
        <w:rPr>
          <w:rFonts w:hint="eastAsia" w:cs="Arial" w:asciiTheme="minorEastAsia" w:hAnsiTheme="minorEastAsia" w:eastAsiaTheme="minorEastAsia"/>
          <w:color w:val="auto"/>
          <w:highlight w:val="none"/>
        </w:rPr>
        <w:t xml:space="preserve">的</w:t>
      </w:r>
      <w:r>
        <w:rPr>
          <w:rFonts w:hint="eastAsia" w:cs="Arial" w:asciiTheme="minorEastAsia" w:hAnsiTheme="minorEastAsia" w:eastAsiaTheme="minorEastAsia"/>
          <w:color w:val="auto"/>
          <w:highlight w:val="none"/>
          <w:u w:val="single"/>
        </w:rPr>
        <w:t xml:space="preserve">（项目名称）</w:t>
      </w:r>
      <w:r>
        <w:rPr>
          <w:rFonts w:hint="eastAsia" w:cs="Arial" w:asciiTheme="minorEastAsia" w:hAnsiTheme="minorEastAsia" w:eastAsiaTheme="minorEastAsia"/>
          <w:color w:val="auto"/>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440" w:lineRule="exact"/>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1.</w:t>
      </w:r>
      <w:r>
        <w:rPr>
          <w:rFonts w:hint="eastAsia" w:cs="Arial" w:asciiTheme="minorEastAsia" w:hAnsiTheme="minorEastAsia" w:eastAsiaTheme="minorEastAsia"/>
          <w:color w:val="auto"/>
          <w:szCs w:val="21"/>
          <w:highlight w:val="none"/>
          <w:u w:val="single"/>
        </w:rPr>
        <w:t xml:space="preserve">（标的名称）,</w:t>
      </w:r>
      <w:r>
        <w:rPr>
          <w:rFonts w:hint="eastAsia" w:cs="Arial" w:asciiTheme="minorEastAsia" w:hAnsiTheme="minorEastAsia" w:eastAsiaTheme="minorEastAsia"/>
          <w:color w:val="auto"/>
          <w:szCs w:val="21"/>
          <w:highlight w:val="none"/>
        </w:rPr>
        <w:t xml:space="preserve">属于</w:t>
      </w:r>
      <w:r>
        <w:rPr>
          <w:rFonts w:hint="eastAsia" w:cs="Arial" w:asciiTheme="minorEastAsia" w:hAnsiTheme="minorEastAsia" w:eastAsiaTheme="minorEastAsia"/>
          <w:color w:val="auto"/>
          <w:szCs w:val="21"/>
          <w:highlight w:val="none"/>
          <w:u w:val="single"/>
        </w:rPr>
        <w:t xml:space="preserve">（</w:t>
      </w:r>
      <w:r>
        <w:rPr>
          <w:rFonts w:hint="eastAsia" w:cs="Arial" w:asciiTheme="minorEastAsia" w:hAnsiTheme="minorEastAsia" w:eastAsiaTheme="minorEastAsia"/>
          <w:color w:val="auto"/>
          <w:szCs w:val="21"/>
          <w:highlight w:val="none"/>
          <w:u w:val="single"/>
          <w:lang w:val="en-US" w:eastAsia="zh-CN"/>
        </w:rPr>
        <w:t xml:space="preserve">工业</w:t>
      </w:r>
      <w:r>
        <w:rPr>
          <w:rFonts w:hint="eastAsia" w:cs="Arial" w:asciiTheme="minorEastAsia" w:hAnsiTheme="minorEastAsia" w:eastAsiaTheme="minorEastAsia"/>
          <w:color w:val="auto"/>
          <w:szCs w:val="21"/>
          <w:highlight w:val="none"/>
          <w:u w:val="single"/>
        </w:rPr>
        <w:t xml:space="preserve">）</w:t>
      </w:r>
      <w:r>
        <w:rPr>
          <w:rFonts w:hint="eastAsia" w:cs="Arial" w:asciiTheme="minorEastAsia" w:hAnsiTheme="minorEastAsia" w:eastAsiaTheme="minorEastAsia"/>
          <w:color w:val="auto"/>
          <w:szCs w:val="21"/>
          <w:highlight w:val="none"/>
        </w:rPr>
        <w:t xml:space="preserve">行业;制造商为</w:t>
      </w:r>
      <w:r>
        <w:rPr>
          <w:rFonts w:hint="eastAsia" w:cs="Arial" w:asciiTheme="minorEastAsia" w:hAnsiTheme="minorEastAsia" w:eastAsiaTheme="minorEastAsia"/>
          <w:color w:val="auto"/>
          <w:szCs w:val="21"/>
          <w:highlight w:val="none"/>
          <w:u w:val="single"/>
        </w:rPr>
        <w:t xml:space="preserve">（企业名称）</w:t>
      </w:r>
      <w:r>
        <w:rPr>
          <w:rFonts w:hint="eastAsia" w:cs="Arial" w:asciiTheme="minorEastAsia" w:hAnsiTheme="minorEastAsia" w:eastAsiaTheme="minorEastAsia"/>
          <w:color w:val="auto"/>
          <w:szCs w:val="21"/>
          <w:highlight w:val="none"/>
        </w:rPr>
        <w:t xml:space="preserve">,从业人员</w:t>
      </w:r>
      <w:r>
        <w:rPr>
          <w:rFonts w:hint="eastAsia" w:cs="Arial" w:asciiTheme="minorEastAsia" w:hAnsiTheme="minorEastAsia" w:eastAsiaTheme="minorEastAsia"/>
          <w:color w:val="auto"/>
          <w:szCs w:val="21"/>
          <w:highlight w:val="none"/>
          <w:u w:val="single"/>
        </w:rPr>
        <w:tab/>
      </w:r>
      <w:r>
        <w:rPr>
          <w:rFonts w:hint="eastAsia" w:cs="Arial" w:asciiTheme="minorEastAsia" w:hAnsiTheme="minorEastAsia" w:eastAsiaTheme="minorEastAsia"/>
          <w:color w:val="auto"/>
          <w:szCs w:val="21"/>
          <w:highlight w:val="none"/>
          <w:u w:val="single"/>
        </w:rPr>
        <w:t xml:space="preserve">人</w:t>
      </w:r>
      <w:r>
        <w:rPr>
          <w:rFonts w:hint="eastAsia" w:cs="Arial" w:asciiTheme="minorEastAsia" w:hAnsiTheme="minorEastAsia" w:eastAsiaTheme="minorEastAsia"/>
          <w:color w:val="auto"/>
          <w:szCs w:val="21"/>
          <w:highlight w:val="none"/>
        </w:rPr>
        <w:t xml:space="preserve">，营业收入为</w:t>
      </w:r>
      <w:r>
        <w:rPr>
          <w:rFonts w:hint="eastAsia" w:cs="Arial" w:asciiTheme="minorEastAsia" w:hAnsiTheme="minorEastAsia" w:eastAsiaTheme="minorEastAsia"/>
          <w:color w:val="auto"/>
          <w:szCs w:val="21"/>
          <w:highlight w:val="none"/>
          <w:u w:val="single"/>
        </w:rPr>
        <w:tab/>
      </w:r>
      <w:r>
        <w:rPr>
          <w:rFonts w:hint="eastAsia" w:cs="Arial" w:asciiTheme="minorEastAsia" w:hAnsiTheme="minorEastAsia" w:eastAsiaTheme="minorEastAsia"/>
          <w:color w:val="auto"/>
          <w:szCs w:val="21"/>
          <w:highlight w:val="none"/>
          <w:u w:val="single"/>
        </w:rPr>
        <w:t xml:space="preserve">   </w:t>
      </w:r>
      <w:r>
        <w:rPr>
          <w:rFonts w:hint="eastAsia" w:cs="Arial" w:asciiTheme="minorEastAsia" w:hAnsiTheme="minorEastAsia" w:eastAsiaTheme="minorEastAsia"/>
          <w:color w:val="auto"/>
          <w:szCs w:val="21"/>
          <w:highlight w:val="none"/>
        </w:rPr>
        <w:t xml:space="preserve">万元，资产总额为</w:t>
      </w:r>
      <w:r>
        <w:rPr>
          <w:rFonts w:hint="eastAsia" w:cs="Arial" w:asciiTheme="minorEastAsia" w:hAnsiTheme="minorEastAsia" w:eastAsiaTheme="minorEastAsia"/>
          <w:color w:val="auto"/>
          <w:szCs w:val="21"/>
          <w:highlight w:val="none"/>
          <w:u w:val="single"/>
        </w:rPr>
        <w:tab/>
      </w:r>
      <w:r>
        <w:rPr>
          <w:rFonts w:hint="eastAsia" w:cs="Arial" w:asciiTheme="minorEastAsia" w:hAnsiTheme="minorEastAsia" w:eastAsiaTheme="minorEastAsia"/>
          <w:color w:val="auto"/>
          <w:szCs w:val="21"/>
          <w:highlight w:val="none"/>
          <w:u w:val="single"/>
        </w:rPr>
        <w:t xml:space="preserve">      万</w:t>
      </w:r>
      <w:r>
        <w:rPr>
          <w:rFonts w:hint="eastAsia" w:cs="Arial" w:asciiTheme="minorEastAsia" w:hAnsiTheme="minorEastAsia" w:eastAsiaTheme="minorEastAsia"/>
          <w:color w:val="auto"/>
          <w:szCs w:val="21"/>
          <w:highlight w:val="none"/>
        </w:rPr>
        <w:t xml:space="preserve">元属于</w:t>
      </w:r>
      <w:r>
        <w:rPr>
          <w:rFonts w:hint="eastAsia" w:cs="Arial" w:asciiTheme="minorEastAsia" w:hAnsiTheme="minorEastAsia" w:eastAsiaTheme="minorEastAsia"/>
          <w:color w:val="auto"/>
          <w:szCs w:val="21"/>
          <w:highlight w:val="none"/>
          <w:u w:val="single"/>
        </w:rPr>
        <w:t xml:space="preserve">（</w:t>
      </w:r>
      <w:bookmarkStart w:id="200" w:name="_Hlk223532627"/>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中型企业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小型企业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微型企业</w:t>
      </w:r>
      <w:bookmarkEnd w:id="200"/>
      <w:r>
        <w:rPr>
          <w:rFonts w:hint="eastAsia" w:cs="Arial" w:asciiTheme="minorEastAsia" w:hAnsiTheme="minorEastAsia" w:eastAsiaTheme="minorEastAsia"/>
          <w:color w:val="auto"/>
          <w:szCs w:val="21"/>
          <w:highlight w:val="none"/>
          <w:u w:val="single"/>
        </w:rPr>
        <w:t xml:space="preserve">）</w:t>
      </w:r>
      <w:r>
        <w:rPr>
          <w:rFonts w:hint="eastAsia" w:cs="Arial" w:asciiTheme="minorEastAsia" w:hAnsiTheme="minorEastAsia" w:eastAsiaTheme="minorEastAsia"/>
          <w:color w:val="auto"/>
          <w:szCs w:val="21"/>
          <w:highlight w:val="none"/>
        </w:rPr>
        <w:t xml:space="preserve">； </w:t>
      </w:r>
      <w:r/>
    </w:p>
    <w:p>
      <w:pPr>
        <w:ind w:firstLine="420"/>
        <w:jc w:val="left"/>
        <w:spacing w:line="440" w:lineRule="exact"/>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2.</w:t>
      </w:r>
      <w:r>
        <w:rPr>
          <w:rFonts w:hint="eastAsia" w:cs="Arial" w:asciiTheme="minorEastAsia" w:hAnsiTheme="minorEastAsia" w:eastAsiaTheme="minorEastAsia"/>
          <w:color w:val="auto"/>
          <w:szCs w:val="21"/>
          <w:highlight w:val="none"/>
          <w:u w:val="single"/>
        </w:rPr>
        <w:t xml:space="preserve">（标的名称）</w:t>
      </w:r>
      <w:r>
        <w:rPr>
          <w:rFonts w:hint="eastAsia" w:cs="Arial" w:asciiTheme="minorEastAsia" w:hAnsiTheme="minorEastAsia" w:eastAsiaTheme="minorEastAsia"/>
          <w:color w:val="auto"/>
          <w:szCs w:val="21"/>
          <w:highlight w:val="none"/>
        </w:rPr>
        <w:t xml:space="preserve">,属于</w:t>
      </w:r>
      <w:r>
        <w:rPr>
          <w:rFonts w:hint="eastAsia" w:cs="Arial" w:asciiTheme="minorEastAsia" w:hAnsiTheme="minorEastAsia" w:eastAsiaTheme="minorEastAsia"/>
          <w:color w:val="auto"/>
          <w:szCs w:val="21"/>
          <w:highlight w:val="none"/>
          <w:u w:val="single"/>
        </w:rPr>
        <w:t xml:space="preserve">（</w:t>
      </w:r>
      <w:r>
        <w:rPr>
          <w:rFonts w:hint="eastAsia" w:cs="Arial" w:asciiTheme="minorEastAsia" w:hAnsiTheme="minorEastAsia" w:eastAsiaTheme="minorEastAsia"/>
          <w:color w:val="auto"/>
          <w:szCs w:val="21"/>
          <w:highlight w:val="none"/>
          <w:u w:val="single"/>
          <w:lang w:val="en-US" w:eastAsia="zh-CN"/>
        </w:rPr>
        <w:t xml:space="preserve">工业</w:t>
      </w:r>
      <w:r>
        <w:rPr>
          <w:rFonts w:hint="eastAsia" w:cs="Arial" w:asciiTheme="minorEastAsia" w:hAnsiTheme="minorEastAsia" w:eastAsiaTheme="minorEastAsia"/>
          <w:color w:val="auto"/>
          <w:szCs w:val="21"/>
          <w:highlight w:val="none"/>
          <w:u w:val="single"/>
        </w:rPr>
        <w:t xml:space="preserve">） </w:t>
      </w:r>
      <w:r>
        <w:rPr>
          <w:rFonts w:hint="eastAsia" w:cs="Arial" w:asciiTheme="minorEastAsia" w:hAnsiTheme="minorEastAsia" w:eastAsiaTheme="minorEastAsia"/>
          <w:color w:val="auto"/>
          <w:szCs w:val="21"/>
          <w:highlight w:val="none"/>
        </w:rPr>
        <w:t xml:space="preserve">行业；制造商为</w:t>
      </w:r>
      <w:r>
        <w:rPr>
          <w:rFonts w:hint="eastAsia" w:cs="Arial" w:asciiTheme="minorEastAsia" w:hAnsiTheme="minorEastAsia" w:eastAsiaTheme="minorEastAsia"/>
          <w:color w:val="auto"/>
          <w:szCs w:val="21"/>
          <w:highlight w:val="none"/>
          <w:u w:val="single"/>
        </w:rPr>
        <w:t xml:space="preserve">（企业名称）</w:t>
      </w:r>
      <w:r>
        <w:rPr>
          <w:rFonts w:hint="eastAsia" w:cs="Arial" w:asciiTheme="minorEastAsia" w:hAnsiTheme="minorEastAsia" w:eastAsiaTheme="minorEastAsia"/>
          <w:color w:val="auto"/>
          <w:szCs w:val="21"/>
          <w:highlight w:val="none"/>
        </w:rPr>
        <w:t xml:space="preserve">,从业人员</w:t>
      </w:r>
      <w:r>
        <w:rPr>
          <w:rFonts w:hint="eastAsia" w:cs="Arial" w:asciiTheme="minorEastAsia" w:hAnsiTheme="minorEastAsia" w:eastAsiaTheme="minorEastAsia"/>
          <w:color w:val="auto"/>
          <w:szCs w:val="21"/>
          <w:highlight w:val="none"/>
          <w:u w:val="single"/>
        </w:rPr>
        <w:tab/>
      </w:r>
      <w:r>
        <w:rPr>
          <w:rFonts w:hint="eastAsia" w:cs="Arial" w:asciiTheme="minorEastAsia" w:hAnsiTheme="minorEastAsia" w:eastAsiaTheme="minorEastAsia"/>
          <w:color w:val="auto"/>
          <w:szCs w:val="21"/>
          <w:highlight w:val="none"/>
          <w:u w:val="single"/>
        </w:rPr>
        <w:t xml:space="preserve">人</w:t>
      </w:r>
      <w:r>
        <w:rPr>
          <w:rFonts w:hint="eastAsia" w:cs="Arial" w:asciiTheme="minorEastAsia" w:hAnsiTheme="minorEastAsia" w:eastAsiaTheme="minorEastAsia"/>
          <w:color w:val="auto"/>
          <w:szCs w:val="21"/>
          <w:highlight w:val="none"/>
        </w:rPr>
        <w:t xml:space="preserve">，营业收入为</w:t>
      </w:r>
      <w:r>
        <w:rPr>
          <w:rFonts w:hint="eastAsia" w:cs="Arial" w:asciiTheme="minorEastAsia" w:hAnsiTheme="minorEastAsia" w:eastAsiaTheme="minorEastAsia"/>
          <w:color w:val="auto"/>
          <w:szCs w:val="21"/>
          <w:highlight w:val="none"/>
          <w:u w:val="single"/>
        </w:rPr>
        <w:tab/>
      </w:r>
      <w:r>
        <w:rPr>
          <w:rFonts w:hint="eastAsia" w:cs="Arial" w:asciiTheme="minorEastAsia" w:hAnsiTheme="minorEastAsia" w:eastAsiaTheme="minorEastAsia"/>
          <w:color w:val="auto"/>
          <w:szCs w:val="21"/>
          <w:highlight w:val="none"/>
          <w:u w:val="single"/>
        </w:rPr>
        <w:t xml:space="preserve">   </w:t>
      </w:r>
      <w:r>
        <w:rPr>
          <w:rFonts w:hint="eastAsia" w:cs="Arial" w:asciiTheme="minorEastAsia" w:hAnsiTheme="minorEastAsia" w:eastAsiaTheme="minorEastAsia"/>
          <w:color w:val="auto"/>
          <w:szCs w:val="21"/>
          <w:highlight w:val="none"/>
        </w:rPr>
        <w:t xml:space="preserve">万元，资产总额为</w:t>
      </w:r>
      <w:r>
        <w:rPr>
          <w:rFonts w:hint="eastAsia" w:cs="Arial" w:asciiTheme="minorEastAsia" w:hAnsiTheme="minorEastAsia" w:eastAsiaTheme="minorEastAsia"/>
          <w:color w:val="auto"/>
          <w:szCs w:val="21"/>
          <w:highlight w:val="none"/>
          <w:u w:val="single"/>
        </w:rPr>
        <w:tab/>
      </w:r>
      <w:r>
        <w:rPr>
          <w:rFonts w:hint="eastAsia" w:cs="Arial" w:asciiTheme="minorEastAsia" w:hAnsiTheme="minorEastAsia" w:eastAsiaTheme="minorEastAsia"/>
          <w:color w:val="auto"/>
          <w:szCs w:val="21"/>
          <w:highlight w:val="none"/>
          <w:u w:val="single"/>
        </w:rPr>
        <w:t xml:space="preserve">        </w:t>
      </w:r>
      <w:r>
        <w:rPr>
          <w:rFonts w:hint="eastAsia" w:cs="Arial" w:asciiTheme="minorEastAsia" w:hAnsiTheme="minorEastAsia" w:eastAsiaTheme="minorEastAsia"/>
          <w:color w:val="auto"/>
          <w:szCs w:val="21"/>
          <w:highlight w:val="none"/>
        </w:rPr>
        <w:t xml:space="preserve">万元，属于</w:t>
      </w:r>
      <w:r>
        <w:rPr>
          <w:rFonts w:hint="eastAsia" w:cs="Arial" w:asciiTheme="minorEastAsia" w:hAnsiTheme="minorEastAsia" w:eastAsiaTheme="minorEastAsia"/>
          <w:color w:val="auto"/>
          <w:szCs w:val="21"/>
          <w:highlight w:val="none"/>
          <w:u w:val="single"/>
        </w:rPr>
        <w:t xml:space="preserve">（</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中型企业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小型企业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微型企业</w:t>
      </w:r>
      <w:r>
        <w:rPr>
          <w:rFonts w:hint="eastAsia" w:cs="Arial" w:asciiTheme="minorEastAsia" w:hAnsiTheme="minorEastAsia" w:eastAsiaTheme="minorEastAsia"/>
          <w:color w:val="auto"/>
          <w:szCs w:val="21"/>
          <w:highlight w:val="none"/>
          <w:u w:val="single"/>
        </w:rPr>
        <w:t xml:space="preserve">）</w:t>
      </w:r>
      <w:r>
        <w:rPr>
          <w:rFonts w:hint="eastAsia" w:cs="Arial" w:asciiTheme="minorEastAsia" w:hAnsiTheme="minorEastAsia" w:eastAsiaTheme="minorEastAsia"/>
          <w:color w:val="auto"/>
          <w:szCs w:val="21"/>
          <w:highlight w:val="none"/>
        </w:rPr>
        <w:t xml:space="preserve">；</w:t>
      </w:r>
      <w:r/>
    </w:p>
    <w:p>
      <w:pPr>
        <w:ind w:firstLine="420"/>
        <w:jc w:val="left"/>
        <w:spacing w:line="440" w:lineRule="exact"/>
        <w:widowControl/>
        <w:rPr>
          <w:rFonts w:hint="eastAsia" w:cs="Arial" w:asciiTheme="minorEastAsia" w:hAnsiTheme="minorEastAsia" w:eastAsiaTheme="minorEastAsia"/>
          <w:color w:val="auto"/>
          <w:highlight w:val="none"/>
        </w:rPr>
      </w:pPr>
      <w:r>
        <w:rPr>
          <w:rFonts w:hint="eastAsia" w:cs="Arial" w:asciiTheme="minorEastAsia" w:hAnsiTheme="minorEastAsia" w:eastAsiaTheme="minorEastAsia"/>
          <w:color w:val="auto"/>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cs="Arial" w:asciiTheme="minorEastAsia" w:hAnsiTheme="minorEastAsia" w:eastAsiaTheme="minorEastAsia"/>
          <w:color w:val="auto"/>
          <w:highlight w:val="none"/>
        </w:rPr>
      </w:pPr>
      <w:r>
        <w:rPr>
          <w:rFonts w:hint="eastAsia" w:cs="Arial" w:asciiTheme="minorEastAsia" w:hAnsiTheme="minorEastAsia" w:eastAsiaTheme="minorEastAsia"/>
          <w:color w:val="auto"/>
          <w:highlight w:val="none"/>
        </w:rPr>
        <w:t xml:space="preserve">本企业对上述声明内容的真实性负责。如有虚假，将依法承担相应责任。</w:t>
      </w:r>
      <w:r/>
    </w:p>
    <w:p>
      <w:pPr>
        <w:ind w:firstLine="420"/>
        <w:jc w:val="right"/>
        <w:spacing w:line="440" w:lineRule="exact"/>
        <w:widowControl/>
        <w:rPr>
          <w:rFonts w:hint="eastAsia" w:cs="Arial" w:asciiTheme="minorEastAsia" w:hAnsiTheme="minorEastAsia" w:eastAsiaTheme="minorEastAsia"/>
          <w:color w:val="auto"/>
          <w:highlight w:val="none"/>
        </w:rPr>
      </w:pPr>
      <w:r>
        <w:rPr>
          <w:rFonts w:hint="eastAsia" w:cs="Arial" w:asciiTheme="minorEastAsia" w:hAnsiTheme="minorEastAsia" w:eastAsiaTheme="minorEastAsia"/>
          <w:color w:val="auto"/>
          <w:highlight w:val="none"/>
        </w:rPr>
        <w:t xml:space="preserve">企业名称：（</w:t>
      </w:r>
      <w:r>
        <w:rPr>
          <w:rFonts w:hint="eastAsia" w:cs="宋体" w:asciiTheme="minorEastAsia" w:hAnsiTheme="minorEastAsia" w:eastAsiaTheme="minorEastAsia"/>
          <w:color w:val="auto"/>
          <w:szCs w:val="21"/>
          <w:highlight w:val="none"/>
        </w:rPr>
        <w:t xml:space="preserve">加盖电子公章</w:t>
      </w:r>
      <w:r>
        <w:rPr>
          <w:rFonts w:hint="eastAsia" w:cs="Arial" w:asciiTheme="minorEastAsia" w:hAnsiTheme="minorEastAsia" w:eastAsiaTheme="minorEastAsia"/>
          <w:color w:val="auto"/>
          <w:highlight w:val="none"/>
        </w:rPr>
        <w:t xml:space="preserve">）</w:t>
      </w:r>
      <w:r/>
    </w:p>
    <w:p>
      <w:pPr>
        <w:ind w:right="1890" w:firstLine="420"/>
        <w:jc w:val="right"/>
        <w:spacing w:line="440" w:lineRule="exact"/>
        <w:widowControl/>
        <w:rPr>
          <w:rFonts w:hint="eastAsia" w:cs="Arial" w:asciiTheme="minorEastAsia" w:hAnsiTheme="minorEastAsia" w:eastAsiaTheme="minorEastAsia"/>
          <w:color w:val="auto"/>
          <w:highlight w:val="none"/>
        </w:rPr>
      </w:pPr>
      <w:r>
        <w:rPr>
          <w:rFonts w:hint="eastAsia" w:cs="Arial" w:asciiTheme="minorEastAsia" w:hAnsiTheme="minorEastAsia" w:eastAsiaTheme="minorEastAsia"/>
          <w:color w:val="auto"/>
          <w:highlight w:val="none"/>
        </w:rPr>
        <w:t xml:space="preserve">日  期：</w:t>
      </w:r>
      <w:r/>
    </w:p>
    <w:p>
      <w:pPr>
        <w:ind w:firstLine="422"/>
        <w:jc w:val="left"/>
        <w:spacing w:line="440" w:lineRule="exact"/>
        <w:widowControl/>
        <w:rPr>
          <w:rFonts w:hint="eastAsia" w:cs="Arial" w:asciiTheme="minorEastAsia" w:hAnsiTheme="minorEastAsia" w:eastAsiaTheme="minorEastAsia"/>
          <w:b/>
          <w:bCs/>
          <w:color w:val="auto"/>
          <w:highlight w:val="none"/>
        </w:rPr>
      </w:pPr>
      <w:r/>
      <w:bookmarkStart w:id="201" w:name="OLE_LINK42"/>
      <w:r/>
      <w:bookmarkStart w:id="202" w:name="_Hlk223532636"/>
      <w:r>
        <w:rPr>
          <w:rFonts w:hint="eastAsia" w:cs="Arial" w:asciiTheme="minorEastAsia" w:hAnsiTheme="minorEastAsia" w:eastAsiaTheme="minorEastAsia"/>
          <w:b/>
          <w:bCs/>
          <w:color w:val="auto"/>
          <w:sz w:val="21"/>
          <w:highlight w:val="none"/>
        </w:rPr>
        <w:t xml:space="preserve">备注：</w:t>
      </w:r>
      <w:bookmarkEnd w:id="201"/>
      <w:r>
        <w:rPr>
          <w:rFonts w:hint="eastAsia" w:cs="Arial" w:asciiTheme="minorEastAsia" w:hAnsiTheme="minorEastAsia" w:eastAsiaTheme="minorEastAsia"/>
          <w:b/>
          <w:bCs/>
          <w:color w:val="auto"/>
          <w:sz w:val="21"/>
          <w:highlight w:val="none"/>
        </w:rPr>
        <w:t xml:space="preserve">1.</w:t>
      </w:r>
      <w:r>
        <w:rPr>
          <w:rFonts w:hint="eastAsia" w:cs="Arial" w:asciiTheme="minorEastAsia" w:hAnsiTheme="minorEastAsia" w:eastAsiaTheme="minorEastAsia"/>
          <w:b/>
          <w:bCs/>
          <w:color w:val="auto"/>
          <w:highlight w:val="none"/>
        </w:rPr>
        <w:t xml:space="preserve"> 投标人在所属企业类型前的</w:t>
      </w:r>
      <w:r>
        <w:rPr>
          <w:rFonts w:ascii="Wingdings" w:hAnsi="Wingdings" w:eastAsia="Wingdings" w:cs="Wingdings"/>
          <w:b/>
          <w:bCs/>
          <w:color w:val="auto"/>
          <w:szCs w:val="21"/>
          <w:highlight w:val="none"/>
        </w:rPr>
        <w:t xml:space="preserve">¨</w:t>
      </w:r>
      <w:r>
        <w:rPr>
          <w:rFonts w:hint="eastAsia" w:cs="Arial" w:asciiTheme="minorEastAsia" w:hAnsiTheme="minorEastAsia" w:eastAsiaTheme="minorEastAsia"/>
          <w:b/>
          <w:bCs/>
          <w:color w:val="auto"/>
          <w:highlight w:val="none"/>
        </w:rPr>
        <w:t xml:space="preserve">内打“√”。</w:t>
      </w:r>
      <w:r/>
    </w:p>
    <w:p>
      <w:pPr>
        <w:ind w:firstLine="1054"/>
        <w:jc w:val="left"/>
        <w:spacing w:line="440" w:lineRule="exact"/>
        <w:widowControl/>
        <w:rPr>
          <w:rFonts w:hint="eastAsia" w:cs="Arial" w:asciiTheme="minorEastAsia" w:hAnsiTheme="minorEastAsia" w:eastAsiaTheme="minorEastAsia"/>
          <w:b/>
          <w:bCs/>
          <w:color w:val="auto"/>
          <w:highlight w:val="none"/>
        </w:rPr>
      </w:pPr>
      <w:r>
        <w:rPr>
          <w:rFonts w:hint="eastAsia" w:cs="Arial" w:asciiTheme="minorEastAsia" w:hAnsiTheme="minorEastAsia" w:eastAsiaTheme="minorEastAsia"/>
          <w:b/>
          <w:bCs/>
          <w:color w:val="auto"/>
          <w:highlight w:val="none"/>
        </w:rPr>
        <w:t xml:space="preserve">2.</w:t>
      </w:r>
      <w:bookmarkStart w:id="203" w:name="OLE_LINK59"/>
      <w:r>
        <w:rPr>
          <w:rFonts w:hint="eastAsia" w:cs="Arial" w:asciiTheme="minorEastAsia" w:hAnsiTheme="minorEastAsia" w:eastAsiaTheme="minorEastAsia"/>
          <w:b/>
          <w:bCs/>
          <w:color w:val="auto"/>
          <w:highlight w:val="none"/>
        </w:rPr>
        <w:t xml:space="preserve">“中小企业划型标准”详见《关于印发中小企业划型标准规定的通知》工信部联企业〔2011〕300号及《国家统计局关于印发&lt;统计上大中小微型企业划分办法（2017）&gt;的通知》国统字〔2017〕213号）</w:t>
      </w:r>
      <w:bookmarkEnd w:id="202"/>
      <w:r/>
      <w:bookmarkEnd w:id="203"/>
      <w:r/>
      <w:r/>
    </w:p>
    <w:p>
      <w:pPr>
        <w:ind w:firstLine="1054"/>
        <w:jc w:val="left"/>
        <w:spacing w:line="440" w:lineRule="exact"/>
        <w:widowControl/>
        <w:rPr>
          <w:rFonts w:hint="eastAsia" w:cs="Arial" w:asciiTheme="minorEastAsia" w:hAnsiTheme="minorEastAsia" w:eastAsiaTheme="minorEastAsia"/>
          <w:b/>
          <w:bCs/>
          <w:color w:val="auto"/>
          <w:highlight w:val="none"/>
        </w:rPr>
      </w:pPr>
      <w:r>
        <w:rPr>
          <w:rFonts w:hint="eastAsia" w:cs="Arial" w:asciiTheme="minorEastAsia" w:hAnsiTheme="minorEastAsia" w:eastAsiaTheme="minorEastAsia"/>
          <w:b/>
          <w:bCs/>
          <w:color w:val="auto"/>
          <w:highlight w:val="none"/>
        </w:rPr>
        <w:t xml:space="preserve">3.</w:t>
      </w:r>
      <w:r>
        <w:rPr>
          <w:b/>
          <w:bCs/>
          <w:color w:val="auto"/>
          <w:highlight w:val="none"/>
        </w:rPr>
        <w:t xml:space="preserve"> </w:t>
      </w:r>
      <w:r>
        <w:rPr>
          <w:rFonts w:hint="eastAsia" w:cs="Arial" w:asciiTheme="minorEastAsia" w:hAnsiTheme="minorEastAsia" w:eastAsiaTheme="minorEastAsia"/>
          <w:b/>
          <w:bCs/>
          <w:color w:val="auto"/>
          <w:highlight w:val="none"/>
        </w:rPr>
        <w:t xml:space="preserve">货物采购项目中，货物由中小企业制造，（即货物由中小企业生产且使用该中小企业商号或者注册商标），不对其中涉及的服务的承接商、工程的承建商作出要求。</w:t>
      </w:r>
      <w:r/>
    </w:p>
    <w:p>
      <w:pPr>
        <w:ind w:firstLine="1054"/>
        <w:jc w:val="left"/>
        <w:spacing w:line="440" w:lineRule="exact"/>
        <w:widowControl/>
        <w:rPr>
          <w:rFonts w:hint="eastAsia" w:cs="Arial" w:asciiTheme="minorEastAsia" w:hAnsiTheme="minorEastAsia" w:eastAsiaTheme="minorEastAsia"/>
          <w:b/>
          <w:bCs/>
          <w:color w:val="auto"/>
          <w:highlight w:val="none"/>
        </w:rPr>
      </w:pPr>
      <w:r>
        <w:rPr>
          <w:rFonts w:hint="eastAsia" w:cs="Arial" w:asciiTheme="minorEastAsia" w:hAnsiTheme="minorEastAsia" w:eastAsiaTheme="minorEastAsia"/>
          <w:b/>
          <w:bCs/>
          <w:color w:val="auto"/>
          <w:highlight w:val="none"/>
        </w:rPr>
        <w:t xml:space="preserve">4.货物采购项目中，投标人提供的货物既有中小企业制造货物，也有大型企业制造货物的，不享受中小企业扶持政策。</w:t>
      </w:r>
      <w:r/>
    </w:p>
    <w:p>
      <w:pPr>
        <w:spacing w:line="360" w:lineRule="auto"/>
        <w:rPr>
          <w:rFonts w:hint="eastAsia" w:asciiTheme="minorEastAsia" w:hAnsiTheme="minorEastAsia" w:eastAsiaTheme="minorEastAsia"/>
          <w:b/>
          <w:bCs/>
          <w:color w:val="auto"/>
          <w:sz w:val="28"/>
          <w:highlight w:val="none"/>
        </w:rPr>
      </w:pPr>
      <w:r>
        <w:rPr>
          <w:rFonts w:hint="eastAsia" w:asciiTheme="minorEastAsia" w:hAnsiTheme="minorEastAsia" w:eastAsiaTheme="minorEastAsia"/>
          <w:b/>
          <w:bCs/>
          <w:color w:val="auto"/>
          <w:sz w:val="28"/>
          <w:highlight w:val="none"/>
        </w:rPr>
      </w:r>
      <w:r/>
    </w:p>
    <w:p>
      <w:pPr>
        <w:spacing w:line="360" w:lineRule="auto"/>
        <w:rPr>
          <w:rFonts w:hint="eastAsia" w:asciiTheme="minorEastAsia" w:hAnsiTheme="minorEastAsia" w:eastAsiaTheme="minorEastAsia"/>
          <w:b/>
          <w:bCs/>
          <w:color w:val="auto"/>
          <w:sz w:val="28"/>
          <w:highlight w:val="none"/>
        </w:rPr>
      </w:pPr>
      <w:r>
        <w:rPr>
          <w:rFonts w:hint="eastAsia" w:asciiTheme="minorEastAsia" w:hAnsiTheme="minorEastAsia" w:eastAsiaTheme="minorEastAsia"/>
          <w:b/>
          <w:bCs/>
          <w:color w:val="auto"/>
          <w:sz w:val="28"/>
          <w:highlight w:val="none"/>
        </w:rPr>
      </w:r>
      <w:r/>
    </w:p>
    <w:p>
      <w:pPr>
        <w:spacing w:line="360" w:lineRule="auto"/>
        <w:rPr>
          <w:rFonts w:hint="eastAsia" w:asciiTheme="minorEastAsia" w:hAnsiTheme="minorEastAsia" w:eastAsiaTheme="minorEastAsia"/>
          <w:b/>
          <w:bCs/>
          <w:color w:val="auto"/>
          <w:sz w:val="28"/>
          <w:highlight w:val="none"/>
        </w:rPr>
      </w:pPr>
      <w:r>
        <w:rPr>
          <w:rFonts w:hint="eastAsia" w:asciiTheme="minorEastAsia" w:hAnsiTheme="minorEastAsia" w:eastAsiaTheme="minorEastAsia"/>
          <w:b/>
          <w:bCs/>
          <w:color w:val="auto"/>
          <w:sz w:val="28"/>
          <w:highlight w:val="none"/>
        </w:rPr>
      </w:r>
      <w:r/>
    </w:p>
    <w:p>
      <w:pPr>
        <w:spacing w:line="360" w:lineRule="auto"/>
        <w:rPr>
          <w:rFonts w:hint="eastAsia" w:asciiTheme="minorEastAsia" w:hAnsiTheme="minorEastAsia" w:eastAsiaTheme="minorEastAsia"/>
          <w:b/>
          <w:bCs/>
          <w:color w:val="auto"/>
          <w:sz w:val="28"/>
          <w:highlight w:val="none"/>
        </w:rPr>
      </w:pPr>
      <w:r>
        <w:rPr>
          <w:rFonts w:hint="eastAsia" w:asciiTheme="minorEastAsia" w:hAnsiTheme="minorEastAsia" w:eastAsiaTheme="minorEastAsia"/>
          <w:b/>
          <w:bCs/>
          <w:color w:val="auto"/>
          <w:sz w:val="28"/>
          <w:highlight w:val="none"/>
        </w:rPr>
      </w:r>
      <w:bookmarkEnd w:id="197"/>
      <w:r/>
      <w:r/>
    </w:p>
    <w:p>
      <w:pPr>
        <w:jc w:val="center"/>
        <w:spacing w:line="360" w:lineRule="auto"/>
        <w:rPr>
          <w:rFonts w:hint="eastAsia" w:asciiTheme="minorEastAsia" w:hAnsiTheme="minorEastAsia" w:eastAsiaTheme="minorEastAsia"/>
          <w:b/>
          <w:bCs/>
          <w:color w:val="auto"/>
          <w:sz w:val="28"/>
          <w:highlight w:val="none"/>
        </w:rPr>
      </w:pPr>
      <w:r>
        <w:rPr>
          <w:rFonts w:hint="eastAsia" w:asciiTheme="minorEastAsia" w:hAnsiTheme="minorEastAsia" w:eastAsiaTheme="minorEastAsia"/>
          <w:b/>
          <w:bCs/>
          <w:color w:val="auto"/>
          <w:sz w:val="28"/>
          <w:highlight w:val="none"/>
        </w:rPr>
      </w:r>
      <w:r/>
    </w:p>
    <w:p>
      <w:pPr>
        <w:jc w:val="center"/>
        <w:spacing w:line="360" w:lineRule="auto"/>
        <w:rPr>
          <w:rFonts w:hint="eastAsia" w:asciiTheme="minorEastAsia" w:hAnsiTheme="minorEastAsia" w:eastAsiaTheme="minorEastAsia"/>
          <w:b/>
          <w:bCs/>
          <w:color w:val="auto"/>
          <w:sz w:val="28"/>
          <w:highlight w:val="none"/>
        </w:rPr>
      </w:pPr>
      <w:r>
        <w:rPr>
          <w:rFonts w:hint="eastAsia" w:asciiTheme="minorEastAsia" w:hAnsiTheme="minorEastAsia" w:eastAsiaTheme="minorEastAsia"/>
          <w:b/>
          <w:bCs/>
          <w:color w:val="auto"/>
          <w:sz w:val="28"/>
          <w:highlight w:val="none"/>
        </w:rPr>
        <w:t xml:space="preserve">残疾人福利性单位声明函</w:t>
      </w:r>
      <w:bookmarkEnd w:id="198"/>
      <w:r/>
      <w:bookmarkEnd w:id="199"/>
      <w:r/>
      <w:r/>
    </w:p>
    <w:p>
      <w:pPr>
        <w:ind w:firstLine="420"/>
        <w:jc w:val="left"/>
        <w:spacing w:line="440" w:lineRule="exact"/>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本单位对上述声明的真实性负责。如有虚假，将依法承担相应责任。</w:t>
      </w:r>
      <w:r/>
    </w:p>
    <w:p>
      <w:pPr>
        <w:ind w:firstLine="5040"/>
        <w:jc w:val="left"/>
        <w:spacing w:line="440" w:lineRule="exact"/>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单位名称：（加盖电子公章）</w:t>
      </w:r>
      <w:r/>
    </w:p>
    <w:p>
      <w:pPr>
        <w:ind w:firstLine="5040"/>
        <w:jc w:val="left"/>
        <w:spacing w:line="440" w:lineRule="exact"/>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日  期：</w:t>
      </w:r>
      <w:r/>
    </w:p>
    <w:p>
      <w:pPr>
        <w:spacing w:line="360" w:lineRule="auto"/>
        <w:rPr>
          <w:rFonts w:hint="eastAsia"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r>
      <w:r/>
    </w:p>
    <w:p>
      <w:pPr>
        <w:jc w:val="center"/>
        <w:spacing w:line="360" w:lineRule="auto"/>
        <w:rPr>
          <w:rFonts w:hint="eastAsia" w:asciiTheme="minorEastAsia" w:hAnsiTheme="minorEastAsia" w:eastAsiaTheme="minorEastAsia"/>
          <w:b/>
          <w:bCs/>
          <w:color w:val="auto"/>
          <w:sz w:val="28"/>
          <w:highlight w:val="none"/>
        </w:rPr>
      </w:pPr>
      <w:r>
        <w:rPr>
          <w:rFonts w:hint="eastAsia" w:asciiTheme="minorEastAsia" w:hAnsiTheme="minorEastAsia" w:eastAsiaTheme="minorEastAsia"/>
          <w:b/>
          <w:bCs/>
          <w:color w:val="auto"/>
          <w:sz w:val="28"/>
          <w:highlight w:val="none"/>
        </w:rPr>
        <w:t xml:space="preserve">属于监狱企业的证明文件</w:t>
      </w:r>
      <w:r/>
    </w:p>
    <w:p>
      <w:pPr>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提供</w:t>
      </w:r>
      <w:r>
        <w:rPr>
          <w:rFonts w:hint="eastAsia" w:asciiTheme="minorEastAsia" w:hAnsiTheme="minorEastAsia" w:eastAsiaTheme="minorEastAsia"/>
          <w:color w:val="auto"/>
          <w:highlight w:val="none"/>
        </w:rPr>
        <w:t xml:space="preserve">由省级以上监狱管理局、戒毒管理局(含新疆生产建设兵团)出具的属于监狱企业的证明文件）</w:t>
      </w:r>
      <w:r/>
    </w:p>
    <w:p>
      <w:pPr>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jc w:val="center"/>
        <w:spacing w:line="360" w:lineRule="auto"/>
        <w:rPr>
          <w:rFonts w:hint="eastAsia" w:cs="宋体" w:asciiTheme="minorEastAsia" w:hAnsiTheme="minorEastAsia" w:eastAsiaTheme="minorEastAsia"/>
          <w:b/>
          <w:bCs/>
          <w:color w:val="auto"/>
          <w:sz w:val="28"/>
          <w:szCs w:val="28"/>
          <w:highlight w:val="none"/>
          <w:lang w:val="zh-CN"/>
        </w:rPr>
      </w:pPr>
      <w:r>
        <w:rPr>
          <w:rFonts w:hint="eastAsia" w:cs="宋体" w:asciiTheme="minorEastAsia" w:hAnsiTheme="minorEastAsia" w:eastAsiaTheme="minorEastAsia"/>
          <w:b/>
          <w:bCs/>
          <w:color w:val="auto"/>
          <w:sz w:val="28"/>
          <w:szCs w:val="28"/>
          <w:highlight w:val="none"/>
          <w:lang w:val="zh-CN"/>
        </w:rPr>
        <w:t xml:space="preserve">节能产品认证证书</w:t>
      </w:r>
      <w:r/>
    </w:p>
    <w:p>
      <w:pPr>
        <w:jc w:val="center"/>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（提供国家确定的认证机构出具的、处于有效期之内的产品认证证书）</w:t>
      </w:r>
      <w:r/>
    </w:p>
    <w:p>
      <w:pPr>
        <w:spacing w:line="360" w:lineRule="auto"/>
        <w:rPr>
          <w:rFonts w:hint="eastAsia" w:cs="宋体" w:asciiTheme="minorEastAsia" w:hAnsiTheme="minorEastAsia" w:eastAsiaTheme="minorEastAsia"/>
          <w:b/>
          <w:bCs/>
          <w:color w:val="auto"/>
          <w:szCs w:val="21"/>
          <w:highlight w:val="none"/>
          <w:lang w:val="zh-CN"/>
        </w:rPr>
      </w:pPr>
      <w:r>
        <w:rPr>
          <w:rFonts w:hint="eastAsia" w:cs="宋体" w:asciiTheme="minorEastAsia" w:hAnsiTheme="minorEastAsia" w:eastAsiaTheme="minorEastAsia"/>
          <w:b/>
          <w:bCs/>
          <w:color w:val="auto"/>
          <w:szCs w:val="21"/>
          <w:highlight w:val="none"/>
          <w:lang w:val="zh-CN"/>
        </w:rPr>
      </w:r>
      <w:r/>
    </w:p>
    <w:p>
      <w:pPr>
        <w:spacing w:line="360" w:lineRule="auto"/>
        <w:rPr>
          <w:rFonts w:hint="eastAsia" w:cs="宋体" w:asciiTheme="minorEastAsia" w:hAnsiTheme="minorEastAsia" w:eastAsiaTheme="minorEastAsia"/>
          <w:b/>
          <w:bCs/>
          <w:color w:val="auto"/>
          <w:szCs w:val="21"/>
          <w:highlight w:val="none"/>
          <w:lang w:val="zh-CN"/>
        </w:rPr>
      </w:pPr>
      <w:r>
        <w:rPr>
          <w:rFonts w:hint="eastAsia" w:cs="宋体" w:asciiTheme="minorEastAsia" w:hAnsiTheme="minorEastAsia" w:eastAsiaTheme="minorEastAsia"/>
          <w:b/>
          <w:bCs/>
          <w:color w:val="auto"/>
          <w:szCs w:val="21"/>
          <w:highlight w:val="none"/>
          <w:lang w:val="zh-CN"/>
        </w:rPr>
      </w:r>
      <w:r/>
    </w:p>
    <w:p>
      <w:pPr>
        <w:spacing w:line="360" w:lineRule="auto"/>
        <w:rPr>
          <w:rFonts w:hint="eastAsia" w:cs="宋体" w:asciiTheme="minorEastAsia" w:hAnsiTheme="minorEastAsia" w:eastAsiaTheme="minorEastAsia"/>
          <w:b/>
          <w:bCs/>
          <w:color w:val="auto"/>
          <w:szCs w:val="21"/>
          <w:highlight w:val="none"/>
          <w:lang w:val="zh-CN"/>
        </w:rPr>
      </w:pPr>
      <w:r>
        <w:rPr>
          <w:rFonts w:hint="eastAsia" w:cs="宋体" w:asciiTheme="minorEastAsia" w:hAnsiTheme="minorEastAsia" w:eastAsiaTheme="minorEastAsia"/>
          <w:b/>
          <w:bCs/>
          <w:color w:val="auto"/>
          <w:szCs w:val="21"/>
          <w:highlight w:val="none"/>
          <w:lang w:val="zh-CN"/>
        </w:rPr>
      </w:r>
      <w:r/>
    </w:p>
    <w:p>
      <w:pPr>
        <w:spacing w:line="360" w:lineRule="auto"/>
        <w:rPr>
          <w:rFonts w:hint="eastAsia" w:cs="宋体" w:asciiTheme="minorEastAsia" w:hAnsiTheme="minorEastAsia" w:eastAsiaTheme="minorEastAsia"/>
          <w:b/>
          <w:bCs/>
          <w:color w:val="auto"/>
          <w:szCs w:val="21"/>
          <w:highlight w:val="none"/>
          <w:lang w:val="zh-CN"/>
        </w:rPr>
      </w:pPr>
      <w:r>
        <w:rPr>
          <w:rFonts w:hint="eastAsia" w:cs="宋体" w:asciiTheme="minorEastAsia" w:hAnsiTheme="minorEastAsia" w:eastAsiaTheme="minorEastAsia"/>
          <w:b/>
          <w:bCs/>
          <w:color w:val="auto"/>
          <w:szCs w:val="21"/>
          <w:highlight w:val="none"/>
          <w:lang w:val="zh-CN"/>
        </w:rPr>
      </w:r>
      <w:r/>
    </w:p>
    <w:p>
      <w:pPr>
        <w:jc w:val="center"/>
        <w:spacing w:line="360" w:lineRule="auto"/>
        <w:rPr>
          <w:rFonts w:hint="eastAsia" w:cs="宋体" w:asciiTheme="minorEastAsia" w:hAnsiTheme="minorEastAsia" w:eastAsiaTheme="minorEastAsia"/>
          <w:b/>
          <w:bCs/>
          <w:color w:val="auto"/>
          <w:sz w:val="28"/>
          <w:szCs w:val="28"/>
          <w:highlight w:val="none"/>
          <w:lang w:val="zh-CN"/>
        </w:rPr>
      </w:pPr>
      <w:r>
        <w:rPr>
          <w:rFonts w:hint="eastAsia" w:cs="宋体" w:asciiTheme="minorEastAsia" w:hAnsiTheme="minorEastAsia" w:eastAsiaTheme="minorEastAsia"/>
          <w:b/>
          <w:bCs/>
          <w:color w:val="auto"/>
          <w:sz w:val="28"/>
          <w:szCs w:val="28"/>
          <w:highlight w:val="none"/>
          <w:lang w:val="zh-CN"/>
        </w:rPr>
        <w:t xml:space="preserve">环境标志产品认证证书</w:t>
      </w:r>
      <w:r/>
    </w:p>
    <w:p>
      <w:pPr>
        <w:jc w:val="center"/>
        <w:spacing w:line="360" w:lineRule="auto"/>
        <w:rPr>
          <w:rFonts w:hint="eastAsia" w:asciiTheme="minorEastAsia" w:hAnsiTheme="minorEastAsia" w:eastAsiaTheme="minorEastAsia"/>
          <w:b/>
          <w:bCs/>
          <w:color w:val="auto"/>
          <w:highlight w:val="none"/>
        </w:rPr>
      </w:pPr>
      <w:r>
        <w:rPr>
          <w:rFonts w:hint="eastAsia" w:cs="宋体" w:asciiTheme="minorEastAsia" w:hAnsiTheme="minorEastAsia" w:eastAsiaTheme="minorEastAsia"/>
          <w:color w:val="auto"/>
          <w:szCs w:val="21"/>
          <w:highlight w:val="none"/>
          <w:lang w:val="zh-CN"/>
        </w:rPr>
        <w:t xml:space="preserve">（提供国家确定的认证机构出具的、处于有效期之内的产品认证证书）</w:t>
      </w:r>
      <w:r/>
    </w:p>
    <w:p>
      <w:pPr>
        <w:jc w:val="center"/>
        <w:spacing w:line="360" w:lineRule="auto"/>
        <w:rPr>
          <w:rFonts w:hint="eastAsia"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r>
      <w:r/>
    </w:p>
    <w:p>
      <w:pPr>
        <w:jc w:val="center"/>
        <w:spacing w:line="360" w:lineRule="auto"/>
        <w:rPr>
          <w:rFonts w:hint="eastAsia"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r>
      <w:r/>
    </w:p>
    <w:p>
      <w:pPr>
        <w:jc w:val="both"/>
        <w:spacing w:line="360" w:lineRule="auto"/>
        <w:rPr>
          <w:rFonts w:hint="eastAsia"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r>
      <w:r/>
    </w:p>
    <w:p>
      <w:pPr>
        <w:jc w:val="center"/>
        <w:spacing w:line="360" w:lineRule="auto"/>
        <w:rPr>
          <w:rFonts w:hint="eastAsia"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r>
      <w:r/>
    </w:p>
    <w:p>
      <w:pPr>
        <w:jc w:val="center"/>
        <w:spacing w:line="360" w:lineRule="auto"/>
        <w:rPr>
          <w:rFonts w:hint="eastAsia" w:asciiTheme="minorEastAsia" w:hAnsiTheme="minorEastAsia" w:eastAsiaTheme="minorEastAsia"/>
          <w:b/>
          <w:bCs/>
          <w:color w:val="auto"/>
          <w:sz w:val="28"/>
          <w:highlight w:val="none"/>
        </w:rPr>
      </w:pPr>
      <w:r>
        <w:rPr>
          <w:rFonts w:hint="eastAsia" w:asciiTheme="minorEastAsia" w:hAnsiTheme="minorEastAsia" w:eastAsiaTheme="minorEastAsia"/>
          <w:b/>
          <w:bCs/>
          <w:color w:val="auto"/>
          <w:sz w:val="28"/>
          <w:highlight w:val="none"/>
        </w:rPr>
        <w:t xml:space="preserve">进口产品转让技术、消化吸收再创新方案</w:t>
      </w:r>
      <w:r/>
    </w:p>
    <w:p>
      <w:pPr>
        <w:jc w:val="center"/>
        <w:spacing w:line="360" w:lineRule="auto"/>
        <w:rPr>
          <w:rFonts w:hint="eastAsia" w:asciiTheme="minorEastAsia" w:hAnsiTheme="minorEastAsia" w:eastAsiaTheme="minorEastAsia"/>
          <w:bCs/>
          <w:color w:val="auto"/>
          <w:highlight w:val="none"/>
        </w:rPr>
      </w:pPr>
      <w:r>
        <w:rPr>
          <w:rFonts w:hint="eastAsia" w:asciiTheme="minorEastAsia" w:hAnsiTheme="minorEastAsia" w:eastAsiaTheme="minorEastAsia"/>
          <w:bCs/>
          <w:color w:val="auto"/>
          <w:highlight w:val="none"/>
        </w:rPr>
        <w:t xml:space="preserve">（对于允许进口产品参加的项目）</w:t>
      </w:r>
      <w:r/>
    </w:p>
    <w:p>
      <w:pPr>
        <w:jc w:val="center"/>
        <w:spacing w:line="360" w:lineRule="auto"/>
        <w:rPr>
          <w:rFonts w:hint="eastAsia" w:asciiTheme="minorEastAsia" w:hAnsiTheme="minorEastAsia" w:eastAsiaTheme="minorEastAsia"/>
          <w:bCs/>
          <w:color w:val="auto"/>
          <w:highlight w:val="none"/>
        </w:rPr>
      </w:pPr>
      <w:r>
        <w:rPr>
          <w:rFonts w:hint="eastAsia" w:asciiTheme="minorEastAsia" w:hAnsiTheme="minorEastAsia" w:eastAsiaTheme="minorEastAsia"/>
          <w:bCs/>
          <w:color w:val="auto"/>
          <w:highlight w:val="none"/>
        </w:rPr>
      </w:r>
      <w:r/>
    </w:p>
    <w:p>
      <w:pPr>
        <w:rPr>
          <w:rFonts w:hint="eastAsia" w:asciiTheme="minorEastAsia" w:hAnsiTheme="minorEastAsia" w:eastAsiaTheme="minorEastAsia"/>
          <w:b/>
          <w:bCs/>
          <w:color w:val="auto"/>
          <w:sz w:val="28"/>
          <w:szCs w:val="24"/>
          <w:highlight w:val="none"/>
          <w:lang w:val="en-US"/>
        </w:rPr>
      </w:pPr>
      <w:r>
        <w:rPr>
          <w:rFonts w:hint="eastAsia" w:asciiTheme="minorEastAsia" w:hAnsiTheme="minorEastAsia" w:eastAsiaTheme="minorEastAsia"/>
          <w:b/>
          <w:bCs/>
          <w:color w:val="auto"/>
          <w:sz w:val="28"/>
          <w:szCs w:val="24"/>
          <w:highlight w:val="none"/>
          <w:lang w:val="en-US"/>
        </w:rPr>
        <w:br w:type="page" w:clear="all"/>
      </w:r>
      <w:r/>
    </w:p>
    <w:p>
      <w:pPr>
        <w:jc w:val="center"/>
        <w:spacing w:line="360" w:lineRule="auto"/>
        <w:rPr>
          <w:rFonts w:hint="eastAsia" w:asciiTheme="minorEastAsia" w:hAnsiTheme="minorEastAsia" w:eastAsiaTheme="minorEastAsia"/>
          <w:b/>
          <w:bCs/>
          <w:color w:val="auto"/>
          <w:sz w:val="28"/>
          <w:szCs w:val="24"/>
          <w:highlight w:val="none"/>
          <w:lang w:val="en-US"/>
        </w:rPr>
      </w:pPr>
      <w:r>
        <w:rPr>
          <w:rFonts w:hint="eastAsia" w:asciiTheme="minorEastAsia" w:hAnsiTheme="minorEastAsia" w:eastAsiaTheme="minorEastAsia"/>
          <w:b/>
          <w:bCs/>
          <w:color w:val="auto"/>
          <w:sz w:val="28"/>
          <w:szCs w:val="24"/>
          <w:highlight w:val="none"/>
          <w:lang w:val="en-US"/>
        </w:rPr>
        <w:t xml:space="preserve">关于符合本国产品标准的声明函</w:t>
      </w:r>
      <w:r/>
    </w:p>
    <w:p>
      <w:pPr>
        <w:pStyle w:val="928"/>
        <w:ind w:firstLine="420"/>
        <w:spacing w:beforeAutospacing="0" w:afterAutospacing="0"/>
        <w:shd w:val="clear" w:color="auto" w:fill="ffffff"/>
        <w:rPr>
          <w:rFonts w:hint="eastAsia" w:cs="Times New Roman" w:asciiTheme="minorEastAsia" w:hAnsiTheme="minorEastAsia" w:eastAsiaTheme="minorEastAsia"/>
          <w:bCs/>
          <w:color w:val="auto"/>
          <w:sz w:val="21"/>
          <w:highlight w:val="none"/>
        </w:rPr>
      </w:pPr>
      <w:r/>
      <w:bookmarkStart w:id="204" w:name="OLE_LINK64"/>
      <w:r>
        <w:rPr>
          <w:rFonts w:hint="eastAsia" w:cs="Times New Roman" w:asciiTheme="minorEastAsia" w:hAnsiTheme="minorEastAsia" w:eastAsiaTheme="minorEastAsia"/>
          <w:bCs/>
          <w:color w:val="auto"/>
          <w:sz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8"/>
        <w:ind w:firstLine="420"/>
        <w:spacing w:before="24" w:beforeAutospacing="0" w:after="24" w:afterAutospacing="0" w:line="360" w:lineRule="auto"/>
        <w:shd w:val="clear" w:color="auto" w:fill="ffffff"/>
        <w:rPr>
          <w:rFonts w:hint="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color w:val="auto"/>
          <w:sz w:val="21"/>
          <w:szCs w:val="21"/>
          <w:highlight w:val="none"/>
          <w:shd w:val="clear" w:color="auto" w:fill="ffffff"/>
        </w:rPr>
        <w:t xml:space="preserve">1.</w:t>
      </w:r>
      <w:r>
        <w:rPr>
          <w:rStyle w:val="937"/>
          <w:rFonts w:hint="eastAsia"/>
          <w:color w:val="auto"/>
          <w:sz w:val="21"/>
          <w:szCs w:val="21"/>
          <w:highlight w:val="none"/>
          <w:u w:val="single"/>
          <w:shd w:val="clear" w:color="auto" w:fill="ffffff"/>
        </w:rPr>
        <w:t xml:space="preserve">（产品名称1）</w:t>
      </w:r>
      <w:r>
        <w:rPr>
          <w:rStyle w:val="937"/>
          <w:rFonts w:hint="eastAsia"/>
          <w:color w:val="auto"/>
          <w:sz w:val="21"/>
          <w:szCs w:val="21"/>
          <w:highlight w:val="none"/>
          <w:shd w:val="clear" w:color="auto" w:fill="ffffff"/>
          <w:vertAlign w:val="superscript"/>
        </w:rPr>
        <w:t xml:space="preserve">1</w:t>
      </w:r>
      <w:r>
        <w:rPr>
          <w:rFonts w:hint="eastAsia"/>
          <w:color w:val="auto"/>
          <w:sz w:val="21"/>
          <w:szCs w:val="21"/>
          <w:highlight w:val="none"/>
          <w:shd w:val="clear" w:color="auto" w:fill="ffffff"/>
        </w:rPr>
        <w:t xml:space="preserve">，</w:t>
      </w:r>
      <w:r>
        <w:rPr>
          <w:rFonts w:hint="eastAsia"/>
          <w:color w:val="auto"/>
          <w:sz w:val="21"/>
          <w:szCs w:val="21"/>
          <w:highlight w:val="none"/>
          <w:u w:val="single"/>
          <w:shd w:val="clear" w:color="auto" w:fill="ffffff"/>
        </w:rPr>
        <w:t xml:space="preserve">生产厂为</w:t>
      </w:r>
      <w:r>
        <w:rPr>
          <w:rStyle w:val="937"/>
          <w:rFonts w:hint="eastAsia"/>
          <w:color w:val="auto"/>
          <w:sz w:val="21"/>
          <w:szCs w:val="21"/>
          <w:highlight w:val="none"/>
          <w:u w:val="single"/>
          <w:shd w:val="clear" w:color="auto" w:fill="ffffff"/>
        </w:rPr>
        <w:t xml:space="preserve">（厂名）</w:t>
      </w:r>
      <w:r>
        <w:rPr>
          <w:rStyle w:val="937"/>
          <w:rFonts w:hint="eastAsia"/>
          <w:color w:val="auto"/>
          <w:sz w:val="21"/>
          <w:szCs w:val="21"/>
          <w:highlight w:val="none"/>
          <w:shd w:val="clear" w:color="auto" w:fill="ffffff"/>
          <w:vertAlign w:val="superscript"/>
        </w:rPr>
        <w:t xml:space="preserve">2</w:t>
      </w:r>
      <w:r>
        <w:rPr>
          <w:rFonts w:hint="eastAsia"/>
          <w:color w:val="auto"/>
          <w:sz w:val="21"/>
          <w:szCs w:val="21"/>
          <w:highlight w:val="none"/>
          <w:shd w:val="clear" w:color="auto" w:fill="ffffff"/>
        </w:rPr>
        <w:t xml:space="preserve">，厂址为</w:t>
      </w:r>
      <w:r>
        <w:rPr>
          <w:rStyle w:val="937"/>
          <w:rFonts w:hint="eastAsia"/>
          <w:color w:val="auto"/>
          <w:sz w:val="21"/>
          <w:szCs w:val="21"/>
          <w:highlight w:val="none"/>
          <w:u w:val="single"/>
          <w:shd w:val="clear" w:color="auto" w:fill="ffffff"/>
        </w:rPr>
        <w:t xml:space="preserve">（生产厂址）</w:t>
      </w:r>
      <w:r>
        <w:rPr>
          <w:rFonts w:hint="eastAsia"/>
          <w:color w:val="auto"/>
          <w:sz w:val="21"/>
          <w:szCs w:val="21"/>
          <w:highlight w:val="none"/>
          <w:shd w:val="clear" w:color="auto" w:fill="ffffff"/>
        </w:rPr>
        <w:t xml:space="preserve">。</w:t>
      </w:r>
      <w:r>
        <w:rPr>
          <w:rStyle w:val="937"/>
          <w:rFonts w:hint="eastAsia"/>
          <w:strike/>
          <w:color w:val="auto"/>
          <w:sz w:val="21"/>
          <w:szCs w:val="21"/>
          <w:highlight w:val="none"/>
          <w:u w:val="single"/>
          <w:shd w:val="clear" w:color="auto" w:fill="ffffff"/>
        </w:rPr>
        <w:t xml:space="preserve">（产品名称1）</w:t>
      </w:r>
      <w:r>
        <w:rPr>
          <w:rFonts w:hint="eastAsia"/>
          <w:strike/>
          <w:color w:val="auto"/>
          <w:sz w:val="21"/>
          <w:szCs w:val="21"/>
          <w:highlight w:val="none"/>
          <w:shd w:val="clear" w:color="auto" w:fill="ffffff"/>
        </w:rPr>
        <w:t xml:space="preserve">的中国境内生产的组件成本占比≥</w:t>
      </w:r>
      <w:r>
        <w:rPr>
          <w:rStyle w:val="937"/>
          <w:rFonts w:hint="eastAsia"/>
          <w:strike/>
          <w:color w:val="auto"/>
          <w:sz w:val="21"/>
          <w:szCs w:val="21"/>
          <w:highlight w:val="none"/>
          <w:u w:val="single"/>
          <w:shd w:val="clear" w:color="auto" w:fill="ffffff"/>
        </w:rPr>
        <w:t xml:space="preserve">（规定比例）</w:t>
      </w:r>
      <w:r>
        <w:rPr>
          <w:rStyle w:val="937"/>
          <w:rFonts w:hint="eastAsia"/>
          <w:color w:val="auto"/>
          <w:sz w:val="21"/>
          <w:szCs w:val="21"/>
          <w:highlight w:val="none"/>
          <w:shd w:val="clear" w:color="auto" w:fill="ffffff"/>
          <w:vertAlign w:val="superscript"/>
        </w:rPr>
        <w:t xml:space="preserve">3</w:t>
      </w:r>
      <w:r>
        <w:rPr>
          <w:rFonts w:hint="eastAsia"/>
          <w:strike/>
          <w:color w:val="auto"/>
          <w:sz w:val="21"/>
          <w:szCs w:val="21"/>
          <w:highlight w:val="none"/>
          <w:shd w:val="clear" w:color="auto" w:fill="ffffff"/>
        </w:rPr>
        <w:t xml:space="preserve">。</w:t>
      </w:r>
      <w:r>
        <w:rPr>
          <w:rStyle w:val="937"/>
          <w:rFonts w:hint="eastAsia"/>
          <w:strike/>
          <w:color w:val="auto"/>
          <w:sz w:val="21"/>
          <w:szCs w:val="21"/>
          <w:highlight w:val="none"/>
          <w:u w:val="single"/>
          <w:shd w:val="clear" w:color="auto" w:fill="ffffff"/>
        </w:rPr>
        <w:t xml:space="preserve">（产品名称1）</w:t>
      </w:r>
      <w:r>
        <w:rPr>
          <w:rFonts w:hint="eastAsia"/>
          <w:strike/>
          <w:color w:val="auto"/>
          <w:sz w:val="21"/>
          <w:szCs w:val="21"/>
          <w:highlight w:val="none"/>
          <w:shd w:val="clear" w:color="auto" w:fill="ffffff"/>
        </w:rPr>
        <w:t xml:space="preserve">的</w:t>
      </w:r>
      <w:r>
        <w:rPr>
          <w:rStyle w:val="937"/>
          <w:rFonts w:hint="eastAsia"/>
          <w:strike/>
          <w:color w:val="auto"/>
          <w:sz w:val="21"/>
          <w:szCs w:val="21"/>
          <w:highlight w:val="none"/>
          <w:u w:val="single"/>
          <w:shd w:val="clear" w:color="auto" w:fill="ffffff"/>
        </w:rPr>
        <w:t xml:space="preserve">（关键组件）</w:t>
      </w:r>
      <w:r>
        <w:rPr>
          <w:rStyle w:val="937"/>
          <w:rFonts w:hint="eastAsia"/>
          <w:color w:val="auto"/>
          <w:sz w:val="21"/>
          <w:szCs w:val="21"/>
          <w:highlight w:val="none"/>
          <w:shd w:val="clear" w:color="auto" w:fill="ffffff"/>
          <w:vertAlign w:val="superscript"/>
        </w:rPr>
        <w:t xml:space="preserve">4</w:t>
      </w:r>
      <w:r>
        <w:rPr>
          <w:rFonts w:hint="eastAsia"/>
          <w:strike/>
          <w:color w:val="auto"/>
          <w:sz w:val="21"/>
          <w:szCs w:val="21"/>
          <w:highlight w:val="none"/>
          <w:shd w:val="clear" w:color="auto" w:fill="ffffff"/>
        </w:rPr>
        <w:t xml:space="preserve">在中国境内生产。</w:t>
      </w:r>
      <w:r>
        <w:rPr>
          <w:rStyle w:val="937"/>
          <w:rFonts w:hint="eastAsia"/>
          <w:strike/>
          <w:color w:val="auto"/>
          <w:sz w:val="21"/>
          <w:szCs w:val="21"/>
          <w:highlight w:val="none"/>
          <w:u w:val="single"/>
          <w:shd w:val="clear" w:color="auto" w:fill="ffffff"/>
        </w:rPr>
        <w:t xml:space="preserve">（产品名称1）</w:t>
      </w:r>
      <w:r>
        <w:rPr>
          <w:rFonts w:hint="eastAsia"/>
          <w:strike/>
          <w:color w:val="auto"/>
          <w:sz w:val="21"/>
          <w:szCs w:val="21"/>
          <w:highlight w:val="none"/>
          <w:shd w:val="clear" w:color="auto" w:fill="ffffff"/>
        </w:rPr>
        <w:t xml:space="preserve">的</w:t>
      </w:r>
      <w:r>
        <w:rPr>
          <w:rStyle w:val="937"/>
          <w:rFonts w:hint="eastAsia"/>
          <w:strike/>
          <w:color w:val="auto"/>
          <w:sz w:val="21"/>
          <w:szCs w:val="21"/>
          <w:highlight w:val="none"/>
          <w:u w:val="single"/>
          <w:shd w:val="clear" w:color="auto" w:fill="ffffff"/>
        </w:rPr>
        <w:t xml:space="preserve">（关键工序）</w:t>
      </w:r>
      <w:r>
        <w:rPr>
          <w:rStyle w:val="937"/>
          <w:rFonts w:hint="eastAsia"/>
          <w:color w:val="auto"/>
          <w:sz w:val="21"/>
          <w:szCs w:val="21"/>
          <w:highlight w:val="none"/>
          <w:shd w:val="clear" w:color="auto" w:fill="ffffff"/>
          <w:vertAlign w:val="superscript"/>
        </w:rPr>
        <w:t xml:space="preserve">5</w:t>
      </w:r>
      <w:r>
        <w:rPr>
          <w:rFonts w:hint="eastAsia"/>
          <w:strike/>
          <w:color w:val="auto"/>
          <w:sz w:val="21"/>
          <w:szCs w:val="21"/>
          <w:highlight w:val="none"/>
          <w:shd w:val="clear" w:color="auto" w:fill="ffffff"/>
        </w:rPr>
        <w:t xml:space="preserve">在中国境内完成。</w:t>
      </w:r>
      <w:r/>
    </w:p>
    <w:p>
      <w:pPr>
        <w:pStyle w:val="928"/>
        <w:ind w:firstLine="420"/>
        <w:spacing w:before="24" w:beforeAutospacing="0" w:after="24" w:afterAutospacing="0" w:line="360" w:lineRule="auto"/>
        <w:shd w:val="clear" w:color="auto" w:fill="ffffff"/>
        <w:rPr>
          <w:rFonts w:hint="eastAsia"/>
          <w:strike/>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color w:val="auto"/>
          <w:sz w:val="21"/>
          <w:szCs w:val="21"/>
          <w:highlight w:val="none"/>
          <w:shd w:val="clear" w:color="auto" w:fill="ffffff"/>
        </w:rPr>
        <w:t xml:space="preserve">2.</w:t>
      </w:r>
      <w:r>
        <w:rPr>
          <w:rStyle w:val="937"/>
          <w:rFonts w:hint="eastAsia"/>
          <w:color w:val="auto"/>
          <w:sz w:val="21"/>
          <w:szCs w:val="21"/>
          <w:highlight w:val="none"/>
          <w:u w:val="single"/>
          <w:shd w:val="clear" w:color="auto" w:fill="ffffff"/>
        </w:rPr>
        <w:t xml:space="preserve">（产品名称2）</w:t>
      </w:r>
      <w:r>
        <w:rPr>
          <w:rFonts w:hint="eastAsia"/>
          <w:color w:val="auto"/>
          <w:sz w:val="21"/>
          <w:szCs w:val="21"/>
          <w:highlight w:val="none"/>
          <w:shd w:val="clear" w:color="auto" w:fill="ffffff"/>
        </w:rPr>
        <w:t xml:space="preserve">，生产厂为</w:t>
      </w:r>
      <w:r>
        <w:rPr>
          <w:rStyle w:val="937"/>
          <w:rFonts w:hint="eastAsia"/>
          <w:color w:val="auto"/>
          <w:sz w:val="21"/>
          <w:szCs w:val="21"/>
          <w:highlight w:val="none"/>
          <w:u w:val="single"/>
          <w:shd w:val="clear" w:color="auto" w:fill="ffffff"/>
        </w:rPr>
        <w:t xml:space="preserve">（厂名）</w:t>
      </w:r>
      <w:r>
        <w:rPr>
          <w:rFonts w:hint="eastAsia"/>
          <w:color w:val="auto"/>
          <w:sz w:val="21"/>
          <w:szCs w:val="21"/>
          <w:highlight w:val="none"/>
          <w:shd w:val="clear" w:color="auto" w:fill="ffffff"/>
        </w:rPr>
        <w:t xml:space="preserve">，厂址为</w:t>
      </w:r>
      <w:r>
        <w:rPr>
          <w:rStyle w:val="937"/>
          <w:rFonts w:hint="eastAsia"/>
          <w:color w:val="auto"/>
          <w:sz w:val="21"/>
          <w:szCs w:val="21"/>
          <w:highlight w:val="none"/>
          <w:u w:val="single"/>
          <w:shd w:val="clear" w:color="auto" w:fill="ffffff"/>
        </w:rPr>
        <w:t xml:space="preserve">（生产厂址）</w:t>
      </w:r>
      <w:r>
        <w:rPr>
          <w:rFonts w:hint="eastAsia"/>
          <w:color w:val="auto"/>
          <w:sz w:val="21"/>
          <w:szCs w:val="21"/>
          <w:highlight w:val="none"/>
          <w:shd w:val="clear" w:color="auto" w:fill="ffffff"/>
        </w:rPr>
        <w:t xml:space="preserve">。</w:t>
      </w:r>
      <w:r>
        <w:rPr>
          <w:rStyle w:val="937"/>
          <w:rFonts w:hint="eastAsia"/>
          <w:strike/>
          <w:color w:val="auto"/>
          <w:sz w:val="21"/>
          <w:szCs w:val="21"/>
          <w:highlight w:val="none"/>
          <w:u w:val="single"/>
          <w:shd w:val="clear" w:color="auto" w:fill="ffffff"/>
        </w:rPr>
        <w:t xml:space="preserve">（产品名称2）</w:t>
      </w:r>
      <w:r>
        <w:rPr>
          <w:rFonts w:hint="eastAsia"/>
          <w:strike/>
          <w:color w:val="auto"/>
          <w:sz w:val="21"/>
          <w:szCs w:val="21"/>
          <w:highlight w:val="none"/>
          <w:shd w:val="clear" w:color="auto" w:fill="ffffff"/>
        </w:rPr>
        <w:t xml:space="preserve">的中国境内生产的组件成本占比≥</w:t>
      </w:r>
      <w:r>
        <w:rPr>
          <w:rStyle w:val="937"/>
          <w:rFonts w:hint="eastAsia"/>
          <w:strike/>
          <w:color w:val="auto"/>
          <w:sz w:val="21"/>
          <w:szCs w:val="21"/>
          <w:highlight w:val="none"/>
          <w:u w:val="single"/>
          <w:shd w:val="clear" w:color="auto" w:fill="ffffff"/>
        </w:rPr>
        <w:t xml:space="preserve">（规定比例）</w:t>
      </w:r>
      <w:r>
        <w:rPr>
          <w:rFonts w:hint="eastAsia"/>
          <w:strike/>
          <w:color w:val="auto"/>
          <w:sz w:val="21"/>
          <w:szCs w:val="21"/>
          <w:highlight w:val="none"/>
          <w:shd w:val="clear" w:color="auto" w:fill="ffffff"/>
        </w:rPr>
        <w:t xml:space="preserve">。</w:t>
      </w:r>
      <w:r>
        <w:rPr>
          <w:rStyle w:val="937"/>
          <w:rFonts w:hint="eastAsia"/>
          <w:strike/>
          <w:color w:val="auto"/>
          <w:sz w:val="21"/>
          <w:szCs w:val="21"/>
          <w:highlight w:val="none"/>
          <w:u w:val="single"/>
          <w:shd w:val="clear" w:color="auto" w:fill="ffffff"/>
        </w:rPr>
        <w:t xml:space="preserve">（产品名称2）</w:t>
      </w:r>
      <w:r>
        <w:rPr>
          <w:rFonts w:hint="eastAsia"/>
          <w:strike/>
          <w:color w:val="auto"/>
          <w:sz w:val="21"/>
          <w:szCs w:val="21"/>
          <w:highlight w:val="none"/>
          <w:shd w:val="clear" w:color="auto" w:fill="ffffff"/>
        </w:rPr>
        <w:t xml:space="preserve">的</w:t>
      </w:r>
      <w:r>
        <w:rPr>
          <w:rStyle w:val="937"/>
          <w:rFonts w:hint="eastAsia"/>
          <w:strike/>
          <w:color w:val="auto"/>
          <w:sz w:val="21"/>
          <w:szCs w:val="21"/>
          <w:highlight w:val="none"/>
          <w:u w:val="single"/>
          <w:shd w:val="clear" w:color="auto" w:fill="ffffff"/>
        </w:rPr>
        <w:t xml:space="preserve">（关键组件）</w:t>
      </w:r>
      <w:r>
        <w:rPr>
          <w:rFonts w:hint="eastAsia"/>
          <w:strike/>
          <w:color w:val="auto"/>
          <w:sz w:val="21"/>
          <w:szCs w:val="21"/>
          <w:highlight w:val="none"/>
          <w:shd w:val="clear" w:color="auto" w:fill="ffffff"/>
        </w:rPr>
        <w:t xml:space="preserve">在中国境内生产。</w:t>
      </w:r>
      <w:r>
        <w:rPr>
          <w:rStyle w:val="937"/>
          <w:rFonts w:hint="eastAsia"/>
          <w:strike/>
          <w:color w:val="auto"/>
          <w:sz w:val="21"/>
          <w:szCs w:val="21"/>
          <w:highlight w:val="none"/>
          <w:u w:val="single"/>
          <w:shd w:val="clear" w:color="auto" w:fill="ffffff"/>
        </w:rPr>
        <w:t xml:space="preserve">（产品名称2）</w:t>
      </w:r>
      <w:r>
        <w:rPr>
          <w:rFonts w:hint="eastAsia"/>
          <w:strike/>
          <w:color w:val="auto"/>
          <w:sz w:val="21"/>
          <w:szCs w:val="21"/>
          <w:highlight w:val="none"/>
          <w:shd w:val="clear" w:color="auto" w:fill="ffffff"/>
        </w:rPr>
        <w:t xml:space="preserve">的</w:t>
      </w:r>
      <w:r>
        <w:rPr>
          <w:rStyle w:val="937"/>
          <w:rFonts w:hint="eastAsia"/>
          <w:strike/>
          <w:color w:val="auto"/>
          <w:sz w:val="21"/>
          <w:szCs w:val="21"/>
          <w:highlight w:val="none"/>
          <w:u w:val="single"/>
          <w:shd w:val="clear" w:color="auto" w:fill="ffffff"/>
        </w:rPr>
        <w:t xml:space="preserve">（关键工序）</w:t>
      </w:r>
      <w:r>
        <w:rPr>
          <w:rFonts w:hint="eastAsia"/>
          <w:strike/>
          <w:color w:val="auto"/>
          <w:sz w:val="21"/>
          <w:szCs w:val="21"/>
          <w:highlight w:val="none"/>
          <w:shd w:val="clear" w:color="auto" w:fill="ffffff"/>
        </w:rPr>
        <w:t xml:space="preserve">在中国境内完成。</w:t>
      </w:r>
      <w:r/>
    </w:p>
    <w:p>
      <w:pPr>
        <w:pStyle w:val="928"/>
        <w:ind w:firstLine="420"/>
        <w:spacing w:before="24" w:beforeAutospacing="0" w:after="24" w:afterAutospacing="0" w:line="360" w:lineRule="auto"/>
        <w:shd w:val="clear" w:color="auto" w:fill="ffffff"/>
        <w:rPr>
          <w:rFonts w:hint="eastAsia"/>
          <w:color w:val="auto"/>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color w:val="auto"/>
          <w:sz w:val="21"/>
          <w:szCs w:val="21"/>
          <w:highlight w:val="none"/>
          <w:shd w:val="clear" w:color="auto" w:fill="ffffff"/>
        </w:rPr>
        <w:t xml:space="preserve">……</w:t>
      </w:r>
      <w:r/>
    </w:p>
    <w:p>
      <w:pPr>
        <w:pStyle w:val="928"/>
        <w:ind w:firstLine="420"/>
        <w:spacing w:before="24" w:beforeAutospacing="0" w:after="24" w:afterAutospacing="0" w:line="360" w:lineRule="auto"/>
        <w:shd w:val="clear" w:color="auto" w:fill="ffffff"/>
        <w:rPr>
          <w:rFonts w:hint="eastAsia"/>
          <w:color w:val="auto"/>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color w:val="auto"/>
          <w:sz w:val="21"/>
          <w:szCs w:val="21"/>
          <w:highlight w:val="none"/>
          <w:shd w:val="clear" w:color="auto" w:fill="ffffff"/>
        </w:rPr>
        <w:t xml:space="preserve">本采购包中提供的符合本国产品标准的产品成本之和占该采购包提供的全部产品成本之和的比例为</w:t>
      </w:r>
      <w:r>
        <w:rPr>
          <w:rFonts w:hint="eastAsia"/>
          <w:color w:val="auto"/>
          <w:sz w:val="21"/>
          <w:szCs w:val="21"/>
          <w:highlight w:val="none"/>
          <w:u w:val="single"/>
          <w:shd w:val="clear" w:color="auto" w:fill="ffffff"/>
        </w:rPr>
        <w:t xml:space="preserve">   </w:t>
      </w:r>
      <w:r>
        <w:rPr>
          <w:rFonts w:hint="eastAsia"/>
          <w:color w:val="auto"/>
          <w:sz w:val="21"/>
          <w:szCs w:val="21"/>
          <w:highlight w:val="none"/>
          <w:shd w:val="clear" w:color="auto" w:fill="ffffff"/>
        </w:rPr>
        <w:t xml:space="preserve">%。</w:t>
      </w:r>
      <w:r>
        <w:rPr>
          <w:rStyle w:val="937"/>
          <w:rFonts w:hint="eastAsia"/>
          <w:color w:val="auto"/>
          <w:sz w:val="21"/>
          <w:szCs w:val="21"/>
          <w:highlight w:val="none"/>
          <w:vertAlign w:val="superscript"/>
        </w:rPr>
        <w:t xml:space="preserve">6</w:t>
      </w:r>
      <w:r/>
    </w:p>
    <w:p>
      <w:pPr>
        <w:pStyle w:val="928"/>
        <w:ind w:firstLine="420"/>
        <w:spacing w:before="24" w:beforeAutospacing="0" w:after="24" w:afterAutospacing="0" w:line="360" w:lineRule="auto"/>
        <w:shd w:val="clear" w:color="auto" w:fill="ffffff"/>
        <w:rPr>
          <w:rFonts w:hint="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color w:val="auto"/>
          <w:sz w:val="21"/>
          <w:szCs w:val="21"/>
          <w:highlight w:val="none"/>
          <w:shd w:val="clear" w:color="auto" w:fill="ffffff"/>
        </w:rPr>
        <w:t xml:space="preserve">本公司（单位）对上述声明内容的真实性负责。如有虚假，愿承担相应法律责任。</w:t>
      </w:r>
      <w:bookmarkEnd w:id="204"/>
      <w:r/>
      <w:r/>
    </w:p>
    <w:p>
      <w:pPr>
        <w:pStyle w:val="928"/>
        <w:ind w:firstLine="420"/>
        <w:jc w:val="right"/>
        <w:spacing w:before="24" w:beforeAutospacing="0" w:after="24" w:afterAutospacing="0" w:line="360" w:lineRule="auto"/>
        <w:shd w:val="clear" w:color="auto" w:fill="ffffff"/>
        <w:rPr>
          <w:rFonts w:hint="eastAsia" w:cs="Times New Roman" w:asciiTheme="minorEastAsia" w:hAnsiTheme="minorEastAsia" w:eastAsiaTheme="minorEastAsia"/>
          <w:bCs/>
          <w:color w:val="auto"/>
          <w:sz w:val="21"/>
          <w:highlight w:val="none"/>
        </w:rPr>
      </w:pPr>
      <w:r>
        <w:rPr>
          <w:rFonts w:hint="eastAsia" w:cs="Times New Roman" w:asciiTheme="minorEastAsia" w:hAnsiTheme="minorEastAsia" w:eastAsiaTheme="minorEastAsia"/>
          <w:bCs/>
          <w:color w:val="auto"/>
          <w:sz w:val="21"/>
          <w:highlight w:val="none"/>
        </w:rPr>
        <w:t xml:space="preserve">公司（单位）名称（加盖电子公章）：</w:t>
      </w:r>
      <w:r>
        <w:rPr>
          <w:rFonts w:cs="Times New Roman" w:asciiTheme="minorEastAsia" w:hAnsiTheme="minorEastAsia" w:eastAsiaTheme="minorEastAsia"/>
          <w:bCs/>
          <w:color w:val="auto"/>
          <w:sz w:val="21"/>
          <w:highlight w:val="none"/>
        </w:rPr>
        <w:t xml:space="preserve">      </w:t>
      </w:r>
      <w:r/>
    </w:p>
    <w:p>
      <w:pPr>
        <w:pStyle w:val="928"/>
        <w:ind w:firstLine="420"/>
        <w:jc w:val="right"/>
        <w:spacing w:before="24" w:beforeAutospacing="1" w:after="24" w:afterAutospacing="1" w:line="360" w:lineRule="auto"/>
        <w:shd w:val="clear" w:color="auto" w:fill="ffffff"/>
        <w:rPr>
          <w:rFonts w:hint="eastAsia" w:cs="Times New Roman" w:asciiTheme="minorEastAsia" w:hAnsiTheme="minorEastAsia" w:eastAsiaTheme="minorEastAsia"/>
          <w:bCs/>
          <w:color w:val="auto"/>
          <w:sz w:val="21"/>
          <w:highlight w:val="none"/>
        </w:rPr>
      </w:pPr>
      <w:r>
        <w:rPr>
          <w:rFonts w:hint="eastAsia" w:cs="Times New Roman" w:asciiTheme="minorEastAsia" w:hAnsiTheme="minorEastAsia" w:eastAsiaTheme="minorEastAsia"/>
          <w:bCs/>
          <w:color w:val="auto"/>
          <w:sz w:val="21"/>
          <w:highlight w:val="none"/>
        </w:rPr>
        <w:t xml:space="preserve">日期：　　　　　年　　月　日</w:t>
      </w:r>
      <w:r>
        <w:rPr>
          <w:rFonts w:cs="Times New Roman" w:asciiTheme="minorEastAsia" w:hAnsiTheme="minorEastAsia" w:eastAsiaTheme="minorEastAsia"/>
          <w:bCs/>
          <w:color w:val="auto"/>
          <w:sz w:val="21"/>
          <w:highlight w:val="none"/>
        </w:rPr>
        <w:t xml:space="preserve">  </w:t>
      </w:r>
      <w:r/>
    </w:p>
    <w:p>
      <w:pPr>
        <w:pStyle w:val="928"/>
        <w:ind w:firstLine="420"/>
        <w:spacing w:before="24" w:beforeAutospacing="0" w:after="24" w:afterAutospacing="0" w:line="360" w:lineRule="auto"/>
        <w:shd w:val="clear" w:color="auto" w:fill="ffffff"/>
        <w:rPr>
          <w:rFonts w:hint="eastAsia"/>
          <w:color w:val="auto"/>
          <w:sz w:val="21"/>
          <w:szCs w:val="21"/>
          <w:highlight w:val="none"/>
        </w:rPr>
        <w:pBdr>
          <w:top w:val="none" w:color="000000" w:sz="0" w:space="0"/>
          <w:left w:val="none" w:color="000000" w:sz="0" w:space="0"/>
          <w:bottom w:val="none" w:color="000000" w:sz="0" w:space="0"/>
          <w:right w:val="none" w:color="000000" w:sz="0" w:space="0"/>
        </w:pBdr>
      </w:pPr>
      <w:r/>
      <w:bookmarkStart w:id="205" w:name="OLE_LINK65"/>
      <w:r>
        <w:rPr>
          <w:rFonts w:hint="eastAsia" w:cs="Arial" w:asciiTheme="minorEastAsia" w:hAnsiTheme="minorEastAsia" w:eastAsiaTheme="minorEastAsia"/>
          <w:b/>
          <w:bCs/>
          <w:color w:val="auto"/>
          <w:sz w:val="21"/>
          <w:highlight w:val="none"/>
        </w:rPr>
        <w:t xml:space="preserve">备注：</w:t>
      </w:r>
      <w:r>
        <w:rPr>
          <w:rFonts w:hint="eastAsia"/>
          <w:color w:val="auto"/>
          <w:sz w:val="21"/>
          <w:szCs w:val="21"/>
          <w:highlight w:val="none"/>
          <w:shd w:val="clear" w:color="auto" w:fill="ffffff"/>
        </w:rPr>
        <w:t xml:space="preserve">1.产品如有型号，请在“产品名称”栏一并填写。</w:t>
      </w:r>
      <w:r/>
    </w:p>
    <w:p>
      <w:pPr>
        <w:pStyle w:val="928"/>
        <w:ind w:firstLine="1050"/>
        <w:spacing w:before="24" w:beforeAutospacing="0" w:after="24" w:afterAutospacing="0" w:line="360" w:lineRule="auto"/>
        <w:shd w:val="clear" w:color="auto" w:fill="ffffff"/>
        <w:rPr>
          <w:rFonts w:hint="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color w:val="auto"/>
          <w:sz w:val="21"/>
          <w:szCs w:val="21"/>
          <w:highlight w:val="none"/>
          <w:shd w:val="clear" w:color="auto" w:fill="ffffff"/>
        </w:rPr>
        <w:t xml:space="preserve">2.生产厂名与厂址应与生产厂营业执照载明的相关信息保持一致。</w:t>
      </w:r>
      <w:r/>
    </w:p>
    <w:p>
      <w:pPr>
        <w:pStyle w:val="928"/>
        <w:ind w:firstLine="1050"/>
        <w:spacing w:before="24" w:beforeAutospacing="0" w:after="24" w:afterAutospacing="0" w:line="360" w:lineRule="auto"/>
        <w:shd w:val="clear" w:color="auto" w:fill="ffffff"/>
        <w:rPr>
          <w:rFonts w:hint="eastAsia"/>
          <w:b w:val="0"/>
          <w:bCs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b w:val="0"/>
          <w:bCs w:val="0"/>
          <w:color w:val="auto"/>
          <w:sz w:val="21"/>
          <w:szCs w:val="21"/>
          <w:highlight w:val="none"/>
          <w:shd w:val="clear" w:color="auto" w:fill="ffffff"/>
        </w:rPr>
        <w:t xml:space="preserve">3.该产品的中国境内生产的组件成本占比相关要求实施前，“规定比例”栏可不填。</w:t>
      </w:r>
      <w:r/>
    </w:p>
    <w:p>
      <w:pPr>
        <w:pStyle w:val="928"/>
        <w:ind w:firstLine="1050"/>
        <w:spacing w:before="24" w:beforeAutospacing="0" w:after="24" w:afterAutospacing="0" w:line="360" w:lineRule="auto"/>
        <w:shd w:val="clear" w:color="auto" w:fill="ffffff"/>
        <w:rPr>
          <w:rFonts w:hint="eastAsia"/>
          <w:b w:val="0"/>
          <w:bCs w:val="0"/>
          <w:color w:val="auto"/>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b w:val="0"/>
          <w:bCs w:val="0"/>
          <w:color w:val="auto"/>
          <w:sz w:val="21"/>
          <w:szCs w:val="21"/>
          <w:highlight w:val="none"/>
          <w:shd w:val="clear" w:color="auto" w:fill="ffffff"/>
        </w:rPr>
        <w:t xml:space="preserve">4.该产品的关键组件要求实施前，“关键组件”栏可不填。</w:t>
      </w:r>
      <w:r/>
    </w:p>
    <w:p>
      <w:pPr>
        <w:pStyle w:val="928"/>
        <w:ind w:firstLine="1050"/>
        <w:spacing w:before="24" w:beforeAutospacing="0" w:after="24" w:afterAutospacing="0" w:line="360" w:lineRule="auto"/>
        <w:shd w:val="clear" w:color="auto" w:fill="ffffff"/>
        <w:rPr>
          <w:rFonts w:hint="eastAsia"/>
          <w:b w:val="0"/>
          <w:bCs w:val="0"/>
          <w:color w:val="auto"/>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b w:val="0"/>
          <w:bCs w:val="0"/>
          <w:color w:val="auto"/>
          <w:sz w:val="21"/>
          <w:szCs w:val="21"/>
          <w:highlight w:val="none"/>
          <w:shd w:val="clear" w:color="auto" w:fill="ffffff"/>
        </w:rPr>
        <w:t xml:space="preserve">5.该产品的关键工序要求实施前，“关键工序”栏可不填。</w:t>
      </w:r>
      <w:r/>
    </w:p>
    <w:p>
      <w:pPr>
        <w:pStyle w:val="928"/>
        <w:ind w:firstLine="1054"/>
        <w:spacing w:before="24" w:beforeAutospacing="0" w:after="24" w:afterAutospacing="0" w:line="360" w:lineRule="auto"/>
        <w:shd w:val="clear" w:color="auto" w:fill="ffffff"/>
        <w:rPr>
          <w:rFonts w:hint="eastAsia"/>
          <w:b/>
          <w:bCs/>
          <w:color w:val="auto"/>
          <w:highlight w:val="none"/>
        </w:rPr>
        <w:pBdr>
          <w:top w:val="none" w:color="000000" w:sz="0" w:space="0"/>
          <w:left w:val="none" w:color="000000" w:sz="0" w:space="0"/>
          <w:bottom w:val="none" w:color="000000" w:sz="0" w:space="0"/>
          <w:right w:val="none" w:color="000000" w:sz="0" w:space="0"/>
        </w:pBdr>
      </w:pPr>
      <w:r>
        <w:rPr>
          <w:rFonts w:hint="eastAsia"/>
          <w:b/>
          <w:bCs/>
          <w:color w:val="auto"/>
          <w:sz w:val="21"/>
          <w:szCs w:val="21"/>
          <w:highlight w:val="none"/>
          <w:shd w:val="clear" w:color="auto" w:fill="ffffff"/>
        </w:rPr>
        <w:t xml:space="preserve">6.当采购项目或者采购包中含有多种产品，投标人为该采购项目或者采购包提供的符合本国产品标准的产品成本之和占该投标人提供的全部产品成本之和的比例达到80%以上时（投标人需在《声明函》中填写比例数值），依法对该投标人提供的全部产品给予价格评审优惠，即对该投标人提供的全部产品的总报价给予20%的价格扣除，用扣除后的价格参与评审。</w:t>
      </w:r>
      <w:r>
        <w:rPr>
          <w:rFonts w:hint="eastAsia"/>
          <w:b/>
          <w:bCs/>
          <w:i/>
          <w:iCs/>
          <w:color w:val="auto"/>
          <w:sz w:val="21"/>
          <w:szCs w:val="21"/>
          <w:highlight w:val="none"/>
          <w:u w:val="single"/>
          <w:shd w:val="clear" w:color="auto" w:fill="ffffff"/>
        </w:rPr>
        <w:t xml:space="preserve">投标人未填写比例数值，或比例数值未达到80%的，将不享受本国产品价格评审优惠。</w:t>
      </w:r>
      <w:r/>
    </w:p>
    <w:p>
      <w:pPr>
        <w:pStyle w:val="928"/>
        <w:ind w:firstLine="949"/>
        <w:spacing w:beforeAutospacing="0" w:afterAutospacing="0" w:line="360" w:lineRule="auto"/>
        <w:shd w:val="clear" w:color="auto" w:fill="ffffff"/>
        <w:rPr>
          <w:rFonts w:hint="eastAsia" w:asciiTheme="minorEastAsia" w:hAnsiTheme="minorEastAsia" w:eastAsiaTheme="minorEastAsia"/>
          <w:color w:val="auto"/>
          <w:highlight w:val="none"/>
        </w:rPr>
      </w:pPr>
      <w:r>
        <w:rPr>
          <w:rFonts w:hint="eastAsia" w:cs="Times New Roman" w:asciiTheme="minorEastAsia" w:hAnsiTheme="minorEastAsia" w:eastAsiaTheme="minorEastAsia"/>
          <w:b/>
          <w:bCs/>
          <w:color w:val="auto"/>
          <w:sz w:val="21"/>
          <w:highlight w:val="none"/>
        </w:rPr>
        <w:t xml:space="preserve">7.《关于符合本国产品标准的声明函》准确填写产品名称、厂名、生产厂址三项信息，三项信息中任意一项未填写的视为该项产品不符合本国产品标准，不享受本国产品价格评审优惠。</w:t>
      </w:r>
      <w:bookmarkEnd w:id="205"/>
      <w:r>
        <w:rPr>
          <w:rFonts w:asciiTheme="minorEastAsia" w:hAnsiTheme="minorEastAsia" w:eastAsiaTheme="minorEastAsia"/>
          <w:color w:val="auto"/>
          <w:highlight w:val="none"/>
        </w:rPr>
        <w:br w:type="page" w:clear="all"/>
      </w:r>
      <w:r/>
    </w:p>
    <w:p>
      <w:pPr>
        <w:pStyle w:val="891"/>
        <w:rPr>
          <w:rFonts w:hint="eastAsia" w:asciiTheme="minorEastAsia" w:hAnsiTheme="minorEastAsia" w:eastAsiaTheme="minorEastAsia"/>
          <w:color w:val="auto"/>
          <w:highlight w:val="none"/>
        </w:rPr>
      </w:pPr>
      <w:r/>
      <w:bookmarkStart w:id="206" w:name="_Toc43917781"/>
      <w:r/>
      <w:bookmarkStart w:id="207" w:name="_Toc66375434"/>
      <w:r>
        <w:rPr>
          <w:rFonts w:hint="eastAsia" w:asciiTheme="minorEastAsia" w:hAnsiTheme="minorEastAsia" w:eastAsiaTheme="minorEastAsia"/>
          <w:color w:val="auto"/>
          <w:highlight w:val="none"/>
        </w:rPr>
        <w:t xml:space="preserve">附件十一、无重大违法记录声明</w:t>
      </w:r>
      <w:bookmarkEnd w:id="206"/>
      <w:r/>
      <w:bookmarkEnd w:id="207"/>
      <w:r/>
      <w:r/>
    </w:p>
    <w:p>
      <w:pPr>
        <w:jc w:val="center"/>
        <w:spacing w:line="240" w:lineRule="atLeast"/>
        <w:rPr>
          <w:rFonts w:hint="eastAsia" w:asciiTheme="minorEastAsia" w:hAnsiTheme="minorEastAsia" w:eastAsiaTheme="minorEastAsia"/>
          <w:color w:val="auto"/>
          <w:sz w:val="28"/>
          <w:szCs w:val="36"/>
          <w:highlight w:val="none"/>
        </w:rPr>
      </w:pPr>
      <w:r>
        <w:rPr>
          <w:rFonts w:hint="eastAsia" w:asciiTheme="minorEastAsia" w:hAnsiTheme="minorEastAsia" w:eastAsiaTheme="minorEastAsia"/>
          <w:color w:val="auto"/>
          <w:sz w:val="28"/>
          <w:szCs w:val="36"/>
          <w:highlight w:val="none"/>
        </w:rPr>
      </w:r>
      <w:r/>
    </w:p>
    <w:p>
      <w:pPr>
        <w:jc w:val="center"/>
        <w:spacing w:line="240" w:lineRule="atLeast"/>
        <w:rPr>
          <w:rFonts w:hint="eastAsia" w:asciiTheme="minorEastAsia" w:hAnsiTheme="minorEastAsia" w:eastAsiaTheme="minorEastAsia"/>
          <w:b/>
          <w:bCs/>
          <w:color w:val="auto"/>
          <w:sz w:val="32"/>
          <w:szCs w:val="32"/>
          <w:highlight w:val="none"/>
        </w:rPr>
      </w:pPr>
      <w:r>
        <w:rPr>
          <w:rFonts w:hint="eastAsia" w:asciiTheme="minorEastAsia" w:hAnsiTheme="minorEastAsia" w:eastAsiaTheme="minorEastAsia"/>
          <w:b/>
          <w:bCs/>
          <w:color w:val="auto"/>
          <w:sz w:val="32"/>
          <w:szCs w:val="32"/>
          <w:highlight w:val="none"/>
        </w:rPr>
        <w:t xml:space="preserve">无重大违法记录声明</w:t>
      </w:r>
      <w:r/>
    </w:p>
    <w:p>
      <w:pP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致：</w:t>
      </w:r>
      <w:r>
        <w:rPr>
          <w:rFonts w:hint="eastAsia" w:asciiTheme="minorEastAsia" w:hAnsiTheme="minorEastAsia" w:eastAsiaTheme="minorEastAsia"/>
          <w:color w:val="auto"/>
          <w:szCs w:val="21"/>
          <w:highlight w:val="none"/>
        </w:rPr>
        <w:t xml:space="preserve">南京市教育技术装备中心</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江苏国采工程咨询有限公司</w:t>
      </w:r>
      <w:r/>
    </w:p>
    <w:p>
      <w:pPr>
        <w:ind w:firstLine="420"/>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我单位（投标人名称）郑重声明：</w:t>
      </w:r>
      <w:r/>
    </w:p>
    <w:p>
      <w:pPr>
        <w:ind w:firstLine="420"/>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参加政府采购活动前3年内在经营活动中</w:t>
      </w:r>
      <w:r>
        <w:rPr>
          <w:rFonts w:hint="eastAsia"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 xml:space="preserve"> （在下划线上如实填写：有或没有）重大违法记录。</w:t>
      </w:r>
      <w:r/>
    </w:p>
    <w:p>
      <w:pPr>
        <w:ind w:firstLine="315"/>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（说明：政府采购法第二十二条第一款第五项所称重大违法记录，是指投标人因违法经营受到刑事处罚或者责令停产停业、吊销许可证或者执照、较大数额罚款等行政处罚。）</w:t>
      </w:r>
      <w:r/>
    </w:p>
    <w:p>
      <w:pPr>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ind w:firstLine="5103"/>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声明人： （</w:t>
      </w:r>
      <w:r>
        <w:rPr>
          <w:rFonts w:hint="eastAsia" w:cs="Arial" w:asciiTheme="minorEastAsia" w:hAnsiTheme="minorEastAsia" w:eastAsiaTheme="minorEastAsia"/>
          <w:color w:val="auto"/>
          <w:highlight w:val="none"/>
        </w:rPr>
        <w:t xml:space="preserve">加盖电子公章</w:t>
      </w:r>
      <w:r>
        <w:rPr>
          <w:rFonts w:hint="eastAsia" w:asciiTheme="minorEastAsia" w:hAnsiTheme="minorEastAsia" w:eastAsiaTheme="minorEastAsia"/>
          <w:color w:val="auto"/>
          <w:highlight w:val="none"/>
        </w:rPr>
        <w:t xml:space="preserve">）</w:t>
      </w:r>
      <w:r/>
    </w:p>
    <w:p>
      <w:pPr>
        <w:ind w:firstLine="5040"/>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日 </w:t>
      </w:r>
      <w:r>
        <w:rPr>
          <w:rFonts w:asciiTheme="minorEastAsia" w:hAnsiTheme="minorEastAsia" w:eastAsiaTheme="minorEastAsia"/>
          <w:color w:val="auto"/>
          <w:szCs w:val="21"/>
          <w:highlight w:val="none"/>
          <w:lang w:val="zh-CN"/>
        </w:rPr>
        <w:t xml:space="preserve">  </w:t>
      </w:r>
      <w:r>
        <w:rPr>
          <w:rFonts w:hint="eastAsia" w:asciiTheme="minorEastAsia" w:hAnsiTheme="minorEastAsia" w:eastAsiaTheme="minorEastAsia"/>
          <w:color w:val="auto"/>
          <w:szCs w:val="21"/>
          <w:highlight w:val="none"/>
          <w:lang w:val="zh-CN"/>
        </w:rPr>
        <w:t xml:space="preserve">期： </w:t>
      </w:r>
      <w:r>
        <w:rPr>
          <w:rFonts w:asciiTheme="minorEastAsia" w:hAnsiTheme="minorEastAsia" w:eastAsiaTheme="minorEastAsia"/>
          <w:color w:val="auto"/>
          <w:szCs w:val="21"/>
          <w:highlight w:val="none"/>
          <w:lang w:val="zh-CN"/>
        </w:rPr>
        <w:t xml:space="preserve">   </w:t>
      </w:r>
      <w:r>
        <w:rPr>
          <w:rFonts w:hint="eastAsia" w:asciiTheme="minorEastAsia" w:hAnsiTheme="minorEastAsia" w:eastAsiaTheme="minorEastAsia"/>
          <w:color w:val="auto"/>
          <w:szCs w:val="21"/>
          <w:highlight w:val="none"/>
          <w:lang w:val="zh-CN"/>
        </w:rPr>
        <w:t xml:space="preserve">年 </w:t>
      </w:r>
      <w:r>
        <w:rPr>
          <w:rFonts w:asciiTheme="minorEastAsia" w:hAnsiTheme="minorEastAsia" w:eastAsiaTheme="minorEastAsia"/>
          <w:color w:val="auto"/>
          <w:szCs w:val="21"/>
          <w:highlight w:val="none"/>
          <w:lang w:val="zh-CN"/>
        </w:rPr>
        <w:t xml:space="preserve">  </w:t>
      </w:r>
      <w:r>
        <w:rPr>
          <w:rFonts w:hint="eastAsia" w:asciiTheme="minorEastAsia" w:hAnsiTheme="minorEastAsia" w:eastAsiaTheme="minorEastAsia"/>
          <w:color w:val="auto"/>
          <w:szCs w:val="21"/>
          <w:highlight w:val="none"/>
          <w:lang w:val="zh-CN"/>
        </w:rPr>
        <w:t xml:space="preserve">月 </w:t>
      </w:r>
      <w:r>
        <w:rPr>
          <w:rFonts w:asciiTheme="minorEastAsia" w:hAnsiTheme="minorEastAsia" w:eastAsiaTheme="minorEastAsia"/>
          <w:color w:val="auto"/>
          <w:szCs w:val="21"/>
          <w:highlight w:val="none"/>
          <w:lang w:val="zh-CN"/>
        </w:rPr>
        <w:t xml:space="preserve"> </w:t>
      </w:r>
      <w:r>
        <w:rPr>
          <w:rFonts w:hint="eastAsia" w:asciiTheme="minorEastAsia" w:hAnsiTheme="minorEastAsia" w:eastAsiaTheme="minorEastAsia"/>
          <w:color w:val="auto"/>
          <w:szCs w:val="21"/>
          <w:highlight w:val="none"/>
          <w:lang w:val="zh-CN"/>
        </w:rPr>
        <w:t xml:space="preserve">日</w:t>
      </w:r>
      <w:r>
        <w:rPr>
          <w:rFonts w:asciiTheme="minorEastAsia" w:hAnsiTheme="minorEastAsia" w:eastAsiaTheme="minorEastAsia"/>
          <w:color w:val="auto"/>
          <w:szCs w:val="21"/>
          <w:highlight w:val="none"/>
          <w:lang w:val="zh-CN"/>
        </w:rPr>
        <w:br w:type="page" w:clear="all"/>
      </w:r>
      <w:r/>
    </w:p>
    <w:p>
      <w:pPr>
        <w:pStyle w:val="891"/>
        <w:rPr>
          <w:rFonts w:hint="eastAsia" w:asciiTheme="minorEastAsia" w:hAnsiTheme="minorEastAsia" w:eastAsiaTheme="minorEastAsia"/>
          <w:color w:val="auto"/>
          <w:highlight w:val="none"/>
        </w:rPr>
      </w:pPr>
      <w:r/>
      <w:bookmarkStart w:id="208" w:name="_Toc1487"/>
      <w:r>
        <w:rPr>
          <w:rFonts w:hint="eastAsia" w:asciiTheme="minorEastAsia" w:hAnsiTheme="minorEastAsia" w:eastAsiaTheme="minorEastAsia"/>
          <w:color w:val="auto"/>
          <w:highlight w:val="none"/>
        </w:rPr>
        <w:t xml:space="preserve">附件十二、具有履行合同所必需的设备和专业技术能力的声明</w:t>
      </w:r>
      <w:bookmarkEnd w:id="208"/>
      <w:r/>
      <w:r/>
    </w:p>
    <w:p>
      <w:pPr>
        <w:jc w:val="center"/>
        <w:spacing w:line="240" w:lineRule="atLeast"/>
        <w:rPr>
          <w:rFonts w:hint="eastAsia" w:asciiTheme="minorEastAsia" w:hAnsiTheme="minorEastAsia" w:eastAsiaTheme="minorEastAsia"/>
          <w:b/>
          <w:bCs/>
          <w:color w:val="auto"/>
          <w:sz w:val="32"/>
          <w:szCs w:val="32"/>
          <w:highlight w:val="none"/>
        </w:rPr>
      </w:pPr>
      <w:r/>
      <w:bookmarkStart w:id="209" w:name="_Toc3130"/>
      <w:r/>
      <w:r/>
    </w:p>
    <w:p>
      <w:pPr>
        <w:jc w:val="center"/>
        <w:spacing w:line="240" w:lineRule="atLeast"/>
        <w:rPr>
          <w:rFonts w:hint="eastAsia" w:asciiTheme="minorEastAsia" w:hAnsiTheme="minorEastAsia" w:eastAsiaTheme="minorEastAsia"/>
          <w:b/>
          <w:bCs/>
          <w:color w:val="auto"/>
          <w:sz w:val="32"/>
          <w:szCs w:val="32"/>
          <w:highlight w:val="none"/>
        </w:rPr>
      </w:pPr>
      <w:r>
        <w:rPr>
          <w:rFonts w:hint="eastAsia" w:asciiTheme="minorEastAsia" w:hAnsiTheme="minorEastAsia" w:eastAsiaTheme="minorEastAsia"/>
          <w:b/>
          <w:bCs/>
          <w:color w:val="auto"/>
          <w:sz w:val="32"/>
          <w:szCs w:val="32"/>
          <w:highlight w:val="none"/>
        </w:rPr>
        <w:t xml:space="preserve">具有履行合同所必需的设备和专业技术能力的声明</w:t>
      </w:r>
      <w:bookmarkEnd w:id="209"/>
      <w:r/>
      <w:r/>
    </w:p>
    <w:p>
      <w:pPr>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致：南京市教育技术装备中心</w:t>
      </w:r>
      <w:r/>
    </w:p>
    <w:p>
      <w:pPr>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shd w:val="clear" w:color="auto" w:fill="ffffff"/>
          <w:lang w:val="zh-CN"/>
        </w:rPr>
        <w:t xml:space="preserve">    江苏国采工程咨询有限公司</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我单位（投标人名称）郑重声明：</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我单位具备履行本项采购合同所必需的设备和专业技术能力，为履行本项采购合同我单位具备如下主要设备和主要专业技术能力：</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主要设备有：</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主要专业技术能力有：</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left="630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声明人：（</w:t>
      </w:r>
      <w:r>
        <w:rPr>
          <w:rFonts w:hint="eastAsia" w:cs="Arial" w:asciiTheme="minorEastAsia" w:hAnsiTheme="minorEastAsia" w:eastAsiaTheme="minorEastAsia"/>
          <w:color w:val="auto"/>
          <w:highlight w:val="none"/>
        </w:rPr>
        <w:t xml:space="preserve">加盖电子公章</w:t>
      </w:r>
      <w:r>
        <w:rPr>
          <w:rFonts w:hint="eastAsia" w:asciiTheme="minorEastAsia" w:hAnsiTheme="minorEastAsia" w:eastAsiaTheme="minorEastAsia"/>
          <w:color w:val="auto"/>
          <w:szCs w:val="21"/>
          <w:highlight w:val="none"/>
        </w:rPr>
        <w:t xml:space="preserve">）</w:t>
      </w:r>
      <w:r/>
    </w:p>
    <w:p>
      <w:pPr>
        <w:ind w:left="630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日期：  年  月  日</w:t>
      </w:r>
      <w:r/>
    </w:p>
    <w:p>
      <w:pPr>
        <w:ind w:firstLine="5040"/>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p>
      <w:pPr>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p>
      <w:pPr>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p>
      <w:pPr>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p>
      <w:pPr>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p>
      <w:pPr>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p>
      <w:pPr>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p>
      <w:pPr>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p>
      <w:pPr>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p>
      <w:pPr>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p>
      <w:pPr>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p>
      <w:pPr>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p>
      <w:pPr>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p>
      <w:pPr>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p>
      <w:pPr>
        <w:pStyle w:val="891"/>
        <w:jc w:val="left"/>
        <w:rPr>
          <w:rFonts w:hint="eastAsia" w:asciiTheme="minorEastAsia" w:hAnsiTheme="minorEastAsia" w:eastAsiaTheme="minorEastAsia"/>
          <w:color w:val="auto"/>
          <w:sz w:val="30"/>
          <w:szCs w:val="30"/>
          <w:highlight w:val="none"/>
        </w:rPr>
      </w:pPr>
      <w:r/>
      <w:bookmarkStart w:id="210" w:name="_Hlk176529286"/>
      <w:r>
        <w:rPr>
          <w:rFonts w:hint="eastAsia" w:asciiTheme="minorEastAsia" w:hAnsiTheme="minorEastAsia" w:eastAsiaTheme="minorEastAsia"/>
          <w:color w:val="auto"/>
          <w:highlight w:val="none"/>
        </w:rPr>
        <w:t xml:space="preserve">附件十三、核心产品品牌一览表</w:t>
      </w:r>
      <w:r/>
    </w:p>
    <w:p>
      <w:pPr>
        <w:jc w:val="center"/>
        <w:spacing w:line="240" w:lineRule="atLeast"/>
        <w:rPr>
          <w:rFonts w:hint="eastAsia" w:asciiTheme="minorEastAsia" w:hAnsiTheme="minorEastAsia" w:eastAsiaTheme="minorEastAsia"/>
          <w:color w:val="auto"/>
          <w:sz w:val="32"/>
          <w:szCs w:val="32"/>
          <w:highlight w:val="none"/>
        </w:rPr>
      </w:pPr>
      <w:r/>
      <w:bookmarkStart w:id="211" w:name="_Hlk176879253"/>
      <w:r>
        <w:rPr>
          <w:rFonts w:hint="eastAsia" w:asciiTheme="minorEastAsia" w:hAnsiTheme="minorEastAsia" w:eastAsiaTheme="minorEastAsia"/>
          <w:b/>
          <w:bCs/>
          <w:color w:val="auto"/>
          <w:sz w:val="32"/>
          <w:szCs w:val="32"/>
          <w:highlight w:val="none"/>
        </w:rPr>
        <w:t xml:space="preserve">核心产品品牌一览表</w:t>
      </w:r>
      <w:r/>
    </w:p>
    <w:tbl>
      <w:tblPr>
        <w:tblStyle w:val="900"/>
        <w:tblpPr w:horzAnchor="margin" w:tblpXSpec="center" w:vertAnchor="text" w:tblpY="133" w:leftFromText="180" w:topFromText="0" w:rightFromText="180" w:bottomFromText="0"/>
        <w:tblW w:w="93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spacing w:line="0" w:lineRule="atLeast"/>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序号</w:t>
            </w:r>
            <w:r/>
          </w:p>
        </w:tc>
        <w:tc>
          <w:tcPr>
            <w:tcBorders>
              <w:top w:val="single" w:color="000000" w:sz="4" w:space="0"/>
              <w:left w:val="single" w:color="000000" w:sz="4" w:space="0"/>
              <w:right w:val="single" w:color="000000" w:sz="4" w:space="0"/>
            </w:tcBorders>
            <w:tcW w:w="3753" w:type="dxa"/>
            <w:vAlign w:val="center"/>
            <w:textDirection w:val="lrTb"/>
            <w:noWrap w:val="false"/>
          </w:tcPr>
          <w:p>
            <w:pPr>
              <w:jc w:val="center"/>
              <w:spacing w:line="0" w:lineRule="atLeast"/>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rPr>
              <w:t xml:space="preserve">产品</w:t>
            </w:r>
            <w:r>
              <w:rPr>
                <w:rFonts w:hint="eastAsia" w:asciiTheme="minorEastAsia" w:hAnsiTheme="minorEastAsia" w:eastAsiaTheme="minorEastAsia"/>
                <w:color w:val="auto"/>
                <w:szCs w:val="21"/>
                <w:highlight w:val="none"/>
                <w:lang w:val="zh-CN"/>
              </w:rPr>
              <w:t xml:space="preserve">名称</w:t>
            </w:r>
            <w:r/>
          </w:p>
        </w:tc>
        <w:tc>
          <w:tcPr>
            <w:tcBorders>
              <w:top w:val="single" w:color="000000" w:sz="4" w:space="0"/>
              <w:left w:val="single" w:color="000000" w:sz="4" w:space="0"/>
              <w:right w:val="single" w:color="000000" w:sz="4" w:space="0"/>
            </w:tcBorders>
            <w:tcW w:w="2158" w:type="dxa"/>
            <w:vAlign w:val="center"/>
            <w:textDirection w:val="lrTb"/>
            <w:noWrap w:val="false"/>
          </w:tcPr>
          <w:p>
            <w:pPr>
              <w:jc w:val="center"/>
              <w:spacing w:line="0" w:lineRule="atLeast"/>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rPr>
              <w:t xml:space="preserve">产品</w:t>
            </w:r>
            <w:r>
              <w:rPr>
                <w:rFonts w:hint="eastAsia" w:asciiTheme="minorEastAsia" w:hAnsiTheme="minorEastAsia" w:eastAsiaTheme="minorEastAsia"/>
                <w:color w:val="auto"/>
                <w:szCs w:val="21"/>
                <w:highlight w:val="none"/>
                <w:lang w:val="zh-CN"/>
              </w:rPr>
              <w:t xml:space="preserve">品牌</w:t>
            </w:r>
            <w:r/>
          </w:p>
        </w:tc>
        <w:tc>
          <w:tcPr>
            <w:tcBorders>
              <w:top w:val="single" w:color="000000" w:sz="4" w:space="0"/>
              <w:left w:val="single" w:color="000000" w:sz="4" w:space="0"/>
              <w:right w:val="single" w:color="000000" w:sz="4" w:space="0"/>
            </w:tcBorders>
            <w:tcW w:w="2391" w:type="dxa"/>
            <w:vAlign w:val="center"/>
            <w:textDirection w:val="lrTb"/>
            <w:noWrap w:val="false"/>
          </w:tcPr>
          <w:p>
            <w:pPr>
              <w:jc w:val="center"/>
              <w:spacing w:line="0" w:lineRule="atLeast"/>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规格或型号</w:t>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spacing w:line="0" w:lineRule="atLeast"/>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1</w:t>
            </w:r>
            <w:r/>
          </w:p>
        </w:tc>
        <w:tc>
          <w:tcPr>
            <w:tcBorders>
              <w:left w:val="single" w:color="000000" w:sz="4" w:space="0"/>
              <w:right w:val="single" w:color="000000" w:sz="4" w:space="0"/>
            </w:tcBorders>
            <w:tcW w:w="3753" w:type="dxa"/>
            <w:vAlign w:val="center"/>
            <w:textDirection w:val="lrTb"/>
            <w:noWrap w:val="false"/>
          </w:tcPr>
          <w:p>
            <w:pPr>
              <w:jc w:val="center"/>
              <w:spacing w:line="0" w:lineRule="atLeast"/>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eastAsia="zh-CN"/>
              </w:rPr>
              <w:t xml:space="preserve">学生午休课桌椅</w:t>
            </w:r>
            <w:r/>
          </w:p>
        </w:tc>
        <w:tc>
          <w:tcPr>
            <w:tcBorders>
              <w:left w:val="single" w:color="000000" w:sz="4" w:space="0"/>
              <w:right w:val="single" w:color="000000" w:sz="4" w:space="0"/>
            </w:tcBorders>
            <w:tcW w:w="2158" w:type="dxa"/>
            <w:textDirection w:val="lrTb"/>
            <w:noWrap w:val="false"/>
          </w:tcPr>
          <w:p>
            <w:pPr>
              <w:jc w:val="center"/>
              <w:spacing w:line="0" w:lineRule="atLeast"/>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tc>
        <w:tc>
          <w:tcPr>
            <w:tcBorders>
              <w:left w:val="single" w:color="000000" w:sz="4" w:space="0"/>
              <w:right w:val="single" w:color="000000" w:sz="4" w:space="0"/>
            </w:tcBorders>
            <w:tcW w:w="2391" w:type="dxa"/>
            <w:textDirection w:val="lrTb"/>
            <w:noWrap w:val="false"/>
          </w:tcPr>
          <w:p>
            <w:pPr>
              <w:jc w:val="center"/>
              <w:spacing w:line="0" w:lineRule="atLeast"/>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tc>
      </w:tr>
    </w:tbl>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投标人（加盖电子公章）：</w:t>
      </w:r>
      <w:r>
        <w:rPr>
          <w:rFonts w:asciiTheme="minorEastAsia" w:hAnsiTheme="minorEastAsia" w:eastAsiaTheme="minorEastAsia"/>
          <w:color w:val="auto"/>
          <w:szCs w:val="21"/>
          <w:highlight w:val="none"/>
          <w:u w:val="single"/>
        </w:rPr>
        <w:t xml:space="preserve">                                  </w:t>
      </w:r>
      <w:r/>
    </w:p>
    <w:p>
      <w:pPr>
        <w:ind w:firstLine="482"/>
        <w:spacing w:line="480" w:lineRule="exact"/>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r>
      <w:bookmarkEnd w:id="211"/>
      <w:r/>
      <w:r/>
    </w:p>
    <w:p>
      <w:pPr>
        <w:ind w:firstLine="482"/>
        <w:spacing w:line="480" w:lineRule="exact"/>
        <w:rPr>
          <w:rFonts w:hint="eastAsia"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说明：投标人须按照表格要求明确填写所投“核心产品”的品牌，不得填报“/”“无”等内容，否则视为无效投标。</w:t>
      </w:r>
      <w:bookmarkEnd w:id="210"/>
      <w:r/>
      <w:r/>
    </w:p>
    <w:p>
      <w:pPr>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p>
      <w:pPr>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p>
      <w:pP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sectPr>
      <w:footnotePr/>
      <w:endnotePr/>
      <w:type w:val="nextPage"/>
      <w:pgSz w:w="11906" w:h="16838" w:orient="portrait"/>
      <w:pgMar w:top="1440" w:right="1440" w:bottom="1440" w:left="1440" w:header="850" w:footer="850"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KNLe">
    <w:panose1 w:val="020B0503020202020204"/>
  </w:font>
  <w:font w:name="Courier New">
    <w:panose1 w:val="02070309020205020404"/>
  </w:font>
  <w:font w:name="Tahoma">
    <w:panose1 w:val="020B0604030504040204"/>
  </w:font>
  <w:font w:name="华文细黑">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Unicode MS">
    <w:panose1 w:val="020B060402020202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25158638"/>
      <w:rPr/>
    </w:sdtPr>
    <w:sdtContent>
      <w:p>
        <w:pPr>
          <w:pStyle w:val="918"/>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1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jc w:val="left"/>
      <w:tabs>
        <w:tab w:val="left" w:pos="444" w:leader="none"/>
        <w:tab w:val="center" w:pos="42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19050</wp:posOffset>
              </wp:positionH>
              <wp:positionV relativeFrom="paragraph">
                <wp:posOffset>-146685</wp:posOffset>
              </wp:positionV>
              <wp:extent cx="326390" cy="259080"/>
              <wp:effectExtent l="0" t="0" r="0" b="0"/>
              <wp:wrapNone/>
              <wp:docPr id="1" name="图片 794094129"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094129" name="图片 794094129" descr="C:\Users\Administrator\Desktop\eb0d.png"/>
                      <pic:cNvPicPr>
                        <a:picLocks noChangeAspect="1"/>
                      </pic:cNvPicPr>
                      <pic:nvPr/>
                    </pic:nvPicPr>
                    <pic:blipFill>
                      <a:blip r:embed="rId1"/>
                      <a:srcRect l="38461" t="15534" r="37413" b="34950"/>
                      <a:stretch/>
                    </pic:blipFill>
                    <pic:spPr bwMode="auto">
                      <a:xfrm>
                        <a:off x="0" y="0"/>
                        <a:ext cx="326390" cy="25908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true;mso-position-horizontal-relative:text;margin-left:1.5pt;mso-position-horizontal:absolute;mso-position-vertical-relative:text;margin-top:-11.5pt;mso-position-vertical:absolute;width:25.7pt;height:20.4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388620</wp:posOffset>
              </wp:positionH>
              <wp:positionV relativeFrom="paragraph">
                <wp:posOffset>-137160</wp:posOffset>
              </wp:positionV>
              <wp:extent cx="2110105" cy="299085"/>
              <wp:effectExtent l="19050" t="0" r="4445" b="0"/>
              <wp:wrapNone/>
              <wp:docPr id="2" name="图片 990525942"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525942" name="图片 990525942" descr="C:\Users\Administrator\Desktop\eb0d.png"/>
                      <pic:cNvPicPr>
                        <a:picLocks noChangeAspect="1"/>
                      </pic:cNvPicPr>
                      <pic:nvPr/>
                    </pic:nvPicPr>
                    <pic:blipFill>
                      <a:blip r:embed="rId1"/>
                      <a:srcRect l="6617" t="66019" r="7909" b="0"/>
                      <a:stretch/>
                    </pic:blipFill>
                    <pic:spPr bwMode="auto">
                      <a:xfrm>
                        <a:off x="0" y="0"/>
                        <a:ext cx="2110105" cy="299258"/>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30.6pt;mso-position-horizontal:absolute;mso-position-vertical-relative:text;margin-top:-10.8pt;mso-position-vertical:absolute;width:166.2pt;height:23.5pt;mso-wrap-distance-left:9.0pt;mso-wrap-distance-top:0.0pt;mso-wrap-distance-right:9.0pt;mso-wrap-distance-bottom:0.0pt;" stroked="f" strokeweight="0.75pt">
              <v:path textboxrect="0,0,0,0"/>
              <v:imagedata r:id="rId1" o:title=""/>
            </v:shape>
          </w:pict>
        </mc:Fallback>
      </mc:AlternateContent>
    </w:r>
    <w:r>
      <w:tab/>
    </w:r>
    <w:r>
      <w:tab/>
    </w: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33655</wp:posOffset>
              </wp:positionH>
              <wp:positionV relativeFrom="paragraph">
                <wp:posOffset>-137160</wp:posOffset>
              </wp:positionV>
              <wp:extent cx="326390" cy="243840"/>
              <wp:effectExtent l="0" t="0" r="0" b="0"/>
              <wp:wrapNone/>
              <wp:docPr id="3" name="图片 1337483135"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483135" name="图片 1337483135" descr="C:\Users\Administrator\Desktop\eb0d.png"/>
                      <pic:cNvPicPr>
                        <a:picLocks noChangeAspect="1"/>
                      </pic:cNvPicPr>
                      <pic:nvPr/>
                    </pic:nvPicPr>
                    <pic:blipFill>
                      <a:blip r:embed="rId1"/>
                      <a:srcRect l="38461" t="15534" r="37413" b="34950"/>
                      <a:stretch/>
                    </pic:blipFill>
                    <pic:spPr bwMode="auto">
                      <a:xfrm>
                        <a:off x="0" y="0"/>
                        <a:ext cx="326390" cy="24384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text;margin-left:2.6pt;mso-position-horizontal:absolute;mso-position-vertical-relative:text;margin-top:-10.8pt;mso-position-vertical:absolute;width:25.7pt;height:19.2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389255</wp:posOffset>
              </wp:positionH>
              <wp:positionV relativeFrom="paragraph">
                <wp:posOffset>-152400</wp:posOffset>
              </wp:positionV>
              <wp:extent cx="2110105" cy="299085"/>
              <wp:effectExtent l="0" t="0" r="0" b="0"/>
              <wp:wrapNone/>
              <wp:docPr id="4" name="图片 736630457"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630457" name="图片 736630457" descr="C:\Users\Administrator\Desktop\eb0d.png"/>
                      <pic:cNvPicPr>
                        <a:picLocks noChangeAspect="1"/>
                      </pic:cNvPicPr>
                      <pic:nvPr/>
                    </pic:nvPicPr>
                    <pic:blipFill>
                      <a:blip r:embed="rId1"/>
                      <a:srcRect l="6617" t="66019" r="7909" b="0"/>
                      <a:stretch/>
                    </pic:blipFill>
                    <pic:spPr bwMode="auto">
                      <a:xfrm>
                        <a:off x="0" y="0"/>
                        <a:ext cx="2110105" cy="299085"/>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30.6pt;mso-position-horizontal:absolute;mso-position-vertical-relative:text;margin-top:-12.0pt;mso-position-vertical:absolute;width:166.2pt;height:23.5pt;mso-wrap-distance-left:9.0pt;mso-wrap-distance-top:0.0pt;mso-wrap-distance-right:9.0pt;mso-wrap-distance-bottom:0.0pt;" stroked="f" strokeweight="0.75pt">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890"/>
      <w:isLgl w:val="false"/>
      <w:suff w:val="nothing"/>
      <w:lvlText w:val="第%1章"/>
      <w:lvlJc w:val="left"/>
      <w:pPr>
        <w:ind w:left="567" w:firstLine="0"/>
      </w:pPr>
    </w:lvl>
    <w:lvl w:ilvl="1">
      <w:start w:val="1"/>
      <w:numFmt w:val="none"/>
      <w:pStyle w:val="891"/>
      <w:isLgl w:val="false"/>
      <w:suff w:val="nothing"/>
      <w:lvlText w:val=""/>
      <w:lvlJc w:val="left"/>
      <w:pPr>
        <w:ind w:left="0" w:firstLine="0"/>
      </w:pPr>
    </w:lvl>
    <w:lvl w:ilvl="2">
      <w:start w:val="1"/>
      <w:numFmt w:val="none"/>
      <w:pStyle w:val="892"/>
      <w:isLgl w:val="false"/>
      <w:suff w:val="nothing"/>
      <w:lvlText w:val=""/>
      <w:lvlJc w:val="left"/>
      <w:pPr>
        <w:ind w:left="0" w:firstLine="0"/>
      </w:pPr>
    </w:lvl>
    <w:lvl w:ilvl="3">
      <w:start w:val="1"/>
      <w:numFmt w:val="none"/>
      <w:pStyle w:val="893"/>
      <w:isLgl w:val="false"/>
      <w:suff w:val="nothing"/>
      <w:lvlText w:val=""/>
      <w:lvlJc w:val="left"/>
      <w:pPr>
        <w:ind w:left="0" w:firstLine="0"/>
      </w:pPr>
    </w:lvl>
    <w:lvl w:ilvl="4">
      <w:start w:val="1"/>
      <w:numFmt w:val="none"/>
      <w:pStyle w:val="894"/>
      <w:isLgl w:val="false"/>
      <w:suff w:val="nothing"/>
      <w:lvlText w:val=""/>
      <w:lvlJc w:val="left"/>
      <w:pPr>
        <w:ind w:left="0" w:firstLine="0"/>
      </w:pPr>
    </w:lvl>
    <w:lvl w:ilvl="5">
      <w:start w:val="1"/>
      <w:numFmt w:val="none"/>
      <w:pStyle w:val="895"/>
      <w:isLgl w:val="false"/>
      <w:suff w:val="nothing"/>
      <w:lvlText w:val=""/>
      <w:lvlJc w:val="left"/>
      <w:pPr>
        <w:ind w:left="0" w:firstLine="0"/>
      </w:pPr>
    </w:lvl>
    <w:lvl w:ilvl="6">
      <w:start w:val="1"/>
      <w:numFmt w:val="none"/>
      <w:pStyle w:val="896"/>
      <w:isLgl w:val="false"/>
      <w:suff w:val="nothing"/>
      <w:lvlText w:val=""/>
      <w:lvlJc w:val="left"/>
      <w:pPr>
        <w:ind w:left="0" w:firstLine="0"/>
      </w:pPr>
    </w:lvl>
    <w:lvl w:ilvl="7">
      <w:start w:val="1"/>
      <w:numFmt w:val="none"/>
      <w:pStyle w:val="897"/>
      <w:isLgl w:val="false"/>
      <w:suff w:val="nothing"/>
      <w:lvlText w:val=""/>
      <w:lvlJc w:val="left"/>
      <w:pPr>
        <w:ind w:left="0" w:firstLine="0"/>
      </w:pPr>
    </w:lvl>
    <w:lvl w:ilvl="8">
      <w:start w:val="1"/>
      <w:numFmt w:val="none"/>
      <w:pStyle w:val="898"/>
      <w:isLgl w:val="false"/>
      <w:suff w:val="nothing"/>
      <w:lvlText w:val=""/>
      <w:lvlJc w:val="left"/>
      <w:pPr>
        <w:ind w:left="0" w:firstLine="0"/>
      </w:pPr>
    </w:lvl>
  </w:abstractNum>
  <w:abstractNum w:abstractNumId="1">
    <w:multiLevelType w:val="hybridMultilevel"/>
    <w:lvl w:ilvl="0">
      <w:start w:val="1"/>
      <w:numFmt w:val="chineseCountingThousand"/>
      <w:pStyle w:val="963"/>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983"/>
      <w:isLgl/>
      <w:suff w:val="tab"/>
      <w:lvlText w:val="%1.%2"/>
      <w:lvlJc w:val="left"/>
      <w:pPr>
        <w:ind w:left="425" w:hanging="425"/>
      </w:pPr>
      <w:rPr>
        <w:rFonts w:hint="eastAsia" w:ascii="Arial Unicode MS" w:hAnsi="Arial Unicode MS" w:eastAsia="微软雅黑"/>
        <w:b/>
        <w:i w:val="0"/>
      </w:rPr>
    </w:lvl>
    <w:lvl w:ilvl="2">
      <w:start w:val="1"/>
      <w:numFmt w:val="decimal"/>
      <w:pStyle w:val="997"/>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87"/>
      <w:isLgl w:val="false"/>
      <w:suff w:val="tab"/>
      <w:lvlText w:val="%6."/>
      <w:lvlJc w:val="left"/>
      <w:pPr>
        <w:ind w:left="4320" w:hanging="360"/>
        <w:tabs>
          <w:tab w:val="left" w:pos="4320" w:leader="none"/>
        </w:tabs>
      </w:pPr>
    </w:lvl>
    <w:lvl w:ilvl="6">
      <w:start w:val="1"/>
      <w:numFmt w:val="decimal"/>
      <w:pStyle w:val="1088"/>
      <w:isLgl w:val="false"/>
      <w:suff w:val="tab"/>
      <w:lvlText w:val="%7."/>
      <w:lvlJc w:val="left"/>
      <w:pPr>
        <w:ind w:left="5040" w:hanging="360"/>
        <w:tabs>
          <w:tab w:val="left" w:pos="5040" w:leader="none"/>
        </w:tabs>
      </w:pPr>
    </w:lvl>
    <w:lvl w:ilvl="7">
      <w:start w:val="1"/>
      <w:numFmt w:val="decimal"/>
      <w:pStyle w:val="1089"/>
      <w:isLgl w:val="false"/>
      <w:suff w:val="tab"/>
      <w:lvlText w:val="%8."/>
      <w:lvlJc w:val="left"/>
      <w:pPr>
        <w:ind w:left="5760" w:hanging="360"/>
        <w:tabs>
          <w:tab w:val="left" w:pos="5760" w:leader="none"/>
        </w:tabs>
      </w:pPr>
    </w:lvl>
    <w:lvl w:ilvl="8">
      <w:start w:val="1"/>
      <w:numFmt w:val="decimal"/>
      <w:pStyle w:val="1090"/>
      <w:isLgl w:val="false"/>
      <w:suff w:val="tab"/>
      <w:lvlText w:val="%9."/>
      <w:lvlJc w:val="left"/>
      <w:pPr>
        <w:ind w:left="6480" w:hanging="360"/>
        <w:tabs>
          <w:tab w:val="left" w:pos="648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7">
    <w:name w:val="Heading 1 Char"/>
    <w:basedOn w:val="899"/>
    <w:link w:val="890"/>
    <w:uiPriority w:val="9"/>
    <w:rPr>
      <w:rFonts w:ascii="Arial" w:hAnsi="Arial" w:eastAsia="Arial" w:cs="Arial"/>
      <w:sz w:val="40"/>
      <w:szCs w:val="40"/>
    </w:rPr>
  </w:style>
  <w:style w:type="character" w:styleId="738">
    <w:name w:val="Heading 2 Char"/>
    <w:basedOn w:val="899"/>
    <w:link w:val="891"/>
    <w:uiPriority w:val="9"/>
    <w:rPr>
      <w:rFonts w:ascii="Arial" w:hAnsi="Arial" w:eastAsia="Arial" w:cs="Arial"/>
      <w:sz w:val="34"/>
    </w:rPr>
  </w:style>
  <w:style w:type="character" w:styleId="739">
    <w:name w:val="Heading 3 Char"/>
    <w:basedOn w:val="899"/>
    <w:link w:val="892"/>
    <w:uiPriority w:val="9"/>
    <w:rPr>
      <w:rFonts w:ascii="Arial" w:hAnsi="Arial" w:eastAsia="Arial" w:cs="Arial"/>
      <w:sz w:val="30"/>
      <w:szCs w:val="30"/>
    </w:rPr>
  </w:style>
  <w:style w:type="character" w:styleId="740">
    <w:name w:val="Heading 4 Char"/>
    <w:basedOn w:val="899"/>
    <w:link w:val="893"/>
    <w:uiPriority w:val="9"/>
    <w:rPr>
      <w:rFonts w:ascii="Arial" w:hAnsi="Arial" w:eastAsia="Arial" w:cs="Arial"/>
      <w:b/>
      <w:bCs/>
      <w:sz w:val="26"/>
      <w:szCs w:val="26"/>
    </w:rPr>
  </w:style>
  <w:style w:type="character" w:styleId="741">
    <w:name w:val="Heading 5 Char"/>
    <w:basedOn w:val="899"/>
    <w:link w:val="894"/>
    <w:uiPriority w:val="9"/>
    <w:rPr>
      <w:rFonts w:ascii="Arial" w:hAnsi="Arial" w:eastAsia="Arial" w:cs="Arial"/>
      <w:b/>
      <w:bCs/>
      <w:sz w:val="24"/>
      <w:szCs w:val="24"/>
    </w:rPr>
  </w:style>
  <w:style w:type="character" w:styleId="742">
    <w:name w:val="Heading 6 Char"/>
    <w:basedOn w:val="899"/>
    <w:link w:val="895"/>
    <w:uiPriority w:val="9"/>
    <w:rPr>
      <w:rFonts w:ascii="Arial" w:hAnsi="Arial" w:eastAsia="Arial" w:cs="Arial"/>
      <w:b/>
      <w:bCs/>
      <w:sz w:val="22"/>
      <w:szCs w:val="22"/>
    </w:rPr>
  </w:style>
  <w:style w:type="character" w:styleId="743">
    <w:name w:val="Heading 7 Char"/>
    <w:basedOn w:val="899"/>
    <w:link w:val="896"/>
    <w:uiPriority w:val="9"/>
    <w:rPr>
      <w:rFonts w:ascii="Arial" w:hAnsi="Arial" w:eastAsia="Arial" w:cs="Arial"/>
      <w:b/>
      <w:bCs/>
      <w:i/>
      <w:iCs/>
      <w:sz w:val="22"/>
      <w:szCs w:val="22"/>
    </w:rPr>
  </w:style>
  <w:style w:type="character" w:styleId="744">
    <w:name w:val="Heading 8 Char"/>
    <w:basedOn w:val="899"/>
    <w:link w:val="897"/>
    <w:uiPriority w:val="9"/>
    <w:rPr>
      <w:rFonts w:ascii="Arial" w:hAnsi="Arial" w:eastAsia="Arial" w:cs="Arial"/>
      <w:i/>
      <w:iCs/>
      <w:sz w:val="22"/>
      <w:szCs w:val="22"/>
    </w:rPr>
  </w:style>
  <w:style w:type="character" w:styleId="745">
    <w:name w:val="Heading 9 Char"/>
    <w:basedOn w:val="899"/>
    <w:link w:val="898"/>
    <w:uiPriority w:val="9"/>
    <w:rPr>
      <w:rFonts w:ascii="Arial" w:hAnsi="Arial" w:eastAsia="Arial" w:cs="Arial"/>
      <w:i/>
      <w:iCs/>
      <w:sz w:val="21"/>
      <w:szCs w:val="21"/>
    </w:rPr>
  </w:style>
  <w:style w:type="paragraph" w:styleId="746">
    <w:name w:val="No Spacing"/>
    <w:uiPriority w:val="1"/>
    <w:qFormat/>
    <w:pPr>
      <w:spacing w:before="0" w:after="0" w:line="240" w:lineRule="auto"/>
    </w:pPr>
  </w:style>
  <w:style w:type="character" w:styleId="747">
    <w:name w:val="Title Char"/>
    <w:basedOn w:val="899"/>
    <w:link w:val="930"/>
    <w:uiPriority w:val="10"/>
    <w:rPr>
      <w:sz w:val="48"/>
      <w:szCs w:val="48"/>
    </w:rPr>
  </w:style>
  <w:style w:type="character" w:styleId="748">
    <w:name w:val="Subtitle Char"/>
    <w:basedOn w:val="899"/>
    <w:link w:val="922"/>
    <w:uiPriority w:val="11"/>
    <w:rPr>
      <w:sz w:val="24"/>
      <w:szCs w:val="24"/>
    </w:rPr>
  </w:style>
  <w:style w:type="paragraph" w:styleId="749">
    <w:name w:val="Quote"/>
    <w:basedOn w:val="889"/>
    <w:next w:val="889"/>
    <w:link w:val="750"/>
    <w:uiPriority w:val="29"/>
    <w:qFormat/>
    <w:pPr>
      <w:ind w:left="720" w:right="720"/>
    </w:pPr>
    <w:rPr>
      <w:i/>
    </w:rPr>
  </w:style>
  <w:style w:type="character" w:styleId="750">
    <w:name w:val="Quote Char"/>
    <w:link w:val="749"/>
    <w:uiPriority w:val="29"/>
    <w:rPr>
      <w:i/>
    </w:rPr>
  </w:style>
  <w:style w:type="paragraph" w:styleId="751">
    <w:name w:val="Intense Quote"/>
    <w:basedOn w:val="889"/>
    <w:next w:val="889"/>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name w:val="Intense Quote Char"/>
    <w:link w:val="751"/>
    <w:uiPriority w:val="30"/>
    <w:rPr>
      <w:i/>
    </w:rPr>
  </w:style>
  <w:style w:type="character" w:styleId="753">
    <w:name w:val="Header Char"/>
    <w:basedOn w:val="899"/>
    <w:link w:val="919"/>
    <w:uiPriority w:val="99"/>
  </w:style>
  <w:style w:type="character" w:styleId="754">
    <w:name w:val="Footer Char"/>
    <w:basedOn w:val="899"/>
    <w:link w:val="918"/>
    <w:uiPriority w:val="99"/>
  </w:style>
  <w:style w:type="character" w:styleId="755">
    <w:name w:val="Caption Char"/>
    <w:basedOn w:val="904"/>
    <w:link w:val="918"/>
    <w:uiPriority w:val="99"/>
  </w:style>
  <w:style w:type="table" w:styleId="756">
    <w:name w:val="Table Grid Light"/>
    <w:basedOn w:val="9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7">
    <w:name w:val="Plain Table 1"/>
    <w:basedOn w:val="9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2"/>
    <w:basedOn w:val="90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3"/>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name w:val="Plain Table 4"/>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name w:val="Plain Table 5"/>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2">
    <w:name w:val="Grid Table 1 Light"/>
    <w:basedOn w:val="90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3">
    <w:name w:val="Grid Table 1 Light - Accent 1"/>
    <w:basedOn w:val="9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4">
    <w:name w:val="Grid Table 1 Light - Accent 2"/>
    <w:basedOn w:val="9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5">
    <w:name w:val="Grid Table 1 Light - Accent 3"/>
    <w:basedOn w:val="9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6">
    <w:name w:val="Grid Table 1 Light - Accent 4"/>
    <w:basedOn w:val="9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7">
    <w:name w:val="Grid Table 1 Light - Accent 5"/>
    <w:basedOn w:val="9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8">
    <w:name w:val="Grid Table 1 Light - Accent 6"/>
    <w:basedOn w:val="9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9">
    <w:name w:val="Grid Table 2"/>
    <w:basedOn w:val="9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0">
    <w:name w:val="Grid Table 2 - Accent 1"/>
    <w:basedOn w:val="9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1">
    <w:name w:val="Grid Table 2 - Accent 2"/>
    <w:basedOn w:val="9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2 - Accent 3"/>
    <w:basedOn w:val="9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2 - Accent 4"/>
    <w:basedOn w:val="9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2 - Accent 5"/>
    <w:basedOn w:val="9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5">
    <w:name w:val="Grid Table 2 - Accent 6"/>
    <w:basedOn w:val="9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6">
    <w:name w:val="Grid Table 3"/>
    <w:basedOn w:val="9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1"/>
    <w:basedOn w:val="9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2"/>
    <w:basedOn w:val="9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3"/>
    <w:basedOn w:val="9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4"/>
    <w:basedOn w:val="9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5"/>
    <w:basedOn w:val="9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6"/>
    <w:basedOn w:val="9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4"/>
    <w:basedOn w:val="90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name w:val="Grid Table 4 - Accent 1"/>
    <w:basedOn w:val="90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5">
    <w:name w:val="Grid Table 4 - Accent 2"/>
    <w:basedOn w:val="90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6">
    <w:name w:val="Grid Table 4 - Accent 3"/>
    <w:basedOn w:val="90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7">
    <w:name w:val="Grid Table 4 - Accent 4"/>
    <w:basedOn w:val="90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8">
    <w:name w:val="Grid Table 4 - Accent 5"/>
    <w:basedOn w:val="90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9">
    <w:name w:val="Grid Table 4 - Accent 6"/>
    <w:basedOn w:val="90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0">
    <w:name w:val="Grid Table 5 Dark"/>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1">
    <w:name w:val="Grid Table 5 Dark- Accent 1"/>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2">
    <w:name w:val="Grid Table 5 Dark - Accent 2"/>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3">
    <w:name w:val="Grid Table 5 Dark - Accent 3"/>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4">
    <w:name w:val="Grid Table 5 Dark- Accent 4"/>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5">
    <w:name w:val="Grid Table 5 Dark - Accent 5"/>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6">
    <w:name w:val="Grid Table 5 Dark - Accent 6"/>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7">
    <w:name w:val="Grid Table 6 Colorful"/>
    <w:basedOn w:val="90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8">
    <w:name w:val="Grid Table 6 Colorful - Accent 1"/>
    <w:basedOn w:val="90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9">
    <w:name w:val="Grid Table 6 Colorful - Accent 2"/>
    <w:basedOn w:val="9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0">
    <w:name w:val="Grid Table 6 Colorful - Accent 3"/>
    <w:basedOn w:val="90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1">
    <w:name w:val="Grid Table 6 Colorful - Accent 4"/>
    <w:basedOn w:val="9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2">
    <w:name w:val="Grid Table 6 Colorful - Accent 5"/>
    <w:basedOn w:val="90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3">
    <w:name w:val="Grid Table 6 Colorful - Accent 6"/>
    <w:basedOn w:val="90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4">
    <w:name w:val="Grid Table 7 Colorful"/>
    <w:basedOn w:val="90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5">
    <w:name w:val="Grid Table 7 Colorful - Accent 1"/>
    <w:basedOn w:val="90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6">
    <w:name w:val="Grid Table 7 Colorful - Accent 2"/>
    <w:basedOn w:val="90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7">
    <w:name w:val="Grid Table 7 Colorful - Accent 3"/>
    <w:basedOn w:val="90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8">
    <w:name w:val="Grid Table 7 Colorful - Accent 4"/>
    <w:basedOn w:val="90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9">
    <w:name w:val="Grid Table 7 Colorful - Accent 5"/>
    <w:basedOn w:val="90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0">
    <w:name w:val="Grid Table 7 Colorful - Accent 6"/>
    <w:basedOn w:val="90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1">
    <w:name w:val="List Table 1 Light"/>
    <w:basedOn w:val="90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name w:val="List Table 1 Light - Accent 1"/>
    <w:basedOn w:val="90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3">
    <w:name w:val="List Table 1 Light - Accent 2"/>
    <w:basedOn w:val="90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4">
    <w:name w:val="List Table 1 Light - Accent 3"/>
    <w:basedOn w:val="90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5">
    <w:name w:val="List Table 1 Light - Accent 4"/>
    <w:basedOn w:val="90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6">
    <w:name w:val="List Table 1 Light - Accent 5"/>
    <w:basedOn w:val="90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7">
    <w:name w:val="List Table 1 Light - Accent 6"/>
    <w:basedOn w:val="90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8">
    <w:name w:val="List Table 2"/>
    <w:basedOn w:val="90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9">
    <w:name w:val="List Table 2 - Accent 1"/>
    <w:basedOn w:val="90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0">
    <w:name w:val="List Table 2 - Accent 2"/>
    <w:basedOn w:val="90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1">
    <w:name w:val="List Table 2 - Accent 3"/>
    <w:basedOn w:val="90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2">
    <w:name w:val="List Table 2 - Accent 4"/>
    <w:basedOn w:val="90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3">
    <w:name w:val="List Table 2 - Accent 5"/>
    <w:basedOn w:val="90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4">
    <w:name w:val="List Table 2 - Accent 6"/>
    <w:basedOn w:val="90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5">
    <w:name w:val="List Table 3"/>
    <w:basedOn w:val="9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3 - Accent 1"/>
    <w:basedOn w:val="90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7">
    <w:name w:val="List Table 3 - Accent 2"/>
    <w:basedOn w:val="9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8">
    <w:name w:val="List Table 3 - Accent 3"/>
    <w:basedOn w:val="90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9">
    <w:name w:val="List Table 3 - Accent 4"/>
    <w:basedOn w:val="9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0">
    <w:name w:val="List Table 3 - Accent 5"/>
    <w:basedOn w:val="90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1">
    <w:name w:val="List Table 3 - Accent 6"/>
    <w:basedOn w:val="90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2">
    <w:name w:val="List Table 4"/>
    <w:basedOn w:val="9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4 - Accent 1"/>
    <w:basedOn w:val="90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4">
    <w:name w:val="List Table 4 - Accent 2"/>
    <w:basedOn w:val="90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5">
    <w:name w:val="List Table 4 - Accent 3"/>
    <w:basedOn w:val="90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6">
    <w:name w:val="List Table 4 - Accent 4"/>
    <w:basedOn w:val="90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7">
    <w:name w:val="List Table 4 - Accent 5"/>
    <w:basedOn w:val="90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8">
    <w:name w:val="List Table 4 - Accent 6"/>
    <w:basedOn w:val="90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9">
    <w:name w:val="List Table 5 Dark"/>
    <w:basedOn w:val="90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1"/>
    <w:basedOn w:val="90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2"/>
    <w:basedOn w:val="90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3"/>
    <w:basedOn w:val="90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4"/>
    <w:basedOn w:val="90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5"/>
    <w:basedOn w:val="90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6"/>
    <w:basedOn w:val="90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6 Colorful"/>
    <w:basedOn w:val="90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7">
    <w:name w:val="List Table 6 Colorful - Accent 1"/>
    <w:basedOn w:val="90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8">
    <w:name w:val="List Table 6 Colorful - Accent 2"/>
    <w:basedOn w:val="90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9">
    <w:name w:val="List Table 6 Colorful - Accent 3"/>
    <w:basedOn w:val="90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0">
    <w:name w:val="List Table 6 Colorful - Accent 4"/>
    <w:basedOn w:val="90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1">
    <w:name w:val="List Table 6 Colorful - Accent 5"/>
    <w:basedOn w:val="90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2">
    <w:name w:val="List Table 6 Colorful - Accent 6"/>
    <w:basedOn w:val="90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3">
    <w:name w:val="List Table 7 Colorful"/>
    <w:basedOn w:val="90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4">
    <w:name w:val="List Table 7 Colorful - Accent 1"/>
    <w:basedOn w:val="90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5">
    <w:name w:val="List Table 7 Colorful - Accent 2"/>
    <w:basedOn w:val="90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6">
    <w:name w:val="List Table 7 Colorful - Accent 3"/>
    <w:basedOn w:val="90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7">
    <w:name w:val="List Table 7 Colorful - Accent 4"/>
    <w:basedOn w:val="90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8">
    <w:name w:val="List Table 7 Colorful - Accent 5"/>
    <w:basedOn w:val="90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9">
    <w:name w:val="List Table 7 Colorful - Accent 6"/>
    <w:basedOn w:val="90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0">
    <w:name w:val="Lined - Accent"/>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Lined - Accent 1"/>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2">
    <w:name w:val="Lined - Accent 2"/>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3">
    <w:name w:val="Lined - Accent 3"/>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4">
    <w:name w:val="Lined - Accent 4"/>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5">
    <w:name w:val="Lined - Accent 5"/>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6">
    <w:name w:val="Lined - Accent 6"/>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7">
    <w:name w:val="Bordered &amp; Lined - Accent"/>
    <w:basedOn w:val="90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Bordered &amp; Lined - Accent 1"/>
    <w:basedOn w:val="90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9">
    <w:name w:val="Bordered &amp; Lined - Accent 2"/>
    <w:basedOn w:val="90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0">
    <w:name w:val="Bordered &amp; Lined - Accent 3"/>
    <w:basedOn w:val="90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1">
    <w:name w:val="Bordered &amp; Lined - Accent 4"/>
    <w:basedOn w:val="90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2">
    <w:name w:val="Bordered &amp; Lined - Accent 5"/>
    <w:basedOn w:val="90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3">
    <w:name w:val="Bordered &amp; Lined - Accent 6"/>
    <w:basedOn w:val="90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4">
    <w:name w:val="Bordered"/>
    <w:basedOn w:val="90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5">
    <w:name w:val="Bordered - Accent 1"/>
    <w:basedOn w:val="9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6">
    <w:name w:val="Bordered - Accent 2"/>
    <w:basedOn w:val="9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7">
    <w:name w:val="Bordered - Accent 3"/>
    <w:basedOn w:val="9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8">
    <w:name w:val="Bordered - Accent 4"/>
    <w:basedOn w:val="9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9">
    <w:name w:val="Bordered - Accent 5"/>
    <w:basedOn w:val="9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0">
    <w:name w:val="Bordered - Accent 6"/>
    <w:basedOn w:val="9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1">
    <w:name w:val="footnote text"/>
    <w:basedOn w:val="889"/>
    <w:link w:val="882"/>
    <w:uiPriority w:val="99"/>
    <w:semiHidden/>
    <w:unhideWhenUsed/>
    <w:pPr>
      <w:spacing w:after="40" w:line="240" w:lineRule="auto"/>
    </w:pPr>
    <w:rPr>
      <w:sz w:val="18"/>
    </w:rPr>
  </w:style>
  <w:style w:type="character" w:styleId="882">
    <w:name w:val="Footnote Text Char"/>
    <w:link w:val="881"/>
    <w:uiPriority w:val="99"/>
    <w:rPr>
      <w:sz w:val="18"/>
    </w:rPr>
  </w:style>
  <w:style w:type="character" w:styleId="883">
    <w:name w:val="footnote reference"/>
    <w:basedOn w:val="899"/>
    <w:uiPriority w:val="99"/>
    <w:unhideWhenUsed/>
    <w:rPr>
      <w:vertAlign w:val="superscript"/>
    </w:rPr>
  </w:style>
  <w:style w:type="paragraph" w:styleId="884">
    <w:name w:val="endnote text"/>
    <w:basedOn w:val="889"/>
    <w:link w:val="885"/>
    <w:uiPriority w:val="99"/>
    <w:semiHidden/>
    <w:unhideWhenUsed/>
    <w:pPr>
      <w:spacing w:after="0" w:line="240" w:lineRule="auto"/>
    </w:pPr>
    <w:rPr>
      <w:sz w:val="20"/>
    </w:rPr>
  </w:style>
  <w:style w:type="character" w:styleId="885">
    <w:name w:val="Endnote Text Char"/>
    <w:link w:val="884"/>
    <w:uiPriority w:val="99"/>
    <w:rPr>
      <w:sz w:val="20"/>
    </w:rPr>
  </w:style>
  <w:style w:type="character" w:styleId="886">
    <w:name w:val="endnote reference"/>
    <w:basedOn w:val="899"/>
    <w:uiPriority w:val="99"/>
    <w:semiHidden/>
    <w:unhideWhenUsed/>
    <w:rPr>
      <w:vertAlign w:val="superscript"/>
    </w:rPr>
  </w:style>
  <w:style w:type="paragraph" w:styleId="887">
    <w:name w:val="TOC Heading"/>
    <w:uiPriority w:val="39"/>
    <w:unhideWhenUsed/>
  </w:style>
  <w:style w:type="paragraph" w:styleId="888">
    <w:name w:val="table of figures"/>
    <w:basedOn w:val="889"/>
    <w:next w:val="889"/>
    <w:uiPriority w:val="99"/>
    <w:unhideWhenUsed/>
    <w:pPr>
      <w:spacing w:after="0" w:afterAutospacing="0"/>
    </w:pPr>
  </w:style>
  <w:style w:type="paragraph" w:styleId="88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90">
    <w:name w:val="Heading 1"/>
    <w:basedOn w:val="889"/>
    <w:next w:val="889"/>
    <w:link w:val="1072"/>
    <w:uiPriority w:val="0"/>
    <w:qFormat/>
    <w:pPr>
      <w:numPr>
        <w:ilvl w:val="0"/>
        <w:numId w:val="1"/>
      </w:numPr>
      <w:jc w:val="center"/>
      <w:keepLines/>
      <w:keepNext/>
      <w:spacing w:before="340" w:after="330" w:line="578" w:lineRule="auto"/>
      <w:outlineLvl w:val="0"/>
    </w:pPr>
    <w:rPr>
      <w:b/>
      <w:bCs/>
      <w:sz w:val="32"/>
      <w:szCs w:val="44"/>
    </w:rPr>
  </w:style>
  <w:style w:type="paragraph" w:styleId="891">
    <w:name w:val="Heading 2"/>
    <w:basedOn w:val="889"/>
    <w:next w:val="889"/>
    <w:link w:val="1009"/>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92">
    <w:name w:val="Heading 3"/>
    <w:basedOn w:val="889"/>
    <w:next w:val="889"/>
    <w:link w:val="1043"/>
    <w:uiPriority w:val="0"/>
    <w:qFormat/>
    <w:pPr>
      <w:numPr>
        <w:ilvl w:val="2"/>
        <w:numId w:val="1"/>
      </w:numPr>
      <w:keepLines/>
      <w:keepNext/>
      <w:spacing w:before="260" w:after="260" w:line="416" w:lineRule="auto"/>
      <w:outlineLvl w:val="2"/>
    </w:pPr>
    <w:rPr>
      <w:b/>
      <w:bCs/>
      <w:sz w:val="32"/>
      <w:szCs w:val="32"/>
    </w:rPr>
  </w:style>
  <w:style w:type="paragraph" w:styleId="893">
    <w:name w:val="Heading 4"/>
    <w:basedOn w:val="889"/>
    <w:next w:val="889"/>
    <w:link w:val="1077"/>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94">
    <w:name w:val="Heading 5"/>
    <w:basedOn w:val="889"/>
    <w:next w:val="889"/>
    <w:link w:val="1033"/>
    <w:uiPriority w:val="0"/>
    <w:qFormat/>
    <w:pPr>
      <w:numPr>
        <w:ilvl w:val="4"/>
        <w:numId w:val="1"/>
      </w:numPr>
      <w:keepLines/>
      <w:keepNext/>
      <w:spacing w:before="280" w:after="290" w:line="376" w:lineRule="auto"/>
      <w:outlineLvl w:val="4"/>
    </w:pPr>
    <w:rPr>
      <w:b/>
      <w:bCs/>
      <w:sz w:val="28"/>
      <w:szCs w:val="28"/>
    </w:rPr>
  </w:style>
  <w:style w:type="paragraph" w:styleId="895">
    <w:name w:val="Heading 6"/>
    <w:basedOn w:val="889"/>
    <w:next w:val="889"/>
    <w:link w:val="1021"/>
    <w:uiPriority w:val="0"/>
    <w:qFormat/>
    <w:pPr>
      <w:numPr>
        <w:ilvl w:val="5"/>
        <w:numId w:val="1"/>
      </w:numPr>
      <w:keepLines/>
      <w:keepNext/>
      <w:spacing w:before="240" w:after="64" w:line="320" w:lineRule="auto"/>
      <w:outlineLvl w:val="5"/>
    </w:pPr>
    <w:rPr>
      <w:rFonts w:ascii="Cambria" w:hAnsi="Cambria"/>
      <w:b/>
      <w:bCs/>
      <w:sz w:val="24"/>
    </w:rPr>
  </w:style>
  <w:style w:type="paragraph" w:styleId="896">
    <w:name w:val="Heading 7"/>
    <w:basedOn w:val="889"/>
    <w:next w:val="889"/>
    <w:link w:val="1071"/>
    <w:uiPriority w:val="0"/>
    <w:qFormat/>
    <w:pPr>
      <w:numPr>
        <w:ilvl w:val="6"/>
        <w:numId w:val="1"/>
      </w:numPr>
      <w:keepLines/>
      <w:keepNext/>
      <w:spacing w:before="240" w:after="64" w:line="320" w:lineRule="auto"/>
      <w:outlineLvl w:val="6"/>
    </w:pPr>
    <w:rPr>
      <w:b/>
      <w:bCs/>
      <w:sz w:val="24"/>
    </w:rPr>
  </w:style>
  <w:style w:type="paragraph" w:styleId="897">
    <w:name w:val="Heading 8"/>
    <w:basedOn w:val="889"/>
    <w:next w:val="889"/>
    <w:link w:val="1057"/>
    <w:uiPriority w:val="0"/>
    <w:qFormat/>
    <w:pPr>
      <w:numPr>
        <w:ilvl w:val="7"/>
        <w:numId w:val="1"/>
      </w:numPr>
      <w:keepLines/>
      <w:keepNext/>
      <w:spacing w:before="240" w:after="64" w:line="320" w:lineRule="auto"/>
      <w:outlineLvl w:val="7"/>
    </w:pPr>
    <w:rPr>
      <w:rFonts w:ascii="Cambria" w:hAnsi="Cambria"/>
      <w:sz w:val="24"/>
    </w:rPr>
  </w:style>
  <w:style w:type="paragraph" w:styleId="898">
    <w:name w:val="Heading 9"/>
    <w:basedOn w:val="889"/>
    <w:next w:val="889"/>
    <w:link w:val="1037"/>
    <w:uiPriority w:val="0"/>
    <w:qFormat/>
    <w:pPr>
      <w:numPr>
        <w:ilvl w:val="8"/>
        <w:numId w:val="1"/>
      </w:numPr>
      <w:keepLines/>
      <w:keepNext/>
      <w:spacing w:before="240" w:after="64" w:line="320" w:lineRule="auto"/>
      <w:outlineLvl w:val="8"/>
    </w:pPr>
    <w:rPr>
      <w:rFonts w:ascii="Cambria" w:hAnsi="Cambria"/>
      <w:szCs w:val="21"/>
    </w:rPr>
  </w:style>
  <w:style w:type="character" w:styleId="899" w:default="1">
    <w:name w:val="Default Paragraph Font"/>
    <w:uiPriority w:val="1"/>
    <w:semiHidden/>
    <w:unhideWhenUsed/>
    <w:qFormat/>
  </w:style>
  <w:style w:type="table" w:styleId="900" w:default="1">
    <w:name w:val="Normal Table"/>
    <w:uiPriority w:val="99"/>
    <w:semiHidden/>
    <w:unhideWhenUsed/>
    <w:qFormat/>
    <w:tblPr>
      <w:tblCellMar>
        <w:left w:w="108" w:type="dxa"/>
        <w:top w:w="0" w:type="dxa"/>
        <w:right w:w="108" w:type="dxa"/>
        <w:bottom w:w="0" w:type="dxa"/>
      </w:tblCellMar>
    </w:tblPr>
  </w:style>
  <w:style w:type="paragraph" w:styleId="901">
    <w:name w:val="List 3"/>
    <w:basedOn w:val="889"/>
    <w:uiPriority w:val="99"/>
    <w:unhideWhenUsed/>
    <w:qFormat/>
    <w:pPr>
      <w:ind w:left="1260" w:hanging="420"/>
      <w:spacing w:before="100" w:beforeAutospacing="1" w:after="100" w:afterAutospacing="1"/>
    </w:pPr>
    <w:rPr>
      <w:szCs w:val="21"/>
    </w:rPr>
  </w:style>
  <w:style w:type="paragraph" w:styleId="902">
    <w:name w:val="toc 7"/>
    <w:basedOn w:val="889"/>
    <w:next w:val="889"/>
    <w:uiPriority w:val="39"/>
    <w:unhideWhenUsed/>
    <w:qFormat/>
    <w:pPr>
      <w:ind w:left="2520"/>
    </w:pPr>
    <w:rPr>
      <w:rFonts w:ascii="Calibri" w:hAnsi="Calibri"/>
      <w:szCs w:val="22"/>
    </w:rPr>
  </w:style>
  <w:style w:type="paragraph" w:styleId="903">
    <w:name w:val="Normal Indent"/>
    <w:basedOn w:val="889"/>
    <w:link w:val="1091"/>
    <w:uiPriority w:val="0"/>
    <w:qFormat/>
    <w:pPr>
      <w:ind w:firstLine="420"/>
    </w:pPr>
    <w:rPr>
      <w:b/>
      <w:sz w:val="24"/>
      <w:szCs w:val="20"/>
    </w:rPr>
  </w:style>
  <w:style w:type="paragraph" w:styleId="904">
    <w:name w:val="Caption"/>
    <w:basedOn w:val="889"/>
    <w:next w:val="889"/>
    <w:uiPriority w:val="0"/>
    <w:qFormat/>
    <w:rPr>
      <w:rFonts w:ascii="Cambria" w:hAnsi="Cambria" w:eastAsia="黑体"/>
      <w:sz w:val="20"/>
      <w:szCs w:val="22"/>
    </w:rPr>
  </w:style>
  <w:style w:type="paragraph" w:styleId="905">
    <w:name w:val="Document Map"/>
    <w:basedOn w:val="889"/>
    <w:link w:val="1028"/>
    <w:uiPriority w:val="0"/>
    <w:qFormat/>
    <w:rPr>
      <w:rFonts w:ascii="宋体"/>
      <w:sz w:val="18"/>
      <w:szCs w:val="18"/>
    </w:rPr>
  </w:style>
  <w:style w:type="paragraph" w:styleId="906">
    <w:name w:val="annotation text"/>
    <w:basedOn w:val="889"/>
    <w:link w:val="1049"/>
    <w:uiPriority w:val="99"/>
    <w:qFormat/>
    <w:pPr>
      <w:jc w:val="left"/>
    </w:pPr>
  </w:style>
  <w:style w:type="paragraph" w:styleId="907">
    <w:name w:val="Body Text 3"/>
    <w:basedOn w:val="889"/>
    <w:link w:val="1067"/>
    <w:uiPriority w:val="0"/>
    <w:qFormat/>
    <w:rPr>
      <w:rFonts w:ascii="宋体"/>
      <w:sz w:val="24"/>
      <w:szCs w:val="20"/>
    </w:rPr>
  </w:style>
  <w:style w:type="paragraph" w:styleId="908">
    <w:name w:val="Body Text"/>
    <w:basedOn w:val="889"/>
    <w:link w:val="1056"/>
    <w:uiPriority w:val="0"/>
    <w:qFormat/>
    <w:pPr>
      <w:jc w:val="center"/>
    </w:pPr>
    <w:rPr>
      <w:rFonts w:eastAsia="幼圆"/>
      <w:b/>
      <w:bCs/>
      <w:sz w:val="44"/>
    </w:rPr>
  </w:style>
  <w:style w:type="paragraph" w:styleId="909">
    <w:name w:val="Body Text Indent"/>
    <w:basedOn w:val="889"/>
    <w:link w:val="1017"/>
    <w:uiPriority w:val="0"/>
    <w:qFormat/>
    <w:pPr>
      <w:ind w:left="420"/>
      <w:spacing w:after="120"/>
    </w:pPr>
  </w:style>
  <w:style w:type="paragraph" w:styleId="910">
    <w:name w:val="index 4"/>
    <w:basedOn w:val="889"/>
    <w:next w:val="889"/>
    <w:uiPriority w:val="0"/>
    <w:qFormat/>
    <w:pPr>
      <w:ind w:left="600"/>
    </w:pPr>
    <w:rPr>
      <w:rFonts w:ascii="Calibri" w:hAnsi="Calibri"/>
    </w:rPr>
  </w:style>
  <w:style w:type="paragraph" w:styleId="911">
    <w:name w:val="toc 5"/>
    <w:basedOn w:val="889"/>
    <w:next w:val="889"/>
    <w:uiPriority w:val="39"/>
    <w:unhideWhenUsed/>
    <w:qFormat/>
    <w:pPr>
      <w:ind w:left="1680"/>
    </w:pPr>
    <w:rPr>
      <w:rFonts w:ascii="Calibri" w:hAnsi="Calibri"/>
      <w:szCs w:val="22"/>
    </w:rPr>
  </w:style>
  <w:style w:type="paragraph" w:styleId="912">
    <w:name w:val="toc 3"/>
    <w:basedOn w:val="889"/>
    <w:next w:val="889"/>
    <w:uiPriority w:val="39"/>
    <w:qFormat/>
    <w:pPr>
      <w:ind w:left="840"/>
    </w:pPr>
    <w:rPr>
      <w:rFonts w:ascii="Calibri" w:hAnsi="Calibri"/>
      <w:szCs w:val="22"/>
    </w:rPr>
  </w:style>
  <w:style w:type="paragraph" w:styleId="913">
    <w:name w:val="Plain Text"/>
    <w:basedOn w:val="889"/>
    <w:next w:val="889"/>
    <w:link w:val="1022"/>
    <w:uiPriority w:val="0"/>
    <w:qFormat/>
    <w:rPr>
      <w:rFonts w:ascii="Ari"/>
      <w:sz w:val="20"/>
      <w:szCs w:val="20"/>
    </w:rPr>
  </w:style>
  <w:style w:type="paragraph" w:styleId="914">
    <w:name w:val="toc 8"/>
    <w:basedOn w:val="889"/>
    <w:next w:val="889"/>
    <w:uiPriority w:val="39"/>
    <w:unhideWhenUsed/>
    <w:qFormat/>
    <w:pPr>
      <w:ind w:left="2940"/>
    </w:pPr>
    <w:rPr>
      <w:rFonts w:ascii="Calibri" w:hAnsi="Calibri"/>
      <w:szCs w:val="22"/>
    </w:rPr>
  </w:style>
  <w:style w:type="paragraph" w:styleId="915">
    <w:name w:val="Date"/>
    <w:basedOn w:val="889"/>
    <w:next w:val="889"/>
    <w:link w:val="1029"/>
    <w:uiPriority w:val="0"/>
    <w:unhideWhenUsed/>
    <w:qFormat/>
  </w:style>
  <w:style w:type="paragraph" w:styleId="916">
    <w:name w:val="Body Text Indent 2"/>
    <w:basedOn w:val="889"/>
    <w:link w:val="1048"/>
    <w:uiPriority w:val="99"/>
    <w:unhideWhenUsed/>
    <w:qFormat/>
    <w:pPr>
      <w:ind w:firstLine="525"/>
      <w:spacing w:line="420" w:lineRule="exact"/>
    </w:pPr>
    <w:rPr>
      <w:rFonts w:ascii="宋体"/>
      <w:sz w:val="20"/>
      <w:szCs w:val="20"/>
    </w:rPr>
  </w:style>
  <w:style w:type="paragraph" w:styleId="917">
    <w:name w:val="Balloon Text"/>
    <w:basedOn w:val="889"/>
    <w:link w:val="1070"/>
    <w:uiPriority w:val="0"/>
    <w:qFormat/>
    <w:rPr>
      <w:sz w:val="18"/>
      <w:szCs w:val="18"/>
    </w:rPr>
  </w:style>
  <w:style w:type="paragraph" w:styleId="918">
    <w:name w:val="Footer"/>
    <w:basedOn w:val="889"/>
    <w:link w:val="1061"/>
    <w:uiPriority w:val="99"/>
    <w:qFormat/>
    <w:pPr>
      <w:jc w:val="left"/>
      <w:tabs>
        <w:tab w:val="center" w:pos="4153" w:leader="none"/>
        <w:tab w:val="right" w:pos="8306" w:leader="none"/>
      </w:tabs>
    </w:pPr>
    <w:rPr>
      <w:sz w:val="18"/>
      <w:szCs w:val="18"/>
    </w:rPr>
  </w:style>
  <w:style w:type="paragraph" w:styleId="919">
    <w:name w:val="Header"/>
    <w:basedOn w:val="889"/>
    <w:link w:val="1020"/>
    <w:uiPriority w:val="99"/>
    <w:qFormat/>
    <w:pPr>
      <w:jc w:val="center"/>
      <w:tabs>
        <w:tab w:val="center" w:pos="4153" w:leader="none"/>
        <w:tab w:val="right" w:pos="8306" w:leader="none"/>
      </w:tabs>
      <w:pBdr>
        <w:bottom w:val="single" w:color="auto" w:sz="6" w:space="1"/>
      </w:pBdr>
    </w:pPr>
    <w:rPr>
      <w:sz w:val="18"/>
      <w:szCs w:val="18"/>
    </w:rPr>
  </w:style>
  <w:style w:type="paragraph" w:styleId="920">
    <w:name w:val="toc 1"/>
    <w:basedOn w:val="889"/>
    <w:next w:val="889"/>
    <w:uiPriority w:val="39"/>
    <w:qFormat/>
  </w:style>
  <w:style w:type="paragraph" w:styleId="921">
    <w:name w:val="toc 4"/>
    <w:basedOn w:val="889"/>
    <w:next w:val="889"/>
    <w:uiPriority w:val="39"/>
    <w:unhideWhenUsed/>
    <w:qFormat/>
    <w:pPr>
      <w:ind w:left="1260"/>
    </w:pPr>
    <w:rPr>
      <w:rFonts w:ascii="Calibri" w:hAnsi="Calibri"/>
      <w:szCs w:val="22"/>
    </w:rPr>
  </w:style>
  <w:style w:type="paragraph" w:styleId="922">
    <w:name w:val="Subtitle"/>
    <w:basedOn w:val="889"/>
    <w:next w:val="889"/>
    <w:link w:val="1045"/>
    <w:uiPriority w:val="0"/>
    <w:qFormat/>
    <w:pPr>
      <w:jc w:val="center"/>
      <w:spacing w:before="240" w:after="60" w:line="312" w:lineRule="auto"/>
      <w:outlineLvl w:val="1"/>
    </w:pPr>
    <w:rPr>
      <w:rFonts w:ascii="Cambria" w:hAnsi="Cambria"/>
      <w:b/>
      <w:bCs/>
      <w:sz w:val="32"/>
      <w:szCs w:val="32"/>
    </w:rPr>
  </w:style>
  <w:style w:type="paragraph" w:styleId="923">
    <w:name w:val="toc 6"/>
    <w:basedOn w:val="889"/>
    <w:next w:val="889"/>
    <w:uiPriority w:val="39"/>
    <w:unhideWhenUsed/>
    <w:qFormat/>
    <w:pPr>
      <w:ind w:left="2100"/>
    </w:pPr>
    <w:rPr>
      <w:rFonts w:ascii="Calibri" w:hAnsi="Calibri"/>
      <w:szCs w:val="22"/>
    </w:rPr>
  </w:style>
  <w:style w:type="paragraph" w:styleId="924">
    <w:name w:val="Body Text Indent 3"/>
    <w:basedOn w:val="889"/>
    <w:link w:val="1068"/>
    <w:uiPriority w:val="0"/>
    <w:qFormat/>
    <w:pPr>
      <w:ind w:left="420"/>
      <w:spacing w:after="120"/>
    </w:pPr>
    <w:rPr>
      <w:sz w:val="16"/>
      <w:szCs w:val="20"/>
    </w:rPr>
  </w:style>
  <w:style w:type="paragraph" w:styleId="925">
    <w:name w:val="toc 2"/>
    <w:basedOn w:val="889"/>
    <w:next w:val="889"/>
    <w:uiPriority w:val="39"/>
    <w:qFormat/>
    <w:pPr>
      <w:ind w:left="420"/>
    </w:pPr>
    <w:rPr>
      <w:rFonts w:ascii="Calibri" w:hAnsi="Calibri"/>
      <w:szCs w:val="22"/>
    </w:rPr>
  </w:style>
  <w:style w:type="paragraph" w:styleId="926">
    <w:name w:val="toc 9"/>
    <w:basedOn w:val="889"/>
    <w:next w:val="889"/>
    <w:uiPriority w:val="39"/>
    <w:unhideWhenUsed/>
    <w:qFormat/>
    <w:pPr>
      <w:ind w:left="3360"/>
    </w:pPr>
    <w:rPr>
      <w:rFonts w:ascii="Calibri" w:hAnsi="Calibri"/>
      <w:szCs w:val="22"/>
    </w:rPr>
  </w:style>
  <w:style w:type="paragraph" w:styleId="927">
    <w:name w:val="HTML Preformatted"/>
    <w:basedOn w:val="889"/>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28">
    <w:name w:val="Normal (Web)"/>
    <w:basedOn w:val="889"/>
    <w:uiPriority w:val="99"/>
    <w:qFormat/>
    <w:pPr>
      <w:jc w:val="left"/>
      <w:spacing w:before="100" w:beforeAutospacing="1" w:after="100" w:afterAutospacing="1"/>
      <w:widowControl/>
    </w:pPr>
    <w:rPr>
      <w:rFonts w:ascii="宋体" w:hAnsi="宋体" w:cs="宋体"/>
      <w:sz w:val="24"/>
    </w:rPr>
  </w:style>
  <w:style w:type="paragraph" w:styleId="929">
    <w:name w:val="index 1"/>
    <w:basedOn w:val="889"/>
    <w:next w:val="889"/>
    <w:uiPriority w:val="0"/>
    <w:qFormat/>
    <w:pPr>
      <w:jc w:val="center"/>
      <w:spacing w:line="220" w:lineRule="exact"/>
    </w:pPr>
    <w:rPr>
      <w:rFonts w:ascii="仿宋_GB2312" w:hAnsi="Calibri" w:eastAsia="仿宋_GB2312"/>
      <w:szCs w:val="22"/>
    </w:rPr>
  </w:style>
  <w:style w:type="paragraph" w:styleId="930">
    <w:name w:val="Title"/>
    <w:basedOn w:val="889"/>
    <w:link w:val="1025"/>
    <w:uiPriority w:val="0"/>
    <w:qFormat/>
    <w:pPr>
      <w:jc w:val="center"/>
      <w:spacing w:before="240" w:after="60" w:line="420" w:lineRule="atLeast"/>
      <w:outlineLvl w:val="0"/>
    </w:pPr>
    <w:rPr>
      <w:rFonts w:ascii="Arial" w:hAnsi="Arial"/>
      <w:b/>
      <w:sz w:val="32"/>
      <w:szCs w:val="20"/>
    </w:rPr>
  </w:style>
  <w:style w:type="paragraph" w:styleId="931">
    <w:name w:val="annotation subject"/>
    <w:basedOn w:val="906"/>
    <w:next w:val="906"/>
    <w:link w:val="1059"/>
    <w:uiPriority w:val="0"/>
    <w:qFormat/>
    <w:rPr>
      <w:b/>
      <w:bCs/>
    </w:rPr>
  </w:style>
  <w:style w:type="paragraph" w:styleId="932">
    <w:name w:val="Body Text First Indent"/>
    <w:basedOn w:val="889"/>
    <w:link w:val="1081"/>
    <w:uiPriority w:val="0"/>
    <w:semiHidden/>
    <w:unhideWhenUsed/>
    <w:qFormat/>
    <w:pPr>
      <w:ind w:firstLine="420"/>
      <w:jc w:val="both"/>
      <w:spacing w:after="120"/>
    </w:pPr>
    <w:rPr>
      <w:rFonts w:eastAsia="宋体"/>
      <w:sz w:val="21"/>
    </w:rPr>
  </w:style>
  <w:style w:type="table" w:styleId="933">
    <w:name w:val="Table Grid"/>
    <w:basedOn w:val="900"/>
    <w:uiPriority w:val="3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4">
    <w:name w:val="Strong"/>
    <w:uiPriority w:val="0"/>
    <w:qFormat/>
    <w:rPr>
      <w:rFonts w:cs="Times New Roman"/>
      <w:b/>
    </w:rPr>
  </w:style>
  <w:style w:type="character" w:styleId="935">
    <w:name w:val="page number"/>
    <w:uiPriority w:val="0"/>
    <w:qFormat/>
    <w:rPr>
      <w:rFonts w:eastAsia="宋体"/>
      <w:b/>
      <w:spacing w:val="0"/>
      <w:sz w:val="24"/>
      <w:szCs w:val="24"/>
      <w:lang w:val="en-US" w:eastAsia="zh-CN" w:bidi="ar-SA"/>
    </w:rPr>
  </w:style>
  <w:style w:type="character" w:styleId="936">
    <w:name w:val="FollowedHyperlink"/>
    <w:uiPriority w:val="0"/>
    <w:qFormat/>
    <w:rPr>
      <w:color w:val="800080"/>
      <w:u w:val="single"/>
    </w:rPr>
  </w:style>
  <w:style w:type="character" w:styleId="937">
    <w:name w:val="Emphasis"/>
    <w:uiPriority w:val="0"/>
    <w:qFormat/>
    <w:rPr>
      <w:color w:val="cc0000"/>
    </w:rPr>
  </w:style>
  <w:style w:type="character" w:styleId="938">
    <w:name w:val="Hyperlink"/>
    <w:uiPriority w:val="99"/>
    <w:qFormat/>
    <w:rPr>
      <w:color w:val="0000ff"/>
      <w:u w:val="single"/>
    </w:rPr>
  </w:style>
  <w:style w:type="character" w:styleId="939">
    <w:name w:val="annotation reference"/>
    <w:uiPriority w:val="99"/>
    <w:qFormat/>
    <w:rPr>
      <w:sz w:val="21"/>
      <w:szCs w:val="21"/>
    </w:rPr>
  </w:style>
  <w:style w:type="character" w:styleId="940">
    <w:name w:val="HTML Cite"/>
    <w:uiPriority w:val="0"/>
    <w:qFormat/>
    <w:rPr>
      <w:color w:val="008000"/>
    </w:rPr>
  </w:style>
  <w:style w:type="paragraph" w:styleId="941" w:customStyle="1">
    <w:name w:val="正文首行缩进 21"/>
    <w:basedOn w:val="942"/>
    <w:uiPriority w:val="0"/>
    <w:qFormat/>
    <w:pPr>
      <w:ind w:left="420" w:firstLine="420"/>
      <w:jc w:val="left"/>
      <w:spacing w:after="120" w:line="315" w:lineRule="atLeast"/>
    </w:pPr>
    <w:rPr>
      <w:rFonts w:ascii="宋体"/>
      <w:sz w:val="24"/>
      <w:szCs w:val="24"/>
    </w:rPr>
  </w:style>
  <w:style w:type="paragraph" w:styleId="942" w:customStyle="1">
    <w:name w:val="正文文本缩进1"/>
    <w:basedOn w:val="889"/>
    <w:next w:val="941"/>
    <w:uiPriority w:val="0"/>
    <w:qFormat/>
    <w:pPr>
      <w:ind w:left="420"/>
      <w:spacing w:after="120"/>
    </w:pPr>
    <w:rPr>
      <w:szCs w:val="24"/>
    </w:rPr>
  </w:style>
  <w:style w:type="paragraph" w:styleId="943" w:customStyle="1">
    <w:name w:val="索引 41"/>
    <w:basedOn w:val="889"/>
    <w:next w:val="889"/>
    <w:uiPriority w:val="0"/>
    <w:semiHidden/>
    <w:qFormat/>
    <w:pPr>
      <w:ind w:left="1260"/>
    </w:pPr>
    <w:rPr>
      <w:rFonts w:eastAsia="Calibri" w:cs="宋体"/>
      <w:sz w:val="20"/>
      <w:lang w:val="zh-CN"/>
    </w:rPr>
  </w:style>
  <w:style w:type="paragraph" w:styleId="944" w:customStyle="1">
    <w:name w:val="列表段落1"/>
    <w:basedOn w:val="889"/>
    <w:next w:val="906"/>
    <w:uiPriority w:val="34"/>
    <w:qFormat/>
    <w:pPr>
      <w:ind w:firstLine="420"/>
    </w:pPr>
  </w:style>
  <w:style w:type="paragraph" w:styleId="945" w:customStyle="1">
    <w:name w:val="列出段落1"/>
    <w:basedOn w:val="889"/>
    <w:uiPriority w:val="0"/>
    <w:qFormat/>
    <w:pPr>
      <w:ind w:firstLine="420"/>
    </w:pPr>
  </w:style>
  <w:style w:type="paragraph" w:styleId="946" w:customStyle="1">
    <w:name w:val="标题 3_0"/>
    <w:basedOn w:val="947"/>
    <w:next w:val="947"/>
    <w:link w:val="1008"/>
    <w:uiPriority w:val="0"/>
    <w:qFormat/>
    <w:pPr>
      <w:keepLines/>
      <w:keepNext/>
      <w:spacing w:before="260" w:after="260" w:line="416" w:lineRule="auto"/>
      <w:outlineLvl w:val="2"/>
    </w:pPr>
    <w:rPr>
      <w:b/>
      <w:bCs/>
      <w:sz w:val="32"/>
      <w:szCs w:val="32"/>
    </w:rPr>
  </w:style>
  <w:style w:type="paragraph" w:styleId="947"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948" w:customStyle="1">
    <w:name w:val="引用1"/>
    <w:basedOn w:val="889"/>
    <w:next w:val="889"/>
    <w:link w:val="1013"/>
    <w:uiPriority w:val="0"/>
    <w:qFormat/>
    <w:rPr>
      <w:i/>
      <w:iCs/>
      <w:color w:val="000000"/>
      <w:sz w:val="20"/>
      <w:szCs w:val="20"/>
    </w:rPr>
  </w:style>
  <w:style w:type="paragraph" w:styleId="949" w:customStyle="1">
    <w:name w:val="标题 1_0"/>
    <w:basedOn w:val="947"/>
    <w:next w:val="947"/>
    <w:link w:val="1014"/>
    <w:uiPriority w:val="0"/>
    <w:qFormat/>
    <w:pPr>
      <w:keepLines/>
      <w:keepNext/>
      <w:spacing w:before="340" w:after="330" w:line="578" w:lineRule="auto"/>
      <w:outlineLvl w:val="0"/>
    </w:pPr>
    <w:rPr>
      <w:b/>
      <w:bCs/>
      <w:sz w:val="44"/>
      <w:szCs w:val="44"/>
    </w:rPr>
  </w:style>
  <w:style w:type="paragraph" w:styleId="950" w:customStyle="1">
    <w:name w:val="标题 4_0"/>
    <w:basedOn w:val="947"/>
    <w:next w:val="947"/>
    <w:link w:val="1019"/>
    <w:uiPriority w:val="0"/>
    <w:qFormat/>
    <w:pPr>
      <w:keepLines/>
      <w:keepNext/>
      <w:spacing w:before="280" w:after="290" w:line="376" w:lineRule="auto"/>
      <w:outlineLvl w:val="3"/>
    </w:pPr>
    <w:rPr>
      <w:rFonts w:ascii="Arial" w:hAnsi="Arial" w:eastAsia="黑体"/>
      <w:b/>
      <w:bCs/>
      <w:sz w:val="28"/>
      <w:szCs w:val="28"/>
    </w:rPr>
  </w:style>
  <w:style w:type="paragraph" w:styleId="951" w:customStyle="1">
    <w:name w:val="标题5"/>
    <w:basedOn w:val="892"/>
    <w:link w:val="1026"/>
    <w:uiPriority w:val="0"/>
    <w:qFormat/>
    <w:pPr>
      <w:numPr>
        <w:numId w:val="0"/>
      </w:numPr>
      <w:spacing w:line="413" w:lineRule="auto"/>
    </w:pPr>
    <w:rPr>
      <w:rFonts w:ascii="Arial" w:hAnsi="Arial"/>
      <w:sz w:val="24"/>
    </w:rPr>
  </w:style>
  <w:style w:type="paragraph" w:styleId="952" w:customStyle="1">
    <w:name w:val="明显引用1"/>
    <w:basedOn w:val="889"/>
    <w:next w:val="889"/>
    <w:link w:val="1032"/>
    <w:uiPriority w:val="0"/>
    <w:qFormat/>
    <w:pPr>
      <w:ind w:left="936" w:right="936"/>
      <w:spacing w:before="200" w:after="280"/>
      <w:pBdr>
        <w:bottom w:val="single" w:color="4F81BD" w:sz="4" w:space="4"/>
      </w:pBdr>
    </w:pPr>
    <w:rPr>
      <w:b/>
      <w:bCs/>
      <w:i/>
      <w:iCs/>
      <w:color w:val="4f81bd"/>
      <w:sz w:val="20"/>
      <w:szCs w:val="20"/>
    </w:rPr>
  </w:style>
  <w:style w:type="paragraph" w:styleId="953" w:customStyle="1">
    <w:name w:val="正文文本_0"/>
    <w:basedOn w:val="947"/>
    <w:link w:val="1044"/>
    <w:uiPriority w:val="0"/>
    <w:qFormat/>
    <w:pPr>
      <w:spacing w:after="120"/>
    </w:pPr>
    <w:rPr>
      <w:sz w:val="20"/>
    </w:rPr>
  </w:style>
  <w:style w:type="paragraph" w:styleId="954" w:customStyle="1">
    <w:name w:val="标题 5_0"/>
    <w:basedOn w:val="947"/>
    <w:next w:val="947"/>
    <w:link w:val="1047"/>
    <w:uiPriority w:val="0"/>
    <w:qFormat/>
    <w:pPr>
      <w:keepLines/>
      <w:keepNext/>
      <w:spacing w:before="280" w:after="290" w:line="372" w:lineRule="auto"/>
      <w:outlineLvl w:val="4"/>
    </w:pPr>
    <w:rPr>
      <w:rFonts w:ascii="Calibri" w:hAnsi="Calibri"/>
      <w:b/>
      <w:bCs/>
      <w:sz w:val="28"/>
      <w:szCs w:val="28"/>
    </w:rPr>
  </w:style>
  <w:style w:type="paragraph" w:styleId="955" w:customStyle="1">
    <w:name w:val="标题4"/>
    <w:basedOn w:val="891"/>
    <w:next w:val="910"/>
    <w:link w:val="1062"/>
    <w:uiPriority w:val="0"/>
    <w:qFormat/>
    <w:pPr>
      <w:numPr>
        <w:numId w:val="0"/>
      </w:numPr>
      <w:spacing w:line="413" w:lineRule="auto"/>
    </w:pPr>
    <w:rPr>
      <w:rFonts w:ascii="Arial" w:hAnsi="Arial"/>
      <w:sz w:val="24"/>
    </w:rPr>
  </w:style>
  <w:style w:type="paragraph" w:styleId="956" w:customStyle="1">
    <w:name w:val="标题 2_0"/>
    <w:basedOn w:val="947"/>
    <w:next w:val="947"/>
    <w:link w:val="1074"/>
    <w:uiPriority w:val="0"/>
    <w:unhideWhenUsed/>
    <w:qFormat/>
    <w:pPr>
      <w:keepLines/>
      <w:keepNext/>
      <w:spacing w:before="260" w:after="260" w:line="416" w:lineRule="auto"/>
      <w:outlineLvl w:val="1"/>
    </w:pPr>
    <w:rPr>
      <w:rFonts w:ascii="Cambria" w:hAnsi="Cambria"/>
      <w:b/>
      <w:bCs/>
      <w:sz w:val="32"/>
      <w:szCs w:val="32"/>
    </w:rPr>
  </w:style>
  <w:style w:type="paragraph" w:styleId="957" w:customStyle="1">
    <w:name w:val="List Paragraph1"/>
    <w:basedOn w:val="889"/>
    <w:link w:val="1078"/>
    <w:uiPriority w:val="99"/>
    <w:qFormat/>
    <w:pPr>
      <w:ind w:firstLine="420"/>
    </w:pPr>
  </w:style>
  <w:style w:type="paragraph" w:styleId="958" w:customStyle="1">
    <w:name w:val="样式 标题 3 + (中文) 黑体 小四 非加粗 段前: 7.8 磅 段后: 0 磅 行距: 固定值 20 磅"/>
    <w:basedOn w:val="892"/>
    <w:next w:val="889"/>
    <w:uiPriority w:val="0"/>
    <w:qFormat/>
    <w:pPr>
      <w:spacing w:before="0" w:after="0" w:line="400" w:lineRule="exact"/>
    </w:pPr>
    <w:rPr>
      <w:rFonts w:eastAsia="黑体" w:cs="宋体"/>
      <w:b w:val="0"/>
      <w:bCs w:val="0"/>
      <w:sz w:val="24"/>
      <w:szCs w:val="20"/>
    </w:rPr>
  </w:style>
  <w:style w:type="paragraph" w:styleId="959" w:customStyle="1">
    <w:name w:val="_Style 34"/>
    <w:next w:val="889"/>
    <w:uiPriority w:val="0"/>
    <w:qFormat/>
    <w:pPr>
      <w:jc w:val="both"/>
      <w:widowControl w:val="off"/>
    </w:pPr>
    <w:rPr>
      <w:rFonts w:ascii="Times New Roman" w:hAnsi="Times New Roman" w:eastAsia="宋体" w:cs="Times New Roman"/>
      <w:sz w:val="21"/>
      <w:lang w:val="en-US" w:eastAsia="zh-CN" w:bidi="ar-SA"/>
    </w:rPr>
  </w:style>
  <w:style w:type="paragraph" w:styleId="960"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961" w:customStyle="1">
    <w:name w:val="_Style 36"/>
    <w:next w:val="889"/>
    <w:uiPriority w:val="0"/>
    <w:qFormat/>
    <w:pPr>
      <w:jc w:val="both"/>
      <w:widowControl w:val="off"/>
    </w:pPr>
    <w:rPr>
      <w:rFonts w:ascii="Times New Roman" w:hAnsi="Times New Roman" w:eastAsia="宋体" w:cs="Times New Roman"/>
      <w:sz w:val="21"/>
      <w:lang w:val="en-US" w:eastAsia="zh-CN" w:bidi="ar-SA"/>
    </w:rPr>
  </w:style>
  <w:style w:type="paragraph" w:styleId="962" w:customStyle="1">
    <w:name w:val="空半行"/>
    <w:basedOn w:val="889"/>
    <w:uiPriority w:val="0"/>
    <w:qFormat/>
    <w:pPr>
      <w:spacing w:line="120" w:lineRule="exact"/>
    </w:pPr>
    <w:rPr>
      <w:rFonts w:ascii="Calibri" w:hAnsi="Calibri" w:eastAsia="仿宋_GB2312"/>
      <w:color w:val="ffffff"/>
      <w:sz w:val="30"/>
      <w:szCs w:val="22"/>
    </w:rPr>
  </w:style>
  <w:style w:type="paragraph" w:styleId="963" w:customStyle="1">
    <w:name w:val="1方案格式1"/>
    <w:basedOn w:val="890"/>
    <w:uiPriority w:val="0"/>
    <w:qFormat/>
    <w:pPr>
      <w:numPr>
        <w:numId w:val="2"/>
      </w:numPr>
      <w:ind w:left="0" w:firstLine="0"/>
      <w:spacing w:line="360" w:lineRule="auto"/>
      <w:tabs>
        <w:tab w:val="left" w:pos="360" w:leader="none"/>
      </w:tabs>
    </w:pPr>
    <w:rPr>
      <w:rFonts w:eastAsia="微软雅黑"/>
      <w:bCs w:val="0"/>
      <w:sz w:val="48"/>
    </w:rPr>
  </w:style>
  <w:style w:type="paragraph" w:styleId="964" w:customStyle="1">
    <w:name w:val="格式３"/>
    <w:basedOn w:val="889"/>
    <w:uiPriority w:val="0"/>
    <w:qFormat/>
    <w:pPr>
      <w:ind w:left="600" w:hanging="600"/>
      <w:spacing w:line="420" w:lineRule="exact"/>
    </w:pPr>
    <w:rPr>
      <w:rFonts w:ascii="宋体" w:hAnsi="宋体"/>
      <w:color w:val="000000"/>
      <w:sz w:val="24"/>
      <w:szCs w:val="20"/>
    </w:rPr>
  </w:style>
  <w:style w:type="paragraph" w:styleId="965" w:customStyle="1">
    <w:name w:val="正文1"/>
    <w:uiPriority w:val="0"/>
    <w:qFormat/>
    <w:pPr>
      <w:jc w:val="both"/>
      <w:widowControl w:val="off"/>
    </w:pPr>
    <w:rPr>
      <w:rFonts w:ascii="Calibri" w:hAnsi="Calibri" w:eastAsia="宋体" w:cs="Times New Roman"/>
      <w:lang w:val="en-US" w:eastAsia="zh-CN" w:bidi="ar-SA"/>
    </w:rPr>
  </w:style>
  <w:style w:type="paragraph" w:styleId="966" w:customStyle="1">
    <w:name w:val="列出段落111"/>
    <w:basedOn w:val="889"/>
    <w:uiPriority w:val="99"/>
    <w:qFormat/>
    <w:pPr>
      <w:contextualSpacing/>
      <w:ind w:left="720"/>
      <w:jc w:val="left"/>
      <w:widowControl/>
    </w:pPr>
    <w:rPr>
      <w:rFonts w:ascii="Arial" w:hAnsi="Arial" w:eastAsia="黑体"/>
      <w:sz w:val="24"/>
      <w:lang w:eastAsia="en-US"/>
    </w:rPr>
  </w:style>
  <w:style w:type="paragraph" w:styleId="967" w:customStyle="1">
    <w:name w:val="正文空2字"/>
    <w:basedOn w:val="889"/>
    <w:uiPriority w:val="0"/>
    <w:qFormat/>
    <w:pPr>
      <w:ind w:firstLine="200"/>
      <w:spacing w:line="360" w:lineRule="auto"/>
    </w:pPr>
    <w:rPr>
      <w:sz w:val="24"/>
      <w:lang w:bidi="en-US"/>
    </w:rPr>
  </w:style>
  <w:style w:type="paragraph" w:styleId="968"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969" w:customStyle="1">
    <w:name w:val="目录 5_0"/>
    <w:basedOn w:val="947"/>
    <w:next w:val="947"/>
    <w:uiPriority w:val="39"/>
    <w:qFormat/>
    <w:pPr>
      <w:ind w:left="1680"/>
    </w:pPr>
    <w:rPr>
      <w:rFonts w:ascii="Calibri" w:hAnsi="Calibri"/>
    </w:rPr>
  </w:style>
  <w:style w:type="paragraph" w:styleId="970" w:customStyle="1">
    <w:name w:val="修订1"/>
    <w:uiPriority w:val="0"/>
    <w:qFormat/>
    <w:rPr>
      <w:rFonts w:ascii="Times New Roman" w:hAnsi="Times New Roman" w:eastAsia="宋体" w:cs="Times New Roman"/>
      <w:sz w:val="21"/>
      <w:szCs w:val="24"/>
      <w:lang w:val="en-US" w:eastAsia="zh-CN" w:bidi="ar-SA"/>
    </w:rPr>
  </w:style>
  <w:style w:type="paragraph" w:styleId="971" w:customStyle="1">
    <w:name w:val="标题 11"/>
    <w:basedOn w:val="965"/>
    <w:next w:val="965"/>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972" w:customStyle="1">
    <w:name w:val="正文 + 行距: 固定值 20 磅"/>
    <w:basedOn w:val="889"/>
    <w:uiPriority w:val="0"/>
    <w:qFormat/>
    <w:pPr>
      <w:ind w:firstLine="716"/>
      <w:spacing w:line="400" w:lineRule="exact"/>
    </w:pPr>
    <w:rPr>
      <w:rFonts w:ascii="Calibri" w:hAnsi="Calibri"/>
      <w:szCs w:val="22"/>
    </w:rPr>
  </w:style>
  <w:style w:type="paragraph" w:styleId="973" w:customStyle="1">
    <w:name w:val="TOC 标题1"/>
    <w:basedOn w:val="890"/>
    <w:next w:val="889"/>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974" w:customStyle="1">
    <w:name w:val="表格文字"/>
    <w:basedOn w:val="889"/>
    <w:link w:val="1079"/>
    <w:uiPriority w:val="0"/>
    <w:qFormat/>
    <w:pPr>
      <w:jc w:val="left"/>
      <w:spacing w:line="420" w:lineRule="atLeast"/>
    </w:pPr>
    <w:rPr>
      <w:rFonts w:ascii="Calibri" w:hAnsi="Calibri"/>
      <w:szCs w:val="22"/>
    </w:rPr>
  </w:style>
  <w:style w:type="paragraph" w:styleId="975" w:customStyle="1">
    <w:name w:val="flNote"/>
    <w:basedOn w:val="889"/>
    <w:uiPriority w:val="0"/>
    <w:qFormat/>
    <w:pPr>
      <w:jc w:val="center"/>
      <w:spacing w:before="320" w:after="160" w:line="360" w:lineRule="atLeast"/>
    </w:pPr>
    <w:rPr>
      <w:rFonts w:ascii="Arial" w:hAnsi="Calibri" w:eastAsia="黑体"/>
      <w:sz w:val="30"/>
      <w:szCs w:val="22"/>
    </w:rPr>
  </w:style>
  <w:style w:type="paragraph" w:styleId="976" w:customStyle="1">
    <w:name w:val="文章正文"/>
    <w:basedOn w:val="889"/>
    <w:uiPriority w:val="99"/>
    <w:qFormat/>
    <w:pPr>
      <w:ind w:firstLine="480"/>
      <w:spacing w:line="360" w:lineRule="auto"/>
    </w:pPr>
    <w:rPr>
      <w:rFonts w:ascii="仿宋_GB2312" w:hAnsi="宋体" w:eastAsia="仿宋_GB2312"/>
      <w:color w:val="ff0000"/>
      <w:sz w:val="24"/>
    </w:rPr>
  </w:style>
  <w:style w:type="paragraph" w:styleId="977" w:customStyle="1">
    <w:name w:val="表格"/>
    <w:basedOn w:val="889"/>
    <w:uiPriority w:val="0"/>
    <w:qFormat/>
    <w:pPr>
      <w:jc w:val="center"/>
    </w:pPr>
    <w:rPr>
      <w:rFonts w:ascii="华文细黑" w:hAnsi="华文细黑"/>
      <w:szCs w:val="22"/>
    </w:rPr>
  </w:style>
  <w:style w:type="paragraph" w:styleId="978" w:customStyle="1">
    <w:name w:val="Char"/>
    <w:basedOn w:val="889"/>
    <w:uiPriority w:val="0"/>
    <w:qFormat/>
    <w:pPr>
      <w:jc w:val="left"/>
      <w:spacing w:after="160" w:line="240" w:lineRule="exact"/>
      <w:widowControl/>
    </w:pPr>
    <w:rPr>
      <w:rFonts w:ascii="Verdana" w:hAnsi="Verdana"/>
      <w:sz w:val="20"/>
      <w:szCs w:val="20"/>
      <w:lang w:eastAsia="en-US"/>
    </w:rPr>
  </w:style>
  <w:style w:type="paragraph" w:styleId="97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80" w:customStyle="1">
    <w:name w:val="列出段落2"/>
    <w:basedOn w:val="889"/>
    <w:uiPriority w:val="99"/>
    <w:qFormat/>
    <w:pPr>
      <w:ind w:firstLine="420"/>
    </w:pPr>
  </w:style>
  <w:style w:type="paragraph" w:styleId="981" w:customStyle="1">
    <w:name w:val="6'"/>
    <w:basedOn w:val="889"/>
    <w:uiPriority w:val="0"/>
    <w:qFormat/>
    <w:pPr>
      <w:jc w:val="center"/>
      <w:spacing w:line="320" w:lineRule="exact"/>
    </w:pPr>
    <w:rPr>
      <w:rFonts w:ascii="Calibri" w:hAnsi="Calibri"/>
      <w:spacing w:val="20"/>
      <w:szCs w:val="22"/>
    </w:rPr>
  </w:style>
  <w:style w:type="paragraph" w:styleId="982" w:customStyle="1">
    <w:name w:val="Char Char Char Char Char Char Char"/>
    <w:basedOn w:val="889"/>
    <w:uiPriority w:val="0"/>
    <w:qFormat/>
    <w:pPr>
      <w:spacing w:line="360" w:lineRule="auto"/>
    </w:pPr>
    <w:rPr>
      <w:sz w:val="24"/>
      <w:szCs w:val="20"/>
    </w:rPr>
  </w:style>
  <w:style w:type="paragraph" w:styleId="983" w:customStyle="1">
    <w:name w:val="2方案格式2"/>
    <w:basedOn w:val="963"/>
    <w:uiPriority w:val="0"/>
    <w:qFormat/>
    <w:pPr>
      <w:numPr>
        <w:ilvl w:val="1"/>
      </w:numPr>
      <w:spacing w:line="240" w:lineRule="auto"/>
      <w:outlineLvl w:val="1"/>
    </w:pPr>
    <w:rPr>
      <w:sz w:val="44"/>
    </w:rPr>
  </w:style>
  <w:style w:type="paragraph" w:styleId="984"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985" w:customStyle="1">
    <w:name w:val="文档正文"/>
    <w:basedOn w:val="889"/>
    <w:uiPriority w:val="0"/>
    <w:qFormat/>
    <w:pPr>
      <w:ind w:firstLine="567"/>
      <w:spacing w:line="480" w:lineRule="atLeast"/>
    </w:pPr>
    <w:rPr>
      <w:rFonts w:ascii="Ari" w:eastAsia="Ari"/>
      <w:sz w:val="28"/>
      <w:szCs w:val="20"/>
    </w:rPr>
  </w:style>
  <w:style w:type="paragraph" w:styleId="986" w:customStyle="1">
    <w:name w:val="txt"/>
    <w:basedOn w:val="889"/>
    <w:uiPriority w:val="0"/>
    <w:qFormat/>
    <w:pPr>
      <w:jc w:val="left"/>
      <w:spacing w:before="100" w:beforeAutospacing="1" w:after="100" w:afterAutospacing="1"/>
      <w:widowControl/>
    </w:pPr>
    <w:rPr>
      <w:rFonts w:ascii="宋体" w:hAnsi="宋体" w:cs="宋体"/>
      <w:sz w:val="24"/>
    </w:rPr>
  </w:style>
  <w:style w:type="paragraph" w:styleId="987" w:customStyle="1">
    <w:name w:val="目录 4_0"/>
    <w:basedOn w:val="947"/>
    <w:next w:val="947"/>
    <w:uiPriority w:val="39"/>
    <w:qFormat/>
    <w:pPr>
      <w:ind w:left="1260"/>
    </w:pPr>
    <w:rPr>
      <w:rFonts w:ascii="Calibri" w:hAnsi="Calibri"/>
    </w:rPr>
  </w:style>
  <w:style w:type="paragraph" w:styleId="988" w:customStyle="1">
    <w:name w:val="目录 3_0"/>
    <w:basedOn w:val="947"/>
    <w:next w:val="947"/>
    <w:uiPriority w:val="39"/>
    <w:qFormat/>
    <w:pPr>
      <w:ind w:left="840"/>
    </w:pPr>
    <w:rPr>
      <w:rFonts w:ascii="Calibri" w:hAnsi="Calibri"/>
    </w:rPr>
  </w:style>
  <w:style w:type="paragraph" w:styleId="989" w:customStyle="1">
    <w:name w:val="样式 标题 1 + 黑体 三号 非加粗 居中 段前: 6 磅 段后: 6 磅 行距: 固定值 20 磅"/>
    <w:basedOn w:val="890"/>
    <w:uiPriority w:val="0"/>
    <w:qFormat/>
    <w:pPr>
      <w:numPr>
        <w:numId w:val="0"/>
      </w:numPr>
      <w:spacing w:before="120" w:after="120" w:line="400" w:lineRule="exact"/>
    </w:pPr>
    <w:rPr>
      <w:rFonts w:ascii="黑体" w:hAnsi="黑体" w:eastAsia="黑体"/>
      <w:b w:val="0"/>
      <w:bCs w:val="0"/>
      <w:szCs w:val="20"/>
    </w:rPr>
  </w:style>
  <w:style w:type="paragraph" w:styleId="990" w:customStyle="1">
    <w:name w:val="1"/>
    <w:basedOn w:val="889"/>
    <w:next w:val="889"/>
    <w:uiPriority w:val="0"/>
    <w:qFormat/>
    <w:rPr>
      <w:rFonts w:ascii="Calibri" w:hAnsi="Calibri"/>
      <w:szCs w:val="22"/>
    </w:rPr>
  </w:style>
  <w:style w:type="paragraph" w:styleId="991" w:customStyle="1">
    <w:name w:val="Blockquote_0"/>
    <w:basedOn w:val="947"/>
    <w:uiPriority w:val="0"/>
    <w:qFormat/>
    <w:pPr>
      <w:ind w:left="360" w:right="360"/>
      <w:jc w:val="left"/>
      <w:spacing w:before="100" w:after="100"/>
    </w:pPr>
    <w:rPr>
      <w:rFonts w:ascii="Calibri" w:hAnsi="Calibri" w:eastAsia="Times New Roman"/>
      <w:sz w:val="24"/>
      <w:szCs w:val="20"/>
    </w:rPr>
  </w:style>
  <w:style w:type="paragraph" w:styleId="992" w:customStyle="1">
    <w:name w:val="列出段落11"/>
    <w:basedOn w:val="889"/>
    <w:uiPriority w:val="0"/>
    <w:qFormat/>
    <w:pPr>
      <w:contextualSpacing/>
      <w:ind w:left="720"/>
      <w:jc w:val="left"/>
      <w:widowControl/>
    </w:pPr>
    <w:rPr>
      <w:rFonts w:ascii="Arial" w:hAnsi="Arial" w:eastAsia="黑体"/>
      <w:sz w:val="24"/>
      <w:lang w:eastAsia="en-US"/>
    </w:rPr>
  </w:style>
  <w:style w:type="paragraph" w:styleId="993" w:customStyle="1">
    <w:name w:val="样式 标题 2 + Times New Roman 四号 非加粗 段前: 5 磅 段后: 0 磅 行距: 固定值 20..._0"/>
    <w:basedOn w:val="889"/>
    <w:uiPriority w:val="0"/>
    <w:qFormat/>
    <w:pPr>
      <w:keepLines/>
      <w:keepNext/>
      <w:spacing w:before="100" w:line="360" w:lineRule="auto"/>
      <w:outlineLvl w:val="1"/>
    </w:pPr>
    <w:rPr>
      <w:rFonts w:eastAsia="Times New Roman" w:cs="宋体"/>
      <w:sz w:val="28"/>
      <w:szCs w:val="20"/>
    </w:rPr>
  </w:style>
  <w:style w:type="paragraph" w:styleId="994" w:customStyle="1">
    <w:name w:val="op_mapdots_left"/>
    <w:basedOn w:val="889"/>
    <w:uiPriority w:val="0"/>
    <w:qFormat/>
    <w:pPr>
      <w:jc w:val="left"/>
      <w:spacing w:before="100" w:beforeAutospacing="1" w:after="100" w:afterAutospacing="1"/>
      <w:widowControl/>
    </w:pPr>
    <w:rPr>
      <w:rFonts w:ascii="宋体" w:hAnsi="宋体" w:cs="宋体"/>
      <w:sz w:val="24"/>
    </w:rPr>
  </w:style>
  <w:style w:type="paragraph" w:styleId="995" w:customStyle="1">
    <w:name w:val="p0"/>
    <w:basedOn w:val="889"/>
    <w:uiPriority w:val="0"/>
    <w:qFormat/>
    <w:pPr>
      <w:widowControl/>
    </w:pPr>
    <w:rPr>
      <w:b/>
      <w:bCs/>
      <w:sz w:val="24"/>
    </w:rPr>
  </w:style>
  <w:style w:type="paragraph" w:styleId="996" w:customStyle="1">
    <w:name w:val="Blockquote"/>
    <w:basedOn w:val="889"/>
    <w:uiPriority w:val="0"/>
    <w:qFormat/>
    <w:pPr>
      <w:ind w:left="360" w:right="360"/>
      <w:jc w:val="left"/>
      <w:spacing w:before="100" w:after="100"/>
    </w:pPr>
    <w:rPr>
      <w:rFonts w:ascii="Calibri" w:hAnsi="Calibri"/>
      <w:sz w:val="24"/>
      <w:szCs w:val="22"/>
    </w:rPr>
  </w:style>
  <w:style w:type="paragraph" w:styleId="997" w:customStyle="1">
    <w:name w:val="3方案格式3"/>
    <w:basedOn w:val="983"/>
    <w:uiPriority w:val="0"/>
    <w:qFormat/>
    <w:pPr>
      <w:numPr>
        <w:ilvl w:val="2"/>
      </w:numPr>
      <w:outlineLvl w:val="2"/>
    </w:pPr>
    <w:rPr>
      <w:sz w:val="32"/>
    </w:rPr>
  </w:style>
  <w:style w:type="paragraph" w:styleId="998" w:customStyle="1">
    <w:name w:val="样式 标题 2 + Times New Roman 四号 非加粗 段前: 5 磅 段后: 0 磅 行距: 固定值 20..."/>
    <w:basedOn w:val="891"/>
    <w:uiPriority w:val="0"/>
    <w:qFormat/>
    <w:pPr>
      <w:numPr>
        <w:numId w:val="0"/>
      </w:numPr>
      <w:spacing w:before="100" w:after="0" w:line="400" w:lineRule="exact"/>
    </w:pPr>
    <w:rPr>
      <w:rFonts w:ascii="Times New Roman" w:hAnsi="Times New Roman" w:eastAsia="黑体"/>
      <w:b w:val="0"/>
      <w:bCs w:val="0"/>
      <w:sz w:val="28"/>
      <w:szCs w:val="20"/>
    </w:rPr>
  </w:style>
  <w:style w:type="paragraph" w:styleId="999" w:customStyle="1">
    <w:name w:val="标题2"/>
    <w:basedOn w:val="891"/>
    <w:next w:val="908"/>
    <w:uiPriority w:val="0"/>
    <w:qFormat/>
    <w:pPr>
      <w:spacing w:before="156" w:after="156" w:line="360" w:lineRule="auto"/>
    </w:pPr>
    <w:rPr>
      <w:bCs w:val="0"/>
      <w:sz w:val="24"/>
    </w:rPr>
  </w:style>
  <w:style w:type="paragraph" w:styleId="1000" w:customStyle="1">
    <w:name w:val="普通正文"/>
    <w:basedOn w:val="889"/>
    <w:uiPriority w:val="0"/>
    <w:qFormat/>
    <w:pPr>
      <w:ind w:firstLine="480"/>
      <w:jc w:val="left"/>
      <w:spacing w:before="120" w:after="120" w:line="360" w:lineRule="auto"/>
    </w:pPr>
    <w:rPr>
      <w:rFonts w:ascii="Arial" w:hAnsi="Arial"/>
      <w:sz w:val="24"/>
    </w:rPr>
  </w:style>
  <w:style w:type="paragraph" w:styleId="1001" w:customStyle="1">
    <w:name w:val="正文11"/>
    <w:uiPriority w:val="0"/>
    <w:qFormat/>
    <w:rPr>
      <w:rFonts w:ascii="Calibri" w:hAnsi="Calibri" w:eastAsia="宋体" w:cs="Calibri"/>
      <w:sz w:val="24"/>
      <w:szCs w:val="24"/>
      <w:lang w:val="en-US" w:eastAsia="zh-CN" w:bidi="ar-SA"/>
    </w:rPr>
  </w:style>
  <w:style w:type="paragraph" w:styleId="1002" w:customStyle="1">
    <w:name w:val="正文2"/>
    <w:basedOn w:val="889"/>
    <w:uiPriority w:val="0"/>
    <w:qFormat/>
    <w:rPr>
      <w:rFonts w:eastAsia="微软雅黑"/>
      <w:sz w:val="24"/>
    </w:rPr>
  </w:style>
  <w:style w:type="paragraph" w:styleId="1003" w:customStyle="1">
    <w:name w:val="列出段落3"/>
    <w:basedOn w:val="889"/>
    <w:uiPriority w:val="0"/>
    <w:qFormat/>
    <w:pPr>
      <w:ind w:firstLine="420"/>
      <w:jc w:val="left"/>
      <w:spacing w:after="200"/>
      <w:widowControl/>
    </w:pPr>
    <w:rPr>
      <w:rFonts w:ascii="Tahoma" w:hAnsi="Tahoma" w:eastAsia="微软雅黑"/>
      <w:sz w:val="22"/>
      <w:szCs w:val="22"/>
    </w:rPr>
  </w:style>
  <w:style w:type="paragraph" w:styleId="1004" w:customStyle="1">
    <w:name w:val="纯文本2"/>
    <w:basedOn w:val="889"/>
    <w:uiPriority w:val="0"/>
    <w:qFormat/>
    <w:pPr>
      <w:jc w:val="left"/>
    </w:pPr>
    <w:rPr>
      <w:rFonts w:hint="eastAsia" w:ascii="宋体" w:hAnsi="宋体" w:cs="Courier New"/>
      <w:sz w:val="24"/>
      <w:szCs w:val="20"/>
    </w:rPr>
  </w:style>
  <w:style w:type="paragraph" w:styleId="1005" w:customStyle="1">
    <w:name w:val="trs_editor"/>
    <w:basedOn w:val="889"/>
    <w:uiPriority w:val="0"/>
    <w:qFormat/>
    <w:pPr>
      <w:jc w:val="left"/>
      <w:spacing w:before="100" w:beforeAutospacing="1" w:after="100" w:afterAutospacing="1"/>
      <w:widowControl/>
    </w:pPr>
    <w:rPr>
      <w:rFonts w:ascii="宋体" w:hAnsi="宋体" w:cs="宋体"/>
      <w:sz w:val="24"/>
    </w:rPr>
  </w:style>
  <w:style w:type="character" w:styleId="1006" w:customStyle="1">
    <w:name w:val="明显强调1"/>
    <w:uiPriority w:val="0"/>
    <w:qFormat/>
    <w:rPr>
      <w:b/>
      <w:bCs/>
      <w:i/>
      <w:iCs/>
      <w:color w:val="4f81bd"/>
    </w:rPr>
  </w:style>
  <w:style w:type="character" w:styleId="1007" w:customStyle="1">
    <w:name w:val="批注文字 Char2"/>
    <w:uiPriority w:val="0"/>
    <w:qFormat/>
    <w:rPr>
      <w:sz w:val="21"/>
    </w:rPr>
  </w:style>
  <w:style w:type="character" w:styleId="1008" w:customStyle="1">
    <w:name w:val="标题 3 Char_0"/>
    <w:link w:val="946"/>
    <w:uiPriority w:val="0"/>
    <w:qFormat/>
    <w:rPr>
      <w:b/>
      <w:bCs/>
      <w:sz w:val="32"/>
      <w:szCs w:val="32"/>
    </w:rPr>
  </w:style>
  <w:style w:type="character" w:styleId="1009" w:customStyle="1">
    <w:name w:val="标题 2 字符"/>
    <w:link w:val="891"/>
    <w:uiPriority w:val="0"/>
    <w:qFormat/>
    <w:rPr>
      <w:rFonts w:ascii="Cambria" w:hAnsi="Cambria"/>
      <w:b/>
      <w:bCs/>
      <w:sz w:val="32"/>
      <w:szCs w:val="32"/>
    </w:rPr>
  </w:style>
  <w:style w:type="character" w:styleId="1010" w:customStyle="1">
    <w:name w:val="正文文本 Char2"/>
    <w:uiPriority w:val="99"/>
    <w:semiHidden/>
    <w:qFormat/>
    <w:rPr>
      <w:rFonts w:ascii="Calibri" w:hAnsi="Calibri" w:eastAsia="宋体" w:cs="Times New Roman"/>
    </w:rPr>
  </w:style>
  <w:style w:type="character" w:styleId="1011" w:customStyle="1">
    <w:name w:val="页脚 Char1"/>
    <w:uiPriority w:val="99"/>
    <w:semiHidden/>
    <w:qFormat/>
    <w:rPr>
      <w:rFonts w:ascii="Calibri" w:hAnsi="Calibri" w:eastAsia="宋体" w:cs="Times New Roman"/>
      <w:sz w:val="18"/>
      <w:szCs w:val="18"/>
    </w:rPr>
  </w:style>
  <w:style w:type="character" w:styleId="1012" w:customStyle="1">
    <w:name w:val="明显引用 Char2"/>
    <w:uiPriority w:val="99"/>
    <w:qFormat/>
    <w:rPr>
      <w:b/>
      <w:bCs/>
      <w:i/>
      <w:iCs/>
      <w:color w:val="4f81bd"/>
      <w:sz w:val="21"/>
      <w:szCs w:val="24"/>
    </w:rPr>
  </w:style>
  <w:style w:type="character" w:styleId="1013" w:customStyle="1">
    <w:name w:val="引用 Char"/>
    <w:link w:val="948"/>
    <w:uiPriority w:val="0"/>
    <w:qFormat/>
    <w:rPr>
      <w:i/>
      <w:iCs/>
      <w:color w:val="000000"/>
    </w:rPr>
  </w:style>
  <w:style w:type="character" w:styleId="1014" w:customStyle="1">
    <w:name w:val="标题 1 Char_0"/>
    <w:link w:val="949"/>
    <w:uiPriority w:val="0"/>
    <w:qFormat/>
    <w:rPr>
      <w:b/>
      <w:bCs/>
      <w:sz w:val="44"/>
      <w:szCs w:val="44"/>
    </w:rPr>
  </w:style>
  <w:style w:type="character" w:styleId="1015" w:customStyle="1">
    <w:name w:val="正文文本缩进 3 Char1"/>
    <w:uiPriority w:val="99"/>
    <w:semiHidden/>
    <w:qFormat/>
    <w:rPr>
      <w:sz w:val="16"/>
      <w:szCs w:val="16"/>
    </w:rPr>
  </w:style>
  <w:style w:type="character" w:styleId="1016" w:customStyle="1">
    <w:name w:val="引用 Char1"/>
    <w:uiPriority w:val="29"/>
    <w:qFormat/>
    <w:rPr>
      <w:i/>
      <w:iCs/>
      <w:color w:val="000000"/>
      <w:sz w:val="21"/>
    </w:rPr>
  </w:style>
  <w:style w:type="character" w:styleId="1017" w:customStyle="1">
    <w:name w:val="正文文本缩进 字符"/>
    <w:link w:val="909"/>
    <w:uiPriority w:val="0"/>
    <w:qFormat/>
    <w:rPr>
      <w:sz w:val="21"/>
      <w:szCs w:val="24"/>
    </w:rPr>
  </w:style>
  <w:style w:type="character" w:styleId="1018" w:customStyle="1">
    <w:name w:val="font161"/>
    <w:uiPriority w:val="0"/>
    <w:qFormat/>
    <w:rPr>
      <w:b/>
      <w:sz w:val="32"/>
    </w:rPr>
  </w:style>
  <w:style w:type="character" w:styleId="1019" w:customStyle="1">
    <w:name w:val="标题 4 Char_0"/>
    <w:link w:val="950"/>
    <w:uiPriority w:val="0"/>
    <w:qFormat/>
    <w:rPr>
      <w:rFonts w:ascii="Arial" w:hAnsi="Arial" w:eastAsia="黑体"/>
      <w:b/>
      <w:bCs/>
      <w:sz w:val="28"/>
      <w:szCs w:val="28"/>
    </w:rPr>
  </w:style>
  <w:style w:type="character" w:styleId="1020" w:customStyle="1">
    <w:name w:val="页眉 字符"/>
    <w:link w:val="919"/>
    <w:uiPriority w:val="99"/>
    <w:qFormat/>
    <w:rPr>
      <w:sz w:val="18"/>
      <w:szCs w:val="18"/>
    </w:rPr>
  </w:style>
  <w:style w:type="character" w:styleId="1021" w:customStyle="1">
    <w:name w:val="标题 6 字符"/>
    <w:link w:val="895"/>
    <w:uiPriority w:val="0"/>
    <w:qFormat/>
    <w:rPr>
      <w:rFonts w:ascii="Cambria" w:hAnsi="Cambria" w:eastAsia="宋体" w:cs="Times New Roman"/>
      <w:b/>
      <w:bCs/>
      <w:sz w:val="24"/>
      <w:szCs w:val="24"/>
    </w:rPr>
  </w:style>
  <w:style w:type="character" w:styleId="1022" w:customStyle="1">
    <w:name w:val="纯文本 字符"/>
    <w:link w:val="913"/>
    <w:uiPriority w:val="0"/>
    <w:qFormat/>
    <w:rPr>
      <w:rFonts w:ascii="Ari"/>
      <w:lang w:val="en-US" w:eastAsia="zh-CN" w:bidi="ar-SA"/>
    </w:rPr>
  </w:style>
  <w:style w:type="character" w:styleId="1023" w:customStyle="1">
    <w:name w:val="引用 Char2"/>
    <w:uiPriority w:val="99"/>
    <w:qFormat/>
    <w:rPr>
      <w:i/>
      <w:iCs/>
      <w:color w:val="000000"/>
      <w:sz w:val="21"/>
      <w:szCs w:val="24"/>
    </w:rPr>
  </w:style>
  <w:style w:type="character" w:styleId="1024" w:customStyle="1">
    <w:name w:val="rvts11"/>
    <w:uiPriority w:val="0"/>
    <w:qFormat/>
    <w:rPr>
      <w:rFonts w:hint="default" w:ascii="KNLe" w:hAnsi="KNLe"/>
      <w:sz w:val="24"/>
      <w:szCs w:val="24"/>
      <w:u w:val="single"/>
    </w:rPr>
  </w:style>
  <w:style w:type="character" w:styleId="1025" w:customStyle="1">
    <w:name w:val="标题 字符"/>
    <w:link w:val="930"/>
    <w:uiPriority w:val="0"/>
    <w:qFormat/>
    <w:rPr>
      <w:rFonts w:ascii="Arial" w:hAnsi="Arial"/>
      <w:b/>
      <w:sz w:val="32"/>
    </w:rPr>
  </w:style>
  <w:style w:type="character" w:styleId="1026" w:customStyle="1">
    <w:name w:val="标题5 Char Char"/>
    <w:link w:val="951"/>
    <w:uiPriority w:val="0"/>
    <w:qFormat/>
    <w:rPr>
      <w:rFonts w:ascii="Arial" w:hAnsi="Arial"/>
      <w:b/>
      <w:bCs/>
      <w:sz w:val="24"/>
      <w:szCs w:val="32"/>
    </w:rPr>
  </w:style>
  <w:style w:type="character" w:styleId="1027" w:customStyle="1">
    <w:name w:val="副标题 Char2"/>
    <w:uiPriority w:val="11"/>
    <w:qFormat/>
    <w:rPr>
      <w:rFonts w:ascii="Cambria" w:hAnsi="Cambria" w:cs="Times New Roman"/>
      <w:b/>
      <w:bCs/>
      <w:sz w:val="32"/>
      <w:szCs w:val="32"/>
    </w:rPr>
  </w:style>
  <w:style w:type="character" w:styleId="1028" w:customStyle="1">
    <w:name w:val="文档结构图 字符"/>
    <w:link w:val="905"/>
    <w:uiPriority w:val="0"/>
    <w:qFormat/>
    <w:rPr>
      <w:rFonts w:ascii="宋体"/>
      <w:sz w:val="18"/>
      <w:szCs w:val="18"/>
    </w:rPr>
  </w:style>
  <w:style w:type="character" w:styleId="1029" w:customStyle="1">
    <w:name w:val="日期 字符"/>
    <w:link w:val="915"/>
    <w:uiPriority w:val="0"/>
    <w:qFormat/>
    <w:rPr>
      <w:sz w:val="21"/>
      <w:szCs w:val="24"/>
    </w:rPr>
  </w:style>
  <w:style w:type="character" w:styleId="1030" w:customStyle="1">
    <w:name w:val="批注主题 Char1"/>
    <w:uiPriority w:val="0"/>
    <w:qFormat/>
    <w:rPr>
      <w:b/>
      <w:bCs/>
      <w:sz w:val="21"/>
      <w:szCs w:val="22"/>
    </w:rPr>
  </w:style>
  <w:style w:type="character" w:styleId="1031" w:customStyle="1">
    <w:name w:val="font31"/>
    <w:uiPriority w:val="0"/>
    <w:qFormat/>
    <w:rPr>
      <w:rFonts w:hint="eastAsia" w:ascii="宋体" w:hAnsi="宋体" w:eastAsia="宋体" w:cs="宋体"/>
      <w:color w:val="000000"/>
      <w:sz w:val="20"/>
      <w:szCs w:val="20"/>
      <w:u w:val="none"/>
    </w:rPr>
  </w:style>
  <w:style w:type="character" w:styleId="1032" w:customStyle="1">
    <w:name w:val="明显引用 Char"/>
    <w:link w:val="952"/>
    <w:uiPriority w:val="0"/>
    <w:qFormat/>
    <w:rPr>
      <w:b/>
      <w:bCs/>
      <w:i/>
      <w:iCs/>
      <w:color w:val="4f81bd"/>
    </w:rPr>
  </w:style>
  <w:style w:type="character" w:styleId="1033" w:customStyle="1">
    <w:name w:val="标题 5 字符"/>
    <w:link w:val="894"/>
    <w:uiPriority w:val="0"/>
    <w:qFormat/>
    <w:rPr>
      <w:b/>
      <w:bCs/>
      <w:sz w:val="28"/>
      <w:szCs w:val="28"/>
    </w:rPr>
  </w:style>
  <w:style w:type="character" w:styleId="1034" w:customStyle="1">
    <w:name w:val="日期 Char1"/>
    <w:uiPriority w:val="0"/>
    <w:qFormat/>
    <w:rPr>
      <w:rFonts w:ascii="Calibri" w:hAnsi="Calibri" w:eastAsia="宋体" w:cs="Times New Roman"/>
    </w:rPr>
  </w:style>
  <w:style w:type="character" w:styleId="1035" w:customStyle="1">
    <w:name w:val="批注框文本 Char1"/>
    <w:uiPriority w:val="0"/>
    <w:qFormat/>
    <w:rPr>
      <w:sz w:val="18"/>
      <w:szCs w:val="18"/>
    </w:rPr>
  </w:style>
  <w:style w:type="character" w:styleId="1036" w:customStyle="1">
    <w:name w:val="标题 Char1"/>
    <w:uiPriority w:val="10"/>
    <w:qFormat/>
    <w:rPr>
      <w:rFonts w:ascii="Cambria" w:hAnsi="Cambria" w:eastAsia="宋体" w:cs="Times New Roman"/>
      <w:b/>
      <w:bCs/>
      <w:sz w:val="32"/>
      <w:szCs w:val="32"/>
    </w:rPr>
  </w:style>
  <w:style w:type="character" w:styleId="1037" w:customStyle="1">
    <w:name w:val="标题 9 字符"/>
    <w:link w:val="898"/>
    <w:uiPriority w:val="0"/>
    <w:qFormat/>
    <w:rPr>
      <w:rFonts w:ascii="Cambria" w:hAnsi="Cambria" w:eastAsia="宋体" w:cs="Times New Roman"/>
      <w:sz w:val="21"/>
      <w:szCs w:val="21"/>
    </w:rPr>
  </w:style>
  <w:style w:type="character" w:styleId="1038" w:customStyle="1">
    <w:name w:val="不明显参考1"/>
    <w:uiPriority w:val="0"/>
    <w:qFormat/>
    <w:rPr>
      <w:smallCaps/>
      <w:color w:val="c0504d"/>
      <w:u w:val="single"/>
    </w:rPr>
  </w:style>
  <w:style w:type="character" w:styleId="1039" w:customStyle="1">
    <w:name w:val="批注文字 Char1"/>
    <w:uiPriority w:val="0"/>
    <w:qFormat/>
    <w:rPr>
      <w:rFonts w:ascii="Calibri" w:hAnsi="Calibri" w:eastAsia="宋体" w:cs="Times New Roman"/>
    </w:rPr>
  </w:style>
  <w:style w:type="character" w:styleId="1040" w:customStyle="1">
    <w:name w:val="标题 Char2"/>
    <w:uiPriority w:val="10"/>
    <w:qFormat/>
    <w:rPr>
      <w:rFonts w:ascii="Cambria" w:hAnsi="Cambria" w:cs="Times New Roman"/>
      <w:b/>
      <w:bCs/>
      <w:sz w:val="32"/>
      <w:szCs w:val="32"/>
    </w:rPr>
  </w:style>
  <w:style w:type="character" w:styleId="1041" w:customStyle="1">
    <w:name w:val="正文文本 3 Char1"/>
    <w:uiPriority w:val="99"/>
    <w:semiHidden/>
    <w:qFormat/>
    <w:rPr>
      <w:sz w:val="16"/>
      <w:szCs w:val="16"/>
    </w:rPr>
  </w:style>
  <w:style w:type="character" w:styleId="1042" w:customStyle="1">
    <w:name w:val="批注主题 Char2"/>
    <w:uiPriority w:val="0"/>
    <w:qFormat/>
    <w:rPr>
      <w:b/>
      <w:bCs/>
      <w:sz w:val="21"/>
    </w:rPr>
  </w:style>
  <w:style w:type="character" w:styleId="1043" w:customStyle="1">
    <w:name w:val="标题 3 字符"/>
    <w:link w:val="892"/>
    <w:uiPriority w:val="0"/>
    <w:qFormat/>
    <w:rPr>
      <w:b/>
      <w:bCs/>
      <w:sz w:val="32"/>
      <w:szCs w:val="32"/>
    </w:rPr>
  </w:style>
  <w:style w:type="character" w:styleId="1044" w:customStyle="1">
    <w:name w:val="正文文本 Char_0"/>
    <w:link w:val="953"/>
    <w:uiPriority w:val="0"/>
    <w:qFormat/>
    <w:rPr>
      <w:szCs w:val="24"/>
    </w:rPr>
  </w:style>
  <w:style w:type="character" w:styleId="1045" w:customStyle="1">
    <w:name w:val="副标题 字符"/>
    <w:link w:val="922"/>
    <w:uiPriority w:val="0"/>
    <w:qFormat/>
    <w:rPr>
      <w:rFonts w:ascii="Cambria" w:hAnsi="Cambria"/>
      <w:b/>
      <w:bCs/>
      <w:sz w:val="32"/>
      <w:szCs w:val="32"/>
    </w:rPr>
  </w:style>
  <w:style w:type="character" w:styleId="1046" w:customStyle="1">
    <w:name w:val="bookmark"/>
    <w:basedOn w:val="899"/>
    <w:uiPriority w:val="0"/>
    <w:qFormat/>
  </w:style>
  <w:style w:type="character" w:styleId="1047" w:customStyle="1">
    <w:name w:val="标题 5 Char_0"/>
    <w:link w:val="954"/>
    <w:uiPriority w:val="0"/>
    <w:qFormat/>
    <w:rPr>
      <w:rFonts w:ascii="Calibri" w:hAnsi="Calibri"/>
      <w:b/>
      <w:bCs/>
      <w:sz w:val="28"/>
      <w:szCs w:val="28"/>
    </w:rPr>
  </w:style>
  <w:style w:type="character" w:styleId="1048" w:customStyle="1">
    <w:name w:val="正文文本缩进 2 字符"/>
    <w:link w:val="916"/>
    <w:uiPriority w:val="99"/>
    <w:qFormat/>
    <w:rPr>
      <w:rFonts w:ascii="宋体"/>
    </w:rPr>
  </w:style>
  <w:style w:type="character" w:styleId="1049" w:customStyle="1">
    <w:name w:val="批注文字 字符"/>
    <w:link w:val="906"/>
    <w:uiPriority w:val="99"/>
    <w:qFormat/>
    <w:rPr>
      <w:sz w:val="21"/>
      <w:szCs w:val="24"/>
    </w:rPr>
  </w:style>
  <w:style w:type="character" w:styleId="1050" w:customStyle="1">
    <w:name w:val="font11"/>
    <w:uiPriority w:val="0"/>
    <w:qFormat/>
    <w:rPr>
      <w:rFonts w:hint="eastAsia" w:ascii="宋体" w:hAnsi="宋体" w:eastAsia="宋体" w:cs="宋体"/>
      <w:color w:val="000000"/>
      <w:sz w:val="20"/>
      <w:szCs w:val="20"/>
      <w:u w:val="none"/>
    </w:rPr>
  </w:style>
  <w:style w:type="character" w:styleId="1051" w:customStyle="1">
    <w:name w:val="明显参考1"/>
    <w:uiPriority w:val="0"/>
    <w:qFormat/>
    <w:rPr>
      <w:b/>
      <w:bCs/>
      <w:smallCaps/>
      <w:color w:val="c0504d"/>
      <w:spacing w:val="5"/>
      <w:u w:val="single"/>
    </w:rPr>
  </w:style>
  <w:style w:type="character" w:styleId="1052" w:customStyle="1">
    <w:name w:val="超链接_0"/>
    <w:uiPriority w:val="99"/>
    <w:qFormat/>
    <w:rPr>
      <w:rFonts w:ascii="Calibri" w:hAnsi="Calibri"/>
      <w:color w:val="0000ff"/>
      <w:u w:val="single"/>
    </w:rPr>
  </w:style>
  <w:style w:type="character" w:styleId="1053" w:customStyle="1">
    <w:name w:val="文档结构图 Char2"/>
    <w:uiPriority w:val="99"/>
    <w:semiHidden/>
    <w:qFormat/>
    <w:rPr>
      <w:rFonts w:ascii="宋体" w:hAnsi="Calibri" w:eastAsia="宋体" w:cs="Times New Roman"/>
      <w:sz w:val="18"/>
      <w:szCs w:val="18"/>
    </w:rPr>
  </w:style>
  <w:style w:type="character" w:styleId="1054" w:customStyle="1">
    <w:name w:val="textcontents"/>
    <w:uiPriority w:val="0"/>
    <w:qFormat/>
    <w:rPr>
      <w:rFonts w:cs="Times New Roman"/>
    </w:rPr>
  </w:style>
  <w:style w:type="character" w:styleId="1055" w:customStyle="1">
    <w:name w:val="标题 1 Char"/>
    <w:uiPriority w:val="0"/>
    <w:qFormat/>
    <w:rPr>
      <w:b/>
      <w:bCs/>
      <w:sz w:val="32"/>
      <w:szCs w:val="44"/>
    </w:rPr>
  </w:style>
  <w:style w:type="character" w:styleId="1056" w:customStyle="1">
    <w:name w:val="正文文本 字符"/>
    <w:link w:val="908"/>
    <w:uiPriority w:val="0"/>
    <w:qFormat/>
    <w:rPr>
      <w:rFonts w:eastAsia="幼圆"/>
      <w:b/>
      <w:bCs/>
      <w:sz w:val="44"/>
      <w:szCs w:val="24"/>
    </w:rPr>
  </w:style>
  <w:style w:type="character" w:styleId="1057" w:customStyle="1">
    <w:name w:val="标题 8 字符"/>
    <w:link w:val="897"/>
    <w:uiPriority w:val="0"/>
    <w:qFormat/>
    <w:rPr>
      <w:rFonts w:ascii="Cambria" w:hAnsi="Cambria" w:eastAsia="宋体" w:cs="Times New Roman"/>
      <w:sz w:val="24"/>
      <w:szCs w:val="24"/>
    </w:rPr>
  </w:style>
  <w:style w:type="character" w:styleId="1058" w:customStyle="1">
    <w:name w:val="副标题 Char1"/>
    <w:uiPriority w:val="11"/>
    <w:qFormat/>
    <w:rPr>
      <w:rFonts w:ascii="Cambria" w:hAnsi="Cambria" w:cs="Times New Roman"/>
      <w:b/>
      <w:bCs/>
      <w:sz w:val="32"/>
      <w:szCs w:val="32"/>
    </w:rPr>
  </w:style>
  <w:style w:type="character" w:styleId="1059" w:customStyle="1">
    <w:name w:val="批注主题 字符"/>
    <w:link w:val="931"/>
    <w:uiPriority w:val="0"/>
    <w:qFormat/>
    <w:rPr>
      <w:b/>
      <w:bCs/>
      <w:sz w:val="21"/>
      <w:szCs w:val="24"/>
    </w:rPr>
  </w:style>
  <w:style w:type="character" w:styleId="1060" w:customStyle="1">
    <w:name w:val="书籍标题1"/>
    <w:uiPriority w:val="0"/>
    <w:qFormat/>
    <w:rPr>
      <w:b/>
      <w:bCs/>
      <w:smallCaps/>
      <w:spacing w:val="5"/>
    </w:rPr>
  </w:style>
  <w:style w:type="character" w:styleId="1061" w:customStyle="1">
    <w:name w:val="页脚 字符"/>
    <w:link w:val="918"/>
    <w:uiPriority w:val="99"/>
    <w:qFormat/>
    <w:rPr>
      <w:sz w:val="18"/>
      <w:szCs w:val="18"/>
    </w:rPr>
  </w:style>
  <w:style w:type="character" w:styleId="1062" w:customStyle="1">
    <w:name w:val="标题4 Char Char"/>
    <w:link w:val="955"/>
    <w:uiPriority w:val="0"/>
    <w:qFormat/>
    <w:rPr>
      <w:rFonts w:ascii="Arial" w:hAnsi="Arial"/>
      <w:b/>
      <w:bCs/>
      <w:sz w:val="24"/>
      <w:szCs w:val="32"/>
    </w:rPr>
  </w:style>
  <w:style w:type="character" w:styleId="1063" w:customStyle="1">
    <w:name w:val="正文文本 Char1"/>
    <w:uiPriority w:val="0"/>
    <w:qFormat/>
    <w:rPr>
      <w:rFonts w:ascii="Calibri" w:hAnsi="Calibri" w:eastAsia="宋体" w:cs="Times New Roman"/>
    </w:rPr>
  </w:style>
  <w:style w:type="character" w:styleId="1064" w:customStyle="1">
    <w:name w:val="明显引用 Char1"/>
    <w:uiPriority w:val="30"/>
    <w:qFormat/>
    <w:rPr>
      <w:b/>
      <w:bCs/>
      <w:i/>
      <w:iCs/>
      <w:color w:val="4f81bd"/>
      <w:sz w:val="21"/>
    </w:rPr>
  </w:style>
  <w:style w:type="character" w:styleId="1065" w:customStyle="1">
    <w:name w:val="页眉 Char1"/>
    <w:uiPriority w:val="99"/>
    <w:semiHidden/>
    <w:qFormat/>
    <w:rPr>
      <w:rFonts w:ascii="Calibri" w:hAnsi="Calibri" w:eastAsia="宋体" w:cs="Times New Roman"/>
      <w:sz w:val="18"/>
      <w:szCs w:val="18"/>
    </w:rPr>
  </w:style>
  <w:style w:type="character" w:styleId="1066" w:customStyle="1">
    <w:name w:val="不明显强调1"/>
    <w:uiPriority w:val="0"/>
    <w:qFormat/>
    <w:rPr>
      <w:i/>
      <w:iCs/>
      <w:color w:val="808080"/>
    </w:rPr>
  </w:style>
  <w:style w:type="character" w:styleId="1067" w:customStyle="1">
    <w:name w:val="正文文本 3 字符"/>
    <w:link w:val="907"/>
    <w:uiPriority w:val="0"/>
    <w:qFormat/>
    <w:rPr>
      <w:rFonts w:ascii="宋体"/>
      <w:sz w:val="24"/>
    </w:rPr>
  </w:style>
  <w:style w:type="character" w:styleId="1068" w:customStyle="1">
    <w:name w:val="正文文本缩进 3 字符"/>
    <w:link w:val="924"/>
    <w:uiPriority w:val="0"/>
    <w:qFormat/>
    <w:rPr>
      <w:sz w:val="16"/>
    </w:rPr>
  </w:style>
  <w:style w:type="character" w:styleId="1069" w:customStyle="1">
    <w:name w:val="font21"/>
    <w:uiPriority w:val="0"/>
    <w:qFormat/>
    <w:rPr>
      <w:rFonts w:hint="eastAsia" w:ascii="宋体" w:hAnsi="宋体" w:eastAsia="宋体" w:cs="宋体"/>
      <w:color w:val="000000"/>
      <w:sz w:val="20"/>
      <w:szCs w:val="20"/>
      <w:u w:val="none"/>
    </w:rPr>
  </w:style>
  <w:style w:type="character" w:styleId="1070" w:customStyle="1">
    <w:name w:val="批注框文本 字符"/>
    <w:link w:val="917"/>
    <w:uiPriority w:val="0"/>
    <w:qFormat/>
    <w:rPr>
      <w:sz w:val="18"/>
      <w:szCs w:val="18"/>
    </w:rPr>
  </w:style>
  <w:style w:type="character" w:styleId="1071" w:customStyle="1">
    <w:name w:val="标题 7 字符"/>
    <w:link w:val="896"/>
    <w:uiPriority w:val="0"/>
    <w:qFormat/>
    <w:rPr>
      <w:b/>
      <w:bCs/>
      <w:sz w:val="24"/>
      <w:szCs w:val="24"/>
    </w:rPr>
  </w:style>
  <w:style w:type="character" w:styleId="1072" w:customStyle="1">
    <w:name w:val="标题 1 字符"/>
    <w:link w:val="890"/>
    <w:uiPriority w:val="0"/>
    <w:qFormat/>
    <w:rPr>
      <w:rFonts w:ascii="Times New Roman" w:hAnsi="Times New Roman" w:eastAsia="宋体" w:cs="Times New Roman"/>
      <w:b/>
      <w:bCs/>
      <w:sz w:val="32"/>
      <w:szCs w:val="44"/>
    </w:rPr>
  </w:style>
  <w:style w:type="character" w:styleId="1073" w:customStyle="1">
    <w:name w:val="文档结构图 Char1"/>
    <w:uiPriority w:val="0"/>
    <w:qFormat/>
    <w:rPr>
      <w:rFonts w:ascii="宋体" w:hAnsi="Calibri" w:eastAsia="宋体" w:cs="Times New Roman"/>
      <w:sz w:val="18"/>
      <w:szCs w:val="18"/>
    </w:rPr>
  </w:style>
  <w:style w:type="character" w:styleId="1074" w:customStyle="1">
    <w:name w:val="标题 2 Char_0"/>
    <w:link w:val="956"/>
    <w:uiPriority w:val="0"/>
    <w:qFormat/>
    <w:rPr>
      <w:rFonts w:ascii="Cambria" w:hAnsi="Cambria"/>
      <w:b/>
      <w:bCs/>
      <w:sz w:val="32"/>
      <w:szCs w:val="32"/>
    </w:rPr>
  </w:style>
  <w:style w:type="character" w:styleId="1075" w:customStyle="1">
    <w:name w:val="日期 Char2"/>
    <w:uiPriority w:val="99"/>
    <w:semiHidden/>
    <w:qFormat/>
    <w:rPr>
      <w:rFonts w:ascii="Calibri" w:hAnsi="Calibri" w:eastAsia="宋体" w:cs="Times New Roman"/>
    </w:rPr>
  </w:style>
  <w:style w:type="character" w:styleId="1076" w:customStyle="1">
    <w:name w:val="批注框文本 Char2"/>
    <w:uiPriority w:val="99"/>
    <w:semiHidden/>
    <w:qFormat/>
    <w:rPr>
      <w:rFonts w:ascii="Calibri" w:hAnsi="Calibri" w:eastAsia="宋体" w:cs="Times New Roman"/>
      <w:sz w:val="18"/>
      <w:szCs w:val="18"/>
    </w:rPr>
  </w:style>
  <w:style w:type="character" w:styleId="1077" w:customStyle="1">
    <w:name w:val="标题 4 字符"/>
    <w:link w:val="893"/>
    <w:uiPriority w:val="0"/>
    <w:qFormat/>
    <w:rPr>
      <w:rFonts w:ascii="Cambria" w:hAnsi="Cambria" w:eastAsia="宋体" w:cs="Times New Roman"/>
      <w:b/>
      <w:bCs/>
      <w:sz w:val="28"/>
      <w:szCs w:val="28"/>
    </w:rPr>
  </w:style>
  <w:style w:type="character" w:styleId="1078" w:customStyle="1">
    <w:name w:val="列出段落 Char"/>
    <w:link w:val="957"/>
    <w:uiPriority w:val="99"/>
    <w:qFormat/>
    <w:rPr>
      <w:sz w:val="21"/>
      <w:szCs w:val="24"/>
    </w:rPr>
  </w:style>
  <w:style w:type="character" w:styleId="1079" w:customStyle="1">
    <w:name w:val="表格文字 字符"/>
    <w:link w:val="974"/>
    <w:uiPriority w:val="0"/>
    <w:qFormat/>
    <w:rPr>
      <w:rFonts w:ascii="Calibri" w:hAnsi="Calibri" w:eastAsia="宋体" w:cs="Times New Roman"/>
      <w:sz w:val="21"/>
      <w:szCs w:val="22"/>
    </w:rPr>
  </w:style>
  <w:style w:type="paragraph" w:styleId="1080" w:customStyle="1">
    <w:name w:val="修订2"/>
    <w:hidden/>
    <w:uiPriority w:val="99"/>
    <w:semiHidden/>
    <w:qFormat/>
    <w:rPr>
      <w:rFonts w:ascii="Times New Roman" w:hAnsi="Times New Roman" w:eastAsia="宋体" w:cs="Times New Roman"/>
      <w:sz w:val="21"/>
      <w:szCs w:val="24"/>
      <w:lang w:val="en-US" w:eastAsia="zh-CN" w:bidi="ar-SA"/>
    </w:rPr>
  </w:style>
  <w:style w:type="character" w:styleId="1081" w:customStyle="1">
    <w:name w:val="正文文本首行缩进 字符"/>
    <w:basedOn w:val="1056"/>
    <w:link w:val="932"/>
    <w:uiPriority w:val="0"/>
    <w:semiHidden/>
    <w:qFormat/>
    <w:rPr>
      <w:rFonts w:eastAsia="幼圆"/>
      <w:b w:val="0"/>
      <w:bCs w:val="0"/>
      <w:sz w:val="21"/>
      <w:szCs w:val="24"/>
    </w:rPr>
  </w:style>
  <w:style w:type="character" w:styleId="1082" w:customStyle="1">
    <w:name w:val="未处理的提及1"/>
    <w:basedOn w:val="899"/>
    <w:uiPriority w:val="99"/>
    <w:semiHidden/>
    <w:unhideWhenUsed/>
    <w:qFormat/>
    <w:rPr>
      <w:color w:val="605e5c"/>
      <w:shd w:val="clear" w:color="auto" w:fill="e1dfdd"/>
    </w:rPr>
  </w:style>
  <w:style w:type="paragraph" w:styleId="1083" w:customStyle="1">
    <w:name w:val="TOC 标题2"/>
    <w:basedOn w:val="890"/>
    <w:next w:val="889"/>
    <w:uiPriority w:val="39"/>
    <w:unhideWhenUsed/>
    <w:qFormat/>
    <w:pPr>
      <w:numPr>
        <w:numId w:val="0"/>
      </w:numPr>
      <w:jc w:val="left"/>
      <w:spacing w:before="240" w:after="0" w:line="259" w:lineRule="auto"/>
      <w:widowControl/>
      <w:outlineLvl w:val="9"/>
    </w:pPr>
    <w:rPr>
      <w:rFonts w:asciiTheme="majorHAnsi" w:hAnsiTheme="majorHAnsi" w:eastAsiaTheme="majorEastAsia" w:cstheme="majorBidi"/>
      <w:b w:val="0"/>
      <w:bCs w:val="0"/>
      <w:color w:val="376092" w:themeColor="accent1" w:themeShade="BF"/>
      <w:szCs w:val="32"/>
    </w:rPr>
  </w:style>
  <w:style w:type="paragraph" w:styleId="1084">
    <w:name w:val="List Paragraph"/>
    <w:basedOn w:val="889"/>
    <w:uiPriority w:val="99"/>
    <w:qFormat/>
    <w:pPr>
      <w:ind w:firstLine="420"/>
    </w:pPr>
  </w:style>
  <w:style w:type="character" w:styleId="1085" w:customStyle="1">
    <w:name w:val="未处理的提及2"/>
    <w:basedOn w:val="899"/>
    <w:uiPriority w:val="99"/>
    <w:semiHidden/>
    <w:unhideWhenUsed/>
    <w:qFormat/>
    <w:rPr>
      <w:color w:val="605e5c"/>
      <w:shd w:val="clear" w:color="auto" w:fill="e1dfdd"/>
    </w:rPr>
  </w:style>
  <w:style w:type="paragraph" w:styleId="1086"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087" w:customStyle="1">
    <w:name w:val="标题 61"/>
    <w:basedOn w:val="889"/>
    <w:next w:val="889"/>
    <w:uiPriority w:val="0"/>
    <w:qFormat/>
    <w:pPr>
      <w:numPr>
        <w:ilvl w:val="5"/>
        <w:numId w:val="3"/>
      </w:numPr>
      <w:keepLines/>
      <w:keepNext/>
      <w:spacing w:before="240" w:after="64" w:line="320" w:lineRule="auto"/>
      <w:outlineLvl w:val="5"/>
    </w:pPr>
    <w:rPr>
      <w:rFonts w:ascii="Arial" w:hAnsi="Arial" w:eastAsia="黑体"/>
      <w:b/>
      <w:bCs/>
      <w:sz w:val="24"/>
    </w:rPr>
  </w:style>
  <w:style w:type="paragraph" w:styleId="1088" w:customStyle="1">
    <w:name w:val="标题 71"/>
    <w:basedOn w:val="889"/>
    <w:next w:val="889"/>
    <w:uiPriority w:val="0"/>
    <w:qFormat/>
    <w:pPr>
      <w:numPr>
        <w:ilvl w:val="6"/>
        <w:numId w:val="3"/>
      </w:numPr>
      <w:keepLines/>
      <w:keepNext/>
      <w:spacing w:before="240" w:after="64" w:line="320" w:lineRule="auto"/>
      <w:outlineLvl w:val="6"/>
    </w:pPr>
    <w:rPr>
      <w:b/>
      <w:bCs/>
      <w:sz w:val="24"/>
    </w:rPr>
  </w:style>
  <w:style w:type="paragraph" w:styleId="1089" w:customStyle="1">
    <w:name w:val="标题 81"/>
    <w:basedOn w:val="889"/>
    <w:next w:val="889"/>
    <w:uiPriority w:val="0"/>
    <w:qFormat/>
    <w:pPr>
      <w:numPr>
        <w:ilvl w:val="7"/>
        <w:numId w:val="3"/>
      </w:numPr>
      <w:keepLines/>
      <w:keepNext/>
      <w:spacing w:before="240" w:after="64" w:line="320" w:lineRule="auto"/>
      <w:outlineLvl w:val="7"/>
    </w:pPr>
    <w:rPr>
      <w:rFonts w:ascii="Arial" w:hAnsi="Arial" w:eastAsia="黑体"/>
      <w:sz w:val="24"/>
    </w:rPr>
  </w:style>
  <w:style w:type="paragraph" w:styleId="1090" w:customStyle="1">
    <w:name w:val="标题 91"/>
    <w:basedOn w:val="889"/>
    <w:next w:val="889"/>
    <w:uiPriority w:val="0"/>
    <w:qFormat/>
    <w:pPr>
      <w:numPr>
        <w:ilvl w:val="8"/>
        <w:numId w:val="3"/>
      </w:numPr>
      <w:keepLines/>
      <w:keepNext/>
      <w:spacing w:before="240" w:after="64" w:line="320" w:lineRule="auto"/>
      <w:outlineLvl w:val="8"/>
    </w:pPr>
    <w:rPr>
      <w:rFonts w:ascii="Arial" w:hAnsi="Arial" w:eastAsia="黑体"/>
      <w:szCs w:val="21"/>
    </w:rPr>
  </w:style>
  <w:style w:type="character" w:styleId="1091" w:customStyle="1">
    <w:name w:val="正文缩进 字符"/>
    <w:link w:val="903"/>
    <w:uiPriority w:val="0"/>
    <w:qFormat/>
    <w:rPr>
      <w:b/>
      <w:sz w:val="24"/>
    </w:rPr>
  </w:style>
  <w:style w:type="paragraph" w:styleId="1092" w:customStyle="1">
    <w:name w:val="Revision"/>
    <w:hidden/>
    <w:uiPriority w:val="99"/>
    <w:unhideWhenUsed/>
    <w:qFormat/>
    <w:rPr>
      <w:rFonts w:ascii="Times New Roman" w:hAnsi="Times New Roman" w:eastAsia="宋体" w:cs="Times New Roman"/>
      <w:sz w:val="21"/>
      <w:szCs w:val="24"/>
      <w:lang w:val="en-US" w:eastAsia="zh-CN" w:bidi="ar-SA"/>
    </w:rPr>
  </w:style>
  <w:style w:type="character" w:styleId="1093" w:customStyle="1">
    <w:name w:val="font121"/>
    <w:basedOn w:val="899"/>
    <w:uiPriority w:val="0"/>
    <w:qFormat/>
    <w:rPr>
      <w:rFonts w:hint="eastAsia" w:ascii="宋体" w:hAnsi="宋体" w:eastAsia="宋体" w:cs="宋体"/>
      <w:color w:val="000000"/>
      <w:sz w:val="20"/>
      <w:szCs w:val="20"/>
      <w:u w:val="none"/>
    </w:rPr>
  </w:style>
  <w:style w:type="numbering" w:styleId="10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濮钰铃</cp:lastModifiedBy>
  <cp:revision>104</cp:revision>
  <dcterms:created xsi:type="dcterms:W3CDTF">2021-03-26T03:19:00Z</dcterms:created>
  <dcterms:modified xsi:type="dcterms:W3CDTF">2026-06-15T09:48:31Z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FD47575D1E60485F8A1DAB658413A622_13</vt:lpwstr>
  </property>
  <property fmtid="{D5CDD505-2E9C-101B-9397-08002B2CF9AE}" pid="4" name="KSOTemplateDocerSaveRecord">
    <vt:lpwstr>eyJoZGlkIjoiMTgyY2Y5Y2UxZjkwY2NiYzg1MTM4ZmQzOTFhYWJhY2IiLCJ1c2VySWQiOiI0OTI1MjU3OTUifQ==</vt:lpwstr>
  </property>
</Properties>
</file>