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b/>
          <w:bCs/>
          <w:color w:val="auto"/>
          <w:sz w:val="44"/>
          <w:szCs w:val="44"/>
          <w:highlight w:val="none"/>
        </w:rPr>
      </w:pPr>
    </w:p>
    <w:p>
      <w:pPr>
        <w:spacing w:line="360" w:lineRule="auto"/>
        <w:jc w:val="center"/>
        <w:rPr>
          <w:rFonts w:ascii="宋体" w:hAnsi="宋体" w:cs="宋体"/>
          <w:b/>
          <w:bCs/>
          <w:color w:val="auto"/>
          <w:sz w:val="44"/>
          <w:szCs w:val="44"/>
          <w:highlight w:val="none"/>
        </w:rPr>
      </w:pPr>
      <w:r>
        <w:rPr>
          <w:rFonts w:ascii="宋体" w:hAnsi="宋体" w:cs="宋体"/>
          <w:b/>
          <w:bCs/>
          <w:color w:val="auto"/>
          <w:sz w:val="44"/>
          <w:szCs w:val="44"/>
          <w:highlight w:val="none"/>
        </w:rPr>
        <w:t>南京技师学院校园零星维修工程</w:t>
      </w:r>
    </w:p>
    <w:p>
      <w:pPr>
        <w:spacing w:line="360" w:lineRule="auto"/>
        <w:jc w:val="center"/>
        <w:rPr>
          <w:rFonts w:ascii="宋体" w:hAnsi="宋体" w:cs="宋体"/>
          <w:b/>
          <w:color w:val="auto"/>
          <w:sz w:val="28"/>
          <w:szCs w:val="20"/>
          <w:highlight w:val="none"/>
        </w:rPr>
      </w:pPr>
      <w:r>
        <w:rPr>
          <w:rFonts w:hint="eastAsia" w:ascii="宋体" w:hAnsi="宋体" w:cs="宋体"/>
          <w:b/>
          <w:color w:val="auto"/>
          <w:sz w:val="28"/>
          <w:szCs w:val="20"/>
          <w:highlight w:val="none"/>
        </w:rPr>
        <w:t>项目编号：JSZC-320100-SSJT-C2024-0042</w:t>
      </w:r>
    </w:p>
    <w:p>
      <w:pPr>
        <w:spacing w:line="360" w:lineRule="auto"/>
        <w:jc w:val="center"/>
        <w:rPr>
          <w:rFonts w:ascii="宋体" w:hAnsi="宋体" w:cs="宋体"/>
          <w:b/>
          <w:color w:val="auto"/>
          <w:sz w:val="72"/>
          <w:szCs w:val="72"/>
          <w:highlight w:val="none"/>
        </w:rPr>
      </w:pPr>
    </w:p>
    <w:p>
      <w:pPr>
        <w:spacing w:line="360" w:lineRule="auto"/>
        <w:jc w:val="center"/>
        <w:rPr>
          <w:rFonts w:ascii="宋体" w:hAnsi="宋体" w:cs="宋体"/>
          <w:b/>
          <w:color w:val="auto"/>
          <w:sz w:val="72"/>
          <w:szCs w:val="72"/>
          <w:highlight w:val="none"/>
        </w:rPr>
      </w:pPr>
    </w:p>
    <w:p>
      <w:pPr>
        <w:spacing w:line="360" w:lineRule="auto"/>
        <w:jc w:val="center"/>
        <w:rPr>
          <w:rFonts w:ascii="宋体" w:hAnsi="宋体" w:cs="宋体"/>
          <w:b/>
          <w:color w:val="auto"/>
          <w:sz w:val="72"/>
          <w:szCs w:val="72"/>
          <w:highlight w:val="none"/>
        </w:rPr>
      </w:pPr>
      <w:r>
        <w:rPr>
          <w:rFonts w:hint="eastAsia" w:ascii="宋体" w:hAnsi="宋体" w:cs="宋体"/>
          <w:b/>
          <w:color w:val="auto"/>
          <w:sz w:val="72"/>
          <w:szCs w:val="72"/>
          <w:highlight w:val="none"/>
        </w:rPr>
        <w:t>竞争性磋商文件</w:t>
      </w:r>
    </w:p>
    <w:p>
      <w:pPr>
        <w:spacing w:line="360" w:lineRule="auto"/>
        <w:rPr>
          <w:rFonts w:ascii="宋体" w:hAnsi="宋体" w:cs="宋体"/>
          <w:b/>
          <w:color w:val="auto"/>
          <w:sz w:val="36"/>
          <w:highlight w:val="none"/>
        </w:rPr>
      </w:pPr>
    </w:p>
    <w:p>
      <w:pPr>
        <w:spacing w:line="360" w:lineRule="auto"/>
        <w:rPr>
          <w:rFonts w:ascii="宋体" w:hAnsi="宋体" w:cs="宋体"/>
          <w:b/>
          <w:color w:val="auto"/>
          <w:sz w:val="36"/>
          <w:highlight w:val="none"/>
        </w:rPr>
      </w:pPr>
    </w:p>
    <w:p>
      <w:pPr>
        <w:spacing w:line="360" w:lineRule="auto"/>
        <w:jc w:val="center"/>
        <w:rPr>
          <w:rFonts w:ascii="宋体" w:hAnsi="宋体" w:cs="宋体"/>
          <w:b/>
          <w:color w:val="auto"/>
          <w:sz w:val="36"/>
          <w:highlight w:val="none"/>
        </w:rPr>
      </w:pPr>
    </w:p>
    <w:p>
      <w:pPr>
        <w:spacing w:line="360" w:lineRule="auto"/>
        <w:jc w:val="center"/>
        <w:rPr>
          <w:rFonts w:ascii="宋体" w:hAnsi="宋体" w:cs="宋体"/>
          <w:b/>
          <w:color w:val="auto"/>
          <w:sz w:val="36"/>
          <w:highlight w:val="none"/>
        </w:rPr>
      </w:pPr>
    </w:p>
    <w:p>
      <w:pPr>
        <w:spacing w:line="360" w:lineRule="auto"/>
        <w:jc w:val="center"/>
        <w:rPr>
          <w:rFonts w:ascii="宋体" w:hAnsi="宋体" w:cs="宋体"/>
          <w:b/>
          <w:color w:val="auto"/>
          <w:sz w:val="36"/>
          <w:highlight w:val="none"/>
        </w:rPr>
      </w:pPr>
    </w:p>
    <w:p>
      <w:pPr>
        <w:spacing w:line="360" w:lineRule="auto"/>
        <w:jc w:val="center"/>
        <w:rPr>
          <w:rFonts w:ascii="宋体" w:hAnsi="宋体" w:cs="宋体"/>
          <w:b/>
          <w:color w:val="auto"/>
          <w:sz w:val="36"/>
          <w:highlight w:val="none"/>
        </w:rPr>
      </w:pPr>
    </w:p>
    <w:p>
      <w:pPr>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采购人：南京技师学院</w:t>
      </w:r>
    </w:p>
    <w:p>
      <w:pPr>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代理机构：苏世建设管理集团有限公司</w:t>
      </w:r>
    </w:p>
    <w:p>
      <w:pPr>
        <w:spacing w:line="360" w:lineRule="auto"/>
        <w:rPr>
          <w:rFonts w:ascii="宋体" w:hAnsi="宋体" w:cs="宋体"/>
          <w:b/>
          <w:color w:val="auto"/>
          <w:sz w:val="36"/>
          <w:highlight w:val="none"/>
        </w:rPr>
      </w:pPr>
    </w:p>
    <w:p>
      <w:pPr>
        <w:spacing w:line="360" w:lineRule="auto"/>
        <w:jc w:val="center"/>
        <w:rPr>
          <w:rFonts w:ascii="宋体" w:hAnsi="宋体" w:cs="宋体"/>
          <w:b/>
          <w:color w:val="auto"/>
          <w:sz w:val="36"/>
          <w:highlight w:val="none"/>
        </w:rPr>
        <w:sectPr>
          <w:pgSz w:w="11906" w:h="16838"/>
          <w:pgMar w:top="1440" w:right="1797" w:bottom="1440" w:left="1797" w:header="851" w:footer="992" w:gutter="0"/>
          <w:pgNumType w:start="1"/>
          <w:cols w:space="720" w:num="1"/>
          <w:docGrid w:linePitch="312" w:charSpace="0"/>
        </w:sectPr>
      </w:pPr>
      <w:r>
        <w:rPr>
          <w:rFonts w:hint="eastAsia" w:ascii="宋体" w:hAnsi="宋体" w:cs="宋体"/>
          <w:b/>
          <w:color w:val="auto"/>
          <w:sz w:val="36"/>
          <w:highlight w:val="none"/>
        </w:rPr>
        <w:t>二〇二四年</w:t>
      </w:r>
      <w:r>
        <w:rPr>
          <w:rFonts w:hint="eastAsia" w:ascii="宋体" w:hAnsi="宋体" w:cs="宋体"/>
          <w:b/>
          <w:color w:val="auto"/>
          <w:sz w:val="36"/>
          <w:highlight w:val="none"/>
          <w:lang w:val="en-US" w:eastAsia="zh-CN"/>
        </w:rPr>
        <w:t>六</w:t>
      </w:r>
      <w:r>
        <w:rPr>
          <w:rFonts w:hint="eastAsia" w:ascii="宋体" w:hAnsi="宋体" w:cs="宋体"/>
          <w:b/>
          <w:color w:val="auto"/>
          <w:sz w:val="36"/>
          <w:highlight w:val="none"/>
        </w:rPr>
        <w:t>月</w:t>
      </w:r>
    </w:p>
    <w:p>
      <w:pPr>
        <w:spacing w:line="360" w:lineRule="auto"/>
        <w:jc w:val="center"/>
        <w:rPr>
          <w:rFonts w:ascii="宋体" w:hAnsi="宋体" w:cs="宋体"/>
          <w:b/>
          <w:color w:val="auto"/>
          <w:sz w:val="36"/>
          <w:highlight w:val="none"/>
        </w:rPr>
      </w:pPr>
    </w:p>
    <w:p>
      <w:pPr>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目 录</w:t>
      </w:r>
    </w:p>
    <w:p>
      <w:pPr>
        <w:pStyle w:val="36"/>
        <w:tabs>
          <w:tab w:val="right" w:leader="dot" w:pos="8296"/>
        </w:tabs>
        <w:spacing w:line="360" w:lineRule="auto"/>
        <w:rPr>
          <w:rFonts w:ascii="宋体" w:hAnsi="宋体" w:cs="宋体"/>
          <w:b/>
          <w:color w:val="auto"/>
          <w:sz w:val="28"/>
          <w:szCs w:val="28"/>
          <w:highlight w:val="none"/>
        </w:rPr>
      </w:pPr>
    </w:p>
    <w:p>
      <w:pPr>
        <w:pStyle w:val="36"/>
        <w:tabs>
          <w:tab w:val="right" w:leader="dot" w:pos="8306"/>
        </w:tabs>
        <w:spacing w:line="1000" w:lineRule="exact"/>
        <w:outlineLvl w:val="0"/>
        <w:rPr>
          <w:rFonts w:ascii="宋体" w:hAnsi="宋体" w:cs="宋体"/>
          <w:color w:val="auto"/>
          <w:sz w:val="32"/>
          <w:szCs w:val="32"/>
          <w:highlight w:val="none"/>
        </w:rPr>
      </w:pPr>
      <w:r>
        <w:rPr>
          <w:rFonts w:hint="eastAsia" w:ascii="宋体" w:hAnsi="宋体" w:cs="宋体"/>
          <w:b/>
          <w:color w:val="auto"/>
          <w:sz w:val="28"/>
          <w:szCs w:val="28"/>
          <w:highlight w:val="none"/>
        </w:rPr>
        <w:fldChar w:fldCharType="begin"/>
      </w:r>
      <w:r>
        <w:rPr>
          <w:rFonts w:hint="eastAsia" w:ascii="宋体" w:hAnsi="宋体" w:cs="宋体"/>
          <w:b/>
          <w:color w:val="auto"/>
          <w:sz w:val="28"/>
          <w:szCs w:val="28"/>
          <w:highlight w:val="none"/>
        </w:rPr>
        <w:instrText xml:space="preserve"> TOC \o "1-1" \h \z \u </w:instrText>
      </w:r>
      <w:r>
        <w:rPr>
          <w:rFonts w:hint="eastAsia" w:ascii="宋体" w:hAnsi="宋体" w:cs="宋体"/>
          <w:b/>
          <w:color w:val="auto"/>
          <w:sz w:val="28"/>
          <w:szCs w:val="28"/>
          <w:highlight w:val="none"/>
        </w:rPr>
        <w:fldChar w:fldCharType="separate"/>
      </w:r>
      <w:r>
        <w:rPr>
          <w:color w:val="auto"/>
          <w:highlight w:val="none"/>
        </w:rPr>
        <w:fldChar w:fldCharType="begin"/>
      </w:r>
      <w:r>
        <w:rPr>
          <w:color w:val="auto"/>
          <w:highlight w:val="none"/>
        </w:rPr>
        <w:instrText xml:space="preserve"> HYPERLINK \l "_Toc27142" </w:instrText>
      </w:r>
      <w:r>
        <w:rPr>
          <w:color w:val="auto"/>
          <w:highlight w:val="none"/>
        </w:rPr>
        <w:fldChar w:fldCharType="separate"/>
      </w:r>
      <w:r>
        <w:rPr>
          <w:rFonts w:hint="eastAsia" w:ascii="宋体" w:hAnsi="宋体" w:cs="宋体"/>
          <w:color w:val="auto"/>
          <w:sz w:val="32"/>
          <w:szCs w:val="32"/>
          <w:highlight w:val="none"/>
        </w:rPr>
        <w:t>第一章   竞争性</w:t>
      </w:r>
      <w:r>
        <w:rPr>
          <w:rFonts w:ascii="宋体" w:hAnsi="宋体" w:cs="宋体"/>
          <w:color w:val="auto"/>
          <w:sz w:val="32"/>
          <w:szCs w:val="32"/>
          <w:highlight w:val="none"/>
        </w:rPr>
        <w:t>磋商公告</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t>1</w:t>
      </w:r>
    </w:p>
    <w:p>
      <w:pPr>
        <w:pStyle w:val="36"/>
        <w:tabs>
          <w:tab w:val="right" w:leader="dot" w:pos="8306"/>
        </w:tabs>
        <w:spacing w:line="1000" w:lineRule="exact"/>
        <w:outlineLvl w:val="0"/>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"_Toc7875" </w:instrText>
      </w:r>
      <w:r>
        <w:rPr>
          <w:color w:val="auto"/>
          <w:highlight w:val="none"/>
        </w:rPr>
        <w:fldChar w:fldCharType="separate"/>
      </w:r>
      <w:r>
        <w:rPr>
          <w:rFonts w:hint="eastAsia" w:ascii="宋体" w:hAnsi="宋体" w:cs="宋体"/>
          <w:color w:val="auto"/>
          <w:sz w:val="32"/>
          <w:szCs w:val="32"/>
          <w:highlight w:val="none"/>
        </w:rPr>
        <w:t>第二章   竞争性磋商须知</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t>7</w:t>
      </w:r>
    </w:p>
    <w:p>
      <w:pPr>
        <w:pStyle w:val="36"/>
        <w:tabs>
          <w:tab w:val="right" w:leader="dot" w:pos="8306"/>
        </w:tabs>
        <w:spacing w:line="1000" w:lineRule="exact"/>
        <w:outlineLvl w:val="0"/>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"_Toc17681" </w:instrText>
      </w:r>
      <w:r>
        <w:rPr>
          <w:color w:val="auto"/>
          <w:highlight w:val="none"/>
        </w:rPr>
        <w:fldChar w:fldCharType="separate"/>
      </w:r>
      <w:r>
        <w:rPr>
          <w:rFonts w:hint="eastAsia" w:ascii="宋体" w:hAnsi="宋体" w:cs="宋体"/>
          <w:color w:val="auto"/>
          <w:sz w:val="32"/>
          <w:szCs w:val="32"/>
          <w:highlight w:val="none"/>
        </w:rPr>
        <w:t>第三章   评标标准</w:t>
      </w:r>
      <w:r>
        <w:rPr>
          <w:rFonts w:hint="eastAsia" w:ascii="宋体" w:hAnsi="宋体" w:cs="宋体"/>
          <w:color w:val="auto"/>
          <w:sz w:val="32"/>
          <w:szCs w:val="32"/>
          <w:highlight w:val="none"/>
        </w:rPr>
        <w:tab/>
      </w:r>
      <w:r>
        <w:rPr>
          <w:rFonts w:hint="eastAsia" w:ascii="宋体" w:hAnsi="宋体" w:cs="宋体"/>
          <w:color w:val="auto"/>
          <w:sz w:val="32"/>
          <w:szCs w:val="32"/>
          <w:highlight w:val="none"/>
        </w:rPr>
        <w:t>1</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t>8</w:t>
      </w:r>
      <w:r>
        <w:rPr>
          <w:color w:val="auto"/>
          <w:highlight w:val="none"/>
        </w:rPr>
        <w:fldChar w:fldCharType="begin"/>
      </w:r>
      <w:r>
        <w:rPr>
          <w:color w:val="auto"/>
          <w:highlight w:val="none"/>
        </w:rPr>
        <w:instrText xml:space="preserve"> HYPERLINK \l "_Toc19336" </w:instrText>
      </w:r>
      <w:r>
        <w:rPr>
          <w:color w:val="auto"/>
          <w:highlight w:val="none"/>
        </w:rPr>
        <w:fldChar w:fldCharType="separate"/>
      </w:r>
      <w:r>
        <w:rPr>
          <w:color w:val="auto"/>
          <w:highlight w:val="none"/>
        </w:rPr>
        <w:fldChar w:fldCharType="end"/>
      </w:r>
    </w:p>
    <w:p>
      <w:pPr>
        <w:pStyle w:val="36"/>
        <w:tabs>
          <w:tab w:val="right" w:leader="dot" w:pos="8306"/>
        </w:tabs>
        <w:spacing w:line="1000" w:lineRule="exact"/>
        <w:outlineLvl w:val="0"/>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"_Toc14127" </w:instrText>
      </w:r>
      <w:r>
        <w:rPr>
          <w:color w:val="auto"/>
          <w:highlight w:val="none"/>
        </w:rPr>
        <w:fldChar w:fldCharType="separate"/>
      </w:r>
      <w:r>
        <w:rPr>
          <w:rFonts w:hint="eastAsia" w:ascii="宋体" w:hAnsi="宋体" w:cs="宋体"/>
          <w:color w:val="auto"/>
          <w:sz w:val="32"/>
          <w:szCs w:val="32"/>
          <w:highlight w:val="none"/>
        </w:rPr>
        <w:t>第四章   项目需求</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t>20</w:t>
      </w:r>
    </w:p>
    <w:p>
      <w:pPr>
        <w:pStyle w:val="36"/>
        <w:tabs>
          <w:tab w:val="right" w:leader="dot" w:pos="8306"/>
        </w:tabs>
        <w:spacing w:line="1000" w:lineRule="exact"/>
        <w:outlineLvl w:val="0"/>
        <w:rPr>
          <w:rFonts w:ascii="宋体" w:hAnsi="宋体" w:cs="宋体"/>
          <w:color w:val="auto"/>
          <w:sz w:val="32"/>
          <w:szCs w:val="32"/>
          <w:highlight w:val="none"/>
        </w:rPr>
      </w:pPr>
      <w:r>
        <w:rPr>
          <w:rFonts w:hint="eastAsia" w:ascii="宋体" w:hAnsi="宋体" w:cs="宋体"/>
          <w:color w:val="auto"/>
          <w:szCs w:val="28"/>
          <w:highlight w:val="none"/>
        </w:rPr>
        <w:fldChar w:fldCharType="end"/>
      </w:r>
      <w:r>
        <w:rPr>
          <w:color w:val="auto"/>
          <w:highlight w:val="none"/>
        </w:rPr>
        <w:fldChar w:fldCharType="begin"/>
      </w:r>
      <w:r>
        <w:rPr>
          <w:color w:val="auto"/>
          <w:highlight w:val="none"/>
        </w:rPr>
        <w:instrText xml:space="preserve"> HYPERLINK \l "_Toc14127" </w:instrText>
      </w:r>
      <w:r>
        <w:rPr>
          <w:color w:val="auto"/>
          <w:highlight w:val="none"/>
        </w:rPr>
        <w:fldChar w:fldCharType="separate"/>
      </w:r>
      <w:r>
        <w:rPr>
          <w:rFonts w:hint="eastAsia" w:ascii="宋体" w:hAnsi="宋体" w:cs="宋体"/>
          <w:color w:val="auto"/>
          <w:sz w:val="32"/>
          <w:szCs w:val="32"/>
          <w:highlight w:val="none"/>
        </w:rPr>
        <w:t>第五章   合同主要条款及格式</w:t>
      </w:r>
      <w:r>
        <w:rPr>
          <w:rFonts w:hint="eastAsia" w:ascii="宋体" w:hAnsi="宋体" w:cs="宋体"/>
          <w:color w:val="auto"/>
          <w:sz w:val="32"/>
          <w:szCs w:val="32"/>
          <w:highlight w:val="none"/>
        </w:rPr>
        <w:tab/>
      </w:r>
      <w:r>
        <w:rPr>
          <w:rFonts w:hint="eastAsia" w:ascii="宋体" w:hAnsi="宋体" w:cs="宋体"/>
          <w:color w:val="auto"/>
          <w:sz w:val="32"/>
          <w:szCs w:val="32"/>
          <w:highlight w:val="none"/>
        </w:rPr>
        <w:t>2</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t>2</w:t>
      </w:r>
    </w:p>
    <w:p>
      <w:pPr>
        <w:pStyle w:val="36"/>
        <w:tabs>
          <w:tab w:val="right" w:leader="dot" w:pos="8306"/>
        </w:tabs>
        <w:spacing w:line="1000" w:lineRule="exact"/>
        <w:outlineLvl w:val="0"/>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"_Toc14127" </w:instrText>
      </w:r>
      <w:r>
        <w:rPr>
          <w:color w:val="auto"/>
          <w:highlight w:val="none"/>
        </w:rPr>
        <w:fldChar w:fldCharType="separate"/>
      </w:r>
      <w:r>
        <w:rPr>
          <w:rFonts w:hint="eastAsia" w:ascii="宋体" w:hAnsi="宋体" w:cs="宋体"/>
          <w:color w:val="auto"/>
          <w:sz w:val="32"/>
          <w:szCs w:val="32"/>
          <w:highlight w:val="none"/>
        </w:rPr>
        <w:t>第六章   竞争性磋商响应文件格式</w:t>
      </w:r>
      <w:r>
        <w:rPr>
          <w:rFonts w:hint="eastAsia" w:ascii="宋体" w:hAnsi="宋体" w:cs="宋体"/>
          <w:color w:val="auto"/>
          <w:sz w:val="32"/>
          <w:szCs w:val="32"/>
          <w:highlight w:val="none"/>
        </w:rPr>
        <w:tab/>
      </w:r>
      <w:r>
        <w:rPr>
          <w:rFonts w:hint="eastAsia" w:ascii="宋体" w:hAnsi="宋体" w:cs="宋体"/>
          <w:color w:val="auto"/>
          <w:sz w:val="32"/>
          <w:szCs w:val="32"/>
          <w:highlight w:val="none"/>
        </w:rPr>
        <w:t>3</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t>8</w:t>
      </w:r>
    </w:p>
    <w:p>
      <w:pPr>
        <w:pStyle w:val="6"/>
        <w:rPr>
          <w:color w:val="auto"/>
          <w:highlight w:val="none"/>
        </w:rPr>
      </w:pPr>
    </w:p>
    <w:p>
      <w:pPr>
        <w:rPr>
          <w:color w:val="auto"/>
          <w:highlight w:val="none"/>
        </w:rPr>
      </w:pPr>
    </w:p>
    <w:p>
      <w:pPr>
        <w:spacing w:line="360" w:lineRule="auto"/>
        <w:jc w:val="center"/>
        <w:rPr>
          <w:rFonts w:ascii="宋体" w:hAnsi="宋体" w:cs="宋体"/>
          <w:b/>
          <w:color w:val="auto"/>
          <w:sz w:val="28"/>
          <w:szCs w:val="28"/>
          <w:highlight w:val="none"/>
        </w:rPr>
      </w:pPr>
    </w:p>
    <w:p>
      <w:pPr>
        <w:spacing w:line="360" w:lineRule="auto"/>
        <w:jc w:val="center"/>
        <w:rPr>
          <w:rFonts w:ascii="宋体" w:hAnsi="宋体" w:cs="宋体"/>
          <w:b/>
          <w:color w:val="auto"/>
          <w:sz w:val="28"/>
          <w:szCs w:val="28"/>
          <w:highlight w:val="none"/>
        </w:rPr>
      </w:pPr>
    </w:p>
    <w:p>
      <w:pPr>
        <w:rPr>
          <w:rFonts w:ascii="宋体" w:hAnsi="宋体" w:cs="宋体"/>
          <w:color w:val="auto"/>
          <w:sz w:val="28"/>
          <w:szCs w:val="28"/>
          <w:highlight w:val="none"/>
        </w:rPr>
      </w:pPr>
    </w:p>
    <w:p>
      <w:pPr>
        <w:tabs>
          <w:tab w:val="left" w:pos="5010"/>
        </w:tabs>
        <w:rPr>
          <w:rFonts w:ascii="宋体" w:hAnsi="宋体" w:cs="宋体"/>
          <w:color w:val="auto"/>
          <w:sz w:val="28"/>
          <w:szCs w:val="28"/>
          <w:highlight w:val="none"/>
        </w:rPr>
      </w:pPr>
      <w:r>
        <w:rPr>
          <w:rFonts w:ascii="宋体" w:hAnsi="宋体" w:cs="宋体"/>
          <w:color w:val="auto"/>
          <w:sz w:val="28"/>
          <w:szCs w:val="28"/>
          <w:highlight w:val="none"/>
        </w:rPr>
        <w:tab/>
      </w: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sectPr>
          <w:footerReference r:id="rId3" w:type="default"/>
          <w:pgSz w:w="11906" w:h="16838"/>
          <w:pgMar w:top="1440" w:right="1797" w:bottom="1440" w:left="1797" w:header="851" w:footer="992" w:gutter="0"/>
          <w:pgNumType w:start="1"/>
          <w:cols w:space="720" w:num="1"/>
          <w:docGrid w:linePitch="312" w:charSpace="0"/>
        </w:sectPr>
      </w:pPr>
    </w:p>
    <w:p>
      <w:pPr>
        <w:pStyle w:val="3"/>
        <w:rPr>
          <w:color w:val="auto"/>
          <w:highlight w:val="none"/>
        </w:rPr>
      </w:pPr>
      <w:bookmarkStart w:id="0" w:name="_Toc27142"/>
      <w:r>
        <w:rPr>
          <w:rFonts w:hint="eastAsia"/>
          <w:color w:val="auto"/>
          <w:highlight w:val="none"/>
        </w:rPr>
        <w:t xml:space="preserve">第一章  </w:t>
      </w:r>
      <w:bookmarkEnd w:id="0"/>
      <w:r>
        <w:rPr>
          <w:rFonts w:hint="eastAsia"/>
          <w:color w:val="auto"/>
          <w:highlight w:val="none"/>
        </w:rPr>
        <w:t>竞争性磋商公告</w:t>
      </w:r>
    </w:p>
    <w:p>
      <w:pPr>
        <w:jc w:val="center"/>
        <w:rPr>
          <w:b/>
          <w:color w:val="auto"/>
          <w:sz w:val="32"/>
          <w:szCs w:val="32"/>
          <w:highlight w:val="none"/>
          <w:lang w:val="zh-CN"/>
        </w:rPr>
      </w:pPr>
      <w:bookmarkStart w:id="1" w:name="_Toc534273793"/>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u w:val="single"/>
        </w:rPr>
        <w:t>南京技师学院校园零星维修工程项目</w:t>
      </w:r>
      <w:r>
        <w:rPr>
          <w:rFonts w:hint="eastAsia" w:ascii="仿宋" w:hAnsi="仿宋" w:eastAsia="仿宋"/>
          <w:color w:val="auto"/>
          <w:sz w:val="24"/>
          <w:szCs w:val="24"/>
          <w:highlight w:val="none"/>
        </w:rPr>
        <w:t>采购项目的潜在供应商应在苏世建设管理集团有限公司（南京市江宁区智能路8号启迪科技城华业园5号楼3楼）获取采购文件，并于</w:t>
      </w:r>
      <w:r>
        <w:rPr>
          <w:rFonts w:hint="eastAsia" w:ascii="仿宋" w:hAnsi="仿宋" w:eastAsia="仿宋" w:cs="宋体"/>
          <w:color w:val="auto"/>
          <w:sz w:val="24"/>
          <w:szCs w:val="24"/>
          <w:highlight w:val="none"/>
          <w:u w:val="single"/>
        </w:rPr>
        <w:t>2024年</w:t>
      </w:r>
      <w:r>
        <w:rPr>
          <w:rFonts w:hint="eastAsia" w:ascii="仿宋" w:hAnsi="仿宋" w:eastAsia="仿宋" w:cs="宋体"/>
          <w:color w:val="auto"/>
          <w:sz w:val="24"/>
          <w:szCs w:val="24"/>
          <w:highlight w:val="none"/>
          <w:u w:val="single"/>
          <w:lang w:val="en-US" w:eastAsia="zh-CN"/>
        </w:rPr>
        <w:t>6</w:t>
      </w:r>
      <w:r>
        <w:rPr>
          <w:rFonts w:hint="eastAsia" w:ascii="仿宋" w:hAnsi="仿宋" w:eastAsia="仿宋" w:cs="宋体"/>
          <w:color w:val="auto"/>
          <w:sz w:val="24"/>
          <w:szCs w:val="24"/>
          <w:highlight w:val="none"/>
          <w:u w:val="single"/>
        </w:rPr>
        <w:t>月</w:t>
      </w:r>
      <w:r>
        <w:rPr>
          <w:rFonts w:hint="eastAsia" w:ascii="仿宋" w:hAnsi="仿宋" w:eastAsia="仿宋" w:cs="宋体"/>
          <w:color w:val="auto"/>
          <w:sz w:val="24"/>
          <w:szCs w:val="24"/>
          <w:highlight w:val="none"/>
          <w:u w:val="single"/>
          <w:lang w:val="en-US" w:eastAsia="zh-CN"/>
        </w:rPr>
        <w:t>17</w:t>
      </w:r>
      <w:r>
        <w:rPr>
          <w:rFonts w:hint="eastAsia" w:ascii="仿宋" w:hAnsi="仿宋" w:eastAsia="仿宋" w:cs="宋体"/>
          <w:color w:val="auto"/>
          <w:sz w:val="24"/>
          <w:szCs w:val="24"/>
          <w:highlight w:val="none"/>
          <w:u w:val="single"/>
        </w:rPr>
        <w:t>日</w:t>
      </w:r>
      <w:r>
        <w:rPr>
          <w:rFonts w:hint="eastAsia" w:ascii="仿宋" w:hAnsi="仿宋" w:eastAsia="仿宋"/>
          <w:color w:val="auto"/>
          <w:sz w:val="24"/>
          <w:szCs w:val="24"/>
          <w:highlight w:val="none"/>
          <w:u w:val="single"/>
          <w:lang w:val="en-US" w:eastAsia="zh-CN"/>
        </w:rPr>
        <w:t>9</w:t>
      </w:r>
      <w:r>
        <w:rPr>
          <w:rFonts w:hint="eastAsia" w:ascii="仿宋" w:hAnsi="仿宋" w:eastAsia="仿宋"/>
          <w:color w:val="auto"/>
          <w:sz w:val="24"/>
          <w:szCs w:val="24"/>
          <w:highlight w:val="none"/>
          <w:u w:val="single"/>
        </w:rPr>
        <w:t>时</w:t>
      </w:r>
      <w:r>
        <w:rPr>
          <w:rFonts w:hint="eastAsia" w:ascii="仿宋" w:hAnsi="仿宋" w:eastAsia="仿宋"/>
          <w:color w:val="auto"/>
          <w:sz w:val="24"/>
          <w:szCs w:val="24"/>
          <w:highlight w:val="none"/>
          <w:u w:val="single"/>
          <w:lang w:val="en-US" w:eastAsia="zh-CN"/>
        </w:rPr>
        <w:t>3</w:t>
      </w:r>
      <w:r>
        <w:rPr>
          <w:rFonts w:hint="eastAsia" w:ascii="仿宋" w:hAnsi="仿宋" w:eastAsia="仿宋"/>
          <w:color w:val="auto"/>
          <w:sz w:val="24"/>
          <w:szCs w:val="24"/>
          <w:highlight w:val="none"/>
          <w:u w:val="single"/>
        </w:rPr>
        <w:t>0分</w:t>
      </w:r>
      <w:r>
        <w:rPr>
          <w:rFonts w:hint="eastAsia" w:ascii="仿宋" w:hAnsi="仿宋" w:eastAsia="仿宋"/>
          <w:bCs/>
          <w:color w:val="auto"/>
          <w:sz w:val="24"/>
          <w:szCs w:val="24"/>
          <w:highlight w:val="none"/>
        </w:rPr>
        <w:t>（北京时间）前提交响应</w:t>
      </w:r>
      <w:r>
        <w:rPr>
          <w:rFonts w:ascii="仿宋" w:hAnsi="仿宋" w:eastAsia="仿宋"/>
          <w:bCs/>
          <w:color w:val="auto"/>
          <w:sz w:val="24"/>
          <w:szCs w:val="24"/>
          <w:highlight w:val="none"/>
        </w:rPr>
        <w:t>文件</w:t>
      </w:r>
      <w:r>
        <w:rPr>
          <w:rFonts w:hint="eastAsia" w:ascii="仿宋" w:hAnsi="仿宋" w:eastAsia="仿宋"/>
          <w:color w:val="auto"/>
          <w:sz w:val="24"/>
          <w:szCs w:val="24"/>
          <w:highlight w:val="none"/>
        </w:rPr>
        <w:t>。</w:t>
      </w:r>
    </w:p>
    <w:p>
      <w:pPr>
        <w:keepNext/>
        <w:keepLines/>
        <w:spacing w:before="260" w:after="260" w:line="360" w:lineRule="auto"/>
        <w:outlineLvl w:val="1"/>
        <w:rPr>
          <w:rFonts w:ascii="黑体" w:hAnsi="黑体" w:eastAsia="黑体" w:cs="宋体"/>
          <w:bCs/>
          <w:color w:val="auto"/>
          <w:sz w:val="24"/>
          <w:szCs w:val="24"/>
          <w:highlight w:val="none"/>
        </w:rPr>
      </w:pPr>
      <w:bookmarkStart w:id="2" w:name="_Toc35393798"/>
      <w:bookmarkStart w:id="3" w:name="_Toc28359089"/>
      <w:bookmarkStart w:id="4" w:name="_Toc28359012"/>
      <w:bookmarkStart w:id="5" w:name="_Toc35393629"/>
      <w:r>
        <w:rPr>
          <w:rFonts w:hint="eastAsia" w:ascii="黑体" w:hAnsi="黑体" w:eastAsia="黑体" w:cs="宋体"/>
          <w:bCs/>
          <w:color w:val="auto"/>
          <w:sz w:val="24"/>
          <w:szCs w:val="24"/>
          <w:highlight w:val="none"/>
        </w:rPr>
        <w:t>一、项目基本情况</w:t>
      </w:r>
      <w:bookmarkEnd w:id="2"/>
      <w:bookmarkEnd w:id="3"/>
      <w:bookmarkEnd w:id="4"/>
      <w:bookmarkEnd w:id="5"/>
    </w:p>
    <w:p>
      <w:pPr>
        <w:spacing w:line="360" w:lineRule="auto"/>
        <w:ind w:firstLine="480" w:firstLineChars="200"/>
        <w:rPr>
          <w:rFonts w:ascii="仿宋" w:hAnsi="仿宋" w:eastAsia="仿宋"/>
          <w:color w:val="auto"/>
          <w:sz w:val="24"/>
          <w:szCs w:val="24"/>
          <w:highlight w:val="none"/>
          <w:lang w:val="zh-CN"/>
        </w:rPr>
      </w:pPr>
      <w:r>
        <w:rPr>
          <w:rFonts w:hint="eastAsia" w:ascii="仿宋" w:hAnsi="仿宋" w:eastAsia="仿宋"/>
          <w:color w:val="auto"/>
          <w:sz w:val="24"/>
          <w:szCs w:val="24"/>
          <w:highlight w:val="none"/>
          <w:lang w:val="zh-CN"/>
        </w:rPr>
        <w:t>项目编号：JSZC-320100-SSJT-C2024-0042</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lang w:val="zh-CN"/>
        </w:rPr>
        <w:t>项目名称：</w:t>
      </w:r>
      <w:r>
        <w:rPr>
          <w:rFonts w:hint="eastAsia" w:ascii="仿宋" w:hAnsi="仿宋" w:eastAsia="仿宋"/>
          <w:color w:val="auto"/>
          <w:sz w:val="24"/>
          <w:szCs w:val="24"/>
          <w:highlight w:val="none"/>
        </w:rPr>
        <w:t>南京技师学院校园零星维修工程项目</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采购方式：竞争性磋商</w:t>
      </w:r>
    </w:p>
    <w:p>
      <w:pPr>
        <w:spacing w:line="360" w:lineRule="auto"/>
        <w:ind w:firstLine="480" w:firstLineChars="200"/>
        <w:rPr>
          <w:rFonts w:ascii="仿宋" w:hAnsi="仿宋" w:eastAsia="仿宋"/>
          <w:color w:val="auto"/>
          <w:sz w:val="24"/>
          <w:szCs w:val="24"/>
          <w:highlight w:val="none"/>
          <w:lang w:val="zh-CN"/>
        </w:rPr>
      </w:pPr>
      <w:r>
        <w:rPr>
          <w:rFonts w:hint="eastAsia" w:ascii="仿宋" w:hAnsi="仿宋" w:eastAsia="仿宋"/>
          <w:color w:val="auto"/>
          <w:sz w:val="24"/>
          <w:szCs w:val="24"/>
          <w:highlight w:val="none"/>
        </w:rPr>
        <w:t>预算金额：100</w:t>
      </w:r>
      <w:r>
        <w:rPr>
          <w:rFonts w:hint="eastAsia" w:ascii="仿宋" w:hAnsi="仿宋" w:eastAsia="仿宋"/>
          <w:color w:val="auto"/>
          <w:sz w:val="24"/>
          <w:szCs w:val="24"/>
          <w:highlight w:val="none"/>
          <w:lang w:val="zh-CN"/>
        </w:rPr>
        <w:t>万元（按实</w:t>
      </w:r>
      <w:r>
        <w:rPr>
          <w:rFonts w:ascii="仿宋" w:hAnsi="仿宋" w:eastAsia="仿宋"/>
          <w:color w:val="auto"/>
          <w:sz w:val="24"/>
          <w:szCs w:val="24"/>
          <w:highlight w:val="none"/>
          <w:lang w:val="zh-CN"/>
        </w:rPr>
        <w:t>结算</w:t>
      </w:r>
      <w:r>
        <w:rPr>
          <w:rFonts w:hint="eastAsia" w:ascii="仿宋" w:hAnsi="仿宋" w:eastAsia="仿宋"/>
          <w:color w:val="auto"/>
          <w:sz w:val="24"/>
          <w:szCs w:val="24"/>
          <w:highlight w:val="none"/>
          <w:lang w:val="zh-CN"/>
        </w:rPr>
        <w:t>）</w:t>
      </w:r>
    </w:p>
    <w:p>
      <w:pPr>
        <w:spacing w:line="360" w:lineRule="auto"/>
        <w:ind w:firstLine="480" w:firstLineChars="200"/>
        <w:rPr>
          <w:rFonts w:ascii="仿宋" w:hAnsi="仿宋" w:eastAsia="仿宋"/>
          <w:color w:val="auto"/>
          <w:sz w:val="24"/>
          <w:szCs w:val="24"/>
          <w:highlight w:val="none"/>
          <w:lang w:val="zh-CN"/>
        </w:rPr>
      </w:pPr>
      <w:r>
        <w:rPr>
          <w:rFonts w:hint="eastAsia" w:ascii="仿宋" w:hAnsi="仿宋" w:eastAsia="仿宋"/>
          <w:color w:val="auto"/>
          <w:sz w:val="24"/>
          <w:szCs w:val="24"/>
          <w:highlight w:val="none"/>
          <w:lang w:val="zh-CN"/>
        </w:rPr>
        <w:t>报价</w:t>
      </w:r>
      <w:r>
        <w:rPr>
          <w:rFonts w:ascii="仿宋" w:hAnsi="仿宋" w:eastAsia="仿宋"/>
          <w:color w:val="auto"/>
          <w:sz w:val="24"/>
          <w:szCs w:val="24"/>
          <w:highlight w:val="none"/>
          <w:lang w:val="zh-CN"/>
        </w:rPr>
        <w:t>方式：采用费率报价</w:t>
      </w:r>
      <w:bookmarkStart w:id="90" w:name="_GoBack"/>
      <w:bookmarkEnd w:id="90"/>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最高限价：投标费率最高限价为100%，投标费率报价超过100%的按无效投标处理。（例如：供应商所报费率为90%，即最终工程结算价=经审计后的工程审定价*90%中标费率，以此类推。）</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质量要求：符合国家现行质量验收标准</w:t>
      </w:r>
    </w:p>
    <w:p>
      <w:pPr>
        <w:widowControl/>
        <w:tabs>
          <w:tab w:val="left" w:pos="0"/>
        </w:tabs>
        <w:spacing w:line="360" w:lineRule="auto"/>
        <w:ind w:firstLine="480" w:firstLineChars="200"/>
        <w:rPr>
          <w:rFonts w:hint="eastAsia" w:ascii="仿宋" w:hAnsi="仿宋" w:eastAsia="仿宋"/>
          <w:color w:val="auto"/>
          <w:sz w:val="24"/>
          <w:szCs w:val="24"/>
          <w:highlight w:val="none"/>
          <w:lang w:bidi="ar"/>
        </w:rPr>
      </w:pPr>
      <w:r>
        <w:rPr>
          <w:rFonts w:hint="eastAsia" w:ascii="仿宋" w:hAnsi="仿宋" w:eastAsia="仿宋"/>
          <w:color w:val="auto"/>
          <w:sz w:val="24"/>
          <w:szCs w:val="24"/>
          <w:highlight w:val="none"/>
          <w:lang w:bidi="ar"/>
        </w:rPr>
        <w:t>采购需求：主要内容为校区内建筑物及附属设施的修缮。涉及建筑与装饰、市政等零星维修服务。具体为屋面排水、屋面防水、平立面防水、伸缩缝、保温、隔热、楼地面、墙柱面、天棚、吊顶、油漆、涂料、墙纸、门窗、课桌椅、隔断、柜类、窗帘、窗帘轨道、灯具、洁具、线路、道路路面、路灯、雨污水井、检查井、给排水</w:t>
      </w:r>
      <w:r>
        <w:rPr>
          <w:rFonts w:hint="eastAsia" w:ascii="仿宋" w:hAnsi="仿宋" w:eastAsia="仿宋"/>
          <w:color w:val="auto"/>
          <w:sz w:val="24"/>
          <w:szCs w:val="24"/>
          <w:highlight w:val="none"/>
          <w:lang w:eastAsia="zh-CN" w:bidi="ar"/>
        </w:rPr>
        <w:t>、</w:t>
      </w:r>
      <w:r>
        <w:rPr>
          <w:rFonts w:hint="eastAsia" w:ascii="仿宋" w:hAnsi="仿宋" w:eastAsia="仿宋"/>
          <w:color w:val="auto"/>
          <w:sz w:val="24"/>
          <w:szCs w:val="24"/>
          <w:highlight w:val="none"/>
          <w:lang w:val="en-US" w:eastAsia="zh-CN" w:bidi="ar"/>
        </w:rPr>
        <w:t>河道内杂草清除、卷帘门、闸机等</w:t>
      </w:r>
      <w:r>
        <w:rPr>
          <w:rFonts w:hint="eastAsia" w:ascii="仿宋" w:hAnsi="仿宋" w:eastAsia="仿宋"/>
          <w:color w:val="auto"/>
          <w:sz w:val="24"/>
          <w:szCs w:val="24"/>
          <w:highlight w:val="none"/>
          <w:lang w:bidi="ar"/>
        </w:rPr>
        <w:t>零星维修</w:t>
      </w:r>
      <w:r>
        <w:rPr>
          <w:rFonts w:hint="eastAsia" w:ascii="仿宋" w:hAnsi="仿宋" w:eastAsia="仿宋"/>
          <w:color w:val="auto"/>
          <w:sz w:val="24"/>
          <w:szCs w:val="24"/>
          <w:highlight w:val="none"/>
          <w:lang w:bidi="ar"/>
        </w:rPr>
        <w:t>改造内容。</w:t>
      </w:r>
    </w:p>
    <w:p>
      <w:pPr>
        <w:widowControl/>
        <w:tabs>
          <w:tab w:val="left" w:pos="0"/>
        </w:tabs>
        <w:spacing w:line="360" w:lineRule="auto"/>
        <w:ind w:firstLine="480" w:firstLineChars="200"/>
        <w:rPr>
          <w:rFonts w:hint="eastAsia" w:ascii="仿宋" w:hAnsi="仿宋" w:eastAsia="仿宋"/>
          <w:color w:val="auto"/>
          <w:sz w:val="24"/>
          <w:szCs w:val="24"/>
          <w:highlight w:val="none"/>
          <w:lang w:bidi="ar"/>
        </w:rPr>
      </w:pPr>
      <w:r>
        <w:rPr>
          <w:rFonts w:hint="eastAsia" w:ascii="仿宋" w:hAnsi="仿宋" w:eastAsia="仿宋"/>
          <w:color w:val="auto"/>
          <w:sz w:val="24"/>
          <w:szCs w:val="24"/>
          <w:highlight w:val="none"/>
          <w:lang w:bidi="ar"/>
        </w:rPr>
        <w:t>服务期限：1年</w:t>
      </w:r>
    </w:p>
    <w:p>
      <w:pPr>
        <w:pStyle w:val="290"/>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本项目不接受联合体。</w:t>
      </w:r>
    </w:p>
    <w:p>
      <w:pPr>
        <w:keepNext/>
        <w:keepLines/>
        <w:spacing w:before="260" w:after="260" w:line="360" w:lineRule="auto"/>
        <w:outlineLvl w:val="1"/>
        <w:rPr>
          <w:rFonts w:ascii="黑体" w:hAnsi="黑体" w:eastAsia="黑体" w:cs="宋体"/>
          <w:bCs/>
          <w:color w:val="auto"/>
          <w:sz w:val="24"/>
          <w:szCs w:val="24"/>
          <w:highlight w:val="none"/>
        </w:rPr>
      </w:pPr>
      <w:bookmarkStart w:id="6" w:name="_Toc35393799"/>
      <w:bookmarkStart w:id="7" w:name="_Toc28359090"/>
      <w:bookmarkStart w:id="8" w:name="_Toc35393630"/>
      <w:bookmarkStart w:id="9" w:name="_Toc28359013"/>
      <w:r>
        <w:rPr>
          <w:rFonts w:hint="eastAsia" w:ascii="黑体" w:hAnsi="黑体" w:eastAsia="黑体" w:cs="宋体"/>
          <w:bCs/>
          <w:color w:val="auto"/>
          <w:sz w:val="24"/>
          <w:szCs w:val="24"/>
          <w:highlight w:val="none"/>
        </w:rPr>
        <w:t>二、申请人的资格要求：</w:t>
      </w:r>
      <w:bookmarkEnd w:id="6"/>
      <w:bookmarkEnd w:id="7"/>
      <w:bookmarkEnd w:id="8"/>
      <w:bookmarkEnd w:id="9"/>
    </w:p>
    <w:p>
      <w:pPr>
        <w:spacing w:line="360" w:lineRule="auto"/>
        <w:ind w:firstLine="482" w:firstLineChars="200"/>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1.满足《中华人民共和国政府采购法》第二十二条规定；</w:t>
      </w:r>
    </w:p>
    <w:p>
      <w:pPr>
        <w:spacing w:line="360" w:lineRule="auto"/>
        <w:ind w:firstLine="480" w:firstLineChars="200"/>
        <w:rPr>
          <w:rFonts w:ascii="仿宋" w:hAnsi="仿宋" w:eastAsia="仿宋"/>
          <w:color w:val="auto"/>
          <w:sz w:val="24"/>
          <w:szCs w:val="24"/>
          <w:highlight w:val="none"/>
        </w:rPr>
      </w:pPr>
      <w:bookmarkStart w:id="10" w:name="_Toc28359091"/>
      <w:bookmarkStart w:id="11" w:name="_Toc28359014"/>
      <w:r>
        <w:rPr>
          <w:rFonts w:hint="eastAsia" w:ascii="仿宋" w:hAnsi="仿宋" w:eastAsia="仿宋"/>
          <w:color w:val="auto"/>
          <w:sz w:val="24"/>
          <w:szCs w:val="24"/>
          <w:highlight w:val="none"/>
        </w:rPr>
        <w:t>（1）具有独立承担民事责任的能力（提供法人或者其他组织的营业执照等证明文件，自然人的身份证明）</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（2）具有良好的商业信誉和健全的财务会计制度（提供2022年度经审计的财务报表，或投标截止时间前六个月内银行出具的资信证明，或财政部门认可的政府采购专业担保机构出具的投标担保函）；</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（3）具有履行合同所必需的设备和专业技术能力（提供履行合同所必需的设备和专业技术能力的证明材料或者提供承诺书）</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（4）有依法缴纳税收和社会保障资金的良好记录（提供参加本次政府采购活动前三个月内（至少一个月）依法缴纳税收和社会保障资金的相关材料）</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（5）参加政府采购活动前三年内，在经营活动中没有重大违法记录（提供参加政府采购活动前3年内在经营活动中没有重大违法记录的书面声明）</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（6）法律、行政法规规定的其他条件：无</w:t>
      </w:r>
    </w:p>
    <w:p>
      <w:pPr>
        <w:rPr>
          <w:color w:val="auto"/>
          <w:sz w:val="24"/>
          <w:szCs w:val="24"/>
          <w:highlight w:val="none"/>
        </w:rPr>
      </w:pPr>
    </w:p>
    <w:p>
      <w:pPr>
        <w:spacing w:line="360" w:lineRule="auto"/>
        <w:ind w:firstLine="482" w:firstLineChars="200"/>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2.落实政府采购政策需满足的资格要求：根据财政部、工业和信息化部发布的《关于印发&lt;政府采购促进中小企业发展管理办法&gt;的通知》(财库〔2020〕46 号)，南京技师学院校园零星维修工程项目为专门面向中小企业采购，非中小型企业参与本项目投标，将作无效标处理。（须提供《中小企业声明函》加盖投标人公章，否则视为未提供）。</w:t>
      </w:r>
    </w:p>
    <w:p>
      <w:pPr>
        <w:rPr>
          <w:color w:val="auto"/>
          <w:sz w:val="24"/>
          <w:szCs w:val="24"/>
          <w:highlight w:val="none"/>
        </w:rPr>
      </w:pPr>
    </w:p>
    <w:p>
      <w:pPr>
        <w:spacing w:line="360" w:lineRule="auto"/>
        <w:ind w:firstLine="482" w:firstLineChars="200"/>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3.本项目的特定资格要求：</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（1）供应商资质等级及范围：建筑工程施工总承包三级（含）及以上资质，并且具备有效期内安全生产许可证。（须提供相关证书复印件并加盖公章）</w:t>
      </w:r>
    </w:p>
    <w:p>
      <w:pPr>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（2）项目负责人具备以下资质：项目负责人必须具有注册建造师（建筑工程专业）二级及以上资格且安全生产考核B证在有效期内。提供社保机构出具的近半年（2023年</w:t>
      </w:r>
      <w:r>
        <w:rPr>
          <w:rFonts w:hint="eastAsia" w:ascii="仿宋" w:hAnsi="仿宋" w:eastAsia="仿宋"/>
          <w:color w:val="auto"/>
          <w:sz w:val="24"/>
          <w:szCs w:val="24"/>
          <w:highlight w:val="none"/>
          <w:lang w:val="en-US" w:eastAsia="zh-CN"/>
        </w:rPr>
        <w:t>12</w:t>
      </w:r>
      <w:r>
        <w:rPr>
          <w:rFonts w:hint="eastAsia" w:ascii="仿宋" w:hAnsi="仿宋" w:eastAsia="仿宋"/>
          <w:color w:val="auto"/>
          <w:sz w:val="24"/>
          <w:szCs w:val="24"/>
          <w:highlight w:val="none"/>
        </w:rPr>
        <w:t>月-2024年</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月）投标单位为其缴纳的养老保险缴费证明（需明确缴费月份、个人姓名、缴费单位）材料并加盖社保中心章或社保中心参保缴费证明电子专用章。（须提供证明材料复印件加盖投标人公章，否则视为未提供）。</w:t>
      </w:r>
    </w:p>
    <w:p>
      <w:pPr>
        <w:spacing w:line="360" w:lineRule="auto"/>
        <w:ind w:firstLine="482" w:firstLineChars="200"/>
        <w:rPr>
          <w:rFonts w:ascii="仿宋" w:hAnsi="仿宋" w:eastAsia="仿宋" w:cs="宋体"/>
          <w:b/>
          <w:bCs/>
          <w:color w:val="auto"/>
          <w:kern w:val="0"/>
          <w:sz w:val="24"/>
          <w:szCs w:val="24"/>
          <w:highlight w:val="none"/>
        </w:rPr>
      </w:pPr>
      <w:bookmarkStart w:id="12" w:name="_Toc35393631"/>
      <w:bookmarkStart w:id="13" w:name="_Toc35393800"/>
      <w:r>
        <w:rPr>
          <w:rFonts w:hint="eastAsia" w:ascii="仿宋" w:hAnsi="仿宋" w:eastAsia="仿宋" w:cs="宋体"/>
          <w:b/>
          <w:bCs/>
          <w:color w:val="auto"/>
          <w:kern w:val="0"/>
          <w:sz w:val="24"/>
          <w:szCs w:val="24"/>
          <w:highlight w:val="none"/>
        </w:rPr>
        <w:t>4.本项目拒绝下述供应商参加投标：</w:t>
      </w:r>
    </w:p>
    <w:p>
      <w:pPr>
        <w:spacing w:line="360" w:lineRule="auto"/>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①投标人单位负责人为同一人或者存在直接控股、管理关系的不同投标人，不得参加同一合同项下的政府采购活动。</w:t>
      </w:r>
    </w:p>
    <w:p>
      <w:pPr>
        <w:spacing w:line="360" w:lineRule="auto"/>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②凡为采购项目提供整体设计、规范编制或者项目管理、监理、检测等服务的投标人，不得再参加本项目的采购活动。</w:t>
      </w:r>
    </w:p>
    <w:p>
      <w:pPr>
        <w:spacing w:line="360" w:lineRule="auto"/>
        <w:ind w:firstLine="480" w:firstLineChars="200"/>
        <w:rPr>
          <w:rFonts w:ascii="黑体" w:hAnsi="黑体" w:cs="宋体"/>
          <w:color w:val="auto"/>
          <w:sz w:val="24"/>
          <w:szCs w:val="24"/>
          <w:highlight w:val="none"/>
        </w:rPr>
      </w:pPr>
      <w:r>
        <w:rPr>
          <w:rFonts w:hint="eastAsia" w:ascii="仿宋" w:hAnsi="仿宋" w:eastAsia="仿宋" w:cs="宋体"/>
          <w:color w:val="auto"/>
          <w:kern w:val="0"/>
          <w:sz w:val="24"/>
          <w:szCs w:val="24"/>
          <w:highlight w:val="none"/>
        </w:rPr>
        <w:t>③投标人被“信用中国”网站（www.creditchina.gov.cn）、“中国政府采购网”(www.ccgp.gov.cn)列入失信被执行人、重大税收违法案件当事人名单、政府采购严重违法失信行为记录名单。</w:t>
      </w:r>
    </w:p>
    <w:p>
      <w:pPr>
        <w:keepNext/>
        <w:keepLines/>
        <w:spacing w:before="260" w:after="260" w:line="360" w:lineRule="auto"/>
        <w:outlineLvl w:val="1"/>
        <w:rPr>
          <w:rFonts w:ascii="黑体" w:hAnsi="黑体" w:eastAsia="黑体" w:cs="宋体"/>
          <w:bCs/>
          <w:color w:val="auto"/>
          <w:sz w:val="24"/>
          <w:szCs w:val="24"/>
          <w:highlight w:val="none"/>
        </w:rPr>
      </w:pPr>
      <w:r>
        <w:rPr>
          <w:rFonts w:hint="eastAsia" w:ascii="黑体" w:hAnsi="黑体" w:eastAsia="黑体" w:cs="宋体"/>
          <w:bCs/>
          <w:color w:val="auto"/>
          <w:sz w:val="24"/>
          <w:szCs w:val="24"/>
          <w:highlight w:val="none"/>
        </w:rPr>
        <w:t>三、获取采购文件</w:t>
      </w:r>
      <w:bookmarkEnd w:id="10"/>
      <w:bookmarkEnd w:id="11"/>
      <w:bookmarkEnd w:id="12"/>
      <w:bookmarkEnd w:id="13"/>
    </w:p>
    <w:p>
      <w:pPr>
        <w:spacing w:line="360" w:lineRule="auto"/>
        <w:ind w:firstLine="54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时间：</w:t>
      </w:r>
      <w:r>
        <w:rPr>
          <w:rFonts w:hint="eastAsia" w:ascii="仿宋" w:hAnsi="仿宋" w:eastAsia="仿宋" w:cs="宋体"/>
          <w:color w:val="auto"/>
          <w:sz w:val="24"/>
          <w:szCs w:val="24"/>
          <w:highlight w:val="none"/>
          <w:u w:val="single"/>
        </w:rPr>
        <w:t>2024年</w:t>
      </w:r>
      <w:r>
        <w:rPr>
          <w:rFonts w:hint="eastAsia" w:ascii="仿宋" w:hAnsi="仿宋" w:eastAsia="仿宋" w:cs="宋体"/>
          <w:color w:val="auto"/>
          <w:sz w:val="24"/>
          <w:szCs w:val="24"/>
          <w:highlight w:val="none"/>
          <w:u w:val="single"/>
          <w:lang w:val="en-US" w:eastAsia="zh-CN"/>
        </w:rPr>
        <w:t>6</w:t>
      </w:r>
      <w:r>
        <w:rPr>
          <w:rFonts w:hint="eastAsia" w:ascii="仿宋" w:hAnsi="仿宋" w:eastAsia="仿宋" w:cs="宋体"/>
          <w:color w:val="auto"/>
          <w:sz w:val="24"/>
          <w:szCs w:val="24"/>
          <w:highlight w:val="none"/>
          <w:u w:val="single"/>
        </w:rPr>
        <w:t>月</w:t>
      </w:r>
      <w:r>
        <w:rPr>
          <w:rFonts w:hint="eastAsia" w:ascii="仿宋" w:hAnsi="仿宋" w:eastAsia="仿宋" w:cs="宋体"/>
          <w:color w:val="auto"/>
          <w:sz w:val="24"/>
          <w:szCs w:val="24"/>
          <w:highlight w:val="none"/>
          <w:u w:val="single"/>
          <w:lang w:val="en-US" w:eastAsia="zh-CN"/>
        </w:rPr>
        <w:t>6</w:t>
      </w:r>
      <w:r>
        <w:rPr>
          <w:rFonts w:hint="eastAsia" w:ascii="仿宋" w:hAnsi="仿宋" w:eastAsia="仿宋" w:cs="宋体"/>
          <w:color w:val="auto"/>
          <w:sz w:val="24"/>
          <w:szCs w:val="24"/>
          <w:highlight w:val="none"/>
          <w:u w:val="single"/>
        </w:rPr>
        <w:t>日</w:t>
      </w:r>
      <w:r>
        <w:rPr>
          <w:rFonts w:hint="eastAsia" w:ascii="仿宋" w:hAnsi="仿宋" w:eastAsia="仿宋" w:cs="宋体"/>
          <w:color w:val="auto"/>
          <w:sz w:val="24"/>
          <w:szCs w:val="24"/>
          <w:highlight w:val="none"/>
        </w:rPr>
        <w:t>至</w:t>
      </w:r>
      <w:r>
        <w:rPr>
          <w:rFonts w:hint="eastAsia" w:ascii="仿宋" w:hAnsi="仿宋" w:eastAsia="仿宋" w:cs="宋体"/>
          <w:color w:val="auto"/>
          <w:sz w:val="24"/>
          <w:szCs w:val="24"/>
          <w:highlight w:val="none"/>
          <w:u w:val="single"/>
        </w:rPr>
        <w:t>2024年</w:t>
      </w:r>
      <w:r>
        <w:rPr>
          <w:rFonts w:hint="eastAsia" w:ascii="仿宋" w:hAnsi="仿宋" w:eastAsia="仿宋" w:cs="宋体"/>
          <w:color w:val="auto"/>
          <w:sz w:val="24"/>
          <w:szCs w:val="24"/>
          <w:highlight w:val="none"/>
          <w:u w:val="single"/>
          <w:lang w:val="en-US" w:eastAsia="zh-CN"/>
        </w:rPr>
        <w:t>6</w:t>
      </w:r>
      <w:r>
        <w:rPr>
          <w:rFonts w:hint="eastAsia" w:ascii="仿宋" w:hAnsi="仿宋" w:eastAsia="仿宋" w:cs="宋体"/>
          <w:color w:val="auto"/>
          <w:sz w:val="24"/>
          <w:szCs w:val="24"/>
          <w:highlight w:val="none"/>
          <w:u w:val="single"/>
        </w:rPr>
        <w:t>月</w:t>
      </w:r>
      <w:r>
        <w:rPr>
          <w:rFonts w:hint="eastAsia" w:ascii="仿宋" w:hAnsi="仿宋" w:eastAsia="仿宋" w:cs="宋体"/>
          <w:color w:val="auto"/>
          <w:sz w:val="24"/>
          <w:szCs w:val="24"/>
          <w:highlight w:val="none"/>
          <w:u w:val="single"/>
          <w:lang w:val="en-US" w:eastAsia="zh-CN"/>
        </w:rPr>
        <w:t>13</w:t>
      </w:r>
      <w:r>
        <w:rPr>
          <w:rFonts w:hint="eastAsia" w:ascii="仿宋" w:hAnsi="仿宋" w:eastAsia="仿宋" w:cs="宋体"/>
          <w:color w:val="auto"/>
          <w:sz w:val="24"/>
          <w:szCs w:val="24"/>
          <w:highlight w:val="none"/>
          <w:u w:val="single"/>
        </w:rPr>
        <w:t>日</w:t>
      </w:r>
      <w:r>
        <w:rPr>
          <w:rFonts w:hint="eastAsia" w:ascii="仿宋" w:hAnsi="仿宋" w:eastAsia="仿宋" w:cs="宋体"/>
          <w:color w:val="auto"/>
          <w:sz w:val="24"/>
          <w:szCs w:val="24"/>
          <w:highlight w:val="none"/>
        </w:rPr>
        <w:t>，每天上午</w:t>
      </w:r>
      <w:r>
        <w:rPr>
          <w:rFonts w:hint="eastAsia" w:ascii="仿宋" w:hAnsi="仿宋" w:eastAsia="仿宋" w:cs="宋体"/>
          <w:color w:val="auto"/>
          <w:sz w:val="24"/>
          <w:szCs w:val="24"/>
          <w:highlight w:val="none"/>
          <w:u w:val="single"/>
        </w:rPr>
        <w:t>9:00</w:t>
      </w:r>
      <w:r>
        <w:rPr>
          <w:rFonts w:hint="eastAsia" w:ascii="仿宋" w:hAnsi="仿宋" w:eastAsia="仿宋" w:cs="宋体"/>
          <w:color w:val="auto"/>
          <w:sz w:val="24"/>
          <w:szCs w:val="24"/>
          <w:highlight w:val="none"/>
        </w:rPr>
        <w:t>至</w:t>
      </w:r>
      <w:r>
        <w:rPr>
          <w:rFonts w:hint="eastAsia" w:ascii="仿宋" w:hAnsi="仿宋" w:eastAsia="仿宋" w:cs="宋体"/>
          <w:color w:val="auto"/>
          <w:sz w:val="24"/>
          <w:szCs w:val="24"/>
          <w:highlight w:val="none"/>
          <w:u w:val="single"/>
        </w:rPr>
        <w:t>11:30</w:t>
      </w:r>
      <w:r>
        <w:rPr>
          <w:rFonts w:hint="eastAsia" w:ascii="仿宋" w:hAnsi="仿宋" w:eastAsia="仿宋" w:cs="宋体"/>
          <w:color w:val="auto"/>
          <w:sz w:val="24"/>
          <w:szCs w:val="24"/>
          <w:highlight w:val="none"/>
        </w:rPr>
        <w:t>，下午</w:t>
      </w:r>
      <w:r>
        <w:rPr>
          <w:rFonts w:hint="eastAsia" w:ascii="仿宋" w:hAnsi="仿宋" w:eastAsia="仿宋" w:cs="宋体"/>
          <w:color w:val="auto"/>
          <w:sz w:val="24"/>
          <w:szCs w:val="24"/>
          <w:highlight w:val="none"/>
          <w:u w:val="single"/>
        </w:rPr>
        <w:t>14:00</w:t>
      </w:r>
      <w:r>
        <w:rPr>
          <w:rFonts w:hint="eastAsia" w:ascii="仿宋" w:hAnsi="仿宋" w:eastAsia="仿宋" w:cs="宋体"/>
          <w:color w:val="auto"/>
          <w:sz w:val="24"/>
          <w:szCs w:val="24"/>
          <w:highlight w:val="none"/>
        </w:rPr>
        <w:t>至</w:t>
      </w:r>
      <w:r>
        <w:rPr>
          <w:rFonts w:hint="eastAsia" w:ascii="仿宋" w:hAnsi="仿宋" w:eastAsia="仿宋" w:cs="宋体"/>
          <w:color w:val="auto"/>
          <w:sz w:val="24"/>
          <w:szCs w:val="24"/>
          <w:highlight w:val="none"/>
          <w:u w:val="single"/>
        </w:rPr>
        <w:t>17:00</w:t>
      </w:r>
      <w:r>
        <w:rPr>
          <w:rFonts w:hint="eastAsia" w:ascii="仿宋" w:hAnsi="仿宋" w:eastAsia="仿宋" w:cs="宋体"/>
          <w:color w:val="auto"/>
          <w:sz w:val="24"/>
          <w:szCs w:val="24"/>
          <w:highlight w:val="none"/>
        </w:rPr>
        <w:t>（北京时间，</w:t>
      </w:r>
      <w:r>
        <w:rPr>
          <w:rFonts w:ascii="仿宋" w:hAnsi="仿宋" w:eastAsia="仿宋" w:cs="宋体"/>
          <w:color w:val="auto"/>
          <w:sz w:val="24"/>
          <w:szCs w:val="24"/>
          <w:highlight w:val="none"/>
        </w:rPr>
        <w:t>法定节假日</w:t>
      </w:r>
      <w:r>
        <w:rPr>
          <w:rFonts w:hint="eastAsia" w:ascii="仿宋" w:hAnsi="仿宋" w:eastAsia="仿宋" w:cs="宋体"/>
          <w:color w:val="auto"/>
          <w:sz w:val="24"/>
          <w:szCs w:val="24"/>
          <w:highlight w:val="none"/>
        </w:rPr>
        <w:t>除外 ）</w:t>
      </w:r>
    </w:p>
    <w:p>
      <w:pPr>
        <w:spacing w:line="360" w:lineRule="auto"/>
        <w:ind w:firstLine="480" w:firstLineChars="20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地点：苏世建设管理集团有限公司（</w:t>
      </w:r>
      <w:r>
        <w:rPr>
          <w:rFonts w:hint="eastAsia" w:ascii="仿宋" w:hAnsi="仿宋" w:eastAsia="仿宋"/>
          <w:color w:val="auto"/>
          <w:sz w:val="24"/>
          <w:szCs w:val="24"/>
          <w:highlight w:val="none"/>
        </w:rPr>
        <w:t>南京市江宁区智能路8号启迪科技城华业园5号楼</w:t>
      </w:r>
      <w:r>
        <w:rPr>
          <w:rFonts w:hint="eastAsia" w:ascii="仿宋" w:hAnsi="仿宋" w:eastAsia="仿宋" w:cs="宋体"/>
          <w:color w:val="auto"/>
          <w:sz w:val="24"/>
          <w:szCs w:val="24"/>
          <w:highlight w:val="none"/>
        </w:rPr>
        <w:t>3楼）</w:t>
      </w:r>
    </w:p>
    <w:p>
      <w:pPr>
        <w:spacing w:line="360" w:lineRule="auto"/>
        <w:ind w:firstLine="480"/>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方式：凡有意向参加投标者，请持单位介绍信或法定代表人授权委托书加盖公章、授权委托代理人本人身份证原件及复印件加盖公章、营业执照（副本）复印件加盖公章前来购买招标文件，售后不退。</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售价：人民币100元/份</w:t>
      </w:r>
    </w:p>
    <w:p>
      <w:pPr>
        <w:keepNext/>
        <w:keepLines/>
        <w:spacing w:before="260" w:after="260" w:line="360" w:lineRule="auto"/>
        <w:outlineLvl w:val="1"/>
        <w:rPr>
          <w:rFonts w:ascii="黑体" w:hAnsi="黑体" w:eastAsia="黑体" w:cs="宋体"/>
          <w:bCs/>
          <w:color w:val="auto"/>
          <w:sz w:val="24"/>
          <w:szCs w:val="24"/>
          <w:highlight w:val="none"/>
        </w:rPr>
      </w:pPr>
      <w:bookmarkStart w:id="14" w:name="_Toc35393801"/>
      <w:bookmarkStart w:id="15" w:name="_Toc28359015"/>
      <w:bookmarkStart w:id="16" w:name="_Toc35393632"/>
      <w:bookmarkStart w:id="17" w:name="_Toc28359092"/>
      <w:r>
        <w:rPr>
          <w:rFonts w:hint="eastAsia" w:ascii="黑体" w:hAnsi="黑体" w:eastAsia="黑体" w:cs="宋体"/>
          <w:bCs/>
          <w:color w:val="auto"/>
          <w:sz w:val="24"/>
          <w:szCs w:val="24"/>
          <w:highlight w:val="none"/>
        </w:rPr>
        <w:t>四、响应文件提交</w:t>
      </w:r>
      <w:bookmarkEnd w:id="14"/>
      <w:bookmarkEnd w:id="15"/>
      <w:bookmarkEnd w:id="16"/>
      <w:bookmarkEnd w:id="17"/>
    </w:p>
    <w:p>
      <w:pPr>
        <w:wordWrap w:val="0"/>
        <w:spacing w:line="360" w:lineRule="auto"/>
        <w:ind w:firstLine="480" w:firstLineChars="200"/>
        <w:rPr>
          <w:rFonts w:ascii="仿宋" w:hAnsi="仿宋" w:eastAsia="仿宋"/>
          <w:bCs/>
          <w:color w:val="auto"/>
          <w:sz w:val="24"/>
          <w:szCs w:val="24"/>
          <w:highlight w:val="none"/>
          <w:u w:val="single"/>
        </w:rPr>
      </w:pPr>
      <w:r>
        <w:rPr>
          <w:rFonts w:hint="eastAsia" w:ascii="仿宋" w:hAnsi="仿宋" w:eastAsia="仿宋"/>
          <w:color w:val="auto"/>
          <w:sz w:val="24"/>
          <w:szCs w:val="24"/>
          <w:highlight w:val="none"/>
        </w:rPr>
        <w:t>截止时间：</w:t>
      </w:r>
      <w:r>
        <w:rPr>
          <w:rFonts w:hint="eastAsia" w:ascii="仿宋" w:hAnsi="仿宋" w:eastAsia="仿宋" w:cs="宋体"/>
          <w:color w:val="auto"/>
          <w:sz w:val="24"/>
          <w:szCs w:val="24"/>
          <w:highlight w:val="none"/>
          <w:u w:val="single"/>
        </w:rPr>
        <w:t>2024年</w:t>
      </w:r>
      <w:r>
        <w:rPr>
          <w:rFonts w:hint="eastAsia" w:ascii="仿宋" w:hAnsi="仿宋" w:eastAsia="仿宋" w:cs="宋体"/>
          <w:color w:val="auto"/>
          <w:sz w:val="24"/>
          <w:szCs w:val="24"/>
          <w:highlight w:val="none"/>
          <w:u w:val="single"/>
          <w:lang w:val="en-US" w:eastAsia="zh-CN"/>
        </w:rPr>
        <w:t>6</w:t>
      </w:r>
      <w:r>
        <w:rPr>
          <w:rFonts w:hint="eastAsia" w:ascii="仿宋" w:hAnsi="仿宋" w:eastAsia="仿宋" w:cs="宋体"/>
          <w:color w:val="auto"/>
          <w:sz w:val="24"/>
          <w:szCs w:val="24"/>
          <w:highlight w:val="none"/>
          <w:u w:val="single"/>
        </w:rPr>
        <w:t>月</w:t>
      </w:r>
      <w:r>
        <w:rPr>
          <w:rFonts w:hint="eastAsia" w:ascii="仿宋" w:hAnsi="仿宋" w:eastAsia="仿宋" w:cs="宋体"/>
          <w:color w:val="auto"/>
          <w:sz w:val="24"/>
          <w:szCs w:val="24"/>
          <w:highlight w:val="none"/>
          <w:u w:val="single"/>
          <w:lang w:val="en-US" w:eastAsia="zh-CN"/>
        </w:rPr>
        <w:t>17</w:t>
      </w:r>
      <w:r>
        <w:rPr>
          <w:rFonts w:hint="eastAsia" w:ascii="仿宋" w:hAnsi="仿宋" w:eastAsia="仿宋" w:cs="宋体"/>
          <w:color w:val="auto"/>
          <w:sz w:val="24"/>
          <w:szCs w:val="24"/>
          <w:highlight w:val="none"/>
          <w:u w:val="single"/>
        </w:rPr>
        <w:t>日</w:t>
      </w:r>
      <w:r>
        <w:rPr>
          <w:rFonts w:hint="eastAsia" w:ascii="仿宋" w:hAnsi="仿宋" w:eastAsia="仿宋"/>
          <w:bCs/>
          <w:color w:val="auto"/>
          <w:sz w:val="24"/>
          <w:szCs w:val="24"/>
          <w:highlight w:val="none"/>
          <w:u w:val="single"/>
          <w:lang w:val="en-US" w:eastAsia="zh-CN"/>
        </w:rPr>
        <w:t>9</w:t>
      </w:r>
      <w:r>
        <w:rPr>
          <w:rFonts w:hint="eastAsia" w:ascii="仿宋" w:hAnsi="仿宋" w:eastAsia="仿宋"/>
          <w:bCs/>
          <w:color w:val="auto"/>
          <w:sz w:val="24"/>
          <w:szCs w:val="24"/>
          <w:highlight w:val="none"/>
          <w:u w:val="single"/>
        </w:rPr>
        <w:t>点</w:t>
      </w:r>
      <w:r>
        <w:rPr>
          <w:rFonts w:hint="eastAsia" w:ascii="仿宋" w:hAnsi="仿宋" w:eastAsia="仿宋"/>
          <w:bCs/>
          <w:color w:val="auto"/>
          <w:sz w:val="24"/>
          <w:szCs w:val="24"/>
          <w:highlight w:val="none"/>
          <w:u w:val="single"/>
          <w:lang w:val="en-US" w:eastAsia="zh-CN"/>
        </w:rPr>
        <w:t>3</w:t>
      </w:r>
      <w:r>
        <w:rPr>
          <w:rFonts w:hint="eastAsia" w:ascii="仿宋" w:hAnsi="仿宋" w:eastAsia="仿宋"/>
          <w:bCs/>
          <w:color w:val="auto"/>
          <w:sz w:val="24"/>
          <w:szCs w:val="24"/>
          <w:highlight w:val="none"/>
          <w:u w:val="single"/>
        </w:rPr>
        <w:t>0分</w:t>
      </w:r>
      <w:r>
        <w:rPr>
          <w:rFonts w:hint="eastAsia" w:ascii="仿宋" w:hAnsi="仿宋" w:eastAsia="仿宋"/>
          <w:bCs/>
          <w:color w:val="auto"/>
          <w:sz w:val="24"/>
          <w:szCs w:val="24"/>
          <w:highlight w:val="none"/>
        </w:rPr>
        <w:t>（北京时间）</w:t>
      </w:r>
    </w:p>
    <w:p>
      <w:pPr>
        <w:spacing w:line="360" w:lineRule="auto"/>
        <w:ind w:firstLine="480" w:firstLineChars="200"/>
        <w:jc w:val="left"/>
        <w:rPr>
          <w:rFonts w:ascii="仿宋" w:hAnsi="仿宋" w:eastAsia="仿宋"/>
          <w:bCs/>
          <w:color w:val="auto"/>
          <w:sz w:val="24"/>
          <w:szCs w:val="24"/>
          <w:highlight w:val="none"/>
          <w:u w:val="single"/>
        </w:rPr>
      </w:pPr>
      <w:r>
        <w:rPr>
          <w:rFonts w:hint="eastAsia" w:ascii="仿宋" w:hAnsi="仿宋" w:eastAsia="仿宋"/>
          <w:color w:val="auto"/>
          <w:sz w:val="24"/>
          <w:szCs w:val="24"/>
          <w:highlight w:val="none"/>
        </w:rPr>
        <w:t>地点：</w:t>
      </w:r>
      <w:r>
        <w:rPr>
          <w:rFonts w:hint="eastAsia" w:ascii="仿宋" w:hAnsi="仿宋" w:eastAsia="仿宋" w:cs="宋体"/>
          <w:color w:val="auto"/>
          <w:sz w:val="24"/>
          <w:szCs w:val="24"/>
          <w:highlight w:val="none"/>
        </w:rPr>
        <w:t>苏世建设管理集团有限公司(</w:t>
      </w:r>
      <w:r>
        <w:rPr>
          <w:rFonts w:hint="eastAsia" w:ascii="仿宋" w:hAnsi="仿宋" w:eastAsia="仿宋"/>
          <w:color w:val="auto"/>
          <w:sz w:val="24"/>
          <w:szCs w:val="24"/>
          <w:highlight w:val="none"/>
        </w:rPr>
        <w:t>南京市江宁区智能路8号启迪科技城华业园5号楼</w:t>
      </w:r>
      <w:r>
        <w:rPr>
          <w:rFonts w:hint="eastAsia" w:ascii="仿宋" w:hAnsi="仿宋" w:eastAsia="仿宋" w:cs="宋体"/>
          <w:color w:val="auto"/>
          <w:sz w:val="24"/>
          <w:szCs w:val="24"/>
          <w:highlight w:val="none"/>
        </w:rPr>
        <w:t>1楼开标室)</w:t>
      </w:r>
    </w:p>
    <w:p>
      <w:pPr>
        <w:keepNext/>
        <w:keepLines/>
        <w:spacing w:before="260" w:after="260" w:line="360" w:lineRule="auto"/>
        <w:outlineLvl w:val="1"/>
        <w:rPr>
          <w:rFonts w:ascii="黑体" w:hAnsi="黑体" w:eastAsia="黑体" w:cs="宋体"/>
          <w:bCs/>
          <w:color w:val="auto"/>
          <w:sz w:val="24"/>
          <w:szCs w:val="24"/>
          <w:highlight w:val="none"/>
        </w:rPr>
      </w:pPr>
      <w:bookmarkStart w:id="18" w:name="_Toc28359016"/>
      <w:bookmarkStart w:id="19" w:name="_Toc35393802"/>
      <w:bookmarkStart w:id="20" w:name="_Toc35393633"/>
      <w:bookmarkStart w:id="21" w:name="_Toc28359093"/>
      <w:r>
        <w:rPr>
          <w:rFonts w:hint="eastAsia" w:ascii="黑体" w:hAnsi="黑体" w:eastAsia="黑体" w:cs="宋体"/>
          <w:bCs/>
          <w:color w:val="auto"/>
          <w:sz w:val="24"/>
          <w:szCs w:val="24"/>
          <w:highlight w:val="none"/>
        </w:rPr>
        <w:t>五、开启</w:t>
      </w:r>
      <w:bookmarkEnd w:id="18"/>
      <w:bookmarkEnd w:id="19"/>
      <w:bookmarkEnd w:id="20"/>
      <w:bookmarkEnd w:id="21"/>
    </w:p>
    <w:p>
      <w:pPr>
        <w:spacing w:line="360" w:lineRule="auto"/>
        <w:ind w:firstLine="480" w:firstLineChars="200"/>
        <w:rPr>
          <w:rFonts w:ascii="仿宋" w:hAnsi="仿宋" w:eastAsia="仿宋"/>
          <w:bCs/>
          <w:color w:val="auto"/>
          <w:sz w:val="24"/>
          <w:szCs w:val="24"/>
          <w:highlight w:val="none"/>
          <w:u w:val="single"/>
        </w:rPr>
      </w:pPr>
      <w:r>
        <w:rPr>
          <w:rFonts w:hint="eastAsia" w:ascii="仿宋" w:hAnsi="仿宋" w:eastAsia="仿宋"/>
          <w:color w:val="auto"/>
          <w:sz w:val="24"/>
          <w:szCs w:val="24"/>
          <w:highlight w:val="none"/>
        </w:rPr>
        <w:t>时间：</w:t>
      </w:r>
      <w:r>
        <w:rPr>
          <w:rFonts w:hint="eastAsia" w:ascii="仿宋" w:hAnsi="仿宋" w:eastAsia="仿宋" w:cs="宋体"/>
          <w:color w:val="auto"/>
          <w:sz w:val="24"/>
          <w:szCs w:val="24"/>
          <w:highlight w:val="none"/>
          <w:u w:val="single"/>
        </w:rPr>
        <w:t>2024年</w:t>
      </w:r>
      <w:r>
        <w:rPr>
          <w:rFonts w:hint="eastAsia" w:ascii="仿宋" w:hAnsi="仿宋" w:eastAsia="仿宋" w:cs="宋体"/>
          <w:color w:val="auto"/>
          <w:sz w:val="24"/>
          <w:szCs w:val="24"/>
          <w:highlight w:val="none"/>
          <w:u w:val="single"/>
          <w:lang w:val="en-US" w:eastAsia="zh-CN"/>
        </w:rPr>
        <w:t>6</w:t>
      </w:r>
      <w:r>
        <w:rPr>
          <w:rFonts w:hint="eastAsia" w:ascii="仿宋" w:hAnsi="仿宋" w:eastAsia="仿宋" w:cs="宋体"/>
          <w:color w:val="auto"/>
          <w:sz w:val="24"/>
          <w:szCs w:val="24"/>
          <w:highlight w:val="none"/>
          <w:u w:val="single"/>
        </w:rPr>
        <w:t>月</w:t>
      </w:r>
      <w:r>
        <w:rPr>
          <w:rFonts w:hint="eastAsia" w:ascii="仿宋" w:hAnsi="仿宋" w:eastAsia="仿宋" w:cs="宋体"/>
          <w:color w:val="auto"/>
          <w:sz w:val="24"/>
          <w:szCs w:val="24"/>
          <w:highlight w:val="none"/>
          <w:u w:val="single"/>
          <w:lang w:val="en-US" w:eastAsia="zh-CN"/>
        </w:rPr>
        <w:t>17</w:t>
      </w:r>
      <w:r>
        <w:rPr>
          <w:rFonts w:hint="eastAsia" w:ascii="仿宋" w:hAnsi="仿宋" w:eastAsia="仿宋" w:cs="宋体"/>
          <w:color w:val="auto"/>
          <w:sz w:val="24"/>
          <w:szCs w:val="24"/>
          <w:highlight w:val="none"/>
          <w:u w:val="single"/>
        </w:rPr>
        <w:t>日</w:t>
      </w:r>
      <w:r>
        <w:rPr>
          <w:rFonts w:hint="eastAsia" w:ascii="仿宋" w:hAnsi="仿宋" w:eastAsia="仿宋"/>
          <w:bCs/>
          <w:color w:val="auto"/>
          <w:sz w:val="24"/>
          <w:szCs w:val="24"/>
          <w:highlight w:val="none"/>
          <w:u w:val="single"/>
          <w:lang w:val="en-US" w:eastAsia="zh-CN"/>
        </w:rPr>
        <w:t>9</w:t>
      </w:r>
      <w:r>
        <w:rPr>
          <w:rFonts w:hint="eastAsia" w:ascii="仿宋" w:hAnsi="仿宋" w:eastAsia="仿宋"/>
          <w:bCs/>
          <w:color w:val="auto"/>
          <w:sz w:val="24"/>
          <w:szCs w:val="24"/>
          <w:highlight w:val="none"/>
          <w:u w:val="single"/>
        </w:rPr>
        <w:t>点</w:t>
      </w:r>
      <w:r>
        <w:rPr>
          <w:rFonts w:hint="eastAsia" w:ascii="仿宋" w:hAnsi="仿宋" w:eastAsia="仿宋"/>
          <w:bCs/>
          <w:color w:val="auto"/>
          <w:sz w:val="24"/>
          <w:szCs w:val="24"/>
          <w:highlight w:val="none"/>
          <w:u w:val="single"/>
          <w:lang w:val="en-US" w:eastAsia="zh-CN"/>
        </w:rPr>
        <w:t>3</w:t>
      </w:r>
      <w:r>
        <w:rPr>
          <w:rFonts w:hint="eastAsia" w:ascii="仿宋" w:hAnsi="仿宋" w:eastAsia="仿宋"/>
          <w:bCs/>
          <w:color w:val="auto"/>
          <w:sz w:val="24"/>
          <w:szCs w:val="24"/>
          <w:highlight w:val="none"/>
          <w:u w:val="single"/>
        </w:rPr>
        <w:t>0分</w:t>
      </w:r>
      <w:r>
        <w:rPr>
          <w:rFonts w:hint="eastAsia" w:ascii="仿宋" w:hAnsi="仿宋" w:eastAsia="仿宋"/>
          <w:bCs/>
          <w:color w:val="auto"/>
          <w:sz w:val="24"/>
          <w:szCs w:val="24"/>
          <w:highlight w:val="none"/>
        </w:rPr>
        <w:t>（北京时间）</w:t>
      </w:r>
    </w:p>
    <w:p>
      <w:pPr>
        <w:spacing w:line="360" w:lineRule="auto"/>
        <w:ind w:firstLine="480" w:firstLineChars="200"/>
        <w:rPr>
          <w:rFonts w:ascii="仿宋" w:hAnsi="仿宋" w:eastAsia="仿宋"/>
          <w:bCs/>
          <w:color w:val="auto"/>
          <w:sz w:val="24"/>
          <w:szCs w:val="24"/>
          <w:highlight w:val="none"/>
          <w:u w:val="single"/>
        </w:rPr>
      </w:pPr>
      <w:r>
        <w:rPr>
          <w:rFonts w:hint="eastAsia" w:ascii="仿宋" w:hAnsi="仿宋" w:eastAsia="仿宋"/>
          <w:color w:val="auto"/>
          <w:sz w:val="24"/>
          <w:szCs w:val="24"/>
          <w:highlight w:val="none"/>
        </w:rPr>
        <w:t>地点：</w:t>
      </w:r>
      <w:r>
        <w:rPr>
          <w:rFonts w:hint="eastAsia" w:ascii="仿宋" w:hAnsi="仿宋" w:eastAsia="仿宋" w:cs="宋体"/>
          <w:color w:val="auto"/>
          <w:sz w:val="24"/>
          <w:szCs w:val="24"/>
          <w:highlight w:val="none"/>
        </w:rPr>
        <w:t>苏世建设管理集团有限公司(</w:t>
      </w:r>
      <w:r>
        <w:rPr>
          <w:rFonts w:hint="eastAsia" w:ascii="仿宋" w:hAnsi="仿宋" w:eastAsia="仿宋"/>
          <w:color w:val="auto"/>
          <w:sz w:val="24"/>
          <w:szCs w:val="24"/>
          <w:highlight w:val="none"/>
        </w:rPr>
        <w:t>南京市江宁区智能路8号启迪科技城华业园5号楼</w:t>
      </w:r>
      <w:r>
        <w:rPr>
          <w:rFonts w:hint="eastAsia" w:ascii="仿宋" w:hAnsi="仿宋" w:eastAsia="仿宋" w:cs="宋体"/>
          <w:color w:val="auto"/>
          <w:sz w:val="24"/>
          <w:szCs w:val="24"/>
          <w:highlight w:val="none"/>
        </w:rPr>
        <w:t>1楼开标室)</w:t>
      </w:r>
    </w:p>
    <w:p>
      <w:pPr>
        <w:keepNext/>
        <w:keepLines/>
        <w:spacing w:before="260" w:after="260" w:line="360" w:lineRule="auto"/>
        <w:outlineLvl w:val="1"/>
        <w:rPr>
          <w:rFonts w:ascii="黑体" w:hAnsi="黑体" w:eastAsia="黑体" w:cs="宋体"/>
          <w:bCs/>
          <w:color w:val="auto"/>
          <w:sz w:val="24"/>
          <w:szCs w:val="24"/>
          <w:highlight w:val="none"/>
        </w:rPr>
      </w:pPr>
      <w:bookmarkStart w:id="22" w:name="_Toc35393803"/>
      <w:bookmarkStart w:id="23" w:name="_Toc28359017"/>
      <w:bookmarkStart w:id="24" w:name="_Toc28359094"/>
      <w:bookmarkStart w:id="25" w:name="_Toc35393634"/>
      <w:r>
        <w:rPr>
          <w:rFonts w:hint="eastAsia" w:ascii="黑体" w:hAnsi="黑体" w:eastAsia="黑体" w:cs="宋体"/>
          <w:bCs/>
          <w:color w:val="auto"/>
          <w:sz w:val="24"/>
          <w:szCs w:val="24"/>
          <w:highlight w:val="none"/>
        </w:rPr>
        <w:t>六、公告期限</w:t>
      </w:r>
      <w:bookmarkEnd w:id="22"/>
      <w:bookmarkEnd w:id="23"/>
      <w:bookmarkEnd w:id="24"/>
      <w:bookmarkEnd w:id="25"/>
    </w:p>
    <w:p>
      <w:pPr>
        <w:spacing w:line="360" w:lineRule="auto"/>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自本公告发布之日起5个工作日。</w:t>
      </w:r>
    </w:p>
    <w:p>
      <w:pPr>
        <w:keepNext/>
        <w:keepLines/>
        <w:spacing w:before="260" w:after="260" w:line="360" w:lineRule="auto"/>
        <w:outlineLvl w:val="1"/>
        <w:rPr>
          <w:rFonts w:ascii="黑体" w:hAnsi="黑体" w:eastAsia="黑体" w:cs="宋体"/>
          <w:bCs/>
          <w:color w:val="auto"/>
          <w:sz w:val="24"/>
          <w:szCs w:val="24"/>
          <w:highlight w:val="none"/>
        </w:rPr>
      </w:pPr>
      <w:bookmarkStart w:id="26" w:name="_Toc35393804"/>
      <w:bookmarkStart w:id="27" w:name="_Toc35393635"/>
      <w:r>
        <w:rPr>
          <w:rFonts w:hint="eastAsia" w:ascii="黑体" w:hAnsi="黑体" w:eastAsia="黑体" w:cs="宋体"/>
          <w:bCs/>
          <w:color w:val="auto"/>
          <w:sz w:val="24"/>
          <w:szCs w:val="24"/>
          <w:highlight w:val="none"/>
        </w:rPr>
        <w:t>七</w:t>
      </w:r>
      <w:r>
        <w:rPr>
          <w:rFonts w:ascii="黑体" w:hAnsi="黑体" w:eastAsia="黑体" w:cs="宋体"/>
          <w:bCs/>
          <w:color w:val="auto"/>
          <w:sz w:val="24"/>
          <w:szCs w:val="24"/>
          <w:highlight w:val="none"/>
        </w:rPr>
        <w:t>、</w:t>
      </w:r>
      <w:r>
        <w:rPr>
          <w:rFonts w:hint="eastAsia" w:ascii="黑体" w:hAnsi="黑体" w:eastAsia="黑体" w:cs="宋体"/>
          <w:bCs/>
          <w:color w:val="auto"/>
          <w:sz w:val="24"/>
          <w:szCs w:val="24"/>
          <w:highlight w:val="none"/>
        </w:rPr>
        <w:t>其他补充事宜</w:t>
      </w:r>
      <w:bookmarkEnd w:id="26"/>
      <w:bookmarkEnd w:id="27"/>
    </w:p>
    <w:p>
      <w:pPr>
        <w:spacing w:line="360" w:lineRule="auto"/>
        <w:ind w:firstLine="482" w:firstLineChars="200"/>
        <w:rPr>
          <w:rFonts w:hint="eastAsia" w:ascii="仿宋" w:hAnsi="仿宋" w:eastAsia="仿宋" w:cs="宋体"/>
          <w:b/>
          <w:bCs/>
          <w:color w:val="auto"/>
          <w:kern w:val="0"/>
          <w:sz w:val="24"/>
          <w:szCs w:val="24"/>
          <w:highlight w:val="none"/>
        </w:rPr>
      </w:pPr>
      <w:bookmarkStart w:id="28" w:name="_Toc28359018"/>
      <w:bookmarkStart w:id="29" w:name="_Toc35393636"/>
      <w:bookmarkStart w:id="30" w:name="_Toc28359095"/>
      <w:bookmarkStart w:id="31" w:name="_Toc35393805"/>
      <w:r>
        <w:rPr>
          <w:rFonts w:hint="eastAsia" w:ascii="仿宋" w:hAnsi="仿宋" w:eastAsia="仿宋" w:cs="宋体"/>
          <w:b/>
          <w:bCs/>
          <w:color w:val="auto"/>
          <w:kern w:val="0"/>
          <w:sz w:val="24"/>
          <w:szCs w:val="24"/>
          <w:highlight w:val="none"/>
          <w:lang w:val="en-US" w:eastAsia="zh-CN"/>
        </w:rPr>
        <w:t>1、</w:t>
      </w:r>
      <w:r>
        <w:rPr>
          <w:rFonts w:hint="eastAsia" w:ascii="仿宋" w:hAnsi="仿宋" w:eastAsia="仿宋" w:cs="宋体"/>
          <w:b/>
          <w:bCs/>
          <w:color w:val="auto"/>
          <w:kern w:val="0"/>
          <w:sz w:val="24"/>
          <w:szCs w:val="24"/>
          <w:highlight w:val="none"/>
        </w:rPr>
        <w:t>政府采购信用承诺</w:t>
      </w:r>
    </w:p>
    <w:p>
      <w:pPr>
        <w:spacing w:line="360" w:lineRule="auto"/>
        <w:ind w:firstLine="480" w:firstLineChars="200"/>
        <w:rPr>
          <w:rFonts w:hint="eastAsia" w:ascii="仿宋" w:hAnsi="仿宋" w:eastAsia="仿宋" w:cs="宋体"/>
          <w:b w:val="0"/>
          <w:bCs w:val="0"/>
          <w:color w:val="auto"/>
          <w:kern w:val="0"/>
          <w:sz w:val="24"/>
          <w:szCs w:val="24"/>
          <w:highlight w:val="none"/>
        </w:rPr>
      </w:pPr>
      <w:r>
        <w:rPr>
          <w:rFonts w:hint="eastAsia" w:ascii="仿宋" w:hAnsi="仿宋" w:eastAsia="仿宋" w:cs="宋体"/>
          <w:b w:val="0"/>
          <w:bCs w:val="0"/>
          <w:color w:val="auto"/>
          <w:kern w:val="0"/>
          <w:sz w:val="24"/>
          <w:szCs w:val="24"/>
          <w:highlight w:val="none"/>
        </w:rPr>
        <w:t>根据《关于在政府采购活动中推行信用承诺制的通知》宁财购通〔2021〕5号规定， 参加南京地区政府采购活动的供应商，应以书面形式向采购人或政府采购代理机构作出信用承诺。供应商应尽早做好承诺工作，点击‘南京公共采购信息网’首页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要求完成注册），然后在“信用记录”模块页面点击“信用记录打印”下载本单位《南京市政府采购供应商信用记录表暨信用承诺书》，由法人签字并盖单位公章，随响应文件一并递交。</w:t>
      </w:r>
    </w:p>
    <w:p>
      <w:pPr>
        <w:spacing w:line="360" w:lineRule="auto"/>
        <w:ind w:firstLine="480" w:firstLineChars="200"/>
        <w:rPr>
          <w:rFonts w:hint="eastAsia" w:ascii="仿宋" w:hAnsi="仿宋" w:eastAsia="仿宋" w:cs="宋体"/>
          <w:b w:val="0"/>
          <w:bCs w:val="0"/>
          <w:color w:val="auto"/>
          <w:kern w:val="0"/>
          <w:sz w:val="24"/>
          <w:szCs w:val="24"/>
          <w:highlight w:val="none"/>
        </w:rPr>
      </w:pPr>
      <w:r>
        <w:rPr>
          <w:rFonts w:hint="eastAsia" w:ascii="仿宋" w:hAnsi="仿宋" w:eastAsia="仿宋" w:cs="宋体"/>
          <w:b w:val="0"/>
          <w:bCs w:val="0"/>
          <w:color w:val="auto"/>
          <w:kern w:val="0"/>
          <w:sz w:val="24"/>
          <w:szCs w:val="24"/>
          <w:highlight w:val="none"/>
        </w:rPr>
        <w:t>在政府采购资格审查环节，供应商只需提供书面《南京市政府采购供应商信用记录表暨信用承诺书》，即可替代以下证明材料：</w:t>
      </w:r>
    </w:p>
    <w:p>
      <w:pPr>
        <w:numPr>
          <w:ilvl w:val="0"/>
          <w:numId w:val="0"/>
        </w:numPr>
        <w:spacing w:line="360" w:lineRule="auto"/>
        <w:ind w:firstLine="480" w:firstLineChars="200"/>
        <w:rPr>
          <w:rFonts w:hint="eastAsia" w:ascii="仿宋" w:hAnsi="仿宋" w:eastAsia="仿宋" w:cs="宋体"/>
          <w:b w:val="0"/>
          <w:bCs w:val="0"/>
          <w:color w:val="auto"/>
          <w:kern w:val="0"/>
          <w:sz w:val="24"/>
          <w:szCs w:val="24"/>
          <w:highlight w:val="none"/>
        </w:rPr>
      </w:pPr>
      <w:r>
        <w:rPr>
          <w:rFonts w:hint="eastAsia" w:ascii="仿宋" w:hAnsi="仿宋" w:eastAsia="仿宋" w:cs="宋体"/>
          <w:b w:val="0"/>
          <w:bCs w:val="0"/>
          <w:color w:val="auto"/>
          <w:kern w:val="0"/>
          <w:sz w:val="24"/>
          <w:szCs w:val="24"/>
          <w:highlight w:val="none"/>
          <w:lang w:eastAsia="zh-CN"/>
        </w:rPr>
        <w:t>（</w:t>
      </w:r>
      <w:r>
        <w:rPr>
          <w:rFonts w:hint="eastAsia" w:ascii="仿宋" w:hAnsi="仿宋" w:eastAsia="仿宋" w:cs="宋体"/>
          <w:b w:val="0"/>
          <w:bCs w:val="0"/>
          <w:color w:val="auto"/>
          <w:kern w:val="0"/>
          <w:sz w:val="24"/>
          <w:szCs w:val="24"/>
          <w:highlight w:val="none"/>
          <w:lang w:val="en-US" w:eastAsia="zh-CN"/>
        </w:rPr>
        <w:t>1</w:t>
      </w:r>
      <w:r>
        <w:rPr>
          <w:rFonts w:hint="eastAsia" w:ascii="仿宋" w:hAnsi="仿宋" w:eastAsia="仿宋" w:cs="宋体"/>
          <w:b w:val="0"/>
          <w:bCs w:val="0"/>
          <w:color w:val="auto"/>
          <w:kern w:val="0"/>
          <w:sz w:val="24"/>
          <w:szCs w:val="24"/>
          <w:highlight w:val="none"/>
          <w:lang w:eastAsia="zh-CN"/>
        </w:rPr>
        <w:t>）</w:t>
      </w:r>
      <w:r>
        <w:rPr>
          <w:rFonts w:hint="eastAsia" w:ascii="仿宋" w:hAnsi="仿宋" w:eastAsia="仿宋" w:cs="宋体"/>
          <w:b w:val="0"/>
          <w:bCs w:val="0"/>
          <w:color w:val="auto"/>
          <w:kern w:val="0"/>
          <w:sz w:val="24"/>
          <w:szCs w:val="24"/>
          <w:highlight w:val="none"/>
        </w:rPr>
        <w:t>符合国家相关规定的财务状况报告；</w:t>
      </w:r>
    </w:p>
    <w:p>
      <w:pPr>
        <w:numPr>
          <w:ilvl w:val="0"/>
          <w:numId w:val="0"/>
        </w:numPr>
        <w:spacing w:line="360" w:lineRule="auto"/>
        <w:ind w:firstLine="480" w:firstLineChars="200"/>
        <w:rPr>
          <w:rFonts w:hint="eastAsia" w:ascii="仿宋" w:hAnsi="仿宋" w:eastAsia="仿宋" w:cs="宋体"/>
          <w:b w:val="0"/>
          <w:bCs w:val="0"/>
          <w:color w:val="auto"/>
          <w:kern w:val="0"/>
          <w:sz w:val="24"/>
          <w:szCs w:val="24"/>
          <w:highlight w:val="none"/>
        </w:rPr>
      </w:pPr>
      <w:r>
        <w:rPr>
          <w:rFonts w:hint="eastAsia" w:ascii="仿宋" w:hAnsi="仿宋" w:eastAsia="仿宋" w:cs="宋体"/>
          <w:b w:val="0"/>
          <w:bCs w:val="0"/>
          <w:color w:val="auto"/>
          <w:kern w:val="0"/>
          <w:sz w:val="24"/>
          <w:szCs w:val="24"/>
          <w:highlight w:val="none"/>
        </w:rPr>
        <w:t>（2）依法缴纳税收的证明材料；</w:t>
      </w:r>
    </w:p>
    <w:p>
      <w:pPr>
        <w:numPr>
          <w:ilvl w:val="0"/>
          <w:numId w:val="0"/>
        </w:numPr>
        <w:spacing w:line="360" w:lineRule="auto"/>
        <w:ind w:firstLine="480" w:firstLineChars="200"/>
        <w:rPr>
          <w:rFonts w:hint="eastAsia" w:ascii="仿宋" w:hAnsi="仿宋" w:eastAsia="仿宋" w:cs="宋体"/>
          <w:b w:val="0"/>
          <w:bCs w:val="0"/>
          <w:color w:val="auto"/>
          <w:kern w:val="0"/>
          <w:sz w:val="24"/>
          <w:szCs w:val="24"/>
          <w:highlight w:val="none"/>
        </w:rPr>
      </w:pPr>
      <w:r>
        <w:rPr>
          <w:rFonts w:hint="eastAsia" w:ascii="仿宋" w:hAnsi="仿宋" w:eastAsia="仿宋" w:cs="宋体"/>
          <w:b w:val="0"/>
          <w:bCs w:val="0"/>
          <w:color w:val="auto"/>
          <w:kern w:val="0"/>
          <w:sz w:val="24"/>
          <w:szCs w:val="24"/>
          <w:highlight w:val="none"/>
        </w:rPr>
        <w:t>（3）依法缴纳社会保障资金的证明材料；</w:t>
      </w:r>
    </w:p>
    <w:p>
      <w:pPr>
        <w:numPr>
          <w:ilvl w:val="0"/>
          <w:numId w:val="0"/>
        </w:numPr>
        <w:spacing w:line="360" w:lineRule="auto"/>
        <w:ind w:firstLine="480" w:firstLineChars="200"/>
        <w:rPr>
          <w:rFonts w:hint="eastAsia" w:ascii="仿宋" w:hAnsi="仿宋" w:eastAsia="仿宋" w:cs="宋体"/>
          <w:b w:val="0"/>
          <w:bCs w:val="0"/>
          <w:color w:val="auto"/>
          <w:kern w:val="0"/>
          <w:sz w:val="24"/>
          <w:szCs w:val="24"/>
          <w:highlight w:val="none"/>
        </w:rPr>
      </w:pPr>
      <w:r>
        <w:rPr>
          <w:rFonts w:hint="eastAsia" w:ascii="仿宋" w:hAnsi="仿宋" w:eastAsia="仿宋" w:cs="宋体"/>
          <w:b w:val="0"/>
          <w:bCs w:val="0"/>
          <w:color w:val="auto"/>
          <w:kern w:val="0"/>
          <w:sz w:val="24"/>
          <w:szCs w:val="24"/>
          <w:highlight w:val="none"/>
        </w:rPr>
        <w:t>（4）具备履行政府采购合同所必需的设备和专业技术能力的证明材料；</w:t>
      </w:r>
    </w:p>
    <w:p>
      <w:pPr>
        <w:numPr>
          <w:ilvl w:val="0"/>
          <w:numId w:val="0"/>
        </w:numPr>
        <w:spacing w:line="360" w:lineRule="auto"/>
        <w:ind w:firstLine="480" w:firstLineChars="200"/>
        <w:rPr>
          <w:rFonts w:hint="eastAsia" w:ascii="仿宋" w:hAnsi="仿宋" w:eastAsia="仿宋" w:cs="宋体"/>
          <w:b w:val="0"/>
          <w:bCs w:val="0"/>
          <w:color w:val="auto"/>
          <w:kern w:val="0"/>
          <w:sz w:val="24"/>
          <w:szCs w:val="24"/>
          <w:highlight w:val="none"/>
        </w:rPr>
      </w:pPr>
      <w:r>
        <w:rPr>
          <w:rFonts w:hint="eastAsia" w:ascii="仿宋" w:hAnsi="仿宋" w:eastAsia="仿宋" w:cs="宋体"/>
          <w:b w:val="0"/>
          <w:bCs w:val="0"/>
          <w:color w:val="auto"/>
          <w:kern w:val="0"/>
          <w:sz w:val="24"/>
          <w:szCs w:val="24"/>
          <w:highlight w:val="none"/>
        </w:rPr>
        <w:t>（5）参加政府采购活动前三年内在经营活动中没有重大违法记录的证明材料；</w:t>
      </w:r>
    </w:p>
    <w:p>
      <w:pPr>
        <w:numPr>
          <w:ilvl w:val="0"/>
          <w:numId w:val="0"/>
        </w:numPr>
        <w:spacing w:line="360" w:lineRule="auto"/>
        <w:ind w:firstLine="480" w:firstLineChars="200"/>
        <w:rPr>
          <w:rFonts w:hint="eastAsia" w:ascii="仿宋" w:hAnsi="仿宋" w:eastAsia="仿宋" w:cs="宋体"/>
          <w:b w:val="0"/>
          <w:bCs w:val="0"/>
          <w:color w:val="auto"/>
          <w:kern w:val="0"/>
          <w:sz w:val="24"/>
          <w:szCs w:val="24"/>
          <w:highlight w:val="none"/>
        </w:rPr>
      </w:pPr>
      <w:r>
        <w:rPr>
          <w:rFonts w:hint="eastAsia" w:ascii="仿宋" w:hAnsi="仿宋" w:eastAsia="仿宋" w:cs="宋体"/>
          <w:b w:val="0"/>
          <w:bCs w:val="0"/>
          <w:color w:val="auto"/>
          <w:kern w:val="0"/>
          <w:sz w:val="24"/>
          <w:szCs w:val="24"/>
          <w:highlight w:val="none"/>
        </w:rPr>
        <w:t xml:space="preserve">（6）未被列入失信被执行人、重大税收违法失信主体、政府采购严重违法失信行为记录名单的证明材料。 </w:t>
      </w:r>
    </w:p>
    <w:p>
      <w:pPr>
        <w:numPr>
          <w:ilvl w:val="0"/>
          <w:numId w:val="0"/>
        </w:numPr>
        <w:spacing w:line="360" w:lineRule="auto"/>
        <w:ind w:firstLine="480" w:firstLineChars="200"/>
        <w:rPr>
          <w:rFonts w:hint="eastAsia" w:ascii="仿宋" w:hAnsi="仿宋" w:eastAsia="仿宋" w:cs="宋体"/>
          <w:b w:val="0"/>
          <w:bCs w:val="0"/>
          <w:color w:val="auto"/>
          <w:kern w:val="0"/>
          <w:sz w:val="24"/>
          <w:szCs w:val="24"/>
          <w:highlight w:val="none"/>
        </w:rPr>
      </w:pPr>
      <w:r>
        <w:rPr>
          <w:rFonts w:hint="eastAsia" w:ascii="仿宋" w:hAnsi="仿宋" w:eastAsia="仿宋" w:cs="宋体"/>
          <w:b w:val="0"/>
          <w:bCs w:val="0"/>
          <w:color w:val="auto"/>
          <w:kern w:val="0"/>
          <w:sz w:val="24"/>
          <w:szCs w:val="24"/>
          <w:highlight w:val="none"/>
        </w:rPr>
        <w:t xml:space="preserve">供应商在中标（成交）后，应按采购文件要求，将上述由信用承诺书替代的证明材料提交采购人或采购代理机构核验。经核验无误后，由采购人或采购代理机构发出中标（成交）通知书。 </w:t>
      </w:r>
    </w:p>
    <w:p>
      <w:pPr>
        <w:spacing w:line="360" w:lineRule="auto"/>
        <w:ind w:firstLine="480" w:firstLineChars="200"/>
        <w:rPr>
          <w:rFonts w:hint="eastAsia" w:ascii="仿宋" w:hAnsi="仿宋" w:eastAsia="仿宋" w:cs="宋体"/>
          <w:b w:val="0"/>
          <w:bCs w:val="0"/>
          <w:color w:val="auto"/>
          <w:kern w:val="0"/>
          <w:sz w:val="24"/>
          <w:szCs w:val="24"/>
          <w:highlight w:val="none"/>
        </w:rPr>
      </w:pPr>
      <w:r>
        <w:rPr>
          <w:rFonts w:hint="eastAsia" w:ascii="仿宋" w:hAnsi="仿宋" w:eastAsia="仿宋" w:cs="宋体"/>
          <w:b w:val="0"/>
          <w:bCs w:val="0"/>
          <w:color w:val="auto"/>
          <w:kern w:val="0"/>
          <w:sz w:val="24"/>
          <w:szCs w:val="24"/>
          <w:highlight w:val="none"/>
        </w:rPr>
        <w:t>供应商涉及以下情形的，不适用信用承诺：</w:t>
      </w:r>
    </w:p>
    <w:p>
      <w:pPr>
        <w:numPr>
          <w:ilvl w:val="0"/>
          <w:numId w:val="0"/>
        </w:numPr>
        <w:spacing w:line="360" w:lineRule="auto"/>
        <w:ind w:firstLine="480" w:firstLineChars="200"/>
        <w:rPr>
          <w:rFonts w:hint="eastAsia"/>
          <w:b w:val="0"/>
          <w:bCs w:val="0"/>
          <w:highlight w:val="none"/>
        </w:rPr>
      </w:pPr>
      <w:r>
        <w:rPr>
          <w:rFonts w:hint="eastAsia" w:ascii="仿宋" w:hAnsi="仿宋" w:eastAsia="仿宋" w:cs="宋体"/>
          <w:b w:val="0"/>
          <w:bCs w:val="0"/>
          <w:color w:val="auto"/>
          <w:kern w:val="0"/>
          <w:sz w:val="24"/>
          <w:szCs w:val="24"/>
          <w:highlight w:val="none"/>
        </w:rPr>
        <w:t>（</w:t>
      </w:r>
      <w:r>
        <w:rPr>
          <w:rFonts w:hint="eastAsia" w:ascii="仿宋" w:hAnsi="仿宋" w:eastAsia="仿宋" w:cs="宋体"/>
          <w:b w:val="0"/>
          <w:bCs w:val="0"/>
          <w:color w:val="auto"/>
          <w:kern w:val="0"/>
          <w:sz w:val="24"/>
          <w:szCs w:val="24"/>
          <w:highlight w:val="none"/>
          <w:lang w:val="en-US" w:eastAsia="zh-CN"/>
        </w:rPr>
        <w:t>1</w:t>
      </w:r>
      <w:r>
        <w:rPr>
          <w:rFonts w:hint="eastAsia" w:ascii="仿宋" w:hAnsi="仿宋" w:eastAsia="仿宋" w:cs="宋体"/>
          <w:b w:val="0"/>
          <w:bCs w:val="0"/>
          <w:color w:val="auto"/>
          <w:kern w:val="0"/>
          <w:sz w:val="24"/>
          <w:szCs w:val="24"/>
          <w:highlight w:val="none"/>
        </w:rPr>
        <w:t>）供应商被列入严重失信主体名单；</w:t>
      </w:r>
    </w:p>
    <w:p>
      <w:pPr>
        <w:numPr>
          <w:ilvl w:val="0"/>
          <w:numId w:val="0"/>
        </w:numPr>
        <w:spacing w:line="360" w:lineRule="auto"/>
        <w:ind w:firstLine="480" w:firstLineChars="200"/>
        <w:rPr>
          <w:rFonts w:hint="eastAsia"/>
          <w:b w:val="0"/>
          <w:bCs w:val="0"/>
          <w:highlight w:val="none"/>
        </w:rPr>
      </w:pPr>
      <w:r>
        <w:rPr>
          <w:rFonts w:hint="eastAsia" w:ascii="仿宋" w:hAnsi="仿宋" w:eastAsia="仿宋" w:cs="宋体"/>
          <w:b w:val="0"/>
          <w:bCs w:val="0"/>
          <w:color w:val="auto"/>
          <w:kern w:val="0"/>
          <w:sz w:val="24"/>
          <w:szCs w:val="24"/>
          <w:highlight w:val="none"/>
        </w:rPr>
        <w:t>（</w:t>
      </w:r>
      <w:r>
        <w:rPr>
          <w:rFonts w:hint="eastAsia" w:ascii="仿宋" w:hAnsi="仿宋" w:eastAsia="仿宋" w:cs="宋体"/>
          <w:b w:val="0"/>
          <w:bCs w:val="0"/>
          <w:color w:val="auto"/>
          <w:kern w:val="0"/>
          <w:sz w:val="24"/>
          <w:szCs w:val="24"/>
          <w:highlight w:val="none"/>
          <w:lang w:val="en-US" w:eastAsia="zh-CN"/>
        </w:rPr>
        <w:t>2</w:t>
      </w:r>
      <w:r>
        <w:rPr>
          <w:rFonts w:hint="eastAsia" w:ascii="仿宋" w:hAnsi="仿宋" w:eastAsia="仿宋" w:cs="宋体"/>
          <w:b w:val="0"/>
          <w:bCs w:val="0"/>
          <w:color w:val="auto"/>
          <w:kern w:val="0"/>
          <w:sz w:val="24"/>
          <w:szCs w:val="24"/>
          <w:highlight w:val="none"/>
        </w:rPr>
        <w:t>）被相关监管部门作出行政处罚且尚在处罚有效期内；</w:t>
      </w:r>
    </w:p>
    <w:p>
      <w:pPr>
        <w:numPr>
          <w:ilvl w:val="0"/>
          <w:numId w:val="0"/>
        </w:numPr>
        <w:spacing w:line="360" w:lineRule="auto"/>
        <w:ind w:firstLine="480" w:firstLineChars="200"/>
        <w:rPr>
          <w:rFonts w:hint="eastAsia" w:ascii="仿宋" w:hAnsi="仿宋" w:eastAsia="仿宋" w:cs="宋体"/>
          <w:b w:val="0"/>
          <w:bCs w:val="0"/>
          <w:color w:val="auto"/>
          <w:kern w:val="0"/>
          <w:sz w:val="24"/>
          <w:szCs w:val="24"/>
          <w:highlight w:val="none"/>
        </w:rPr>
      </w:pPr>
      <w:r>
        <w:rPr>
          <w:rFonts w:hint="eastAsia" w:ascii="仿宋" w:hAnsi="仿宋" w:eastAsia="仿宋" w:cs="宋体"/>
          <w:b w:val="0"/>
          <w:bCs w:val="0"/>
          <w:color w:val="auto"/>
          <w:kern w:val="0"/>
          <w:sz w:val="24"/>
          <w:szCs w:val="24"/>
          <w:highlight w:val="none"/>
        </w:rPr>
        <w:t xml:space="preserve">（3）其他法律、行政法规规定的不适用信用承诺的情形。 </w:t>
      </w:r>
    </w:p>
    <w:p>
      <w:pPr>
        <w:numPr>
          <w:ilvl w:val="0"/>
          <w:numId w:val="0"/>
        </w:numPr>
        <w:spacing w:line="360" w:lineRule="auto"/>
        <w:ind w:firstLine="480" w:firstLineChars="200"/>
        <w:rPr>
          <w:rFonts w:hint="eastAsia"/>
          <w:b w:val="0"/>
          <w:bCs w:val="0"/>
          <w:highlight w:val="none"/>
        </w:rPr>
      </w:pPr>
      <w:r>
        <w:rPr>
          <w:rFonts w:hint="eastAsia" w:ascii="仿宋" w:hAnsi="仿宋" w:eastAsia="仿宋" w:cs="宋体"/>
          <w:b w:val="0"/>
          <w:bCs w:val="0"/>
          <w:color w:val="auto"/>
          <w:kern w:val="0"/>
          <w:sz w:val="24"/>
          <w:szCs w:val="24"/>
          <w:highlight w:val="none"/>
        </w:rPr>
        <w:t>供应商对信用承诺内容的真实性、合法性、有效性负责。如作出虚假信用承诺，视同为“提供虚假材料谋取中标、成交”的违法行为。</w:t>
      </w:r>
    </w:p>
    <w:p>
      <w:pPr>
        <w:spacing w:line="360" w:lineRule="auto"/>
        <w:ind w:firstLine="482" w:firstLineChars="200"/>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t>2、响应文件份数</w:t>
      </w:r>
    </w:p>
    <w:p>
      <w:pPr>
        <w:spacing w:line="360" w:lineRule="auto"/>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（1）纸质响应文件份数：共伍份，其中正本壹份，副本肆份。每份响应文件必须清楚标明“正本”或“副本”。</w:t>
      </w:r>
    </w:p>
    <w:p>
      <w:pPr>
        <w:spacing w:line="360" w:lineRule="auto"/>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（2）电子响应文件份数：共壹份，以U盘为载体存储。</w:t>
      </w:r>
    </w:p>
    <w:p>
      <w:pPr>
        <w:spacing w:line="360" w:lineRule="auto"/>
        <w:ind w:firstLine="482" w:firstLineChars="200"/>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t>3、开标会注意事项</w:t>
      </w:r>
    </w:p>
    <w:p>
      <w:pPr>
        <w:spacing w:line="360" w:lineRule="auto"/>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开标时，响应文件须由法定代表人或其委托代理人递交，递交人须携带有效身份证原件至开标工作人员处进行签到、递交响应文件。</w:t>
      </w:r>
    </w:p>
    <w:p>
      <w:pPr>
        <w:spacing w:line="360" w:lineRule="auto"/>
        <w:ind w:firstLine="482" w:firstLineChars="200"/>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t>4、踏勘现场或答疑</w:t>
      </w:r>
    </w:p>
    <w:p>
      <w:pPr>
        <w:autoSpaceDE w:val="0"/>
        <w:autoSpaceDN w:val="0"/>
        <w:adjustRightInd w:val="0"/>
        <w:snapToGrid w:val="0"/>
        <w:spacing w:line="360" w:lineRule="auto"/>
        <w:ind w:firstLine="480" w:firstLineChars="20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采购人不组织现场勘查，供应商可自行勘察现场或联系采购人。未踏勘现场或踏勘工作不详细的供应商中标后，不得以不完全了解现场情况为理由而向采购人提出任何索赔或其他要求，对此采购人不承担任何责任并将不作任何答复，请各潜在投标供应商务必对采购文件进行仔细认真阅读，在随后的采购中，对采购文件所作出的推论、解释和结论及由此造成的后果由投标供应商负责。</w:t>
      </w:r>
    </w:p>
    <w:p>
      <w:pPr>
        <w:keepNext/>
        <w:keepLines/>
        <w:spacing w:before="260" w:after="260" w:line="360" w:lineRule="auto"/>
        <w:outlineLvl w:val="1"/>
        <w:rPr>
          <w:rFonts w:ascii="黑体" w:hAnsi="黑体" w:eastAsia="黑体" w:cs="宋体"/>
          <w:bCs/>
          <w:color w:val="auto"/>
          <w:sz w:val="24"/>
          <w:szCs w:val="24"/>
          <w:highlight w:val="none"/>
        </w:rPr>
      </w:pPr>
      <w:r>
        <w:rPr>
          <w:rFonts w:hint="eastAsia" w:ascii="黑体" w:hAnsi="黑体" w:eastAsia="黑体" w:cs="宋体"/>
          <w:bCs/>
          <w:color w:val="auto"/>
          <w:sz w:val="24"/>
          <w:szCs w:val="24"/>
          <w:highlight w:val="none"/>
        </w:rPr>
        <w:t>八、凡对本次采购提出询问，请按</w:t>
      </w:r>
      <w:r>
        <w:rPr>
          <w:rFonts w:ascii="黑体" w:hAnsi="黑体" w:eastAsia="黑体" w:cs="宋体"/>
          <w:bCs/>
          <w:color w:val="auto"/>
          <w:sz w:val="24"/>
          <w:szCs w:val="24"/>
          <w:highlight w:val="none"/>
        </w:rPr>
        <w:t>以下方式</w:t>
      </w:r>
      <w:r>
        <w:rPr>
          <w:rFonts w:hint="eastAsia" w:ascii="黑体" w:hAnsi="黑体" w:eastAsia="黑体" w:cs="宋体"/>
          <w:bCs/>
          <w:color w:val="auto"/>
          <w:sz w:val="24"/>
          <w:szCs w:val="24"/>
          <w:highlight w:val="none"/>
        </w:rPr>
        <w:t>联系。</w:t>
      </w:r>
      <w:bookmarkEnd w:id="28"/>
      <w:bookmarkEnd w:id="29"/>
      <w:bookmarkEnd w:id="30"/>
      <w:bookmarkEnd w:id="31"/>
    </w:p>
    <w:p>
      <w:pPr>
        <w:keepNext/>
        <w:keepLines/>
        <w:spacing w:before="260" w:after="260" w:line="360" w:lineRule="auto"/>
        <w:ind w:firstLine="720" w:firstLineChars="300"/>
        <w:outlineLvl w:val="1"/>
        <w:rPr>
          <w:rFonts w:ascii="仿宋" w:hAnsi="仿宋" w:eastAsia="仿宋" w:cs="宋体"/>
          <w:bCs/>
          <w:color w:val="auto"/>
          <w:sz w:val="24"/>
          <w:szCs w:val="24"/>
          <w:highlight w:val="none"/>
        </w:rPr>
      </w:pPr>
      <w:bookmarkStart w:id="32" w:name="_Toc35393637"/>
      <w:bookmarkStart w:id="33" w:name="_Toc35393806"/>
      <w:bookmarkStart w:id="34" w:name="_Toc28359019"/>
      <w:bookmarkStart w:id="35" w:name="_Toc28359096"/>
      <w:r>
        <w:rPr>
          <w:rFonts w:hint="eastAsia" w:ascii="仿宋" w:hAnsi="仿宋" w:eastAsia="仿宋" w:cs="宋体"/>
          <w:bCs/>
          <w:color w:val="auto"/>
          <w:sz w:val="24"/>
          <w:szCs w:val="24"/>
          <w:highlight w:val="none"/>
        </w:rPr>
        <w:t>1.采购人信息</w:t>
      </w:r>
      <w:bookmarkEnd w:id="32"/>
      <w:bookmarkEnd w:id="33"/>
      <w:bookmarkEnd w:id="34"/>
      <w:bookmarkEnd w:id="35"/>
    </w:p>
    <w:p>
      <w:pPr>
        <w:keepNext/>
        <w:keepLines/>
        <w:adjustRightInd w:val="0"/>
        <w:snapToGrid w:val="0"/>
        <w:spacing w:line="360" w:lineRule="auto"/>
        <w:ind w:firstLine="720" w:firstLineChars="300"/>
        <w:outlineLvl w:val="1"/>
        <w:rPr>
          <w:rFonts w:ascii="仿宋" w:hAnsi="仿宋" w:eastAsia="仿宋" w:cs="Arial"/>
          <w:b/>
          <w:bCs/>
          <w:color w:val="auto"/>
          <w:sz w:val="24"/>
          <w:szCs w:val="24"/>
          <w:highlight w:val="none"/>
        </w:rPr>
      </w:pPr>
      <w:r>
        <w:rPr>
          <w:rFonts w:hint="eastAsia" w:ascii="仿宋" w:hAnsi="仿宋" w:eastAsia="仿宋"/>
          <w:color w:val="auto"/>
          <w:sz w:val="24"/>
          <w:szCs w:val="24"/>
          <w:highlight w:val="none"/>
        </w:rPr>
        <w:t>名称：</w:t>
      </w:r>
      <w:r>
        <w:rPr>
          <w:rFonts w:hint="eastAsia" w:ascii="仿宋" w:hAnsi="仿宋" w:eastAsia="仿宋"/>
          <w:color w:val="auto"/>
          <w:sz w:val="24"/>
          <w:szCs w:val="24"/>
          <w:highlight w:val="none"/>
          <w:u w:val="single"/>
        </w:rPr>
        <w:t>南京技师学院</w:t>
      </w:r>
      <w:r>
        <w:rPr>
          <w:rFonts w:hint="eastAsia" w:ascii="仿宋" w:hAnsi="仿宋" w:eastAsia="仿宋" w:cs="Arial"/>
          <w:b/>
          <w:bCs/>
          <w:color w:val="auto"/>
          <w:sz w:val="24"/>
          <w:szCs w:val="24"/>
          <w:highlight w:val="none"/>
        </w:rPr>
        <w:t>　　　　　　　　</w:t>
      </w:r>
    </w:p>
    <w:p>
      <w:pPr>
        <w:spacing w:line="360" w:lineRule="auto"/>
        <w:ind w:firstLine="720" w:firstLineChars="300"/>
        <w:jc w:val="left"/>
        <w:rPr>
          <w:rFonts w:ascii="仿宋" w:hAnsi="仿宋" w:eastAsia="仿宋"/>
          <w:color w:val="auto"/>
          <w:sz w:val="24"/>
          <w:szCs w:val="24"/>
          <w:highlight w:val="none"/>
          <w:u w:val="single"/>
        </w:rPr>
      </w:pPr>
      <w:r>
        <w:rPr>
          <w:rFonts w:hint="eastAsia" w:ascii="仿宋" w:hAnsi="仿宋" w:eastAsia="仿宋"/>
          <w:color w:val="auto"/>
          <w:sz w:val="24"/>
          <w:szCs w:val="24"/>
          <w:highlight w:val="none"/>
        </w:rPr>
        <w:t>地址：</w:t>
      </w:r>
      <w:r>
        <w:rPr>
          <w:rFonts w:hint="eastAsia" w:ascii="仿宋" w:hAnsi="仿宋" w:eastAsia="仿宋"/>
          <w:color w:val="auto"/>
          <w:sz w:val="24"/>
          <w:szCs w:val="24"/>
          <w:highlight w:val="none"/>
          <w:u w:val="single"/>
        </w:rPr>
        <w:t>南京市栖霞区学海路29号</w:t>
      </w:r>
    </w:p>
    <w:p>
      <w:pPr>
        <w:spacing w:line="360" w:lineRule="auto"/>
        <w:ind w:firstLine="720" w:firstLineChars="300"/>
        <w:jc w:val="left"/>
        <w:rPr>
          <w:rFonts w:hint="eastAsia" w:ascii="仿宋" w:hAnsi="仿宋" w:eastAsia="仿宋"/>
          <w:color w:val="auto"/>
          <w:sz w:val="24"/>
          <w:szCs w:val="24"/>
          <w:highlight w:val="none"/>
          <w:u w:val="single"/>
        </w:rPr>
      </w:pPr>
      <w:r>
        <w:rPr>
          <w:rFonts w:hint="eastAsia" w:ascii="仿宋" w:hAnsi="仿宋" w:eastAsia="仿宋"/>
          <w:color w:val="auto"/>
          <w:sz w:val="24"/>
          <w:szCs w:val="24"/>
          <w:highlight w:val="none"/>
        </w:rPr>
        <w:t>联系方式：</w:t>
      </w:r>
      <w:r>
        <w:rPr>
          <w:rFonts w:hint="eastAsia" w:ascii="仿宋" w:hAnsi="仿宋" w:eastAsia="仿宋"/>
          <w:color w:val="auto"/>
          <w:sz w:val="24"/>
          <w:szCs w:val="24"/>
          <w:highlight w:val="none"/>
          <w:u w:val="single"/>
        </w:rPr>
        <w:t>钟老师025-85796586</w:t>
      </w:r>
    </w:p>
    <w:p>
      <w:pPr>
        <w:pStyle w:val="65"/>
        <w:rPr>
          <w:color w:val="auto"/>
          <w:highlight w:val="none"/>
        </w:rPr>
      </w:pPr>
    </w:p>
    <w:p>
      <w:pPr>
        <w:keepNext/>
        <w:keepLines/>
        <w:spacing w:before="260" w:after="260" w:line="360" w:lineRule="auto"/>
        <w:ind w:firstLine="720" w:firstLineChars="300"/>
        <w:outlineLvl w:val="1"/>
        <w:rPr>
          <w:rFonts w:ascii="仿宋" w:hAnsi="仿宋" w:eastAsia="仿宋" w:cs="宋体"/>
          <w:bCs/>
          <w:color w:val="auto"/>
          <w:sz w:val="24"/>
          <w:szCs w:val="24"/>
          <w:highlight w:val="none"/>
        </w:rPr>
      </w:pPr>
      <w:bookmarkStart w:id="36" w:name="_Toc35393638"/>
      <w:bookmarkStart w:id="37" w:name="_Toc28359020"/>
      <w:bookmarkStart w:id="38" w:name="_Toc28359097"/>
      <w:bookmarkStart w:id="39" w:name="_Toc35393807"/>
      <w:r>
        <w:rPr>
          <w:rFonts w:hint="eastAsia" w:ascii="仿宋" w:hAnsi="仿宋" w:eastAsia="仿宋" w:cs="宋体"/>
          <w:bCs/>
          <w:color w:val="auto"/>
          <w:sz w:val="24"/>
          <w:szCs w:val="24"/>
          <w:highlight w:val="none"/>
        </w:rPr>
        <w:t>2.采购代理机构信息</w:t>
      </w:r>
      <w:bookmarkEnd w:id="36"/>
      <w:bookmarkEnd w:id="37"/>
      <w:bookmarkEnd w:id="38"/>
      <w:bookmarkEnd w:id="39"/>
    </w:p>
    <w:p>
      <w:pPr>
        <w:spacing w:line="360" w:lineRule="auto"/>
        <w:ind w:firstLine="720" w:firstLineChars="300"/>
        <w:rPr>
          <w:rFonts w:ascii="仿宋" w:hAnsi="仿宋" w:eastAsia="仿宋"/>
          <w:color w:val="auto"/>
          <w:sz w:val="24"/>
          <w:szCs w:val="24"/>
          <w:highlight w:val="none"/>
        </w:rPr>
      </w:pPr>
      <w:r>
        <w:rPr>
          <w:rFonts w:hint="eastAsia" w:ascii="仿宋" w:hAnsi="仿宋" w:eastAsia="仿宋"/>
          <w:color w:val="auto"/>
          <w:sz w:val="24"/>
          <w:szCs w:val="24"/>
          <w:highlight w:val="none"/>
        </w:rPr>
        <w:t>名 称：</w:t>
      </w:r>
      <w:r>
        <w:rPr>
          <w:rFonts w:hint="eastAsia" w:ascii="仿宋" w:hAnsi="仿宋" w:eastAsia="仿宋"/>
          <w:color w:val="auto"/>
          <w:sz w:val="24"/>
          <w:szCs w:val="24"/>
          <w:highlight w:val="none"/>
          <w:u w:val="single"/>
        </w:rPr>
        <w:t>苏世建设管理集团有限公司</w:t>
      </w:r>
    </w:p>
    <w:p>
      <w:pPr>
        <w:spacing w:line="360" w:lineRule="auto"/>
        <w:ind w:firstLine="720" w:firstLineChars="3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地址：</w:t>
      </w:r>
      <w:r>
        <w:rPr>
          <w:rFonts w:hint="eastAsia" w:ascii="仿宋" w:hAnsi="仿宋" w:eastAsia="仿宋"/>
          <w:color w:val="auto"/>
          <w:sz w:val="24"/>
          <w:szCs w:val="24"/>
          <w:highlight w:val="none"/>
          <w:u w:val="single"/>
        </w:rPr>
        <w:t>南京市江宁区智能路8号启迪科技城华业园5号楼　</w:t>
      </w:r>
    </w:p>
    <w:p>
      <w:pPr>
        <w:spacing w:line="360" w:lineRule="auto"/>
        <w:ind w:firstLine="720" w:firstLineChars="3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联系方式：</w:t>
      </w:r>
      <w:r>
        <w:rPr>
          <w:rFonts w:hint="eastAsia" w:ascii="仿宋" w:hAnsi="仿宋" w:eastAsia="仿宋"/>
          <w:color w:val="auto"/>
          <w:sz w:val="24"/>
          <w:szCs w:val="24"/>
          <w:highlight w:val="none"/>
          <w:u w:val="single"/>
          <w:lang w:val="en-US" w:eastAsia="zh-CN"/>
        </w:rPr>
        <w:t>秦浩13601451629、许婷婷 13770944830</w:t>
      </w:r>
    </w:p>
    <w:p>
      <w:pPr>
        <w:keepNext/>
        <w:keepLines/>
        <w:spacing w:before="260" w:after="260" w:line="360" w:lineRule="auto"/>
        <w:ind w:firstLine="720" w:firstLineChars="300"/>
        <w:outlineLvl w:val="1"/>
        <w:rPr>
          <w:rFonts w:ascii="仿宋" w:hAnsi="仿宋" w:eastAsia="仿宋" w:cs="宋体"/>
          <w:bCs/>
          <w:color w:val="auto"/>
          <w:sz w:val="24"/>
          <w:szCs w:val="24"/>
          <w:highlight w:val="none"/>
        </w:rPr>
      </w:pPr>
      <w:bookmarkStart w:id="40" w:name="_Toc28359021"/>
      <w:bookmarkStart w:id="41" w:name="_Toc28359098"/>
      <w:bookmarkStart w:id="42" w:name="_Toc35393808"/>
      <w:bookmarkStart w:id="43" w:name="_Toc35393639"/>
      <w:r>
        <w:rPr>
          <w:rFonts w:hint="eastAsia" w:ascii="仿宋" w:hAnsi="仿宋" w:eastAsia="仿宋" w:cs="宋体"/>
          <w:bCs/>
          <w:color w:val="auto"/>
          <w:sz w:val="24"/>
          <w:szCs w:val="24"/>
          <w:highlight w:val="none"/>
        </w:rPr>
        <w:t>3.项目联系</w:t>
      </w:r>
      <w:r>
        <w:rPr>
          <w:rFonts w:ascii="仿宋" w:hAnsi="仿宋" w:eastAsia="仿宋" w:cs="宋体"/>
          <w:bCs/>
          <w:color w:val="auto"/>
          <w:sz w:val="24"/>
          <w:szCs w:val="24"/>
          <w:highlight w:val="none"/>
        </w:rPr>
        <w:t>方式</w:t>
      </w:r>
      <w:bookmarkEnd w:id="40"/>
      <w:bookmarkEnd w:id="41"/>
      <w:bookmarkEnd w:id="42"/>
      <w:bookmarkEnd w:id="43"/>
    </w:p>
    <w:p>
      <w:pPr>
        <w:spacing w:line="360" w:lineRule="auto"/>
        <w:ind w:firstLine="720" w:firstLineChars="300"/>
        <w:rPr>
          <w:rFonts w:hint="eastAsia" w:ascii="仿宋" w:hAnsi="仿宋" w:eastAsia="仿宋"/>
          <w:color w:val="auto"/>
          <w:sz w:val="24"/>
          <w:szCs w:val="24"/>
          <w:highlight w:val="none"/>
          <w:u w:val="single"/>
          <w:lang w:eastAsia="zh-CN"/>
        </w:rPr>
      </w:pPr>
      <w:r>
        <w:rPr>
          <w:rFonts w:hint="eastAsia" w:ascii="仿宋" w:hAnsi="仿宋" w:eastAsia="仿宋"/>
          <w:color w:val="auto"/>
          <w:sz w:val="24"/>
          <w:szCs w:val="24"/>
          <w:highlight w:val="none"/>
        </w:rPr>
        <w:t>项目联系人：</w:t>
      </w:r>
      <w:r>
        <w:rPr>
          <w:rFonts w:hint="eastAsia" w:ascii="仿宋" w:hAnsi="仿宋" w:eastAsia="仿宋"/>
          <w:color w:val="auto"/>
          <w:sz w:val="24"/>
          <w:szCs w:val="24"/>
          <w:highlight w:val="none"/>
          <w:u w:val="single"/>
          <w:lang w:val="en-US" w:eastAsia="zh-CN"/>
        </w:rPr>
        <w:t>秦浩、</w:t>
      </w:r>
      <w:r>
        <w:rPr>
          <w:rFonts w:hint="eastAsia" w:ascii="仿宋" w:hAnsi="仿宋" w:eastAsia="仿宋"/>
          <w:color w:val="auto"/>
          <w:sz w:val="24"/>
          <w:szCs w:val="24"/>
          <w:highlight w:val="none"/>
          <w:u w:val="single"/>
        </w:rPr>
        <w:t>许</w:t>
      </w:r>
      <w:r>
        <w:rPr>
          <w:rFonts w:hint="eastAsia" w:ascii="仿宋" w:hAnsi="仿宋" w:eastAsia="仿宋"/>
          <w:color w:val="auto"/>
          <w:sz w:val="24"/>
          <w:szCs w:val="24"/>
          <w:highlight w:val="none"/>
          <w:u w:val="single"/>
          <w:lang w:val="en-US" w:eastAsia="zh-CN"/>
        </w:rPr>
        <w:t>婷婷</w:t>
      </w:r>
    </w:p>
    <w:p>
      <w:pPr>
        <w:spacing w:line="360" w:lineRule="auto"/>
        <w:ind w:firstLine="720" w:firstLineChars="3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电　　 话：</w:t>
      </w:r>
      <w:r>
        <w:rPr>
          <w:rFonts w:hint="eastAsia" w:ascii="仿宋" w:hAnsi="仿宋" w:eastAsia="仿宋"/>
          <w:color w:val="auto"/>
          <w:sz w:val="24"/>
          <w:szCs w:val="24"/>
          <w:highlight w:val="none"/>
          <w:u w:val="single"/>
          <w:lang w:val="en-US" w:eastAsia="zh-CN"/>
        </w:rPr>
        <w:t>13601451629、</w:t>
      </w:r>
      <w:r>
        <w:rPr>
          <w:rFonts w:hint="eastAsia" w:ascii="仿宋" w:hAnsi="仿宋" w:eastAsia="仿宋"/>
          <w:color w:val="auto"/>
          <w:sz w:val="24"/>
          <w:szCs w:val="24"/>
          <w:highlight w:val="none"/>
          <w:u w:val="single"/>
        </w:rPr>
        <w:t>13770944830</w:t>
      </w:r>
      <w:r>
        <w:rPr>
          <w:rFonts w:hint="eastAsia" w:ascii="仿宋" w:hAnsi="仿宋" w:eastAsia="仿宋"/>
          <w:color w:val="auto"/>
          <w:sz w:val="24"/>
          <w:szCs w:val="24"/>
          <w:highlight w:val="none"/>
        </w:rPr>
        <w:t xml:space="preserve"> </w:t>
      </w:r>
    </w:p>
    <w:p>
      <w:pPr>
        <w:spacing w:before="240" w:after="60"/>
        <w:jc w:val="center"/>
        <w:outlineLvl w:val="0"/>
        <w:rPr>
          <w:rFonts w:ascii="Cambria" w:hAnsi="Cambria"/>
          <w:b/>
          <w:bCs/>
          <w:color w:val="auto"/>
          <w:sz w:val="32"/>
          <w:szCs w:val="32"/>
          <w:highlight w:val="none"/>
          <w:lang w:val="zh-CN"/>
        </w:rPr>
        <w:sectPr>
          <w:footerReference r:id="rId4" w:type="default"/>
          <w:pgSz w:w="11906" w:h="16838"/>
          <w:pgMar w:top="1440" w:right="1797" w:bottom="1440" w:left="1797" w:header="851" w:footer="992" w:gutter="0"/>
          <w:pgNumType w:start="1"/>
          <w:cols w:space="720" w:num="1"/>
          <w:docGrid w:linePitch="312" w:charSpace="0"/>
        </w:sectPr>
      </w:pPr>
    </w:p>
    <w:p>
      <w:pPr>
        <w:pStyle w:val="3"/>
        <w:rPr>
          <w:color w:val="auto"/>
          <w:highlight w:val="none"/>
        </w:rPr>
      </w:pPr>
      <w:r>
        <w:rPr>
          <w:rFonts w:hint="eastAsia"/>
          <w:color w:val="auto"/>
          <w:highlight w:val="none"/>
        </w:rPr>
        <w:t>第二章  竞争性磋商须知</w:t>
      </w:r>
      <w:bookmarkEnd w:id="1"/>
    </w:p>
    <w:p>
      <w:pPr>
        <w:autoSpaceDE w:val="0"/>
        <w:autoSpaceDN w:val="0"/>
        <w:adjustRightInd w:val="0"/>
        <w:snapToGrid w:val="0"/>
        <w:spacing w:line="360" w:lineRule="auto"/>
        <w:ind w:firstLine="420"/>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一、总    则</w:t>
      </w:r>
    </w:p>
    <w:p>
      <w:pPr>
        <w:spacing w:line="360" w:lineRule="auto"/>
        <w:ind w:firstLine="482" w:firstLineChars="200"/>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1、适用法律</w:t>
      </w:r>
    </w:p>
    <w:p>
      <w:pPr>
        <w:autoSpaceDE w:val="0"/>
        <w:autoSpaceDN w:val="0"/>
        <w:adjustRightInd w:val="0"/>
        <w:snapToGrid w:val="0"/>
        <w:spacing w:line="360" w:lineRule="auto"/>
        <w:ind w:firstLine="420"/>
        <w:rPr>
          <w:rFonts w:ascii="宋体" w:hAnsi="宋体"/>
          <w:color w:val="auto"/>
          <w:sz w:val="24"/>
          <w:szCs w:val="24"/>
          <w:highlight w:val="none"/>
          <w:lang w:val="zh-CN"/>
        </w:rPr>
      </w:pPr>
      <w:r>
        <w:rPr>
          <w:rFonts w:hint="eastAsia" w:ascii="宋体" w:hAnsi="宋体" w:cs="宋体"/>
          <w:color w:val="auto"/>
          <w:sz w:val="24"/>
          <w:szCs w:val="24"/>
          <w:highlight w:val="none"/>
          <w:lang w:val="zh-CN"/>
        </w:rPr>
        <w:t>《中华人民共和国政府采购法》、《中华人民共和国政府采购法实施条例》、《</w:t>
      </w:r>
      <w:r>
        <w:rPr>
          <w:rFonts w:hint="eastAsia" w:ascii="宋体" w:hAnsi="宋体" w:cs="宋体"/>
          <w:color w:val="auto"/>
          <w:sz w:val="24"/>
          <w:szCs w:val="24"/>
          <w:highlight w:val="none"/>
        </w:rPr>
        <w:t>政府采购竞争性磋商采购方式管理暂行办法</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等</w:t>
      </w:r>
      <w:r>
        <w:rPr>
          <w:rFonts w:hint="eastAsia" w:ascii="宋体" w:hAnsi="宋体" w:cs="宋体"/>
          <w:color w:val="auto"/>
          <w:sz w:val="24"/>
          <w:szCs w:val="24"/>
          <w:highlight w:val="none"/>
          <w:lang w:val="zh-CN"/>
        </w:rPr>
        <w:t>有关法律、规章和规定等。</w:t>
      </w:r>
    </w:p>
    <w:p>
      <w:pPr>
        <w:spacing w:line="360" w:lineRule="auto"/>
        <w:ind w:firstLine="482" w:firstLineChars="200"/>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2、定义</w:t>
      </w:r>
    </w:p>
    <w:p>
      <w:pPr>
        <w:widowControl/>
        <w:shd w:val="clear" w:color="auto" w:fill="FFFFFF"/>
        <w:spacing w:line="360" w:lineRule="auto"/>
        <w:ind w:firstLine="420"/>
        <w:rPr>
          <w:rFonts w:ascii="宋体" w:hAnsi="宋体"/>
          <w:color w:val="auto"/>
          <w:kern w:val="0"/>
          <w:sz w:val="24"/>
          <w:szCs w:val="24"/>
          <w:highlight w:val="none"/>
        </w:rPr>
      </w:pPr>
      <w:r>
        <w:rPr>
          <w:rFonts w:hint="eastAsia" w:ascii="宋体" w:hAnsi="宋体"/>
          <w:color w:val="auto"/>
          <w:kern w:val="0"/>
          <w:sz w:val="24"/>
          <w:szCs w:val="24"/>
          <w:highlight w:val="none"/>
        </w:rPr>
        <w:t>2.1“采购人”是指依法进行政府采购的国家机关、事业单位、团体组织。</w:t>
      </w:r>
    </w:p>
    <w:p>
      <w:pPr>
        <w:widowControl/>
        <w:shd w:val="clear" w:color="auto" w:fill="FFFFFF"/>
        <w:spacing w:line="360" w:lineRule="auto"/>
        <w:ind w:firstLine="420"/>
        <w:rPr>
          <w:rFonts w:ascii="宋体" w:hAnsi="宋体"/>
          <w:color w:val="auto"/>
          <w:kern w:val="0"/>
          <w:sz w:val="24"/>
          <w:szCs w:val="24"/>
          <w:highlight w:val="none"/>
        </w:rPr>
      </w:pPr>
      <w:r>
        <w:rPr>
          <w:rFonts w:hint="eastAsia" w:ascii="宋体" w:hAnsi="宋体"/>
          <w:color w:val="auto"/>
          <w:kern w:val="0"/>
          <w:sz w:val="24"/>
          <w:szCs w:val="24"/>
          <w:highlight w:val="none"/>
        </w:rPr>
        <w:t>2.2“</w:t>
      </w:r>
      <w:r>
        <w:rPr>
          <w:rFonts w:ascii="宋体" w:hAnsi="宋体"/>
          <w:color w:val="auto"/>
          <w:kern w:val="0"/>
          <w:sz w:val="24"/>
          <w:szCs w:val="24"/>
          <w:highlight w:val="none"/>
        </w:rPr>
        <w:t>供应商</w:t>
      </w:r>
      <w:r>
        <w:rPr>
          <w:rFonts w:hint="eastAsia" w:ascii="宋体" w:hAnsi="宋体"/>
          <w:color w:val="auto"/>
          <w:kern w:val="0"/>
          <w:sz w:val="24"/>
          <w:szCs w:val="24"/>
          <w:highlight w:val="none"/>
        </w:rPr>
        <w:t>”</w:t>
      </w:r>
      <w:r>
        <w:rPr>
          <w:rFonts w:ascii="宋体" w:hAnsi="宋体"/>
          <w:color w:val="auto"/>
          <w:kern w:val="0"/>
          <w:sz w:val="24"/>
          <w:szCs w:val="24"/>
          <w:highlight w:val="none"/>
        </w:rPr>
        <w:t>是</w:t>
      </w:r>
      <w:r>
        <w:rPr>
          <w:rFonts w:hint="eastAsia" w:ascii="宋体" w:hAnsi="宋体"/>
          <w:color w:val="auto"/>
          <w:kern w:val="0"/>
          <w:sz w:val="24"/>
          <w:szCs w:val="24"/>
          <w:highlight w:val="none"/>
        </w:rPr>
        <w:t>指参加竞争性磋商，并符合采购文件规定资格条件的法人、其他组织或者自然人。</w:t>
      </w:r>
    </w:p>
    <w:p>
      <w:pPr>
        <w:widowControl/>
        <w:shd w:val="clear" w:color="auto" w:fill="FFFFFF"/>
        <w:spacing w:line="360" w:lineRule="auto"/>
        <w:ind w:firstLine="420"/>
        <w:rPr>
          <w:rFonts w:ascii="宋体" w:hAnsi="宋体"/>
          <w:color w:val="auto"/>
          <w:kern w:val="0"/>
          <w:sz w:val="24"/>
          <w:szCs w:val="24"/>
          <w:highlight w:val="none"/>
        </w:rPr>
      </w:pPr>
      <w:r>
        <w:rPr>
          <w:rFonts w:hint="eastAsia" w:ascii="宋体" w:hAnsi="宋体"/>
          <w:color w:val="auto"/>
          <w:kern w:val="0"/>
          <w:sz w:val="24"/>
          <w:szCs w:val="24"/>
          <w:highlight w:val="none"/>
        </w:rPr>
        <w:t>2.3“货物和服务”指本采购文件中所述</w:t>
      </w:r>
      <w:r>
        <w:rPr>
          <w:rFonts w:hint="eastAsia" w:ascii="宋体" w:hAnsi="宋体"/>
          <w:bCs/>
          <w:color w:val="auto"/>
          <w:kern w:val="0"/>
          <w:sz w:val="24"/>
          <w:szCs w:val="24"/>
          <w:highlight w:val="none"/>
        </w:rPr>
        <w:t>产品</w:t>
      </w:r>
      <w:r>
        <w:rPr>
          <w:rFonts w:hint="eastAsia" w:ascii="宋体" w:hAnsi="宋体"/>
          <w:color w:val="auto"/>
          <w:kern w:val="0"/>
          <w:sz w:val="24"/>
          <w:szCs w:val="24"/>
          <w:highlight w:val="none"/>
        </w:rPr>
        <w:t>及相关服务。</w:t>
      </w:r>
    </w:p>
    <w:p>
      <w:pPr>
        <w:widowControl/>
        <w:shd w:val="clear" w:color="auto" w:fill="FFFFFF"/>
        <w:spacing w:line="360" w:lineRule="auto"/>
        <w:ind w:firstLine="420"/>
        <w:rPr>
          <w:rFonts w:ascii="宋体" w:hAnsi="宋体"/>
          <w:color w:val="auto"/>
          <w:kern w:val="0"/>
          <w:sz w:val="24"/>
          <w:szCs w:val="24"/>
          <w:highlight w:val="none"/>
        </w:rPr>
      </w:pPr>
      <w:r>
        <w:rPr>
          <w:rFonts w:hint="eastAsia" w:ascii="宋体" w:hAnsi="宋体"/>
          <w:color w:val="auto"/>
          <w:kern w:val="0"/>
          <w:sz w:val="24"/>
          <w:szCs w:val="24"/>
          <w:highlight w:val="none"/>
        </w:rPr>
        <w:t>2.4“用户或使用单位”是指使用服务的单位。</w:t>
      </w:r>
    </w:p>
    <w:p>
      <w:pPr>
        <w:autoSpaceDE w:val="0"/>
        <w:autoSpaceDN w:val="0"/>
        <w:adjustRightInd w:val="0"/>
        <w:snapToGrid w:val="0"/>
        <w:spacing w:line="360" w:lineRule="auto"/>
        <w:ind w:firstLine="420"/>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3、政策功能</w:t>
      </w:r>
    </w:p>
    <w:p>
      <w:pPr>
        <w:widowControl/>
        <w:shd w:val="clear" w:color="auto" w:fill="FFFFFF"/>
        <w:spacing w:line="360" w:lineRule="auto"/>
        <w:ind w:firstLine="420"/>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3.1 中小企业政策</w:t>
      </w:r>
    </w:p>
    <w:p>
      <w:pPr>
        <w:widowControl/>
        <w:shd w:val="clear" w:color="auto" w:fill="FFFFFF"/>
        <w:spacing w:line="360" w:lineRule="auto"/>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（1）中小企业（含中型、小型、微型企业）应当符合《政府采购促进中小企业发展管理办法》（财库〔2020〕46号）第二条、《关于政府采购支持监狱企业发展有关问题的通知》（财库〔2014〕68 号）第一条或《关于促进残疾人就业政府采购政策的通知》（财库〔2017〕141 号）第一条的规定。</w:t>
      </w:r>
    </w:p>
    <w:p>
      <w:pPr>
        <w:widowControl/>
        <w:shd w:val="clear" w:color="auto" w:fill="FFFFFF"/>
        <w:spacing w:line="360" w:lineRule="auto"/>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（2）对于专门面向中小企业或小型、微型企业的项目，只面向中小企业或小型、微型企业采购。对于非专门面向中小企业的项目，对小型和微型企业产品的价格给予5%的扣除，用扣除后的价格参与评审。</w:t>
      </w:r>
    </w:p>
    <w:p>
      <w:pPr>
        <w:widowControl/>
        <w:shd w:val="clear" w:color="auto" w:fill="FFFFFF"/>
        <w:spacing w:line="360" w:lineRule="auto"/>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（3）参加政府采购活动的中小企业应当提供《中小企业声明函》、由省级以上监狱管理局戒毒管理局(含新疆生产建设兵团)出具的属于监狱企业的证明文件或《残疾人福利性单位声明函》。</w:t>
      </w:r>
    </w:p>
    <w:p>
      <w:pPr>
        <w:widowControl/>
        <w:shd w:val="clear" w:color="auto" w:fill="FFFFFF"/>
        <w:spacing w:line="360" w:lineRule="auto"/>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4）对于接受供应商以联合体形式参加采购活动的项目，小型、微型企业联合体应当符合《政府采购促进中小企业发展管理办法》（财库〔2020〕46号）第六条的规定。联合协议中约定，小型、微型企业的协议合同金额占到联合体协议合同总金额 30%以上的，给予联合体 3%(疫情期间)的价格扣除。</w:t>
      </w:r>
    </w:p>
    <w:p>
      <w:pPr>
        <w:widowControl/>
        <w:shd w:val="clear" w:color="auto" w:fill="FFFFFF"/>
        <w:spacing w:line="360" w:lineRule="auto"/>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（5）中小企业依据《政府采购促进中小企业发展管理办法》（财库〔2020〕46号）规定的政策获取政府采购合同后，小型、微型企业不得分包或转包给大型、中型企业，中型企业不得分包或转包给大型企业。</w:t>
      </w:r>
    </w:p>
    <w:p>
      <w:pPr>
        <w:widowControl/>
        <w:shd w:val="clear" w:color="auto" w:fill="FFFFFF"/>
        <w:spacing w:line="360" w:lineRule="auto"/>
        <w:ind w:firstLine="420"/>
        <w:rPr>
          <w:rFonts w:ascii="宋体" w:hAnsi="宋体"/>
          <w:b/>
          <w:color w:val="auto"/>
          <w:kern w:val="0"/>
          <w:sz w:val="24"/>
          <w:szCs w:val="24"/>
          <w:highlight w:val="none"/>
        </w:rPr>
      </w:pPr>
      <w:r>
        <w:rPr>
          <w:rFonts w:hint="eastAsia" w:ascii="宋体" w:hAnsi="宋体"/>
          <w:b/>
          <w:color w:val="auto"/>
          <w:kern w:val="0"/>
          <w:sz w:val="24"/>
          <w:szCs w:val="24"/>
          <w:highlight w:val="none"/>
        </w:rPr>
        <w:t>3.2节能产品、环境标志产品政策</w:t>
      </w:r>
    </w:p>
    <w:p>
      <w:pPr>
        <w:widowControl/>
        <w:shd w:val="clear" w:color="auto" w:fill="FFFFFF"/>
        <w:spacing w:line="360" w:lineRule="auto"/>
        <w:ind w:firstLine="420"/>
        <w:rPr>
          <w:rFonts w:ascii="宋体" w:hAnsi="宋体"/>
          <w:color w:val="auto"/>
          <w:kern w:val="0"/>
          <w:sz w:val="24"/>
          <w:szCs w:val="24"/>
          <w:highlight w:val="none"/>
        </w:rPr>
      </w:pPr>
      <w:r>
        <w:rPr>
          <w:rFonts w:hint="eastAsia" w:ascii="宋体" w:hAnsi="宋体"/>
          <w:color w:val="auto"/>
          <w:kern w:val="0"/>
          <w:sz w:val="24"/>
          <w:szCs w:val="24"/>
          <w:highlight w:val="none"/>
        </w:rPr>
        <w:t>（1）政府采购节能产品、环境标志产品实施品目清单管理。</w:t>
      </w:r>
    </w:p>
    <w:p>
      <w:pPr>
        <w:widowControl/>
        <w:shd w:val="clear" w:color="auto" w:fill="FFFFFF"/>
        <w:spacing w:line="360" w:lineRule="auto"/>
        <w:ind w:firstLine="420"/>
        <w:rPr>
          <w:rFonts w:ascii="宋体" w:hAnsi="宋体"/>
          <w:color w:val="auto"/>
          <w:kern w:val="0"/>
          <w:sz w:val="24"/>
          <w:szCs w:val="24"/>
          <w:highlight w:val="none"/>
        </w:rPr>
      </w:pPr>
      <w:r>
        <w:rPr>
          <w:rFonts w:hint="eastAsia" w:ascii="宋体" w:hAnsi="宋体"/>
          <w:color w:val="auto"/>
          <w:kern w:val="0"/>
          <w:sz w:val="24"/>
          <w:szCs w:val="24"/>
          <w:highlight w:val="none"/>
        </w:rPr>
        <w:t>（2）拟采购产品属于节能产品、环境标志产品品目清单规定必须强制采购的，实行强制采购。</w:t>
      </w:r>
    </w:p>
    <w:p>
      <w:pPr>
        <w:widowControl/>
        <w:shd w:val="clear" w:color="auto" w:fill="FFFFFF"/>
        <w:spacing w:line="360" w:lineRule="auto"/>
        <w:ind w:firstLine="420"/>
        <w:rPr>
          <w:rFonts w:ascii="宋体" w:hAnsi="宋体"/>
          <w:color w:val="auto"/>
          <w:kern w:val="0"/>
          <w:sz w:val="24"/>
          <w:szCs w:val="24"/>
          <w:highlight w:val="none"/>
        </w:rPr>
      </w:pPr>
      <w:r>
        <w:rPr>
          <w:rFonts w:hint="eastAsia" w:ascii="宋体" w:hAnsi="宋体"/>
          <w:color w:val="auto"/>
          <w:kern w:val="0"/>
          <w:sz w:val="24"/>
          <w:szCs w:val="24"/>
          <w:highlight w:val="none"/>
        </w:rPr>
        <w:t>（3）拟采购产品属于节能产品、环境标志产品品目清单规定优先采购的，在性能、技术、服务等指标同等条件下，实行</w:t>
      </w:r>
      <w:r>
        <w:rPr>
          <w:rFonts w:ascii="宋体" w:hAnsi="宋体"/>
          <w:color w:val="auto"/>
          <w:kern w:val="0"/>
          <w:sz w:val="24"/>
          <w:szCs w:val="24"/>
          <w:highlight w:val="none"/>
        </w:rPr>
        <w:t>优先采购</w:t>
      </w:r>
      <w:r>
        <w:rPr>
          <w:rFonts w:hint="eastAsia" w:ascii="宋体" w:hAnsi="宋体"/>
          <w:color w:val="auto"/>
          <w:kern w:val="0"/>
          <w:sz w:val="24"/>
          <w:szCs w:val="24"/>
          <w:highlight w:val="none"/>
        </w:rPr>
        <w:t>，</w:t>
      </w:r>
      <w:r>
        <w:rPr>
          <w:rFonts w:ascii="宋体" w:hAnsi="宋体"/>
          <w:color w:val="auto"/>
          <w:kern w:val="0"/>
          <w:sz w:val="24"/>
          <w:szCs w:val="24"/>
          <w:highlight w:val="none"/>
        </w:rPr>
        <w:t>优先采购的评审标准详见本</w:t>
      </w:r>
      <w:r>
        <w:rPr>
          <w:rFonts w:hint="eastAsia" w:ascii="宋体" w:hAnsi="宋体"/>
          <w:color w:val="auto"/>
          <w:kern w:val="0"/>
          <w:sz w:val="24"/>
          <w:szCs w:val="24"/>
          <w:highlight w:val="none"/>
        </w:rPr>
        <w:t>磋商文件第三章</w:t>
      </w:r>
      <w:r>
        <w:rPr>
          <w:rFonts w:ascii="宋体" w:hAnsi="宋体"/>
          <w:color w:val="auto"/>
          <w:kern w:val="0"/>
          <w:sz w:val="24"/>
          <w:szCs w:val="24"/>
          <w:highlight w:val="none"/>
        </w:rPr>
        <w:t>。</w:t>
      </w:r>
    </w:p>
    <w:p>
      <w:pPr>
        <w:widowControl/>
        <w:shd w:val="clear" w:color="auto" w:fill="FFFFFF"/>
        <w:spacing w:line="360" w:lineRule="auto"/>
        <w:ind w:firstLine="420"/>
        <w:rPr>
          <w:rFonts w:ascii="宋体" w:hAnsi="宋体"/>
          <w:color w:val="auto"/>
          <w:kern w:val="0"/>
          <w:sz w:val="24"/>
          <w:szCs w:val="24"/>
          <w:highlight w:val="none"/>
        </w:rPr>
      </w:pPr>
      <w:r>
        <w:rPr>
          <w:rFonts w:hint="eastAsia" w:ascii="宋体" w:hAnsi="宋体"/>
          <w:color w:val="auto"/>
          <w:kern w:val="0"/>
          <w:sz w:val="24"/>
          <w:szCs w:val="24"/>
          <w:highlight w:val="none"/>
        </w:rPr>
        <w:t>（4）参加政府采购活动的节能产品、环境标志产品供应商应当提供国家确定的认证机构出具的、处于有效期之内的节能产品、环境标志产品认证证书。</w:t>
      </w:r>
    </w:p>
    <w:p>
      <w:pPr>
        <w:widowControl/>
        <w:shd w:val="clear" w:color="auto" w:fill="FFFFFF"/>
        <w:spacing w:line="360" w:lineRule="auto"/>
        <w:ind w:firstLine="420"/>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3.3</w:t>
      </w:r>
      <w:r>
        <w:rPr>
          <w:rFonts w:hint="eastAsia" w:ascii="宋体" w:hAnsi="宋体" w:cs="宋体"/>
          <w:b/>
          <w:color w:val="auto"/>
          <w:kern w:val="0"/>
          <w:sz w:val="24"/>
          <w:szCs w:val="24"/>
          <w:highlight w:val="none"/>
        </w:rPr>
        <w:tab/>
      </w:r>
      <w:r>
        <w:rPr>
          <w:rFonts w:hint="eastAsia" w:ascii="宋体" w:hAnsi="宋体" w:cs="宋体"/>
          <w:b/>
          <w:color w:val="auto"/>
          <w:kern w:val="0"/>
          <w:sz w:val="24"/>
          <w:szCs w:val="24"/>
          <w:highlight w:val="none"/>
        </w:rPr>
        <w:t>进口产品政策</w:t>
      </w:r>
    </w:p>
    <w:p>
      <w:pPr>
        <w:widowControl/>
        <w:shd w:val="clear" w:color="auto" w:fill="FFFFFF"/>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（1）除在磋商文件另有规定外，不允许进口产品参加。进口产品认定依照《财政部关于政府采购进口产品管理有关问题的通知》（财办库〔2008〕248号）的规定。</w:t>
      </w:r>
    </w:p>
    <w:p>
      <w:pPr>
        <w:widowControl/>
        <w:shd w:val="clear" w:color="auto" w:fill="FFFFFF"/>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（2）允许进口产品参加的，满足需求的国内产品可以参加。</w:t>
      </w:r>
    </w:p>
    <w:p>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（3）允许进口产品参加的，优先采购向我国企业转让技术、与我国企业签订消化吸收再创新方案的供应商的进口产品。</w:t>
      </w:r>
    </w:p>
    <w:p>
      <w:pPr>
        <w:autoSpaceDE w:val="0"/>
        <w:autoSpaceDN w:val="0"/>
        <w:adjustRightInd w:val="0"/>
        <w:snapToGrid w:val="0"/>
        <w:spacing w:line="360" w:lineRule="auto"/>
        <w:ind w:firstLine="420"/>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二、磋商响应文件编制</w:t>
      </w:r>
    </w:p>
    <w:p>
      <w:pPr>
        <w:autoSpaceDE w:val="0"/>
        <w:autoSpaceDN w:val="0"/>
        <w:adjustRightInd w:val="0"/>
        <w:snapToGrid w:val="0"/>
        <w:spacing w:line="360" w:lineRule="auto"/>
        <w:ind w:firstLine="420"/>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4、磋商响应文件的语言、计量单位、货币和编制</w:t>
      </w:r>
    </w:p>
    <w:p>
      <w:pPr>
        <w:autoSpaceDE w:val="0"/>
        <w:autoSpaceDN w:val="0"/>
        <w:adjustRightInd w:val="0"/>
        <w:snapToGrid w:val="0"/>
        <w:spacing w:line="360" w:lineRule="auto"/>
        <w:ind w:firstLine="4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4.1 供应商提交的磋商响应文件、技术文件和资料，包括图纸中的说明，以及供应商与采购代理机构就有关磋商的所有来往函电均应使用中文。响应文件中若有英文或其他语言文字的资料，应提供相应的中文翻译资料。对不同文本响应文件的解释发生异议的，以中文文本为准。</w:t>
      </w:r>
    </w:p>
    <w:p>
      <w:pPr>
        <w:autoSpaceDE w:val="0"/>
        <w:autoSpaceDN w:val="0"/>
        <w:adjustRightInd w:val="0"/>
        <w:snapToGrid w:val="0"/>
        <w:spacing w:line="360" w:lineRule="auto"/>
        <w:ind w:firstLine="4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4.2 供应商所使用的计量单位应为国家法定计量单位。</w:t>
      </w:r>
    </w:p>
    <w:p>
      <w:pPr>
        <w:autoSpaceDE w:val="0"/>
        <w:autoSpaceDN w:val="0"/>
        <w:adjustRightInd w:val="0"/>
        <w:snapToGrid w:val="0"/>
        <w:spacing w:line="360" w:lineRule="auto"/>
        <w:ind w:firstLine="4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4.3 供应商应用人民币报价。报价产品如果是进口产品的，应提供人民币与外币之间的汇率；报价单位为“元”。</w:t>
      </w:r>
    </w:p>
    <w:p>
      <w:pPr>
        <w:autoSpaceDE w:val="0"/>
        <w:autoSpaceDN w:val="0"/>
        <w:adjustRightInd w:val="0"/>
        <w:snapToGrid w:val="0"/>
        <w:spacing w:line="360" w:lineRule="auto"/>
        <w:ind w:firstLine="4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4.4 磋商响应文件应字迹清楚、内容齐全、不得涂改。如有修改，修改处须有供应商公章或投标专用章和法定代表人或其授权磋商代表签字。</w:t>
      </w:r>
    </w:p>
    <w:p>
      <w:pPr>
        <w:autoSpaceDE w:val="0"/>
        <w:autoSpaceDN w:val="0"/>
        <w:adjustRightInd w:val="0"/>
        <w:snapToGrid w:val="0"/>
        <w:spacing w:line="360" w:lineRule="auto"/>
        <w:ind w:firstLine="4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4.5 磋商响应文件应按照竞争性磋商文件规定的顺序，统一用A4规格幅面打印、装订成册并编制目录，由于编排混乱导致响应文件被误读或查找不到，责任由供应商承担。</w:t>
      </w:r>
    </w:p>
    <w:p>
      <w:pPr>
        <w:autoSpaceDE w:val="0"/>
        <w:autoSpaceDN w:val="0"/>
        <w:adjustRightInd w:val="0"/>
        <w:snapToGrid w:val="0"/>
        <w:spacing w:line="360" w:lineRule="auto"/>
        <w:ind w:firstLine="4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4.6 供应商应在磋商响应文件中写清相应的项目编号、项目名称、供应商全称、地址、电话、传真等。</w:t>
      </w:r>
    </w:p>
    <w:p>
      <w:pPr>
        <w:autoSpaceDE w:val="0"/>
        <w:autoSpaceDN w:val="0"/>
        <w:adjustRightInd w:val="0"/>
        <w:snapToGrid w:val="0"/>
        <w:spacing w:line="360" w:lineRule="auto"/>
        <w:ind w:firstLine="420"/>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5、磋商响应文件的组成</w:t>
      </w:r>
    </w:p>
    <w:p>
      <w:pPr>
        <w:autoSpaceDE w:val="0"/>
        <w:autoSpaceDN w:val="0"/>
        <w:adjustRightInd w:val="0"/>
        <w:snapToGrid w:val="0"/>
        <w:spacing w:line="360" w:lineRule="auto"/>
        <w:ind w:firstLine="4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5.1 供应商应当根据竞争性磋商文件要求编制磋商响应文件，并根据自己的商务能力、技术水平对竞争性磋商文件提出的要求和条件逐条标明是否响应。</w:t>
      </w:r>
    </w:p>
    <w:p>
      <w:pPr>
        <w:autoSpaceDE w:val="0"/>
        <w:autoSpaceDN w:val="0"/>
        <w:adjustRightInd w:val="0"/>
        <w:snapToGrid w:val="0"/>
        <w:spacing w:line="360" w:lineRule="auto"/>
        <w:ind w:firstLine="4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5.2 磋商响应文件由商务技术部分、价格部分，以及其他部分组成。</w:t>
      </w:r>
    </w:p>
    <w:p>
      <w:pPr>
        <w:autoSpaceDE w:val="0"/>
        <w:autoSpaceDN w:val="0"/>
        <w:adjustRightInd w:val="0"/>
        <w:spacing w:line="360" w:lineRule="auto"/>
        <w:ind w:firstLine="42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5.3 本次采购的最小单位是包。采购项目的技术要求中未分包的，供应商对要求提供的服务不得部分投标；采购项目的技术要求中已经分包的，可以以包为单位投标。</w:t>
      </w:r>
    </w:p>
    <w:p>
      <w:pPr>
        <w:autoSpaceDE w:val="0"/>
        <w:autoSpaceDN w:val="0"/>
        <w:adjustRightInd w:val="0"/>
        <w:spacing w:line="360" w:lineRule="auto"/>
        <w:ind w:firstLine="420"/>
        <w:rPr>
          <w:rFonts w:ascii="宋体" w:hAnsi="宋体" w:cs="宋体"/>
          <w:color w:val="auto"/>
          <w:sz w:val="24"/>
          <w:szCs w:val="24"/>
          <w:highlight w:val="none"/>
          <w:lang w:val="zh-CN"/>
        </w:rPr>
      </w:pPr>
      <w:r>
        <w:rPr>
          <w:rFonts w:hint="eastAsia" w:ascii="宋体" w:hAnsi="宋体" w:cs="宋体"/>
          <w:bCs/>
          <w:color w:val="auto"/>
          <w:sz w:val="24"/>
          <w:szCs w:val="24"/>
          <w:highlight w:val="none"/>
          <w:lang w:val="zh-CN"/>
        </w:rPr>
        <w:t>5.</w:t>
      </w:r>
      <w:r>
        <w:rPr>
          <w:rFonts w:hint="eastAsia" w:ascii="宋体" w:hAnsi="宋体" w:cs="宋体"/>
          <w:bCs/>
          <w:color w:val="auto"/>
          <w:sz w:val="24"/>
          <w:szCs w:val="24"/>
          <w:highlight w:val="none"/>
        </w:rPr>
        <w:t>4</w:t>
      </w:r>
      <w:r>
        <w:rPr>
          <w:rFonts w:hint="eastAsia" w:ascii="宋体" w:hAnsi="宋体" w:cs="宋体"/>
          <w:bCs/>
          <w:color w:val="auto"/>
          <w:sz w:val="24"/>
          <w:szCs w:val="24"/>
          <w:highlight w:val="none"/>
          <w:lang w:val="zh-CN"/>
        </w:rPr>
        <w:t xml:space="preserve"> </w:t>
      </w:r>
      <w:r>
        <w:rPr>
          <w:rFonts w:hint="eastAsia" w:ascii="宋体" w:hAnsi="宋体" w:cs="宋体"/>
          <w:b/>
          <w:bCs/>
          <w:color w:val="auto"/>
          <w:sz w:val="24"/>
          <w:szCs w:val="24"/>
          <w:highlight w:val="none"/>
          <w:lang w:val="zh-CN"/>
        </w:rPr>
        <w:t>磋商响应文件的商务部分。</w:t>
      </w:r>
      <w:r>
        <w:rPr>
          <w:rFonts w:hint="eastAsia" w:ascii="宋体" w:hAnsi="宋体" w:cs="宋体"/>
          <w:color w:val="auto"/>
          <w:sz w:val="24"/>
          <w:szCs w:val="24"/>
          <w:highlight w:val="none"/>
          <w:lang w:val="zh-CN"/>
        </w:rPr>
        <w:t>商务部分是证明供应商有资格参加磋商和成交后有能力履行合同的文件，</w:t>
      </w:r>
      <w:r>
        <w:rPr>
          <w:rFonts w:hint="eastAsia" w:ascii="宋体" w:hAnsi="宋体" w:cs="宋体"/>
          <w:color w:val="auto"/>
          <w:sz w:val="24"/>
          <w:szCs w:val="24"/>
          <w:highlight w:val="none"/>
        </w:rPr>
        <w:t>这些文件应能满足竞争性磋商采购的要求</w:t>
      </w:r>
      <w:r>
        <w:rPr>
          <w:rFonts w:hint="eastAsia" w:ascii="宋体" w:hAnsi="宋体" w:cs="宋体"/>
          <w:color w:val="auto"/>
          <w:sz w:val="24"/>
          <w:szCs w:val="24"/>
          <w:highlight w:val="none"/>
          <w:lang w:val="zh-CN"/>
        </w:rPr>
        <w:t>，包括但不限于下列文件</w:t>
      </w:r>
      <w:r>
        <w:rPr>
          <w:rFonts w:hint="eastAsia" w:ascii="宋体" w:hAnsi="宋体"/>
          <w:color w:val="auto"/>
          <w:kern w:val="0"/>
          <w:sz w:val="24"/>
          <w:szCs w:val="24"/>
          <w:highlight w:val="none"/>
        </w:rPr>
        <w:t>（</w:t>
      </w:r>
      <w:r>
        <w:rPr>
          <w:rFonts w:hint="eastAsia" w:ascii="宋体" w:hAnsi="宋体"/>
          <w:b/>
          <w:color w:val="auto"/>
          <w:kern w:val="0"/>
          <w:sz w:val="24"/>
          <w:szCs w:val="24"/>
          <w:highlight w:val="none"/>
        </w:rPr>
        <w:t>（1）-（6）所述材料如提供不全或不满足磋商文件的实质性要求，评标委员会有权否决供应商的投标</w:t>
      </w:r>
      <w:r>
        <w:rPr>
          <w:rFonts w:hint="eastAsia" w:ascii="宋体" w:hAnsi="宋体"/>
          <w:color w:val="auto"/>
          <w:kern w:val="0"/>
          <w:sz w:val="24"/>
          <w:szCs w:val="24"/>
          <w:highlight w:val="none"/>
        </w:rPr>
        <w:t>）</w:t>
      </w:r>
      <w:r>
        <w:rPr>
          <w:rFonts w:hint="eastAsia" w:ascii="宋体" w:hAnsi="宋体" w:cs="宋体"/>
          <w:color w:val="auto"/>
          <w:sz w:val="24"/>
          <w:szCs w:val="24"/>
          <w:highlight w:val="none"/>
          <w:lang w:val="zh-CN"/>
        </w:rPr>
        <w:t>：</w:t>
      </w:r>
    </w:p>
    <w:p>
      <w:pPr>
        <w:autoSpaceDE w:val="0"/>
        <w:autoSpaceDN w:val="0"/>
        <w:adjustRightInd w:val="0"/>
        <w:spacing w:line="360" w:lineRule="auto"/>
        <w:ind w:firstLine="420"/>
        <w:jc w:val="left"/>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（1）竞争性磋商申请及声明</w:t>
      </w:r>
      <w:r>
        <w:rPr>
          <w:rFonts w:hint="eastAsia" w:ascii="宋体" w:hAnsi="宋体"/>
          <w:b/>
          <w:bCs/>
          <w:color w:val="auto"/>
          <w:sz w:val="24"/>
          <w:szCs w:val="24"/>
          <w:highlight w:val="none"/>
        </w:rPr>
        <w:t>（格式见附件）</w:t>
      </w:r>
      <w:r>
        <w:rPr>
          <w:rFonts w:hint="eastAsia" w:ascii="宋体" w:hAnsi="宋体" w:cs="宋体"/>
          <w:b/>
          <w:bCs/>
          <w:color w:val="auto"/>
          <w:sz w:val="24"/>
          <w:szCs w:val="24"/>
          <w:highlight w:val="none"/>
          <w:lang w:val="zh-CN"/>
        </w:rPr>
        <w:t>；</w:t>
      </w:r>
    </w:p>
    <w:p>
      <w:pPr>
        <w:widowControl/>
        <w:adjustRightInd w:val="0"/>
        <w:spacing w:line="360" w:lineRule="auto"/>
        <w:ind w:firstLine="420"/>
        <w:jc w:val="left"/>
        <w:rPr>
          <w:rFonts w:ascii="宋体" w:hAnsi="宋体" w:cs="宋体"/>
          <w:b/>
          <w:bCs/>
          <w:color w:val="auto"/>
          <w:kern w:val="0"/>
          <w:sz w:val="24"/>
          <w:szCs w:val="24"/>
          <w:highlight w:val="none"/>
          <w:lang w:val="zh-CN"/>
        </w:rPr>
      </w:pPr>
      <w:r>
        <w:rPr>
          <w:rFonts w:hint="eastAsia" w:ascii="宋体" w:hAnsi="宋体" w:cs="宋体"/>
          <w:b/>
          <w:bCs/>
          <w:color w:val="auto"/>
          <w:kern w:val="0"/>
          <w:sz w:val="24"/>
          <w:szCs w:val="24"/>
          <w:highlight w:val="none"/>
          <w:lang w:val="zh-CN"/>
        </w:rPr>
        <w:t>（2）法定代表人授权委托书及委托代理人的身份证复印件</w:t>
      </w:r>
      <w:r>
        <w:rPr>
          <w:rFonts w:hint="eastAsia" w:ascii="宋体" w:hAnsi="宋体"/>
          <w:b/>
          <w:bCs/>
          <w:color w:val="auto"/>
          <w:sz w:val="24"/>
          <w:szCs w:val="24"/>
          <w:highlight w:val="none"/>
        </w:rPr>
        <w:t>（格式见附件）</w:t>
      </w:r>
      <w:r>
        <w:rPr>
          <w:rFonts w:hint="eastAsia" w:ascii="宋体" w:hAnsi="宋体" w:cs="宋体"/>
          <w:b/>
          <w:bCs/>
          <w:color w:val="auto"/>
          <w:kern w:val="0"/>
          <w:sz w:val="24"/>
          <w:szCs w:val="24"/>
          <w:highlight w:val="none"/>
          <w:lang w:val="zh-CN"/>
        </w:rPr>
        <w:t>；</w:t>
      </w:r>
    </w:p>
    <w:p>
      <w:pPr>
        <w:widowControl/>
        <w:adjustRightInd w:val="0"/>
        <w:spacing w:line="360" w:lineRule="auto"/>
        <w:ind w:firstLine="420"/>
        <w:jc w:val="left"/>
        <w:rPr>
          <w:rFonts w:ascii="宋体" w:hAnsi="宋体" w:cs="宋体"/>
          <w:b/>
          <w:bCs/>
          <w:color w:val="auto"/>
          <w:sz w:val="24"/>
          <w:szCs w:val="24"/>
          <w:highlight w:val="none"/>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rPr>
        <w:t>3</w:t>
      </w: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rPr>
        <w:t>第一章竞争性磋商公告中 1《中华人民共和国政府采购法》规定的资格条件证明文件；</w:t>
      </w:r>
    </w:p>
    <w:p>
      <w:pPr>
        <w:widowControl/>
        <w:adjustRightInd w:val="0"/>
        <w:spacing w:line="360" w:lineRule="auto"/>
        <w:ind w:firstLine="420"/>
        <w:jc w:val="left"/>
        <w:rPr>
          <w:color w:val="auto"/>
          <w:highlight w:val="none"/>
        </w:rPr>
      </w:pP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rPr>
        <w:t>4</w:t>
      </w: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rPr>
        <w:t>第一章竞争性磋商公告中2落实政府采购政策需满足的资格要求</w:t>
      </w:r>
      <w:r>
        <w:rPr>
          <w:rFonts w:hint="eastAsia" w:cs="宋体"/>
          <w:b/>
          <w:bCs/>
          <w:color w:val="auto"/>
          <w:sz w:val="24"/>
          <w:szCs w:val="24"/>
          <w:highlight w:val="none"/>
        </w:rPr>
        <w:t>；</w:t>
      </w:r>
    </w:p>
    <w:p>
      <w:pPr>
        <w:widowControl/>
        <w:adjustRightInd w:val="0"/>
        <w:spacing w:line="360" w:lineRule="auto"/>
        <w:ind w:firstLine="42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（5）第一章竞争性磋商公告中</w:t>
      </w:r>
      <w:r>
        <w:rPr>
          <w:rFonts w:ascii="宋体" w:hAnsi="宋体" w:cs="宋体"/>
          <w:b/>
          <w:bCs/>
          <w:color w:val="auto"/>
          <w:sz w:val="24"/>
          <w:szCs w:val="24"/>
          <w:highlight w:val="none"/>
        </w:rPr>
        <w:t>3</w:t>
      </w:r>
      <w:r>
        <w:rPr>
          <w:rFonts w:hint="eastAsia" w:ascii="宋体" w:hAnsi="宋体" w:cs="宋体"/>
          <w:b/>
          <w:bCs/>
          <w:color w:val="auto"/>
          <w:sz w:val="24"/>
          <w:szCs w:val="24"/>
          <w:highlight w:val="none"/>
        </w:rPr>
        <w:t>采购人根据采购项目的特殊要求规定的特定条件证明文件；</w:t>
      </w:r>
    </w:p>
    <w:p>
      <w:pPr>
        <w:widowControl/>
        <w:shd w:val="clear" w:color="auto" w:fill="FFFFFF"/>
        <w:spacing w:line="360" w:lineRule="auto"/>
        <w:ind w:firstLine="482" w:firstLineChars="200"/>
        <w:jc w:val="left"/>
        <w:rPr>
          <w:rFonts w:ascii="宋体" w:hAnsi="宋体"/>
          <w:b/>
          <w:bCs/>
          <w:color w:val="auto"/>
          <w:kern w:val="0"/>
          <w:sz w:val="24"/>
          <w:highlight w:val="none"/>
        </w:rPr>
      </w:pPr>
      <w:r>
        <w:rPr>
          <w:rFonts w:hint="eastAsia" w:ascii="宋体" w:hAnsi="宋体" w:cs="宋体"/>
          <w:b/>
          <w:bCs/>
          <w:color w:val="auto"/>
          <w:sz w:val="24"/>
          <w:szCs w:val="24"/>
          <w:highlight w:val="none"/>
        </w:rPr>
        <w:t>（6）</w:t>
      </w:r>
      <w:r>
        <w:rPr>
          <w:rFonts w:hint="eastAsia" w:ascii="宋体" w:hAnsi="宋体"/>
          <w:b/>
          <w:bCs/>
          <w:color w:val="auto"/>
          <w:kern w:val="0"/>
          <w:sz w:val="24"/>
          <w:highlight w:val="none"/>
        </w:rPr>
        <w:t>“南京市政府采购供应商信用记录表暨信用承诺书”</w:t>
      </w:r>
    </w:p>
    <w:p>
      <w:pPr>
        <w:widowControl/>
        <w:shd w:val="clear" w:color="auto" w:fill="FFFFFF"/>
        <w:spacing w:line="360"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（7）磋商保证金</w:t>
      </w:r>
      <w:r>
        <w:rPr>
          <w:rFonts w:hint="eastAsia" w:ascii="宋体" w:hAnsi="宋体" w:cs="宋体"/>
          <w:color w:val="auto"/>
          <w:kern w:val="0"/>
          <w:sz w:val="24"/>
          <w:szCs w:val="24"/>
          <w:highlight w:val="none"/>
          <w:lang w:val="zh-CN"/>
        </w:rPr>
        <w:t>（如有）</w:t>
      </w:r>
    </w:p>
    <w:p>
      <w:pPr>
        <w:widowControl/>
        <w:shd w:val="clear" w:color="auto" w:fill="FFFFFF"/>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（8）开标一览表（格式见附件）；</w:t>
      </w:r>
    </w:p>
    <w:p>
      <w:pPr>
        <w:widowControl/>
        <w:shd w:val="clear" w:color="auto" w:fill="FFFFFF"/>
        <w:spacing w:line="360" w:lineRule="auto"/>
        <w:ind w:firstLine="480" w:firstLineChars="200"/>
        <w:jc w:val="left"/>
        <w:rPr>
          <w:rFonts w:ascii="宋体" w:hAnsi="宋体" w:cs="宋体"/>
          <w:color w:val="auto"/>
          <w:kern w:val="0"/>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w:t>
      </w:r>
      <w:r>
        <w:rPr>
          <w:rFonts w:hint="eastAsia" w:ascii="宋体" w:hAnsi="宋体" w:cs="宋体"/>
          <w:color w:val="auto"/>
          <w:kern w:val="0"/>
          <w:sz w:val="24"/>
          <w:szCs w:val="24"/>
          <w:highlight w:val="none"/>
          <w:lang w:val="zh-CN"/>
        </w:rPr>
        <w:t>分项报价表（如有）；</w:t>
      </w:r>
    </w:p>
    <w:p>
      <w:pPr>
        <w:widowControl/>
        <w:shd w:val="clear" w:color="auto" w:fill="FFFFFF"/>
        <w:spacing w:line="360" w:lineRule="auto"/>
        <w:ind w:firstLine="480" w:firstLineChars="200"/>
        <w:jc w:val="left"/>
        <w:rPr>
          <w:rFonts w:ascii="宋体" w:hAnsi="宋体" w:cs="宋体"/>
          <w:color w:val="auto"/>
          <w:sz w:val="24"/>
          <w:szCs w:val="24"/>
          <w:highlight w:val="none"/>
          <w:lang w:val="zh-CN"/>
        </w:rPr>
      </w:pPr>
      <w:r>
        <w:rPr>
          <w:rFonts w:hint="eastAsia" w:ascii="宋体" w:hAnsi="宋体" w:cs="宋体"/>
          <w:color w:val="auto"/>
          <w:sz w:val="24"/>
          <w:szCs w:val="24"/>
          <w:highlight w:val="none"/>
        </w:rPr>
        <w:t>（10）</w:t>
      </w:r>
      <w:r>
        <w:rPr>
          <w:rFonts w:hint="eastAsia" w:ascii="宋体" w:hAnsi="宋体" w:cs="宋体"/>
          <w:color w:val="auto"/>
          <w:sz w:val="24"/>
          <w:szCs w:val="24"/>
          <w:highlight w:val="none"/>
          <w:lang w:val="zh-CN"/>
        </w:rPr>
        <w:t>《商务条款偏离表》；</w:t>
      </w:r>
    </w:p>
    <w:p>
      <w:pPr>
        <w:widowControl/>
        <w:shd w:val="clear" w:color="auto" w:fill="FFFFFF"/>
        <w:spacing w:line="360" w:lineRule="auto"/>
        <w:ind w:firstLine="480" w:firstLineChars="200"/>
        <w:jc w:val="left"/>
        <w:rPr>
          <w:rFonts w:ascii="宋体" w:hAnsi="宋体" w:cs="宋体"/>
          <w:color w:val="auto"/>
          <w:sz w:val="24"/>
          <w:szCs w:val="24"/>
          <w:highlight w:val="none"/>
          <w:lang w:val="zh-CN"/>
        </w:rPr>
      </w:pPr>
      <w:r>
        <w:rPr>
          <w:rFonts w:hint="eastAsia" w:ascii="宋体" w:hAnsi="宋体"/>
          <w:color w:val="auto"/>
          <w:kern w:val="0"/>
          <w:sz w:val="24"/>
          <w:szCs w:val="24"/>
          <w:highlight w:val="none"/>
        </w:rPr>
        <w:t>（11）</w:t>
      </w:r>
      <w:r>
        <w:rPr>
          <w:rFonts w:hint="eastAsia" w:ascii="宋体" w:hAnsi="宋体" w:cs="宋体"/>
          <w:color w:val="auto"/>
          <w:sz w:val="24"/>
          <w:szCs w:val="24"/>
          <w:highlight w:val="none"/>
          <w:lang w:val="zh-CN"/>
        </w:rPr>
        <w:t>供应商认为需要提供的其他资格证明文件和商务资料。</w:t>
      </w:r>
    </w:p>
    <w:p>
      <w:pPr>
        <w:autoSpaceDE w:val="0"/>
        <w:autoSpaceDN w:val="0"/>
        <w:adjustRightInd w:val="0"/>
        <w:spacing w:line="360" w:lineRule="auto"/>
        <w:ind w:firstLine="420"/>
        <w:rPr>
          <w:rFonts w:ascii="宋体" w:hAnsi="宋体" w:cs="宋体"/>
          <w:color w:val="auto"/>
          <w:sz w:val="24"/>
          <w:szCs w:val="24"/>
          <w:highlight w:val="none"/>
          <w:lang w:val="zh-CN"/>
        </w:rPr>
      </w:pPr>
      <w:r>
        <w:rPr>
          <w:rFonts w:hint="eastAsia" w:ascii="宋体" w:hAnsi="宋体" w:cs="宋体"/>
          <w:bCs/>
          <w:color w:val="auto"/>
          <w:sz w:val="24"/>
          <w:szCs w:val="24"/>
          <w:highlight w:val="none"/>
          <w:lang w:val="zh-CN"/>
        </w:rPr>
        <w:t>5.</w:t>
      </w:r>
      <w:r>
        <w:rPr>
          <w:rFonts w:hint="eastAsia" w:ascii="宋体" w:hAnsi="宋体" w:cs="宋体"/>
          <w:bCs/>
          <w:color w:val="auto"/>
          <w:sz w:val="24"/>
          <w:szCs w:val="24"/>
          <w:highlight w:val="none"/>
        </w:rPr>
        <w:t>5</w:t>
      </w:r>
      <w:r>
        <w:rPr>
          <w:rFonts w:hint="eastAsia" w:ascii="宋体" w:hAnsi="宋体" w:cs="宋体"/>
          <w:bCs/>
          <w:color w:val="auto"/>
          <w:sz w:val="24"/>
          <w:szCs w:val="24"/>
          <w:highlight w:val="none"/>
          <w:lang w:val="zh-CN"/>
        </w:rPr>
        <w:t xml:space="preserve"> </w:t>
      </w:r>
      <w:r>
        <w:rPr>
          <w:rFonts w:hint="eastAsia" w:ascii="宋体" w:hAnsi="宋体" w:cs="宋体"/>
          <w:b/>
          <w:bCs/>
          <w:color w:val="auto"/>
          <w:sz w:val="24"/>
          <w:szCs w:val="24"/>
          <w:highlight w:val="none"/>
          <w:lang w:val="zh-CN"/>
        </w:rPr>
        <w:t>磋商响应文件的技术部分。</w:t>
      </w:r>
      <w:r>
        <w:rPr>
          <w:rFonts w:hint="eastAsia" w:ascii="宋体" w:hAnsi="宋体" w:cs="宋体"/>
          <w:color w:val="auto"/>
          <w:sz w:val="24"/>
          <w:szCs w:val="24"/>
          <w:highlight w:val="none"/>
          <w:lang w:val="zh-CN"/>
        </w:rPr>
        <w:t>技术部分是证明</w:t>
      </w:r>
      <w:r>
        <w:rPr>
          <w:rFonts w:hint="eastAsia" w:ascii="宋体" w:hAnsi="宋体" w:cs="宋体"/>
          <w:color w:val="auto"/>
          <w:sz w:val="24"/>
          <w:szCs w:val="24"/>
          <w:highlight w:val="none"/>
        </w:rPr>
        <w:t>供应商提供的服务是合格的、并符合竞争性磋商文件要求的证明文件，以及</w:t>
      </w:r>
      <w:r>
        <w:rPr>
          <w:rFonts w:hint="eastAsia" w:ascii="宋体" w:hAnsi="宋体" w:cs="宋体"/>
          <w:color w:val="auto"/>
          <w:sz w:val="24"/>
          <w:szCs w:val="24"/>
          <w:highlight w:val="none"/>
          <w:lang w:val="zh-CN"/>
        </w:rPr>
        <w:t>对服务的详细说明，这些文件可以是文字资料、图纸和数据等。提供的服务如与竞争性磋商文件要求有不符之处，应说明其差别之所在。包括但不限于下列文件：</w:t>
      </w:r>
    </w:p>
    <w:p>
      <w:pPr>
        <w:widowControl/>
        <w:adjustRightInd w:val="0"/>
        <w:spacing w:line="360" w:lineRule="auto"/>
        <w:ind w:firstLine="420"/>
        <w:jc w:val="left"/>
        <w:rPr>
          <w:rFonts w:ascii="宋体" w:hAnsi="宋体" w:cs="宋体"/>
          <w:color w:val="auto"/>
          <w:sz w:val="24"/>
          <w:szCs w:val="24"/>
          <w:highlight w:val="none"/>
          <w:lang w:val="zh-CN"/>
        </w:rPr>
      </w:pPr>
      <w:r>
        <w:rPr>
          <w:rFonts w:hint="eastAsia" w:ascii="宋体" w:hAnsi="宋体" w:cs="宋体"/>
          <w:color w:val="auto"/>
          <w:kern w:val="0"/>
          <w:sz w:val="24"/>
          <w:szCs w:val="24"/>
          <w:highlight w:val="none"/>
          <w:lang w:val="zh-CN"/>
        </w:rPr>
        <w:t>（1）</w:t>
      </w:r>
      <w:r>
        <w:rPr>
          <w:rFonts w:hint="eastAsia" w:ascii="宋体" w:hAnsi="宋体" w:cs="宋体"/>
          <w:color w:val="auto"/>
          <w:sz w:val="24"/>
          <w:szCs w:val="24"/>
          <w:highlight w:val="none"/>
          <w:lang w:val="zh-CN"/>
        </w:rPr>
        <w:t xml:space="preserve">项目技术方案或服务说明； </w:t>
      </w:r>
    </w:p>
    <w:p>
      <w:pPr>
        <w:autoSpaceDE w:val="0"/>
        <w:autoSpaceDN w:val="0"/>
        <w:adjustRightInd w:val="0"/>
        <w:spacing w:line="360" w:lineRule="auto"/>
        <w:ind w:firstLine="4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（2）《采购需求条款偏离表》；</w:t>
      </w:r>
    </w:p>
    <w:p>
      <w:pPr>
        <w:widowControl/>
        <w:adjustRightInd w:val="0"/>
        <w:spacing w:line="360" w:lineRule="auto"/>
        <w:ind w:firstLine="420"/>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（3）服务承诺；</w:t>
      </w:r>
    </w:p>
    <w:p>
      <w:pPr>
        <w:widowControl/>
        <w:adjustRightInd w:val="0"/>
        <w:spacing w:line="360" w:lineRule="auto"/>
        <w:ind w:firstLine="420"/>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（4）拟投入本项目的人员情况一览表；</w:t>
      </w:r>
    </w:p>
    <w:p>
      <w:pPr>
        <w:widowControl/>
        <w:adjustRightInd w:val="0"/>
        <w:spacing w:line="360" w:lineRule="auto"/>
        <w:ind w:firstLine="420"/>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rPr>
        <w:t>5</w:t>
      </w:r>
      <w:r>
        <w:rPr>
          <w:rFonts w:hint="eastAsia" w:ascii="宋体" w:hAnsi="宋体" w:cs="宋体"/>
          <w:color w:val="auto"/>
          <w:kern w:val="0"/>
          <w:sz w:val="24"/>
          <w:szCs w:val="24"/>
          <w:highlight w:val="none"/>
          <w:lang w:val="zh-CN"/>
        </w:rPr>
        <w:t>）供应商认为需要提供的其他技术资料。</w:t>
      </w:r>
    </w:p>
    <w:p>
      <w:pPr>
        <w:autoSpaceDE w:val="0"/>
        <w:autoSpaceDN w:val="0"/>
        <w:adjustRightInd w:val="0"/>
        <w:spacing w:line="360" w:lineRule="auto"/>
        <w:ind w:firstLine="420"/>
        <w:rPr>
          <w:rFonts w:ascii="宋体" w:hAnsi="宋体" w:cs="宋体"/>
          <w:b/>
          <w:color w:val="auto"/>
          <w:sz w:val="24"/>
          <w:szCs w:val="24"/>
          <w:highlight w:val="none"/>
          <w:lang w:val="zh-CN"/>
        </w:rPr>
      </w:pPr>
      <w:r>
        <w:rPr>
          <w:rFonts w:hint="eastAsia" w:ascii="宋体" w:hAnsi="宋体" w:cs="宋体"/>
          <w:color w:val="auto"/>
          <w:sz w:val="24"/>
          <w:szCs w:val="24"/>
          <w:highlight w:val="none"/>
          <w:lang w:val="zh-CN"/>
        </w:rPr>
        <w:t>5.</w:t>
      </w: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 xml:space="preserve"> </w:t>
      </w:r>
      <w:r>
        <w:rPr>
          <w:rFonts w:hint="eastAsia" w:ascii="宋体" w:hAnsi="宋体" w:cs="宋体"/>
          <w:b/>
          <w:color w:val="auto"/>
          <w:sz w:val="24"/>
          <w:szCs w:val="24"/>
          <w:highlight w:val="none"/>
          <w:lang w:val="zh-CN"/>
        </w:rPr>
        <w:t>磋商响应文件的价格部分</w:t>
      </w:r>
    </w:p>
    <w:p>
      <w:pPr>
        <w:tabs>
          <w:tab w:val="left" w:pos="0"/>
          <w:tab w:val="left" w:pos="1134"/>
        </w:tabs>
        <w:adjustRightInd w:val="0"/>
        <w:snapToGri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）价格部分是对投标服务价格构成的说明，</w:t>
      </w:r>
      <w:r>
        <w:rPr>
          <w:rFonts w:hint="eastAsia" w:ascii="宋体" w:hAnsi="宋体" w:cs="宋体"/>
          <w:color w:val="auto"/>
          <w:sz w:val="24"/>
          <w:szCs w:val="24"/>
          <w:highlight w:val="none"/>
        </w:rPr>
        <w:t>磋商</w:t>
      </w:r>
      <w:r>
        <w:rPr>
          <w:rFonts w:hint="eastAsia" w:ascii="宋体" w:hAnsi="宋体" w:cs="宋体"/>
          <w:color w:val="auto"/>
          <w:sz w:val="24"/>
          <w:szCs w:val="24"/>
          <w:highlight w:val="none"/>
          <w:lang w:val="zh-CN"/>
        </w:rPr>
        <w:t>文件如没有特别说明的话，每一项服务仅接受一个价格。</w:t>
      </w:r>
    </w:p>
    <w:p>
      <w:pPr>
        <w:autoSpaceDE w:val="0"/>
        <w:autoSpaceDN w:val="0"/>
        <w:adjustRightInd w:val="0"/>
        <w:spacing w:line="360" w:lineRule="auto"/>
        <w:ind w:firstLine="4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 xml:space="preserve">）报价应包含与磋商项目有关的所用费用，以及技术资料、支付给员工的工资和国家强制缴纳的各种社会保障资金，以及供应商认为需要的其他费用等。 </w:t>
      </w:r>
    </w:p>
    <w:p>
      <w:pPr>
        <w:tabs>
          <w:tab w:val="left" w:pos="0"/>
          <w:tab w:val="left" w:pos="1134"/>
        </w:tabs>
        <w:adjustRightInd w:val="0"/>
        <w:snapToGri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供应商</w:t>
      </w:r>
      <w:r>
        <w:rPr>
          <w:rFonts w:hint="eastAsia" w:ascii="宋体" w:hAnsi="宋体" w:cs="宋体"/>
          <w:color w:val="auto"/>
          <w:sz w:val="24"/>
          <w:szCs w:val="24"/>
          <w:highlight w:val="none"/>
          <w:lang w:val="zh-CN"/>
        </w:rPr>
        <w:t>的任何错漏、优惠、竞争性报价不得作为减轻责任、减少服务、增加收费、降低质量的理由。</w:t>
      </w:r>
    </w:p>
    <w:p>
      <w:pPr>
        <w:tabs>
          <w:tab w:val="left" w:pos="0"/>
          <w:tab w:val="left" w:pos="1134"/>
        </w:tabs>
        <w:adjustRightInd w:val="0"/>
        <w:snapToGri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）评标委员会认为</w:t>
      </w:r>
      <w:r>
        <w:rPr>
          <w:rFonts w:hint="eastAsia" w:ascii="宋体" w:hAnsi="宋体" w:cs="宋体"/>
          <w:color w:val="auto"/>
          <w:sz w:val="24"/>
          <w:szCs w:val="24"/>
          <w:highlight w:val="none"/>
        </w:rPr>
        <w:t>供应商</w:t>
      </w:r>
      <w:r>
        <w:rPr>
          <w:rFonts w:hint="eastAsia" w:ascii="宋体" w:hAnsi="宋体" w:cs="宋体"/>
          <w:color w:val="auto"/>
          <w:sz w:val="24"/>
          <w:szCs w:val="24"/>
          <w:highlight w:val="none"/>
          <w:lang w:val="zh-CN"/>
        </w:rPr>
        <w:t>的报价明显低于其他通过符合性审查的</w:t>
      </w:r>
      <w:r>
        <w:rPr>
          <w:rFonts w:hint="eastAsia" w:ascii="宋体" w:hAnsi="宋体" w:cs="宋体"/>
          <w:color w:val="auto"/>
          <w:sz w:val="24"/>
          <w:szCs w:val="24"/>
          <w:highlight w:val="none"/>
        </w:rPr>
        <w:t>供应商</w:t>
      </w:r>
      <w:r>
        <w:rPr>
          <w:rFonts w:hint="eastAsia" w:ascii="宋体" w:hAnsi="宋体" w:cs="宋体"/>
          <w:color w:val="auto"/>
          <w:sz w:val="24"/>
          <w:szCs w:val="24"/>
          <w:highlight w:val="none"/>
          <w:lang w:val="zh-CN"/>
        </w:rPr>
        <w:t>的报价，有可能影响产品质量或者不能诚信履约的，应当要求其在评标现场合理的时间内提供书面说明，必要时提交相关证明材料；</w:t>
      </w:r>
      <w:r>
        <w:rPr>
          <w:rFonts w:hint="eastAsia" w:ascii="宋体" w:hAnsi="宋体" w:cs="宋体"/>
          <w:color w:val="auto"/>
          <w:sz w:val="24"/>
          <w:szCs w:val="24"/>
          <w:highlight w:val="none"/>
        </w:rPr>
        <w:t>供应商</w:t>
      </w:r>
      <w:r>
        <w:rPr>
          <w:rFonts w:hint="eastAsia" w:ascii="宋体" w:hAnsi="宋体" w:cs="宋体"/>
          <w:color w:val="auto"/>
          <w:sz w:val="24"/>
          <w:szCs w:val="24"/>
          <w:highlight w:val="none"/>
          <w:lang w:val="zh-CN"/>
        </w:rPr>
        <w:t>不能证明其报价合理性的，评标委员会应当将其作为无效投标处理。</w:t>
      </w:r>
    </w:p>
    <w:p>
      <w:pPr>
        <w:tabs>
          <w:tab w:val="left" w:pos="0"/>
          <w:tab w:val="left" w:pos="1134"/>
        </w:tabs>
        <w:adjustRightInd w:val="0"/>
        <w:snapToGri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供应商</w:t>
      </w:r>
      <w:r>
        <w:rPr>
          <w:rFonts w:hint="eastAsia" w:ascii="宋体" w:hAnsi="宋体" w:cs="宋体"/>
          <w:color w:val="auto"/>
          <w:sz w:val="24"/>
          <w:szCs w:val="24"/>
          <w:highlight w:val="none"/>
          <w:lang w:val="zh-CN"/>
        </w:rPr>
        <w:t>应在《开标一览表》进行报价；</w:t>
      </w:r>
      <w:r>
        <w:rPr>
          <w:rFonts w:hint="eastAsia" w:ascii="宋体" w:hAnsi="宋体" w:cs="宋体"/>
          <w:color w:val="auto"/>
          <w:sz w:val="24"/>
          <w:szCs w:val="24"/>
          <w:highlight w:val="none"/>
        </w:rPr>
        <w:t>供应商</w:t>
      </w:r>
      <w:r>
        <w:rPr>
          <w:rFonts w:hint="eastAsia" w:ascii="宋体" w:hAnsi="宋体" w:cs="宋体"/>
          <w:color w:val="auto"/>
          <w:sz w:val="24"/>
          <w:szCs w:val="24"/>
          <w:highlight w:val="none"/>
          <w:lang w:val="zh-CN"/>
        </w:rPr>
        <w:t>系小型、微型企业，并提供本企业制造的货物、承担的工程或者服务，或者提供其他小型、微型企业制造的货物，须在《开标一览表》中注明。</w:t>
      </w:r>
    </w:p>
    <w:p>
      <w:pPr>
        <w:autoSpaceDE w:val="0"/>
        <w:autoSpaceDN w:val="0"/>
        <w:adjustRightInd w:val="0"/>
        <w:snapToGrid w:val="0"/>
        <w:spacing w:line="360" w:lineRule="auto"/>
        <w:ind w:firstLine="420"/>
        <w:rPr>
          <w:rFonts w:ascii="宋体" w:hAnsi="宋体"/>
          <w:b/>
          <w:bCs/>
          <w:color w:val="auto"/>
          <w:sz w:val="24"/>
          <w:highlight w:val="none"/>
        </w:rPr>
      </w:pPr>
      <w:r>
        <w:rPr>
          <w:rFonts w:hint="eastAsia" w:ascii="宋体" w:hAnsi="宋体"/>
          <w:b/>
          <w:bCs/>
          <w:color w:val="auto"/>
          <w:sz w:val="24"/>
          <w:highlight w:val="none"/>
        </w:rPr>
        <w:t>5.6.1 磋商报价应是竞争性磋商文件所确定的磋商范围内的全部工作内容的价格体现。其应包括但不限于施工机械设备、劳务、管理 、材料、安装、缺陷修补、临时设施费、质检（自检及监理工程师认可需要抽检所需的一切费用）、施工配合、维护、交通、利润、文明施工费、税金和合同规定的所有风险、责任及政策性文件规定的各项所有费用。</w:t>
      </w:r>
    </w:p>
    <w:p>
      <w:pPr>
        <w:autoSpaceDE w:val="0"/>
        <w:autoSpaceDN w:val="0"/>
        <w:adjustRightInd w:val="0"/>
        <w:snapToGrid w:val="0"/>
        <w:spacing w:line="360" w:lineRule="auto"/>
        <w:ind w:firstLine="420"/>
        <w:rPr>
          <w:rFonts w:ascii="宋体" w:hAnsi="宋体"/>
          <w:b/>
          <w:bCs/>
          <w:color w:val="auto"/>
          <w:sz w:val="24"/>
          <w:highlight w:val="none"/>
        </w:rPr>
      </w:pPr>
      <w:r>
        <w:rPr>
          <w:rFonts w:hint="eastAsia" w:ascii="宋体" w:hAnsi="宋体"/>
          <w:b/>
          <w:bCs/>
          <w:color w:val="auto"/>
          <w:sz w:val="24"/>
          <w:highlight w:val="none"/>
        </w:rPr>
        <w:t>5.7 磋商响应文件的其他部分。其他部分由供应商根据编制磋商响应文件需要提供的其他相关文件组成。</w:t>
      </w:r>
    </w:p>
    <w:p>
      <w:pPr>
        <w:autoSpaceDE w:val="0"/>
        <w:autoSpaceDN w:val="0"/>
        <w:adjustRightInd w:val="0"/>
        <w:snapToGrid w:val="0"/>
        <w:spacing w:line="360" w:lineRule="auto"/>
        <w:ind w:firstLine="420"/>
        <w:rPr>
          <w:rFonts w:ascii="宋体" w:hAnsi="宋体"/>
          <w:b/>
          <w:bCs/>
          <w:color w:val="auto"/>
          <w:sz w:val="24"/>
          <w:highlight w:val="none"/>
        </w:rPr>
      </w:pPr>
      <w:r>
        <w:rPr>
          <w:rFonts w:hint="eastAsia" w:ascii="宋体" w:hAnsi="宋体"/>
          <w:b/>
          <w:bCs/>
          <w:color w:val="auto"/>
          <w:sz w:val="24"/>
          <w:highlight w:val="none"/>
        </w:rPr>
        <w:t>5.8 磋商保证金（本项目不适用）</w:t>
      </w:r>
    </w:p>
    <w:p>
      <w:pPr>
        <w:autoSpaceDE w:val="0"/>
        <w:autoSpaceDN w:val="0"/>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5.8.1 投标人应按照投标邀请提交磋商保证金，并作为其投标的一部分。</w:t>
      </w:r>
    </w:p>
    <w:p>
      <w:pPr>
        <w:autoSpaceDE w:val="0"/>
        <w:autoSpaceDN w:val="0"/>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5.8.2 磋商保证金应按照投标邀请规定的数额和办法缴纳。</w:t>
      </w:r>
    </w:p>
    <w:p>
      <w:pPr>
        <w:autoSpaceDE w:val="0"/>
        <w:autoSpaceDN w:val="0"/>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5.8.3 采购人或者采购代理机构将自中标通知书发出之日起5个工作日内退还未中标人的磋商保证金，自采购合同签订之日起5个工作日内退还中标人的磋商保证金。未中标供应商应主动与投标文件接收人联系办理磋商保证金退还事宜，以及办理退还手续，由于投标人的自身原因未及时办理磋商保证金退还的，其责任和由此造成的后果由投标人自行承担。</w:t>
      </w:r>
    </w:p>
    <w:p>
      <w:pPr>
        <w:autoSpaceDE w:val="0"/>
        <w:autoSpaceDN w:val="0"/>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5.8.4 下列任何情况发生时，磋商保证金不予退还：</w:t>
      </w:r>
    </w:p>
    <w:p>
      <w:pPr>
        <w:autoSpaceDE w:val="0"/>
        <w:autoSpaceDN w:val="0"/>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（1）投标有效期内撤回其投标的；</w:t>
      </w:r>
    </w:p>
    <w:p>
      <w:pPr>
        <w:autoSpaceDE w:val="0"/>
        <w:autoSpaceDN w:val="0"/>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（2）中标通知书发出后三十天内，中标供应商未与采购人签订合同的；</w:t>
      </w:r>
    </w:p>
    <w:p>
      <w:pPr>
        <w:autoSpaceDE w:val="0"/>
        <w:autoSpaceDN w:val="0"/>
        <w:adjustRightInd w:val="0"/>
        <w:snapToGrid w:val="0"/>
        <w:spacing w:line="360" w:lineRule="auto"/>
        <w:ind w:firstLine="420"/>
        <w:rPr>
          <w:rFonts w:ascii="宋体" w:hAnsi="宋体"/>
          <w:color w:val="auto"/>
          <w:sz w:val="24"/>
          <w:highlight w:val="none"/>
        </w:rPr>
      </w:pPr>
      <w:r>
        <w:rPr>
          <w:rFonts w:hint="eastAsia" w:ascii="宋体" w:hAnsi="宋体"/>
          <w:color w:val="auto"/>
          <w:sz w:val="24"/>
          <w:highlight w:val="none"/>
        </w:rPr>
        <w:t>（3）提供虚假材料谋取中标的；</w:t>
      </w:r>
    </w:p>
    <w:p>
      <w:pPr>
        <w:autoSpaceDE w:val="0"/>
        <w:autoSpaceDN w:val="0"/>
        <w:adjustRightInd w:val="0"/>
        <w:snapToGrid w:val="0"/>
        <w:spacing w:line="360" w:lineRule="auto"/>
        <w:ind w:firstLine="420"/>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三、磋商响应文件的递交</w:t>
      </w:r>
    </w:p>
    <w:p>
      <w:pPr>
        <w:autoSpaceDE w:val="0"/>
        <w:autoSpaceDN w:val="0"/>
        <w:adjustRightInd w:val="0"/>
        <w:snapToGrid w:val="0"/>
        <w:spacing w:line="360" w:lineRule="auto"/>
        <w:ind w:firstLine="420"/>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6</w:t>
      </w:r>
      <w:r>
        <w:rPr>
          <w:rFonts w:hint="eastAsia" w:ascii="宋体" w:hAnsi="宋体" w:cs="宋体"/>
          <w:b/>
          <w:bCs/>
          <w:color w:val="auto"/>
          <w:sz w:val="24"/>
          <w:szCs w:val="24"/>
          <w:highlight w:val="none"/>
          <w:lang w:val="zh-CN"/>
        </w:rPr>
        <w:t>、磋商响应文件的签署、密封和递交</w:t>
      </w:r>
    </w:p>
    <w:p>
      <w:pPr>
        <w:autoSpaceDE w:val="0"/>
        <w:autoSpaceDN w:val="0"/>
        <w:adjustRightInd w:val="0"/>
        <w:snapToGrid w:val="0"/>
        <w:spacing w:line="360" w:lineRule="auto"/>
        <w:ind w:firstLine="420"/>
        <w:rPr>
          <w:rFonts w:ascii="宋体" w:hAnsi="宋体"/>
          <w:b/>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 xml:space="preserve">.1 </w:t>
      </w:r>
      <w:r>
        <w:rPr>
          <w:rFonts w:hint="eastAsia" w:ascii="宋体" w:hAnsi="宋体" w:cs="宋体"/>
          <w:b/>
          <w:color w:val="auto"/>
          <w:sz w:val="24"/>
          <w:szCs w:val="24"/>
          <w:highlight w:val="none"/>
          <w:lang w:val="zh-CN"/>
        </w:rPr>
        <w:t>磋商响应文件</w:t>
      </w:r>
      <w:r>
        <w:rPr>
          <w:rFonts w:hint="eastAsia" w:ascii="宋体" w:hAnsi="宋体"/>
          <w:b/>
          <w:color w:val="auto"/>
          <w:sz w:val="24"/>
          <w:szCs w:val="24"/>
          <w:highlight w:val="none"/>
        </w:rPr>
        <w:t>正本和所有副本均需打印或用不褪色墨水书写，在磋商文件中注明须加盖公章、签字的地方加盖公章，并由供应商的法定代表人或授权代表签字，如为授权代表签字的应附“法定代表人授权委托书”，正本必须为原件，但供应商的相关证明文件可采用复印件，采用复印件的，采购代理机构、磋商小组认为需要时，供应商应提供原件供核对。</w:t>
      </w:r>
    </w:p>
    <w:p>
      <w:pPr>
        <w:autoSpaceDE w:val="0"/>
        <w:autoSpaceDN w:val="0"/>
        <w:adjustRightInd w:val="0"/>
        <w:snapToGrid w:val="0"/>
        <w:spacing w:line="360" w:lineRule="auto"/>
        <w:ind w:firstLine="420"/>
        <w:rPr>
          <w:rFonts w:ascii="宋体" w:hAnsi="宋体" w:cs="宋体"/>
          <w:color w:val="auto"/>
          <w:sz w:val="24"/>
          <w:szCs w:val="24"/>
          <w:highlight w:val="none"/>
          <w:lang w:val="zh-CN"/>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 xml:space="preserve">.2 </w:t>
      </w:r>
      <w:r>
        <w:rPr>
          <w:rFonts w:hint="eastAsia" w:ascii="宋体" w:hAnsi="宋体"/>
          <w:color w:val="auto"/>
          <w:kern w:val="0"/>
          <w:sz w:val="24"/>
          <w:szCs w:val="24"/>
          <w:highlight w:val="none"/>
        </w:rPr>
        <w:t>磋商响应文件不应有涂改、增删之处，如必须修改时，修改处必须有供应商法定代表人或授权代表签字。</w:t>
      </w:r>
    </w:p>
    <w:p>
      <w:pPr>
        <w:autoSpaceDE w:val="0"/>
        <w:autoSpaceDN w:val="0"/>
        <w:adjustRightInd w:val="0"/>
        <w:snapToGrid w:val="0"/>
        <w:spacing w:line="360" w:lineRule="auto"/>
        <w:ind w:firstLine="420"/>
        <w:rPr>
          <w:rFonts w:ascii="宋体" w:hAnsi="宋体" w:cs="宋体"/>
          <w:color w:val="auto"/>
          <w:sz w:val="24"/>
          <w:szCs w:val="24"/>
          <w:highlight w:val="none"/>
          <w:lang w:val="zh-CN"/>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 xml:space="preserve">.3 </w:t>
      </w:r>
      <w:r>
        <w:rPr>
          <w:rFonts w:hint="eastAsia" w:ascii="宋体" w:hAnsi="宋体" w:cs="宋体"/>
          <w:b/>
          <w:color w:val="auto"/>
          <w:sz w:val="24"/>
          <w:szCs w:val="24"/>
          <w:highlight w:val="none"/>
          <w:lang w:val="zh-CN"/>
        </w:rPr>
        <w:t>供应商应当在竞争性磋商文件要求递交磋商响应文件的截止时间前，将磋商响应文件密封送达指定地点。</w:t>
      </w:r>
    </w:p>
    <w:p>
      <w:pPr>
        <w:autoSpaceDE w:val="0"/>
        <w:autoSpaceDN w:val="0"/>
        <w:adjustRightInd w:val="0"/>
        <w:snapToGrid w:val="0"/>
        <w:spacing w:line="360" w:lineRule="auto"/>
        <w:ind w:firstLine="420"/>
        <w:rPr>
          <w:rFonts w:ascii="宋体" w:hAnsi="宋体" w:cs="宋体"/>
          <w:b/>
          <w:bCs/>
          <w:color w:val="auto"/>
          <w:sz w:val="24"/>
          <w:szCs w:val="24"/>
          <w:highlight w:val="none"/>
          <w:lang w:val="zh-CN"/>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 xml:space="preserve">.4 </w:t>
      </w:r>
      <w:r>
        <w:rPr>
          <w:rFonts w:hint="eastAsia" w:ascii="宋体" w:hAnsi="宋体" w:cs="宋体"/>
          <w:b/>
          <w:bCs/>
          <w:color w:val="auto"/>
          <w:sz w:val="24"/>
          <w:szCs w:val="24"/>
          <w:highlight w:val="none"/>
          <w:lang w:val="zh-CN"/>
        </w:rPr>
        <w:t>有下列情形之一的响应文件将拒收：</w:t>
      </w:r>
    </w:p>
    <w:p>
      <w:pPr>
        <w:autoSpaceDE w:val="0"/>
        <w:autoSpaceDN w:val="0"/>
        <w:adjustRightInd w:val="0"/>
        <w:snapToGrid w:val="0"/>
        <w:spacing w:line="360" w:lineRule="auto"/>
        <w:ind w:firstLine="4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（1）未按竞争性磋商文件要求密封的；</w:t>
      </w:r>
    </w:p>
    <w:p>
      <w:pPr>
        <w:autoSpaceDE w:val="0"/>
        <w:autoSpaceDN w:val="0"/>
        <w:adjustRightInd w:val="0"/>
        <w:snapToGrid w:val="0"/>
        <w:spacing w:line="360" w:lineRule="auto"/>
        <w:ind w:firstLine="4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（2）在竞争性磋商文件要求的递交响应文件截止时间之后送达的。</w:t>
      </w:r>
    </w:p>
    <w:p>
      <w:pPr>
        <w:tabs>
          <w:tab w:val="left" w:pos="5355"/>
        </w:tabs>
        <w:autoSpaceDE w:val="0"/>
        <w:autoSpaceDN w:val="0"/>
        <w:adjustRightInd w:val="0"/>
        <w:snapToGrid w:val="0"/>
        <w:spacing w:line="360" w:lineRule="auto"/>
        <w:ind w:firstLine="420"/>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7</w:t>
      </w:r>
      <w:r>
        <w:rPr>
          <w:rFonts w:hint="eastAsia" w:ascii="宋体" w:hAnsi="宋体" w:cs="宋体"/>
          <w:b/>
          <w:bCs/>
          <w:color w:val="auto"/>
          <w:sz w:val="24"/>
          <w:szCs w:val="24"/>
          <w:highlight w:val="none"/>
          <w:lang w:val="zh-CN"/>
        </w:rPr>
        <w:t>、诚实信用</w:t>
      </w:r>
    </w:p>
    <w:p>
      <w:pPr>
        <w:autoSpaceDE w:val="0"/>
        <w:autoSpaceDN w:val="0"/>
        <w:adjustRightInd w:val="0"/>
        <w:snapToGrid w:val="0"/>
        <w:spacing w:line="360" w:lineRule="auto"/>
        <w:ind w:firstLine="420"/>
        <w:rPr>
          <w:rFonts w:ascii="宋体" w:hAnsi="宋体" w:cs="宋体"/>
          <w:color w:val="auto"/>
          <w:sz w:val="24"/>
          <w:szCs w:val="24"/>
          <w:highlight w:val="none"/>
          <w:lang w:val="zh-CN"/>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zh-CN"/>
        </w:rPr>
        <w:t>.1 供应商之间不得相互串通报价，不得妨碍其他供应商的公平竞争，不得损害采购人或者其他供应商的合法权益。</w:t>
      </w:r>
    </w:p>
    <w:p>
      <w:pPr>
        <w:autoSpaceDE w:val="0"/>
        <w:autoSpaceDN w:val="0"/>
        <w:adjustRightInd w:val="0"/>
        <w:snapToGrid w:val="0"/>
        <w:spacing w:line="360" w:lineRule="auto"/>
        <w:ind w:firstLine="420"/>
        <w:rPr>
          <w:rFonts w:ascii="宋体" w:hAnsi="宋体" w:cs="宋体"/>
          <w:color w:val="auto"/>
          <w:sz w:val="24"/>
          <w:szCs w:val="24"/>
          <w:highlight w:val="none"/>
          <w:lang w:val="zh-CN"/>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zh-CN"/>
        </w:rPr>
        <w:t>.2 供应商不得以向采购代理机构工作人员、磋商小组成员行贿或者采取其他不正当手段谋取成交。</w:t>
      </w:r>
    </w:p>
    <w:p>
      <w:pPr>
        <w:autoSpaceDE w:val="0"/>
        <w:autoSpaceDN w:val="0"/>
        <w:adjustRightInd w:val="0"/>
        <w:snapToGrid w:val="0"/>
        <w:spacing w:line="360" w:lineRule="auto"/>
        <w:ind w:firstLine="482" w:firstLineChars="200"/>
        <w:rPr>
          <w:rFonts w:ascii="宋体" w:hAnsi="宋体" w:cs="宋体"/>
          <w:color w:val="auto"/>
          <w:sz w:val="24"/>
          <w:szCs w:val="24"/>
          <w:highlight w:val="none"/>
          <w:lang w:val="zh-CN"/>
        </w:rPr>
      </w:pPr>
      <w:r>
        <w:rPr>
          <w:rFonts w:hint="eastAsia" w:ascii="宋体" w:hAnsi="宋体" w:cs="宋体"/>
          <w:b/>
          <w:bCs/>
          <w:color w:val="auto"/>
          <w:sz w:val="24"/>
          <w:szCs w:val="24"/>
          <w:highlight w:val="none"/>
          <w:lang w:val="zh-CN"/>
        </w:rPr>
        <w:t>四、磋商</w:t>
      </w:r>
    </w:p>
    <w:p>
      <w:pPr>
        <w:autoSpaceDE w:val="0"/>
        <w:autoSpaceDN w:val="0"/>
        <w:adjustRightInd w:val="0"/>
        <w:snapToGrid w:val="0"/>
        <w:spacing w:line="360" w:lineRule="auto"/>
        <w:ind w:firstLine="420"/>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8</w:t>
      </w:r>
      <w:r>
        <w:rPr>
          <w:rFonts w:hint="eastAsia" w:ascii="宋体" w:hAnsi="宋体" w:cs="宋体"/>
          <w:b/>
          <w:bCs/>
          <w:color w:val="auto"/>
          <w:sz w:val="24"/>
          <w:szCs w:val="24"/>
          <w:highlight w:val="none"/>
          <w:lang w:val="zh-CN"/>
        </w:rPr>
        <w:t>、磋商组织</w:t>
      </w:r>
    </w:p>
    <w:p>
      <w:pPr>
        <w:autoSpaceDE w:val="0"/>
        <w:autoSpaceDN w:val="0"/>
        <w:adjustRightInd w:val="0"/>
        <w:snapToGrid w:val="0"/>
        <w:spacing w:line="360" w:lineRule="auto"/>
        <w:ind w:firstLine="420"/>
        <w:rPr>
          <w:rFonts w:ascii="宋体" w:hAnsi="宋体" w:cs="宋体"/>
          <w:color w:val="auto"/>
          <w:sz w:val="24"/>
          <w:szCs w:val="24"/>
          <w:highlight w:val="none"/>
          <w:lang w:val="zh-CN"/>
        </w:rPr>
      </w:pPr>
      <w:r>
        <w:rPr>
          <w:rFonts w:hint="eastAsia" w:ascii="宋体" w:hAnsi="宋体" w:cs="宋体"/>
          <w:color w:val="auto"/>
          <w:sz w:val="24"/>
          <w:szCs w:val="24"/>
          <w:highlight w:val="none"/>
        </w:rPr>
        <w:t>8</w:t>
      </w:r>
      <w:r>
        <w:rPr>
          <w:rFonts w:hint="eastAsia" w:ascii="宋体" w:hAnsi="宋体" w:cs="宋体"/>
          <w:color w:val="auto"/>
          <w:sz w:val="24"/>
          <w:szCs w:val="24"/>
          <w:highlight w:val="none"/>
          <w:lang w:val="zh-CN"/>
        </w:rPr>
        <w:t>.1 在递交磋商响应文件时间截止后，采购代理机构在规定的时间和地点组织磋商小组分别与供应商进行磋商。</w:t>
      </w:r>
    </w:p>
    <w:p>
      <w:pPr>
        <w:autoSpaceDE w:val="0"/>
        <w:autoSpaceDN w:val="0"/>
        <w:adjustRightInd w:val="0"/>
        <w:snapToGrid w:val="0"/>
        <w:spacing w:line="360" w:lineRule="auto"/>
        <w:ind w:firstLine="420"/>
        <w:rPr>
          <w:rFonts w:ascii="宋体" w:hAnsi="宋体" w:cs="宋体"/>
          <w:color w:val="auto"/>
          <w:sz w:val="24"/>
          <w:szCs w:val="24"/>
          <w:highlight w:val="none"/>
          <w:lang w:val="zh-CN"/>
        </w:rPr>
      </w:pPr>
      <w:r>
        <w:rPr>
          <w:rFonts w:hint="eastAsia" w:ascii="宋体" w:hAnsi="宋体" w:cs="宋体"/>
          <w:color w:val="auto"/>
          <w:sz w:val="24"/>
          <w:szCs w:val="24"/>
          <w:highlight w:val="none"/>
        </w:rPr>
        <w:t>8</w:t>
      </w:r>
      <w:r>
        <w:rPr>
          <w:rFonts w:hint="eastAsia" w:ascii="宋体" w:hAnsi="宋体" w:cs="宋体"/>
          <w:color w:val="auto"/>
          <w:sz w:val="24"/>
          <w:szCs w:val="24"/>
          <w:highlight w:val="none"/>
          <w:lang w:val="zh-CN"/>
        </w:rPr>
        <w:t>.2 磋商工作由采购代理机构负责组织，具体磋商事务由依法组建的磋商小组负责。</w:t>
      </w:r>
    </w:p>
    <w:p>
      <w:pPr>
        <w:autoSpaceDE w:val="0"/>
        <w:autoSpaceDN w:val="0"/>
        <w:adjustRightInd w:val="0"/>
        <w:snapToGrid w:val="0"/>
        <w:spacing w:line="360" w:lineRule="auto"/>
        <w:ind w:firstLine="420"/>
        <w:rPr>
          <w:rFonts w:ascii="宋体" w:hAnsi="宋体" w:cs="宋体"/>
          <w:b/>
          <w:color w:val="auto"/>
          <w:sz w:val="24"/>
          <w:szCs w:val="24"/>
          <w:highlight w:val="none"/>
          <w:lang w:val="zh-CN"/>
        </w:rPr>
      </w:pP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、磋商程序</w:t>
      </w:r>
    </w:p>
    <w:p>
      <w:pPr>
        <w:autoSpaceDE w:val="0"/>
        <w:autoSpaceDN w:val="0"/>
        <w:adjustRightInd w:val="0"/>
        <w:spacing w:line="360" w:lineRule="auto"/>
        <w:ind w:firstLine="420"/>
        <w:rPr>
          <w:rFonts w:ascii="宋体" w:hAnsi="宋体" w:cs="宋体"/>
          <w:color w:val="auto"/>
          <w:sz w:val="24"/>
          <w:szCs w:val="24"/>
          <w:highlight w:val="none"/>
          <w:lang w:val="zh-CN"/>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.1 磋商小组审阅供应商所递交的响应文件，凡不具备资格条件的供应商不得进入磋商程序。</w:t>
      </w:r>
    </w:p>
    <w:p>
      <w:pPr>
        <w:autoSpaceDE w:val="0"/>
        <w:autoSpaceDN w:val="0"/>
        <w:adjustRightInd w:val="0"/>
        <w:snapToGrid w:val="0"/>
        <w:spacing w:line="360" w:lineRule="auto"/>
        <w:ind w:firstLine="420"/>
        <w:rPr>
          <w:rFonts w:ascii="宋体" w:hAnsi="宋体" w:cs="宋体"/>
          <w:color w:val="auto"/>
          <w:sz w:val="24"/>
          <w:szCs w:val="24"/>
          <w:highlight w:val="none"/>
          <w:lang w:val="zh-CN"/>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.2 磋商小组所有成员集中与单一供应商分别就竞争性磋商采购项目的技术、商务和价格进行磋商。</w:t>
      </w:r>
    </w:p>
    <w:p>
      <w:pPr>
        <w:autoSpaceDE w:val="0"/>
        <w:autoSpaceDN w:val="0"/>
        <w:adjustRightInd w:val="0"/>
        <w:snapToGrid w:val="0"/>
        <w:spacing w:line="360" w:lineRule="auto"/>
        <w:ind w:firstLine="420"/>
        <w:rPr>
          <w:rFonts w:ascii="宋体" w:hAnsi="宋体" w:cs="宋体"/>
          <w:color w:val="auto"/>
          <w:sz w:val="24"/>
          <w:szCs w:val="24"/>
          <w:highlight w:val="none"/>
          <w:lang w:val="zh-CN"/>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.3 磋商过程中，磋商小组可以根据磋商文件和磋商情况可能实质性变动采购需求中的技术、服务要求以及合同草案条款，但不得变动磋商文件中的其他内容。实质性变动的内容，须经采购人代表确认。</w:t>
      </w:r>
    </w:p>
    <w:p>
      <w:pPr>
        <w:autoSpaceDE w:val="0"/>
        <w:autoSpaceDN w:val="0"/>
        <w:adjustRightInd w:val="0"/>
        <w:snapToGrid w:val="0"/>
        <w:spacing w:line="360" w:lineRule="auto"/>
        <w:ind w:firstLine="4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对磋商文件作出的实质性变动是磋商文件的有效组成部分，磋商小组应当及时以书面形式同时通知所有参加磋商的供应商。</w:t>
      </w:r>
    </w:p>
    <w:p>
      <w:pPr>
        <w:autoSpaceDE w:val="0"/>
        <w:autoSpaceDN w:val="0"/>
        <w:adjustRightInd w:val="0"/>
        <w:snapToGrid w:val="0"/>
        <w:spacing w:line="360" w:lineRule="auto"/>
        <w:ind w:firstLine="420"/>
        <w:rPr>
          <w:rFonts w:ascii="宋体" w:hAnsi="宋体" w:cs="宋体"/>
          <w:color w:val="auto"/>
          <w:sz w:val="24"/>
          <w:szCs w:val="24"/>
          <w:highlight w:val="none"/>
          <w:lang w:val="zh-CN"/>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.4 如磋商文件有实质性变动的，供应商应当按照磋商文件的变动情况和磋商小组的要求提交响应（或补充）文件，应由其法定代表人或授权代表签字或者加盖公章。</w:t>
      </w:r>
    </w:p>
    <w:p>
      <w:pPr>
        <w:autoSpaceDE w:val="0"/>
        <w:autoSpaceDN w:val="0"/>
        <w:adjustRightInd w:val="0"/>
        <w:snapToGrid w:val="0"/>
        <w:spacing w:line="360" w:lineRule="auto"/>
        <w:ind w:firstLine="420"/>
        <w:rPr>
          <w:rFonts w:ascii="宋体" w:hAnsi="宋体" w:cs="宋体"/>
          <w:color w:val="auto"/>
          <w:sz w:val="24"/>
          <w:szCs w:val="24"/>
          <w:highlight w:val="none"/>
          <w:lang w:val="zh-CN"/>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.5 磋商结束后，磋商小组将要求所有实质性响应的供应商在规定时间内提交最后报价。</w:t>
      </w:r>
    </w:p>
    <w:p>
      <w:pPr>
        <w:autoSpaceDE w:val="0"/>
        <w:autoSpaceDN w:val="0"/>
        <w:adjustRightInd w:val="0"/>
        <w:snapToGrid w:val="0"/>
        <w:spacing w:line="360" w:lineRule="auto"/>
        <w:ind w:firstLine="420"/>
        <w:rPr>
          <w:rFonts w:ascii="宋体" w:hAnsi="宋体" w:cs="宋体"/>
          <w:color w:val="auto"/>
          <w:sz w:val="24"/>
          <w:szCs w:val="24"/>
          <w:highlight w:val="none"/>
          <w:lang w:val="zh-CN"/>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 xml:space="preserve">6 </w:t>
      </w:r>
      <w:r>
        <w:rPr>
          <w:rFonts w:hint="eastAsia" w:ascii="宋体" w:hAnsi="宋体" w:cs="宋体"/>
          <w:color w:val="auto"/>
          <w:sz w:val="24"/>
          <w:szCs w:val="24"/>
          <w:highlight w:val="none"/>
          <w:lang w:val="zh-CN"/>
        </w:rPr>
        <w:t>提交最后报价的供应商不得少于</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家</w:t>
      </w:r>
      <w:r>
        <w:rPr>
          <w:rFonts w:hint="eastAsia" w:ascii="宋体" w:hAnsi="宋体" w:cs="宋体"/>
          <w:bCs/>
          <w:color w:val="auto"/>
          <w:sz w:val="24"/>
          <w:szCs w:val="24"/>
          <w:highlight w:val="none"/>
          <w:lang w:val="zh-CN"/>
        </w:rPr>
        <w:t>（市场竞争不充分的科研项目，以及需要扶持的科技成果转化项目除外）。最后报价由其法定代表人或授权代表签字或者加盖公章，最后报价是供应商响应文件的有效组成部分。</w:t>
      </w:r>
    </w:p>
    <w:p>
      <w:pPr>
        <w:snapToGrid w:val="0"/>
        <w:spacing w:line="360" w:lineRule="auto"/>
        <w:ind w:firstLine="480" w:firstLineChars="200"/>
        <w:rPr>
          <w:rFonts w:ascii="宋体" w:hAnsi="宋体" w:cs="宋体"/>
          <w:b/>
          <w:color w:val="auto"/>
          <w:kern w:val="0"/>
          <w:sz w:val="24"/>
          <w:szCs w:val="24"/>
          <w:highlight w:val="none"/>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7</w:t>
      </w:r>
      <w:r>
        <w:rPr>
          <w:rFonts w:hint="eastAsia" w:ascii="宋体" w:hAnsi="宋体" w:cs="宋体"/>
          <w:color w:val="auto"/>
          <w:sz w:val="24"/>
          <w:szCs w:val="24"/>
          <w:highlight w:val="none"/>
          <w:lang w:val="zh-CN"/>
        </w:rPr>
        <w:t xml:space="preserve"> 出现下列情形之一的响应文件按照无效处理：</w:t>
      </w:r>
    </w:p>
    <w:p>
      <w:pPr>
        <w:autoSpaceDE w:val="0"/>
        <w:autoSpaceDN w:val="0"/>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（1）不满足“第一章竞争性磋商公告中申请人的资格要求”</w:t>
      </w:r>
      <w:r>
        <w:rPr>
          <w:rFonts w:hint="eastAsia" w:ascii="宋体" w:hAnsi="宋体" w:cs="宋体"/>
          <w:color w:val="auto"/>
          <w:szCs w:val="21"/>
          <w:highlight w:val="none"/>
        </w:rPr>
        <w:t>规定</w:t>
      </w:r>
      <w:r>
        <w:rPr>
          <w:rFonts w:hint="eastAsia" w:ascii="宋体" w:hAnsi="宋体" w:cs="宋体"/>
          <w:color w:val="auto"/>
          <w:sz w:val="24"/>
          <w:szCs w:val="24"/>
          <w:highlight w:val="none"/>
        </w:rPr>
        <w:t>的；</w:t>
      </w:r>
    </w:p>
    <w:p>
      <w:pPr>
        <w:autoSpaceDE w:val="0"/>
        <w:autoSpaceDN w:val="0"/>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（2）投标文件未经投标单位盖章和单位负责人签字或盖章的；</w:t>
      </w:r>
    </w:p>
    <w:p>
      <w:pPr>
        <w:autoSpaceDE w:val="0"/>
        <w:autoSpaceDN w:val="0"/>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（3）投标报价低于成本，或者高于招标文件设定的最高投标限价；</w:t>
      </w:r>
    </w:p>
    <w:p>
      <w:pPr>
        <w:autoSpaceDE w:val="0"/>
        <w:autoSpaceDN w:val="0"/>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（4）未响应招标文件的实质性要求和条件；</w:t>
      </w:r>
    </w:p>
    <w:p>
      <w:pPr>
        <w:autoSpaceDE w:val="0"/>
        <w:autoSpaceDN w:val="0"/>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（5）与其他投标人或者与招标人串通投标；</w:t>
      </w:r>
    </w:p>
    <w:p>
      <w:pPr>
        <w:autoSpaceDE w:val="0"/>
        <w:autoSpaceDN w:val="0"/>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（6）以他人名义投标，或者以其他方式弄虚作假；</w:t>
      </w:r>
    </w:p>
    <w:p>
      <w:pPr>
        <w:autoSpaceDE w:val="0"/>
        <w:autoSpaceDN w:val="0"/>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（7）以向招标人或者评标委员会成员行贿的手段谋取中标；</w:t>
      </w:r>
    </w:p>
    <w:p>
      <w:pPr>
        <w:autoSpaceDE w:val="0"/>
        <w:autoSpaceDN w:val="0"/>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8</w:t>
      </w:r>
      <w:r>
        <w:rPr>
          <w:rFonts w:hint="eastAsia" w:ascii="宋体" w:hAnsi="宋体" w:cs="宋体"/>
          <w:color w:val="auto"/>
          <w:sz w:val="24"/>
          <w:szCs w:val="24"/>
          <w:highlight w:val="none"/>
        </w:rPr>
        <w:t xml:space="preserve">）响应文件载明的项目完成期限超过磋商文件规定的期限的； </w:t>
      </w:r>
    </w:p>
    <w:p>
      <w:pPr>
        <w:autoSpaceDE w:val="0"/>
        <w:autoSpaceDN w:val="0"/>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9</w:t>
      </w:r>
      <w:r>
        <w:rPr>
          <w:rFonts w:hint="eastAsia" w:ascii="宋体" w:hAnsi="宋体" w:cs="宋体"/>
          <w:color w:val="auto"/>
          <w:sz w:val="24"/>
          <w:szCs w:val="24"/>
          <w:highlight w:val="none"/>
        </w:rPr>
        <w:t>）响应文件提出了不能满足磋商文件要求或采购人不能接受的工程验收、计量、价款结算和支付办法的；</w:t>
      </w:r>
    </w:p>
    <w:p>
      <w:pPr>
        <w:autoSpaceDE w:val="0"/>
        <w:autoSpaceDN w:val="0"/>
        <w:adjustRightInd w:val="0"/>
        <w:snapToGri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（8）</w:t>
      </w:r>
      <w:r>
        <w:rPr>
          <w:rFonts w:hint="eastAsia" w:ascii="宋体" w:hAnsi="宋体" w:cs="宋体"/>
          <w:color w:val="auto"/>
          <w:sz w:val="24"/>
          <w:szCs w:val="24"/>
          <w:highlight w:val="none"/>
          <w:lang w:val="zh-CN"/>
        </w:rPr>
        <w:t>不符合法律、法规和磋商文件规定的其他实质性要求的。</w:t>
      </w:r>
    </w:p>
    <w:p>
      <w:pPr>
        <w:snapToGrid w:val="0"/>
        <w:spacing w:line="360" w:lineRule="auto"/>
        <w:ind w:firstLine="482" w:firstLineChars="200"/>
        <w:rPr>
          <w:rFonts w:ascii="宋体" w:hAnsi="宋体" w:cs="宋体"/>
          <w:b/>
          <w:bCs/>
          <w:color w:val="auto"/>
          <w:sz w:val="24"/>
          <w:szCs w:val="24"/>
          <w:highlight w:val="none"/>
          <w:lang w:val="zh-CN"/>
        </w:rPr>
      </w:pP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8</w:t>
      </w:r>
      <w:r>
        <w:rPr>
          <w:rFonts w:hint="eastAsia" w:ascii="宋体" w:hAnsi="宋体" w:cs="宋体"/>
          <w:b/>
          <w:bCs/>
          <w:color w:val="auto"/>
          <w:sz w:val="24"/>
          <w:szCs w:val="24"/>
          <w:highlight w:val="none"/>
          <w:lang w:val="zh-CN"/>
        </w:rPr>
        <w:t>出现下列情形之一的磋商终止：</w:t>
      </w:r>
    </w:p>
    <w:p>
      <w:pPr>
        <w:autoSpaceDE w:val="0"/>
        <w:autoSpaceDN w:val="0"/>
        <w:adjustRightInd w:val="0"/>
        <w:snapToGri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（1）因情况变化，不再符合规定的竞争性磋商采购方式适用情形的；</w:t>
      </w:r>
    </w:p>
    <w:p>
      <w:pPr>
        <w:autoSpaceDE w:val="0"/>
        <w:autoSpaceDN w:val="0"/>
        <w:adjustRightInd w:val="0"/>
        <w:snapToGri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（2）出现影响采购公正的违法、违规行为的；</w:t>
      </w:r>
    </w:p>
    <w:p>
      <w:pPr>
        <w:autoSpaceDE w:val="0"/>
        <w:autoSpaceDN w:val="0"/>
        <w:adjustRightInd w:val="0"/>
        <w:snapToGri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（3）除市场竞争不充分的科研项目，以及需要扶持的科技成果转化项目外，在采购过程中符合要求的供应商或者报价未超过采购预算的供应商不足</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家的。</w:t>
      </w:r>
    </w:p>
    <w:p>
      <w:pPr>
        <w:autoSpaceDE w:val="0"/>
        <w:autoSpaceDN w:val="0"/>
        <w:adjustRightInd w:val="0"/>
        <w:snapToGri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.9 磋商有效期为90天，从提交磋商响应文件的截止之日起算。磋商响应文件中承诺的磋商有效期应当不少于竞争性磋商文件中载明的磋商有效期。</w:t>
      </w:r>
    </w:p>
    <w:p>
      <w:pPr>
        <w:autoSpaceDE w:val="0"/>
        <w:autoSpaceDN w:val="0"/>
        <w:adjustRightInd w:val="0"/>
        <w:spacing w:line="360" w:lineRule="auto"/>
        <w:ind w:firstLine="482" w:firstLineChars="200"/>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0</w:t>
      </w:r>
      <w:r>
        <w:rPr>
          <w:rFonts w:hint="eastAsia" w:ascii="宋体" w:hAnsi="宋体" w:cs="宋体"/>
          <w:b/>
          <w:color w:val="auto"/>
          <w:sz w:val="24"/>
          <w:szCs w:val="24"/>
          <w:highlight w:val="none"/>
          <w:lang w:val="zh-CN"/>
        </w:rPr>
        <w:t>、</w:t>
      </w:r>
      <w:r>
        <w:rPr>
          <w:rFonts w:hint="eastAsia" w:ascii="宋体" w:hAnsi="宋体" w:cs="宋体"/>
          <w:b/>
          <w:bCs/>
          <w:color w:val="auto"/>
          <w:kern w:val="0"/>
          <w:sz w:val="24"/>
          <w:szCs w:val="24"/>
          <w:highlight w:val="none"/>
          <w:lang w:val="zh-CN"/>
        </w:rPr>
        <w:t>评分方法和标准</w:t>
      </w:r>
    </w:p>
    <w:p>
      <w:pPr>
        <w:widowControl/>
        <w:adjustRightInd w:val="0"/>
        <w:snapToGrid w:val="0"/>
        <w:spacing w:line="360" w:lineRule="auto"/>
        <w:ind w:firstLine="480" w:firstLineChars="200"/>
        <w:rPr>
          <w:rFonts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rPr>
        <w:t>1</w:t>
      </w:r>
      <w:r>
        <w:rPr>
          <w:rFonts w:hint="eastAsia" w:ascii="宋体" w:hAnsi="宋体" w:cs="宋体"/>
          <w:bCs/>
          <w:color w:val="auto"/>
          <w:kern w:val="0"/>
          <w:sz w:val="24"/>
          <w:szCs w:val="24"/>
          <w:highlight w:val="none"/>
        </w:rPr>
        <w:t>0</w:t>
      </w:r>
      <w:r>
        <w:rPr>
          <w:rFonts w:hint="eastAsia" w:ascii="宋体" w:hAnsi="宋体" w:cs="宋体"/>
          <w:bCs/>
          <w:color w:val="auto"/>
          <w:kern w:val="0"/>
          <w:sz w:val="24"/>
          <w:szCs w:val="24"/>
          <w:highlight w:val="none"/>
          <w:lang w:val="zh-CN"/>
        </w:rPr>
        <w:t xml:space="preserve">.1 </w:t>
      </w:r>
      <w:r>
        <w:rPr>
          <w:rFonts w:hint="eastAsia" w:ascii="宋体" w:hAnsi="宋体" w:cs="宋体"/>
          <w:color w:val="auto"/>
          <w:kern w:val="0"/>
          <w:sz w:val="24"/>
          <w:szCs w:val="24"/>
          <w:highlight w:val="none"/>
          <w:lang w:val="zh-CN"/>
        </w:rPr>
        <w:t>采用综合评分法。即</w:t>
      </w:r>
      <w:r>
        <w:rPr>
          <w:rFonts w:hint="eastAsia" w:ascii="宋体" w:hAnsi="宋体" w:cs="宋体"/>
          <w:color w:val="auto"/>
          <w:kern w:val="0"/>
          <w:sz w:val="24"/>
          <w:szCs w:val="24"/>
          <w:highlight w:val="none"/>
        </w:rPr>
        <w:t>在最大限度地满足磋商文件实质性要求前提下，按照磋商文件中规定的各项因素进行综合评审后，以评审总得分最高的供应商作为成交候选供应商或者成交供应商的评分方法。</w:t>
      </w:r>
    </w:p>
    <w:p>
      <w:pPr>
        <w:spacing w:line="360" w:lineRule="auto"/>
        <w:rPr>
          <w:rFonts w:ascii="宋体" w:hAnsi="宋体"/>
          <w:color w:val="auto"/>
          <w:sz w:val="24"/>
          <w:szCs w:val="24"/>
          <w:highlight w:val="none"/>
        </w:rPr>
      </w:pPr>
      <w:r>
        <w:rPr>
          <w:rFonts w:hint="eastAsia" w:ascii="宋体" w:hAnsi="宋体" w:cs="宋体"/>
          <w:b/>
          <w:bCs/>
          <w:color w:val="auto"/>
          <w:kern w:val="0"/>
          <w:sz w:val="24"/>
          <w:szCs w:val="24"/>
          <w:highlight w:val="none"/>
        </w:rPr>
        <w:t xml:space="preserve">   </w:t>
      </w:r>
      <w:r>
        <w:rPr>
          <w:rFonts w:hint="eastAsia" w:ascii="宋体" w:hAnsi="宋体" w:cs="宋体"/>
          <w:bCs/>
          <w:color w:val="auto"/>
          <w:kern w:val="0"/>
          <w:sz w:val="24"/>
          <w:szCs w:val="24"/>
          <w:highlight w:val="none"/>
        </w:rPr>
        <w:t xml:space="preserve"> </w:t>
      </w:r>
      <w:r>
        <w:rPr>
          <w:rFonts w:hint="eastAsia" w:ascii="宋体" w:hAnsi="宋体" w:cs="宋体"/>
          <w:bCs/>
          <w:color w:val="auto"/>
          <w:kern w:val="0"/>
          <w:sz w:val="24"/>
          <w:szCs w:val="24"/>
          <w:highlight w:val="none"/>
          <w:lang w:val="zh-CN"/>
        </w:rPr>
        <w:t>1</w:t>
      </w:r>
      <w:r>
        <w:rPr>
          <w:rFonts w:hint="eastAsia" w:ascii="宋体" w:hAnsi="宋体" w:cs="宋体"/>
          <w:bCs/>
          <w:color w:val="auto"/>
          <w:kern w:val="0"/>
          <w:sz w:val="24"/>
          <w:szCs w:val="24"/>
          <w:highlight w:val="none"/>
        </w:rPr>
        <w:t>0</w:t>
      </w:r>
      <w:r>
        <w:rPr>
          <w:rFonts w:hint="eastAsia" w:ascii="宋体" w:hAnsi="宋体" w:cs="宋体"/>
          <w:bCs/>
          <w:color w:val="auto"/>
          <w:kern w:val="0"/>
          <w:sz w:val="24"/>
          <w:szCs w:val="24"/>
          <w:highlight w:val="none"/>
          <w:lang w:val="zh-CN"/>
        </w:rPr>
        <w:t xml:space="preserve">.2 </w:t>
      </w:r>
      <w:r>
        <w:rPr>
          <w:rFonts w:hint="eastAsia" w:ascii="宋体" w:hAnsi="宋体" w:cs="宋体"/>
          <w:color w:val="auto"/>
          <w:kern w:val="0"/>
          <w:sz w:val="24"/>
          <w:szCs w:val="24"/>
          <w:highlight w:val="none"/>
        </w:rPr>
        <w:t>综合评分的</w:t>
      </w:r>
      <w:r>
        <w:rPr>
          <w:rFonts w:hint="eastAsia" w:ascii="宋体" w:hAnsi="宋体" w:cs="宋体"/>
          <w:color w:val="auto"/>
          <w:kern w:val="0"/>
          <w:sz w:val="24"/>
          <w:szCs w:val="24"/>
          <w:highlight w:val="none"/>
          <w:lang w:val="zh-CN"/>
        </w:rPr>
        <w:t>主要因素是</w:t>
      </w:r>
      <w:r>
        <w:rPr>
          <w:rFonts w:hint="eastAsia" w:ascii="宋体" w:hAnsi="宋体" w:cs="宋体"/>
          <w:bCs/>
          <w:color w:val="auto"/>
          <w:kern w:val="0"/>
          <w:sz w:val="24"/>
          <w:szCs w:val="24"/>
          <w:highlight w:val="none"/>
          <w:lang w:val="zh-CN"/>
        </w:rPr>
        <w:t>：</w:t>
      </w:r>
      <w:r>
        <w:rPr>
          <w:rFonts w:hint="eastAsia" w:ascii="宋体" w:hAnsi="宋体" w:cs="宋体"/>
          <w:color w:val="auto"/>
          <w:sz w:val="24"/>
          <w:szCs w:val="24"/>
          <w:highlight w:val="none"/>
        </w:rPr>
        <w:t>价格、业绩、人员配备等。</w:t>
      </w:r>
    </w:p>
    <w:p>
      <w:pPr>
        <w:widowControl/>
        <w:shd w:val="clear" w:color="auto" w:fill="FFFFFF"/>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10.3 评分标准详见第三章。</w:t>
      </w:r>
    </w:p>
    <w:p>
      <w:pPr>
        <w:widowControl/>
        <w:shd w:val="clear" w:color="auto" w:fill="FFFFFF"/>
        <w:spacing w:line="360" w:lineRule="auto"/>
        <w:ind w:firstLine="420"/>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11、确定成交供应商</w:t>
      </w:r>
    </w:p>
    <w:p>
      <w:pPr>
        <w:widowControl/>
        <w:tabs>
          <w:tab w:val="left" w:pos="0"/>
        </w:tabs>
        <w:spacing w:line="360" w:lineRule="auto"/>
        <w:ind w:firstLine="480" w:firstLineChars="200"/>
        <w:jc w:val="left"/>
        <w:rPr>
          <w:rFonts w:ascii="仿宋" w:hAnsi="仿宋" w:eastAsia="仿宋"/>
          <w:color w:val="auto"/>
          <w:sz w:val="28"/>
          <w:szCs w:val="28"/>
          <w:highlight w:val="none"/>
          <w:lang w:bidi="ar"/>
        </w:rPr>
      </w:pPr>
      <w:r>
        <w:rPr>
          <w:rFonts w:hint="eastAsia" w:ascii="宋体" w:hAnsi="宋体" w:cs="宋体"/>
          <w:color w:val="auto"/>
          <w:kern w:val="0"/>
          <w:sz w:val="24"/>
          <w:szCs w:val="24"/>
          <w:highlight w:val="none"/>
        </w:rPr>
        <w:t>11.1评审完成后，按投标人的总得分从高到低进行排序，如果总分相同的，以报价费率较低的排前；如仍存在相同情况，则对具有相同情况的投标人，按中标候选人数量规定，由评标委员会采用随机抽取方式，确定中标候选人的排序。评标委员会编写评标报告，并全体签字确认，推荐满足招标文件要求且总得分排序的名次前三名作为为第一、第二、 第三中标候选人。</w:t>
      </w:r>
    </w:p>
    <w:p>
      <w:pPr>
        <w:widowControl/>
        <w:shd w:val="clear" w:color="auto" w:fill="FFFFFF"/>
        <w:spacing w:line="360" w:lineRule="auto"/>
        <w:ind w:firstLine="420"/>
        <w:rPr>
          <w:rFonts w:ascii="宋体" w:hAnsi="宋体" w:cs="宋体"/>
          <w:color w:val="auto"/>
          <w:kern w:val="0"/>
          <w:sz w:val="24"/>
          <w:szCs w:val="24"/>
          <w:highlight w:val="none"/>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 xml:space="preserve">.2 </w:t>
      </w:r>
      <w:r>
        <w:rPr>
          <w:rFonts w:hint="eastAsia" w:ascii="宋体" w:hAnsi="宋体" w:cs="宋体"/>
          <w:color w:val="auto"/>
          <w:kern w:val="0"/>
          <w:sz w:val="24"/>
          <w:szCs w:val="24"/>
          <w:highlight w:val="none"/>
        </w:rPr>
        <w:t>成交供应商确定后，采购人或者采购代理机构将在省级以上财政部门指定的政府采购信息发布媒体上公告成交结果，同时向成交供应商发出成交通知书。</w:t>
      </w:r>
    </w:p>
    <w:p>
      <w:pPr>
        <w:autoSpaceDE w:val="0"/>
        <w:autoSpaceDN w:val="0"/>
        <w:adjustRightInd w:val="0"/>
        <w:snapToGrid w:val="0"/>
        <w:spacing w:line="360" w:lineRule="auto"/>
        <w:ind w:firstLine="4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.3 成交通知书对采购人和成交供应商具有同等法律效力。</w:t>
      </w:r>
    </w:p>
    <w:p>
      <w:pPr>
        <w:autoSpaceDE w:val="0"/>
        <w:autoSpaceDN w:val="0"/>
        <w:adjustRightInd w:val="0"/>
        <w:snapToGrid w:val="0"/>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 xml:space="preserve"> </w:t>
      </w:r>
      <w:r>
        <w:rPr>
          <w:rFonts w:hint="eastAsia" w:ascii="宋体" w:hAnsi="宋体" w:cs="宋体"/>
          <w:color w:val="auto"/>
          <w:sz w:val="24"/>
          <w:szCs w:val="24"/>
          <w:highlight w:val="none"/>
        </w:rPr>
        <w:t>成交通知书发出后，采购人或成交供应商拒绝签订合同的，拒绝签订合同的一方应向另一方支付为磋商所发生的有关费用和双方商定的其他补偿，并承担相应的法律责任。</w:t>
      </w:r>
    </w:p>
    <w:p>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11.5 成交通知书发出后，成交供应商除发生法律规定的不能预见、不能避免并不能克服的客观情况外不得放弃或拒绝签订合同的。放弃或拒绝签订合同的，情节严重的，提请财政部门将其列入不良行为名单，在一至三年内不得参加政府采购活动，并予以通报。</w:t>
      </w:r>
    </w:p>
    <w:p>
      <w:pPr>
        <w:tabs>
          <w:tab w:val="left" w:pos="126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11.6采购代理机构对未成交的供应商不作未成交原因的解释。</w:t>
      </w:r>
    </w:p>
    <w:p>
      <w:pPr>
        <w:autoSpaceDE w:val="0"/>
        <w:autoSpaceDN w:val="0"/>
        <w:adjustRightInd w:val="0"/>
        <w:snapToGrid w:val="0"/>
        <w:spacing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11.7 所有响应文件不论成交与否，采购代理机构均不退回。</w:t>
      </w:r>
    </w:p>
    <w:p>
      <w:pPr>
        <w:autoSpaceDE w:val="0"/>
        <w:autoSpaceDN w:val="0"/>
        <w:adjustRightInd w:val="0"/>
        <w:snapToGrid w:val="0"/>
        <w:spacing w:line="360" w:lineRule="auto"/>
        <w:ind w:firstLine="472" w:firstLineChars="196"/>
        <w:rPr>
          <w:rFonts w:ascii="宋体" w:hAnsi="宋体" w:cs="宋体"/>
          <w:b/>
          <w:color w:val="auto"/>
          <w:sz w:val="24"/>
          <w:szCs w:val="24"/>
          <w:highlight w:val="none"/>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2</w:t>
      </w:r>
      <w:r>
        <w:rPr>
          <w:rFonts w:hint="eastAsia" w:ascii="宋体" w:hAnsi="宋体" w:cs="宋体"/>
          <w:b/>
          <w:bCs/>
          <w:color w:val="auto"/>
          <w:sz w:val="24"/>
          <w:szCs w:val="24"/>
          <w:highlight w:val="none"/>
          <w:lang w:val="zh-CN"/>
        </w:rPr>
        <w:t>、</w:t>
      </w:r>
      <w:r>
        <w:rPr>
          <w:rFonts w:hint="eastAsia" w:ascii="宋体" w:hAnsi="宋体" w:cs="宋体"/>
          <w:b/>
          <w:color w:val="auto"/>
          <w:sz w:val="24"/>
          <w:szCs w:val="24"/>
          <w:highlight w:val="none"/>
        </w:rPr>
        <w:t>编写磋商（评审）报告</w:t>
      </w:r>
    </w:p>
    <w:p>
      <w:pPr>
        <w:autoSpaceDE w:val="0"/>
        <w:autoSpaceDN w:val="0"/>
        <w:adjustRightInd w:val="0"/>
        <w:snapToGrid w:val="0"/>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12.1 磋商小组根据磋商过程和结果编写磋商（评审）报告。</w:t>
      </w:r>
    </w:p>
    <w:p>
      <w:pPr>
        <w:autoSpaceDE w:val="0"/>
        <w:autoSpaceDN w:val="0"/>
        <w:adjustRightInd w:val="0"/>
        <w:snapToGrid w:val="0"/>
        <w:spacing w:line="360" w:lineRule="auto"/>
        <w:ind w:firstLine="420"/>
        <w:rPr>
          <w:rFonts w:ascii="宋体" w:hAnsi="宋体" w:cs="宋体"/>
          <w:b/>
          <w:bCs/>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3</w:t>
      </w:r>
      <w:r>
        <w:rPr>
          <w:rFonts w:hint="eastAsia" w:ascii="宋体" w:hAnsi="宋体" w:cs="宋体"/>
          <w:b/>
          <w:color w:val="auto"/>
          <w:sz w:val="24"/>
          <w:szCs w:val="24"/>
          <w:highlight w:val="none"/>
          <w:lang w:val="zh-CN"/>
        </w:rPr>
        <w:t>、</w:t>
      </w:r>
      <w:r>
        <w:rPr>
          <w:rFonts w:hint="eastAsia" w:ascii="宋体" w:hAnsi="宋体" w:cs="宋体"/>
          <w:b/>
          <w:bCs/>
          <w:color w:val="auto"/>
          <w:sz w:val="24"/>
          <w:szCs w:val="24"/>
          <w:highlight w:val="none"/>
          <w:lang w:val="zh-CN"/>
        </w:rPr>
        <w:t>签订合同</w:t>
      </w:r>
    </w:p>
    <w:p>
      <w:pPr>
        <w:autoSpaceDE w:val="0"/>
        <w:autoSpaceDN w:val="0"/>
        <w:adjustRightInd w:val="0"/>
        <w:snapToGrid w:val="0"/>
        <w:spacing w:line="360" w:lineRule="auto"/>
        <w:ind w:firstLine="420"/>
        <w:rPr>
          <w:rFonts w:ascii="宋体" w:hAnsi="宋体" w:cs="宋体"/>
          <w:color w:val="auto"/>
          <w:sz w:val="24"/>
          <w:szCs w:val="24"/>
          <w:highlight w:val="none"/>
          <w:lang w:val="zh-CN"/>
        </w:rPr>
      </w:pPr>
      <w:r>
        <w:rPr>
          <w:rFonts w:hint="eastAsia" w:ascii="宋体" w:hAnsi="宋体" w:cs="宋体"/>
          <w:color w:val="auto"/>
          <w:sz w:val="24"/>
          <w:szCs w:val="24"/>
          <w:highlight w:val="none"/>
        </w:rPr>
        <w:t>13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1 成交供应商应当</w:t>
      </w:r>
      <w:r>
        <w:rPr>
          <w:rFonts w:hint="eastAsia" w:ascii="宋体" w:hAnsi="宋体" w:cs="宋体"/>
          <w:color w:val="auto"/>
          <w:sz w:val="24"/>
          <w:szCs w:val="24"/>
          <w:highlight w:val="none"/>
          <w:lang w:val="zh-CN"/>
        </w:rPr>
        <w:t>自成交通知书发出之日起三十日内，</w:t>
      </w:r>
      <w:r>
        <w:rPr>
          <w:rFonts w:hint="eastAsia" w:ascii="宋体" w:hAnsi="宋体" w:cs="宋体"/>
          <w:color w:val="auto"/>
          <w:sz w:val="24"/>
          <w:szCs w:val="24"/>
          <w:highlight w:val="none"/>
        </w:rPr>
        <w:t>与采购人签订合同，所签订的合同不得对竞争性磋商文件和响应文件作实质性修改。</w:t>
      </w:r>
    </w:p>
    <w:p>
      <w:pPr>
        <w:autoSpaceDE w:val="0"/>
        <w:autoSpaceDN w:val="0"/>
        <w:adjustRightInd w:val="0"/>
        <w:snapToGrid w:val="0"/>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13</w:t>
      </w:r>
      <w:r>
        <w:rPr>
          <w:rFonts w:hint="eastAsia" w:ascii="宋体" w:hAnsi="宋体" w:cs="宋体"/>
          <w:color w:val="auto"/>
          <w:sz w:val="24"/>
          <w:szCs w:val="24"/>
          <w:highlight w:val="none"/>
          <w:lang w:val="zh-CN"/>
        </w:rPr>
        <w:t xml:space="preserve">.2 </w:t>
      </w:r>
      <w:r>
        <w:rPr>
          <w:rFonts w:hint="eastAsia" w:ascii="宋体" w:hAnsi="宋体" w:cs="宋体"/>
          <w:color w:val="auto"/>
          <w:sz w:val="24"/>
          <w:szCs w:val="24"/>
          <w:highlight w:val="none"/>
        </w:rPr>
        <w:t>采购人不得向成交供应商提出任何不合理的要求作为签订合同的条件，不得与成交供应商私下订立背离合同实质性内容的协议。</w:t>
      </w:r>
    </w:p>
    <w:p>
      <w:pPr>
        <w:autoSpaceDE w:val="0"/>
        <w:autoSpaceDN w:val="0"/>
        <w:adjustRightInd w:val="0"/>
        <w:snapToGrid w:val="0"/>
        <w:spacing w:line="360" w:lineRule="auto"/>
        <w:ind w:firstLine="420"/>
        <w:rPr>
          <w:rFonts w:ascii="宋体" w:hAnsi="宋体" w:cs="宋体"/>
          <w:color w:val="auto"/>
          <w:sz w:val="24"/>
          <w:szCs w:val="24"/>
          <w:highlight w:val="none"/>
          <w:lang w:val="zh-CN"/>
        </w:rPr>
      </w:pPr>
      <w:r>
        <w:rPr>
          <w:rFonts w:hint="eastAsia" w:ascii="宋体" w:hAnsi="宋体" w:cs="宋体"/>
          <w:color w:val="auto"/>
          <w:sz w:val="24"/>
          <w:szCs w:val="24"/>
          <w:highlight w:val="none"/>
        </w:rPr>
        <w:t xml:space="preserve">13.3 </w:t>
      </w:r>
      <w:r>
        <w:rPr>
          <w:rFonts w:hint="eastAsia" w:ascii="宋体" w:hAnsi="宋体" w:cs="宋体"/>
          <w:color w:val="auto"/>
          <w:sz w:val="24"/>
          <w:szCs w:val="24"/>
          <w:highlight w:val="none"/>
          <w:lang w:val="zh-CN"/>
        </w:rPr>
        <w:t>成交供应商因不可抗力或者自身原因不能履行合同的，采购人可以视情与排位在成交供应商之后第一位的成交候选供应商签订合同，以此类推。</w:t>
      </w:r>
    </w:p>
    <w:p>
      <w:pPr>
        <w:autoSpaceDE w:val="0"/>
        <w:autoSpaceDN w:val="0"/>
        <w:adjustRightInd w:val="0"/>
        <w:snapToGrid w:val="0"/>
        <w:spacing w:line="360" w:lineRule="auto"/>
        <w:ind w:firstLine="420"/>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五、质疑与投诉</w:t>
      </w:r>
    </w:p>
    <w:p>
      <w:pPr>
        <w:autoSpaceDE w:val="0"/>
        <w:autoSpaceDN w:val="0"/>
        <w:adjustRightInd w:val="0"/>
        <w:snapToGrid w:val="0"/>
        <w:spacing w:line="360" w:lineRule="auto"/>
        <w:ind w:firstLine="420"/>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4</w:t>
      </w:r>
      <w:r>
        <w:rPr>
          <w:rFonts w:hint="eastAsia" w:ascii="宋体" w:hAnsi="宋体" w:cs="宋体"/>
          <w:b/>
          <w:color w:val="auto"/>
          <w:sz w:val="24"/>
          <w:szCs w:val="24"/>
          <w:highlight w:val="none"/>
          <w:lang w:val="zh-CN"/>
        </w:rPr>
        <w:t>、质疑</w:t>
      </w:r>
    </w:p>
    <w:p>
      <w:pPr>
        <w:autoSpaceDE w:val="0"/>
        <w:autoSpaceDN w:val="0"/>
        <w:adjustRightInd w:val="0"/>
        <w:snapToGrid w:val="0"/>
        <w:spacing w:line="360" w:lineRule="auto"/>
        <w:ind w:firstLine="484" w:firstLineChars="202"/>
        <w:rPr>
          <w:rFonts w:ascii="宋体" w:hAnsi="宋体"/>
          <w:color w:val="auto"/>
          <w:sz w:val="24"/>
          <w:szCs w:val="24"/>
          <w:highlight w:val="none"/>
          <w:lang w:val="zh-CN"/>
        </w:rPr>
      </w:pPr>
      <w:r>
        <w:rPr>
          <w:rFonts w:hint="eastAsia" w:ascii="宋体" w:hAnsi="宋体"/>
          <w:color w:val="auto"/>
          <w:sz w:val="24"/>
          <w:szCs w:val="24"/>
          <w:highlight w:val="none"/>
          <w:lang w:val="zh-CN"/>
        </w:rPr>
        <w:t>1</w:t>
      </w:r>
      <w:r>
        <w:rPr>
          <w:rFonts w:hint="eastAsia" w:ascii="宋体" w:hAnsi="宋体"/>
          <w:color w:val="auto"/>
          <w:sz w:val="24"/>
          <w:szCs w:val="24"/>
          <w:highlight w:val="none"/>
        </w:rPr>
        <w:t>4</w:t>
      </w:r>
      <w:r>
        <w:rPr>
          <w:rFonts w:hint="eastAsia" w:ascii="宋体" w:hAnsi="宋体"/>
          <w:color w:val="auto"/>
          <w:sz w:val="24"/>
          <w:szCs w:val="24"/>
          <w:highlight w:val="none"/>
          <w:lang w:val="zh-CN"/>
        </w:rPr>
        <w:t>.1 供应商认为磋商文件、磋商过程和中标、成交结果使自己的权益受到损害的，可以在知道或者应知其权益受到损害之日起七个工作日内，以书面形式向采购代理机构提出质疑。</w:t>
      </w:r>
    </w:p>
    <w:p>
      <w:pPr>
        <w:autoSpaceDE w:val="0"/>
        <w:autoSpaceDN w:val="0"/>
        <w:adjustRightInd w:val="0"/>
        <w:snapToGrid w:val="0"/>
        <w:spacing w:line="360" w:lineRule="auto"/>
        <w:ind w:firstLine="484" w:firstLineChars="202"/>
        <w:jc w:val="left"/>
        <w:rPr>
          <w:rFonts w:ascii="宋体" w:hAnsi="宋体"/>
          <w:color w:val="auto"/>
          <w:sz w:val="24"/>
          <w:szCs w:val="24"/>
          <w:highlight w:val="none"/>
          <w:lang w:val="zh-CN"/>
        </w:rPr>
      </w:pPr>
      <w:r>
        <w:rPr>
          <w:rFonts w:hint="eastAsia" w:ascii="宋体" w:hAnsi="宋体"/>
          <w:color w:val="auto"/>
          <w:sz w:val="24"/>
          <w:szCs w:val="24"/>
          <w:highlight w:val="none"/>
          <w:lang w:val="zh-CN"/>
        </w:rPr>
        <w:t>1</w:t>
      </w:r>
      <w:r>
        <w:rPr>
          <w:rFonts w:hint="eastAsia" w:ascii="宋体" w:hAnsi="宋体"/>
          <w:color w:val="auto"/>
          <w:sz w:val="24"/>
          <w:szCs w:val="24"/>
          <w:highlight w:val="none"/>
        </w:rPr>
        <w:t>4</w:t>
      </w:r>
      <w:r>
        <w:rPr>
          <w:rFonts w:hint="eastAsia" w:ascii="宋体" w:hAnsi="宋体"/>
          <w:color w:val="auto"/>
          <w:sz w:val="24"/>
          <w:szCs w:val="24"/>
          <w:highlight w:val="none"/>
          <w:lang w:val="zh-CN"/>
        </w:rPr>
        <w:t>.2 供应商应知其权益受到损害之日，是指：对可以质疑的采购文件提出质疑的，为收到采购文件之日或者采购文件公告期限届满之日；对采购过程提出质疑的，为各采购程序环节结束之日；对中标或者成交结果提出质疑的，为中标或者成交结果公告期限届满之日。</w:t>
      </w:r>
    </w:p>
    <w:p>
      <w:pPr>
        <w:autoSpaceDE w:val="0"/>
        <w:autoSpaceDN w:val="0"/>
        <w:adjustRightInd w:val="0"/>
        <w:snapToGrid w:val="0"/>
        <w:spacing w:line="360" w:lineRule="auto"/>
        <w:ind w:firstLine="484" w:firstLineChars="202"/>
        <w:rPr>
          <w:rFonts w:ascii="宋体" w:hAnsi="宋体"/>
          <w:color w:val="auto"/>
          <w:sz w:val="24"/>
          <w:szCs w:val="24"/>
          <w:highlight w:val="none"/>
          <w:lang w:val="zh-CN"/>
        </w:rPr>
      </w:pPr>
      <w:r>
        <w:rPr>
          <w:rFonts w:hint="eastAsia" w:ascii="宋体" w:hAnsi="宋体"/>
          <w:color w:val="auto"/>
          <w:sz w:val="24"/>
          <w:szCs w:val="24"/>
          <w:highlight w:val="none"/>
        </w:rPr>
        <w:t xml:space="preserve">14.3 </w:t>
      </w:r>
      <w:r>
        <w:rPr>
          <w:rFonts w:hint="eastAsia" w:ascii="宋体" w:hAnsi="宋体"/>
          <w:color w:val="auto"/>
          <w:sz w:val="24"/>
          <w:szCs w:val="24"/>
          <w:highlight w:val="none"/>
          <w:lang w:val="zh-CN"/>
        </w:rPr>
        <w:t>提出质疑的供应商应当是参与所质疑项目采购活动的供应商。潜在供应商已依法获取其可质疑的采购文件的，可以对该文件提出质疑。</w:t>
      </w:r>
    </w:p>
    <w:p>
      <w:pPr>
        <w:autoSpaceDE w:val="0"/>
        <w:autoSpaceDN w:val="0"/>
        <w:adjustRightInd w:val="0"/>
        <w:snapToGrid w:val="0"/>
        <w:spacing w:line="360" w:lineRule="auto"/>
        <w:ind w:firstLine="484" w:firstLineChars="202"/>
        <w:rPr>
          <w:rFonts w:ascii="宋体" w:hAnsi="宋体"/>
          <w:color w:val="auto"/>
          <w:sz w:val="24"/>
          <w:szCs w:val="24"/>
          <w:highlight w:val="none"/>
          <w:lang w:val="zh-CN"/>
        </w:rPr>
      </w:pPr>
      <w:r>
        <w:rPr>
          <w:rFonts w:hint="eastAsia" w:ascii="宋体" w:hAnsi="宋体"/>
          <w:color w:val="auto"/>
          <w:sz w:val="24"/>
          <w:szCs w:val="24"/>
          <w:highlight w:val="none"/>
          <w:lang w:val="zh-CN"/>
        </w:rPr>
        <w:t>1</w:t>
      </w:r>
      <w:r>
        <w:rPr>
          <w:rFonts w:hint="eastAsia" w:ascii="宋体" w:hAnsi="宋体"/>
          <w:color w:val="auto"/>
          <w:sz w:val="24"/>
          <w:szCs w:val="24"/>
          <w:highlight w:val="none"/>
        </w:rPr>
        <w:t>4</w:t>
      </w:r>
      <w:r>
        <w:rPr>
          <w:rFonts w:hint="eastAsia" w:ascii="宋体" w:hAnsi="宋体"/>
          <w:color w:val="auto"/>
          <w:sz w:val="24"/>
          <w:szCs w:val="24"/>
          <w:highlight w:val="none"/>
          <w:lang w:val="zh-CN"/>
        </w:rPr>
        <w:t>.4 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pPr>
        <w:autoSpaceDE w:val="0"/>
        <w:autoSpaceDN w:val="0"/>
        <w:adjustRightInd w:val="0"/>
        <w:snapToGrid w:val="0"/>
        <w:spacing w:line="360" w:lineRule="auto"/>
        <w:ind w:firstLine="484" w:firstLineChars="202"/>
        <w:rPr>
          <w:rFonts w:ascii="宋体" w:hAnsi="宋体"/>
          <w:color w:val="auto"/>
          <w:sz w:val="24"/>
          <w:szCs w:val="24"/>
          <w:highlight w:val="none"/>
          <w:lang w:val="zh-CN"/>
        </w:rPr>
      </w:pPr>
      <w:r>
        <w:rPr>
          <w:rFonts w:hint="eastAsia" w:ascii="宋体" w:hAnsi="宋体"/>
          <w:color w:val="auto"/>
          <w:sz w:val="24"/>
          <w:szCs w:val="24"/>
          <w:highlight w:val="none"/>
          <w:lang w:val="zh-CN"/>
        </w:rPr>
        <w:t>1</w:t>
      </w:r>
      <w:r>
        <w:rPr>
          <w:rFonts w:hint="eastAsia" w:ascii="宋体" w:hAnsi="宋体"/>
          <w:color w:val="auto"/>
          <w:sz w:val="24"/>
          <w:szCs w:val="24"/>
          <w:highlight w:val="none"/>
        </w:rPr>
        <w:t>4</w:t>
      </w:r>
      <w:r>
        <w:rPr>
          <w:rFonts w:hint="eastAsia" w:ascii="宋体" w:hAnsi="宋体"/>
          <w:color w:val="auto"/>
          <w:sz w:val="24"/>
          <w:szCs w:val="24"/>
          <w:highlight w:val="none"/>
          <w:lang w:val="zh-CN"/>
        </w:rPr>
        <w:t>.5 以联合体形式参加政府采购活动的，其投诉应当由组成联合体的所有供应商共同提出。</w:t>
      </w:r>
    </w:p>
    <w:p>
      <w:pPr>
        <w:autoSpaceDE w:val="0"/>
        <w:autoSpaceDN w:val="0"/>
        <w:adjustRightInd w:val="0"/>
        <w:snapToGrid w:val="0"/>
        <w:spacing w:line="360" w:lineRule="auto"/>
        <w:ind w:firstLine="484" w:firstLineChars="202"/>
        <w:rPr>
          <w:rFonts w:ascii="宋体" w:hAnsi="宋体"/>
          <w:color w:val="auto"/>
          <w:sz w:val="24"/>
          <w:szCs w:val="24"/>
          <w:highlight w:val="none"/>
          <w:lang w:val="zh-CN"/>
        </w:rPr>
      </w:pPr>
      <w:r>
        <w:rPr>
          <w:rFonts w:hint="eastAsia" w:ascii="宋体" w:hAnsi="宋体"/>
          <w:color w:val="auto"/>
          <w:sz w:val="24"/>
          <w:szCs w:val="24"/>
          <w:highlight w:val="none"/>
        </w:rPr>
        <w:t xml:space="preserve">14.6 </w:t>
      </w:r>
      <w:r>
        <w:rPr>
          <w:rFonts w:hint="eastAsia" w:ascii="宋体" w:hAnsi="宋体"/>
          <w:color w:val="auto"/>
          <w:sz w:val="24"/>
          <w:szCs w:val="24"/>
          <w:highlight w:val="none"/>
          <w:lang w:val="zh-CN"/>
        </w:rPr>
        <w:t>供应商质疑应当有明确的请求和必要的证明材料。供应商必须在法定质疑期内一次性提出针对同一采购程序环节的质疑。</w:t>
      </w:r>
    </w:p>
    <w:p>
      <w:pPr>
        <w:autoSpaceDE w:val="0"/>
        <w:autoSpaceDN w:val="0"/>
        <w:adjustRightInd w:val="0"/>
        <w:snapToGrid w:val="0"/>
        <w:spacing w:line="360" w:lineRule="auto"/>
        <w:ind w:firstLine="484" w:firstLineChars="202"/>
        <w:rPr>
          <w:rFonts w:ascii="宋体" w:hAnsi="宋体"/>
          <w:color w:val="auto"/>
          <w:sz w:val="24"/>
          <w:szCs w:val="24"/>
          <w:highlight w:val="none"/>
          <w:lang w:val="zh-CN"/>
        </w:rPr>
      </w:pPr>
      <w:r>
        <w:rPr>
          <w:rFonts w:hint="eastAsia" w:ascii="宋体" w:hAnsi="宋体"/>
          <w:color w:val="auto"/>
          <w:sz w:val="24"/>
          <w:szCs w:val="24"/>
          <w:highlight w:val="none"/>
          <w:lang w:val="zh-CN"/>
        </w:rPr>
        <w:t>1</w:t>
      </w:r>
      <w:r>
        <w:rPr>
          <w:rFonts w:hint="eastAsia" w:ascii="宋体" w:hAnsi="宋体"/>
          <w:color w:val="auto"/>
          <w:sz w:val="24"/>
          <w:szCs w:val="24"/>
          <w:highlight w:val="none"/>
        </w:rPr>
        <w:t>4</w:t>
      </w:r>
      <w:r>
        <w:rPr>
          <w:rFonts w:hint="eastAsia" w:ascii="宋体" w:hAnsi="宋体"/>
          <w:color w:val="auto"/>
          <w:sz w:val="24"/>
          <w:szCs w:val="24"/>
          <w:highlight w:val="none"/>
          <w:lang w:val="zh-CN"/>
        </w:rPr>
        <w:t>.7 质疑函的主要内容须按照财政部制定的质疑函范本（财政部指定中国政府采购网发布）填写；供应商为自然人的，应当由本人签字；供应商为法人或者其他组织的，应当由法定代表人、主要负责人，或者其授权代表签字或者盖章，并加盖公章。</w:t>
      </w:r>
    </w:p>
    <w:p>
      <w:pPr>
        <w:autoSpaceDE w:val="0"/>
        <w:autoSpaceDN w:val="0"/>
        <w:adjustRightInd w:val="0"/>
        <w:snapToGrid w:val="0"/>
        <w:spacing w:line="360" w:lineRule="auto"/>
        <w:ind w:firstLine="484" w:firstLineChars="202"/>
        <w:rPr>
          <w:rFonts w:ascii="宋体" w:hAnsi="宋体"/>
          <w:color w:val="auto"/>
          <w:sz w:val="24"/>
          <w:szCs w:val="24"/>
          <w:highlight w:val="none"/>
          <w:lang w:val="zh-CN"/>
        </w:rPr>
      </w:pPr>
      <w:r>
        <w:rPr>
          <w:rFonts w:hint="eastAsia" w:ascii="宋体" w:hAnsi="宋体"/>
          <w:color w:val="auto"/>
          <w:sz w:val="24"/>
          <w:szCs w:val="24"/>
          <w:highlight w:val="none"/>
          <w:lang w:val="zh-CN"/>
        </w:rPr>
        <w:t>1</w:t>
      </w:r>
      <w:r>
        <w:rPr>
          <w:rFonts w:hint="eastAsia" w:ascii="宋体" w:hAnsi="宋体"/>
          <w:color w:val="auto"/>
          <w:sz w:val="24"/>
          <w:szCs w:val="24"/>
          <w:highlight w:val="none"/>
        </w:rPr>
        <w:t>4</w:t>
      </w:r>
      <w:r>
        <w:rPr>
          <w:rFonts w:hint="eastAsia" w:ascii="宋体" w:hAnsi="宋体"/>
          <w:color w:val="auto"/>
          <w:sz w:val="24"/>
          <w:szCs w:val="24"/>
          <w:highlight w:val="none"/>
          <w:lang w:val="zh-CN"/>
        </w:rPr>
        <w:t>.8 质疑函应当使用中文。相关当事人提供外文书证或者外国语视听资料的，应当附有中文译本，由翻译机构盖章或者翻译人员签名。</w:t>
      </w:r>
    </w:p>
    <w:p>
      <w:pPr>
        <w:autoSpaceDE w:val="0"/>
        <w:autoSpaceDN w:val="0"/>
        <w:adjustRightInd w:val="0"/>
        <w:snapToGrid w:val="0"/>
        <w:spacing w:line="360" w:lineRule="auto"/>
        <w:ind w:firstLine="484" w:firstLineChars="202"/>
        <w:rPr>
          <w:rFonts w:ascii="宋体" w:hAnsi="宋体"/>
          <w:color w:val="auto"/>
          <w:sz w:val="24"/>
          <w:szCs w:val="24"/>
          <w:highlight w:val="none"/>
          <w:lang w:val="zh-CN"/>
        </w:rPr>
      </w:pPr>
      <w:r>
        <w:rPr>
          <w:rFonts w:hint="eastAsia" w:ascii="宋体" w:hAnsi="宋体"/>
          <w:color w:val="auto"/>
          <w:sz w:val="24"/>
          <w:szCs w:val="24"/>
          <w:highlight w:val="none"/>
          <w:lang w:val="zh-CN"/>
        </w:rPr>
        <w:t>1</w:t>
      </w:r>
      <w:r>
        <w:rPr>
          <w:rFonts w:hint="eastAsia" w:ascii="宋体" w:hAnsi="宋体"/>
          <w:color w:val="auto"/>
          <w:sz w:val="24"/>
          <w:szCs w:val="24"/>
          <w:highlight w:val="none"/>
        </w:rPr>
        <w:t>4</w:t>
      </w:r>
      <w:r>
        <w:rPr>
          <w:rFonts w:hint="eastAsia" w:ascii="宋体" w:hAnsi="宋体"/>
          <w:color w:val="auto"/>
          <w:sz w:val="24"/>
          <w:szCs w:val="24"/>
          <w:highlight w:val="none"/>
          <w:lang w:val="zh-CN"/>
        </w:rPr>
        <w:t>.9 质疑函应当现场书面提交至采购代理机构联系人（详见竞争性磋商公告）处，提交时应出示有效身份证明。</w:t>
      </w:r>
    </w:p>
    <w:p>
      <w:pPr>
        <w:autoSpaceDE w:val="0"/>
        <w:autoSpaceDN w:val="0"/>
        <w:adjustRightInd w:val="0"/>
        <w:snapToGrid w:val="0"/>
        <w:spacing w:line="360" w:lineRule="auto"/>
        <w:ind w:firstLine="487" w:firstLineChars="202"/>
        <w:rPr>
          <w:rFonts w:ascii="宋体" w:hAnsi="宋体"/>
          <w:b/>
          <w:color w:val="auto"/>
          <w:sz w:val="24"/>
          <w:szCs w:val="24"/>
          <w:highlight w:val="none"/>
          <w:lang w:val="zh-CN"/>
        </w:rPr>
      </w:pPr>
      <w:r>
        <w:rPr>
          <w:rFonts w:hint="eastAsia" w:ascii="宋体" w:hAnsi="宋体"/>
          <w:b/>
          <w:color w:val="auto"/>
          <w:sz w:val="24"/>
          <w:szCs w:val="24"/>
          <w:highlight w:val="none"/>
          <w:lang w:val="zh-CN"/>
        </w:rPr>
        <w:t>1</w:t>
      </w:r>
      <w:r>
        <w:rPr>
          <w:rFonts w:hint="eastAsia" w:ascii="宋体" w:hAnsi="宋体"/>
          <w:b/>
          <w:color w:val="auto"/>
          <w:sz w:val="24"/>
          <w:szCs w:val="24"/>
          <w:highlight w:val="none"/>
        </w:rPr>
        <w:t>5</w:t>
      </w:r>
      <w:r>
        <w:rPr>
          <w:rFonts w:hint="eastAsia" w:ascii="宋体" w:hAnsi="宋体"/>
          <w:b/>
          <w:color w:val="auto"/>
          <w:sz w:val="24"/>
          <w:szCs w:val="24"/>
          <w:highlight w:val="none"/>
          <w:lang w:val="zh-CN"/>
        </w:rPr>
        <w:t>、投诉</w:t>
      </w:r>
    </w:p>
    <w:p>
      <w:pPr>
        <w:autoSpaceDE w:val="0"/>
        <w:autoSpaceDN w:val="0"/>
        <w:adjustRightInd w:val="0"/>
        <w:snapToGrid w:val="0"/>
        <w:spacing w:line="360" w:lineRule="auto"/>
        <w:ind w:firstLine="484" w:firstLineChars="202"/>
        <w:rPr>
          <w:rFonts w:ascii="宋体" w:hAnsi="宋体"/>
          <w:color w:val="auto"/>
          <w:sz w:val="24"/>
          <w:szCs w:val="24"/>
          <w:highlight w:val="none"/>
          <w:lang w:val="zh-CN"/>
        </w:rPr>
      </w:pPr>
      <w:r>
        <w:rPr>
          <w:rFonts w:hint="eastAsia" w:ascii="宋体" w:hAnsi="宋体"/>
          <w:color w:val="auto"/>
          <w:sz w:val="24"/>
          <w:szCs w:val="24"/>
          <w:highlight w:val="none"/>
          <w:lang w:val="zh-CN"/>
        </w:rPr>
        <w:t>1</w:t>
      </w:r>
      <w:r>
        <w:rPr>
          <w:rFonts w:hint="eastAsia" w:ascii="宋体" w:hAnsi="宋体"/>
          <w:color w:val="auto"/>
          <w:sz w:val="24"/>
          <w:szCs w:val="24"/>
          <w:highlight w:val="none"/>
        </w:rPr>
        <w:t>5</w:t>
      </w:r>
      <w:r>
        <w:rPr>
          <w:rFonts w:hint="eastAsia" w:ascii="宋体" w:hAnsi="宋体"/>
          <w:color w:val="auto"/>
          <w:sz w:val="24"/>
          <w:szCs w:val="24"/>
          <w:highlight w:val="none"/>
          <w:lang w:val="zh-CN"/>
        </w:rPr>
        <w:t>.1 供应商对采购代理机构的答复不满意或者采购代理机构未在规定的时间内作出答复的，可以在答复期满后十五个工作日内向同级政府采购监督管理部门投诉。</w:t>
      </w:r>
    </w:p>
    <w:p>
      <w:pPr>
        <w:autoSpaceDE w:val="0"/>
        <w:autoSpaceDN w:val="0"/>
        <w:adjustRightInd w:val="0"/>
        <w:snapToGrid w:val="0"/>
        <w:spacing w:line="360" w:lineRule="auto"/>
        <w:ind w:firstLine="484" w:firstLineChars="202"/>
        <w:rPr>
          <w:rFonts w:ascii="宋体" w:hAnsi="宋体"/>
          <w:color w:val="auto"/>
          <w:sz w:val="24"/>
          <w:szCs w:val="24"/>
          <w:highlight w:val="none"/>
          <w:lang w:val="zh-CN"/>
        </w:rPr>
      </w:pPr>
      <w:r>
        <w:rPr>
          <w:rFonts w:hint="eastAsia" w:ascii="宋体" w:hAnsi="宋体"/>
          <w:color w:val="auto"/>
          <w:sz w:val="24"/>
          <w:szCs w:val="24"/>
          <w:highlight w:val="none"/>
          <w:lang w:val="zh-CN"/>
        </w:rPr>
        <w:t>1</w:t>
      </w:r>
      <w:r>
        <w:rPr>
          <w:rFonts w:hint="eastAsia" w:ascii="宋体" w:hAnsi="宋体"/>
          <w:color w:val="auto"/>
          <w:sz w:val="24"/>
          <w:szCs w:val="24"/>
          <w:highlight w:val="none"/>
        </w:rPr>
        <w:t>5</w:t>
      </w:r>
      <w:r>
        <w:rPr>
          <w:rFonts w:hint="eastAsia" w:ascii="宋体" w:hAnsi="宋体"/>
          <w:color w:val="auto"/>
          <w:sz w:val="24"/>
          <w:szCs w:val="24"/>
          <w:highlight w:val="none"/>
          <w:lang w:val="zh-CN"/>
        </w:rPr>
        <w:t>.2 供应商投诉应当有明确的请求和必要的证明材料。供应商投诉的事项不得超出已质疑事项的范围。</w:t>
      </w:r>
    </w:p>
    <w:p>
      <w:pPr>
        <w:autoSpaceDE w:val="0"/>
        <w:autoSpaceDN w:val="0"/>
        <w:adjustRightInd w:val="0"/>
        <w:snapToGrid w:val="0"/>
        <w:spacing w:line="360" w:lineRule="auto"/>
        <w:ind w:firstLine="484" w:firstLineChars="202"/>
        <w:rPr>
          <w:rFonts w:ascii="宋体" w:hAnsi="宋体"/>
          <w:color w:val="auto"/>
          <w:sz w:val="24"/>
          <w:szCs w:val="24"/>
          <w:highlight w:val="none"/>
          <w:lang w:val="zh-CN"/>
        </w:rPr>
      </w:pPr>
      <w:r>
        <w:rPr>
          <w:rFonts w:hint="eastAsia" w:ascii="宋体" w:hAnsi="宋体"/>
          <w:color w:val="auto"/>
          <w:sz w:val="24"/>
          <w:szCs w:val="24"/>
          <w:highlight w:val="none"/>
          <w:lang w:val="zh-CN"/>
        </w:rPr>
        <w:t>1</w:t>
      </w:r>
      <w:r>
        <w:rPr>
          <w:rFonts w:hint="eastAsia" w:ascii="宋体" w:hAnsi="宋体"/>
          <w:color w:val="auto"/>
          <w:sz w:val="24"/>
          <w:szCs w:val="24"/>
          <w:highlight w:val="none"/>
        </w:rPr>
        <w:t>5</w:t>
      </w:r>
      <w:r>
        <w:rPr>
          <w:rFonts w:hint="eastAsia" w:ascii="宋体" w:hAnsi="宋体"/>
          <w:color w:val="auto"/>
          <w:sz w:val="24"/>
          <w:szCs w:val="24"/>
          <w:highlight w:val="none"/>
          <w:lang w:val="zh-CN"/>
        </w:rPr>
        <w:t xml:space="preserve">.3 </w:t>
      </w:r>
      <w:r>
        <w:rPr>
          <w:rFonts w:ascii="宋体" w:hAnsi="宋体"/>
          <w:color w:val="auto"/>
          <w:sz w:val="24"/>
          <w:szCs w:val="24"/>
          <w:highlight w:val="none"/>
          <w:lang w:val="zh-CN"/>
        </w:rPr>
        <w:t>投诉人对政府采购监督管理部门的投诉处理决定不服或者政府采购监督管理部门逾期未作处理的，可以依法申请行政复议或者向人民法院提起行政诉讼。</w:t>
      </w:r>
    </w:p>
    <w:p>
      <w:pPr>
        <w:autoSpaceDE w:val="0"/>
        <w:autoSpaceDN w:val="0"/>
        <w:adjustRightInd w:val="0"/>
        <w:snapToGrid w:val="0"/>
        <w:spacing w:line="360" w:lineRule="auto"/>
        <w:ind w:firstLine="484" w:firstLineChars="202"/>
        <w:rPr>
          <w:rFonts w:ascii="宋体" w:hAnsi="宋体"/>
          <w:color w:val="auto"/>
          <w:sz w:val="24"/>
          <w:szCs w:val="24"/>
          <w:highlight w:val="none"/>
          <w:lang w:val="zh-CN"/>
        </w:rPr>
      </w:pPr>
      <w:r>
        <w:rPr>
          <w:rFonts w:hint="eastAsia" w:ascii="宋体" w:hAnsi="宋体"/>
          <w:color w:val="auto"/>
          <w:sz w:val="24"/>
          <w:szCs w:val="24"/>
          <w:highlight w:val="none"/>
        </w:rPr>
        <w:t>15</w:t>
      </w:r>
      <w:r>
        <w:rPr>
          <w:rFonts w:hint="eastAsia" w:ascii="宋体" w:hAnsi="宋体"/>
          <w:color w:val="auto"/>
          <w:sz w:val="24"/>
          <w:szCs w:val="24"/>
          <w:highlight w:val="none"/>
          <w:lang w:val="zh-CN"/>
        </w:rPr>
        <w:t>.4 投诉人在全国范围12个月内三次以上投诉查无实据的，由财政部门列入不良行为记录名单。</w:t>
      </w:r>
    </w:p>
    <w:p>
      <w:pPr>
        <w:autoSpaceDE w:val="0"/>
        <w:autoSpaceDN w:val="0"/>
        <w:adjustRightInd w:val="0"/>
        <w:snapToGrid w:val="0"/>
        <w:spacing w:line="360" w:lineRule="auto"/>
        <w:ind w:firstLine="484" w:firstLineChars="202"/>
        <w:rPr>
          <w:rFonts w:ascii="宋体" w:hAnsi="宋体"/>
          <w:color w:val="auto"/>
          <w:sz w:val="24"/>
          <w:szCs w:val="24"/>
          <w:highlight w:val="none"/>
          <w:lang w:val="zh-CN"/>
        </w:rPr>
      </w:pPr>
      <w:r>
        <w:rPr>
          <w:rFonts w:hint="eastAsia" w:ascii="宋体" w:hAnsi="宋体"/>
          <w:color w:val="auto"/>
          <w:sz w:val="24"/>
          <w:szCs w:val="24"/>
          <w:highlight w:val="none"/>
          <w:lang w:val="zh-CN"/>
        </w:rPr>
        <w:t>1</w:t>
      </w:r>
      <w:r>
        <w:rPr>
          <w:rFonts w:hint="eastAsia" w:ascii="宋体" w:hAnsi="宋体"/>
          <w:color w:val="auto"/>
          <w:sz w:val="24"/>
          <w:szCs w:val="24"/>
          <w:highlight w:val="none"/>
        </w:rPr>
        <w:t>5</w:t>
      </w:r>
      <w:r>
        <w:rPr>
          <w:rFonts w:hint="eastAsia" w:ascii="宋体" w:hAnsi="宋体"/>
          <w:color w:val="auto"/>
          <w:sz w:val="24"/>
          <w:szCs w:val="24"/>
          <w:highlight w:val="none"/>
          <w:lang w:val="zh-CN"/>
        </w:rPr>
        <w:t>.5 投诉人有下列行为之一的，属于虚假、恶意投诉，由财政部门列入不良行为记录名单，禁止其1至3年内参加政府采购活动：</w:t>
      </w:r>
    </w:p>
    <w:p>
      <w:pPr>
        <w:autoSpaceDE w:val="0"/>
        <w:autoSpaceDN w:val="0"/>
        <w:adjustRightInd w:val="0"/>
        <w:snapToGrid w:val="0"/>
        <w:spacing w:line="360" w:lineRule="auto"/>
        <w:ind w:firstLine="484" w:firstLineChars="202"/>
        <w:rPr>
          <w:rFonts w:ascii="宋体" w:hAnsi="宋体"/>
          <w:color w:val="auto"/>
          <w:sz w:val="24"/>
          <w:szCs w:val="24"/>
          <w:highlight w:val="none"/>
          <w:lang w:val="zh-CN"/>
        </w:rPr>
      </w:pPr>
      <w:r>
        <w:rPr>
          <w:rFonts w:hint="eastAsia" w:ascii="宋体" w:hAnsi="宋体"/>
          <w:color w:val="auto"/>
          <w:sz w:val="24"/>
          <w:szCs w:val="24"/>
          <w:highlight w:val="none"/>
          <w:lang w:val="zh-CN"/>
        </w:rPr>
        <w:t>（1）捏造事实；</w:t>
      </w:r>
    </w:p>
    <w:p>
      <w:pPr>
        <w:autoSpaceDE w:val="0"/>
        <w:autoSpaceDN w:val="0"/>
        <w:adjustRightInd w:val="0"/>
        <w:snapToGrid w:val="0"/>
        <w:spacing w:line="360" w:lineRule="auto"/>
        <w:ind w:firstLine="484" w:firstLineChars="202"/>
        <w:rPr>
          <w:rFonts w:ascii="宋体" w:hAnsi="宋体"/>
          <w:color w:val="auto"/>
          <w:sz w:val="24"/>
          <w:szCs w:val="24"/>
          <w:highlight w:val="none"/>
          <w:lang w:val="zh-CN"/>
        </w:rPr>
      </w:pPr>
      <w:r>
        <w:rPr>
          <w:rFonts w:hint="eastAsia" w:ascii="宋体" w:hAnsi="宋体"/>
          <w:color w:val="auto"/>
          <w:sz w:val="24"/>
          <w:szCs w:val="24"/>
          <w:highlight w:val="none"/>
          <w:lang w:val="zh-CN"/>
        </w:rPr>
        <w:t>（2）提供虚假材料；</w:t>
      </w:r>
    </w:p>
    <w:p>
      <w:pPr>
        <w:autoSpaceDE w:val="0"/>
        <w:autoSpaceDN w:val="0"/>
        <w:adjustRightInd w:val="0"/>
        <w:snapToGrid w:val="0"/>
        <w:spacing w:line="360" w:lineRule="auto"/>
        <w:ind w:firstLine="484" w:firstLineChars="202"/>
        <w:rPr>
          <w:rFonts w:ascii="宋体" w:hAnsi="宋体"/>
          <w:color w:val="auto"/>
          <w:sz w:val="24"/>
          <w:szCs w:val="24"/>
          <w:highlight w:val="none"/>
          <w:lang w:val="zh-CN"/>
        </w:rPr>
      </w:pPr>
      <w:r>
        <w:rPr>
          <w:rFonts w:hint="eastAsia" w:ascii="宋体" w:hAnsi="宋体"/>
          <w:color w:val="auto"/>
          <w:sz w:val="24"/>
          <w:szCs w:val="24"/>
          <w:highlight w:val="none"/>
          <w:lang w:val="zh-CN"/>
        </w:rPr>
        <w:t>（3）以非法手段取得证明材料。证据来源的合法性存在明显疑问，投诉人无法证明其取得方式合法的，视为以非法手段取得证明材料。</w:t>
      </w:r>
    </w:p>
    <w:p>
      <w:pPr>
        <w:tabs>
          <w:tab w:val="left" w:pos="5355"/>
        </w:tabs>
        <w:autoSpaceDE w:val="0"/>
        <w:autoSpaceDN w:val="0"/>
        <w:adjustRightInd w:val="0"/>
        <w:spacing w:line="360" w:lineRule="auto"/>
        <w:ind w:firstLine="420"/>
        <w:rPr>
          <w:rFonts w:ascii="宋体" w:hAnsi="宋体"/>
          <w:color w:val="auto"/>
          <w:sz w:val="24"/>
          <w:szCs w:val="24"/>
          <w:highlight w:val="none"/>
          <w:lang w:val="zh-CN"/>
        </w:rPr>
      </w:pPr>
      <w:r>
        <w:rPr>
          <w:rFonts w:hint="eastAsia" w:ascii="宋体" w:hAnsi="宋体"/>
          <w:color w:val="auto"/>
          <w:sz w:val="24"/>
          <w:szCs w:val="24"/>
          <w:highlight w:val="none"/>
          <w:lang w:val="zh-CN"/>
        </w:rPr>
        <w:t>1</w:t>
      </w:r>
      <w:r>
        <w:rPr>
          <w:rFonts w:hint="eastAsia" w:ascii="宋体" w:hAnsi="宋体"/>
          <w:color w:val="auto"/>
          <w:sz w:val="24"/>
          <w:szCs w:val="24"/>
          <w:highlight w:val="none"/>
        </w:rPr>
        <w:t>5</w:t>
      </w:r>
      <w:r>
        <w:rPr>
          <w:rFonts w:hint="eastAsia" w:ascii="宋体" w:hAnsi="宋体"/>
          <w:color w:val="auto"/>
          <w:sz w:val="24"/>
          <w:szCs w:val="24"/>
          <w:highlight w:val="none"/>
          <w:lang w:val="zh-CN"/>
        </w:rPr>
        <w:t>.6</w:t>
      </w:r>
      <w:r>
        <w:rPr>
          <w:rFonts w:hint="eastAsia" w:ascii="宋体" w:hAnsi="宋体"/>
          <w:color w:val="auto"/>
          <w:sz w:val="24"/>
          <w:szCs w:val="24"/>
          <w:highlight w:val="none"/>
        </w:rPr>
        <w:t xml:space="preserve"> </w:t>
      </w:r>
      <w:r>
        <w:rPr>
          <w:rFonts w:hint="eastAsia" w:ascii="宋体" w:hAnsi="宋体"/>
          <w:color w:val="auto"/>
          <w:sz w:val="24"/>
          <w:szCs w:val="24"/>
          <w:highlight w:val="none"/>
          <w:lang w:val="zh-CN"/>
        </w:rPr>
        <w:t>任何单位和个人对采购代理机构在采购活动中的违法行为，有权控告和检举。</w:t>
      </w:r>
    </w:p>
    <w:p>
      <w:pPr>
        <w:tabs>
          <w:tab w:val="left" w:pos="5355"/>
        </w:tabs>
        <w:autoSpaceDE w:val="0"/>
        <w:autoSpaceDN w:val="0"/>
        <w:adjustRightInd w:val="0"/>
        <w:spacing w:line="360" w:lineRule="auto"/>
        <w:ind w:firstLine="420"/>
        <w:rPr>
          <w:rFonts w:ascii="宋体" w:hAnsi="宋体"/>
          <w:b/>
          <w:bCs/>
          <w:color w:val="auto"/>
          <w:sz w:val="24"/>
          <w:szCs w:val="24"/>
          <w:highlight w:val="none"/>
          <w:lang w:val="zh-CN"/>
        </w:rPr>
      </w:pPr>
      <w:r>
        <w:rPr>
          <w:rFonts w:hint="eastAsia" w:ascii="宋体" w:hAnsi="宋体"/>
          <w:b/>
          <w:color w:val="auto"/>
          <w:sz w:val="24"/>
          <w:szCs w:val="24"/>
          <w:highlight w:val="none"/>
          <w:lang w:val="zh-CN"/>
        </w:rPr>
        <w:t>六、</w:t>
      </w:r>
      <w:r>
        <w:rPr>
          <w:rFonts w:hint="eastAsia" w:ascii="宋体" w:hAnsi="宋体"/>
          <w:b/>
          <w:bCs/>
          <w:color w:val="auto"/>
          <w:sz w:val="24"/>
          <w:szCs w:val="24"/>
          <w:highlight w:val="none"/>
          <w:lang w:val="zh-CN"/>
        </w:rPr>
        <w:t>诚实信用</w:t>
      </w:r>
    </w:p>
    <w:p>
      <w:pPr>
        <w:autoSpaceDE w:val="0"/>
        <w:autoSpaceDN w:val="0"/>
        <w:adjustRightInd w:val="0"/>
        <w:spacing w:line="360" w:lineRule="auto"/>
        <w:ind w:firstLine="420"/>
        <w:rPr>
          <w:rFonts w:ascii="宋体" w:hAnsi="宋体"/>
          <w:color w:val="auto"/>
          <w:sz w:val="24"/>
          <w:szCs w:val="24"/>
          <w:highlight w:val="none"/>
          <w:lang w:val="zh-CN"/>
        </w:rPr>
      </w:pPr>
      <w:r>
        <w:rPr>
          <w:rFonts w:hint="eastAsia" w:ascii="宋体" w:hAnsi="宋体"/>
          <w:color w:val="auto"/>
          <w:sz w:val="24"/>
          <w:szCs w:val="24"/>
          <w:highlight w:val="none"/>
          <w:lang w:val="zh-CN"/>
        </w:rPr>
        <w:t>1</w:t>
      </w:r>
      <w:r>
        <w:rPr>
          <w:rFonts w:hint="eastAsia" w:ascii="宋体" w:hAnsi="宋体"/>
          <w:color w:val="auto"/>
          <w:sz w:val="24"/>
          <w:szCs w:val="24"/>
          <w:highlight w:val="none"/>
        </w:rPr>
        <w:t>6</w:t>
      </w:r>
      <w:r>
        <w:rPr>
          <w:rFonts w:ascii="宋体" w:hAnsi="宋体"/>
          <w:color w:val="auto"/>
          <w:sz w:val="24"/>
          <w:szCs w:val="24"/>
          <w:highlight w:val="none"/>
          <w:lang w:val="zh-CN"/>
        </w:rPr>
        <w:t>.1</w:t>
      </w:r>
      <w:r>
        <w:rPr>
          <w:rFonts w:hint="eastAsia" w:ascii="宋体" w:hAnsi="宋体"/>
          <w:color w:val="auto"/>
          <w:sz w:val="24"/>
          <w:szCs w:val="24"/>
          <w:highlight w:val="none"/>
          <w:lang w:val="zh-CN"/>
        </w:rPr>
        <w:t xml:space="preserve"> 供应商之间不得相互串通报价，不得妨碍其他供应商的公平竞争，不得损害采购人和其他供应商的合法权益。</w:t>
      </w:r>
    </w:p>
    <w:p>
      <w:pPr>
        <w:autoSpaceDE w:val="0"/>
        <w:autoSpaceDN w:val="0"/>
        <w:adjustRightInd w:val="0"/>
        <w:spacing w:line="360" w:lineRule="auto"/>
        <w:ind w:firstLine="420"/>
        <w:rPr>
          <w:rFonts w:ascii="宋体" w:hAnsi="宋体"/>
          <w:color w:val="auto"/>
          <w:sz w:val="24"/>
          <w:szCs w:val="24"/>
          <w:highlight w:val="none"/>
          <w:lang w:val="zh-CN"/>
        </w:rPr>
      </w:pPr>
      <w:r>
        <w:rPr>
          <w:rFonts w:hint="eastAsia" w:ascii="宋体" w:hAnsi="宋体"/>
          <w:color w:val="auto"/>
          <w:sz w:val="24"/>
          <w:szCs w:val="24"/>
          <w:highlight w:val="none"/>
          <w:lang w:val="zh-CN"/>
        </w:rPr>
        <w:t>1</w:t>
      </w:r>
      <w:r>
        <w:rPr>
          <w:rFonts w:hint="eastAsia" w:ascii="宋体" w:hAnsi="宋体"/>
          <w:color w:val="auto"/>
          <w:sz w:val="24"/>
          <w:szCs w:val="24"/>
          <w:highlight w:val="none"/>
        </w:rPr>
        <w:t>6</w:t>
      </w:r>
      <w:r>
        <w:rPr>
          <w:rFonts w:hint="eastAsia" w:ascii="宋体" w:hAnsi="宋体"/>
          <w:color w:val="auto"/>
          <w:sz w:val="24"/>
          <w:szCs w:val="24"/>
          <w:highlight w:val="none"/>
          <w:lang w:val="zh-CN"/>
        </w:rPr>
        <w:t>.2 供应商不得以向采购代理机构工作人员、磋商委员会成员行贿或者采取其他不正当手段谋取成交。经查实供应商有此行为的，</w:t>
      </w:r>
      <w:r>
        <w:rPr>
          <w:rFonts w:ascii="宋体" w:hAnsi="宋体"/>
          <w:color w:val="auto"/>
          <w:sz w:val="24"/>
          <w:szCs w:val="24"/>
          <w:highlight w:val="none"/>
        </w:rPr>
        <w:t>将在</w:t>
      </w:r>
      <w:r>
        <w:rPr>
          <w:rFonts w:hint="eastAsia" w:ascii="宋体" w:hAnsi="宋体"/>
          <w:color w:val="auto"/>
          <w:sz w:val="24"/>
          <w:szCs w:val="24"/>
          <w:highlight w:val="none"/>
        </w:rPr>
        <w:t>本项目发布媒体上进行</w:t>
      </w:r>
      <w:r>
        <w:rPr>
          <w:rFonts w:ascii="宋体" w:hAnsi="宋体"/>
          <w:color w:val="auto"/>
          <w:sz w:val="24"/>
          <w:szCs w:val="24"/>
          <w:highlight w:val="none"/>
        </w:rPr>
        <w:t>公告，政府采购管理部门将供应商列入不良行为记录名单，按照《政府采购法》有关规定处理。</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zh-CN"/>
        </w:rPr>
        <w:t>1</w:t>
      </w:r>
      <w:r>
        <w:rPr>
          <w:rFonts w:hint="eastAsia" w:ascii="宋体" w:hAnsi="宋体"/>
          <w:color w:val="auto"/>
          <w:sz w:val="24"/>
          <w:szCs w:val="24"/>
          <w:highlight w:val="none"/>
        </w:rPr>
        <w:t>6</w:t>
      </w:r>
      <w:r>
        <w:rPr>
          <w:rFonts w:hint="eastAsia" w:ascii="宋体" w:hAnsi="宋体"/>
          <w:color w:val="auto"/>
          <w:sz w:val="24"/>
          <w:szCs w:val="24"/>
          <w:highlight w:val="none"/>
          <w:lang w:val="zh-CN"/>
        </w:rPr>
        <w:t>.3 供应商不得虚假质疑和恶意质疑，并对质疑内容的真实性承担责任。</w:t>
      </w:r>
      <w:r>
        <w:rPr>
          <w:rFonts w:hint="eastAsia" w:ascii="宋体" w:hAnsi="宋体"/>
          <w:color w:val="auto"/>
          <w:sz w:val="24"/>
          <w:szCs w:val="24"/>
          <w:highlight w:val="none"/>
        </w:rPr>
        <w:t>供应商或者其他利害关系人通过捏造事实、伪造证明材料等方式提出异议或投诉，阻碍采购活动正常进行的，属于严重不良行为，采购中心将提请财政部门将其列入不良行为记录名单，并依法予以处罚。</w:t>
      </w:r>
    </w:p>
    <w:p>
      <w:pPr>
        <w:spacing w:line="360" w:lineRule="auto"/>
        <w:ind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1</w:t>
      </w:r>
      <w:r>
        <w:rPr>
          <w:rFonts w:hint="eastAsia" w:ascii="宋体" w:hAnsi="宋体"/>
          <w:color w:val="auto"/>
          <w:sz w:val="24"/>
          <w:szCs w:val="24"/>
          <w:highlight w:val="none"/>
        </w:rPr>
        <w:t>6</w:t>
      </w:r>
      <w:r>
        <w:rPr>
          <w:rFonts w:hint="eastAsia" w:ascii="宋体" w:hAnsi="宋体"/>
          <w:color w:val="auto"/>
          <w:sz w:val="24"/>
          <w:szCs w:val="24"/>
          <w:highlight w:val="none"/>
          <w:lang w:val="zh-CN"/>
        </w:rPr>
        <w:t>.4 供应商不得虚假承诺，否则，按照提供虚假材料谋取成交处理。</w:t>
      </w:r>
    </w:p>
    <w:p>
      <w:pPr>
        <w:spacing w:line="360" w:lineRule="auto"/>
        <w:ind w:firstLine="482" w:firstLineChars="200"/>
        <w:rPr>
          <w:rFonts w:ascii="宋体" w:hAnsi="宋体" w:cs="宋体"/>
          <w:b/>
          <w:color w:val="auto"/>
          <w:kern w:val="0"/>
          <w:sz w:val="24"/>
          <w:szCs w:val="24"/>
          <w:highlight w:val="none"/>
          <w:lang w:val="zh-CN"/>
        </w:rPr>
      </w:pPr>
      <w:r>
        <w:rPr>
          <w:rFonts w:hint="eastAsia" w:ascii="宋体" w:hAnsi="宋体" w:cs="宋体"/>
          <w:b/>
          <w:color w:val="auto"/>
          <w:sz w:val="24"/>
          <w:szCs w:val="24"/>
          <w:highlight w:val="none"/>
        </w:rPr>
        <w:t>七</w:t>
      </w:r>
      <w:r>
        <w:rPr>
          <w:rFonts w:hint="eastAsia" w:ascii="宋体" w:hAnsi="宋体" w:cs="宋体"/>
          <w:b/>
          <w:color w:val="auto"/>
          <w:sz w:val="24"/>
          <w:szCs w:val="24"/>
          <w:highlight w:val="none"/>
          <w:lang w:val="zh-CN"/>
        </w:rPr>
        <w:t>、磋商费用</w:t>
      </w:r>
    </w:p>
    <w:p>
      <w:pPr>
        <w:spacing w:line="360" w:lineRule="auto"/>
        <w:ind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1</w:t>
      </w:r>
      <w:r>
        <w:rPr>
          <w:rFonts w:hint="eastAsia" w:ascii="宋体" w:hAnsi="宋体"/>
          <w:color w:val="auto"/>
          <w:sz w:val="24"/>
          <w:szCs w:val="24"/>
          <w:highlight w:val="none"/>
        </w:rPr>
        <w:t>7</w:t>
      </w:r>
      <w:r>
        <w:rPr>
          <w:rFonts w:hint="eastAsia" w:ascii="宋体" w:hAnsi="宋体"/>
          <w:color w:val="auto"/>
          <w:sz w:val="24"/>
          <w:szCs w:val="24"/>
          <w:highlight w:val="none"/>
          <w:lang w:val="zh-CN"/>
        </w:rPr>
        <w:t>.1 供应商应承担所有与准备和参加磋商有关的费用，无论采购结果如何，采购代理机构和采购人在任何情况下均无义务和责任承担这些费用。</w:t>
      </w:r>
    </w:p>
    <w:p>
      <w:pPr>
        <w:spacing w:line="360" w:lineRule="auto"/>
        <w:ind w:firstLine="482" w:firstLineChars="200"/>
        <w:jc w:val="left"/>
        <w:rPr>
          <w:rFonts w:ascii="宋体" w:hAnsi="宋体"/>
          <w:b/>
          <w:bCs/>
          <w:color w:val="auto"/>
          <w:sz w:val="24"/>
          <w:szCs w:val="24"/>
          <w:highlight w:val="none"/>
          <w:lang w:val="zh-CN"/>
        </w:rPr>
      </w:pPr>
      <w:r>
        <w:rPr>
          <w:rFonts w:hint="eastAsia" w:ascii="宋体" w:hAnsi="宋体"/>
          <w:b/>
          <w:bCs/>
          <w:color w:val="auto"/>
          <w:sz w:val="24"/>
          <w:szCs w:val="24"/>
          <w:highlight w:val="none"/>
          <w:lang w:val="zh-CN"/>
        </w:rPr>
        <w:t>1</w:t>
      </w:r>
      <w:r>
        <w:rPr>
          <w:rFonts w:hint="eastAsia" w:ascii="宋体" w:hAnsi="宋体"/>
          <w:b/>
          <w:bCs/>
          <w:color w:val="auto"/>
          <w:sz w:val="24"/>
          <w:szCs w:val="24"/>
          <w:highlight w:val="none"/>
        </w:rPr>
        <w:t>7</w:t>
      </w:r>
      <w:r>
        <w:rPr>
          <w:rFonts w:hint="eastAsia" w:ascii="宋体" w:hAnsi="宋体"/>
          <w:b/>
          <w:bCs/>
          <w:color w:val="auto"/>
          <w:sz w:val="24"/>
          <w:szCs w:val="24"/>
          <w:highlight w:val="none"/>
          <w:lang w:val="zh-CN"/>
        </w:rPr>
        <w:t>.2本次采购（</w:t>
      </w:r>
      <w:r>
        <w:rPr>
          <w:rFonts w:hint="eastAsia" w:ascii="宋体" w:hAnsi="宋体"/>
          <w:b/>
          <w:bCs/>
          <w:color w:val="auto"/>
          <w:sz w:val="24"/>
          <w:szCs w:val="24"/>
          <w:highlight w:val="none"/>
        </w:rPr>
        <w:t>1</w:t>
      </w:r>
      <w:r>
        <w:rPr>
          <w:rFonts w:hint="eastAsia" w:ascii="宋体" w:hAnsi="宋体"/>
          <w:b/>
          <w:bCs/>
          <w:color w:val="auto"/>
          <w:sz w:val="24"/>
          <w:szCs w:val="24"/>
          <w:highlight w:val="none"/>
          <w:lang w:val="zh-CN"/>
        </w:rPr>
        <w:t>）招标代理费由中标单位支付。参照国家发展计划委员会发布的计价格【2002】1980号文件所附的招标代理业务收费标准下浮65%执行。单个项目代理服务费不足500元，按最低收费标准500元收取。（</w:t>
      </w:r>
      <w:r>
        <w:rPr>
          <w:rFonts w:hint="eastAsia" w:ascii="宋体" w:hAnsi="宋体"/>
          <w:b/>
          <w:bCs/>
          <w:color w:val="auto"/>
          <w:sz w:val="24"/>
          <w:szCs w:val="24"/>
          <w:highlight w:val="none"/>
        </w:rPr>
        <w:t>2</w:t>
      </w:r>
      <w:r>
        <w:rPr>
          <w:rFonts w:hint="eastAsia" w:ascii="宋体" w:hAnsi="宋体"/>
          <w:b/>
          <w:bCs/>
          <w:color w:val="auto"/>
          <w:sz w:val="24"/>
          <w:szCs w:val="24"/>
          <w:highlight w:val="none"/>
          <w:lang w:val="zh-CN"/>
        </w:rPr>
        <w:t>）评审费用按【苏财购{2016}48号】由代理公司先行制作发放表，项目结束后5个工作日内由采购人直接按实支付评审专家费给代理公司，甲方评审代表的评审费由甲方自行支付。（注：</w:t>
      </w:r>
      <w:r>
        <w:rPr>
          <w:rFonts w:hint="eastAsia" w:ascii="宋体" w:hAnsi="宋体"/>
          <w:b/>
          <w:bCs/>
          <w:color w:val="auto"/>
          <w:sz w:val="24"/>
          <w:szCs w:val="24"/>
          <w:highlight w:val="none"/>
        </w:rPr>
        <w:t>供应商</w:t>
      </w:r>
      <w:r>
        <w:rPr>
          <w:rFonts w:hint="eastAsia" w:ascii="宋体" w:hAnsi="宋体"/>
          <w:b/>
          <w:bCs/>
          <w:color w:val="auto"/>
          <w:sz w:val="24"/>
          <w:szCs w:val="24"/>
          <w:highlight w:val="none"/>
          <w:lang w:val="zh-CN"/>
        </w:rPr>
        <w:t>在投标报价中综合考虑上述费用。）</w:t>
      </w:r>
    </w:p>
    <w:p>
      <w:pPr>
        <w:pStyle w:val="3"/>
        <w:rPr>
          <w:rFonts w:hint="eastAsia"/>
          <w:color w:val="auto"/>
          <w:highlight w:val="none"/>
        </w:rPr>
        <w:sectPr>
          <w:footerReference r:id="rId5" w:type="default"/>
          <w:pgSz w:w="11906" w:h="16838"/>
          <w:pgMar w:top="1440" w:right="1797" w:bottom="1440" w:left="1797" w:header="851" w:footer="992" w:gutter="0"/>
          <w:cols w:space="720" w:num="1"/>
          <w:docGrid w:linePitch="312" w:charSpace="0"/>
        </w:sectPr>
      </w:pPr>
      <w:bookmarkStart w:id="44" w:name="_Toc534273794"/>
    </w:p>
    <w:p>
      <w:pPr>
        <w:pStyle w:val="3"/>
        <w:rPr>
          <w:color w:val="auto"/>
          <w:highlight w:val="none"/>
          <w:lang w:val="en-US"/>
        </w:rPr>
      </w:pPr>
      <w:r>
        <w:rPr>
          <w:rFonts w:hint="eastAsia"/>
          <w:color w:val="auto"/>
          <w:highlight w:val="none"/>
        </w:rPr>
        <w:t>第</w:t>
      </w:r>
      <w:r>
        <w:rPr>
          <w:rFonts w:hint="eastAsia"/>
          <w:color w:val="auto"/>
          <w:highlight w:val="none"/>
          <w:lang w:val="en-US"/>
        </w:rPr>
        <w:t>三</w:t>
      </w:r>
      <w:r>
        <w:rPr>
          <w:rFonts w:hint="eastAsia"/>
          <w:color w:val="auto"/>
          <w:highlight w:val="none"/>
        </w:rPr>
        <w:t xml:space="preserve">章 </w:t>
      </w:r>
      <w:r>
        <w:rPr>
          <w:rFonts w:hint="eastAsia"/>
          <w:color w:val="auto"/>
          <w:highlight w:val="none"/>
          <w:lang w:val="en-US"/>
        </w:rPr>
        <w:t>评标标准</w:t>
      </w:r>
    </w:p>
    <w:bookmarkEnd w:id="44"/>
    <w:p>
      <w:pPr>
        <w:widowControl/>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本项目采用综合评分法，评分统计方法采用百分制（满分100分），商务技术分统计：按照评审程序、评分标准以及分值分配的规定，磋商小组成员分别就各个供应商的商务技术状况，对其磋商文件要求的响应情况进行评议和比较，评出各供应商的商务技术总分，全部评委的评分的算术平均值即为该供应商的技术商务最终得分（小数点后保留2位）。</w:t>
      </w:r>
      <w:r>
        <w:rPr>
          <w:rFonts w:hint="eastAsia" w:ascii="宋体" w:hAnsi="宋体"/>
          <w:color w:val="auto"/>
          <w:sz w:val="24"/>
          <w:szCs w:val="24"/>
          <w:highlight w:val="none"/>
          <w:lang w:bidi="ar"/>
        </w:rPr>
        <w:t>以上评审完成后，按投标人的总得分从高到低进行排序，如果总分相同的，以报价费率较低的排前；如仍存在相同情况，则对具有相同情况的投标人，按中标候选人数量规定，由评标委员会采用随机抽取方式，确定中标候选人的排序。评标委员会编写评标报告，并全体签字确认，推荐满足招标文件要求且总得分排序的名次前三名作为为第一、第二、 第三中标候选人。</w:t>
      </w:r>
    </w:p>
    <w:tbl>
      <w:tblPr>
        <w:tblStyle w:val="56"/>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7101"/>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15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sz w:val="24"/>
                <w:szCs w:val="24"/>
                <w:highlight w:val="none"/>
              </w:rPr>
            </w:pPr>
            <w:bookmarkStart w:id="45" w:name="_Toc534273795"/>
            <w:r>
              <w:rPr>
                <w:rFonts w:hint="eastAsia" w:ascii="宋体" w:hAnsi="宋体"/>
                <w:b/>
                <w:bCs/>
                <w:color w:val="auto"/>
                <w:sz w:val="24"/>
                <w:szCs w:val="24"/>
                <w:highlight w:val="none"/>
              </w:rPr>
              <w:t>评分项目</w:t>
            </w:r>
          </w:p>
        </w:tc>
        <w:tc>
          <w:tcPr>
            <w:tcW w:w="71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评标标准</w:t>
            </w:r>
          </w:p>
        </w:tc>
        <w:tc>
          <w:tcPr>
            <w:tcW w:w="9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3" w:hRule="atLeast"/>
          <w:jc w:val="center"/>
        </w:trPr>
        <w:tc>
          <w:tcPr>
            <w:tcW w:w="15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lang w:val="zh-CN"/>
              </w:rPr>
              <w:t>价格</w:t>
            </w:r>
          </w:p>
        </w:tc>
        <w:tc>
          <w:tcPr>
            <w:tcW w:w="710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 w:val="24"/>
                <w:szCs w:val="24"/>
                <w:highlight w:val="none"/>
              </w:rPr>
            </w:pPr>
            <w:r>
              <w:rPr>
                <w:rFonts w:hint="eastAsia" w:ascii="宋体" w:hAnsi="宋体"/>
                <w:color w:val="auto"/>
                <w:sz w:val="24"/>
                <w:szCs w:val="24"/>
                <w:highlight w:val="none"/>
              </w:rPr>
              <w:t>采用低价优先法计算，即满足磋商文件要求且投标价格最低的磋商报价为评标基准价，其价格分为满分。其他投标供应商的价格分统一按照下列公式计算：磋商报价得分=(磋商基准价/最后磋商报价)×7</w:t>
            </w:r>
            <w:r>
              <w:rPr>
                <w:rFonts w:ascii="宋体" w:hAnsi="宋体"/>
                <w:color w:val="auto"/>
                <w:sz w:val="24"/>
                <w:szCs w:val="24"/>
                <w:highlight w:val="none"/>
              </w:rPr>
              <w:t>0</w:t>
            </w:r>
            <w:r>
              <w:rPr>
                <w:rFonts w:hint="eastAsia" w:ascii="宋体" w:hAnsi="宋体"/>
                <w:color w:val="auto"/>
                <w:sz w:val="24"/>
                <w:szCs w:val="24"/>
                <w:highlight w:val="none"/>
              </w:rPr>
              <w:t>（小数点保留两位）。</w:t>
            </w:r>
          </w:p>
          <w:p>
            <w:pPr>
              <w:spacing w:line="400" w:lineRule="exact"/>
              <w:rPr>
                <w:rFonts w:ascii="宋体" w:hAnsi="宋体"/>
                <w:color w:val="auto"/>
                <w:sz w:val="24"/>
                <w:szCs w:val="24"/>
                <w:highlight w:val="none"/>
              </w:rPr>
            </w:pPr>
            <w:r>
              <w:rPr>
                <w:rFonts w:hint="eastAsia" w:ascii="宋体" w:hAnsi="宋体"/>
                <w:color w:val="auto"/>
                <w:sz w:val="24"/>
                <w:szCs w:val="24"/>
                <w:highlight w:val="none"/>
              </w:rPr>
              <w:t>价格扣除说明：供应商需提供《中小企业声明函》、《残疾人福利性单位声明函》、《属于监狱企业的证明文件》，未提供</w:t>
            </w:r>
            <w:r>
              <w:rPr>
                <w:rFonts w:ascii="宋体" w:hAnsi="宋体"/>
                <w:color w:val="auto"/>
                <w:sz w:val="24"/>
                <w:szCs w:val="24"/>
                <w:highlight w:val="none"/>
              </w:rPr>
              <w:t>证明材料</w:t>
            </w:r>
            <w:r>
              <w:rPr>
                <w:rFonts w:hint="eastAsia" w:ascii="宋体" w:hAnsi="宋体"/>
                <w:color w:val="auto"/>
                <w:sz w:val="24"/>
                <w:szCs w:val="24"/>
                <w:highlight w:val="none"/>
              </w:rPr>
              <w:t>不得享受价格扣除。</w:t>
            </w:r>
          </w:p>
        </w:tc>
        <w:tc>
          <w:tcPr>
            <w:tcW w:w="9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szCs w:val="24"/>
                <w:highlight w:val="none"/>
              </w:rPr>
            </w:pPr>
            <w:r>
              <w:rPr>
                <w:rFonts w:ascii="宋体" w:hAnsi="宋体"/>
                <w:color w:val="auto"/>
                <w:sz w:val="24"/>
                <w:szCs w:val="24"/>
                <w:highlight w:val="none"/>
              </w:rPr>
              <w:t>70</w:t>
            </w:r>
            <w:r>
              <w:rPr>
                <w:rFonts w:hint="eastAsia" w:ascii="宋体" w:hAnsi="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jc w:val="center"/>
        </w:trPr>
        <w:tc>
          <w:tcPr>
            <w:tcW w:w="15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szCs w:val="24"/>
                <w:highlight w:val="none"/>
                <w:lang w:val="zh-CN"/>
              </w:rPr>
            </w:pPr>
            <w:r>
              <w:rPr>
                <w:rFonts w:hint="eastAsia" w:ascii="宋体" w:hAnsi="宋体"/>
                <w:color w:val="auto"/>
                <w:sz w:val="24"/>
                <w:szCs w:val="24"/>
                <w:highlight w:val="none"/>
              </w:rPr>
              <w:t>技术要求</w:t>
            </w:r>
          </w:p>
        </w:tc>
        <w:tc>
          <w:tcPr>
            <w:tcW w:w="710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 w:val="24"/>
                <w:szCs w:val="24"/>
                <w:highlight w:val="none"/>
              </w:rPr>
            </w:pPr>
            <w:r>
              <w:rPr>
                <w:rFonts w:hint="eastAsia"/>
                <w:bCs/>
                <w:color w:val="auto"/>
                <w:sz w:val="24"/>
                <w:highlight w:val="none"/>
              </w:rPr>
              <w:t>磋商文件第四章项目需求中，带“★”号指标为必须满足项，有一项出现负偏离的，作无效响应处理；带▲条款为重要指标，有一项出现负偏离的，扣2分；其余为一般技术参数和要求，有一项出现负偏离的，扣1分，扣完为止。</w:t>
            </w:r>
          </w:p>
        </w:tc>
        <w:tc>
          <w:tcPr>
            <w:tcW w:w="9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kern w:val="0"/>
                <w:sz w:val="24"/>
                <w:szCs w:val="24"/>
                <w:highlight w:val="none"/>
              </w:rPr>
            </w:pPr>
            <w:r>
              <w:rPr>
                <w:rFonts w:ascii="宋体" w:hAnsi="宋体"/>
                <w:color w:val="auto"/>
                <w:kern w:val="0"/>
                <w:sz w:val="24"/>
                <w:szCs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jc w:val="center"/>
        </w:trPr>
        <w:tc>
          <w:tcPr>
            <w:tcW w:w="15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企业业绩</w:t>
            </w:r>
          </w:p>
        </w:tc>
        <w:tc>
          <w:tcPr>
            <w:tcW w:w="710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 w:val="24"/>
                <w:szCs w:val="24"/>
                <w:highlight w:val="none"/>
              </w:rPr>
            </w:pPr>
            <w:r>
              <w:rPr>
                <w:rFonts w:hint="eastAsia"/>
                <w:bCs/>
                <w:color w:val="auto"/>
                <w:sz w:val="24"/>
                <w:highlight w:val="none"/>
              </w:rPr>
              <w:t>投标企业自2021年1月1日以来承担过类似改造维修工程业绩得1分，最高得3分。【需提供施工合同、中标通知书、</w:t>
            </w:r>
            <w:r>
              <w:rPr>
                <w:rFonts w:hint="eastAsia"/>
                <w:b/>
                <w:bCs w:val="0"/>
                <w:color w:val="auto"/>
                <w:sz w:val="24"/>
                <w:highlight w:val="none"/>
              </w:rPr>
              <w:t>竣工验收证明材料（含建设单位、监理单位及施工单位公章）</w:t>
            </w:r>
            <w:r>
              <w:rPr>
                <w:rFonts w:hint="eastAsia"/>
                <w:bCs/>
                <w:color w:val="auto"/>
                <w:sz w:val="24"/>
                <w:highlight w:val="none"/>
              </w:rPr>
              <w:t>，三者缺一不可；时间以施工合同为准；复印件加盖公章放入投标文件中，原件备查】。</w:t>
            </w:r>
            <w:r>
              <w:rPr>
                <w:rFonts w:hint="eastAsia" w:ascii="宋体" w:hAnsi="宋体"/>
                <w:b/>
                <w:bCs/>
                <w:color w:val="auto"/>
                <w:sz w:val="24"/>
                <w:szCs w:val="24"/>
                <w:highlight w:val="none"/>
                <w:lang w:val="zh-CN"/>
              </w:rPr>
              <w:t>备注说明：企业业绩和项目负责人业绩可以兼得。</w:t>
            </w:r>
          </w:p>
        </w:tc>
        <w:tc>
          <w:tcPr>
            <w:tcW w:w="9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jc w:val="center"/>
        </w:trPr>
        <w:tc>
          <w:tcPr>
            <w:tcW w:w="15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项目</w:t>
            </w:r>
            <w:r>
              <w:rPr>
                <w:rFonts w:ascii="宋体" w:hAnsi="宋体"/>
                <w:color w:val="auto"/>
                <w:sz w:val="24"/>
                <w:szCs w:val="24"/>
                <w:highlight w:val="none"/>
              </w:rPr>
              <w:t>负责人</w:t>
            </w:r>
          </w:p>
        </w:tc>
        <w:tc>
          <w:tcPr>
            <w:tcW w:w="710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 w:val="24"/>
                <w:szCs w:val="24"/>
                <w:highlight w:val="none"/>
              </w:rPr>
            </w:pPr>
            <w:r>
              <w:rPr>
                <w:rFonts w:hint="eastAsia" w:ascii="宋体" w:hAnsi="宋体"/>
                <w:color w:val="auto"/>
                <w:sz w:val="24"/>
                <w:szCs w:val="24"/>
                <w:highlight w:val="none"/>
              </w:rPr>
              <w:t>（1）项目负责人具有建筑工程类高级及以上职称证书得</w:t>
            </w:r>
            <w:r>
              <w:rPr>
                <w:rFonts w:ascii="宋体" w:hAnsi="宋体"/>
                <w:color w:val="auto"/>
                <w:sz w:val="24"/>
                <w:szCs w:val="24"/>
                <w:highlight w:val="none"/>
              </w:rPr>
              <w:t>1</w:t>
            </w:r>
            <w:r>
              <w:rPr>
                <w:rFonts w:hint="eastAsia" w:ascii="宋体" w:hAnsi="宋体"/>
                <w:color w:val="auto"/>
                <w:sz w:val="24"/>
                <w:szCs w:val="24"/>
                <w:highlight w:val="none"/>
              </w:rPr>
              <w:t>分；建筑工程类中级职称的得0.5分。（提供相关证书复印件并加盖公章）</w:t>
            </w:r>
          </w:p>
          <w:p>
            <w:pPr>
              <w:spacing w:line="400" w:lineRule="exact"/>
              <w:rPr>
                <w:rFonts w:ascii="宋体" w:hAnsi="宋体"/>
                <w:color w:val="auto"/>
                <w:sz w:val="24"/>
                <w:szCs w:val="24"/>
                <w:highlight w:val="none"/>
              </w:rPr>
            </w:pPr>
            <w:r>
              <w:rPr>
                <w:rFonts w:hint="eastAsia" w:ascii="宋体" w:hAnsi="宋体"/>
                <w:color w:val="auto"/>
                <w:sz w:val="24"/>
                <w:szCs w:val="24"/>
                <w:highlight w:val="none"/>
              </w:rPr>
              <w:t>（2）项目</w:t>
            </w:r>
            <w:r>
              <w:rPr>
                <w:rFonts w:ascii="宋体" w:hAnsi="宋体"/>
                <w:color w:val="auto"/>
                <w:sz w:val="24"/>
                <w:szCs w:val="24"/>
                <w:highlight w:val="none"/>
              </w:rPr>
              <w:t>负责人</w:t>
            </w:r>
            <w:r>
              <w:rPr>
                <w:rFonts w:hint="eastAsia" w:ascii="宋体" w:hAnsi="宋体"/>
                <w:color w:val="auto"/>
                <w:sz w:val="24"/>
                <w:szCs w:val="24"/>
                <w:highlight w:val="none"/>
              </w:rPr>
              <w:t>自202</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年1月1日以来承担过类似改造装修工程业绩得1分，最高得2分。【需提供施工合同、中标通知书、</w:t>
            </w:r>
            <w:r>
              <w:rPr>
                <w:rFonts w:hint="eastAsia" w:ascii="宋体" w:hAnsi="宋体"/>
                <w:b/>
                <w:bCs/>
                <w:color w:val="auto"/>
                <w:sz w:val="24"/>
                <w:szCs w:val="24"/>
                <w:highlight w:val="none"/>
              </w:rPr>
              <w:t>竣工验收证明材料（含建设单位、监理单位及施工单位公章、项目负责人签字）</w:t>
            </w:r>
            <w:r>
              <w:rPr>
                <w:rFonts w:hint="eastAsia" w:ascii="宋体" w:hAnsi="宋体"/>
                <w:color w:val="auto"/>
                <w:sz w:val="24"/>
                <w:szCs w:val="24"/>
                <w:highlight w:val="none"/>
              </w:rPr>
              <w:t>，三者缺一不可；时间以施工合同为准；提供的证明材料需体现项目负责人姓名；复印件加盖公章放入投标文件中，原件备查】。</w:t>
            </w:r>
            <w:r>
              <w:rPr>
                <w:rFonts w:hint="eastAsia" w:ascii="宋体" w:hAnsi="宋体"/>
                <w:b/>
                <w:bCs/>
                <w:color w:val="auto"/>
                <w:sz w:val="24"/>
                <w:szCs w:val="24"/>
                <w:highlight w:val="none"/>
                <w:lang w:val="zh-CN"/>
              </w:rPr>
              <w:t>备注说明：企业业绩和项目负责人业绩可以兼得。</w:t>
            </w:r>
          </w:p>
        </w:tc>
        <w:tc>
          <w:tcPr>
            <w:tcW w:w="9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kern w:val="0"/>
                <w:sz w:val="24"/>
                <w:szCs w:val="24"/>
                <w:highlight w:val="none"/>
              </w:rPr>
            </w:pPr>
            <w:r>
              <w:rPr>
                <w:rFonts w:hint="eastAsia" w:ascii="宋体" w:hAnsi="宋体"/>
                <w:color w:val="auto"/>
                <w:kern w:val="0"/>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15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项目组成员</w:t>
            </w:r>
          </w:p>
        </w:tc>
        <w:tc>
          <w:tcPr>
            <w:tcW w:w="7101"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宋体" w:hAnsi="宋体"/>
                <w:color w:val="auto"/>
                <w:sz w:val="24"/>
                <w:szCs w:val="24"/>
                <w:highlight w:val="none"/>
                <w:lang w:val="en-US"/>
              </w:rPr>
            </w:pPr>
            <w:r>
              <w:rPr>
                <w:rFonts w:hint="eastAsia" w:ascii="宋体" w:hAnsi="宋体"/>
                <w:color w:val="auto"/>
                <w:sz w:val="24"/>
                <w:szCs w:val="24"/>
                <w:highlight w:val="none"/>
              </w:rPr>
              <w:t>供应商为本项目配备的项目组成员具备施工员、安全员</w:t>
            </w:r>
            <w:r>
              <w:rPr>
                <w:rFonts w:hint="eastAsia" w:ascii="宋体" w:hAnsi="宋体"/>
                <w:color w:val="auto"/>
                <w:sz w:val="24"/>
                <w:szCs w:val="24"/>
                <w:highlight w:val="none"/>
                <w:lang w:eastAsia="zh-CN"/>
              </w:rPr>
              <w:t>（</w:t>
            </w:r>
            <w:r>
              <w:rPr>
                <w:rFonts w:hint="eastAsia" w:ascii="宋体" w:hAnsi="宋体"/>
                <w:color w:val="auto"/>
                <w:sz w:val="24"/>
                <w:szCs w:val="24"/>
                <w:highlight w:val="none"/>
              </w:rPr>
              <w:t>具有安全生产考核合格证</w:t>
            </w:r>
            <w:r>
              <w:rPr>
                <w:rFonts w:hint="eastAsia" w:ascii="宋体" w:hAnsi="宋体"/>
                <w:color w:val="auto"/>
                <w:sz w:val="24"/>
                <w:szCs w:val="24"/>
                <w:highlight w:val="none"/>
                <w:lang w:eastAsia="zh-CN"/>
              </w:rPr>
              <w:t>）</w:t>
            </w:r>
            <w:r>
              <w:rPr>
                <w:rFonts w:hint="eastAsia" w:ascii="宋体" w:hAnsi="宋体"/>
                <w:color w:val="auto"/>
                <w:sz w:val="24"/>
                <w:szCs w:val="24"/>
                <w:highlight w:val="none"/>
              </w:rPr>
              <w:t>、质量员、材料员、造价员，</w:t>
            </w:r>
            <w:r>
              <w:rPr>
                <w:rFonts w:hint="eastAsia" w:ascii="宋体" w:hAnsi="宋体"/>
                <w:b/>
                <w:bCs/>
                <w:color w:val="auto"/>
                <w:sz w:val="24"/>
                <w:szCs w:val="24"/>
                <w:highlight w:val="none"/>
              </w:rPr>
              <w:t>得基本分1分</w:t>
            </w:r>
            <w:r>
              <w:rPr>
                <w:rFonts w:hint="eastAsia" w:ascii="宋体" w:hAnsi="宋体"/>
                <w:b/>
                <w:bCs/>
                <w:color w:val="auto"/>
                <w:sz w:val="24"/>
                <w:szCs w:val="24"/>
                <w:highlight w:val="none"/>
                <w:lang w:eastAsia="zh-CN"/>
              </w:rPr>
              <w:t>。</w:t>
            </w:r>
            <w:r>
              <w:rPr>
                <w:rFonts w:hint="eastAsia" w:ascii="宋体" w:hAnsi="宋体"/>
                <w:color w:val="auto"/>
                <w:sz w:val="24"/>
                <w:szCs w:val="24"/>
                <w:highlight w:val="none"/>
              </w:rPr>
              <w:t>在满足以上五大员的基础上，每增加1名（安全员或资料员）中的一员得0.5分，最高得1分。</w:t>
            </w:r>
            <w:r>
              <w:rPr>
                <w:rFonts w:hint="eastAsia" w:ascii="宋体" w:hAnsi="宋体"/>
                <w:b/>
                <w:bCs/>
                <w:color w:val="auto"/>
                <w:sz w:val="24"/>
                <w:szCs w:val="24"/>
                <w:highlight w:val="none"/>
                <w:lang w:val="en-US" w:eastAsia="zh-CN"/>
              </w:rPr>
              <w:t>满分2分</w:t>
            </w:r>
          </w:p>
          <w:p>
            <w:pPr>
              <w:spacing w:line="400" w:lineRule="exact"/>
              <w:rPr>
                <w:rFonts w:ascii="宋体" w:hAnsi="宋体"/>
                <w:color w:val="auto"/>
                <w:sz w:val="24"/>
                <w:szCs w:val="24"/>
                <w:highlight w:val="none"/>
              </w:rPr>
            </w:pPr>
            <w:r>
              <w:rPr>
                <w:rFonts w:hint="eastAsia" w:ascii="宋体" w:hAnsi="宋体"/>
                <w:color w:val="auto"/>
                <w:sz w:val="24"/>
                <w:szCs w:val="24"/>
                <w:highlight w:val="none"/>
              </w:rPr>
              <w:t>注：项目组人员组成不重复得分。所有人员需提供岗位</w:t>
            </w:r>
            <w:r>
              <w:rPr>
                <w:rFonts w:ascii="宋体" w:hAnsi="宋体"/>
                <w:color w:val="auto"/>
                <w:sz w:val="24"/>
                <w:szCs w:val="24"/>
                <w:highlight w:val="none"/>
              </w:rPr>
              <w:t>、资格证书</w:t>
            </w:r>
            <w:r>
              <w:rPr>
                <w:rFonts w:hint="eastAsia" w:ascii="宋体" w:hAnsi="宋体"/>
                <w:color w:val="auto"/>
                <w:sz w:val="24"/>
                <w:szCs w:val="24"/>
                <w:highlight w:val="none"/>
              </w:rPr>
              <w:t>相关证明</w:t>
            </w:r>
            <w:r>
              <w:rPr>
                <w:rFonts w:ascii="宋体" w:hAnsi="宋体"/>
                <w:color w:val="auto"/>
                <w:sz w:val="24"/>
                <w:szCs w:val="24"/>
                <w:highlight w:val="none"/>
              </w:rPr>
              <w:t>材料</w:t>
            </w:r>
            <w:r>
              <w:rPr>
                <w:rFonts w:hint="eastAsia" w:ascii="宋体" w:hAnsi="宋体"/>
                <w:color w:val="auto"/>
                <w:sz w:val="24"/>
                <w:szCs w:val="24"/>
                <w:highlight w:val="none"/>
              </w:rPr>
              <w:t>，并提供社保机构出具的近半年的任意一个月投标单位为其缴纳的养老保险缴费证明（需明确缴费月份、个人姓名、缴费单位）材料并加盖社保中心章或社保中心参保缴费证明电子专用章。（提供相关证书复印件并加盖公章）</w:t>
            </w:r>
          </w:p>
        </w:tc>
        <w:tc>
          <w:tcPr>
            <w:tcW w:w="9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szCs w:val="24"/>
                <w:highlight w:val="none"/>
              </w:rPr>
            </w:pPr>
            <w:r>
              <w:rPr>
                <w:rFonts w:hint="eastAsia" w:ascii="宋体" w:hAnsi="宋体"/>
                <w:color w:val="auto"/>
                <w:kern w:val="0"/>
                <w:sz w:val="24"/>
                <w:szCs w:val="24"/>
                <w:highlight w:val="none"/>
                <w:lang w:val="en-US" w:eastAsia="zh-CN"/>
              </w:rPr>
              <w:t>2</w:t>
            </w:r>
            <w:r>
              <w:rPr>
                <w:rFonts w:hint="eastAsia" w:ascii="宋体" w:hAnsi="宋体"/>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5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企业实力</w:t>
            </w:r>
          </w:p>
        </w:tc>
        <w:tc>
          <w:tcPr>
            <w:tcW w:w="710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 w:val="24"/>
                <w:szCs w:val="24"/>
                <w:highlight w:val="none"/>
              </w:rPr>
            </w:pPr>
            <w:r>
              <w:rPr>
                <w:rFonts w:hint="eastAsia" w:ascii="宋体" w:hAnsi="宋体"/>
                <w:color w:val="auto"/>
                <w:sz w:val="24"/>
                <w:szCs w:val="24"/>
                <w:highlight w:val="none"/>
              </w:rPr>
              <w:t>企业具有质量管理体系认证证书（ISO9001）</w:t>
            </w:r>
            <w:r>
              <w:rPr>
                <w:rFonts w:hint="eastAsia" w:ascii="宋体" w:hAnsi="宋体"/>
                <w:color w:val="auto"/>
                <w:sz w:val="24"/>
                <w:szCs w:val="24"/>
                <w:highlight w:val="none"/>
                <w:lang w:eastAsia="zh-CN"/>
              </w:rPr>
              <w:t>，</w:t>
            </w:r>
            <w:r>
              <w:rPr>
                <w:rFonts w:hint="eastAsia" w:ascii="宋体" w:hAnsi="宋体"/>
                <w:color w:val="auto"/>
                <w:sz w:val="24"/>
                <w:szCs w:val="24"/>
                <w:highlight w:val="none"/>
              </w:rPr>
              <w:t>得1分</w:t>
            </w:r>
            <w:r>
              <w:rPr>
                <w:rFonts w:hint="eastAsia" w:ascii="宋体" w:hAnsi="宋体"/>
                <w:color w:val="auto"/>
                <w:sz w:val="24"/>
                <w:szCs w:val="24"/>
                <w:highlight w:val="none"/>
                <w:lang w:eastAsia="zh-CN"/>
              </w:rPr>
              <w:t>。</w:t>
            </w:r>
            <w:r>
              <w:rPr>
                <w:rFonts w:hint="eastAsia" w:ascii="宋体" w:hAnsi="宋体"/>
                <w:color w:val="auto"/>
                <w:sz w:val="24"/>
                <w:szCs w:val="24"/>
                <w:highlight w:val="none"/>
              </w:rPr>
              <w:t>（提供相关认证证书复印件并加盖公章）</w:t>
            </w:r>
          </w:p>
        </w:tc>
        <w:tc>
          <w:tcPr>
            <w:tcW w:w="9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kern w:val="0"/>
                <w:sz w:val="24"/>
                <w:szCs w:val="24"/>
                <w:highlight w:val="none"/>
              </w:rPr>
            </w:pPr>
            <w:r>
              <w:rPr>
                <w:rFonts w:hint="eastAsia" w:ascii="宋体" w:hAnsi="宋体"/>
                <w:color w:val="auto"/>
                <w:kern w:val="0"/>
                <w:sz w:val="24"/>
                <w:szCs w:val="24"/>
                <w:highlight w:val="non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15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安全措施</w:t>
            </w:r>
          </w:p>
        </w:tc>
        <w:tc>
          <w:tcPr>
            <w:tcW w:w="7101"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为加强施工队的施工现场的安全管理，确保施工现场安全生产落到实处，供应商必须与施工人员签订安全责任书的</w:t>
            </w:r>
            <w:r>
              <w:rPr>
                <w:rFonts w:ascii="宋体" w:hAnsi="宋体"/>
                <w:color w:val="auto"/>
                <w:sz w:val="24"/>
                <w:szCs w:val="24"/>
                <w:highlight w:val="none"/>
              </w:rPr>
              <w:t>承诺</w:t>
            </w:r>
            <w:r>
              <w:rPr>
                <w:rFonts w:hint="eastAsia" w:ascii="宋体" w:hAnsi="宋体"/>
                <w:color w:val="auto"/>
                <w:sz w:val="24"/>
                <w:szCs w:val="24"/>
                <w:highlight w:val="none"/>
              </w:rPr>
              <w:t>书、制定安全培训计划表，放在投标文件中加盖公章，得</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分，不提供不得分</w:t>
            </w:r>
            <w:r>
              <w:rPr>
                <w:rFonts w:hint="eastAsia" w:ascii="宋体" w:hAnsi="宋体"/>
                <w:color w:val="auto"/>
                <w:sz w:val="24"/>
                <w:szCs w:val="24"/>
                <w:highlight w:val="none"/>
                <w:lang w:eastAsia="zh-CN"/>
              </w:rPr>
              <w:t>。</w:t>
            </w:r>
          </w:p>
        </w:tc>
        <w:tc>
          <w:tcPr>
            <w:tcW w:w="9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lang w:val="en-US" w:eastAsia="zh-CN"/>
              </w:rPr>
              <w:t>2</w:t>
            </w:r>
            <w:r>
              <w:rPr>
                <w:rFonts w:hint="eastAsia" w:ascii="宋体" w:hAnsi="宋体"/>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5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环保要求</w:t>
            </w:r>
          </w:p>
        </w:tc>
        <w:tc>
          <w:tcPr>
            <w:tcW w:w="7101"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0" w:firstLineChars="0"/>
              <w:rPr>
                <w:color w:val="auto"/>
                <w:szCs w:val="24"/>
                <w:highlight w:val="none"/>
              </w:rPr>
            </w:pPr>
            <w:r>
              <w:rPr>
                <w:rFonts w:hint="eastAsia"/>
                <w:color w:val="auto"/>
                <w:szCs w:val="24"/>
                <w:highlight w:val="none"/>
              </w:rPr>
              <w:t>供应商承诺，施工所有材料和工艺均符合国家环保相关规范和采购需求的实质性要求，如有违反，承担由此给学校造成的一切损失。提供满足以上要求的承诺书并加盖公章，得2分，不提供不得分。</w:t>
            </w:r>
          </w:p>
        </w:tc>
        <w:tc>
          <w:tcPr>
            <w:tcW w:w="9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kern w:val="0"/>
                <w:sz w:val="24"/>
                <w:szCs w:val="24"/>
                <w:highlight w:val="none"/>
              </w:rPr>
            </w:pPr>
            <w:r>
              <w:rPr>
                <w:rFonts w:hint="eastAsia" w:ascii="宋体" w:hAnsi="宋体"/>
                <w:color w:val="auto"/>
                <w:kern w:val="0"/>
                <w:sz w:val="24"/>
                <w:szCs w:val="24"/>
                <w:highlight w:val="none"/>
                <w:lang w:val="en-US" w:eastAsia="zh-CN"/>
              </w:rPr>
              <w:t>2</w:t>
            </w:r>
            <w:r>
              <w:rPr>
                <w:rFonts w:hint="eastAsia" w:ascii="宋体" w:hAnsi="宋体"/>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15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项目质保期</w:t>
            </w:r>
          </w:p>
        </w:tc>
        <w:tc>
          <w:tcPr>
            <w:tcW w:w="710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 w:val="24"/>
                <w:szCs w:val="24"/>
                <w:highlight w:val="none"/>
              </w:rPr>
            </w:pPr>
            <w:r>
              <w:rPr>
                <w:rFonts w:hint="eastAsia" w:ascii="宋体" w:hAnsi="宋体"/>
                <w:color w:val="auto"/>
                <w:sz w:val="24"/>
                <w:szCs w:val="24"/>
                <w:highlight w:val="none"/>
              </w:rPr>
              <w:t>项目质保期期为1年，在此标准上每增加1年的，得1分</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满分2分</w:t>
            </w:r>
            <w:r>
              <w:rPr>
                <w:rFonts w:hint="eastAsia" w:ascii="宋体" w:hAnsi="宋体"/>
                <w:color w:val="auto"/>
                <w:sz w:val="24"/>
                <w:szCs w:val="24"/>
                <w:highlight w:val="none"/>
              </w:rPr>
              <w:t>。（提供承诺书并加盖公章）</w:t>
            </w:r>
          </w:p>
          <w:p>
            <w:pPr>
              <w:spacing w:line="400" w:lineRule="exact"/>
              <w:rPr>
                <w:rFonts w:ascii="宋体" w:hAnsi="宋体"/>
                <w:color w:val="auto"/>
                <w:sz w:val="24"/>
                <w:szCs w:val="24"/>
                <w:highlight w:val="none"/>
              </w:rPr>
            </w:pPr>
            <w:r>
              <w:rPr>
                <w:rFonts w:hint="eastAsia" w:ascii="宋体" w:hAnsi="宋体"/>
                <w:color w:val="auto"/>
                <w:sz w:val="24"/>
                <w:szCs w:val="24"/>
                <w:highlight w:val="none"/>
              </w:rPr>
              <w:t>备注：自本项目验收完成之日起计算，在质保期内出现的质量问题均由中标供应商负责免费维修。</w:t>
            </w:r>
          </w:p>
        </w:tc>
        <w:tc>
          <w:tcPr>
            <w:tcW w:w="9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kern w:val="0"/>
                <w:sz w:val="24"/>
                <w:szCs w:val="24"/>
                <w:highlight w:val="none"/>
              </w:rPr>
            </w:pPr>
            <w:r>
              <w:rPr>
                <w:rFonts w:hint="eastAsia" w:ascii="宋体" w:hAnsi="宋体"/>
                <w:color w:val="auto"/>
                <w:kern w:val="0"/>
                <w:sz w:val="24"/>
                <w:szCs w:val="24"/>
                <w:highlight w:val="none"/>
                <w:lang w:val="en-US" w:eastAsia="zh-CN"/>
              </w:rPr>
              <w:t>2</w:t>
            </w:r>
            <w:r>
              <w:rPr>
                <w:rFonts w:hint="eastAsia" w:ascii="宋体" w:hAnsi="宋体"/>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5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Cs/>
                <w:color w:val="auto"/>
                <w:sz w:val="24"/>
                <w:szCs w:val="24"/>
                <w:highlight w:val="none"/>
              </w:rPr>
            </w:pPr>
          </w:p>
        </w:tc>
        <w:tc>
          <w:tcPr>
            <w:tcW w:w="71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color w:val="auto"/>
                <w:kern w:val="0"/>
                <w:sz w:val="24"/>
                <w:szCs w:val="24"/>
                <w:highlight w:val="none"/>
              </w:rPr>
            </w:pPr>
            <w:r>
              <w:rPr>
                <w:rFonts w:hint="eastAsia" w:ascii="宋体" w:hAnsi="宋体"/>
                <w:b/>
                <w:color w:val="auto"/>
                <w:kern w:val="0"/>
                <w:sz w:val="24"/>
                <w:szCs w:val="24"/>
                <w:highlight w:val="none"/>
              </w:rPr>
              <w:t>合计</w:t>
            </w:r>
          </w:p>
        </w:tc>
        <w:tc>
          <w:tcPr>
            <w:tcW w:w="9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color w:val="auto"/>
                <w:kern w:val="0"/>
                <w:sz w:val="24"/>
                <w:szCs w:val="24"/>
                <w:highlight w:val="none"/>
              </w:rPr>
            </w:pPr>
            <w:r>
              <w:rPr>
                <w:rFonts w:hint="eastAsia" w:ascii="宋体" w:hAnsi="宋体"/>
                <w:b/>
                <w:color w:val="auto"/>
                <w:kern w:val="0"/>
                <w:sz w:val="24"/>
                <w:szCs w:val="24"/>
                <w:highlight w:val="none"/>
              </w:rPr>
              <w:t>100分</w:t>
            </w:r>
          </w:p>
        </w:tc>
      </w:tr>
    </w:tbl>
    <w:p>
      <w:pPr>
        <w:tabs>
          <w:tab w:val="left" w:pos="4935"/>
        </w:tabs>
        <w:jc w:val="left"/>
        <w:rPr>
          <w:color w:val="auto"/>
          <w:highlight w:val="none"/>
          <w:lang w:val="zh-CN"/>
        </w:rPr>
        <w:sectPr>
          <w:pgSz w:w="11906" w:h="16838"/>
          <w:pgMar w:top="1440" w:right="1797" w:bottom="1440" w:left="1797" w:header="851" w:footer="992" w:gutter="0"/>
          <w:cols w:space="720" w:num="1"/>
          <w:docGrid w:linePitch="312" w:charSpace="0"/>
        </w:sectPr>
      </w:pPr>
    </w:p>
    <w:p>
      <w:pPr>
        <w:pStyle w:val="3"/>
        <w:rPr>
          <w:rFonts w:ascii="宋体" w:hAnsi="宋体"/>
          <w:color w:val="auto"/>
          <w:sz w:val="24"/>
          <w:highlight w:val="none"/>
        </w:rPr>
      </w:pPr>
      <w:r>
        <w:rPr>
          <w:rFonts w:hint="eastAsia"/>
          <w:color w:val="auto"/>
          <w:highlight w:val="none"/>
        </w:rPr>
        <w:t xml:space="preserve">第四章 </w:t>
      </w:r>
      <w:r>
        <w:rPr>
          <w:rFonts w:hint="eastAsia"/>
          <w:color w:val="auto"/>
          <w:highlight w:val="none"/>
          <w:lang w:val="en-US"/>
        </w:rPr>
        <w:t>项目</w:t>
      </w:r>
      <w:r>
        <w:rPr>
          <w:rFonts w:hint="eastAsia"/>
          <w:color w:val="auto"/>
          <w:highlight w:val="none"/>
        </w:rPr>
        <w:t>需求</w:t>
      </w:r>
      <w:bookmarkEnd w:id="45"/>
      <w:bookmarkStart w:id="46" w:name="_Toc14127"/>
      <w:bookmarkStart w:id="47" w:name="_Toc526150438"/>
    </w:p>
    <w:p>
      <w:pPr>
        <w:spacing w:line="360" w:lineRule="auto"/>
        <w:rPr>
          <w:rFonts w:ascii="宋体" w:hAnsi="宋体"/>
          <w:color w:val="auto"/>
          <w:sz w:val="24"/>
          <w:szCs w:val="24"/>
          <w:highlight w:val="none"/>
        </w:rPr>
      </w:pPr>
      <w:bookmarkStart w:id="48" w:name="_Toc20823272"/>
      <w:bookmarkStart w:id="49" w:name="_Toc479757206"/>
      <w:bookmarkStart w:id="50" w:name="_Toc16938516"/>
      <w:bookmarkStart w:id="51" w:name="_Toc35393622"/>
      <w:bookmarkStart w:id="52" w:name="_Toc513029200"/>
      <w:bookmarkStart w:id="53" w:name="_Toc35393791"/>
      <w:bookmarkStart w:id="54" w:name="_Toc28359080"/>
      <w:bookmarkStart w:id="55" w:name="_Toc523127445"/>
      <w:bookmarkStart w:id="56" w:name="_Toc38985264"/>
      <w:bookmarkStart w:id="57" w:name="_Toc28359003"/>
      <w:r>
        <w:rPr>
          <w:rFonts w:hint="eastAsia" w:ascii="宋体" w:hAnsi="宋体" w:cs="黑体"/>
          <w:b/>
          <w:bCs/>
          <w:color w:val="auto"/>
          <w:sz w:val="24"/>
          <w:szCs w:val="24"/>
          <w:highlight w:val="none"/>
        </w:rPr>
        <w:t>一、项目名称</w:t>
      </w:r>
      <w:r>
        <w:rPr>
          <w:rFonts w:hint="eastAsia" w:ascii="宋体" w:hAnsi="宋体"/>
          <w:b/>
          <w:bCs/>
          <w:color w:val="auto"/>
          <w:sz w:val="24"/>
          <w:szCs w:val="24"/>
          <w:highlight w:val="none"/>
        </w:rPr>
        <w:t>：</w:t>
      </w:r>
      <w:r>
        <w:rPr>
          <w:rFonts w:hint="eastAsia" w:ascii="宋体" w:hAnsi="宋体"/>
          <w:color w:val="auto"/>
          <w:sz w:val="24"/>
          <w:szCs w:val="24"/>
          <w:highlight w:val="none"/>
        </w:rPr>
        <w:t>南京技师学院校园零星维修工程</w:t>
      </w:r>
    </w:p>
    <w:p>
      <w:pPr>
        <w:spacing w:line="360" w:lineRule="auto"/>
        <w:rPr>
          <w:rFonts w:ascii="宋体" w:hAnsi="宋体"/>
          <w:color w:val="auto"/>
          <w:sz w:val="24"/>
          <w:szCs w:val="24"/>
          <w:highlight w:val="none"/>
        </w:rPr>
      </w:pPr>
      <w:r>
        <w:rPr>
          <w:rFonts w:hint="eastAsia" w:ascii="宋体" w:hAnsi="宋体" w:cs="黑体"/>
          <w:b/>
          <w:bCs/>
          <w:color w:val="auto"/>
          <w:sz w:val="24"/>
          <w:szCs w:val="24"/>
          <w:highlight w:val="none"/>
        </w:rPr>
        <w:t>二、招标方式</w:t>
      </w:r>
      <w:r>
        <w:rPr>
          <w:rFonts w:hint="eastAsia" w:ascii="宋体" w:hAnsi="宋体"/>
          <w:b/>
          <w:bCs/>
          <w:color w:val="auto"/>
          <w:sz w:val="24"/>
          <w:szCs w:val="24"/>
          <w:highlight w:val="none"/>
        </w:rPr>
        <w:t>：</w:t>
      </w:r>
      <w:r>
        <w:rPr>
          <w:rFonts w:hint="eastAsia" w:ascii="宋体" w:hAnsi="宋体"/>
          <w:color w:val="auto"/>
          <w:sz w:val="24"/>
          <w:szCs w:val="24"/>
          <w:highlight w:val="none"/>
        </w:rPr>
        <w:t>竞争性磋商</w:t>
      </w:r>
    </w:p>
    <w:p>
      <w:pPr>
        <w:spacing w:line="360" w:lineRule="auto"/>
        <w:rPr>
          <w:rFonts w:ascii="宋体" w:hAnsi="宋体"/>
          <w:color w:val="auto"/>
          <w:sz w:val="24"/>
          <w:szCs w:val="24"/>
          <w:highlight w:val="none"/>
        </w:rPr>
      </w:pPr>
      <w:r>
        <w:rPr>
          <w:rFonts w:hint="eastAsia" w:ascii="宋体" w:hAnsi="宋体" w:cs="黑体"/>
          <w:b/>
          <w:bCs/>
          <w:color w:val="auto"/>
          <w:sz w:val="24"/>
          <w:szCs w:val="24"/>
          <w:highlight w:val="none"/>
        </w:rPr>
        <w:t>三、项目金额</w:t>
      </w:r>
      <w:r>
        <w:rPr>
          <w:rFonts w:hint="eastAsia" w:ascii="宋体" w:hAnsi="宋体"/>
          <w:b/>
          <w:bCs/>
          <w:color w:val="auto"/>
          <w:sz w:val="24"/>
          <w:szCs w:val="24"/>
          <w:highlight w:val="none"/>
        </w:rPr>
        <w:t>：</w:t>
      </w:r>
      <w:r>
        <w:rPr>
          <w:rFonts w:ascii="宋体" w:hAnsi="宋体"/>
          <w:color w:val="auto"/>
          <w:sz w:val="24"/>
          <w:szCs w:val="24"/>
          <w:highlight w:val="none"/>
        </w:rPr>
        <w:t>本项目</w:t>
      </w:r>
      <w:r>
        <w:rPr>
          <w:rFonts w:hint="eastAsia" w:ascii="宋体" w:hAnsi="宋体"/>
          <w:color w:val="auto"/>
          <w:sz w:val="24"/>
          <w:szCs w:val="24"/>
          <w:highlight w:val="none"/>
        </w:rPr>
        <w:t>预算金额</w:t>
      </w:r>
      <w:r>
        <w:rPr>
          <w:rFonts w:ascii="宋体" w:hAnsi="宋体"/>
          <w:color w:val="auto"/>
          <w:sz w:val="24"/>
          <w:szCs w:val="24"/>
          <w:highlight w:val="none"/>
        </w:rPr>
        <w:t>为</w:t>
      </w:r>
      <w:r>
        <w:rPr>
          <w:rFonts w:hint="eastAsia" w:ascii="宋体" w:hAnsi="宋体"/>
          <w:color w:val="auto"/>
          <w:sz w:val="24"/>
          <w:szCs w:val="24"/>
          <w:highlight w:val="none"/>
        </w:rPr>
        <w:t>100万</w:t>
      </w:r>
      <w:r>
        <w:rPr>
          <w:rFonts w:ascii="宋体" w:hAnsi="宋体"/>
          <w:color w:val="auto"/>
          <w:sz w:val="24"/>
          <w:szCs w:val="24"/>
          <w:highlight w:val="none"/>
        </w:rPr>
        <w:t>元</w:t>
      </w:r>
      <w:r>
        <w:rPr>
          <w:rFonts w:hint="eastAsia" w:ascii="宋体" w:hAnsi="宋体"/>
          <w:color w:val="auto"/>
          <w:sz w:val="24"/>
          <w:szCs w:val="24"/>
          <w:highlight w:val="none"/>
        </w:rPr>
        <w:t>（按实</w:t>
      </w:r>
      <w:r>
        <w:rPr>
          <w:rFonts w:ascii="宋体" w:hAnsi="宋体"/>
          <w:color w:val="auto"/>
          <w:sz w:val="24"/>
          <w:szCs w:val="24"/>
          <w:highlight w:val="none"/>
        </w:rPr>
        <w:t>结算</w:t>
      </w:r>
      <w:r>
        <w:rPr>
          <w:rFonts w:hint="eastAsia" w:ascii="宋体" w:hAnsi="宋体"/>
          <w:color w:val="auto"/>
          <w:sz w:val="24"/>
          <w:szCs w:val="24"/>
          <w:highlight w:val="none"/>
        </w:rPr>
        <w:t>）</w:t>
      </w:r>
    </w:p>
    <w:p>
      <w:pPr>
        <w:tabs>
          <w:tab w:val="left" w:pos="0"/>
        </w:tabs>
        <w:spacing w:line="360" w:lineRule="auto"/>
        <w:rPr>
          <w:rFonts w:hint="eastAsia" w:ascii="宋体" w:hAnsi="宋体" w:cs="黑体"/>
          <w:b/>
          <w:bCs/>
          <w:color w:val="auto"/>
          <w:sz w:val="24"/>
          <w:szCs w:val="24"/>
          <w:highlight w:val="none"/>
          <w:lang w:bidi="ar"/>
        </w:rPr>
      </w:pPr>
      <w:r>
        <w:rPr>
          <w:rFonts w:hint="eastAsia" w:ascii="宋体" w:hAnsi="宋体" w:cs="黑体"/>
          <w:b/>
          <w:bCs/>
          <w:color w:val="auto"/>
          <w:sz w:val="24"/>
          <w:szCs w:val="24"/>
          <w:highlight w:val="none"/>
        </w:rPr>
        <w:t>四、</w:t>
      </w:r>
      <w:bookmarkEnd w:id="48"/>
      <w:bookmarkEnd w:id="49"/>
      <w:bookmarkEnd w:id="50"/>
      <w:bookmarkEnd w:id="51"/>
      <w:bookmarkEnd w:id="52"/>
      <w:bookmarkEnd w:id="53"/>
      <w:bookmarkEnd w:id="54"/>
      <w:bookmarkEnd w:id="55"/>
      <w:bookmarkEnd w:id="56"/>
      <w:bookmarkEnd w:id="57"/>
      <w:bookmarkStart w:id="58" w:name="_Toc479757211"/>
      <w:bookmarkStart w:id="59" w:name="_Toc462564139"/>
      <w:bookmarkStart w:id="60" w:name="_Toc26554093"/>
      <w:bookmarkStart w:id="61" w:name="_Toc49090575"/>
      <w:r>
        <w:rPr>
          <w:rFonts w:hint="eastAsia" w:ascii="宋体" w:hAnsi="宋体" w:cs="黑体"/>
          <w:b/>
          <w:bCs/>
          <w:color w:val="auto"/>
          <w:sz w:val="24"/>
          <w:szCs w:val="24"/>
          <w:highlight w:val="none"/>
          <w:lang w:bidi="ar"/>
        </w:rPr>
        <w:t>采购需求：</w:t>
      </w:r>
    </w:p>
    <w:p>
      <w:pPr>
        <w:tabs>
          <w:tab w:val="left" w:pos="0"/>
        </w:tabs>
        <w:spacing w:line="360" w:lineRule="auto"/>
        <w:rPr>
          <w:rFonts w:hint="eastAsia" w:ascii="宋体" w:hAnsi="宋体" w:cs="宋体"/>
          <w:color w:val="auto"/>
          <w:spacing w:val="8"/>
          <w:kern w:val="0"/>
          <w:sz w:val="24"/>
          <w:szCs w:val="24"/>
          <w:highlight w:val="none"/>
          <w:shd w:val="clear" w:color="auto" w:fill="FFFFFF"/>
          <w:lang w:bidi="ar"/>
        </w:rPr>
      </w:pPr>
      <w:r>
        <w:rPr>
          <w:rFonts w:hint="eastAsia" w:ascii="宋体" w:hAnsi="宋体" w:cs="宋体"/>
          <w:color w:val="auto"/>
          <w:spacing w:val="8"/>
          <w:kern w:val="0"/>
          <w:sz w:val="24"/>
          <w:szCs w:val="24"/>
          <w:highlight w:val="none"/>
          <w:shd w:val="clear" w:color="auto" w:fill="FFFFFF"/>
          <w:lang w:val="en-US" w:eastAsia="zh-CN" w:bidi="ar"/>
        </w:rPr>
        <w:t>1、</w:t>
      </w:r>
      <w:r>
        <w:rPr>
          <w:rFonts w:hint="eastAsia" w:ascii="宋体" w:hAnsi="宋体" w:cs="宋体"/>
          <w:color w:val="auto"/>
          <w:spacing w:val="8"/>
          <w:kern w:val="0"/>
          <w:sz w:val="24"/>
          <w:szCs w:val="24"/>
          <w:highlight w:val="none"/>
          <w:shd w:val="clear" w:color="auto" w:fill="FFFFFF"/>
          <w:lang w:bidi="ar"/>
        </w:rPr>
        <w:t>主要内容为校区内建筑物及附属设施的修缮。涉及建筑与装饰、市政等零星维修服务。具体为屋面排水、屋面防水、平立面防水、伸缩缝、保温、隔热、楼地面、墙柱面、天棚、吊顶、油漆、涂料、墙纸、门窗、课桌椅、隔断、柜类、窗帘、窗帘轨道、灯具、洁具、线路、道路路面、路灯、雨污水井、检查井、给排水、河道内杂草清除、卷帘门、闸机等的零星维修改造内容。</w:t>
      </w:r>
    </w:p>
    <w:p>
      <w:pPr>
        <w:pStyle w:val="2"/>
        <w:ind w:left="0" w:leftChars="0" w:firstLine="0" w:firstLineChars="0"/>
        <w:rPr>
          <w:rFonts w:hint="eastAsia"/>
          <w:highlight w:val="none"/>
          <w:lang w:val="en-US" w:eastAsia="zh-CN"/>
        </w:rPr>
      </w:pPr>
      <w:r>
        <w:rPr>
          <w:rFonts w:hint="eastAsia"/>
          <w:highlight w:val="none"/>
          <w:lang w:val="en-US" w:eastAsia="zh-CN"/>
        </w:rPr>
        <w:t>2、本项目年度预算金额为100万元，零星维修改造内容是单笔预算金额在20万元(不含20万)以内项目。</w:t>
      </w:r>
    </w:p>
    <w:p>
      <w:pPr>
        <w:spacing w:line="360" w:lineRule="auto"/>
        <w:rPr>
          <w:rFonts w:ascii="宋体" w:hAnsi="宋体" w:cs="楷体_GB2312"/>
          <w:b/>
          <w:bCs/>
          <w:color w:val="auto"/>
          <w:sz w:val="24"/>
          <w:szCs w:val="24"/>
          <w:highlight w:val="none"/>
        </w:rPr>
      </w:pPr>
      <w:r>
        <w:rPr>
          <w:rFonts w:hint="eastAsia" w:ascii="宋体" w:hAnsi="宋体" w:cs="楷体_GB2312"/>
          <w:b/>
          <w:bCs/>
          <w:color w:val="auto"/>
          <w:sz w:val="24"/>
          <w:szCs w:val="24"/>
          <w:highlight w:val="none"/>
        </w:rPr>
        <w:t>五、资格及报价</w:t>
      </w:r>
    </w:p>
    <w:p>
      <w:pPr>
        <w:spacing w:line="360" w:lineRule="auto"/>
        <w:rPr>
          <w:rFonts w:ascii="宋体" w:hAnsi="宋体" w:cs="楷体_GB2312"/>
          <w:b/>
          <w:bCs/>
          <w:color w:val="auto"/>
          <w:sz w:val="24"/>
          <w:szCs w:val="24"/>
          <w:highlight w:val="none"/>
        </w:rPr>
      </w:pPr>
      <w:r>
        <w:rPr>
          <w:rFonts w:hint="eastAsia" w:ascii="宋体" w:hAnsi="宋体" w:cs="宋体"/>
          <w:color w:val="auto"/>
          <w:sz w:val="24"/>
          <w:szCs w:val="24"/>
          <w:highlight w:val="none"/>
        </w:rPr>
        <w:t>★</w:t>
      </w:r>
      <w:r>
        <w:rPr>
          <w:rFonts w:hint="eastAsia" w:ascii="宋体" w:hAnsi="宋体" w:cs="楷体_GB2312"/>
          <w:b/>
          <w:bCs/>
          <w:color w:val="auto"/>
          <w:sz w:val="24"/>
          <w:szCs w:val="24"/>
          <w:highlight w:val="none"/>
        </w:rPr>
        <w:t>1、投标人资质：</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（1）供应商资质等级及范围：建筑工程施工总承包三级（含）及以上资质，并且具备有效期内安全生产许可证。（须提供相关证书复印件并加盖公章）</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（2）项目负责人具备以下资质：项目负责人必须具有注册建造师（建筑工程专业）二级及以上资格且安全生产考核B证在有效期内。</w:t>
      </w:r>
    </w:p>
    <w:p>
      <w:pPr>
        <w:spacing w:line="360" w:lineRule="auto"/>
        <w:rPr>
          <w:rFonts w:ascii="宋体" w:hAnsi="宋体" w:cs="楷体_GB2312"/>
          <w:b/>
          <w:bCs/>
          <w:color w:val="auto"/>
          <w:sz w:val="24"/>
          <w:szCs w:val="24"/>
          <w:highlight w:val="none"/>
        </w:rPr>
      </w:pPr>
      <w:r>
        <w:rPr>
          <w:rFonts w:hint="eastAsia" w:ascii="宋体" w:hAnsi="宋体" w:cs="宋体"/>
          <w:color w:val="auto"/>
          <w:sz w:val="24"/>
          <w:szCs w:val="24"/>
          <w:highlight w:val="none"/>
        </w:rPr>
        <w:t>★</w:t>
      </w:r>
      <w:r>
        <w:rPr>
          <w:rFonts w:hint="eastAsia" w:ascii="宋体" w:hAnsi="宋体" w:cs="楷体_GB2312"/>
          <w:b/>
          <w:bCs/>
          <w:color w:val="auto"/>
          <w:sz w:val="24"/>
          <w:szCs w:val="24"/>
          <w:highlight w:val="none"/>
        </w:rPr>
        <w:t>2、报价</w:t>
      </w:r>
      <w:r>
        <w:rPr>
          <w:rFonts w:ascii="宋体" w:hAnsi="宋体" w:cs="楷体_GB2312"/>
          <w:b/>
          <w:bCs/>
          <w:color w:val="auto"/>
          <w:sz w:val="24"/>
          <w:szCs w:val="24"/>
          <w:highlight w:val="none"/>
        </w:rPr>
        <w:t>要求</w:t>
      </w:r>
      <w:r>
        <w:rPr>
          <w:rFonts w:hint="eastAsia" w:ascii="宋体" w:hAnsi="宋体" w:cs="楷体_GB2312"/>
          <w:b/>
          <w:bCs/>
          <w:color w:val="auto"/>
          <w:sz w:val="24"/>
          <w:szCs w:val="24"/>
          <w:highlight w:val="none"/>
        </w:rPr>
        <w:t>：</w:t>
      </w:r>
    </w:p>
    <w:p>
      <w:pPr>
        <w:tabs>
          <w:tab w:val="left" w:pos="0"/>
        </w:tabs>
        <w:spacing w:line="360" w:lineRule="auto"/>
        <w:ind w:firstLine="480" w:firstLineChars="200"/>
        <w:rPr>
          <w:rFonts w:ascii="宋体" w:hAnsi="宋体" w:cs="宋体"/>
          <w:color w:val="auto"/>
          <w:sz w:val="24"/>
          <w:szCs w:val="24"/>
          <w:highlight w:val="none"/>
        </w:rPr>
      </w:pPr>
      <w:r>
        <w:rPr>
          <w:rFonts w:hint="eastAsia" w:ascii="宋体" w:hAnsi="宋体"/>
          <w:color w:val="auto"/>
          <w:sz w:val="24"/>
          <w:szCs w:val="24"/>
          <w:highlight w:val="none"/>
        </w:rPr>
        <w:t>（1）</w:t>
      </w:r>
      <w:r>
        <w:rPr>
          <w:rFonts w:hint="eastAsia" w:ascii="宋体" w:hAnsi="宋体" w:cs="宋体"/>
          <w:color w:val="auto"/>
          <w:sz w:val="24"/>
          <w:szCs w:val="24"/>
          <w:highlight w:val="none"/>
        </w:rPr>
        <w:t>报价方式：采用费率报价</w:t>
      </w:r>
    </w:p>
    <w:p>
      <w:pPr>
        <w:tabs>
          <w:tab w:val="left" w:pos="0"/>
        </w:tabs>
        <w:spacing w:line="360" w:lineRule="auto"/>
        <w:ind w:firstLine="480" w:firstLineChars="200"/>
        <w:rPr>
          <w:rFonts w:ascii="宋体" w:hAnsi="宋体" w:cs="宋体"/>
          <w:color w:val="auto"/>
          <w:sz w:val="24"/>
          <w:szCs w:val="24"/>
          <w:highlight w:val="none"/>
        </w:rPr>
      </w:pPr>
      <w:r>
        <w:rPr>
          <w:rFonts w:hint="eastAsia" w:ascii="宋体" w:hAnsi="宋体"/>
          <w:color w:val="auto"/>
          <w:sz w:val="24"/>
          <w:szCs w:val="24"/>
          <w:highlight w:val="none"/>
        </w:rPr>
        <w:t>（2）</w:t>
      </w:r>
      <w:r>
        <w:rPr>
          <w:rFonts w:hint="eastAsia" w:ascii="宋体" w:hAnsi="宋体" w:cs="宋体"/>
          <w:color w:val="auto"/>
          <w:sz w:val="24"/>
          <w:szCs w:val="24"/>
          <w:highlight w:val="none"/>
        </w:rPr>
        <w:t>最高限价：投标费率最高限价为100%，投标费率报价超过100%的按无效投标处理。</w:t>
      </w:r>
    </w:p>
    <w:p>
      <w:pPr>
        <w:tabs>
          <w:tab w:val="left" w:pos="0"/>
        </w:tabs>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（例如：供应商所报费率为90%，即最终工程结算价=经审计后的工程审定价*90%中标费率，以此类推。）</w:t>
      </w:r>
    </w:p>
    <w:p>
      <w:pPr>
        <w:tabs>
          <w:tab w:val="left" w:pos="0"/>
        </w:tabs>
        <w:spacing w:line="360" w:lineRule="auto"/>
        <w:ind w:firstLine="480" w:firstLineChars="200"/>
        <w:rPr>
          <w:rFonts w:ascii="宋体" w:hAnsi="宋体" w:cs="宋体"/>
          <w:color w:val="auto"/>
          <w:sz w:val="24"/>
          <w:szCs w:val="24"/>
          <w:highlight w:val="none"/>
        </w:rPr>
      </w:pPr>
      <w:r>
        <w:rPr>
          <w:rFonts w:hint="eastAsia" w:ascii="宋体" w:hAnsi="宋体"/>
          <w:color w:val="auto"/>
          <w:sz w:val="24"/>
          <w:szCs w:val="24"/>
          <w:highlight w:val="none"/>
        </w:rPr>
        <w:t>（3）综合得分最高的为中标单位并签订合同，签订合同中的费率，为</w:t>
      </w:r>
      <w:r>
        <w:rPr>
          <w:rFonts w:hint="eastAsia" w:ascii="宋体" w:hAnsi="宋体"/>
          <w:color w:val="auto"/>
          <w:sz w:val="24"/>
          <w:szCs w:val="24"/>
          <w:highlight w:val="none"/>
          <w:lang w:val="en-US" w:eastAsia="zh-CN"/>
        </w:rPr>
        <w:t>中标</w:t>
      </w:r>
      <w:r>
        <w:rPr>
          <w:rFonts w:hint="eastAsia" w:ascii="宋体" w:hAnsi="宋体"/>
          <w:color w:val="auto"/>
          <w:sz w:val="24"/>
          <w:szCs w:val="24"/>
          <w:highlight w:val="none"/>
        </w:rPr>
        <w:t>供应商的投标费率。如</w:t>
      </w:r>
      <w:r>
        <w:rPr>
          <w:rFonts w:hint="eastAsia" w:ascii="宋体" w:hAnsi="宋体"/>
          <w:color w:val="auto"/>
          <w:sz w:val="24"/>
          <w:szCs w:val="24"/>
          <w:highlight w:val="none"/>
          <w:lang w:val="en-US" w:eastAsia="zh-CN"/>
        </w:rPr>
        <w:t>中标</w:t>
      </w:r>
      <w:r>
        <w:rPr>
          <w:rFonts w:hint="eastAsia" w:ascii="宋体" w:hAnsi="宋体"/>
          <w:color w:val="auto"/>
          <w:sz w:val="24"/>
          <w:szCs w:val="24"/>
          <w:highlight w:val="none"/>
        </w:rPr>
        <w:t>供应商拒绝按此签署合同，视同自愿放弃</w:t>
      </w:r>
      <w:r>
        <w:rPr>
          <w:rFonts w:hint="eastAsia" w:ascii="宋体" w:hAnsi="宋体"/>
          <w:color w:val="auto"/>
          <w:sz w:val="24"/>
          <w:szCs w:val="24"/>
          <w:highlight w:val="none"/>
          <w:lang w:val="en-US" w:eastAsia="zh-CN"/>
        </w:rPr>
        <w:t>中标</w:t>
      </w:r>
      <w:r>
        <w:rPr>
          <w:rFonts w:hint="eastAsia" w:ascii="宋体" w:hAnsi="宋体"/>
          <w:color w:val="auto"/>
          <w:sz w:val="24"/>
          <w:szCs w:val="24"/>
          <w:highlight w:val="none"/>
        </w:rPr>
        <w:t>资格，排名次序后的供应商进行递补。并按递补后</w:t>
      </w:r>
      <w:r>
        <w:rPr>
          <w:rFonts w:hint="eastAsia" w:ascii="宋体" w:hAnsi="宋体"/>
          <w:color w:val="auto"/>
          <w:sz w:val="24"/>
          <w:szCs w:val="24"/>
          <w:highlight w:val="none"/>
          <w:lang w:val="en-US" w:eastAsia="zh-CN"/>
        </w:rPr>
        <w:t>中标</w:t>
      </w:r>
      <w:r>
        <w:rPr>
          <w:rFonts w:hint="eastAsia" w:ascii="宋体" w:hAnsi="宋体"/>
          <w:color w:val="auto"/>
          <w:sz w:val="24"/>
          <w:szCs w:val="24"/>
          <w:highlight w:val="none"/>
        </w:rPr>
        <w:t>供应商的投标</w:t>
      </w:r>
      <w:r>
        <w:rPr>
          <w:rFonts w:hint="eastAsia" w:ascii="宋体" w:hAnsi="宋体"/>
          <w:color w:val="auto"/>
          <w:sz w:val="24"/>
          <w:szCs w:val="24"/>
          <w:highlight w:val="none"/>
          <w:lang w:val="en-US" w:eastAsia="zh-CN"/>
        </w:rPr>
        <w:t>费率</w:t>
      </w:r>
      <w:r>
        <w:rPr>
          <w:rFonts w:hint="eastAsia" w:ascii="宋体" w:hAnsi="宋体"/>
          <w:color w:val="auto"/>
          <w:sz w:val="24"/>
          <w:szCs w:val="24"/>
          <w:highlight w:val="none"/>
        </w:rPr>
        <w:t>签订合同。</w:t>
      </w:r>
    </w:p>
    <w:p>
      <w:pPr>
        <w:spacing w:line="360" w:lineRule="auto"/>
        <w:rPr>
          <w:rFonts w:ascii="宋体" w:hAnsi="宋体" w:cs="黑体"/>
          <w:b/>
          <w:bCs/>
          <w:color w:val="auto"/>
          <w:sz w:val="24"/>
          <w:szCs w:val="24"/>
          <w:highlight w:val="none"/>
        </w:rPr>
      </w:pPr>
      <w:r>
        <w:rPr>
          <w:rFonts w:hint="eastAsia" w:ascii="宋体" w:hAnsi="宋体" w:cs="黑体"/>
          <w:b/>
          <w:bCs/>
          <w:color w:val="auto"/>
          <w:sz w:val="24"/>
          <w:szCs w:val="24"/>
          <w:highlight w:val="none"/>
        </w:rPr>
        <w:t>六、项目相关要求</w:t>
      </w:r>
    </w:p>
    <w:p>
      <w:pPr>
        <w:spacing w:line="360" w:lineRule="auto"/>
        <w:rPr>
          <w:rFonts w:ascii="宋体" w:hAnsi="宋体" w:cs="楷体_GB2312"/>
          <w:b/>
          <w:bCs/>
          <w:color w:val="auto"/>
          <w:sz w:val="24"/>
          <w:szCs w:val="24"/>
          <w:highlight w:val="none"/>
        </w:rPr>
      </w:pPr>
      <w:r>
        <w:rPr>
          <w:rFonts w:hint="eastAsia" w:ascii="宋体" w:hAnsi="宋体" w:cs="宋体"/>
          <w:color w:val="auto"/>
          <w:sz w:val="24"/>
          <w:szCs w:val="24"/>
          <w:highlight w:val="none"/>
        </w:rPr>
        <w:t>★</w:t>
      </w:r>
      <w:r>
        <w:rPr>
          <w:rFonts w:hint="eastAsia" w:ascii="宋体" w:hAnsi="宋体" w:cs="楷体_GB2312"/>
          <w:b/>
          <w:bCs/>
          <w:color w:val="auto"/>
          <w:sz w:val="24"/>
          <w:szCs w:val="24"/>
          <w:highlight w:val="none"/>
        </w:rPr>
        <w:t>（一）人员要求</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供应商须承诺：中标后派遣2名常驻人员，1名为电工，1名为水工，水工及电工人员要求50岁及以下人员，水工及电工人员要求7*24小时常驻南京技师学院，电工需持应急管理部门颁发高压电工证。（提供相关承诺函加盖公章）</w:t>
      </w:r>
    </w:p>
    <w:p>
      <w:pPr>
        <w:spacing w:line="360" w:lineRule="auto"/>
        <w:ind w:firstLine="480" w:firstLineChars="200"/>
        <w:rPr>
          <w:color w:val="auto"/>
          <w:highlight w:val="none"/>
        </w:rPr>
      </w:pPr>
      <w:r>
        <w:rPr>
          <w:rFonts w:hint="eastAsia" w:ascii="宋体" w:hAnsi="宋体"/>
          <w:color w:val="auto"/>
          <w:sz w:val="24"/>
          <w:szCs w:val="24"/>
          <w:highlight w:val="none"/>
        </w:rPr>
        <w:t>2、供应商须承诺：中标后项目负责人未经采购人批准不得更换，若在项目实施过程发现项目负责人不称职，采购人有权要求中标单位更换符合采购人要求的项目负责人。项目负责人应按采购人要求参加必要的工程会议，且项目负责人负责后期学校现场管理。（提供相关承诺函加盖公章）</w:t>
      </w:r>
    </w:p>
    <w:p>
      <w:pPr>
        <w:spacing w:line="360" w:lineRule="auto"/>
        <w:jc w:val="left"/>
        <w:rPr>
          <w:rFonts w:ascii="宋体" w:hAnsi="宋体"/>
          <w:b/>
          <w:bCs/>
          <w:color w:val="auto"/>
          <w:sz w:val="24"/>
          <w:szCs w:val="24"/>
          <w:highlight w:val="none"/>
        </w:rPr>
      </w:pPr>
      <w:r>
        <w:rPr>
          <w:rFonts w:hint="eastAsia" w:ascii="宋体" w:hAnsi="宋体" w:cs="宋体"/>
          <w:b/>
          <w:bCs/>
          <w:color w:val="auto"/>
          <w:sz w:val="22"/>
          <w:highlight w:val="none"/>
        </w:rPr>
        <w:t>▲（</w:t>
      </w:r>
      <w:r>
        <w:rPr>
          <w:rFonts w:hint="eastAsia" w:ascii="宋体" w:hAnsi="宋体"/>
          <w:b/>
          <w:bCs/>
          <w:color w:val="auto"/>
          <w:sz w:val="24"/>
          <w:szCs w:val="24"/>
          <w:highlight w:val="none"/>
          <w:lang w:val="en-US" w:eastAsia="zh-CN"/>
        </w:rPr>
        <w:t>二</w:t>
      </w:r>
      <w:r>
        <w:rPr>
          <w:rFonts w:hint="eastAsia" w:ascii="宋体" w:hAnsi="宋体"/>
          <w:b/>
          <w:bCs/>
          <w:color w:val="auto"/>
          <w:sz w:val="24"/>
          <w:szCs w:val="24"/>
          <w:highlight w:val="none"/>
        </w:rPr>
        <w:t>）施工</w:t>
      </w:r>
      <w:r>
        <w:rPr>
          <w:rFonts w:hint="eastAsia" w:ascii="宋体" w:hAnsi="宋体"/>
          <w:b/>
          <w:bCs/>
          <w:color w:val="auto"/>
          <w:sz w:val="24"/>
          <w:szCs w:val="24"/>
          <w:highlight w:val="none"/>
          <w:lang w:val="en-US" w:eastAsia="zh-CN"/>
        </w:rPr>
        <w:t>及质量</w:t>
      </w:r>
      <w:r>
        <w:rPr>
          <w:rFonts w:hint="eastAsia" w:ascii="宋体" w:hAnsi="宋体"/>
          <w:b/>
          <w:bCs/>
          <w:color w:val="auto"/>
          <w:sz w:val="24"/>
          <w:szCs w:val="24"/>
          <w:highlight w:val="none"/>
        </w:rPr>
        <w:t>要求</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1、供应商应严格执行建筑施工规范、安全操作规范、安全防火规定、环境保护规定，施工中所发生的一切安全责任事故均由供应商承担，采购人不承担任何责任。</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2、供应商应做到文明施工，不得扰民，做好施工现场及院内整洁，做好已有设施和装修的保护措施，如有损坏采购人有权要求赔偿，施工垃圾及时清运，清运手续、费用由施工方自行解决。</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3、工程渣土费、环卫保洁费、治安联防费等工程相关费用投标人均应列入报价，不列视为让利，中标后不调整。</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4、供应商所使用的各类材料必须为环保、节能产品。</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5、成交供应商需在签订合同前，按照采购文件要求提供详细的项目进度计划表，供采购人审批。</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6、工程质量：符合国家现行质量验收标准。</w:t>
      </w:r>
    </w:p>
    <w:p>
      <w:pPr>
        <w:spacing w:line="360" w:lineRule="auto"/>
        <w:jc w:val="left"/>
        <w:rPr>
          <w:rFonts w:hint="eastAsia" w:ascii="宋体" w:hAnsi="宋体"/>
          <w:b/>
          <w:bCs/>
          <w:color w:val="auto"/>
          <w:sz w:val="24"/>
          <w:szCs w:val="24"/>
          <w:highlight w:val="none"/>
          <w:lang w:val="en-US" w:eastAsia="zh-CN"/>
        </w:rPr>
      </w:pPr>
      <w:r>
        <w:rPr>
          <w:rFonts w:hint="eastAsia" w:ascii="宋体" w:hAnsi="宋体" w:cs="宋体"/>
          <w:b/>
          <w:bCs/>
          <w:color w:val="auto"/>
          <w:sz w:val="22"/>
          <w:highlight w:val="none"/>
        </w:rPr>
        <w:t>▲</w:t>
      </w:r>
      <w:r>
        <w:rPr>
          <w:rFonts w:hint="eastAsia" w:ascii="宋体" w:hAnsi="宋体"/>
          <w:b/>
          <w:bCs/>
          <w:color w:val="auto"/>
          <w:sz w:val="24"/>
          <w:szCs w:val="24"/>
          <w:highlight w:val="none"/>
          <w:lang w:val="en-US" w:eastAsia="zh-CN"/>
        </w:rPr>
        <w:t>（三）安全要求</w:t>
      </w:r>
    </w:p>
    <w:p>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1、供应商应设立安全生产管理机构，建立健全安全生产责任制度和教育培训制度，制定安全生产规章制度和操作规程，建立生产安全事故紧急预案。</w:t>
      </w:r>
    </w:p>
    <w:p>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供应商主要负责人依法对本单位的安全生产工作全面负责，项目负责人对建设工程项目的安全施工负责，落实安全生产责任制度、安全生产规章制度和操作规程，确保安全生产费用的有效使用，并根据工程的特点组织制定安全施工措施，消除安全事故隐患，及时、如实报告生产安全事故。</w:t>
      </w:r>
    </w:p>
    <w:p>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3、建立安全生产费用预算，在工程报价中应当包含工程施工的安全作业环境及安全施工措施所需费用。</w:t>
      </w:r>
    </w:p>
    <w:p>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4、严格按照现行工程建设强制性标准和安全生产操作规范以及与建设工程相关的法律、法规进行施工作业。</w:t>
      </w:r>
    </w:p>
    <w:p>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5、要依法参加工伤社会保险，为从业人员</w:t>
      </w:r>
      <w:r>
        <w:rPr>
          <w:rFonts w:hint="eastAsia" w:ascii="宋体" w:hAnsi="宋体"/>
          <w:color w:val="auto"/>
          <w:sz w:val="24"/>
          <w:szCs w:val="24"/>
          <w:highlight w:val="none"/>
          <w:lang w:val="en-US" w:eastAsia="zh-CN"/>
        </w:rPr>
        <w:t>缴纳</w:t>
      </w:r>
      <w:r>
        <w:rPr>
          <w:rFonts w:hint="eastAsia" w:ascii="宋体" w:hAnsi="宋体"/>
          <w:color w:val="auto"/>
          <w:sz w:val="24"/>
          <w:szCs w:val="24"/>
          <w:highlight w:val="none"/>
        </w:rPr>
        <w:t>保险费。</w:t>
      </w:r>
    </w:p>
    <w:p>
      <w:pPr>
        <w:widowControl/>
        <w:spacing w:line="360" w:lineRule="auto"/>
        <w:jc w:val="left"/>
        <w:rPr>
          <w:rFonts w:ascii="宋体" w:hAnsi="宋体"/>
          <w:color w:val="auto"/>
          <w:sz w:val="24"/>
          <w:szCs w:val="24"/>
          <w:highlight w:val="none"/>
        </w:rPr>
      </w:pPr>
      <w:r>
        <w:rPr>
          <w:rFonts w:hint="eastAsia" w:ascii="宋体" w:hAnsi="宋体" w:cs="宋体"/>
          <w:b/>
          <w:bCs/>
          <w:color w:val="auto"/>
          <w:sz w:val="24"/>
          <w:szCs w:val="24"/>
          <w:highlight w:val="none"/>
        </w:rPr>
        <w:t>★</w:t>
      </w:r>
      <w:r>
        <w:rPr>
          <w:rFonts w:hint="eastAsia"/>
          <w:b/>
          <w:color w:val="auto"/>
          <w:sz w:val="24"/>
          <w:highlight w:val="none"/>
        </w:rPr>
        <w:t>（</w:t>
      </w:r>
      <w:r>
        <w:rPr>
          <w:rFonts w:hint="eastAsia"/>
          <w:b/>
          <w:color w:val="auto"/>
          <w:sz w:val="24"/>
          <w:highlight w:val="none"/>
          <w:lang w:val="en-US" w:eastAsia="zh-CN"/>
        </w:rPr>
        <w:t>四</w:t>
      </w:r>
      <w:r>
        <w:rPr>
          <w:rFonts w:hint="eastAsia"/>
          <w:b/>
          <w:color w:val="auto"/>
          <w:sz w:val="24"/>
          <w:highlight w:val="none"/>
        </w:rPr>
        <w:t>）</w:t>
      </w:r>
      <w:r>
        <w:rPr>
          <w:rFonts w:hint="eastAsia"/>
          <w:b/>
          <w:color w:val="auto"/>
          <w:sz w:val="24"/>
          <w:highlight w:val="none"/>
          <w:lang w:val="en-US" w:eastAsia="zh-CN"/>
        </w:rPr>
        <w:t>维保</w:t>
      </w:r>
      <w:r>
        <w:rPr>
          <w:rFonts w:hint="eastAsia"/>
          <w:b/>
          <w:color w:val="auto"/>
          <w:sz w:val="24"/>
          <w:highlight w:val="none"/>
        </w:rPr>
        <w:t>要求</w:t>
      </w:r>
    </w:p>
    <w:p>
      <w:pPr>
        <w:numPr>
          <w:ilvl w:val="0"/>
          <w:numId w:val="0"/>
        </w:numPr>
        <w:spacing w:line="360" w:lineRule="auto"/>
        <w:ind w:firstLine="482" w:firstLineChars="200"/>
        <w:jc w:val="left"/>
        <w:rPr>
          <w:rFonts w:hint="eastAsia" w:ascii="宋体" w:hAnsi="宋体" w:eastAsia="宋体"/>
          <w:b/>
          <w:bCs/>
          <w:color w:val="auto"/>
          <w:sz w:val="24"/>
          <w:szCs w:val="24"/>
          <w:highlight w:val="none"/>
          <w:lang w:eastAsia="zh-CN"/>
        </w:rPr>
      </w:pPr>
      <w:r>
        <w:rPr>
          <w:rFonts w:hint="eastAsia" w:ascii="宋体" w:hAnsi="宋体"/>
          <w:b/>
          <w:bCs/>
          <w:color w:val="auto"/>
          <w:sz w:val="24"/>
          <w:szCs w:val="24"/>
          <w:highlight w:val="none"/>
          <w:lang w:val="en-US" w:eastAsia="zh-CN"/>
        </w:rPr>
        <w:t>1、</w:t>
      </w:r>
      <w:r>
        <w:rPr>
          <w:rFonts w:hint="eastAsia" w:ascii="宋体" w:hAnsi="宋体"/>
          <w:b/>
          <w:bCs/>
          <w:color w:val="auto"/>
          <w:sz w:val="24"/>
          <w:szCs w:val="24"/>
          <w:highlight w:val="none"/>
        </w:rPr>
        <w:t>供应商必须有专人</w:t>
      </w:r>
      <w:r>
        <w:rPr>
          <w:rFonts w:hint="eastAsia" w:ascii="宋体" w:hAnsi="宋体"/>
          <w:b/>
          <w:bCs/>
          <w:color w:val="auto"/>
          <w:sz w:val="24"/>
          <w:szCs w:val="24"/>
          <w:highlight w:val="none"/>
          <w:lang w:val="en-US" w:eastAsia="zh-CN"/>
        </w:rPr>
        <w:t>负责</w:t>
      </w:r>
      <w:r>
        <w:rPr>
          <w:rFonts w:hint="eastAsia" w:ascii="宋体" w:hAnsi="宋体"/>
          <w:b/>
          <w:bCs/>
          <w:color w:val="auto"/>
          <w:sz w:val="24"/>
          <w:szCs w:val="24"/>
          <w:highlight w:val="none"/>
        </w:rPr>
        <w:t>网上报修的受理与处理工作，接甲方报修信息后，供应商必须30分钟内做出响应，维修人员1小时内到达现场，及时做好维修工作。（提供相关承诺函加盖公章）</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2、原则上报修任务当天完成，如有特殊情况供应商须向甲方说明情况，在甲方同意的前提下才可在第二天完成；对较复杂的维修项目如厕所、屋面防水等项目，根据服务规范按期完成工作内容。</w:t>
      </w:r>
    </w:p>
    <w:p>
      <w:pPr>
        <w:spacing w:line="360" w:lineRule="auto"/>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3、维修工作完成后供应商必需在规定时间内通知甲方人员验收签字确认，作为结算依据，派工单据遗失须及时向甲方说明原因，否则不确认相应的维修事宜</w:t>
      </w:r>
      <w:r>
        <w:rPr>
          <w:rFonts w:hint="eastAsia" w:ascii="宋体" w:hAnsi="宋体"/>
          <w:color w:val="auto"/>
          <w:sz w:val="24"/>
          <w:szCs w:val="24"/>
          <w:highlight w:val="none"/>
          <w:lang w:eastAsia="zh-CN"/>
        </w:rPr>
        <w:t>。</w:t>
      </w:r>
    </w:p>
    <w:p>
      <w:pPr>
        <w:widowControl/>
        <w:spacing w:line="360" w:lineRule="auto"/>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4、工程质保要求：按照国家《建设工程质量管理条例》办法执行，上述质量服务保修要求为最低要求，不满足的作无效投标处理。质保期间凡工程出现非人为因素（不可抗力除外）导致的损坏，施工方需与采购人告知之日起三日内免费维修完毕。</w:t>
      </w:r>
    </w:p>
    <w:p>
      <w:pPr>
        <w:widowControl/>
        <w:spacing w:line="360" w:lineRule="auto"/>
        <w:jc w:val="left"/>
        <w:rPr>
          <w:rFonts w:ascii="宋体" w:hAnsi="宋体"/>
          <w:b/>
          <w:color w:val="auto"/>
          <w:sz w:val="24"/>
          <w:szCs w:val="24"/>
          <w:highlight w:val="none"/>
        </w:rPr>
      </w:pPr>
      <w:r>
        <w:rPr>
          <w:rFonts w:hint="eastAsia" w:ascii="宋体" w:hAnsi="宋体" w:cs="宋体"/>
          <w:color w:val="auto"/>
          <w:sz w:val="24"/>
          <w:szCs w:val="24"/>
          <w:highlight w:val="none"/>
        </w:rPr>
        <w:t>▲</w:t>
      </w:r>
      <w:r>
        <w:rPr>
          <w:rFonts w:hint="eastAsia" w:ascii="宋体" w:hAnsi="宋体" w:cs="楷体_GB2312"/>
          <w:b/>
          <w:bCs/>
          <w:color w:val="auto"/>
          <w:sz w:val="24"/>
          <w:szCs w:val="24"/>
          <w:highlight w:val="none"/>
        </w:rPr>
        <w:t>（</w:t>
      </w:r>
      <w:r>
        <w:rPr>
          <w:rFonts w:hint="eastAsia" w:ascii="宋体" w:hAnsi="宋体" w:cs="楷体_GB2312"/>
          <w:b/>
          <w:bCs/>
          <w:color w:val="auto"/>
          <w:sz w:val="24"/>
          <w:szCs w:val="24"/>
          <w:highlight w:val="none"/>
          <w:lang w:val="en-US" w:eastAsia="zh-CN"/>
        </w:rPr>
        <w:t>五</w:t>
      </w:r>
      <w:r>
        <w:rPr>
          <w:rFonts w:hint="eastAsia" w:ascii="宋体" w:hAnsi="宋体" w:cs="楷体_GB2312"/>
          <w:b/>
          <w:bCs/>
          <w:color w:val="auto"/>
          <w:sz w:val="24"/>
          <w:szCs w:val="24"/>
          <w:highlight w:val="none"/>
        </w:rPr>
        <w:t>）</w:t>
      </w:r>
      <w:r>
        <w:rPr>
          <w:rFonts w:hint="eastAsia" w:ascii="宋体" w:hAnsi="宋体"/>
          <w:b/>
          <w:color w:val="auto"/>
          <w:sz w:val="24"/>
          <w:szCs w:val="24"/>
          <w:highlight w:val="none"/>
        </w:rPr>
        <w:t>工程进度管理要求</w:t>
      </w:r>
    </w:p>
    <w:p>
      <w:pPr>
        <w:widowControl/>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1、乙方接到维修改造任务后必须在承诺的到场时间内到场，且不得超过3小时，若未能按要求到场的甲方有权进行追责（</w:t>
      </w:r>
      <w:r>
        <w:rPr>
          <w:rFonts w:hint="eastAsia" w:ascii="宋体" w:hAnsi="宋体"/>
          <w:color w:val="auto"/>
          <w:sz w:val="24"/>
          <w:szCs w:val="24"/>
          <w:highlight w:val="none"/>
          <w:lang w:eastAsia="zh-CN"/>
        </w:rPr>
        <w:t>包括但不限于限期整改</w:t>
      </w:r>
      <w:r>
        <w:rPr>
          <w:rFonts w:hint="eastAsia" w:ascii="宋体" w:hAnsi="宋体"/>
          <w:color w:val="auto"/>
          <w:sz w:val="24"/>
          <w:szCs w:val="24"/>
          <w:highlight w:val="none"/>
        </w:rPr>
        <w:t>、要求乙方支付违约金每次500元、扣除乙方合同款项、终止合同等。）</w:t>
      </w:r>
    </w:p>
    <w:p>
      <w:pPr>
        <w:widowControl/>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2、乙方接到任务后对于1万元以下的维修改造工程，必须在承诺时间内且不得超过24小时内向后勤处上报项目</w:t>
      </w:r>
      <w:r>
        <w:rPr>
          <w:rFonts w:hint="eastAsia" w:ascii="宋体" w:hAnsi="宋体"/>
          <w:color w:val="auto"/>
          <w:sz w:val="24"/>
          <w:szCs w:val="24"/>
          <w:highlight w:val="none"/>
          <w:lang w:val="en-US" w:eastAsia="zh-CN"/>
        </w:rPr>
        <w:t>完成情况。</w:t>
      </w:r>
      <w:r>
        <w:rPr>
          <w:rFonts w:hint="eastAsia" w:ascii="宋体" w:hAnsi="宋体"/>
          <w:color w:val="auto"/>
          <w:sz w:val="24"/>
          <w:szCs w:val="24"/>
          <w:highlight w:val="none"/>
        </w:rPr>
        <w:t>1万元以上的维修改造工程，必须在承诺时间内且不得超过48小时内向后勤处上报项目施工方案（含工期安排）及概算文件(概算文件必须详细备注所用材料的品牌、规格、型号等信息)；若未能按时间及规范要求上报的甲方有权进行追责（</w:t>
      </w:r>
      <w:r>
        <w:rPr>
          <w:rFonts w:hint="eastAsia" w:ascii="宋体" w:hAnsi="宋体"/>
          <w:color w:val="auto"/>
          <w:sz w:val="24"/>
          <w:szCs w:val="24"/>
          <w:highlight w:val="none"/>
          <w:lang w:eastAsia="zh-CN"/>
        </w:rPr>
        <w:t>包括但不限于限期整改</w:t>
      </w:r>
      <w:r>
        <w:rPr>
          <w:rFonts w:hint="eastAsia" w:ascii="宋体" w:hAnsi="宋体"/>
          <w:color w:val="auto"/>
          <w:sz w:val="24"/>
          <w:szCs w:val="24"/>
          <w:highlight w:val="none"/>
        </w:rPr>
        <w:t>、要求乙方支付违约金每次500元、扣除乙方合同款项、终止合同等。）</w:t>
      </w:r>
    </w:p>
    <w:p>
      <w:pPr>
        <w:widowControl/>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后勤处项目负责人及使用单位代表及时检查、督促工程进度情况，针对施工中出现的问题，要求乙方采取相对的措施，确保质量、进度计划的措施，有些工程项目甲方会派出工程监理，乙方应积极配合，服从监理监督管理。</w:t>
      </w:r>
    </w:p>
    <w:p>
      <w:pPr>
        <w:widowControl/>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乙方应建立全面反映工程进度状况的工程日志、工程实际与计划进度对比图，乙方做好工程的统筹、计划工作，科学组织，倒排工期，编制施工进度计划，根据现场情况优化施工组织设计及施工方案，以提高施工效率，加快施工进度，乙方应有驻校工程技术人员，确保施工质量。</w:t>
      </w:r>
    </w:p>
    <w:p>
      <w:pPr>
        <w:widowControl/>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未完成月度（包括调整）施工进度计划的类型均需提交专题“进度情况分析报告”，找出存在的问题，提出下阶段切实可行的计划。报告的主要内容包括：（1）未完成进度计划的主要工程项目和工程数量。（2）未完成进度计划的主要原因。（3）赶上本阶段施工进度计划的具体时间和实现这一目标计划的保证措施；</w:t>
      </w:r>
    </w:p>
    <w:p>
      <w:pPr>
        <w:widowControl/>
        <w:spacing w:line="360" w:lineRule="auto"/>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、乙方由于自身原因未按照要求完成进度计划的，甲方有权进行追责（</w:t>
      </w:r>
      <w:r>
        <w:rPr>
          <w:rFonts w:hint="eastAsia" w:ascii="宋体" w:hAnsi="宋体"/>
          <w:color w:val="auto"/>
          <w:sz w:val="24"/>
          <w:szCs w:val="24"/>
          <w:highlight w:val="none"/>
          <w:lang w:eastAsia="zh-CN"/>
        </w:rPr>
        <w:t>包括但不限于限期整改</w:t>
      </w:r>
      <w:r>
        <w:rPr>
          <w:rFonts w:hint="eastAsia" w:ascii="宋体" w:hAnsi="宋体"/>
          <w:color w:val="auto"/>
          <w:sz w:val="24"/>
          <w:szCs w:val="24"/>
          <w:highlight w:val="none"/>
        </w:rPr>
        <w:t>、要求乙方支付违约金每次500元、扣除乙方合同款项、终止合同等。）</w:t>
      </w:r>
      <w:r>
        <w:rPr>
          <w:rFonts w:hint="eastAsia" w:ascii="宋体" w:hAnsi="宋体"/>
          <w:color w:val="auto"/>
          <w:sz w:val="24"/>
          <w:szCs w:val="24"/>
          <w:highlight w:val="none"/>
          <w:lang w:val="en-US" w:eastAsia="zh-CN"/>
        </w:rPr>
        <w:t xml:space="preserve">    </w:t>
      </w:r>
    </w:p>
    <w:p>
      <w:pPr>
        <w:widowControl/>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val="en-US" w:eastAsia="zh-CN"/>
        </w:rPr>
        <w:t>7、本月结束后，乙方必须在次月15日前，向后勤处上报该月任务结算资料。否则甲方有权要求乙方限期整改，若整改不到位则每延误一天扣除乙方合同款项每天500元，直至当月合同款项全部扣除为止，次月底若不交任务结算资料，则默认为放弃该月合同款项。</w:t>
      </w:r>
    </w:p>
    <w:p>
      <w:pPr>
        <w:spacing w:line="360" w:lineRule="auto"/>
        <w:ind w:firstLine="480" w:firstLineChars="200"/>
        <w:rPr>
          <w:rFonts w:ascii="宋体" w:hAnsi="宋体" w:cs="黑体"/>
          <w:b/>
          <w:bCs/>
          <w:color w:val="auto"/>
          <w:sz w:val="24"/>
          <w:szCs w:val="24"/>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、乙方在接到后勤处抢修工程任务时候，必须在承诺的时间内且不超过1小时内到达现场后及时组织处理，不能按要求到场处理的甲方有权进行追责（</w:t>
      </w:r>
      <w:r>
        <w:rPr>
          <w:rFonts w:hint="eastAsia" w:ascii="宋体" w:hAnsi="宋体"/>
          <w:color w:val="auto"/>
          <w:sz w:val="24"/>
          <w:szCs w:val="24"/>
          <w:highlight w:val="none"/>
          <w:lang w:eastAsia="zh-CN"/>
        </w:rPr>
        <w:t>包括但不限于限期整改</w:t>
      </w:r>
      <w:r>
        <w:rPr>
          <w:rFonts w:hint="eastAsia" w:ascii="宋体" w:hAnsi="宋体"/>
          <w:color w:val="auto"/>
          <w:sz w:val="24"/>
          <w:szCs w:val="24"/>
          <w:highlight w:val="none"/>
        </w:rPr>
        <w:t>、要求乙方支付违约金每次500元、扣除乙方合同款项、终止合同等。）</w:t>
      </w:r>
      <w:r>
        <w:rPr>
          <w:rFonts w:hint="eastAsia" w:ascii="宋体" w:hAnsi="宋体" w:cs="宋体"/>
          <w:b/>
          <w:bCs/>
          <w:color w:val="auto"/>
          <w:sz w:val="24"/>
          <w:szCs w:val="20"/>
          <w:highlight w:val="none"/>
        </w:rPr>
        <w:t>★</w:t>
      </w:r>
      <w:r>
        <w:rPr>
          <w:rFonts w:hint="eastAsia" w:ascii="宋体" w:hAnsi="宋体" w:cs="黑体"/>
          <w:b/>
          <w:bCs/>
          <w:color w:val="auto"/>
          <w:sz w:val="24"/>
          <w:szCs w:val="24"/>
          <w:highlight w:val="none"/>
        </w:rPr>
        <w:t>七、维修主材要求：</w:t>
      </w:r>
    </w:p>
    <w:tbl>
      <w:tblPr>
        <w:tblStyle w:val="56"/>
        <w:tblW w:w="47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1918"/>
        <w:gridCol w:w="1082"/>
        <w:gridCol w:w="785"/>
        <w:gridCol w:w="3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39" w:type="pct"/>
            <w:vAlign w:val="center"/>
          </w:tcPr>
          <w:p>
            <w:pPr>
              <w:pStyle w:val="2"/>
              <w:ind w:firstLine="0" w:firstLineChars="0"/>
              <w:jc w:val="center"/>
              <w:rPr>
                <w:rFonts w:cs="宋体"/>
                <w:b/>
                <w:bCs/>
                <w:color w:val="auto"/>
                <w:sz w:val="21"/>
                <w:szCs w:val="21"/>
                <w:highlight w:val="none"/>
              </w:rPr>
            </w:pPr>
            <w:r>
              <w:rPr>
                <w:rFonts w:hint="eastAsia" w:cs="宋体"/>
                <w:b/>
                <w:bCs/>
                <w:color w:val="auto"/>
                <w:sz w:val="21"/>
                <w:szCs w:val="21"/>
                <w:highlight w:val="none"/>
              </w:rPr>
              <w:t>序号</w:t>
            </w:r>
          </w:p>
        </w:tc>
        <w:tc>
          <w:tcPr>
            <w:tcW w:w="1182" w:type="pct"/>
            <w:vAlign w:val="center"/>
          </w:tcPr>
          <w:p>
            <w:pPr>
              <w:pStyle w:val="2"/>
              <w:ind w:firstLine="0" w:firstLineChars="0"/>
              <w:jc w:val="center"/>
              <w:rPr>
                <w:rFonts w:cs="宋体"/>
                <w:b/>
                <w:bCs/>
                <w:color w:val="auto"/>
                <w:sz w:val="21"/>
                <w:szCs w:val="21"/>
                <w:highlight w:val="none"/>
              </w:rPr>
            </w:pPr>
            <w:r>
              <w:rPr>
                <w:rFonts w:hint="eastAsia" w:cs="宋体"/>
                <w:b/>
                <w:bCs/>
                <w:color w:val="auto"/>
                <w:sz w:val="21"/>
                <w:szCs w:val="21"/>
                <w:highlight w:val="none"/>
              </w:rPr>
              <w:t>项目</w:t>
            </w:r>
          </w:p>
        </w:tc>
        <w:tc>
          <w:tcPr>
            <w:tcW w:w="667" w:type="pct"/>
            <w:vAlign w:val="center"/>
          </w:tcPr>
          <w:p>
            <w:pPr>
              <w:pStyle w:val="2"/>
              <w:ind w:firstLine="0" w:firstLineChars="0"/>
              <w:jc w:val="center"/>
              <w:rPr>
                <w:rFonts w:cs="宋体"/>
                <w:b/>
                <w:bCs/>
                <w:color w:val="auto"/>
                <w:sz w:val="21"/>
                <w:szCs w:val="21"/>
                <w:highlight w:val="none"/>
              </w:rPr>
            </w:pPr>
            <w:r>
              <w:rPr>
                <w:rFonts w:hint="eastAsia" w:cs="宋体"/>
                <w:b/>
                <w:bCs/>
                <w:color w:val="auto"/>
                <w:sz w:val="21"/>
                <w:szCs w:val="21"/>
                <w:highlight w:val="none"/>
              </w:rPr>
              <w:t>规格</w:t>
            </w:r>
          </w:p>
        </w:tc>
        <w:tc>
          <w:tcPr>
            <w:tcW w:w="484" w:type="pct"/>
            <w:vAlign w:val="center"/>
          </w:tcPr>
          <w:p>
            <w:pPr>
              <w:pStyle w:val="2"/>
              <w:ind w:firstLine="0" w:firstLineChars="0"/>
              <w:jc w:val="center"/>
              <w:rPr>
                <w:rFonts w:cs="宋体"/>
                <w:b/>
                <w:bCs/>
                <w:color w:val="auto"/>
                <w:sz w:val="21"/>
                <w:szCs w:val="21"/>
                <w:highlight w:val="none"/>
              </w:rPr>
            </w:pPr>
            <w:r>
              <w:rPr>
                <w:rFonts w:hint="eastAsia" w:cs="宋体"/>
                <w:b/>
                <w:bCs/>
                <w:color w:val="auto"/>
                <w:sz w:val="21"/>
                <w:szCs w:val="21"/>
                <w:highlight w:val="none"/>
              </w:rPr>
              <w:t>等级</w:t>
            </w:r>
          </w:p>
        </w:tc>
        <w:tc>
          <w:tcPr>
            <w:tcW w:w="2225" w:type="pct"/>
            <w:vAlign w:val="center"/>
          </w:tcPr>
          <w:p>
            <w:pPr>
              <w:pStyle w:val="2"/>
              <w:ind w:firstLine="0" w:firstLineChars="0"/>
              <w:jc w:val="center"/>
              <w:rPr>
                <w:rFonts w:cs="宋体"/>
                <w:b/>
                <w:bCs/>
                <w:color w:val="auto"/>
                <w:sz w:val="21"/>
                <w:szCs w:val="21"/>
                <w:highlight w:val="none"/>
              </w:rPr>
            </w:pPr>
            <w:r>
              <w:rPr>
                <w:rFonts w:hint="eastAsia" w:cs="宋体"/>
                <w:b/>
                <w:bCs/>
                <w:color w:val="auto"/>
                <w:sz w:val="21"/>
                <w:szCs w:val="21"/>
                <w:highlight w:val="none"/>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pPr>
              <w:pStyle w:val="2"/>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1</w:t>
            </w:r>
          </w:p>
        </w:tc>
        <w:tc>
          <w:tcPr>
            <w:tcW w:w="1182" w:type="pct"/>
            <w:vAlign w:val="center"/>
          </w:tcPr>
          <w:p>
            <w:pPr>
              <w:pStyle w:val="2"/>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水泥</w:t>
            </w:r>
          </w:p>
        </w:tc>
        <w:tc>
          <w:tcPr>
            <w:tcW w:w="667" w:type="pct"/>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根据工程项目需要，按学校、设计和规范要求，型号选型</w:t>
            </w:r>
          </w:p>
        </w:tc>
        <w:tc>
          <w:tcPr>
            <w:tcW w:w="484" w:type="pct"/>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优质</w:t>
            </w:r>
          </w:p>
          <w:p>
            <w:pPr>
              <w:jc w:val="center"/>
              <w:rPr>
                <w:rFonts w:ascii="宋体" w:hAnsi="宋体" w:cs="宋体"/>
                <w:color w:val="auto"/>
                <w:szCs w:val="21"/>
                <w:highlight w:val="none"/>
              </w:rPr>
            </w:pPr>
          </w:p>
        </w:tc>
        <w:tc>
          <w:tcPr>
            <w:tcW w:w="2225" w:type="pct"/>
            <w:vAlign w:val="center"/>
          </w:tcPr>
          <w:p>
            <w:pPr>
              <w:pStyle w:val="2"/>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宁国海螺、南京中联、江苏金峰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pPr>
              <w:pStyle w:val="2"/>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2</w:t>
            </w:r>
          </w:p>
        </w:tc>
        <w:tc>
          <w:tcPr>
            <w:tcW w:w="1182" w:type="pct"/>
            <w:vAlign w:val="center"/>
          </w:tcPr>
          <w:p>
            <w:pPr>
              <w:pStyle w:val="2"/>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开关，插座</w:t>
            </w:r>
          </w:p>
        </w:tc>
        <w:tc>
          <w:tcPr>
            <w:tcW w:w="667" w:type="pct"/>
            <w:vMerge w:val="continue"/>
            <w:vAlign w:val="center"/>
          </w:tcPr>
          <w:p>
            <w:pPr>
              <w:jc w:val="center"/>
              <w:rPr>
                <w:rFonts w:ascii="宋体" w:hAnsi="宋体" w:cs="宋体"/>
                <w:color w:val="auto"/>
                <w:szCs w:val="21"/>
                <w:highlight w:val="none"/>
              </w:rPr>
            </w:pPr>
          </w:p>
        </w:tc>
        <w:tc>
          <w:tcPr>
            <w:tcW w:w="484" w:type="pct"/>
            <w:vMerge w:val="continue"/>
            <w:vAlign w:val="center"/>
          </w:tcPr>
          <w:p>
            <w:pPr>
              <w:jc w:val="center"/>
              <w:rPr>
                <w:rFonts w:ascii="宋体" w:hAnsi="宋体" w:cs="宋体"/>
                <w:color w:val="auto"/>
                <w:szCs w:val="21"/>
                <w:highlight w:val="none"/>
              </w:rPr>
            </w:pPr>
          </w:p>
        </w:tc>
        <w:tc>
          <w:tcPr>
            <w:tcW w:w="2225"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施耐德、公牛、罗格朗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pPr>
              <w:pStyle w:val="2"/>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3</w:t>
            </w:r>
          </w:p>
        </w:tc>
        <w:tc>
          <w:tcPr>
            <w:tcW w:w="1182" w:type="pct"/>
            <w:vAlign w:val="center"/>
          </w:tcPr>
          <w:p>
            <w:pPr>
              <w:pStyle w:val="2"/>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PVC给排水管</w:t>
            </w:r>
          </w:p>
        </w:tc>
        <w:tc>
          <w:tcPr>
            <w:tcW w:w="667" w:type="pct"/>
            <w:vMerge w:val="continue"/>
            <w:vAlign w:val="center"/>
          </w:tcPr>
          <w:p>
            <w:pPr>
              <w:jc w:val="center"/>
              <w:rPr>
                <w:rFonts w:ascii="宋体" w:hAnsi="宋体" w:cs="宋体"/>
                <w:color w:val="auto"/>
                <w:szCs w:val="21"/>
                <w:highlight w:val="none"/>
              </w:rPr>
            </w:pPr>
          </w:p>
        </w:tc>
        <w:tc>
          <w:tcPr>
            <w:tcW w:w="484" w:type="pct"/>
            <w:vMerge w:val="continue"/>
            <w:vAlign w:val="center"/>
          </w:tcPr>
          <w:p>
            <w:pPr>
              <w:jc w:val="center"/>
              <w:rPr>
                <w:rFonts w:ascii="宋体" w:hAnsi="宋体" w:cs="宋体"/>
                <w:color w:val="auto"/>
                <w:szCs w:val="21"/>
                <w:highlight w:val="none"/>
              </w:rPr>
            </w:pPr>
          </w:p>
        </w:tc>
        <w:tc>
          <w:tcPr>
            <w:tcW w:w="2225" w:type="pct"/>
            <w:vAlign w:val="center"/>
          </w:tcPr>
          <w:p>
            <w:pPr>
              <w:pStyle w:val="2"/>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公元、联塑、伟星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39" w:type="pct"/>
            <w:vAlign w:val="center"/>
          </w:tcPr>
          <w:p>
            <w:pPr>
              <w:pStyle w:val="2"/>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4</w:t>
            </w:r>
          </w:p>
        </w:tc>
        <w:tc>
          <w:tcPr>
            <w:tcW w:w="1182" w:type="pct"/>
            <w:vAlign w:val="center"/>
          </w:tcPr>
          <w:p>
            <w:pPr>
              <w:pStyle w:val="2"/>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电管</w:t>
            </w:r>
          </w:p>
        </w:tc>
        <w:tc>
          <w:tcPr>
            <w:tcW w:w="667" w:type="pct"/>
            <w:vMerge w:val="continue"/>
            <w:vAlign w:val="center"/>
          </w:tcPr>
          <w:p>
            <w:pPr>
              <w:jc w:val="center"/>
              <w:rPr>
                <w:rFonts w:ascii="宋体" w:hAnsi="宋体" w:cs="宋体"/>
                <w:color w:val="auto"/>
                <w:szCs w:val="21"/>
                <w:highlight w:val="none"/>
              </w:rPr>
            </w:pPr>
          </w:p>
        </w:tc>
        <w:tc>
          <w:tcPr>
            <w:tcW w:w="484" w:type="pct"/>
            <w:vMerge w:val="continue"/>
            <w:vAlign w:val="center"/>
          </w:tcPr>
          <w:p>
            <w:pPr>
              <w:jc w:val="center"/>
              <w:rPr>
                <w:rFonts w:ascii="宋体" w:hAnsi="宋体" w:cs="宋体"/>
                <w:color w:val="auto"/>
                <w:szCs w:val="21"/>
                <w:highlight w:val="none"/>
              </w:rPr>
            </w:pPr>
          </w:p>
        </w:tc>
        <w:tc>
          <w:tcPr>
            <w:tcW w:w="2225" w:type="pct"/>
            <w:vAlign w:val="center"/>
          </w:tcPr>
          <w:p>
            <w:pPr>
              <w:pStyle w:val="2"/>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日丰、友发、金牛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pPr>
              <w:pStyle w:val="2"/>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5</w:t>
            </w:r>
          </w:p>
        </w:tc>
        <w:tc>
          <w:tcPr>
            <w:tcW w:w="1182" w:type="pct"/>
            <w:vAlign w:val="center"/>
          </w:tcPr>
          <w:p>
            <w:pPr>
              <w:pStyle w:val="2"/>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灯具</w:t>
            </w:r>
          </w:p>
        </w:tc>
        <w:tc>
          <w:tcPr>
            <w:tcW w:w="667" w:type="pct"/>
            <w:vMerge w:val="continue"/>
            <w:vAlign w:val="center"/>
          </w:tcPr>
          <w:p>
            <w:pPr>
              <w:jc w:val="center"/>
              <w:rPr>
                <w:rFonts w:ascii="宋体" w:hAnsi="宋体" w:cs="宋体"/>
                <w:color w:val="auto"/>
                <w:szCs w:val="21"/>
                <w:highlight w:val="none"/>
              </w:rPr>
            </w:pPr>
          </w:p>
        </w:tc>
        <w:tc>
          <w:tcPr>
            <w:tcW w:w="484" w:type="pct"/>
            <w:vMerge w:val="continue"/>
            <w:vAlign w:val="center"/>
          </w:tcPr>
          <w:p>
            <w:pPr>
              <w:jc w:val="center"/>
              <w:rPr>
                <w:rFonts w:ascii="宋体" w:hAnsi="宋体" w:cs="宋体"/>
                <w:color w:val="auto"/>
                <w:szCs w:val="21"/>
                <w:highlight w:val="none"/>
              </w:rPr>
            </w:pPr>
          </w:p>
        </w:tc>
        <w:tc>
          <w:tcPr>
            <w:tcW w:w="2225" w:type="pct"/>
            <w:vAlign w:val="center"/>
          </w:tcPr>
          <w:p>
            <w:pPr>
              <w:pStyle w:val="2"/>
              <w:spacing w:line="240" w:lineRule="auto"/>
              <w:ind w:firstLine="0" w:firstLineChars="0"/>
              <w:jc w:val="center"/>
              <w:rPr>
                <w:rFonts w:cs="宋体"/>
                <w:b/>
                <w:bCs/>
                <w:color w:val="auto"/>
                <w:sz w:val="21"/>
                <w:szCs w:val="21"/>
                <w:highlight w:val="none"/>
              </w:rPr>
            </w:pPr>
            <w:r>
              <w:rPr>
                <w:rFonts w:hint="eastAsia" w:cs="宋体"/>
                <w:color w:val="auto"/>
                <w:sz w:val="21"/>
                <w:szCs w:val="21"/>
                <w:highlight w:val="none"/>
              </w:rPr>
              <w:t>雷士、欧普、松下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pPr>
              <w:pStyle w:val="2"/>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6</w:t>
            </w:r>
          </w:p>
        </w:tc>
        <w:tc>
          <w:tcPr>
            <w:tcW w:w="1182" w:type="pct"/>
            <w:vAlign w:val="center"/>
          </w:tcPr>
          <w:p>
            <w:pPr>
              <w:pStyle w:val="2"/>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乳胶漆</w:t>
            </w:r>
          </w:p>
        </w:tc>
        <w:tc>
          <w:tcPr>
            <w:tcW w:w="667" w:type="pct"/>
            <w:vMerge w:val="continue"/>
            <w:vAlign w:val="center"/>
          </w:tcPr>
          <w:p>
            <w:pPr>
              <w:jc w:val="center"/>
              <w:rPr>
                <w:rFonts w:ascii="宋体" w:hAnsi="宋体" w:cs="宋体"/>
                <w:color w:val="auto"/>
                <w:szCs w:val="21"/>
                <w:highlight w:val="none"/>
              </w:rPr>
            </w:pPr>
          </w:p>
        </w:tc>
        <w:tc>
          <w:tcPr>
            <w:tcW w:w="484" w:type="pct"/>
            <w:vMerge w:val="continue"/>
            <w:vAlign w:val="center"/>
          </w:tcPr>
          <w:p>
            <w:pPr>
              <w:jc w:val="center"/>
              <w:rPr>
                <w:rFonts w:ascii="宋体" w:hAnsi="宋体" w:cs="宋体"/>
                <w:color w:val="auto"/>
                <w:szCs w:val="21"/>
                <w:highlight w:val="none"/>
              </w:rPr>
            </w:pPr>
          </w:p>
        </w:tc>
        <w:tc>
          <w:tcPr>
            <w:tcW w:w="2225"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多乐士、立邦、三棵树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pPr>
              <w:pStyle w:val="2"/>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7</w:t>
            </w:r>
          </w:p>
        </w:tc>
        <w:tc>
          <w:tcPr>
            <w:tcW w:w="1182" w:type="pct"/>
            <w:vAlign w:val="center"/>
          </w:tcPr>
          <w:p>
            <w:pPr>
              <w:pStyle w:val="2"/>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油漆</w:t>
            </w:r>
          </w:p>
        </w:tc>
        <w:tc>
          <w:tcPr>
            <w:tcW w:w="667" w:type="pct"/>
            <w:vMerge w:val="continue"/>
            <w:vAlign w:val="center"/>
          </w:tcPr>
          <w:p>
            <w:pPr>
              <w:jc w:val="center"/>
              <w:rPr>
                <w:rFonts w:ascii="宋体" w:hAnsi="宋体" w:cs="宋体"/>
                <w:color w:val="auto"/>
                <w:szCs w:val="21"/>
                <w:highlight w:val="none"/>
              </w:rPr>
            </w:pPr>
          </w:p>
        </w:tc>
        <w:tc>
          <w:tcPr>
            <w:tcW w:w="484" w:type="pct"/>
            <w:vMerge w:val="continue"/>
            <w:vAlign w:val="center"/>
          </w:tcPr>
          <w:p>
            <w:pPr>
              <w:jc w:val="center"/>
              <w:rPr>
                <w:rFonts w:ascii="宋体" w:hAnsi="宋体" w:cs="宋体"/>
                <w:color w:val="auto"/>
                <w:szCs w:val="21"/>
                <w:highlight w:val="none"/>
              </w:rPr>
            </w:pPr>
          </w:p>
        </w:tc>
        <w:tc>
          <w:tcPr>
            <w:tcW w:w="2225" w:type="pct"/>
            <w:vAlign w:val="center"/>
          </w:tcPr>
          <w:p>
            <w:pPr>
              <w:pStyle w:val="2"/>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多乐士、立邦、三棵树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pPr>
              <w:pStyle w:val="2"/>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8</w:t>
            </w:r>
          </w:p>
        </w:tc>
        <w:tc>
          <w:tcPr>
            <w:tcW w:w="1182" w:type="pct"/>
            <w:vAlign w:val="center"/>
          </w:tcPr>
          <w:p>
            <w:pPr>
              <w:pStyle w:val="2"/>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电线、电缆（国标）</w:t>
            </w:r>
          </w:p>
        </w:tc>
        <w:tc>
          <w:tcPr>
            <w:tcW w:w="667" w:type="pct"/>
            <w:vMerge w:val="continue"/>
            <w:vAlign w:val="center"/>
          </w:tcPr>
          <w:p>
            <w:pPr>
              <w:jc w:val="center"/>
              <w:rPr>
                <w:rFonts w:ascii="宋体" w:hAnsi="宋体" w:cs="宋体"/>
                <w:color w:val="auto"/>
                <w:szCs w:val="21"/>
                <w:highlight w:val="none"/>
              </w:rPr>
            </w:pPr>
          </w:p>
        </w:tc>
        <w:tc>
          <w:tcPr>
            <w:tcW w:w="484" w:type="pct"/>
            <w:vMerge w:val="continue"/>
            <w:vAlign w:val="center"/>
          </w:tcPr>
          <w:p>
            <w:pPr>
              <w:jc w:val="center"/>
              <w:rPr>
                <w:rFonts w:ascii="宋体" w:hAnsi="宋体" w:cs="宋体"/>
                <w:color w:val="auto"/>
                <w:szCs w:val="21"/>
                <w:highlight w:val="none"/>
              </w:rPr>
            </w:pPr>
          </w:p>
        </w:tc>
        <w:tc>
          <w:tcPr>
            <w:tcW w:w="2225"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大地、无锡江南、远东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pPr>
              <w:pStyle w:val="2"/>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9</w:t>
            </w:r>
          </w:p>
        </w:tc>
        <w:tc>
          <w:tcPr>
            <w:tcW w:w="1182" w:type="pct"/>
            <w:vAlign w:val="center"/>
          </w:tcPr>
          <w:p>
            <w:pPr>
              <w:pStyle w:val="2"/>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地砖、墙砖</w:t>
            </w:r>
          </w:p>
        </w:tc>
        <w:tc>
          <w:tcPr>
            <w:tcW w:w="667" w:type="pct"/>
            <w:vMerge w:val="continue"/>
            <w:vAlign w:val="center"/>
          </w:tcPr>
          <w:p>
            <w:pPr>
              <w:jc w:val="center"/>
              <w:rPr>
                <w:rFonts w:ascii="宋体" w:hAnsi="宋体" w:cs="宋体"/>
                <w:color w:val="auto"/>
                <w:szCs w:val="21"/>
                <w:highlight w:val="none"/>
              </w:rPr>
            </w:pPr>
          </w:p>
        </w:tc>
        <w:tc>
          <w:tcPr>
            <w:tcW w:w="484" w:type="pct"/>
            <w:vMerge w:val="continue"/>
            <w:vAlign w:val="center"/>
          </w:tcPr>
          <w:p>
            <w:pPr>
              <w:jc w:val="center"/>
              <w:rPr>
                <w:rFonts w:ascii="宋体" w:hAnsi="宋体" w:cs="宋体"/>
                <w:color w:val="auto"/>
                <w:szCs w:val="21"/>
                <w:highlight w:val="none"/>
              </w:rPr>
            </w:pPr>
          </w:p>
        </w:tc>
        <w:tc>
          <w:tcPr>
            <w:tcW w:w="2225" w:type="pct"/>
            <w:vAlign w:val="center"/>
          </w:tcPr>
          <w:p>
            <w:pPr>
              <w:pStyle w:val="2"/>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马可波罗、诺贝尔、东鹏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pPr>
              <w:pStyle w:val="2"/>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10</w:t>
            </w:r>
          </w:p>
        </w:tc>
        <w:tc>
          <w:tcPr>
            <w:tcW w:w="1182" w:type="pct"/>
            <w:vAlign w:val="center"/>
          </w:tcPr>
          <w:p>
            <w:pPr>
              <w:pStyle w:val="2"/>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卫生洁具（水龙头、台盆、坐便器、蹲便器）</w:t>
            </w:r>
          </w:p>
        </w:tc>
        <w:tc>
          <w:tcPr>
            <w:tcW w:w="667" w:type="pct"/>
            <w:vMerge w:val="continue"/>
            <w:vAlign w:val="center"/>
          </w:tcPr>
          <w:p>
            <w:pPr>
              <w:jc w:val="center"/>
              <w:rPr>
                <w:rFonts w:ascii="宋体" w:hAnsi="宋体" w:cs="宋体"/>
                <w:color w:val="auto"/>
                <w:szCs w:val="21"/>
                <w:highlight w:val="none"/>
              </w:rPr>
            </w:pPr>
          </w:p>
        </w:tc>
        <w:tc>
          <w:tcPr>
            <w:tcW w:w="484" w:type="pct"/>
            <w:vMerge w:val="continue"/>
            <w:vAlign w:val="center"/>
          </w:tcPr>
          <w:p>
            <w:pPr>
              <w:jc w:val="center"/>
              <w:rPr>
                <w:rFonts w:ascii="宋体" w:hAnsi="宋体" w:cs="宋体"/>
                <w:color w:val="auto"/>
                <w:szCs w:val="21"/>
                <w:highlight w:val="none"/>
              </w:rPr>
            </w:pPr>
          </w:p>
        </w:tc>
        <w:tc>
          <w:tcPr>
            <w:tcW w:w="2225" w:type="pct"/>
            <w:vAlign w:val="center"/>
          </w:tcPr>
          <w:p>
            <w:pPr>
              <w:pStyle w:val="2"/>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恒洁、九牧、箭牌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vAlign w:val="center"/>
          </w:tcPr>
          <w:p>
            <w:pPr>
              <w:pStyle w:val="2"/>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11</w:t>
            </w:r>
          </w:p>
        </w:tc>
        <w:tc>
          <w:tcPr>
            <w:tcW w:w="1182" w:type="pct"/>
            <w:vAlign w:val="center"/>
          </w:tcPr>
          <w:p>
            <w:pPr>
              <w:pStyle w:val="2"/>
              <w:spacing w:line="240" w:lineRule="auto"/>
              <w:ind w:firstLine="0" w:firstLineChars="0"/>
              <w:jc w:val="center"/>
              <w:rPr>
                <w:rFonts w:cs="宋体"/>
                <w:color w:val="auto"/>
                <w:sz w:val="21"/>
                <w:szCs w:val="21"/>
                <w:highlight w:val="none"/>
              </w:rPr>
            </w:pPr>
            <w:r>
              <w:rPr>
                <w:rFonts w:hint="eastAsia" w:cs="宋体"/>
                <w:color w:val="auto"/>
                <w:sz w:val="21"/>
                <w:szCs w:val="21"/>
                <w:highlight w:val="none"/>
              </w:rPr>
              <w:t>地漏</w:t>
            </w:r>
          </w:p>
        </w:tc>
        <w:tc>
          <w:tcPr>
            <w:tcW w:w="667" w:type="pct"/>
            <w:vMerge w:val="continue"/>
            <w:vAlign w:val="center"/>
          </w:tcPr>
          <w:p>
            <w:pPr>
              <w:jc w:val="center"/>
              <w:rPr>
                <w:rFonts w:ascii="宋体" w:hAnsi="宋体" w:cs="宋体"/>
                <w:color w:val="auto"/>
                <w:szCs w:val="21"/>
                <w:highlight w:val="none"/>
              </w:rPr>
            </w:pPr>
          </w:p>
        </w:tc>
        <w:tc>
          <w:tcPr>
            <w:tcW w:w="484" w:type="pct"/>
            <w:vMerge w:val="continue"/>
            <w:vAlign w:val="center"/>
          </w:tcPr>
          <w:p>
            <w:pPr>
              <w:jc w:val="center"/>
              <w:rPr>
                <w:rFonts w:ascii="宋体" w:hAnsi="宋体" w:cs="宋体"/>
                <w:color w:val="auto"/>
                <w:szCs w:val="21"/>
                <w:highlight w:val="none"/>
              </w:rPr>
            </w:pPr>
          </w:p>
        </w:tc>
        <w:tc>
          <w:tcPr>
            <w:tcW w:w="2225"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潜水艇、九牧、箭牌</w:t>
            </w:r>
          </w:p>
        </w:tc>
      </w:tr>
    </w:tbl>
    <w:p>
      <w:pPr>
        <w:pStyle w:val="2"/>
        <w:keepNext w:val="0"/>
        <w:keepLines w:val="0"/>
        <w:pageBreakBefore w:val="0"/>
        <w:widowControl w:val="0"/>
        <w:kinsoku/>
        <w:wordWrap/>
        <w:overflowPunct/>
        <w:topLinePunct w:val="0"/>
        <w:autoSpaceDE/>
        <w:autoSpaceDN/>
        <w:bidi w:val="0"/>
        <w:adjustRightInd/>
        <w:snapToGrid/>
        <w:spacing w:before="313" w:beforeLines="100" w:line="360" w:lineRule="auto"/>
        <w:ind w:left="0" w:leftChars="0" w:firstLine="482" w:firstLineChars="200"/>
        <w:jc w:val="both"/>
        <w:textAlignment w:val="auto"/>
        <w:rPr>
          <w:b/>
          <w:bCs/>
          <w:color w:val="auto"/>
          <w:sz w:val="24"/>
          <w:szCs w:val="24"/>
          <w:highlight w:val="none"/>
        </w:rPr>
      </w:pPr>
      <w:r>
        <w:rPr>
          <w:rFonts w:hint="eastAsia" w:ascii="宋体" w:hAnsi="宋体" w:cs="宋体"/>
          <w:b/>
          <w:bCs/>
          <w:color w:val="auto"/>
          <w:sz w:val="24"/>
          <w:szCs w:val="20"/>
          <w:highlight w:val="none"/>
        </w:rPr>
        <w:t>★</w:t>
      </w:r>
      <w:r>
        <w:rPr>
          <w:rFonts w:hint="eastAsia"/>
          <w:b/>
          <w:bCs/>
          <w:color w:val="auto"/>
          <w:sz w:val="24"/>
          <w:szCs w:val="24"/>
          <w:highlight w:val="none"/>
        </w:rPr>
        <w:t>响应承诺：</w:t>
      </w:r>
      <w:r>
        <w:rPr>
          <w:rFonts w:hint="eastAsia"/>
          <w:b w:val="0"/>
          <w:bCs w:val="0"/>
          <w:color w:val="auto"/>
          <w:sz w:val="24"/>
          <w:szCs w:val="24"/>
          <w:highlight w:val="none"/>
        </w:rPr>
        <w:t>供应商须</w:t>
      </w:r>
      <w:r>
        <w:rPr>
          <w:rFonts w:hint="eastAsia"/>
          <w:b w:val="0"/>
          <w:bCs w:val="0"/>
          <w:color w:val="auto"/>
          <w:sz w:val="24"/>
          <w:szCs w:val="24"/>
          <w:highlight w:val="none"/>
          <w:lang w:val="en-US" w:eastAsia="zh-CN"/>
        </w:rPr>
        <w:t>承诺使用招标文件</w:t>
      </w:r>
      <w:r>
        <w:rPr>
          <w:rFonts w:hint="eastAsia"/>
          <w:b w:val="0"/>
          <w:bCs w:val="0"/>
          <w:color w:val="auto"/>
          <w:sz w:val="24"/>
          <w:szCs w:val="24"/>
          <w:highlight w:val="none"/>
        </w:rPr>
        <w:t>提供</w:t>
      </w:r>
      <w:r>
        <w:rPr>
          <w:rFonts w:hint="eastAsia"/>
          <w:b w:val="0"/>
          <w:bCs w:val="0"/>
          <w:color w:val="auto"/>
          <w:sz w:val="24"/>
          <w:szCs w:val="24"/>
          <w:highlight w:val="none"/>
          <w:lang w:val="en-US" w:eastAsia="zh-CN"/>
        </w:rPr>
        <w:t>的</w:t>
      </w:r>
      <w:r>
        <w:rPr>
          <w:rFonts w:hint="eastAsia"/>
          <w:b w:val="0"/>
          <w:bCs w:val="0"/>
          <w:color w:val="auto"/>
          <w:sz w:val="24"/>
          <w:szCs w:val="24"/>
          <w:highlight w:val="none"/>
        </w:rPr>
        <w:t>维修</w:t>
      </w:r>
      <w:r>
        <w:rPr>
          <w:rFonts w:hint="eastAsia"/>
          <w:b w:val="0"/>
          <w:bCs w:val="0"/>
          <w:color w:val="auto"/>
          <w:sz w:val="24"/>
          <w:szCs w:val="24"/>
          <w:highlight w:val="none"/>
          <w:lang w:val="en-US" w:eastAsia="zh-CN"/>
        </w:rPr>
        <w:t>主材</w:t>
      </w:r>
      <w:r>
        <w:rPr>
          <w:rFonts w:hint="eastAsia"/>
          <w:b w:val="0"/>
          <w:bCs w:val="0"/>
          <w:color w:val="auto"/>
          <w:sz w:val="24"/>
          <w:szCs w:val="24"/>
          <w:highlight w:val="none"/>
        </w:rPr>
        <w:t>品牌，未</w:t>
      </w:r>
      <w:r>
        <w:rPr>
          <w:rFonts w:hint="eastAsia"/>
          <w:b w:val="0"/>
          <w:bCs w:val="0"/>
          <w:color w:val="auto"/>
          <w:sz w:val="24"/>
          <w:szCs w:val="24"/>
          <w:highlight w:val="none"/>
          <w:lang w:val="en-US" w:eastAsia="zh-CN"/>
        </w:rPr>
        <w:t>承诺</w:t>
      </w:r>
      <w:r>
        <w:rPr>
          <w:rFonts w:hint="eastAsia"/>
          <w:b w:val="0"/>
          <w:bCs w:val="0"/>
          <w:color w:val="auto"/>
          <w:sz w:val="24"/>
          <w:szCs w:val="24"/>
          <w:highlight w:val="none"/>
        </w:rPr>
        <w:t>或者</w:t>
      </w:r>
      <w:r>
        <w:rPr>
          <w:rFonts w:hint="eastAsia"/>
          <w:b w:val="0"/>
          <w:bCs w:val="0"/>
          <w:color w:val="auto"/>
          <w:sz w:val="24"/>
          <w:szCs w:val="24"/>
          <w:highlight w:val="none"/>
          <w:lang w:val="en-US" w:eastAsia="zh-CN"/>
        </w:rPr>
        <w:t>承诺</w:t>
      </w:r>
      <w:r>
        <w:rPr>
          <w:rFonts w:hint="eastAsia"/>
          <w:b w:val="0"/>
          <w:bCs w:val="0"/>
          <w:color w:val="auto"/>
          <w:sz w:val="24"/>
          <w:szCs w:val="24"/>
          <w:highlight w:val="none"/>
        </w:rPr>
        <w:t>不全的视为无效投标。</w:t>
      </w:r>
      <w:r>
        <w:rPr>
          <w:rFonts w:hint="eastAsia"/>
          <w:b/>
          <w:bCs/>
          <w:color w:val="auto"/>
          <w:sz w:val="24"/>
          <w:szCs w:val="24"/>
          <w:highlight w:val="none"/>
        </w:rPr>
        <w:t>（供应商若使用其它品牌主材需在投标截止前1天，提供各项参数的对比表给采购人审核，征得采购人同意，且主材</w:t>
      </w:r>
      <w:r>
        <w:rPr>
          <w:rFonts w:hint="eastAsia"/>
          <w:b/>
          <w:bCs/>
          <w:color w:val="auto"/>
          <w:sz w:val="24"/>
          <w:szCs w:val="24"/>
          <w:highlight w:val="none"/>
          <w:lang w:val="en-US" w:eastAsia="zh-CN"/>
        </w:rPr>
        <w:t>等级</w:t>
      </w:r>
      <w:r>
        <w:rPr>
          <w:rFonts w:hint="eastAsia"/>
          <w:b/>
          <w:bCs/>
          <w:color w:val="auto"/>
          <w:sz w:val="24"/>
          <w:szCs w:val="24"/>
          <w:highlight w:val="none"/>
        </w:rPr>
        <w:t>不得低于采购文件所推荐的品牌）</w:t>
      </w:r>
    </w:p>
    <w:p>
      <w:pPr>
        <w:pBdr>
          <w:top w:val="none" w:color="000000" w:sz="0" w:space="0"/>
          <w:left w:val="none" w:color="000000" w:sz="0" w:space="0"/>
          <w:bottom w:val="none" w:color="000000" w:sz="0" w:space="0"/>
          <w:right w:val="none" w:color="000000" w:sz="0" w:space="0"/>
        </w:pBdr>
        <w:spacing w:before="0" w:after="0" w:line="360" w:lineRule="auto"/>
        <w:ind w:left="0" w:right="0" w:firstLine="420"/>
        <w:jc w:val="both"/>
        <w:rPr>
          <w:rFonts w:hint="eastAsia" w:ascii="宋体" w:hAnsi="宋体" w:cs="黑体"/>
          <w:b/>
          <w:bCs/>
          <w:color w:val="auto"/>
          <w:sz w:val="24"/>
          <w:szCs w:val="24"/>
          <w:highlight w:val="none"/>
        </w:rPr>
      </w:pPr>
      <w:r>
        <w:rPr>
          <w:rFonts w:hint="eastAsia" w:ascii="宋体" w:hAnsi="宋体" w:cs="宋体"/>
          <w:b/>
          <w:bCs/>
          <w:color w:val="auto"/>
          <w:sz w:val="24"/>
          <w:szCs w:val="20"/>
          <w:highlight w:val="none"/>
          <w:lang w:val="en-US" w:eastAsia="zh-CN"/>
        </w:rPr>
        <w:t>注：</w:t>
      </w:r>
      <w:r>
        <w:rPr>
          <w:rFonts w:hint="eastAsia" w:ascii="宋体" w:hAnsi="宋体" w:cs="宋体"/>
          <w:b/>
          <w:bCs/>
          <w:color w:val="auto"/>
          <w:sz w:val="24"/>
          <w:szCs w:val="20"/>
          <w:highlight w:val="none"/>
        </w:rPr>
        <w:t>以上带“★”号指标为必须满足项，供应商必须在响应文件中进行逐条响应，如有一项负偏离，将作为无效响应处理。</w:t>
      </w:r>
    </w:p>
    <w:p>
      <w:pPr>
        <w:pStyle w:val="65"/>
        <w:rPr>
          <w:color w:val="auto"/>
          <w:highlight w:val="none"/>
        </w:rPr>
      </w:pPr>
    </w:p>
    <w:p>
      <w:pPr>
        <w:spacing w:line="360" w:lineRule="auto"/>
        <w:rPr>
          <w:rFonts w:ascii="宋体" w:hAnsi="宋体"/>
          <w:color w:val="auto"/>
          <w:sz w:val="24"/>
          <w:szCs w:val="24"/>
          <w:highlight w:val="none"/>
        </w:rPr>
      </w:pPr>
      <w:r>
        <w:rPr>
          <w:rFonts w:hint="eastAsia" w:ascii="宋体" w:hAnsi="宋体" w:cs="黑体"/>
          <w:b/>
          <w:bCs/>
          <w:color w:val="auto"/>
          <w:sz w:val="24"/>
          <w:szCs w:val="24"/>
          <w:highlight w:val="none"/>
        </w:rPr>
        <w:t>八、合同服务期限：1年</w:t>
      </w:r>
    </w:p>
    <w:bookmarkEnd w:id="58"/>
    <w:bookmarkEnd w:id="59"/>
    <w:bookmarkEnd w:id="60"/>
    <w:bookmarkEnd w:id="61"/>
    <w:p>
      <w:pPr>
        <w:spacing w:line="360" w:lineRule="auto"/>
        <w:rPr>
          <w:rFonts w:ascii="宋体" w:hAnsi="宋体" w:cs="黑体"/>
          <w:b/>
          <w:bCs/>
          <w:color w:val="auto"/>
          <w:sz w:val="24"/>
          <w:szCs w:val="24"/>
          <w:highlight w:val="none"/>
        </w:rPr>
      </w:pPr>
    </w:p>
    <w:p>
      <w:pPr>
        <w:spacing w:line="360" w:lineRule="auto"/>
        <w:rPr>
          <w:rFonts w:ascii="宋体" w:hAnsi="宋体" w:cs="黑体"/>
          <w:b/>
          <w:bCs/>
          <w:color w:val="auto"/>
          <w:sz w:val="24"/>
          <w:szCs w:val="24"/>
          <w:highlight w:val="none"/>
        </w:rPr>
      </w:pPr>
      <w:r>
        <w:rPr>
          <w:rFonts w:hint="eastAsia" w:ascii="宋体" w:hAnsi="宋体" w:cs="黑体"/>
          <w:b/>
          <w:bCs/>
          <w:color w:val="auto"/>
          <w:sz w:val="24"/>
          <w:szCs w:val="24"/>
          <w:highlight w:val="none"/>
        </w:rPr>
        <w:t>九、履约保证金及付款条件：</w:t>
      </w:r>
    </w:p>
    <w:p>
      <w:pPr>
        <w:pStyle w:val="19"/>
        <w:spacing w:line="360" w:lineRule="auto"/>
        <w:rPr>
          <w:rFonts w:ascii="宋体" w:hAnsi="宋体"/>
          <w:color w:val="auto"/>
          <w:sz w:val="24"/>
          <w:highlight w:val="none"/>
          <w:lang w:bidi="ar"/>
        </w:rPr>
      </w:pPr>
      <w:r>
        <w:rPr>
          <w:rFonts w:hint="eastAsia" w:ascii="宋体" w:hAnsi="宋体"/>
          <w:color w:val="auto"/>
          <w:sz w:val="24"/>
          <w:highlight w:val="none"/>
          <w:lang w:bidi="ar"/>
        </w:rPr>
        <w:t>（一）履约保证金：</w:t>
      </w:r>
      <w:r>
        <w:rPr>
          <w:rFonts w:hint="eastAsia" w:ascii="宋体" w:hAnsi="宋体"/>
          <w:color w:val="auto"/>
          <w:sz w:val="24"/>
          <w:highlight w:val="none"/>
          <w:lang w:val="en-US" w:eastAsia="zh-CN" w:bidi="ar"/>
        </w:rPr>
        <w:t>10</w:t>
      </w:r>
      <w:r>
        <w:rPr>
          <w:rFonts w:hint="eastAsia" w:ascii="宋体" w:hAnsi="宋体"/>
          <w:color w:val="auto"/>
          <w:sz w:val="24"/>
          <w:highlight w:val="none"/>
          <w:lang w:bidi="ar"/>
        </w:rPr>
        <w:t>万元</w:t>
      </w:r>
      <w:r>
        <w:rPr>
          <w:rFonts w:hint="eastAsia" w:ascii="宋体" w:hAnsi="宋体"/>
          <w:color w:val="auto"/>
          <w:sz w:val="24"/>
          <w:highlight w:val="none"/>
          <w:lang w:eastAsia="zh-CN" w:bidi="ar"/>
        </w:rPr>
        <w:t>，</w:t>
      </w:r>
      <w:r>
        <w:rPr>
          <w:rFonts w:hint="eastAsia" w:ascii="宋体" w:hAnsi="宋体"/>
          <w:color w:val="auto"/>
          <w:sz w:val="24"/>
          <w:highlight w:val="none"/>
          <w:lang w:val="en-US" w:eastAsia="zh-CN" w:bidi="ar"/>
        </w:rPr>
        <w:t>采用银行保函、支票或转账汇款的形式，在签订合同之前向甲方提交。</w:t>
      </w:r>
      <w:r>
        <w:rPr>
          <w:rFonts w:hint="eastAsia" w:ascii="宋体" w:hAnsi="宋体"/>
          <w:color w:val="auto"/>
          <w:sz w:val="24"/>
          <w:highlight w:val="none"/>
          <w:lang w:bidi="ar"/>
        </w:rPr>
        <w:t>施工单位在本合同期限内所有零星维修项目审计结算后，施工单位提出请款申请后1个月内办理付款手续后无息返还。如遇财政关门等不可控制情况,履约保证金将在次年预算下达后无息拨付。</w:t>
      </w:r>
    </w:p>
    <w:p>
      <w:pPr>
        <w:pStyle w:val="19"/>
        <w:spacing w:line="360" w:lineRule="auto"/>
        <w:rPr>
          <w:rFonts w:ascii="宋体" w:hAnsi="宋体"/>
          <w:color w:val="auto"/>
          <w:sz w:val="24"/>
          <w:highlight w:val="none"/>
          <w:lang w:bidi="ar"/>
        </w:rPr>
      </w:pPr>
      <w:r>
        <w:rPr>
          <w:rFonts w:hint="eastAsia" w:ascii="宋体" w:hAnsi="宋体"/>
          <w:color w:val="auto"/>
          <w:sz w:val="24"/>
          <w:highlight w:val="none"/>
          <w:lang w:bidi="ar"/>
        </w:rPr>
        <w:t>（二）质保金：无。</w:t>
      </w:r>
    </w:p>
    <w:p>
      <w:pPr>
        <w:widowControl/>
        <w:spacing w:line="360" w:lineRule="auto"/>
        <w:jc w:val="left"/>
        <w:rPr>
          <w:rFonts w:ascii="宋体" w:hAnsi="宋体"/>
          <w:color w:val="auto"/>
          <w:sz w:val="24"/>
          <w:szCs w:val="24"/>
          <w:highlight w:val="none"/>
          <w:lang w:bidi="ar"/>
        </w:rPr>
      </w:pPr>
      <w:r>
        <w:rPr>
          <w:rFonts w:hint="eastAsia" w:ascii="宋体" w:hAnsi="宋体"/>
          <w:color w:val="auto"/>
          <w:sz w:val="24"/>
          <w:szCs w:val="24"/>
          <w:highlight w:val="none"/>
          <w:lang w:bidi="ar"/>
        </w:rPr>
        <w:t>（三）付款条件：费用支付以该零星维修工程验收合格（含验收合格资料移交），按审计审定金额每个月支付一次。如遇财政关门等不可控制情况，合同款将在次年预算下达后无息拨付。</w:t>
      </w:r>
    </w:p>
    <w:p>
      <w:pPr>
        <w:spacing w:line="360" w:lineRule="auto"/>
        <w:rPr>
          <w:rFonts w:ascii="宋体" w:hAnsi="宋体" w:cs="黑体"/>
          <w:b/>
          <w:bCs/>
          <w:color w:val="auto"/>
          <w:sz w:val="24"/>
          <w:highlight w:val="none"/>
        </w:rPr>
      </w:pPr>
      <w:r>
        <w:rPr>
          <w:rFonts w:hint="eastAsia" w:ascii="宋体" w:hAnsi="宋体" w:cs="黑体"/>
          <w:b/>
          <w:bCs/>
          <w:color w:val="auto"/>
          <w:sz w:val="24"/>
          <w:highlight w:val="none"/>
        </w:rPr>
        <w:t>十、本工程采用增值税一般计税法。</w:t>
      </w:r>
    </w:p>
    <w:p>
      <w:pPr>
        <w:spacing w:line="360" w:lineRule="auto"/>
        <w:rPr>
          <w:rFonts w:ascii="宋体" w:hAnsi="宋体" w:cs="黑体"/>
          <w:b/>
          <w:bCs/>
          <w:color w:val="auto"/>
          <w:sz w:val="24"/>
          <w:szCs w:val="24"/>
          <w:highlight w:val="none"/>
        </w:rPr>
      </w:pPr>
      <w:r>
        <w:rPr>
          <w:rFonts w:hint="eastAsia" w:ascii="宋体" w:hAnsi="宋体" w:cs="黑体"/>
          <w:b/>
          <w:bCs/>
          <w:color w:val="auto"/>
          <w:sz w:val="24"/>
          <w:szCs w:val="24"/>
          <w:highlight w:val="none"/>
        </w:rPr>
        <w:t>十一、其他说明</w:t>
      </w:r>
    </w:p>
    <w:p>
      <w:pPr>
        <w:pStyle w:val="36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本项目严禁转包、分包、挂靠，一经发现立刻取消施工资格，解除施工合同，已完工作量不予结算，由此给学校造成的所有损失由中标单位承担。承包人法定代表人必须在合同签定前到南京技师学院参加约谈会议，并且施工期间每月必须有一次来学校参加约谈会议。约谈的具体时间、地址发包人会提前一周通知承包人。如果承包人法定代表人不在规定的时间内参加约谈会议，发包人将取消其中标资格并终止合同。</w:t>
      </w:r>
    </w:p>
    <w:p>
      <w:pPr>
        <w:pStyle w:val="36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（2）本工程现场不安排临时设施等用地，在校外安排生活设施等费用投标单位自行报价（该费用已由投标单位在投标时综合考虑并已考虑到投标报价中）；</w:t>
      </w:r>
    </w:p>
    <w:p>
      <w:pPr>
        <w:pStyle w:val="36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（3）中标单位需做好现场及成品保护工作（包含原有设备、建筑物、道路、绿化等该费用由投标单位在投标时综合考虑并已考虑到投标报价中）；</w:t>
      </w:r>
    </w:p>
    <w:p>
      <w:pPr>
        <w:pStyle w:val="36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拆除项目中垃圾、余土要求装袋、外运、填埋场地及无害化处理投标单位自行考虑报价，（费用由施工方自行承担），校园内不允许堆放任何垃圾（清单项目特征中不再重复描述），如有残值的材料必须经采购人确认后，供应商自行处理。</w:t>
      </w:r>
    </w:p>
    <w:p>
      <w:pPr>
        <w:pStyle w:val="36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（5）按业主要求房间内部床、柜子等均需拆卸堆至指定地点并做好保护工作，完工后还需恢复原状，此费用不单独计列，综合考虑后报价。</w:t>
      </w:r>
    </w:p>
    <w:p>
      <w:pPr>
        <w:pStyle w:val="36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（6）所有材料检验、试验费用由中标人承担。</w:t>
      </w:r>
    </w:p>
    <w:p>
      <w:pPr>
        <w:pStyle w:val="36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（7）与其他施工单位配合的费用。</w:t>
      </w:r>
    </w:p>
    <w:p>
      <w:pPr>
        <w:autoSpaceDE w:val="0"/>
        <w:autoSpaceDN w:val="0"/>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（8）所有装修材料等运至各楼层房间转运费，综合考虑后报价。</w:t>
      </w:r>
    </w:p>
    <w:p>
      <w:pPr>
        <w:pStyle w:val="2"/>
        <w:ind w:firstLine="0" w:firstLineChars="0"/>
        <w:rPr>
          <w:color w:val="auto"/>
          <w:highlight w:val="none"/>
        </w:rPr>
      </w:pPr>
    </w:p>
    <w:p>
      <w:pPr>
        <w:rPr>
          <w:color w:val="auto"/>
          <w:highlight w:val="none"/>
        </w:rPr>
      </w:pPr>
    </w:p>
    <w:p>
      <w:pPr>
        <w:pStyle w:val="3"/>
        <w:rPr>
          <w:color w:val="auto"/>
          <w:highlight w:val="none"/>
        </w:rPr>
        <w:sectPr>
          <w:footerReference r:id="rId6" w:type="default"/>
          <w:pgSz w:w="11906" w:h="16838"/>
          <w:pgMar w:top="1440" w:right="1797" w:bottom="1440" w:left="1797" w:header="851" w:footer="992" w:gutter="0"/>
          <w:cols w:space="720" w:num="1"/>
          <w:docGrid w:linePitch="312" w:charSpace="0"/>
        </w:sectPr>
      </w:pPr>
    </w:p>
    <w:p>
      <w:pPr>
        <w:pStyle w:val="3"/>
        <w:rPr>
          <w:color w:val="auto"/>
          <w:highlight w:val="none"/>
        </w:rPr>
      </w:pPr>
      <w:r>
        <w:rPr>
          <w:rFonts w:hint="eastAsia"/>
          <w:color w:val="auto"/>
          <w:highlight w:val="none"/>
        </w:rPr>
        <w:t>第</w:t>
      </w:r>
      <w:r>
        <w:rPr>
          <w:rFonts w:hint="eastAsia"/>
          <w:color w:val="auto"/>
          <w:highlight w:val="none"/>
          <w:lang w:val="en-US"/>
        </w:rPr>
        <w:t>五</w:t>
      </w:r>
      <w:r>
        <w:rPr>
          <w:rFonts w:hint="eastAsia"/>
          <w:color w:val="auto"/>
          <w:highlight w:val="none"/>
        </w:rPr>
        <w:t xml:space="preserve">章 </w:t>
      </w:r>
      <w:r>
        <w:rPr>
          <w:rFonts w:hint="eastAsia"/>
          <w:color w:val="auto"/>
          <w:highlight w:val="none"/>
          <w:lang w:val="en-US"/>
        </w:rPr>
        <w:t>合同</w:t>
      </w:r>
      <w:r>
        <w:rPr>
          <w:rFonts w:hint="eastAsia"/>
          <w:color w:val="auto"/>
          <w:highlight w:val="none"/>
        </w:rPr>
        <w:t>主要条款及格式</w:t>
      </w:r>
    </w:p>
    <w:p>
      <w:pPr>
        <w:widowControl/>
        <w:jc w:val="center"/>
        <w:rPr>
          <w:rFonts w:ascii="宋体" w:hAnsi="宋体" w:cs="宋体"/>
          <w:b/>
          <w:bCs/>
          <w:color w:val="auto"/>
          <w:kern w:val="0"/>
          <w:sz w:val="36"/>
          <w:szCs w:val="36"/>
          <w:highlight w:val="none"/>
          <w:lang w:bidi="ar"/>
        </w:rPr>
      </w:pPr>
    </w:p>
    <w:p>
      <w:pPr>
        <w:jc w:val="center"/>
        <w:rPr>
          <w:rFonts w:ascii="黑体" w:eastAsia="黑体" w:cs="黑体"/>
          <w:b/>
          <w:bCs/>
          <w:color w:val="auto"/>
          <w:sz w:val="36"/>
          <w:szCs w:val="36"/>
          <w:highlight w:val="none"/>
          <w:lang w:val="zh-CN"/>
        </w:rPr>
      </w:pPr>
      <w:bookmarkStart w:id="62" w:name="_Toc111106019"/>
    </w:p>
    <w:p>
      <w:pPr>
        <w:widowControl/>
        <w:shd w:val="clear" w:color="auto" w:fill="FFFFFF"/>
        <w:spacing w:line="360" w:lineRule="auto"/>
        <w:rPr>
          <w:rFonts w:ascii="宋体" w:hAnsi="宋体"/>
          <w:color w:val="auto"/>
          <w:szCs w:val="21"/>
          <w:highlight w:val="none"/>
        </w:rPr>
      </w:pPr>
    </w:p>
    <w:p>
      <w:pPr>
        <w:widowControl/>
        <w:shd w:val="clear" w:color="auto" w:fill="FFFFFF"/>
        <w:spacing w:line="360" w:lineRule="auto"/>
        <w:ind w:firstLine="1918"/>
        <w:outlineLvl w:val="0"/>
        <w:rPr>
          <w:rFonts w:ascii="宋体" w:hAnsi="宋体"/>
          <w:color w:val="auto"/>
          <w:sz w:val="30"/>
          <w:szCs w:val="30"/>
          <w:highlight w:val="none"/>
        </w:rPr>
      </w:pPr>
      <w:r>
        <w:rPr>
          <w:rFonts w:hint="eastAsia" w:ascii="宋体" w:hAnsi="宋体"/>
          <w:b/>
          <w:bCs/>
          <w:color w:val="auto"/>
          <w:sz w:val="30"/>
          <w:szCs w:val="30"/>
          <w:highlight w:val="none"/>
        </w:rPr>
        <w:t>合同编号 ：</w:t>
      </w:r>
      <w:r>
        <w:rPr>
          <w:rFonts w:hint="eastAsia" w:ascii="宋体" w:hAnsi="宋体"/>
          <w:b/>
          <w:bCs/>
          <w:color w:val="auto"/>
          <w:sz w:val="30"/>
          <w:szCs w:val="30"/>
          <w:highlight w:val="none"/>
          <w:u w:val="single"/>
        </w:rPr>
        <w:t>     </w:t>
      </w:r>
      <w:r>
        <w:rPr>
          <w:rFonts w:ascii="宋体" w:hAnsi="宋体"/>
          <w:b/>
          <w:bCs/>
          <w:color w:val="auto"/>
          <w:sz w:val="30"/>
          <w:szCs w:val="30"/>
          <w:highlight w:val="none"/>
          <w:u w:val="single"/>
        </w:rPr>
        <w:t xml:space="preserve">       </w:t>
      </w:r>
    </w:p>
    <w:p>
      <w:pPr>
        <w:widowControl/>
        <w:shd w:val="clear" w:color="auto" w:fill="FFFFFF"/>
        <w:spacing w:line="360" w:lineRule="auto"/>
        <w:ind w:firstLine="1918"/>
        <w:outlineLvl w:val="0"/>
        <w:rPr>
          <w:rFonts w:ascii="宋体" w:hAnsi="宋体"/>
          <w:color w:val="auto"/>
          <w:sz w:val="30"/>
          <w:szCs w:val="30"/>
          <w:highlight w:val="none"/>
        </w:rPr>
      </w:pPr>
      <w:r>
        <w:rPr>
          <w:rFonts w:hint="eastAsia" w:ascii="宋体" w:hAnsi="宋体"/>
          <w:b/>
          <w:bCs/>
          <w:color w:val="auto"/>
          <w:sz w:val="30"/>
          <w:szCs w:val="30"/>
          <w:highlight w:val="none"/>
        </w:rPr>
        <w:t>项目名称 ：</w:t>
      </w:r>
      <w:r>
        <w:rPr>
          <w:rFonts w:hint="eastAsia" w:ascii="宋体" w:hAnsi="宋体"/>
          <w:b/>
          <w:bCs/>
          <w:color w:val="auto"/>
          <w:sz w:val="28"/>
          <w:szCs w:val="30"/>
          <w:highlight w:val="none"/>
          <w:u w:val="single"/>
        </w:rPr>
        <w:t>南京技师学院校园零星维修工程项目</w:t>
      </w:r>
    </w:p>
    <w:p>
      <w:pPr>
        <w:widowControl/>
        <w:shd w:val="clear" w:color="auto" w:fill="FFFFFF"/>
        <w:spacing w:line="360" w:lineRule="auto"/>
        <w:ind w:firstLine="1918"/>
        <w:outlineLvl w:val="0"/>
        <w:rPr>
          <w:rFonts w:ascii="宋体" w:hAnsi="宋体"/>
          <w:color w:val="auto"/>
          <w:sz w:val="30"/>
          <w:szCs w:val="30"/>
          <w:highlight w:val="none"/>
        </w:rPr>
      </w:pPr>
      <w:r>
        <w:rPr>
          <w:rFonts w:hint="eastAsia" w:ascii="宋体" w:hAnsi="宋体"/>
          <w:b/>
          <w:bCs/>
          <w:color w:val="auto"/>
          <w:sz w:val="30"/>
          <w:szCs w:val="30"/>
          <w:highlight w:val="none"/>
        </w:rPr>
        <w:t>采 购 人 ：</w:t>
      </w:r>
      <w:r>
        <w:rPr>
          <w:rFonts w:hint="eastAsia" w:ascii="宋体" w:hAnsi="宋体"/>
          <w:b/>
          <w:bCs/>
          <w:color w:val="auto"/>
          <w:sz w:val="30"/>
          <w:szCs w:val="30"/>
          <w:highlight w:val="none"/>
          <w:u w:val="single"/>
        </w:rPr>
        <w:t>南京技师学院</w:t>
      </w:r>
    </w:p>
    <w:p>
      <w:pPr>
        <w:widowControl/>
        <w:shd w:val="clear" w:color="auto" w:fill="FFFFFF"/>
        <w:spacing w:line="360" w:lineRule="auto"/>
        <w:ind w:firstLine="1916"/>
        <w:outlineLvl w:val="0"/>
        <w:rPr>
          <w:rFonts w:ascii="宋体" w:hAnsi="宋体"/>
          <w:color w:val="auto"/>
          <w:sz w:val="30"/>
          <w:szCs w:val="30"/>
          <w:highlight w:val="none"/>
        </w:rPr>
      </w:pPr>
      <w:r>
        <w:rPr>
          <w:rFonts w:hint="eastAsia" w:ascii="宋体" w:hAnsi="宋体"/>
          <w:b/>
          <w:bCs/>
          <w:color w:val="auto"/>
          <w:sz w:val="30"/>
          <w:szCs w:val="30"/>
          <w:highlight w:val="none"/>
        </w:rPr>
        <w:t>供 应 商 ：</w:t>
      </w:r>
      <w:r>
        <w:rPr>
          <w:rFonts w:hint="eastAsia" w:ascii="宋体" w:hAnsi="宋体"/>
          <w:b/>
          <w:bCs/>
          <w:color w:val="auto"/>
          <w:sz w:val="30"/>
          <w:szCs w:val="30"/>
          <w:highlight w:val="none"/>
          <w:u w:val="single"/>
        </w:rPr>
        <w:t>     </w:t>
      </w:r>
      <w:r>
        <w:rPr>
          <w:rFonts w:ascii="宋体" w:hAnsi="宋体"/>
          <w:b/>
          <w:bCs/>
          <w:color w:val="auto"/>
          <w:sz w:val="30"/>
          <w:szCs w:val="30"/>
          <w:highlight w:val="none"/>
          <w:u w:val="single"/>
        </w:rPr>
        <w:t xml:space="preserve">          </w:t>
      </w:r>
    </w:p>
    <w:p>
      <w:pPr>
        <w:widowControl/>
        <w:shd w:val="clear" w:color="auto" w:fill="FFFFFF"/>
        <w:spacing w:line="360" w:lineRule="auto"/>
        <w:ind w:firstLine="1916"/>
        <w:outlineLvl w:val="0"/>
        <w:rPr>
          <w:rFonts w:ascii="宋体" w:hAnsi="宋体"/>
          <w:color w:val="auto"/>
          <w:sz w:val="30"/>
          <w:szCs w:val="30"/>
          <w:highlight w:val="none"/>
        </w:rPr>
      </w:pPr>
      <w:r>
        <w:rPr>
          <w:rFonts w:hint="eastAsia" w:ascii="宋体" w:hAnsi="宋体"/>
          <w:b/>
          <w:bCs/>
          <w:color w:val="auto"/>
          <w:sz w:val="30"/>
          <w:szCs w:val="30"/>
          <w:highlight w:val="none"/>
        </w:rPr>
        <w:t>签订日期 ：</w:t>
      </w:r>
      <w:r>
        <w:rPr>
          <w:rFonts w:hint="eastAsia" w:ascii="宋体" w:hAnsi="宋体"/>
          <w:b/>
          <w:bCs/>
          <w:color w:val="auto"/>
          <w:sz w:val="30"/>
          <w:szCs w:val="30"/>
          <w:highlight w:val="none"/>
          <w:u w:val="single"/>
        </w:rPr>
        <w:t xml:space="preserve">     年    月   日</w:t>
      </w:r>
    </w:p>
    <w:p>
      <w:pPr>
        <w:widowControl/>
        <w:shd w:val="clear" w:color="auto" w:fill="FFFFFF"/>
        <w:spacing w:line="360" w:lineRule="auto"/>
        <w:rPr>
          <w:rFonts w:ascii="宋体" w:hAnsi="宋体"/>
          <w:color w:val="auto"/>
          <w:sz w:val="30"/>
          <w:szCs w:val="30"/>
          <w:highlight w:val="none"/>
        </w:rPr>
      </w:pPr>
      <w:r>
        <w:rPr>
          <w:rFonts w:hint="eastAsia" w:ascii="宋体" w:hAnsi="宋体"/>
          <w:color w:val="auto"/>
          <w:sz w:val="30"/>
          <w:szCs w:val="30"/>
          <w:highlight w:val="none"/>
        </w:rPr>
        <w:t>      </w:t>
      </w:r>
    </w:p>
    <w:p>
      <w:pPr>
        <w:widowControl/>
        <w:shd w:val="clear" w:color="auto" w:fill="FFFFFF"/>
        <w:spacing w:line="360" w:lineRule="auto"/>
        <w:rPr>
          <w:rFonts w:ascii="宋体" w:hAnsi="宋体"/>
          <w:color w:val="auto"/>
          <w:sz w:val="30"/>
          <w:szCs w:val="30"/>
          <w:highlight w:val="none"/>
        </w:rPr>
      </w:pPr>
    </w:p>
    <w:p>
      <w:pPr>
        <w:widowControl/>
        <w:shd w:val="clear" w:color="auto" w:fill="FFFFFF"/>
        <w:spacing w:line="360" w:lineRule="auto"/>
        <w:rPr>
          <w:rFonts w:ascii="宋体" w:hAnsi="宋体"/>
          <w:color w:val="auto"/>
          <w:sz w:val="30"/>
          <w:szCs w:val="30"/>
          <w:highlight w:val="none"/>
        </w:rPr>
      </w:pPr>
    </w:p>
    <w:p>
      <w:pPr>
        <w:spacing w:line="360" w:lineRule="auto"/>
        <w:jc w:val="center"/>
        <w:outlineLvl w:val="0"/>
        <w:rPr>
          <w:rFonts w:hint="eastAsia" w:ascii="宋体" w:hAnsi="宋体"/>
          <w:b/>
          <w:bCs/>
          <w:color w:val="auto"/>
          <w:sz w:val="30"/>
          <w:szCs w:val="30"/>
          <w:highlight w:val="none"/>
        </w:rPr>
        <w:sectPr>
          <w:pgSz w:w="11906" w:h="16838"/>
          <w:pgMar w:top="1440" w:right="1797" w:bottom="1440" w:left="1797" w:header="851" w:footer="992" w:gutter="0"/>
          <w:cols w:space="720" w:num="1"/>
          <w:docGrid w:linePitch="312" w:charSpace="0"/>
        </w:sectPr>
      </w:pPr>
    </w:p>
    <w:p>
      <w:pPr>
        <w:spacing w:line="360" w:lineRule="auto"/>
        <w:jc w:val="center"/>
        <w:outlineLvl w:val="0"/>
        <w:rPr>
          <w:rFonts w:ascii="宋体" w:hAnsi="宋体"/>
          <w:b/>
          <w:bCs/>
          <w:color w:val="auto"/>
          <w:sz w:val="30"/>
          <w:szCs w:val="30"/>
          <w:highlight w:val="none"/>
        </w:rPr>
      </w:pPr>
      <w:r>
        <w:rPr>
          <w:rFonts w:hint="eastAsia" w:ascii="宋体" w:hAnsi="宋体"/>
          <w:b/>
          <w:bCs/>
          <w:color w:val="auto"/>
          <w:sz w:val="30"/>
          <w:szCs w:val="30"/>
          <w:highlight w:val="none"/>
        </w:rPr>
        <w:t>框架协议</w:t>
      </w:r>
    </w:p>
    <w:p>
      <w:pPr>
        <w:spacing w:line="360" w:lineRule="auto"/>
        <w:rPr>
          <w:rFonts w:ascii="宋体" w:hAnsi="宋体"/>
          <w:color w:val="auto"/>
          <w:szCs w:val="21"/>
          <w:highlight w:val="none"/>
        </w:rPr>
      </w:pPr>
      <w:r>
        <w:rPr>
          <w:rFonts w:hint="eastAsia" w:ascii="宋体" w:hAnsi="宋体"/>
          <w:color w:val="auto"/>
          <w:szCs w:val="21"/>
          <w:highlight w:val="none"/>
        </w:rPr>
        <w:t>合同编号：</w:t>
      </w:r>
      <w:r>
        <w:rPr>
          <w:rFonts w:hint="eastAsia" w:ascii="宋体" w:hAnsi="宋体"/>
          <w:bCs/>
          <w:color w:val="auto"/>
          <w:szCs w:val="21"/>
          <w:highlight w:val="none"/>
        </w:rPr>
        <w:t xml:space="preserve"> </w:t>
      </w:r>
    </w:p>
    <w:tbl>
      <w:tblPr>
        <w:tblStyle w:val="56"/>
        <w:tblW w:w="9286" w:type="dxa"/>
        <w:tblInd w:w="-108" w:type="dxa"/>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c>
          <w:tcPr>
            <w:tcW w:w="4643" w:type="dxa"/>
            <w:tcBorders>
              <w:top w:val="nil"/>
              <w:left w:val="nil"/>
              <w:bottom w:val="nil"/>
              <w:right w:val="nil"/>
            </w:tcBorders>
          </w:tcPr>
          <w:p>
            <w:pPr>
              <w:autoSpaceDE w:val="0"/>
              <w:autoSpaceDN w:val="0"/>
              <w:adjustRightInd w:val="0"/>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采购人：（以下称甲方）</w:t>
            </w:r>
            <w:r>
              <w:rPr>
                <w:rFonts w:hint="eastAsia" w:ascii="宋体" w:hAnsi="宋体"/>
                <w:color w:val="auto"/>
                <w:szCs w:val="21"/>
                <w:highlight w:val="none"/>
                <w:u w:val="single"/>
              </w:rPr>
              <w:t>南京技师学院</w:t>
            </w:r>
          </w:p>
        </w:tc>
        <w:tc>
          <w:tcPr>
            <w:tcW w:w="4643" w:type="dxa"/>
            <w:tcBorders>
              <w:top w:val="nil"/>
              <w:left w:val="nil"/>
              <w:bottom w:val="nil"/>
              <w:right w:val="nil"/>
            </w:tcBorders>
          </w:tcPr>
          <w:p>
            <w:pPr>
              <w:widowControl/>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供应商：（以下称乙方）</w:t>
            </w:r>
          </w:p>
        </w:tc>
      </w:tr>
      <w:tr>
        <w:tblPrEx>
          <w:tblCellMar>
            <w:top w:w="0" w:type="dxa"/>
            <w:left w:w="0" w:type="dxa"/>
            <w:bottom w:w="0" w:type="dxa"/>
            <w:right w:w="0" w:type="dxa"/>
          </w:tblCellMar>
        </w:tblPrEx>
        <w:tc>
          <w:tcPr>
            <w:tcW w:w="4643" w:type="dxa"/>
            <w:tcBorders>
              <w:top w:val="nil"/>
              <w:left w:val="nil"/>
              <w:bottom w:val="nil"/>
              <w:right w:val="nil"/>
            </w:tcBorders>
          </w:tcPr>
          <w:p>
            <w:pPr>
              <w:autoSpaceDE w:val="0"/>
              <w:autoSpaceDN w:val="0"/>
              <w:adjustRightInd w:val="0"/>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住所地：</w:t>
            </w:r>
            <w:r>
              <w:rPr>
                <w:rFonts w:ascii="宋体" w:hAnsi="宋体"/>
                <w:bCs/>
                <w:color w:val="auto"/>
                <w:szCs w:val="21"/>
                <w:highlight w:val="none"/>
                <w:u w:val="single"/>
              </w:rPr>
              <w:t>南京市栖霞区学海路29号</w:t>
            </w:r>
          </w:p>
        </w:tc>
        <w:tc>
          <w:tcPr>
            <w:tcW w:w="4643" w:type="dxa"/>
            <w:tcBorders>
              <w:top w:val="nil"/>
              <w:left w:val="nil"/>
              <w:bottom w:val="nil"/>
              <w:right w:val="nil"/>
            </w:tcBorders>
          </w:tcPr>
          <w:p>
            <w:pPr>
              <w:widowControl/>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住所地：</w:t>
            </w:r>
          </w:p>
          <w:p>
            <w:pPr>
              <w:autoSpaceDE w:val="0"/>
              <w:autoSpaceDN w:val="0"/>
              <w:adjustRightInd w:val="0"/>
              <w:spacing w:line="360" w:lineRule="auto"/>
              <w:ind w:left="-4910" w:leftChars="-2338"/>
              <w:jc w:val="left"/>
              <w:rPr>
                <w:rFonts w:ascii="宋体" w:hAnsi="宋体"/>
                <w:color w:val="auto"/>
                <w:szCs w:val="21"/>
                <w:highlight w:val="none"/>
              </w:rPr>
            </w:pPr>
          </w:p>
        </w:tc>
      </w:tr>
    </w:tbl>
    <w:p>
      <w:pPr>
        <w:widowControl/>
        <w:adjustRightInd w:val="0"/>
        <w:snapToGrid w:val="0"/>
        <w:spacing w:line="360" w:lineRule="auto"/>
        <w:ind w:firstLine="470" w:firstLineChars="224"/>
        <w:jc w:val="left"/>
        <w:rPr>
          <w:rFonts w:ascii="宋体" w:hAnsi="宋体"/>
          <w:color w:val="auto"/>
          <w:szCs w:val="21"/>
          <w:highlight w:val="none"/>
        </w:rPr>
      </w:pPr>
      <w:r>
        <w:rPr>
          <w:rFonts w:hint="eastAsia" w:ascii="宋体" w:hAnsi="宋体"/>
          <w:color w:val="auto"/>
          <w:szCs w:val="21"/>
          <w:highlight w:val="none"/>
        </w:rPr>
        <w:t>经项目公开招标，就</w:t>
      </w:r>
      <w:bookmarkStart w:id="63" w:name="_Hlk103785840"/>
      <w:r>
        <w:rPr>
          <w:rFonts w:hint="eastAsia" w:ascii="宋体" w:hAnsi="宋体"/>
          <w:iCs/>
          <w:color w:val="auto"/>
          <w:szCs w:val="21"/>
          <w:highlight w:val="none"/>
          <w:u w:val="single"/>
        </w:rPr>
        <w:t>南京技师学院校园零星维修工程项目</w:t>
      </w:r>
      <w:bookmarkEnd w:id="63"/>
      <w:r>
        <w:rPr>
          <w:rFonts w:hint="eastAsia" w:ascii="宋体" w:hAnsi="宋体"/>
          <w:color w:val="auto"/>
          <w:szCs w:val="21"/>
          <w:highlight w:val="none"/>
        </w:rPr>
        <w:t>，</w:t>
      </w:r>
      <w:r>
        <w:rPr>
          <w:rFonts w:hint="eastAsia" w:ascii="宋体" w:hAnsi="宋体"/>
          <w:color w:val="auto"/>
          <w:szCs w:val="21"/>
          <w:highlight w:val="none"/>
          <w:u w:val="single"/>
        </w:rPr>
        <w:t>南京技师学院</w:t>
      </w:r>
      <w:r>
        <w:rPr>
          <w:rFonts w:hint="eastAsia" w:ascii="宋体" w:hAnsi="宋体"/>
          <w:color w:val="auto"/>
          <w:szCs w:val="21"/>
          <w:highlight w:val="none"/>
        </w:rPr>
        <w:t>（以下简称“甲方”）和</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（以下简称“乙方”）同意按下述条款和条件签订本合同（以下简称“合同”）。</w:t>
      </w:r>
    </w:p>
    <w:p>
      <w:pPr>
        <w:snapToGrid w:val="0"/>
        <w:spacing w:line="360" w:lineRule="auto"/>
        <w:ind w:firstLine="420" w:firstLineChars="200"/>
        <w:outlineLvl w:val="0"/>
        <w:rPr>
          <w:rFonts w:ascii="宋体" w:hAnsi="宋体"/>
          <w:bCs/>
          <w:color w:val="auto"/>
          <w:szCs w:val="21"/>
          <w:highlight w:val="none"/>
        </w:rPr>
      </w:pPr>
      <w:r>
        <w:rPr>
          <w:rFonts w:hint="eastAsia" w:ascii="宋体" w:hAnsi="宋体"/>
          <w:bCs/>
          <w:color w:val="auto"/>
          <w:szCs w:val="21"/>
          <w:highlight w:val="none"/>
        </w:rPr>
        <w:t>1.定义</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除非另有特别约定，在本合同以及与本合同有关的甲乙双方另行签订的其他文件中，下列词语按如下定义进行解释：</w:t>
      </w:r>
    </w:p>
    <w:p>
      <w:pPr>
        <w:snapToGrid w:val="0"/>
        <w:spacing w:line="520" w:lineRule="exact"/>
        <w:ind w:firstLine="525" w:firstLineChars="250"/>
        <w:rPr>
          <w:rFonts w:ascii="宋体" w:hAnsi="宋体"/>
          <w:bCs/>
          <w:color w:val="auto"/>
          <w:szCs w:val="21"/>
          <w:highlight w:val="none"/>
        </w:rPr>
      </w:pPr>
      <w:r>
        <w:rPr>
          <w:rFonts w:hint="eastAsia" w:ascii="宋体" w:hAnsi="宋体"/>
          <w:bCs/>
          <w:color w:val="auto"/>
          <w:szCs w:val="21"/>
          <w:highlight w:val="none"/>
        </w:rPr>
        <w:t>1.1“合同”是指甲方和乙方签署的协议，即由双方签订的合同格式中的文件，包括所有的附件、附录和组成合同部分的所有其他文件，包括招标文件、应答文件及其有效补充文件。</w:t>
      </w:r>
    </w:p>
    <w:p>
      <w:pPr>
        <w:snapToGrid w:val="0"/>
        <w:spacing w:line="520" w:lineRule="exact"/>
        <w:ind w:firstLine="525" w:firstLineChars="250"/>
        <w:rPr>
          <w:rFonts w:ascii="宋体" w:hAnsi="宋体"/>
          <w:bCs/>
          <w:color w:val="auto"/>
          <w:szCs w:val="21"/>
          <w:highlight w:val="none"/>
        </w:rPr>
      </w:pPr>
      <w:r>
        <w:rPr>
          <w:rFonts w:hint="eastAsia" w:ascii="宋体" w:hAnsi="宋体"/>
          <w:bCs/>
          <w:color w:val="auto"/>
          <w:szCs w:val="21"/>
          <w:highlight w:val="none"/>
        </w:rPr>
        <w:t>1.2“工程施工”是指委托施工单位实施的工程；</w:t>
      </w:r>
    </w:p>
    <w:p>
      <w:pPr>
        <w:snapToGrid w:val="0"/>
        <w:spacing w:line="520" w:lineRule="exact"/>
        <w:ind w:firstLine="525" w:firstLineChars="250"/>
        <w:rPr>
          <w:rFonts w:ascii="宋体" w:hAnsi="宋体"/>
          <w:bCs/>
          <w:color w:val="auto"/>
          <w:szCs w:val="21"/>
          <w:highlight w:val="none"/>
        </w:rPr>
      </w:pPr>
      <w:r>
        <w:rPr>
          <w:rFonts w:hint="eastAsia" w:ascii="宋体" w:hAnsi="宋体"/>
          <w:bCs/>
          <w:color w:val="auto"/>
          <w:szCs w:val="21"/>
          <w:highlight w:val="none"/>
        </w:rPr>
        <w:t>1.3“甲方”是指</w:t>
      </w:r>
      <w:r>
        <w:rPr>
          <w:rFonts w:hint="eastAsia" w:ascii="宋体" w:hAnsi="宋体"/>
          <w:color w:val="auto"/>
          <w:szCs w:val="21"/>
          <w:highlight w:val="none"/>
        </w:rPr>
        <w:t>南京技师学院</w:t>
      </w:r>
      <w:r>
        <w:rPr>
          <w:rFonts w:hint="eastAsia" w:ascii="宋体" w:hAnsi="宋体"/>
          <w:bCs/>
          <w:color w:val="auto"/>
          <w:szCs w:val="21"/>
          <w:highlight w:val="none"/>
        </w:rPr>
        <w:t>。</w:t>
      </w:r>
    </w:p>
    <w:p>
      <w:pPr>
        <w:snapToGrid w:val="0"/>
        <w:spacing w:line="520" w:lineRule="exact"/>
        <w:ind w:firstLine="525" w:firstLineChars="250"/>
        <w:rPr>
          <w:rFonts w:ascii="宋体" w:hAnsi="宋体"/>
          <w:bCs/>
          <w:color w:val="auto"/>
          <w:szCs w:val="21"/>
          <w:highlight w:val="none"/>
        </w:rPr>
      </w:pPr>
      <w:r>
        <w:rPr>
          <w:rFonts w:hint="eastAsia" w:ascii="宋体" w:hAnsi="宋体"/>
          <w:bCs/>
          <w:color w:val="auto"/>
          <w:szCs w:val="21"/>
          <w:highlight w:val="none"/>
        </w:rPr>
        <w:t>1.4“工作日”是指除公休日和国家法定节假日以外的日历日。</w:t>
      </w:r>
    </w:p>
    <w:p>
      <w:pPr>
        <w:snapToGrid w:val="0"/>
        <w:spacing w:line="520" w:lineRule="exact"/>
        <w:ind w:firstLine="525" w:firstLineChars="250"/>
        <w:rPr>
          <w:rFonts w:ascii="宋体" w:hAnsi="宋体"/>
          <w:bCs/>
          <w:color w:val="auto"/>
          <w:szCs w:val="21"/>
          <w:highlight w:val="none"/>
        </w:rPr>
      </w:pPr>
      <w:r>
        <w:rPr>
          <w:rFonts w:hint="eastAsia" w:ascii="宋体" w:hAnsi="宋体"/>
          <w:bCs/>
          <w:color w:val="auto"/>
          <w:szCs w:val="21"/>
          <w:highlight w:val="none"/>
        </w:rPr>
        <w:t>1.5“第三方”是指本合同以外的任何中国境内、境外的法人、自然人或其他组织。</w:t>
      </w:r>
    </w:p>
    <w:p>
      <w:pPr>
        <w:snapToGrid w:val="0"/>
        <w:spacing w:line="520" w:lineRule="exact"/>
        <w:ind w:firstLine="525" w:firstLineChars="250"/>
        <w:rPr>
          <w:rFonts w:ascii="宋体" w:hAnsi="宋体"/>
          <w:bCs/>
          <w:color w:val="auto"/>
          <w:szCs w:val="21"/>
          <w:highlight w:val="none"/>
        </w:rPr>
      </w:pPr>
      <w:r>
        <w:rPr>
          <w:rFonts w:hint="eastAsia" w:ascii="宋体" w:hAnsi="宋体"/>
          <w:bCs/>
          <w:color w:val="auto"/>
          <w:szCs w:val="21"/>
          <w:highlight w:val="none"/>
        </w:rPr>
        <w:t>1.6“附件”是指与本合同的订立、履行有关的，经甲乙双方认可的，对本合同约定的内容进行细化、补充、修改、变更的文件、图纸、音像制品等资料。</w:t>
      </w:r>
    </w:p>
    <w:p>
      <w:pPr>
        <w:snapToGrid w:val="0"/>
        <w:spacing w:line="520" w:lineRule="exact"/>
        <w:ind w:firstLine="525" w:firstLineChars="250"/>
        <w:rPr>
          <w:rFonts w:ascii="宋体" w:hAnsi="宋体"/>
          <w:bCs/>
          <w:color w:val="auto"/>
          <w:szCs w:val="21"/>
          <w:highlight w:val="none"/>
        </w:rPr>
      </w:pPr>
      <w:r>
        <w:rPr>
          <w:rFonts w:hint="eastAsia" w:ascii="宋体" w:hAnsi="宋体"/>
          <w:bCs/>
          <w:color w:val="auto"/>
          <w:szCs w:val="21"/>
          <w:highlight w:val="none"/>
        </w:rPr>
        <w:t>1.7“招标文件”是指《</w:t>
      </w:r>
      <w:r>
        <w:rPr>
          <w:rFonts w:hint="eastAsia" w:ascii="宋体" w:hAnsi="宋体"/>
          <w:bCs/>
          <w:iCs/>
          <w:color w:val="auto"/>
          <w:szCs w:val="21"/>
          <w:highlight w:val="none"/>
        </w:rPr>
        <w:t>南京技师学院校园零星维修工程项目</w:t>
      </w:r>
      <w:r>
        <w:rPr>
          <w:rFonts w:hint="eastAsia" w:ascii="宋体" w:hAnsi="宋体"/>
          <w:bCs/>
          <w:color w:val="auto"/>
          <w:szCs w:val="21"/>
          <w:highlight w:val="none"/>
        </w:rPr>
        <w:t>招标文件》。</w:t>
      </w:r>
    </w:p>
    <w:p>
      <w:pPr>
        <w:snapToGrid w:val="0"/>
        <w:spacing w:line="520" w:lineRule="exact"/>
        <w:ind w:firstLine="525" w:firstLineChars="250"/>
        <w:outlineLvl w:val="0"/>
        <w:rPr>
          <w:rFonts w:ascii="宋体" w:hAnsi="宋体"/>
          <w:bCs/>
          <w:color w:val="auto"/>
          <w:szCs w:val="21"/>
          <w:highlight w:val="none"/>
        </w:rPr>
      </w:pPr>
      <w:r>
        <w:rPr>
          <w:rFonts w:hint="eastAsia" w:ascii="宋体" w:hAnsi="宋体"/>
          <w:bCs/>
          <w:color w:val="auto"/>
          <w:szCs w:val="21"/>
          <w:highlight w:val="none"/>
        </w:rPr>
        <w:t>2.适用范围</w:t>
      </w:r>
    </w:p>
    <w:p>
      <w:pPr>
        <w:snapToGrid w:val="0"/>
        <w:spacing w:line="520" w:lineRule="exact"/>
        <w:ind w:firstLine="525" w:firstLineChars="250"/>
        <w:rPr>
          <w:rFonts w:ascii="宋体" w:hAnsi="宋体"/>
          <w:bCs/>
          <w:color w:val="auto"/>
          <w:szCs w:val="21"/>
          <w:highlight w:val="none"/>
        </w:rPr>
      </w:pPr>
      <w:r>
        <w:rPr>
          <w:rFonts w:hint="eastAsia" w:ascii="宋体" w:hAnsi="宋体"/>
          <w:bCs/>
          <w:color w:val="auto"/>
          <w:szCs w:val="21"/>
          <w:highlight w:val="none"/>
        </w:rPr>
        <w:t>2.1本合同条款仅适用于</w:t>
      </w:r>
      <w:bookmarkStart w:id="64" w:name="_Hlk103785897"/>
      <w:r>
        <w:rPr>
          <w:rFonts w:hint="eastAsia" w:ascii="宋体" w:hAnsi="宋体"/>
          <w:bCs/>
          <w:iCs/>
          <w:color w:val="auto"/>
          <w:szCs w:val="21"/>
          <w:highlight w:val="none"/>
          <w:u w:val="single"/>
        </w:rPr>
        <w:t>南京技师学院校园零星维修工程项目</w:t>
      </w:r>
      <w:bookmarkEnd w:id="64"/>
      <w:r>
        <w:rPr>
          <w:rFonts w:hint="eastAsia" w:ascii="宋体" w:hAnsi="宋体"/>
          <w:bCs/>
          <w:color w:val="auto"/>
          <w:szCs w:val="21"/>
          <w:highlight w:val="none"/>
        </w:rPr>
        <w:t>。</w:t>
      </w:r>
    </w:p>
    <w:p>
      <w:pPr>
        <w:snapToGrid w:val="0"/>
        <w:spacing w:line="520" w:lineRule="exact"/>
        <w:ind w:firstLine="525" w:firstLineChars="250"/>
        <w:outlineLvl w:val="0"/>
        <w:rPr>
          <w:rFonts w:ascii="宋体" w:hAnsi="宋体"/>
          <w:bCs/>
          <w:color w:val="auto"/>
          <w:szCs w:val="21"/>
          <w:highlight w:val="none"/>
        </w:rPr>
      </w:pPr>
      <w:r>
        <w:rPr>
          <w:rFonts w:hint="eastAsia" w:ascii="宋体" w:hAnsi="宋体"/>
          <w:bCs/>
          <w:color w:val="auto"/>
          <w:szCs w:val="21"/>
          <w:highlight w:val="none"/>
        </w:rPr>
        <w:t>3.合同的组成</w:t>
      </w:r>
    </w:p>
    <w:p>
      <w:pPr>
        <w:snapToGrid w:val="0"/>
        <w:spacing w:line="520" w:lineRule="exact"/>
        <w:ind w:firstLine="525" w:firstLineChars="250"/>
        <w:rPr>
          <w:rFonts w:ascii="宋体" w:hAnsi="宋体"/>
          <w:bCs/>
          <w:color w:val="auto"/>
          <w:szCs w:val="21"/>
          <w:highlight w:val="none"/>
        </w:rPr>
      </w:pPr>
      <w:r>
        <w:rPr>
          <w:rFonts w:hint="eastAsia" w:ascii="宋体" w:hAnsi="宋体"/>
          <w:bCs/>
          <w:color w:val="auto"/>
          <w:szCs w:val="21"/>
          <w:highlight w:val="none"/>
        </w:rPr>
        <w:t>3.1本合同的组成部分包括但不限于下列文件：</w:t>
      </w:r>
    </w:p>
    <w:p>
      <w:pPr>
        <w:snapToGrid w:val="0"/>
        <w:spacing w:line="520" w:lineRule="exact"/>
        <w:ind w:firstLine="525" w:firstLineChars="250"/>
        <w:outlineLvl w:val="1"/>
        <w:rPr>
          <w:rFonts w:ascii="宋体" w:hAnsi="宋体"/>
          <w:bCs/>
          <w:color w:val="auto"/>
          <w:szCs w:val="21"/>
          <w:highlight w:val="none"/>
        </w:rPr>
      </w:pPr>
      <w:r>
        <w:rPr>
          <w:rFonts w:hint="eastAsia" w:ascii="宋体" w:hAnsi="宋体"/>
          <w:bCs/>
          <w:color w:val="auto"/>
          <w:szCs w:val="21"/>
          <w:highlight w:val="none"/>
        </w:rPr>
        <w:t>3.1.1本合同条款</w:t>
      </w:r>
    </w:p>
    <w:p>
      <w:pPr>
        <w:snapToGrid w:val="0"/>
        <w:spacing w:line="520" w:lineRule="exact"/>
        <w:ind w:firstLine="525" w:firstLineChars="250"/>
        <w:outlineLvl w:val="1"/>
        <w:rPr>
          <w:rFonts w:ascii="宋体" w:hAnsi="宋体"/>
          <w:bCs/>
          <w:color w:val="auto"/>
          <w:szCs w:val="21"/>
          <w:highlight w:val="none"/>
        </w:rPr>
      </w:pPr>
      <w:r>
        <w:rPr>
          <w:rFonts w:hint="eastAsia" w:ascii="宋体" w:hAnsi="宋体"/>
          <w:bCs/>
          <w:color w:val="auto"/>
          <w:szCs w:val="21"/>
          <w:highlight w:val="none"/>
        </w:rPr>
        <w:t>3.1.2招标文件</w:t>
      </w:r>
    </w:p>
    <w:p>
      <w:pPr>
        <w:snapToGrid w:val="0"/>
        <w:spacing w:line="520" w:lineRule="exact"/>
        <w:ind w:firstLine="525" w:firstLineChars="250"/>
        <w:outlineLvl w:val="1"/>
        <w:rPr>
          <w:rFonts w:ascii="宋体" w:hAnsi="宋体"/>
          <w:bCs/>
          <w:color w:val="auto"/>
          <w:szCs w:val="21"/>
          <w:highlight w:val="none"/>
        </w:rPr>
      </w:pPr>
      <w:r>
        <w:rPr>
          <w:rFonts w:hint="eastAsia" w:ascii="宋体" w:hAnsi="宋体"/>
          <w:bCs/>
          <w:color w:val="auto"/>
          <w:szCs w:val="21"/>
          <w:highlight w:val="none"/>
        </w:rPr>
        <w:t>3.1.3应答文件</w:t>
      </w:r>
    </w:p>
    <w:p>
      <w:pPr>
        <w:snapToGrid w:val="0"/>
        <w:spacing w:line="520" w:lineRule="exact"/>
        <w:ind w:firstLine="525" w:firstLineChars="250"/>
        <w:outlineLvl w:val="1"/>
        <w:rPr>
          <w:rFonts w:ascii="宋体" w:hAnsi="宋体"/>
          <w:bCs/>
          <w:color w:val="auto"/>
          <w:szCs w:val="21"/>
          <w:highlight w:val="none"/>
        </w:rPr>
      </w:pPr>
      <w:r>
        <w:rPr>
          <w:rFonts w:hint="eastAsia" w:ascii="宋体" w:hAnsi="宋体"/>
          <w:bCs/>
          <w:color w:val="auto"/>
          <w:szCs w:val="21"/>
          <w:highlight w:val="none"/>
        </w:rPr>
        <w:t>3.1.4中标通知书</w:t>
      </w:r>
    </w:p>
    <w:p>
      <w:pPr>
        <w:snapToGrid w:val="0"/>
        <w:spacing w:line="520" w:lineRule="exact"/>
        <w:ind w:firstLine="525" w:firstLineChars="250"/>
        <w:outlineLvl w:val="1"/>
        <w:rPr>
          <w:rFonts w:ascii="宋体" w:hAnsi="宋体"/>
          <w:bCs/>
          <w:color w:val="auto"/>
          <w:szCs w:val="21"/>
          <w:highlight w:val="none"/>
        </w:rPr>
      </w:pPr>
      <w:r>
        <w:rPr>
          <w:rFonts w:hint="eastAsia" w:ascii="宋体" w:hAnsi="宋体"/>
          <w:bCs/>
          <w:color w:val="auto"/>
          <w:szCs w:val="21"/>
          <w:highlight w:val="none"/>
        </w:rPr>
        <w:t>3.1.5形成合同的其他有关文件</w:t>
      </w:r>
    </w:p>
    <w:p>
      <w:pPr>
        <w:snapToGrid w:val="0"/>
        <w:spacing w:line="520" w:lineRule="exact"/>
        <w:ind w:firstLine="525" w:firstLineChars="250"/>
        <w:rPr>
          <w:rFonts w:ascii="宋体" w:hAnsi="宋体"/>
          <w:bCs/>
          <w:color w:val="auto"/>
          <w:szCs w:val="21"/>
          <w:highlight w:val="none"/>
        </w:rPr>
      </w:pPr>
      <w:r>
        <w:rPr>
          <w:rFonts w:hint="eastAsia" w:ascii="宋体" w:hAnsi="宋体"/>
          <w:bCs/>
          <w:color w:val="auto"/>
          <w:szCs w:val="21"/>
          <w:highlight w:val="none"/>
        </w:rPr>
        <w:t>3.2上述文件互为补充和解释，如有不清或相互矛盾之处，在对于采购方更为有利的前提下，以签署时间在后的为准，但甲、乙双方有特别约定的除外。</w:t>
      </w:r>
    </w:p>
    <w:p>
      <w:pPr>
        <w:snapToGrid w:val="0"/>
        <w:spacing w:line="520" w:lineRule="exact"/>
        <w:ind w:firstLine="525" w:firstLineChars="250"/>
        <w:outlineLvl w:val="0"/>
        <w:rPr>
          <w:rFonts w:ascii="宋体" w:hAnsi="宋体"/>
          <w:bCs/>
          <w:color w:val="auto"/>
          <w:szCs w:val="21"/>
          <w:highlight w:val="none"/>
        </w:rPr>
      </w:pPr>
      <w:r>
        <w:rPr>
          <w:rFonts w:hint="eastAsia" w:ascii="宋体" w:hAnsi="宋体"/>
          <w:bCs/>
          <w:color w:val="auto"/>
          <w:szCs w:val="21"/>
          <w:highlight w:val="none"/>
        </w:rPr>
        <w:t>4.协议承诺</w:t>
      </w:r>
    </w:p>
    <w:p>
      <w:pPr>
        <w:snapToGrid w:val="0"/>
        <w:spacing w:line="520" w:lineRule="exact"/>
        <w:ind w:firstLine="525" w:firstLineChars="250"/>
        <w:rPr>
          <w:rFonts w:ascii="宋体" w:hAnsi="宋体"/>
          <w:bCs/>
          <w:color w:val="auto"/>
          <w:szCs w:val="21"/>
          <w:highlight w:val="none"/>
        </w:rPr>
      </w:pPr>
      <w:r>
        <w:rPr>
          <w:rFonts w:hint="eastAsia" w:ascii="宋体" w:hAnsi="宋体"/>
          <w:bCs/>
          <w:color w:val="auto"/>
          <w:szCs w:val="21"/>
          <w:highlight w:val="none"/>
        </w:rPr>
        <w:t>4.1甲方确定乙方为合同期内</w:t>
      </w:r>
      <w:r>
        <w:rPr>
          <w:rFonts w:hint="eastAsia" w:ascii="宋体" w:hAnsi="宋体"/>
          <w:bCs/>
          <w:iCs/>
          <w:color w:val="auto"/>
          <w:szCs w:val="21"/>
          <w:highlight w:val="none"/>
        </w:rPr>
        <w:t>南京技师学院校园零星维修工程项目</w:t>
      </w:r>
      <w:r>
        <w:rPr>
          <w:rFonts w:hint="eastAsia" w:ascii="宋体" w:hAnsi="宋体"/>
          <w:bCs/>
          <w:color w:val="auto"/>
          <w:szCs w:val="21"/>
          <w:highlight w:val="none"/>
        </w:rPr>
        <w:t>施工单位。</w:t>
      </w:r>
    </w:p>
    <w:p>
      <w:pPr>
        <w:snapToGrid w:val="0"/>
        <w:spacing w:line="520" w:lineRule="exact"/>
        <w:ind w:firstLine="525" w:firstLineChars="250"/>
        <w:rPr>
          <w:rFonts w:ascii="宋体" w:hAnsi="宋体"/>
          <w:bCs/>
          <w:color w:val="auto"/>
          <w:szCs w:val="21"/>
          <w:highlight w:val="none"/>
        </w:rPr>
      </w:pPr>
      <w:r>
        <w:rPr>
          <w:rFonts w:hint="eastAsia" w:ascii="宋体" w:hAnsi="宋体"/>
          <w:bCs/>
          <w:color w:val="auto"/>
          <w:szCs w:val="21"/>
          <w:highlight w:val="none"/>
        </w:rPr>
        <w:t>4.2乙方应按甲方要求提供相关工程服务。</w:t>
      </w:r>
    </w:p>
    <w:p>
      <w:pPr>
        <w:snapToGrid w:val="0"/>
        <w:spacing w:line="520" w:lineRule="exact"/>
        <w:ind w:firstLine="525" w:firstLineChars="250"/>
        <w:rPr>
          <w:rFonts w:ascii="宋体" w:hAnsi="宋体"/>
          <w:bCs/>
          <w:color w:val="auto"/>
          <w:szCs w:val="21"/>
          <w:highlight w:val="none"/>
        </w:rPr>
      </w:pPr>
      <w:r>
        <w:rPr>
          <w:rFonts w:hint="eastAsia" w:ascii="宋体" w:hAnsi="宋体"/>
          <w:bCs/>
          <w:color w:val="auto"/>
          <w:szCs w:val="21"/>
          <w:highlight w:val="none"/>
        </w:rPr>
        <w:t>4.3乙方按本合同向甲方提供工程服务时应与甲方签订相应专项合同（即施工合同），确定工程服务范围、质量、期限、合同价款等。取费标准及优惠率应按国家有关规定以及乙方在应答文件中的承诺执行。如乙方在各专项合同中的承诺优于招标文件、乙方应答文件和本合同时，以专项合同为准。</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4.4办理限额内工程项目定点服务业务程序。</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4.4.1甲方按照采购程序选择乙方为工程服务单位。</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4.4.2乙方根据甲方的工程要求，经甲方确认后，乙方与甲方签订专项合同。</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4.4.3乙方根据合同规定工程项目服务业务。</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4.5费用结算方式。以乙方自己的名义直接为甲方开具合法的完税发票且加盖乙方的财务章，甲方直接支付至乙方指定账户。</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4.6甲方的权利和义务。</w:t>
      </w:r>
    </w:p>
    <w:p>
      <w:pPr>
        <w:snapToGrid w:val="0"/>
        <w:spacing w:line="520" w:lineRule="exact"/>
        <w:ind w:firstLine="420" w:firstLineChars="200"/>
        <w:outlineLvl w:val="1"/>
        <w:rPr>
          <w:rFonts w:ascii="宋体" w:hAnsi="宋体"/>
          <w:bCs/>
          <w:color w:val="auto"/>
          <w:szCs w:val="21"/>
          <w:highlight w:val="none"/>
        </w:rPr>
      </w:pPr>
      <w:r>
        <w:rPr>
          <w:rFonts w:hint="eastAsia" w:ascii="宋体" w:hAnsi="宋体"/>
          <w:bCs/>
          <w:color w:val="auto"/>
          <w:szCs w:val="21"/>
          <w:highlight w:val="none"/>
        </w:rPr>
        <w:t>4.6.1甲方的权利</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4.6.1.1根据乙方应答文件中有关内容，有权对乙方工程项目服务情况进行检查。</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4.6.1.2有权对工程项目服务质量进行监督和检查，对所发现的问题进行调查和处理。</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4.6.1.3因乙方违反合同规定给甲方造成损失时，及/或因乙方质量问题引起甲方给第三方造成损害，甲方有权直接要求乙方赔偿全部及/或任何相关的经济损失，乙方承诺将不予推卸地、及时地、直接地承担全部及/或任何相关的损失的赔偿责任，包括第三方的相关的全部及/或任何损失的赔偿责任。</w:t>
      </w:r>
    </w:p>
    <w:p>
      <w:pPr>
        <w:snapToGrid w:val="0"/>
        <w:spacing w:line="520" w:lineRule="exact"/>
        <w:ind w:firstLine="420" w:firstLineChars="200"/>
        <w:outlineLvl w:val="1"/>
        <w:rPr>
          <w:rFonts w:ascii="宋体" w:hAnsi="宋体"/>
          <w:bCs/>
          <w:color w:val="auto"/>
          <w:szCs w:val="21"/>
          <w:highlight w:val="none"/>
        </w:rPr>
      </w:pPr>
      <w:r>
        <w:rPr>
          <w:rFonts w:hint="eastAsia" w:ascii="宋体" w:hAnsi="宋体"/>
          <w:bCs/>
          <w:color w:val="auto"/>
          <w:szCs w:val="21"/>
          <w:highlight w:val="none"/>
        </w:rPr>
        <w:t>4.6.2甲方的义务</w:t>
      </w:r>
    </w:p>
    <w:p>
      <w:pPr>
        <w:snapToGrid w:val="0"/>
        <w:spacing w:line="520" w:lineRule="exact"/>
        <w:ind w:firstLine="315" w:firstLineChars="150"/>
        <w:rPr>
          <w:rFonts w:ascii="宋体" w:hAnsi="宋体"/>
          <w:bCs/>
          <w:color w:val="auto"/>
          <w:szCs w:val="21"/>
          <w:highlight w:val="none"/>
        </w:rPr>
      </w:pPr>
      <w:r>
        <w:rPr>
          <w:rFonts w:hint="eastAsia" w:ascii="宋体" w:hAnsi="宋体"/>
          <w:bCs/>
          <w:color w:val="auto"/>
          <w:szCs w:val="21"/>
          <w:highlight w:val="none"/>
        </w:rPr>
        <w:t>尽力与乙方协调服务方面的关系，与有关部门一起对解决和处理工程项目服务过程中所发生的纠纷予以协调。</w:t>
      </w:r>
    </w:p>
    <w:p>
      <w:pPr>
        <w:snapToGrid w:val="0"/>
        <w:spacing w:line="520" w:lineRule="exact"/>
        <w:ind w:firstLine="315" w:firstLineChars="150"/>
        <w:rPr>
          <w:rFonts w:ascii="宋体" w:hAnsi="宋体"/>
          <w:bCs/>
          <w:color w:val="auto"/>
          <w:szCs w:val="21"/>
          <w:highlight w:val="none"/>
        </w:rPr>
      </w:pPr>
      <w:r>
        <w:rPr>
          <w:rFonts w:hint="eastAsia" w:ascii="宋体" w:hAnsi="宋体"/>
          <w:bCs/>
          <w:color w:val="auto"/>
          <w:szCs w:val="21"/>
          <w:highlight w:val="none"/>
        </w:rPr>
        <w:t>4.7 乙方的权利和义务</w:t>
      </w:r>
    </w:p>
    <w:p>
      <w:pPr>
        <w:snapToGrid w:val="0"/>
        <w:spacing w:line="520" w:lineRule="exact"/>
        <w:ind w:firstLine="315" w:firstLineChars="150"/>
        <w:outlineLvl w:val="1"/>
        <w:rPr>
          <w:rFonts w:ascii="宋体" w:hAnsi="宋体"/>
          <w:bCs/>
          <w:color w:val="auto"/>
          <w:szCs w:val="21"/>
          <w:highlight w:val="none"/>
        </w:rPr>
      </w:pPr>
      <w:r>
        <w:rPr>
          <w:rFonts w:hint="eastAsia" w:ascii="宋体" w:hAnsi="宋体"/>
          <w:bCs/>
          <w:color w:val="auto"/>
          <w:szCs w:val="21"/>
          <w:highlight w:val="none"/>
        </w:rPr>
        <w:t>4.7.1乙方的权利</w:t>
      </w:r>
    </w:p>
    <w:p>
      <w:pPr>
        <w:snapToGrid w:val="0"/>
        <w:spacing w:line="520" w:lineRule="exact"/>
        <w:ind w:firstLine="315" w:firstLineChars="150"/>
        <w:rPr>
          <w:rFonts w:ascii="宋体" w:hAnsi="宋体"/>
          <w:bCs/>
          <w:color w:val="auto"/>
          <w:szCs w:val="21"/>
          <w:highlight w:val="none"/>
        </w:rPr>
      </w:pPr>
      <w:r>
        <w:rPr>
          <w:rFonts w:hint="eastAsia" w:ascii="宋体" w:hAnsi="宋体"/>
          <w:bCs/>
          <w:color w:val="auto"/>
          <w:szCs w:val="21"/>
          <w:highlight w:val="none"/>
        </w:rPr>
        <w:t>4.7.1.1依约收取工程服务费用。</w:t>
      </w:r>
    </w:p>
    <w:p>
      <w:pPr>
        <w:snapToGrid w:val="0"/>
        <w:spacing w:line="520" w:lineRule="exact"/>
        <w:ind w:firstLine="315" w:firstLineChars="150"/>
        <w:rPr>
          <w:rFonts w:ascii="宋体" w:hAnsi="宋体"/>
          <w:bCs/>
          <w:color w:val="auto"/>
          <w:szCs w:val="21"/>
          <w:highlight w:val="none"/>
        </w:rPr>
      </w:pPr>
      <w:r>
        <w:rPr>
          <w:rFonts w:hint="eastAsia" w:ascii="宋体" w:hAnsi="宋体"/>
          <w:bCs/>
          <w:color w:val="auto"/>
          <w:szCs w:val="21"/>
          <w:highlight w:val="none"/>
        </w:rPr>
        <w:t>4.7.1.2乙方有权拒绝甲方提出的除工程、乙方承诺及合同约定以外的其它要求。</w:t>
      </w:r>
    </w:p>
    <w:p>
      <w:pPr>
        <w:snapToGrid w:val="0"/>
        <w:spacing w:line="520" w:lineRule="exact"/>
        <w:ind w:firstLine="315" w:firstLineChars="150"/>
        <w:rPr>
          <w:rFonts w:ascii="宋体" w:hAnsi="宋体"/>
          <w:bCs/>
          <w:color w:val="auto"/>
          <w:szCs w:val="21"/>
          <w:highlight w:val="none"/>
        </w:rPr>
      </w:pPr>
      <w:r>
        <w:rPr>
          <w:rFonts w:hint="eastAsia" w:ascii="宋体" w:hAnsi="宋体"/>
          <w:bCs/>
          <w:color w:val="auto"/>
          <w:szCs w:val="21"/>
          <w:highlight w:val="none"/>
        </w:rPr>
        <w:t>4.7.1.3乙方有权对甲方在工程服务过程中的不正当要求和违规行为进行举报，并要求依法主张其合法权利。</w:t>
      </w:r>
    </w:p>
    <w:p>
      <w:pPr>
        <w:snapToGrid w:val="0"/>
        <w:spacing w:line="520" w:lineRule="exact"/>
        <w:ind w:firstLine="315" w:firstLineChars="150"/>
        <w:rPr>
          <w:rFonts w:ascii="宋体" w:hAnsi="宋体"/>
          <w:bCs/>
          <w:color w:val="auto"/>
          <w:szCs w:val="21"/>
          <w:highlight w:val="none"/>
        </w:rPr>
      </w:pPr>
      <w:r>
        <w:rPr>
          <w:rFonts w:hint="eastAsia" w:ascii="宋体" w:hAnsi="宋体"/>
          <w:bCs/>
          <w:color w:val="auto"/>
          <w:szCs w:val="21"/>
          <w:highlight w:val="none"/>
        </w:rPr>
        <w:t>4.7.1.4对有充分理由和证据确信其工程款未落实或工程款不足的工程项目，有权拒绝承接，但应将有关情况详细书面记录以备查，作为乙方针对可能发生的相关违约指控的抗辩依据。</w:t>
      </w:r>
    </w:p>
    <w:p>
      <w:pPr>
        <w:snapToGrid w:val="0"/>
        <w:spacing w:line="520" w:lineRule="exact"/>
        <w:ind w:firstLine="315" w:firstLineChars="150"/>
        <w:outlineLvl w:val="1"/>
        <w:rPr>
          <w:rFonts w:ascii="宋体" w:hAnsi="宋体"/>
          <w:bCs/>
          <w:color w:val="auto"/>
          <w:szCs w:val="21"/>
          <w:highlight w:val="none"/>
        </w:rPr>
      </w:pPr>
      <w:r>
        <w:rPr>
          <w:rFonts w:hint="eastAsia" w:ascii="宋体" w:hAnsi="宋体"/>
          <w:bCs/>
          <w:color w:val="auto"/>
          <w:szCs w:val="21"/>
          <w:highlight w:val="none"/>
        </w:rPr>
        <w:t>4.7.2乙方的义务</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4.7.2.1严格执行国家的法律、法规，守法经营，按章办事，自觉维护甲方的利益。</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4.7.2.2接受甲方的检查、监督，严格履行服务承诺，做到诚实、守信。</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4.7.2.3加强内部管理，提高工程项目服务质量，按照合同的有关规定开展工程业务，保证不发生质量问题。</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4.7.2.4向甲方及时报送委派项目负责人及其项目组织机构主要成员名单（必须是此次招标中承诺的人员）、工程组织设计，完成工程服务合同专用条件中约定的工程范围内的业务。</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4.7.2.5项目组织机构在履行本合同义务的期间，应当运用合理的技能，认真勤奋、诚实守信地开展工作。帮助甲方实现合同预定的目标，公正地维护各方的合法权益。</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4.7.2.6项目组织机构使用甲方提供的设施和物品属于甲方的财产，在服务工作完成或者中止时，应当将其设施和剩余的物品库存清单提交给甲方，并且按照工程项目服务合同约定的时间和方式移交此类设施和物品。</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4.7.2.7在工程项目服务合同期内或者合同终止后，未征得有关方同意，不得泄露与本工程、本合同业务活动有关的保密资料。</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4.7.2.8遵循诚实信用原则，认真搞好工程项目服务，杜绝不正当竞争行为。</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4.7.2.9建立工程项目服务档案制度。乙方必须将有关政府采购的材料整理归档，妥善保管，以备查用。</w:t>
      </w:r>
    </w:p>
    <w:p>
      <w:pPr>
        <w:snapToGrid w:val="0"/>
        <w:spacing w:line="520" w:lineRule="exact"/>
        <w:ind w:firstLine="420" w:firstLineChars="200"/>
        <w:outlineLvl w:val="0"/>
        <w:rPr>
          <w:rFonts w:ascii="宋体" w:hAnsi="宋体"/>
          <w:bCs/>
          <w:color w:val="auto"/>
          <w:szCs w:val="21"/>
          <w:highlight w:val="none"/>
        </w:rPr>
      </w:pPr>
      <w:r>
        <w:rPr>
          <w:rFonts w:hint="eastAsia" w:ascii="宋体" w:hAnsi="宋体"/>
          <w:bCs/>
          <w:color w:val="auto"/>
          <w:szCs w:val="21"/>
          <w:highlight w:val="none"/>
        </w:rPr>
        <w:t>5.违约责任和监督管理</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5.1乙方应按与甲方签订的工程服务合同约定的内容完成施工任务。逾期未完成的，乙方应按与甲方签订的工程服务合同规定，给予甲方经济赔偿。</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5.2乙方在责任期内，应当履行施工合同中约定的义务。如果由于乙方对施工、材料和设备等方面的直接指定或者违法行为、或者侵犯了第三方的权益造成甲方经济损失，应当向甲方进行赔偿。累计赔偿总额不应当超过合同价款（除去税金）。</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5.3乙方对甲方或者第三方违反合同规定的质量要求和完工（交图、交货）时限，不承担责任。</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因不可抗力导致合同不能全部或者部分履行，乙方不承担责任。</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5.4乙方向甲方提出赔偿要求不能成立时，乙方应当补偿由于该索赔所导致甲方的直接费用支出。</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5.5乙方接受甲方工程服务委托后，不得转包、分包。</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5.6如果乙方未能履行按合同规定的任何义务，甲方有权从履约保证金中扣除相应部分作为补偿。</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5.7履约保证金的扣除不影响乙方履行本合同规定的各项义务。</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5.8工程服务单位出现下列情况之一者，一经核实，甲方有权立即解除合同，由此给发包人造成损失的，应当予以赔偿，同时依法承担相应法律责任：</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⑴经核实挂靠、借用资质参加本次招标并入围的企业，经查证核实的；</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⑵未按规定与甲方签订合同，或者将所承担的工程项目部分或全部转包给他人的；</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⑶合同有效期内，乙方擅自变更、转让、租借项目资格的；</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⑷合同有效期内，无正当理由拒绝承接甲方工程服务任务，累计三次以上的；</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 xml:space="preserve">⑸招标时弄虚作假，未如实填写建设工程质量、安全事故记录及被投诉或起诉情况，被第三人举报，经招标单位核实，情况属实的； </w:t>
      </w:r>
    </w:p>
    <w:p>
      <w:pPr>
        <w:snapToGrid w:val="0"/>
        <w:spacing w:line="520" w:lineRule="exact"/>
        <w:ind w:firstLine="420" w:firstLineChars="200"/>
        <w:rPr>
          <w:rFonts w:ascii="宋体" w:hAnsi="宋体"/>
          <w:bCs/>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6 \* GB2</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⑹</w:t>
      </w:r>
      <w:r>
        <w:rPr>
          <w:rFonts w:ascii="宋体" w:hAnsi="宋体"/>
          <w:bCs/>
          <w:color w:val="auto"/>
          <w:szCs w:val="21"/>
          <w:highlight w:val="none"/>
        </w:rPr>
        <w:fldChar w:fldCharType="end"/>
      </w:r>
      <w:r>
        <w:rPr>
          <w:rFonts w:hint="eastAsia" w:ascii="宋体" w:hAnsi="宋体"/>
          <w:bCs/>
          <w:color w:val="auto"/>
          <w:szCs w:val="21"/>
          <w:highlight w:val="none"/>
        </w:rPr>
        <w:t>未按合同约定履行义务或履行合同过程中存在质量、安全等事故或工期严重延误，影响甲方正常使用的；</w:t>
      </w:r>
    </w:p>
    <w:p>
      <w:pPr>
        <w:snapToGrid w:val="0"/>
        <w:spacing w:line="520" w:lineRule="exact"/>
        <w:ind w:firstLine="420" w:firstLineChars="200"/>
        <w:rPr>
          <w:rFonts w:ascii="宋体" w:hAnsi="宋体"/>
          <w:bCs/>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7 \* GB2</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⑺</w:t>
      </w:r>
      <w:r>
        <w:rPr>
          <w:rFonts w:ascii="宋体" w:hAnsi="宋体"/>
          <w:bCs/>
          <w:color w:val="auto"/>
          <w:szCs w:val="21"/>
          <w:highlight w:val="none"/>
        </w:rPr>
        <w:fldChar w:fldCharType="end"/>
      </w:r>
      <w:r>
        <w:rPr>
          <w:rFonts w:hint="eastAsia" w:ascii="宋体" w:hAnsi="宋体"/>
          <w:bCs/>
          <w:color w:val="auto"/>
          <w:szCs w:val="21"/>
          <w:highlight w:val="none"/>
        </w:rPr>
        <w:t>通过行贿受贿等非法手段，收买甲方获取工程服务项目，经有关部门核查属实的；</w:t>
      </w:r>
    </w:p>
    <w:p>
      <w:pPr>
        <w:snapToGrid w:val="0"/>
        <w:spacing w:line="520" w:lineRule="exact"/>
        <w:ind w:firstLine="420" w:firstLineChars="200"/>
        <w:rPr>
          <w:rFonts w:ascii="宋体" w:hAnsi="宋体"/>
          <w:bCs/>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8 \* GB2</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⑻</w:t>
      </w:r>
      <w:r>
        <w:rPr>
          <w:rFonts w:ascii="宋体" w:hAnsi="宋体"/>
          <w:bCs/>
          <w:color w:val="auto"/>
          <w:szCs w:val="21"/>
          <w:highlight w:val="none"/>
        </w:rPr>
        <w:fldChar w:fldCharType="end"/>
      </w:r>
      <w:r>
        <w:rPr>
          <w:rFonts w:hint="eastAsia" w:ascii="宋体" w:hAnsi="宋体"/>
          <w:bCs/>
          <w:color w:val="auto"/>
          <w:szCs w:val="21"/>
          <w:highlight w:val="none"/>
        </w:rPr>
        <w:t>未按有关规定支付农民工工资，造成农民工上访等事件的；</w:t>
      </w:r>
    </w:p>
    <w:p>
      <w:pPr>
        <w:snapToGrid w:val="0"/>
        <w:spacing w:line="520" w:lineRule="exact"/>
        <w:ind w:firstLine="420" w:firstLineChars="200"/>
        <w:rPr>
          <w:rFonts w:ascii="宋体" w:hAnsi="宋体"/>
          <w:bCs/>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9 \* GB2</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⑼</w:t>
      </w:r>
      <w:r>
        <w:rPr>
          <w:rFonts w:ascii="宋体" w:hAnsi="宋体"/>
          <w:bCs/>
          <w:color w:val="auto"/>
          <w:szCs w:val="21"/>
          <w:highlight w:val="none"/>
        </w:rPr>
        <w:fldChar w:fldCharType="end"/>
      </w:r>
      <w:r>
        <w:rPr>
          <w:rFonts w:hint="eastAsia" w:ascii="宋体" w:hAnsi="宋体"/>
          <w:bCs/>
          <w:color w:val="auto"/>
          <w:szCs w:val="21"/>
          <w:highlight w:val="none"/>
        </w:rPr>
        <w:t>合同有效期内，被行业主管部门处罚或取消施工资质的。</w:t>
      </w:r>
    </w:p>
    <w:p>
      <w:pPr>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被取消资格或因其自身过错导致甲方解除合同的工程服务单位，其履约保证金将不予退还，造成甲方其他损失的，还应当承担赔偿责任。</w:t>
      </w:r>
    </w:p>
    <w:p>
      <w:pPr>
        <w:snapToGrid w:val="0"/>
        <w:spacing w:line="520" w:lineRule="exact"/>
        <w:ind w:firstLine="420" w:firstLineChars="200"/>
        <w:outlineLvl w:val="0"/>
        <w:rPr>
          <w:rFonts w:ascii="宋体" w:hAnsi="宋体"/>
          <w:bCs/>
          <w:color w:val="auto"/>
          <w:szCs w:val="21"/>
          <w:highlight w:val="none"/>
        </w:rPr>
      </w:pPr>
      <w:r>
        <w:rPr>
          <w:rFonts w:hint="eastAsia" w:ascii="宋体" w:hAnsi="宋体"/>
          <w:bCs/>
          <w:color w:val="auto"/>
          <w:szCs w:val="21"/>
          <w:highlight w:val="none"/>
        </w:rPr>
        <w:t>6.不可抗力</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6.1合同任一方由于受诸如战争、骚乱、瘟疫、严重火灾、洪水、台风、地震等不可抗力事件的影响而不能执行合同时，履行合同的期限应予以延长，延长的期限应相当于事故所影响的时间。不可抗力事件是指合同当事人无法预见、无法预防、无法避免和无法控制，以致双方不能履行或不能如期履行合同的意外事件。</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6.2遭受不可抗力一方应在不可抗力事件发生后尽快以书面形式通知对方，并于事件发生后14天内将公证机关出具的证明文件、详细情况报告以及不可抗力对履行合同影响程度的说明用特快专递或挂号信寄给对方。</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6.3发生不可抗力时，任何一方均不对因不可抗力无法履行或延迟履行本合同义务而使另一方蒙受损失承担责任，但遭受不可抗力一方有责任尽可能及时采取适当或必要措施减少或消除不可抗力的影响。遭受不可抗力事件影响的一方对因未尽本项义务而造成的损失承担赔偿责任。</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6.4一旦不可抗力事件的影响持续120天以上，甲乙双方通过友好协商，在合理的时间内达成进一步履行合同或终止合同的协议。</w:t>
      </w:r>
    </w:p>
    <w:p>
      <w:pPr>
        <w:snapToGrid w:val="0"/>
        <w:spacing w:line="520" w:lineRule="exact"/>
        <w:ind w:firstLine="420" w:firstLineChars="200"/>
        <w:outlineLvl w:val="0"/>
        <w:rPr>
          <w:rFonts w:ascii="宋体" w:hAnsi="宋体"/>
          <w:bCs/>
          <w:color w:val="auto"/>
          <w:szCs w:val="21"/>
          <w:highlight w:val="none"/>
        </w:rPr>
      </w:pPr>
      <w:r>
        <w:rPr>
          <w:rFonts w:hint="eastAsia" w:ascii="宋体" w:hAnsi="宋体"/>
          <w:bCs/>
          <w:color w:val="auto"/>
          <w:szCs w:val="21"/>
          <w:highlight w:val="none"/>
        </w:rPr>
        <w:t>7.履约保证金</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7.1若根据合同约定或因其它任何原因使该项履约保证金被甲方扣除或经协商抵扣或用于赔偿甲方及/或甲方及/或第三方损失等情形减少而不足前一条款所指规定数目的，乙方应当在该等情形出现之日起三日内将其补足。</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7.</w:t>
      </w:r>
      <w:r>
        <w:rPr>
          <w:rFonts w:hint="eastAsia" w:ascii="宋体" w:hAnsi="宋体"/>
          <w:bCs/>
          <w:color w:val="auto"/>
          <w:szCs w:val="21"/>
          <w:highlight w:val="none"/>
          <w:lang w:val="en-US" w:eastAsia="zh-CN"/>
        </w:rPr>
        <w:t>2</w:t>
      </w:r>
      <w:r>
        <w:rPr>
          <w:rFonts w:hint="eastAsia" w:ascii="宋体" w:hAnsi="宋体"/>
          <w:bCs/>
          <w:color w:val="auto"/>
          <w:szCs w:val="21"/>
          <w:highlight w:val="none"/>
        </w:rPr>
        <w:t>若经双方一致确认并不存在依约应当扣除的事项，施工单位在本合同期限内所有零星维修项目审计结算后，施工单位提出请款申请后1个月内办理付款手续后无息返还。如遇财政关门等不可控制情况,履约保证金将在次年预算下达后无息拨付。</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8．保密条款</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8.1任何一方对其获知的本合同涉及的所有有形、无形的信息及资料（包括但不限于甲乙双方的往来书面文字文件、电子邮件及信息、软盘资料等）中另一方的商业秘密或国家秘密负有保密义务。</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8.2除非法律、法规另有规定或得到本合同之另一方的书面许可，任何一方不得向第三人泄露前款规定的商业秘密或国家秘密。保密期限自任何一方获知该商业秘密或国家秘密之日起至本条规定的秘密成为公众信息之日止。</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9.合同的解释</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9.1任何一方对本合同及其附件的解释均应遵循诚实信的原则，依照本合同签订时有效的中华人民共和国的法律、法规以及人们通常的理解执行。</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9.2本合同标题仅供查阅方便，并非对本合同的诠释或解释，本合同中以日表述的时间期限均指公历日。</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9.3对本合同的任何解释均应以书面做出。</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10.争议的解决</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 xml:space="preserve">10.1在执行本合同中发生的与本合同有关的争端，若属于甲、乙双方之间的争议，甲、乙双方应通过友好协商解决，协商不成的，应将争议提交甲方所在地人民法院裁决。 </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11.合同的终止</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11.1出现下列情况时本合同自行终止：</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11.1.1本合同正常履行完毕；</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11.1.2甲乙双方以书面协议终止本合同的履行；</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11.1.3不可抗力导致本合同无法履行或不必履行时，经双方书面一致同意；</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11.1.4一方不履行合同条款，造成另一方无法执行合同协议，协商又不能解决，守约方可以通知对方合同终止履行，同时终止履行并不影响相关的赔偿及违约金责任。</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11.2除本合同另有约定外，发生任何以下一种情况，甲方有权解除本合同，对于由此给乙方造成的损失甲方不承担赔偿责任，对于由此给甲方造成的损失，乙方应负赔偿责任：</w:t>
      </w:r>
    </w:p>
    <w:p>
      <w:pPr>
        <w:snapToGrid w:val="0"/>
        <w:spacing w:line="520" w:lineRule="exact"/>
        <w:ind w:firstLine="420" w:firstLineChars="200"/>
        <w:outlineLvl w:val="1"/>
        <w:rPr>
          <w:rFonts w:ascii="宋体" w:hAnsi="宋体"/>
          <w:bCs/>
          <w:color w:val="auto"/>
          <w:szCs w:val="21"/>
          <w:highlight w:val="none"/>
        </w:rPr>
      </w:pPr>
      <w:r>
        <w:rPr>
          <w:rFonts w:hint="eastAsia" w:ascii="宋体" w:hAnsi="宋体"/>
          <w:bCs/>
          <w:color w:val="auto"/>
          <w:szCs w:val="21"/>
          <w:highlight w:val="none"/>
        </w:rPr>
        <w:t>11.2.1乙方向甲方提供任何形式的回扣。</w:t>
      </w:r>
    </w:p>
    <w:p>
      <w:pPr>
        <w:snapToGrid w:val="0"/>
        <w:spacing w:line="520" w:lineRule="exact"/>
        <w:ind w:firstLine="420" w:firstLineChars="200"/>
        <w:outlineLvl w:val="1"/>
        <w:rPr>
          <w:rFonts w:ascii="宋体" w:hAnsi="宋体"/>
          <w:bCs/>
          <w:color w:val="auto"/>
          <w:szCs w:val="21"/>
          <w:highlight w:val="none"/>
        </w:rPr>
      </w:pPr>
      <w:r>
        <w:rPr>
          <w:rFonts w:hint="eastAsia" w:ascii="宋体" w:hAnsi="宋体"/>
          <w:bCs/>
          <w:color w:val="auto"/>
          <w:szCs w:val="21"/>
          <w:highlight w:val="none"/>
        </w:rPr>
        <w:t>11.2.2一方存在一种其它严重违约的情形。</w:t>
      </w:r>
    </w:p>
    <w:p>
      <w:pPr>
        <w:snapToGrid w:val="0"/>
        <w:spacing w:line="520" w:lineRule="exact"/>
        <w:ind w:firstLine="420" w:firstLineChars="200"/>
        <w:outlineLvl w:val="1"/>
        <w:rPr>
          <w:rFonts w:ascii="宋体" w:hAnsi="宋体"/>
          <w:bCs/>
          <w:color w:val="auto"/>
          <w:szCs w:val="21"/>
          <w:highlight w:val="none"/>
        </w:rPr>
      </w:pPr>
      <w:r>
        <w:rPr>
          <w:rFonts w:hint="eastAsia" w:ascii="宋体" w:hAnsi="宋体"/>
          <w:bCs/>
          <w:color w:val="auto"/>
          <w:szCs w:val="21"/>
          <w:highlight w:val="none"/>
        </w:rPr>
        <w:t>11.2.3合同约定或符合法律规定的其它情形。</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12.法律适用</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12.1本合同及附件的订立、效力、解释、履行、争议的解决等适用本合同签订时有效的中华人民共和国法律、法规的有关规定。</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13.权利的保留</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13.1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13.2如果本合同部分条款依据现行有关法律、法规被确认为无效或无法履行，且该部分无效或无法履行的条款不影响本合同其他条款效力的，本合同其他条款继续有效；同时，合同各方应根据现行有关法律、法规对该部分无效或无法履行的条款进行调整，使其依法成为有效条款，并尽量符合本合同所体现的原则和精神。</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13.3在本合同履行期间，因中国法律、法规、政策的变化致使本合同的部分条款相冲突、无效或失去可强制执行效力时，甲乙双方应尽快修改本合同中相冲突或无效或失去可强制执行效力的条款。</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14.主导语言与计量单位</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14.1合同书写应用简体中文。甲乙双方所有的来往信函，以及合同有关的文件均应以简体中文书写。</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14.2除合同另有规定外，计量单位均使用中华人民共和国法定计量单位。</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15.通知</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15.1甲乙双方发出与本合同有关的通知或回复，应以专人送递、传真或特快专递的方式发出。如果以专人送递或特快专递发送，以送达至对方的住所或通讯联络地视为送达；如果以传真方式发送，发件人在收到传真报告后视为送达；如果采用电话或电子邮件方式发送，则应在发送后由对方以书面方式予以确认视为送达。</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15.2甲乙双方发出的与本合同有关的通知或回复均应发至本合同的通讯地址，付款或收款应使用以下账号，一方变更通讯地址或账号，应自变更之日起3个工作日内将变更后的通讯地址和账号以书面形式通知对方。变更方不履行通知义务，应对由此造成的一切后果承担法律责任。</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15.3上述发出通知、回复的费用由发出方承担。</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16.合同修改</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16.1对于本合同的未尽事宜，需进行修改、补充或完善的，甲乙双方必须就所修改的内容签订书面的合同修改书，作为本合同的补充协议。补充协议的签署及生效方式与本合同的签署及生效方式相同。</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16.2补充协议与本合同具有同等法律效力。</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17.合同生效</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17.</w:t>
      </w:r>
      <w:r>
        <w:rPr>
          <w:rFonts w:ascii="宋体" w:hAnsi="宋体"/>
          <w:bCs/>
          <w:color w:val="auto"/>
          <w:szCs w:val="21"/>
          <w:highlight w:val="none"/>
        </w:rPr>
        <w:t>1</w:t>
      </w:r>
      <w:r>
        <w:rPr>
          <w:rFonts w:hint="eastAsia" w:ascii="宋体" w:hAnsi="宋体"/>
          <w:bCs/>
          <w:color w:val="auto"/>
          <w:szCs w:val="21"/>
          <w:highlight w:val="none"/>
        </w:rPr>
        <w:t>本合同自签订之日起生效。</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17.</w:t>
      </w:r>
      <w:r>
        <w:rPr>
          <w:rFonts w:ascii="宋体" w:hAnsi="宋体"/>
          <w:bCs/>
          <w:color w:val="auto"/>
          <w:szCs w:val="21"/>
          <w:highlight w:val="none"/>
        </w:rPr>
        <w:t>2</w:t>
      </w:r>
      <w:r>
        <w:rPr>
          <w:rFonts w:hint="eastAsia" w:ascii="宋体" w:hAnsi="宋体"/>
          <w:bCs/>
          <w:color w:val="auto"/>
          <w:szCs w:val="21"/>
          <w:highlight w:val="none"/>
        </w:rPr>
        <w:t>本合同一式陆份，甲乙双方各执贰份，壹份交甲方存档，壹份报送政府采购监督管理部门备案。</w:t>
      </w:r>
    </w:p>
    <w:p>
      <w:pPr>
        <w:snapToGrid w:val="0"/>
        <w:spacing w:line="520" w:lineRule="exact"/>
        <w:ind w:firstLine="420" w:firstLineChars="200"/>
        <w:rPr>
          <w:rFonts w:ascii="宋体" w:hAnsi="宋体"/>
          <w:bCs/>
          <w:color w:val="auto"/>
          <w:szCs w:val="21"/>
          <w:highlight w:val="none"/>
        </w:rPr>
      </w:pPr>
      <w:r>
        <w:rPr>
          <w:rFonts w:hint="eastAsia" w:ascii="宋体" w:hAnsi="宋体"/>
          <w:bCs/>
          <w:color w:val="auto"/>
          <w:szCs w:val="21"/>
          <w:highlight w:val="none"/>
        </w:rPr>
        <w:t>17.3本合同应按照中华人民共和国的现行法律进行解释。</w:t>
      </w:r>
    </w:p>
    <w:p>
      <w:pPr>
        <w:snapToGrid w:val="0"/>
        <w:spacing w:line="520" w:lineRule="exact"/>
        <w:ind w:firstLine="420" w:firstLineChars="200"/>
        <w:rPr>
          <w:rFonts w:ascii="宋体" w:hAnsi="宋体"/>
          <w:bCs/>
          <w:color w:val="auto"/>
          <w:szCs w:val="21"/>
          <w:highlight w:val="none"/>
        </w:rPr>
      </w:pPr>
    </w:p>
    <w:tbl>
      <w:tblPr>
        <w:tblStyle w:val="56"/>
        <w:tblW w:w="9286" w:type="dxa"/>
        <w:tblInd w:w="-108" w:type="dxa"/>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c>
          <w:tcPr>
            <w:tcW w:w="4643" w:type="dxa"/>
            <w:tcBorders>
              <w:top w:val="nil"/>
              <w:left w:val="nil"/>
              <w:bottom w:val="nil"/>
              <w:right w:val="nil"/>
            </w:tcBorders>
          </w:tcPr>
          <w:p>
            <w:pPr>
              <w:widowControl/>
              <w:adjustRightInd w:val="0"/>
              <w:spacing w:line="360" w:lineRule="auto"/>
              <w:jc w:val="left"/>
              <w:rPr>
                <w:rFonts w:ascii="宋体" w:hAnsi="宋体"/>
                <w:color w:val="auto"/>
                <w:szCs w:val="21"/>
                <w:highlight w:val="none"/>
              </w:rPr>
            </w:pPr>
            <w:r>
              <w:rPr>
                <w:rFonts w:hint="eastAsia" w:ascii="宋体" w:hAnsi="宋体"/>
                <w:color w:val="auto"/>
                <w:szCs w:val="21"/>
                <w:highlight w:val="none"/>
              </w:rPr>
              <w:t>甲方（采购人）：（盖章）</w:t>
            </w:r>
          </w:p>
        </w:tc>
        <w:tc>
          <w:tcPr>
            <w:tcW w:w="4643" w:type="dxa"/>
            <w:tcBorders>
              <w:top w:val="nil"/>
              <w:left w:val="nil"/>
              <w:bottom w:val="nil"/>
              <w:right w:val="nil"/>
            </w:tcBorders>
          </w:tcPr>
          <w:p>
            <w:pPr>
              <w:widowControl/>
              <w:adjustRightInd w:val="0"/>
              <w:spacing w:line="360" w:lineRule="auto"/>
              <w:jc w:val="left"/>
              <w:rPr>
                <w:rFonts w:ascii="宋体" w:hAnsi="宋体"/>
                <w:color w:val="auto"/>
                <w:szCs w:val="21"/>
                <w:highlight w:val="none"/>
              </w:rPr>
            </w:pPr>
            <w:r>
              <w:rPr>
                <w:rFonts w:hint="eastAsia" w:ascii="宋体" w:hAnsi="宋体"/>
                <w:color w:val="auto"/>
                <w:szCs w:val="21"/>
                <w:highlight w:val="none"/>
              </w:rPr>
              <w:t>乙方（供应商）：（盖章）</w:t>
            </w:r>
          </w:p>
        </w:tc>
      </w:tr>
      <w:tr>
        <w:tblPrEx>
          <w:tblCellMar>
            <w:top w:w="0" w:type="dxa"/>
            <w:left w:w="0" w:type="dxa"/>
            <w:bottom w:w="0" w:type="dxa"/>
            <w:right w:w="0" w:type="dxa"/>
          </w:tblCellMar>
        </w:tblPrEx>
        <w:tc>
          <w:tcPr>
            <w:tcW w:w="4643" w:type="dxa"/>
            <w:tcBorders>
              <w:top w:val="nil"/>
              <w:left w:val="nil"/>
              <w:bottom w:val="nil"/>
              <w:right w:val="nil"/>
            </w:tcBorders>
          </w:tcPr>
          <w:p>
            <w:pPr>
              <w:widowControl/>
              <w:adjustRightInd w:val="0"/>
              <w:spacing w:line="360" w:lineRule="auto"/>
              <w:jc w:val="left"/>
              <w:rPr>
                <w:rFonts w:ascii="宋体" w:hAnsi="宋体"/>
                <w:color w:val="auto"/>
                <w:szCs w:val="21"/>
                <w:highlight w:val="none"/>
              </w:rPr>
            </w:pPr>
            <w:r>
              <w:rPr>
                <w:rFonts w:hint="eastAsia" w:ascii="宋体" w:hAnsi="宋体"/>
                <w:color w:val="auto"/>
                <w:szCs w:val="21"/>
                <w:highlight w:val="none"/>
              </w:rPr>
              <w:t>代表人：</w:t>
            </w:r>
          </w:p>
        </w:tc>
        <w:tc>
          <w:tcPr>
            <w:tcW w:w="4643" w:type="dxa"/>
            <w:tcBorders>
              <w:top w:val="nil"/>
              <w:left w:val="nil"/>
              <w:bottom w:val="nil"/>
              <w:right w:val="nil"/>
            </w:tcBorders>
          </w:tcPr>
          <w:p>
            <w:pPr>
              <w:widowControl/>
              <w:adjustRightInd w:val="0"/>
              <w:spacing w:line="360" w:lineRule="auto"/>
              <w:jc w:val="left"/>
              <w:rPr>
                <w:rFonts w:ascii="宋体" w:hAnsi="宋体"/>
                <w:color w:val="auto"/>
                <w:szCs w:val="21"/>
                <w:highlight w:val="none"/>
              </w:rPr>
            </w:pPr>
            <w:r>
              <w:rPr>
                <w:rFonts w:hint="eastAsia" w:ascii="宋体" w:hAnsi="宋体"/>
                <w:color w:val="auto"/>
                <w:szCs w:val="21"/>
                <w:highlight w:val="none"/>
              </w:rPr>
              <w:t>代表人：</w:t>
            </w:r>
          </w:p>
        </w:tc>
      </w:tr>
      <w:tr>
        <w:tblPrEx>
          <w:tblCellMar>
            <w:top w:w="0" w:type="dxa"/>
            <w:left w:w="0" w:type="dxa"/>
            <w:bottom w:w="0" w:type="dxa"/>
            <w:right w:w="0" w:type="dxa"/>
          </w:tblCellMar>
        </w:tblPrEx>
        <w:tc>
          <w:tcPr>
            <w:tcW w:w="4643" w:type="dxa"/>
            <w:tcBorders>
              <w:top w:val="nil"/>
              <w:left w:val="nil"/>
              <w:bottom w:val="nil"/>
              <w:right w:val="nil"/>
            </w:tcBorders>
          </w:tcPr>
          <w:p>
            <w:pPr>
              <w:widowControl/>
              <w:adjustRightInd w:val="0"/>
              <w:spacing w:line="360" w:lineRule="auto"/>
              <w:jc w:val="left"/>
              <w:rPr>
                <w:rFonts w:ascii="宋体" w:hAnsi="宋体"/>
                <w:color w:val="auto"/>
                <w:szCs w:val="21"/>
                <w:highlight w:val="none"/>
              </w:rPr>
            </w:pPr>
            <w:r>
              <w:rPr>
                <w:rFonts w:hint="eastAsia" w:ascii="宋体" w:hAnsi="宋体"/>
                <w:color w:val="auto"/>
                <w:szCs w:val="21"/>
                <w:highlight w:val="none"/>
              </w:rPr>
              <w:t>电    话：</w:t>
            </w:r>
          </w:p>
        </w:tc>
        <w:tc>
          <w:tcPr>
            <w:tcW w:w="4643" w:type="dxa"/>
            <w:tcBorders>
              <w:top w:val="nil"/>
              <w:left w:val="nil"/>
              <w:bottom w:val="nil"/>
              <w:right w:val="nil"/>
            </w:tcBorders>
          </w:tcPr>
          <w:p>
            <w:pPr>
              <w:widowControl/>
              <w:adjustRightInd w:val="0"/>
              <w:spacing w:line="360" w:lineRule="auto"/>
              <w:jc w:val="left"/>
              <w:rPr>
                <w:rFonts w:ascii="宋体" w:hAnsi="宋体"/>
                <w:color w:val="auto"/>
                <w:szCs w:val="21"/>
                <w:highlight w:val="none"/>
              </w:rPr>
            </w:pPr>
            <w:r>
              <w:rPr>
                <w:rFonts w:hint="eastAsia" w:ascii="宋体" w:hAnsi="宋体"/>
                <w:color w:val="auto"/>
                <w:szCs w:val="21"/>
                <w:highlight w:val="none"/>
              </w:rPr>
              <w:t>电    话：</w:t>
            </w:r>
          </w:p>
        </w:tc>
      </w:tr>
      <w:tr>
        <w:tblPrEx>
          <w:tblCellMar>
            <w:top w:w="0" w:type="dxa"/>
            <w:left w:w="0" w:type="dxa"/>
            <w:bottom w:w="0" w:type="dxa"/>
            <w:right w:w="0" w:type="dxa"/>
          </w:tblCellMar>
        </w:tblPrEx>
        <w:tc>
          <w:tcPr>
            <w:tcW w:w="4643" w:type="dxa"/>
            <w:tcBorders>
              <w:top w:val="nil"/>
              <w:left w:val="nil"/>
              <w:bottom w:val="nil"/>
              <w:right w:val="nil"/>
            </w:tcBorders>
          </w:tcPr>
          <w:p>
            <w:pPr>
              <w:widowControl/>
              <w:adjustRightInd w:val="0"/>
              <w:spacing w:line="360" w:lineRule="auto"/>
              <w:jc w:val="left"/>
              <w:rPr>
                <w:rFonts w:ascii="宋体" w:hAnsi="宋体"/>
                <w:color w:val="auto"/>
                <w:szCs w:val="21"/>
                <w:highlight w:val="none"/>
              </w:rPr>
            </w:pPr>
            <w:r>
              <w:rPr>
                <w:rFonts w:hint="eastAsia" w:ascii="宋体" w:hAnsi="宋体"/>
                <w:color w:val="auto"/>
                <w:szCs w:val="21"/>
                <w:highlight w:val="none"/>
              </w:rPr>
              <w:t>开户银行：</w:t>
            </w:r>
          </w:p>
        </w:tc>
        <w:tc>
          <w:tcPr>
            <w:tcW w:w="4643" w:type="dxa"/>
            <w:tcBorders>
              <w:top w:val="nil"/>
              <w:left w:val="nil"/>
              <w:bottom w:val="nil"/>
              <w:right w:val="nil"/>
            </w:tcBorders>
          </w:tcPr>
          <w:p>
            <w:pPr>
              <w:widowControl/>
              <w:adjustRightInd w:val="0"/>
              <w:spacing w:line="360" w:lineRule="auto"/>
              <w:jc w:val="left"/>
              <w:rPr>
                <w:rFonts w:ascii="宋体" w:hAnsi="宋体"/>
                <w:color w:val="auto"/>
                <w:szCs w:val="21"/>
                <w:highlight w:val="none"/>
              </w:rPr>
            </w:pPr>
            <w:r>
              <w:rPr>
                <w:rFonts w:hint="eastAsia" w:ascii="宋体" w:hAnsi="宋体"/>
                <w:color w:val="auto"/>
                <w:szCs w:val="21"/>
                <w:highlight w:val="none"/>
              </w:rPr>
              <w:t>开户银行：</w:t>
            </w:r>
          </w:p>
        </w:tc>
      </w:tr>
      <w:tr>
        <w:tblPrEx>
          <w:tblCellMar>
            <w:top w:w="0" w:type="dxa"/>
            <w:left w:w="0" w:type="dxa"/>
            <w:bottom w:w="0" w:type="dxa"/>
            <w:right w:w="0" w:type="dxa"/>
          </w:tblCellMar>
        </w:tblPrEx>
        <w:tc>
          <w:tcPr>
            <w:tcW w:w="4643" w:type="dxa"/>
            <w:tcBorders>
              <w:top w:val="nil"/>
              <w:left w:val="nil"/>
              <w:bottom w:val="nil"/>
              <w:right w:val="nil"/>
            </w:tcBorders>
          </w:tcPr>
          <w:p>
            <w:pPr>
              <w:widowControl/>
              <w:adjustRightInd w:val="0"/>
              <w:spacing w:line="360" w:lineRule="auto"/>
              <w:jc w:val="left"/>
              <w:rPr>
                <w:rFonts w:ascii="宋体" w:hAnsi="宋体"/>
                <w:color w:val="auto"/>
                <w:szCs w:val="21"/>
                <w:highlight w:val="none"/>
              </w:rPr>
            </w:pPr>
            <w:r>
              <w:rPr>
                <w:rFonts w:hint="eastAsia" w:ascii="宋体" w:hAnsi="宋体"/>
                <w:color w:val="auto"/>
                <w:szCs w:val="21"/>
                <w:highlight w:val="none"/>
              </w:rPr>
              <w:t>帐    号：</w:t>
            </w:r>
          </w:p>
        </w:tc>
        <w:tc>
          <w:tcPr>
            <w:tcW w:w="4643" w:type="dxa"/>
            <w:tcBorders>
              <w:top w:val="nil"/>
              <w:left w:val="nil"/>
              <w:bottom w:val="nil"/>
              <w:right w:val="nil"/>
            </w:tcBorders>
          </w:tcPr>
          <w:p>
            <w:pPr>
              <w:widowControl/>
              <w:adjustRightInd w:val="0"/>
              <w:spacing w:line="360" w:lineRule="auto"/>
              <w:jc w:val="left"/>
              <w:rPr>
                <w:rFonts w:ascii="宋体" w:hAnsi="宋体"/>
                <w:color w:val="auto"/>
                <w:szCs w:val="21"/>
                <w:highlight w:val="none"/>
              </w:rPr>
            </w:pPr>
            <w:r>
              <w:rPr>
                <w:rFonts w:hint="eastAsia" w:ascii="宋体" w:hAnsi="宋体"/>
                <w:color w:val="auto"/>
                <w:szCs w:val="21"/>
                <w:highlight w:val="none"/>
              </w:rPr>
              <w:t>帐    号：</w:t>
            </w:r>
          </w:p>
        </w:tc>
      </w:tr>
      <w:tr>
        <w:tblPrEx>
          <w:tblCellMar>
            <w:top w:w="0" w:type="dxa"/>
            <w:left w:w="0" w:type="dxa"/>
            <w:bottom w:w="0" w:type="dxa"/>
            <w:right w:w="0" w:type="dxa"/>
          </w:tblCellMar>
        </w:tblPrEx>
        <w:tc>
          <w:tcPr>
            <w:tcW w:w="4643" w:type="dxa"/>
            <w:tcBorders>
              <w:top w:val="nil"/>
              <w:left w:val="nil"/>
              <w:bottom w:val="nil"/>
              <w:right w:val="nil"/>
            </w:tcBorders>
          </w:tcPr>
          <w:p>
            <w:pPr>
              <w:widowControl/>
              <w:adjustRightInd w:val="0"/>
              <w:spacing w:line="360" w:lineRule="auto"/>
              <w:jc w:val="left"/>
              <w:rPr>
                <w:rFonts w:ascii="宋体" w:hAnsi="宋体"/>
                <w:color w:val="auto"/>
                <w:szCs w:val="21"/>
                <w:highlight w:val="none"/>
              </w:rPr>
            </w:pPr>
            <w:r>
              <w:rPr>
                <w:rFonts w:hint="eastAsia" w:ascii="宋体" w:hAnsi="宋体"/>
                <w:color w:val="auto"/>
                <w:szCs w:val="21"/>
                <w:highlight w:val="none"/>
              </w:rPr>
              <w:t xml:space="preserve">日    期：   年  </w:t>
            </w:r>
            <w:r>
              <w:rPr>
                <w:rFonts w:ascii="宋体" w:hAnsi="宋体"/>
                <w:color w:val="auto"/>
                <w:szCs w:val="21"/>
                <w:highlight w:val="none"/>
              </w:rPr>
              <w:t xml:space="preserve"> </w:t>
            </w:r>
            <w:r>
              <w:rPr>
                <w:rFonts w:hint="eastAsia" w:ascii="宋体" w:hAnsi="宋体"/>
                <w:color w:val="auto"/>
                <w:szCs w:val="21"/>
                <w:highlight w:val="none"/>
              </w:rPr>
              <w:t xml:space="preserve">  月       日</w:t>
            </w:r>
          </w:p>
        </w:tc>
        <w:tc>
          <w:tcPr>
            <w:tcW w:w="4643" w:type="dxa"/>
            <w:tcBorders>
              <w:top w:val="nil"/>
              <w:left w:val="nil"/>
              <w:bottom w:val="nil"/>
              <w:right w:val="nil"/>
            </w:tcBorders>
          </w:tcPr>
          <w:p>
            <w:pPr>
              <w:widowControl/>
              <w:adjustRightInd w:val="0"/>
              <w:spacing w:line="360" w:lineRule="auto"/>
              <w:jc w:val="left"/>
              <w:rPr>
                <w:rFonts w:ascii="宋体" w:hAnsi="宋体"/>
                <w:color w:val="auto"/>
                <w:szCs w:val="21"/>
                <w:highlight w:val="none"/>
              </w:rPr>
            </w:pPr>
          </w:p>
        </w:tc>
      </w:tr>
    </w:tbl>
    <w:p>
      <w:pPr>
        <w:spacing w:line="360" w:lineRule="auto"/>
        <w:jc w:val="center"/>
        <w:outlineLvl w:val="0"/>
        <w:rPr>
          <w:rFonts w:ascii="宋体" w:hAnsi="宋体"/>
          <w:b/>
          <w:bCs/>
          <w:color w:val="auto"/>
          <w:sz w:val="30"/>
          <w:szCs w:val="30"/>
          <w:highlight w:val="none"/>
        </w:rPr>
        <w:sectPr>
          <w:pgSz w:w="11906" w:h="16838"/>
          <w:pgMar w:top="1440" w:right="1797" w:bottom="1440" w:left="1797" w:header="851" w:footer="992" w:gutter="0"/>
          <w:cols w:space="720" w:num="1"/>
          <w:docGrid w:linePitch="312" w:charSpace="0"/>
        </w:sectPr>
      </w:pPr>
      <w:r>
        <w:rPr>
          <w:rFonts w:ascii="宋体" w:hAnsi="宋体"/>
          <w:color w:val="auto"/>
          <w:szCs w:val="21"/>
          <w:highlight w:val="none"/>
        </w:rPr>
        <w:br w:type="page"/>
      </w:r>
    </w:p>
    <w:p>
      <w:pPr>
        <w:spacing w:line="360" w:lineRule="auto"/>
        <w:jc w:val="center"/>
        <w:outlineLvl w:val="0"/>
        <w:rPr>
          <w:rFonts w:ascii="宋体" w:hAnsi="宋体"/>
          <w:b/>
          <w:bCs/>
          <w:color w:val="auto"/>
          <w:szCs w:val="21"/>
          <w:highlight w:val="none"/>
        </w:rPr>
      </w:pPr>
      <w:r>
        <w:rPr>
          <w:rFonts w:hint="eastAsia" w:ascii="宋体" w:hAnsi="宋体"/>
          <w:b/>
          <w:bCs/>
          <w:color w:val="auto"/>
          <w:sz w:val="30"/>
          <w:szCs w:val="30"/>
          <w:highlight w:val="none"/>
        </w:rPr>
        <w:t>专项合同</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发包人（全称）</w:t>
      </w:r>
      <w:r>
        <w:rPr>
          <w:rFonts w:hint="eastAsia" w:ascii="宋体" w:hAnsi="宋体"/>
          <w:color w:val="auto"/>
          <w:szCs w:val="21"/>
          <w:highlight w:val="none"/>
          <w:u w:val="single"/>
        </w:rPr>
        <w:t>南京技师学院</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（简称甲方）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承包人（全称）</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 xml:space="preserve">（简称乙方）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依照《中华人民共和国民法典》、《中华人民共和国建筑法》及其他有关法律、法规，遵循平等、自愿、公平和诚实信用的原则，双方就本工程施工事项协商一致，订立本合同。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1、工程概况</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工程名称：</w:t>
      </w:r>
      <w:r>
        <w:rPr>
          <w:rFonts w:hint="eastAsia" w:ascii="宋体" w:hAnsi="宋体"/>
          <w:color w:val="auto"/>
          <w:szCs w:val="21"/>
          <w:highlight w:val="none"/>
          <w:u w:val="single"/>
        </w:rPr>
        <w:t>南京技师学院校园零星维修工程项目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工程地点：</w:t>
      </w:r>
      <w:r>
        <w:rPr>
          <w:rFonts w:ascii="宋体" w:hAnsi="宋体"/>
          <w:bCs/>
          <w:color w:val="auto"/>
          <w:szCs w:val="21"/>
          <w:highlight w:val="none"/>
        </w:rPr>
        <w:t>南京市栖霞区学海路29号</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工程内容：主要内容为校区内建筑物及附属设施的修缮。涉及建筑与装饰、市政等零星维修服务。具体为屋面排水、屋面防水、平立面防水、伸缩缝、保温、隔热、楼地面、墙柱面、天棚、吊顶、油漆、涂料、墙纸、门窗、课桌椅、隔断、柜类、窗帘、窗帘轨道、灯具、洁具、线路、道路路面、路灯、雨污水井、检查井、给排水</w:t>
      </w:r>
      <w:r>
        <w:rPr>
          <w:rFonts w:hint="eastAsia" w:ascii="宋体" w:hAnsi="宋体"/>
          <w:color w:val="auto"/>
          <w:szCs w:val="21"/>
          <w:highlight w:val="none"/>
          <w:lang w:eastAsia="zh-CN"/>
        </w:rPr>
        <w:t>、河道内杂草清除、卷帘门、闸机</w:t>
      </w:r>
      <w:r>
        <w:rPr>
          <w:rFonts w:hint="eastAsia" w:ascii="宋体" w:hAnsi="宋体"/>
          <w:color w:val="auto"/>
          <w:szCs w:val="21"/>
          <w:highlight w:val="none"/>
        </w:rPr>
        <w:t>等内容的预算金额在20万元（不含20万）以内的零星维修改造内容。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2、工程承包范围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承包范围：招标文件所列的所有项目。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3、合同工期</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开工日期：  / 年  / 月  / 日（具体开工日期以发包人开工通知书为准）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竣工日期：  / 年 /  月  / 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合同工期总日历天数： / 天</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合同期：   年  月  日-    年  月  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4、质量标准</w:t>
      </w:r>
    </w:p>
    <w:p>
      <w:pPr>
        <w:widowControl/>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）工程质量标准：按《建筑工程施工质量验收统一规范》（</w:t>
      </w:r>
      <w:r>
        <w:rPr>
          <w:rFonts w:ascii="宋体" w:hAnsi="宋体"/>
          <w:color w:val="auto"/>
          <w:szCs w:val="21"/>
          <w:highlight w:val="none"/>
        </w:rPr>
        <w:t>GB50300-2001</w:t>
      </w:r>
      <w:r>
        <w:rPr>
          <w:rFonts w:hint="eastAsia" w:ascii="宋体" w:hAnsi="宋体"/>
          <w:color w:val="auto"/>
          <w:szCs w:val="21"/>
          <w:highlight w:val="none"/>
        </w:rPr>
        <w:t>）等国家、江苏省、南京市现行规范验收；</w:t>
      </w:r>
    </w:p>
    <w:p>
      <w:pPr>
        <w:widowControl/>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2</w:t>
      </w:r>
      <w:r>
        <w:rPr>
          <w:rFonts w:hint="eastAsia" w:ascii="宋体" w:hAnsi="宋体"/>
          <w:color w:val="auto"/>
          <w:szCs w:val="21"/>
          <w:highlight w:val="none"/>
        </w:rPr>
        <w:t>）工程质保期：</w:t>
      </w:r>
      <w:r>
        <w:rPr>
          <w:rFonts w:hint="eastAsia" w:ascii="宋体" w:hAnsi="宋体"/>
          <w:color w:val="auto"/>
          <w:szCs w:val="21"/>
          <w:highlight w:val="none"/>
          <w:u w:val="single"/>
        </w:rPr>
        <w:t xml:space="preserve">  1</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5、合同价款</w:t>
      </w:r>
    </w:p>
    <w:p>
      <w:pPr>
        <w:widowControl/>
        <w:spacing w:line="360" w:lineRule="auto"/>
        <w:ind w:firstLine="420" w:firstLineChars="200"/>
        <w:jc w:val="left"/>
        <w:outlineLvl w:val="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）金额（大写）：</w:t>
      </w:r>
      <w:r>
        <w:rPr>
          <w:rFonts w:hint="eastAsia" w:ascii="宋体" w:hAnsi="宋体"/>
          <w:color w:val="auto"/>
          <w:szCs w:val="21"/>
          <w:highlight w:val="none"/>
          <w:u w:val="single"/>
        </w:rPr>
        <w:t xml:space="preserve">  / </w:t>
      </w:r>
      <w:r>
        <w:rPr>
          <w:rFonts w:ascii="宋体" w:hAnsi="宋体"/>
          <w:color w:val="auto"/>
          <w:szCs w:val="21"/>
          <w:highlight w:val="none"/>
          <w:u w:val="single"/>
        </w:rPr>
        <w:t>(</w:t>
      </w:r>
      <w:r>
        <w:rPr>
          <w:rFonts w:hint="eastAsia" w:ascii="宋体" w:hAnsi="宋体"/>
          <w:color w:val="auto"/>
          <w:szCs w:val="21"/>
          <w:highlight w:val="none"/>
        </w:rPr>
        <w:t>人民币</w:t>
      </w:r>
      <w:r>
        <w:rPr>
          <w:rFonts w:ascii="宋体" w:hAnsi="宋体"/>
          <w:color w:val="auto"/>
          <w:szCs w:val="21"/>
          <w:highlight w:val="none"/>
        </w:rPr>
        <w:t>)</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u w:val="single"/>
        </w:rPr>
        <w:t xml:space="preserve">  / </w:t>
      </w:r>
      <w:r>
        <w:rPr>
          <w:rFonts w:hint="eastAsia" w:ascii="宋体" w:hAnsi="宋体"/>
          <w:color w:val="auto"/>
          <w:szCs w:val="21"/>
          <w:highlight w:val="none"/>
        </w:rPr>
        <w:t>元</w:t>
      </w:r>
    </w:p>
    <w:p>
      <w:pPr>
        <w:widowControl/>
        <w:spacing w:line="360" w:lineRule="auto"/>
        <w:ind w:firstLine="420" w:firstLineChars="200"/>
        <w:jc w:val="left"/>
        <w:outlineLvl w:val="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）优惠率：</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6、组成合同的文件</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组成本合同的有关文件：下列关于南京技师学院校园零星维修工程项目（项目编号：JSZC-320100-SSJT-C2024-0042）的招投标文件或与本次采购活动方式相适应的文件及有关附件是本合同不可分割的组成部分，与本合同具有同等法律效力。不得擅自变更实质性条款。</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组成本合同的文件包括：</w:t>
      </w:r>
      <w:r>
        <w:rPr>
          <w:rFonts w:ascii="宋体" w:hAnsi="宋体"/>
          <w:color w:val="auto"/>
          <w:szCs w:val="21"/>
          <w:highlight w:val="none"/>
        </w:rPr>
        <w:t xml:space="preserve"> </w:t>
      </w:r>
    </w:p>
    <w:p>
      <w:pPr>
        <w:spacing w:line="360" w:lineRule="auto"/>
        <w:ind w:firstLine="420" w:firstLineChars="200"/>
        <w:outlineLvl w:val="0"/>
        <w:rPr>
          <w:rFonts w:ascii="宋体" w:hAnsi="宋体"/>
          <w:color w:val="auto"/>
          <w:szCs w:val="21"/>
          <w:highlight w:val="none"/>
        </w:rPr>
      </w:pPr>
      <w:r>
        <w:rPr>
          <w:rFonts w:hint="eastAsia" w:ascii="宋体" w:hAnsi="宋体"/>
          <w:color w:val="auto"/>
          <w:szCs w:val="21"/>
          <w:highlight w:val="none"/>
        </w:rPr>
        <w:t xml:space="preserve">1）、本合同协议 </w:t>
      </w:r>
    </w:p>
    <w:p>
      <w:pPr>
        <w:spacing w:line="360" w:lineRule="auto"/>
        <w:ind w:firstLine="420" w:firstLineChars="200"/>
        <w:outlineLvl w:val="0"/>
        <w:rPr>
          <w:rFonts w:ascii="宋体" w:hAnsi="宋体"/>
          <w:color w:val="auto"/>
          <w:szCs w:val="21"/>
          <w:highlight w:val="none"/>
        </w:rPr>
      </w:pPr>
      <w:r>
        <w:rPr>
          <w:rFonts w:hint="eastAsia" w:ascii="宋体" w:hAnsi="宋体"/>
          <w:color w:val="auto"/>
          <w:szCs w:val="21"/>
          <w:highlight w:val="none"/>
        </w:rPr>
        <w:t>2）、本合同专用条款</w:t>
      </w:r>
    </w:p>
    <w:p>
      <w:pPr>
        <w:spacing w:line="360" w:lineRule="auto"/>
        <w:ind w:firstLine="420" w:firstLineChars="200"/>
        <w:outlineLvl w:val="0"/>
        <w:rPr>
          <w:rFonts w:ascii="宋体" w:hAnsi="宋体"/>
          <w:color w:val="auto"/>
          <w:szCs w:val="21"/>
          <w:highlight w:val="none"/>
        </w:rPr>
      </w:pPr>
      <w:r>
        <w:rPr>
          <w:rFonts w:hint="eastAsia" w:ascii="宋体" w:hAnsi="宋体"/>
          <w:color w:val="auto"/>
          <w:szCs w:val="21"/>
          <w:highlight w:val="none"/>
        </w:rPr>
        <w:t>3）、明确双方权利、义务的纪要、协议</w:t>
      </w:r>
    </w:p>
    <w:p>
      <w:pPr>
        <w:spacing w:line="360" w:lineRule="auto"/>
        <w:ind w:firstLine="420" w:firstLineChars="200"/>
        <w:outlineLvl w:val="0"/>
        <w:rPr>
          <w:rFonts w:ascii="宋体" w:hAnsi="宋体"/>
          <w:color w:val="auto"/>
          <w:szCs w:val="21"/>
          <w:highlight w:val="none"/>
        </w:rPr>
      </w:pPr>
      <w:r>
        <w:rPr>
          <w:rFonts w:hint="eastAsia" w:ascii="宋体" w:hAnsi="宋体"/>
          <w:color w:val="auto"/>
          <w:szCs w:val="21"/>
          <w:highlight w:val="none"/>
        </w:rPr>
        <w:t xml:space="preserve">4）、合同通用条款 </w:t>
      </w:r>
    </w:p>
    <w:p>
      <w:pPr>
        <w:spacing w:line="360" w:lineRule="auto"/>
        <w:ind w:firstLine="420" w:firstLineChars="200"/>
        <w:outlineLvl w:val="0"/>
        <w:rPr>
          <w:rFonts w:ascii="宋体" w:hAnsi="宋体"/>
          <w:color w:val="auto"/>
          <w:szCs w:val="21"/>
          <w:highlight w:val="none"/>
        </w:rPr>
      </w:pPr>
      <w:r>
        <w:rPr>
          <w:rFonts w:hint="eastAsia" w:ascii="宋体" w:hAnsi="宋体"/>
          <w:color w:val="auto"/>
          <w:szCs w:val="21"/>
          <w:highlight w:val="none"/>
        </w:rPr>
        <w:t>5）、应答文件、招标文件和中标通知书</w:t>
      </w:r>
    </w:p>
    <w:p>
      <w:pPr>
        <w:spacing w:line="360" w:lineRule="auto"/>
        <w:ind w:firstLine="420" w:firstLineChars="200"/>
        <w:outlineLvl w:val="0"/>
        <w:rPr>
          <w:rFonts w:ascii="宋体" w:hAnsi="宋体"/>
          <w:color w:val="auto"/>
          <w:szCs w:val="21"/>
          <w:highlight w:val="none"/>
        </w:rPr>
      </w:pPr>
      <w:r>
        <w:rPr>
          <w:rFonts w:hint="eastAsia" w:ascii="宋体" w:hAnsi="宋体"/>
          <w:color w:val="auto"/>
          <w:szCs w:val="21"/>
          <w:highlight w:val="none"/>
        </w:rPr>
        <w:t>6）、施工图纸、竣工图纸和相关电子文件</w:t>
      </w:r>
    </w:p>
    <w:p>
      <w:pPr>
        <w:spacing w:line="360" w:lineRule="auto"/>
        <w:ind w:firstLine="420" w:firstLineChars="200"/>
        <w:outlineLvl w:val="0"/>
        <w:rPr>
          <w:rFonts w:ascii="宋体" w:hAnsi="宋体"/>
          <w:color w:val="auto"/>
          <w:szCs w:val="21"/>
          <w:highlight w:val="none"/>
        </w:rPr>
      </w:pPr>
      <w:r>
        <w:rPr>
          <w:rFonts w:hint="eastAsia" w:ascii="宋体" w:hAnsi="宋体"/>
          <w:color w:val="auto"/>
          <w:szCs w:val="21"/>
          <w:highlight w:val="none"/>
        </w:rPr>
        <w:t xml:space="preserve">7）、标准、规范及有关技术文件、技术要求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双方有关工程的洽商、变更等书面协议或文件视为本合同的组成部分。</w:t>
      </w:r>
    </w:p>
    <w:p>
      <w:pPr>
        <w:autoSpaceDE w:val="0"/>
        <w:autoSpaceDN w:val="0"/>
        <w:adjustRightInd w:val="0"/>
        <w:spacing w:line="360" w:lineRule="auto"/>
        <w:ind w:firstLine="420" w:firstLineChars="200"/>
        <w:jc w:val="left"/>
        <w:rPr>
          <w:color w:val="auto"/>
          <w:highlight w:val="none"/>
        </w:rPr>
      </w:pPr>
      <w:r>
        <w:rPr>
          <w:rFonts w:hint="eastAsia" w:ascii="宋体" w:hAnsi="宋体"/>
          <w:color w:val="auto"/>
          <w:szCs w:val="21"/>
          <w:highlight w:val="none"/>
        </w:rPr>
        <w:t>特别约定</w:t>
      </w:r>
      <w:r>
        <w:rPr>
          <w:rFonts w:ascii="宋体" w:hAnsi="宋体"/>
          <w:color w:val="auto"/>
          <w:szCs w:val="21"/>
          <w:highlight w:val="none"/>
        </w:rPr>
        <w:t>:</w:t>
      </w:r>
      <w:r>
        <w:rPr>
          <w:rFonts w:hint="eastAsia" w:ascii="宋体" w:hAnsi="宋体"/>
          <w:color w:val="auto"/>
          <w:szCs w:val="21"/>
          <w:highlight w:val="none"/>
        </w:rPr>
        <w:t>上述合同文件内容互为补充，如有不明确之处，以最有利于发包人的文件约定和解释为准</w:t>
      </w:r>
      <w:r>
        <w:rPr>
          <w:rFonts w:ascii="宋体" w:hAnsi="宋体"/>
          <w:color w:val="auto"/>
          <w:szCs w:val="21"/>
          <w:highlight w:val="none"/>
        </w:rPr>
        <w:t>。</w:t>
      </w:r>
      <w:r>
        <w:rPr>
          <w:rFonts w:hint="eastAsia" w:ascii="宋体" w:hAnsi="宋体"/>
          <w:color w:val="auto"/>
          <w:szCs w:val="21"/>
          <w:highlight w:val="none"/>
        </w:rPr>
        <w:t>专用合同条款及其附件须经合同当事人签字或盖章。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7、本协议书中有关词语含义与《建设工程施工合同》范本（GF-2013-0201）通用条款、专用条款中分别赋予它们的定义相同。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8、承包人向发包人承诺按照合同约定进行施工、竣工并在质量保修期内承担工程质量保修责任。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9、发包人向承包人承诺按照合同约定的期限和方式支付合同价款及其他应当支付的款项。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10、合同生效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合同订立时间：    年    月    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合同订立地点： 南京技师学院</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本合同双方约定甲方、乙方双方盖章后生效。</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tbl>
      <w:tblPr>
        <w:tblStyle w:val="56"/>
        <w:tblW w:w="9629" w:type="dxa"/>
        <w:jc w:val="center"/>
        <w:tblLayout w:type="fixed"/>
        <w:tblCellMar>
          <w:top w:w="0" w:type="dxa"/>
          <w:left w:w="0" w:type="dxa"/>
          <w:bottom w:w="0" w:type="dxa"/>
          <w:right w:w="0" w:type="dxa"/>
        </w:tblCellMar>
      </w:tblPr>
      <w:tblGrid>
        <w:gridCol w:w="4568"/>
        <w:gridCol w:w="5061"/>
      </w:tblGrid>
      <w:tr>
        <w:tblPrEx>
          <w:tblCellMar>
            <w:top w:w="0" w:type="dxa"/>
            <w:left w:w="0" w:type="dxa"/>
            <w:bottom w:w="0" w:type="dxa"/>
            <w:right w:w="0" w:type="dxa"/>
          </w:tblCellMar>
        </w:tblPrEx>
        <w:trPr>
          <w:jc w:val="center"/>
        </w:trPr>
        <w:tc>
          <w:tcPr>
            <w:tcW w:w="4568" w:type="dxa"/>
            <w:tcBorders>
              <w:top w:val="nil"/>
              <w:left w:val="nil"/>
              <w:bottom w:val="nil"/>
              <w:right w:val="nil"/>
            </w:tcBorders>
            <w:tcMar>
              <w:top w:w="0" w:type="dxa"/>
              <w:left w:w="108" w:type="dxa"/>
              <w:bottom w:w="0" w:type="dxa"/>
              <w:right w:w="108" w:type="dxa"/>
            </w:tcMar>
          </w:tcPr>
          <w:p>
            <w:pPr>
              <w:widowControl/>
              <w:spacing w:line="360" w:lineRule="auto"/>
              <w:jc w:val="left"/>
              <w:rPr>
                <w:rFonts w:ascii="宋体" w:hAnsi="宋体"/>
                <w:color w:val="auto"/>
                <w:szCs w:val="21"/>
                <w:highlight w:val="none"/>
              </w:rPr>
            </w:pPr>
            <w:r>
              <w:rPr>
                <w:rFonts w:hint="eastAsia" w:ascii="宋体" w:hAnsi="宋体"/>
                <w:color w:val="auto"/>
                <w:szCs w:val="21"/>
                <w:highlight w:val="none"/>
              </w:rPr>
              <w:t>甲方（采购人）：南京技师学院</w:t>
            </w:r>
          </w:p>
          <w:p>
            <w:pPr>
              <w:widowControl/>
              <w:spacing w:line="360" w:lineRule="auto"/>
              <w:jc w:val="left"/>
              <w:rPr>
                <w:rFonts w:ascii="宋体" w:hAnsi="宋体"/>
                <w:color w:val="auto"/>
                <w:szCs w:val="21"/>
                <w:highlight w:val="none"/>
              </w:rPr>
            </w:pPr>
            <w:r>
              <w:rPr>
                <w:rFonts w:hint="eastAsia" w:ascii="宋体" w:hAnsi="宋体"/>
                <w:color w:val="auto"/>
                <w:szCs w:val="21"/>
                <w:highlight w:val="none"/>
              </w:rPr>
              <w:t>（盖章）</w:t>
            </w:r>
          </w:p>
        </w:tc>
        <w:tc>
          <w:tcPr>
            <w:tcW w:w="5061" w:type="dxa"/>
            <w:tcBorders>
              <w:top w:val="nil"/>
              <w:left w:val="nil"/>
              <w:bottom w:val="nil"/>
              <w:right w:val="nil"/>
            </w:tcBorders>
            <w:tcMar>
              <w:top w:w="0" w:type="dxa"/>
              <w:left w:w="108" w:type="dxa"/>
              <w:bottom w:w="0" w:type="dxa"/>
              <w:right w:w="108" w:type="dxa"/>
            </w:tcMar>
          </w:tcPr>
          <w:p>
            <w:pPr>
              <w:widowControl/>
              <w:spacing w:line="360" w:lineRule="auto"/>
              <w:jc w:val="left"/>
              <w:rPr>
                <w:rFonts w:ascii="宋体" w:hAnsi="宋体"/>
                <w:color w:val="auto"/>
                <w:szCs w:val="21"/>
                <w:highlight w:val="none"/>
              </w:rPr>
            </w:pPr>
            <w:r>
              <w:rPr>
                <w:rFonts w:hint="eastAsia" w:ascii="宋体" w:hAnsi="宋体"/>
                <w:color w:val="auto"/>
                <w:szCs w:val="21"/>
                <w:highlight w:val="none"/>
              </w:rPr>
              <w:t>乙方（供应商）：</w:t>
            </w:r>
            <w:r>
              <w:rPr>
                <w:rFonts w:ascii="宋体" w:hAnsi="宋体"/>
                <w:color w:val="auto"/>
                <w:szCs w:val="21"/>
                <w:highlight w:val="none"/>
              </w:rPr>
              <w:t xml:space="preserve"> </w:t>
            </w:r>
          </w:p>
          <w:p>
            <w:pPr>
              <w:widowControl/>
              <w:spacing w:line="360" w:lineRule="auto"/>
              <w:jc w:val="left"/>
              <w:rPr>
                <w:rFonts w:ascii="宋体" w:hAnsi="宋体"/>
                <w:color w:val="auto"/>
                <w:szCs w:val="21"/>
                <w:highlight w:val="none"/>
              </w:rPr>
            </w:pPr>
            <w:r>
              <w:rPr>
                <w:rFonts w:hint="eastAsia" w:ascii="宋体" w:hAnsi="宋体"/>
                <w:color w:val="auto"/>
                <w:szCs w:val="21"/>
                <w:highlight w:val="none"/>
              </w:rPr>
              <w:t>（盖章）</w:t>
            </w:r>
          </w:p>
        </w:tc>
      </w:tr>
      <w:tr>
        <w:tblPrEx>
          <w:tblCellMar>
            <w:top w:w="0" w:type="dxa"/>
            <w:left w:w="0" w:type="dxa"/>
            <w:bottom w:w="0" w:type="dxa"/>
            <w:right w:w="0" w:type="dxa"/>
          </w:tblCellMar>
        </w:tblPrEx>
        <w:trPr>
          <w:jc w:val="center"/>
        </w:trPr>
        <w:tc>
          <w:tcPr>
            <w:tcW w:w="4568" w:type="dxa"/>
            <w:tcBorders>
              <w:top w:val="nil"/>
              <w:left w:val="nil"/>
              <w:bottom w:val="nil"/>
              <w:right w:val="nil"/>
            </w:tcBorders>
            <w:tcMar>
              <w:top w:w="0" w:type="dxa"/>
              <w:left w:w="108" w:type="dxa"/>
              <w:bottom w:w="0" w:type="dxa"/>
              <w:right w:w="108" w:type="dxa"/>
            </w:tcMar>
          </w:tcPr>
          <w:p>
            <w:pPr>
              <w:widowControl/>
              <w:spacing w:line="360" w:lineRule="auto"/>
              <w:jc w:val="left"/>
              <w:rPr>
                <w:rFonts w:ascii="宋体" w:hAnsi="宋体"/>
                <w:color w:val="auto"/>
                <w:szCs w:val="21"/>
                <w:highlight w:val="none"/>
              </w:rPr>
            </w:pPr>
            <w:r>
              <w:rPr>
                <w:rFonts w:hint="eastAsia" w:ascii="宋体" w:hAnsi="宋体"/>
                <w:color w:val="auto"/>
                <w:szCs w:val="21"/>
                <w:highlight w:val="none"/>
              </w:rPr>
              <w:t>代表人：</w:t>
            </w:r>
          </w:p>
        </w:tc>
        <w:tc>
          <w:tcPr>
            <w:tcW w:w="5061" w:type="dxa"/>
            <w:tcBorders>
              <w:top w:val="nil"/>
              <w:left w:val="nil"/>
              <w:bottom w:val="nil"/>
              <w:right w:val="nil"/>
            </w:tcBorders>
            <w:tcMar>
              <w:top w:w="0" w:type="dxa"/>
              <w:left w:w="108" w:type="dxa"/>
              <w:bottom w:w="0" w:type="dxa"/>
              <w:right w:w="108" w:type="dxa"/>
            </w:tcMar>
          </w:tcPr>
          <w:p>
            <w:pPr>
              <w:widowControl/>
              <w:spacing w:line="360" w:lineRule="auto"/>
              <w:jc w:val="left"/>
              <w:rPr>
                <w:rFonts w:ascii="宋体" w:hAnsi="宋体"/>
                <w:color w:val="auto"/>
                <w:szCs w:val="21"/>
                <w:highlight w:val="none"/>
              </w:rPr>
            </w:pPr>
            <w:r>
              <w:rPr>
                <w:rFonts w:hint="eastAsia" w:ascii="宋体" w:hAnsi="宋体"/>
                <w:color w:val="auto"/>
                <w:szCs w:val="21"/>
                <w:highlight w:val="none"/>
              </w:rPr>
              <w:t>代表人：</w:t>
            </w:r>
          </w:p>
        </w:tc>
      </w:tr>
      <w:tr>
        <w:tblPrEx>
          <w:tblCellMar>
            <w:top w:w="0" w:type="dxa"/>
            <w:left w:w="0" w:type="dxa"/>
            <w:bottom w:w="0" w:type="dxa"/>
            <w:right w:w="0" w:type="dxa"/>
          </w:tblCellMar>
        </w:tblPrEx>
        <w:trPr>
          <w:jc w:val="center"/>
        </w:trPr>
        <w:tc>
          <w:tcPr>
            <w:tcW w:w="4568" w:type="dxa"/>
            <w:tcBorders>
              <w:top w:val="nil"/>
              <w:left w:val="nil"/>
              <w:bottom w:val="nil"/>
              <w:right w:val="nil"/>
            </w:tcBorders>
            <w:tcMar>
              <w:top w:w="0" w:type="dxa"/>
              <w:left w:w="108" w:type="dxa"/>
              <w:bottom w:w="0" w:type="dxa"/>
              <w:right w:w="108" w:type="dxa"/>
            </w:tcMar>
          </w:tcPr>
          <w:p>
            <w:pPr>
              <w:widowControl/>
              <w:spacing w:line="360" w:lineRule="auto"/>
              <w:jc w:val="left"/>
              <w:rPr>
                <w:rFonts w:ascii="宋体" w:hAnsi="宋体"/>
                <w:color w:val="auto"/>
                <w:szCs w:val="21"/>
                <w:highlight w:val="none"/>
              </w:rPr>
            </w:pPr>
            <w:r>
              <w:rPr>
                <w:rFonts w:hint="eastAsia" w:ascii="宋体" w:hAnsi="宋体"/>
                <w:color w:val="auto"/>
                <w:szCs w:val="21"/>
                <w:highlight w:val="none"/>
              </w:rPr>
              <w:t>电  话：</w:t>
            </w:r>
          </w:p>
        </w:tc>
        <w:tc>
          <w:tcPr>
            <w:tcW w:w="5061" w:type="dxa"/>
            <w:tcBorders>
              <w:top w:val="nil"/>
              <w:left w:val="nil"/>
              <w:bottom w:val="nil"/>
              <w:right w:val="nil"/>
            </w:tcBorders>
            <w:tcMar>
              <w:top w:w="0" w:type="dxa"/>
              <w:left w:w="108" w:type="dxa"/>
              <w:bottom w:w="0" w:type="dxa"/>
              <w:right w:w="108" w:type="dxa"/>
            </w:tcMar>
          </w:tcPr>
          <w:p>
            <w:pPr>
              <w:widowControl/>
              <w:spacing w:line="360" w:lineRule="auto"/>
              <w:jc w:val="left"/>
              <w:rPr>
                <w:rFonts w:ascii="宋体" w:hAnsi="宋体"/>
                <w:color w:val="auto"/>
                <w:szCs w:val="21"/>
                <w:highlight w:val="none"/>
              </w:rPr>
            </w:pPr>
            <w:r>
              <w:rPr>
                <w:rFonts w:hint="eastAsia" w:ascii="宋体" w:hAnsi="宋体"/>
                <w:color w:val="auto"/>
                <w:szCs w:val="21"/>
                <w:highlight w:val="none"/>
              </w:rPr>
              <w:t>电 </w:t>
            </w:r>
            <w:r>
              <w:rPr>
                <w:rFonts w:ascii="宋体" w:hAnsi="宋体"/>
                <w:color w:val="auto"/>
                <w:szCs w:val="21"/>
                <w:highlight w:val="none"/>
              </w:rPr>
              <w:t xml:space="preserve"> </w:t>
            </w:r>
            <w:r>
              <w:rPr>
                <w:rFonts w:hint="eastAsia" w:ascii="宋体" w:hAnsi="宋体"/>
                <w:color w:val="auto"/>
                <w:szCs w:val="21"/>
                <w:highlight w:val="none"/>
              </w:rPr>
              <w:t>话：</w:t>
            </w:r>
          </w:p>
        </w:tc>
      </w:tr>
      <w:tr>
        <w:tblPrEx>
          <w:tblCellMar>
            <w:top w:w="0" w:type="dxa"/>
            <w:left w:w="0" w:type="dxa"/>
            <w:bottom w:w="0" w:type="dxa"/>
            <w:right w:w="0" w:type="dxa"/>
          </w:tblCellMar>
        </w:tblPrEx>
        <w:trPr>
          <w:jc w:val="center"/>
        </w:trPr>
        <w:tc>
          <w:tcPr>
            <w:tcW w:w="4568" w:type="dxa"/>
            <w:tcBorders>
              <w:top w:val="nil"/>
              <w:left w:val="nil"/>
              <w:bottom w:val="nil"/>
              <w:right w:val="nil"/>
            </w:tcBorders>
            <w:tcMar>
              <w:top w:w="0" w:type="dxa"/>
              <w:left w:w="108" w:type="dxa"/>
              <w:bottom w:w="0" w:type="dxa"/>
              <w:right w:w="108" w:type="dxa"/>
            </w:tcMar>
          </w:tcPr>
          <w:p>
            <w:pPr>
              <w:widowControl/>
              <w:spacing w:line="360" w:lineRule="auto"/>
              <w:jc w:val="left"/>
              <w:rPr>
                <w:rFonts w:ascii="宋体" w:hAnsi="宋体"/>
                <w:color w:val="auto"/>
                <w:szCs w:val="21"/>
                <w:highlight w:val="none"/>
              </w:rPr>
            </w:pPr>
            <w:r>
              <w:rPr>
                <w:rFonts w:hint="eastAsia" w:ascii="宋体" w:hAnsi="宋体"/>
                <w:color w:val="auto"/>
                <w:szCs w:val="21"/>
                <w:highlight w:val="none"/>
              </w:rPr>
              <w:t>开户银行：</w:t>
            </w:r>
          </w:p>
        </w:tc>
        <w:tc>
          <w:tcPr>
            <w:tcW w:w="5061" w:type="dxa"/>
            <w:tcBorders>
              <w:top w:val="nil"/>
              <w:left w:val="nil"/>
              <w:bottom w:val="nil"/>
              <w:right w:val="nil"/>
            </w:tcBorders>
            <w:tcMar>
              <w:top w:w="0" w:type="dxa"/>
              <w:left w:w="108" w:type="dxa"/>
              <w:bottom w:w="0" w:type="dxa"/>
              <w:right w:w="108" w:type="dxa"/>
            </w:tcMar>
          </w:tcPr>
          <w:p>
            <w:pPr>
              <w:widowControl/>
              <w:spacing w:line="360" w:lineRule="auto"/>
              <w:jc w:val="left"/>
              <w:rPr>
                <w:rFonts w:ascii="宋体" w:hAnsi="宋体"/>
                <w:color w:val="auto"/>
                <w:szCs w:val="21"/>
                <w:highlight w:val="none"/>
              </w:rPr>
            </w:pPr>
            <w:r>
              <w:rPr>
                <w:rFonts w:hint="eastAsia" w:ascii="宋体" w:hAnsi="宋体"/>
                <w:color w:val="auto"/>
                <w:szCs w:val="21"/>
                <w:highlight w:val="none"/>
              </w:rPr>
              <w:t>开户银行：</w:t>
            </w:r>
            <w:r>
              <w:rPr>
                <w:rFonts w:ascii="宋体" w:hAnsi="宋体"/>
                <w:color w:val="auto"/>
                <w:szCs w:val="21"/>
                <w:highlight w:val="none"/>
              </w:rPr>
              <w:t xml:space="preserve"> </w:t>
            </w:r>
          </w:p>
        </w:tc>
      </w:tr>
      <w:tr>
        <w:tblPrEx>
          <w:tblCellMar>
            <w:top w:w="0" w:type="dxa"/>
            <w:left w:w="0" w:type="dxa"/>
            <w:bottom w:w="0" w:type="dxa"/>
            <w:right w:w="0" w:type="dxa"/>
          </w:tblCellMar>
        </w:tblPrEx>
        <w:trPr>
          <w:jc w:val="center"/>
        </w:trPr>
        <w:tc>
          <w:tcPr>
            <w:tcW w:w="4568" w:type="dxa"/>
            <w:tcBorders>
              <w:top w:val="nil"/>
              <w:left w:val="nil"/>
              <w:bottom w:val="nil"/>
              <w:right w:val="nil"/>
            </w:tcBorders>
            <w:tcMar>
              <w:top w:w="0" w:type="dxa"/>
              <w:left w:w="108" w:type="dxa"/>
              <w:bottom w:w="0" w:type="dxa"/>
              <w:right w:w="108" w:type="dxa"/>
            </w:tcMar>
          </w:tcPr>
          <w:p>
            <w:pPr>
              <w:widowControl/>
              <w:spacing w:line="360" w:lineRule="auto"/>
              <w:jc w:val="left"/>
              <w:rPr>
                <w:rFonts w:ascii="宋体" w:hAnsi="宋体"/>
                <w:color w:val="auto"/>
                <w:szCs w:val="21"/>
                <w:highlight w:val="none"/>
              </w:rPr>
            </w:pPr>
            <w:r>
              <w:rPr>
                <w:rFonts w:hint="eastAsia" w:ascii="宋体" w:hAnsi="宋体"/>
                <w:color w:val="auto"/>
                <w:szCs w:val="21"/>
                <w:highlight w:val="none"/>
              </w:rPr>
              <w:t>帐 </w:t>
            </w:r>
            <w:r>
              <w:rPr>
                <w:rFonts w:ascii="宋体" w:hAnsi="宋体"/>
                <w:color w:val="auto"/>
                <w:szCs w:val="21"/>
                <w:highlight w:val="none"/>
              </w:rPr>
              <w:t xml:space="preserve">  </w:t>
            </w:r>
            <w:r>
              <w:rPr>
                <w:rFonts w:hint="eastAsia" w:ascii="宋体" w:hAnsi="宋体"/>
                <w:color w:val="auto"/>
                <w:szCs w:val="21"/>
                <w:highlight w:val="none"/>
              </w:rPr>
              <w:t>号：</w:t>
            </w:r>
          </w:p>
        </w:tc>
        <w:tc>
          <w:tcPr>
            <w:tcW w:w="5061" w:type="dxa"/>
            <w:tcBorders>
              <w:top w:val="nil"/>
              <w:left w:val="nil"/>
              <w:bottom w:val="nil"/>
              <w:right w:val="nil"/>
            </w:tcBorders>
            <w:tcMar>
              <w:top w:w="0" w:type="dxa"/>
              <w:left w:w="108" w:type="dxa"/>
              <w:bottom w:w="0" w:type="dxa"/>
              <w:right w:w="108" w:type="dxa"/>
            </w:tcMar>
          </w:tcPr>
          <w:p>
            <w:pPr>
              <w:widowControl/>
              <w:spacing w:line="360" w:lineRule="auto"/>
              <w:jc w:val="left"/>
              <w:rPr>
                <w:rFonts w:ascii="宋体" w:hAnsi="宋体"/>
                <w:color w:val="auto"/>
                <w:szCs w:val="21"/>
                <w:highlight w:val="none"/>
              </w:rPr>
            </w:pPr>
            <w:r>
              <w:rPr>
                <w:rFonts w:hint="eastAsia" w:ascii="宋体" w:hAnsi="宋体"/>
                <w:color w:val="auto"/>
                <w:szCs w:val="21"/>
                <w:highlight w:val="none"/>
              </w:rPr>
              <w:t>帐  号：</w:t>
            </w:r>
          </w:p>
        </w:tc>
      </w:tr>
      <w:tr>
        <w:tblPrEx>
          <w:tblCellMar>
            <w:top w:w="0" w:type="dxa"/>
            <w:left w:w="0" w:type="dxa"/>
            <w:bottom w:w="0" w:type="dxa"/>
            <w:right w:w="0" w:type="dxa"/>
          </w:tblCellMar>
        </w:tblPrEx>
        <w:trPr>
          <w:jc w:val="center"/>
        </w:trPr>
        <w:tc>
          <w:tcPr>
            <w:tcW w:w="4568" w:type="dxa"/>
            <w:tcBorders>
              <w:top w:val="nil"/>
              <w:left w:val="nil"/>
              <w:bottom w:val="nil"/>
              <w:right w:val="nil"/>
            </w:tcBorders>
            <w:tcMar>
              <w:top w:w="0" w:type="dxa"/>
              <w:left w:w="108" w:type="dxa"/>
              <w:bottom w:w="0" w:type="dxa"/>
              <w:right w:w="108" w:type="dxa"/>
            </w:tcMar>
          </w:tcPr>
          <w:p>
            <w:pPr>
              <w:widowControl/>
              <w:spacing w:line="360" w:lineRule="auto"/>
              <w:jc w:val="left"/>
              <w:rPr>
                <w:rFonts w:ascii="宋体" w:hAnsi="宋体"/>
                <w:color w:val="auto"/>
                <w:szCs w:val="21"/>
                <w:highlight w:val="none"/>
              </w:rPr>
            </w:pPr>
            <w:r>
              <w:rPr>
                <w:rFonts w:hint="eastAsia" w:ascii="宋体" w:hAnsi="宋体"/>
                <w:color w:val="auto"/>
                <w:szCs w:val="21"/>
                <w:highlight w:val="none"/>
              </w:rPr>
              <w:t>日  期：   年    月     日</w:t>
            </w:r>
          </w:p>
        </w:tc>
        <w:tc>
          <w:tcPr>
            <w:tcW w:w="5061" w:type="dxa"/>
            <w:tcBorders>
              <w:top w:val="nil"/>
              <w:left w:val="nil"/>
              <w:bottom w:val="nil"/>
              <w:right w:val="nil"/>
            </w:tcBorders>
            <w:tcMar>
              <w:top w:w="0" w:type="dxa"/>
              <w:left w:w="108" w:type="dxa"/>
              <w:bottom w:w="0" w:type="dxa"/>
              <w:right w:w="108" w:type="dxa"/>
            </w:tcMar>
          </w:tcPr>
          <w:p>
            <w:pPr>
              <w:widowControl/>
              <w:spacing w:line="360" w:lineRule="auto"/>
              <w:jc w:val="left"/>
              <w:rPr>
                <w:rFonts w:ascii="宋体" w:hAnsi="宋体"/>
                <w:color w:val="auto"/>
                <w:szCs w:val="21"/>
                <w:highlight w:val="none"/>
              </w:rPr>
            </w:pPr>
            <w:r>
              <w:rPr>
                <w:rFonts w:hint="eastAsia" w:ascii="宋体" w:hAnsi="宋体"/>
                <w:color w:val="auto"/>
                <w:szCs w:val="21"/>
                <w:highlight w:val="none"/>
              </w:rPr>
              <w:t> </w:t>
            </w:r>
          </w:p>
        </w:tc>
      </w:tr>
    </w:tbl>
    <w:p>
      <w:pPr>
        <w:spacing w:line="360" w:lineRule="auto"/>
        <w:jc w:val="center"/>
        <w:outlineLvl w:val="0"/>
        <w:rPr>
          <w:rFonts w:ascii="宋体" w:hAnsi="宋体"/>
          <w:b/>
          <w:bCs/>
          <w:color w:val="auto"/>
          <w:sz w:val="30"/>
          <w:szCs w:val="30"/>
          <w:highlight w:val="none"/>
        </w:rPr>
        <w:sectPr>
          <w:pgSz w:w="11906" w:h="16838"/>
          <w:pgMar w:top="1440" w:right="1797" w:bottom="1440" w:left="1797" w:header="851" w:footer="992" w:gutter="0"/>
          <w:cols w:space="720" w:num="1"/>
          <w:docGrid w:linePitch="312" w:charSpace="0"/>
        </w:sectPr>
      </w:pPr>
      <w:r>
        <w:rPr>
          <w:rFonts w:hint="eastAsia" w:ascii="宋体" w:hAnsi="宋体"/>
          <w:b/>
          <w:bCs/>
          <w:color w:val="auto"/>
          <w:sz w:val="30"/>
          <w:szCs w:val="30"/>
          <w:highlight w:val="none"/>
        </w:rPr>
        <w:br w:type="page"/>
      </w:r>
    </w:p>
    <w:p>
      <w:pPr>
        <w:spacing w:line="360" w:lineRule="auto"/>
        <w:jc w:val="center"/>
        <w:outlineLvl w:val="0"/>
        <w:rPr>
          <w:rFonts w:ascii="宋体" w:hAnsi="宋体"/>
          <w:b/>
          <w:bCs/>
          <w:color w:val="auto"/>
          <w:sz w:val="30"/>
          <w:szCs w:val="30"/>
          <w:highlight w:val="none"/>
        </w:rPr>
      </w:pPr>
      <w:r>
        <w:rPr>
          <w:rFonts w:hint="eastAsia" w:ascii="宋体" w:hAnsi="宋体"/>
          <w:b/>
          <w:bCs/>
          <w:color w:val="auto"/>
          <w:sz w:val="30"/>
          <w:szCs w:val="30"/>
          <w:highlight w:val="none"/>
        </w:rPr>
        <w:t>二、通用条款、专用条款</w:t>
      </w:r>
    </w:p>
    <w:p>
      <w:pPr>
        <w:snapToGrid w:val="0"/>
        <w:spacing w:line="360" w:lineRule="auto"/>
        <w:ind w:firstLine="420" w:firstLineChars="200"/>
        <w:rPr>
          <w:rFonts w:ascii="宋体" w:hAnsi="宋体"/>
          <w:color w:val="auto"/>
          <w:szCs w:val="21"/>
          <w:highlight w:val="none"/>
        </w:rPr>
      </w:pP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通用条款、专用条款为本合同重要组成部分，请甲乙双方按《建设工程施工合同》范本（GF-2013-0201）协商签定，未尽事宜，由合同双方协商处理。</w:t>
      </w:r>
    </w:p>
    <w:p>
      <w:pPr>
        <w:widowControl/>
        <w:spacing w:line="360" w:lineRule="auto"/>
        <w:jc w:val="left"/>
        <w:outlineLvl w:val="0"/>
        <w:rPr>
          <w:rFonts w:ascii="宋体" w:hAnsi="宋体"/>
          <w:b/>
          <w:bCs/>
          <w:color w:val="auto"/>
          <w:szCs w:val="21"/>
          <w:highlight w:val="none"/>
        </w:rPr>
      </w:pPr>
      <w:r>
        <w:rPr>
          <w:rFonts w:hint="eastAsia" w:ascii="宋体" w:hAnsi="宋体"/>
          <w:b/>
          <w:bCs/>
          <w:color w:val="auto"/>
          <w:szCs w:val="21"/>
          <w:highlight w:val="none"/>
        </w:rPr>
        <w:t>一、项目概况</w:t>
      </w:r>
    </w:p>
    <w:p>
      <w:pPr>
        <w:widowControl/>
        <w:spacing w:line="360" w:lineRule="auto"/>
        <w:jc w:val="left"/>
        <w:rPr>
          <w:rFonts w:ascii="宋体" w:hAnsi="宋体"/>
          <w:b/>
          <w:bCs/>
          <w:color w:val="auto"/>
          <w:szCs w:val="21"/>
          <w:highlight w:val="none"/>
        </w:rPr>
      </w:pPr>
      <w:r>
        <w:rPr>
          <w:rFonts w:hint="eastAsia" w:ascii="宋体" w:hAnsi="宋体"/>
          <w:b/>
          <w:bCs/>
          <w:color w:val="auto"/>
          <w:szCs w:val="21"/>
          <w:highlight w:val="none"/>
        </w:rPr>
        <w:t>1、工程名称：</w:t>
      </w:r>
    </w:p>
    <w:p>
      <w:pPr>
        <w:widowControl/>
        <w:spacing w:line="360" w:lineRule="auto"/>
        <w:jc w:val="left"/>
        <w:outlineLvl w:val="1"/>
        <w:rPr>
          <w:rFonts w:ascii="宋体" w:hAnsi="宋体"/>
          <w:b/>
          <w:color w:val="auto"/>
          <w:szCs w:val="21"/>
          <w:highlight w:val="none"/>
        </w:rPr>
      </w:pPr>
      <w:r>
        <w:rPr>
          <w:rFonts w:hint="eastAsia" w:ascii="宋体" w:hAnsi="宋体"/>
          <w:color w:val="auto"/>
          <w:szCs w:val="21"/>
          <w:highlight w:val="none"/>
        </w:rPr>
        <w:t>1.1</w:t>
      </w:r>
      <w:r>
        <w:rPr>
          <w:rFonts w:hint="eastAsia" w:ascii="宋体" w:hAnsi="宋体"/>
          <w:color w:val="auto"/>
          <w:szCs w:val="21"/>
          <w:highlight w:val="none"/>
          <w:u w:val="single"/>
        </w:rPr>
        <w:t>南京技师学院校园零星维修工程项目</w:t>
      </w:r>
      <w:r>
        <w:rPr>
          <w:rFonts w:hint="eastAsia" w:ascii="宋体" w:hAnsi="宋体"/>
          <w:color w:val="auto"/>
          <w:szCs w:val="21"/>
          <w:highlight w:val="none"/>
        </w:rPr>
        <w:t xml:space="preserve"> </w:t>
      </w:r>
      <w:r>
        <w:rPr>
          <w:rFonts w:hint="eastAsia" w:ascii="宋体" w:hAnsi="宋体"/>
          <w:b/>
          <w:color w:val="auto"/>
          <w:szCs w:val="21"/>
          <w:highlight w:val="none"/>
        </w:rPr>
        <w:t xml:space="preserve"> </w:t>
      </w:r>
    </w:p>
    <w:p>
      <w:pPr>
        <w:widowControl/>
        <w:spacing w:line="360" w:lineRule="auto"/>
        <w:jc w:val="left"/>
        <w:rPr>
          <w:rFonts w:ascii="宋体" w:hAnsi="宋体"/>
          <w:b/>
          <w:bCs/>
          <w:color w:val="auto"/>
          <w:szCs w:val="21"/>
          <w:highlight w:val="none"/>
        </w:rPr>
      </w:pPr>
      <w:r>
        <w:rPr>
          <w:rFonts w:hint="eastAsia" w:ascii="宋体" w:hAnsi="宋体"/>
          <w:b/>
          <w:bCs/>
          <w:color w:val="auto"/>
          <w:szCs w:val="21"/>
          <w:highlight w:val="none"/>
        </w:rPr>
        <w:t>2、工程地点：</w:t>
      </w:r>
    </w:p>
    <w:p>
      <w:pPr>
        <w:widowControl/>
        <w:spacing w:line="360" w:lineRule="auto"/>
        <w:jc w:val="left"/>
        <w:outlineLvl w:val="1"/>
        <w:rPr>
          <w:rFonts w:ascii="宋体" w:hAnsi="宋体"/>
          <w:color w:val="auto"/>
          <w:szCs w:val="21"/>
          <w:highlight w:val="none"/>
        </w:rPr>
      </w:pPr>
      <w:r>
        <w:rPr>
          <w:rFonts w:hint="eastAsia" w:ascii="宋体" w:hAnsi="宋体"/>
          <w:color w:val="auto"/>
          <w:szCs w:val="21"/>
          <w:highlight w:val="none"/>
        </w:rPr>
        <w:t>2.1</w:t>
      </w:r>
      <w:r>
        <w:rPr>
          <w:rFonts w:ascii="宋体" w:hAnsi="宋体"/>
          <w:bCs/>
          <w:color w:val="auto"/>
          <w:szCs w:val="21"/>
          <w:highlight w:val="none"/>
        </w:rPr>
        <w:t>南京市栖霞区学海路29号</w:t>
      </w:r>
    </w:p>
    <w:p>
      <w:pPr>
        <w:widowControl/>
        <w:spacing w:line="360" w:lineRule="auto"/>
        <w:jc w:val="left"/>
        <w:rPr>
          <w:rFonts w:ascii="宋体" w:hAnsi="宋体"/>
          <w:b/>
          <w:bCs/>
          <w:color w:val="auto"/>
          <w:szCs w:val="21"/>
          <w:highlight w:val="none"/>
        </w:rPr>
      </w:pPr>
      <w:r>
        <w:rPr>
          <w:rFonts w:hint="eastAsia" w:ascii="宋体" w:hAnsi="宋体"/>
          <w:b/>
          <w:bCs/>
          <w:color w:val="auto"/>
          <w:szCs w:val="21"/>
          <w:highlight w:val="none"/>
        </w:rPr>
        <w:t>3、工程内容</w:t>
      </w:r>
    </w:p>
    <w:p>
      <w:pPr>
        <w:widowControl/>
        <w:spacing w:line="360" w:lineRule="auto"/>
        <w:rPr>
          <w:rFonts w:ascii="宋体" w:hAnsi="宋体"/>
          <w:color w:val="auto"/>
          <w:szCs w:val="21"/>
          <w:highlight w:val="none"/>
        </w:rPr>
      </w:pPr>
      <w:r>
        <w:rPr>
          <w:rFonts w:hint="eastAsia" w:ascii="宋体" w:hAnsi="宋体"/>
          <w:b/>
          <w:color w:val="auto"/>
          <w:szCs w:val="21"/>
          <w:highlight w:val="none"/>
        </w:rPr>
        <w:t>3.1主要内容：</w:t>
      </w:r>
      <w:r>
        <w:rPr>
          <w:rFonts w:hint="eastAsia" w:ascii="宋体" w:hAnsi="宋体"/>
          <w:color w:val="auto"/>
          <w:szCs w:val="21"/>
          <w:highlight w:val="none"/>
          <w:lang w:bidi="ar"/>
        </w:rPr>
        <w:t>主要内容为校区内建筑物及附属设施的修缮。涉及建筑与装饰、市政等零星维修服务。具体为屋面排水、屋面防水、平立面防水、伸缩缝、保温、隔热、楼地面、墙柱面、天棚、吊顶、油漆、涂料、墙纸、门窗、课桌椅、隔断、柜类、窗帘、窗帘轨道、灯具、洁具、线路、道路路面、路灯、雨污水井、检查井、给排水</w:t>
      </w:r>
      <w:r>
        <w:rPr>
          <w:rFonts w:hint="eastAsia" w:ascii="宋体" w:hAnsi="宋体"/>
          <w:color w:val="auto"/>
          <w:szCs w:val="21"/>
          <w:highlight w:val="none"/>
          <w:lang w:eastAsia="zh-CN" w:bidi="ar"/>
        </w:rPr>
        <w:t>、河道内杂草清除、卷帘门、闸机</w:t>
      </w:r>
      <w:r>
        <w:rPr>
          <w:rFonts w:hint="eastAsia" w:ascii="宋体" w:hAnsi="宋体"/>
          <w:color w:val="auto"/>
          <w:szCs w:val="21"/>
          <w:highlight w:val="none"/>
          <w:lang w:bidi="ar"/>
        </w:rPr>
        <w:t>等内容的预算金额在20万元（不含20万）以内的零星维修改造内容。</w:t>
      </w:r>
    </w:p>
    <w:p>
      <w:pPr>
        <w:spacing w:line="360" w:lineRule="auto"/>
        <w:rPr>
          <w:rFonts w:ascii="宋体" w:hAnsi="宋体"/>
          <w:color w:val="auto"/>
          <w:szCs w:val="21"/>
          <w:highlight w:val="none"/>
        </w:rPr>
      </w:pPr>
      <w:r>
        <w:rPr>
          <w:rFonts w:hint="eastAsia" w:ascii="宋体" w:hAnsi="宋体"/>
          <w:b/>
          <w:color w:val="auto"/>
          <w:szCs w:val="21"/>
          <w:highlight w:val="none"/>
        </w:rPr>
        <w:t xml:space="preserve">3.2 工期：合同期 </w:t>
      </w:r>
      <w:r>
        <w:rPr>
          <w:rFonts w:hint="eastAsia" w:ascii="宋体" w:hAnsi="宋体"/>
          <w:color w:val="auto"/>
          <w:szCs w:val="21"/>
          <w:highlight w:val="none"/>
          <w:u w:val="single"/>
        </w:rPr>
        <w:t xml:space="preserve">     年  月  日-     年  月   日</w:t>
      </w:r>
    </w:p>
    <w:p>
      <w:pPr>
        <w:widowControl/>
        <w:spacing w:line="360" w:lineRule="auto"/>
        <w:jc w:val="left"/>
        <w:outlineLvl w:val="0"/>
        <w:rPr>
          <w:rFonts w:ascii="宋体" w:hAnsi="宋体"/>
          <w:b/>
          <w:bCs/>
          <w:color w:val="auto"/>
          <w:szCs w:val="21"/>
          <w:highlight w:val="none"/>
        </w:rPr>
      </w:pPr>
      <w:r>
        <w:rPr>
          <w:rFonts w:hint="eastAsia" w:ascii="宋体" w:hAnsi="宋体"/>
          <w:b/>
          <w:bCs/>
          <w:color w:val="auto"/>
          <w:szCs w:val="21"/>
          <w:highlight w:val="none"/>
        </w:rPr>
        <w:t>二、采购具体要求说明</w:t>
      </w:r>
    </w:p>
    <w:p>
      <w:pPr>
        <w:widowControl/>
        <w:spacing w:line="360" w:lineRule="auto"/>
        <w:jc w:val="left"/>
        <w:rPr>
          <w:rFonts w:ascii="宋体" w:hAnsi="宋体"/>
          <w:b/>
          <w:color w:val="auto"/>
          <w:szCs w:val="21"/>
          <w:highlight w:val="none"/>
        </w:rPr>
      </w:pPr>
      <w:r>
        <w:rPr>
          <w:rFonts w:hint="eastAsia" w:ascii="宋体" w:hAnsi="宋体"/>
          <w:b/>
          <w:color w:val="auto"/>
          <w:szCs w:val="21"/>
          <w:highlight w:val="none"/>
        </w:rPr>
        <w:t>4、工程质量管理要求</w:t>
      </w:r>
    </w:p>
    <w:p>
      <w:pPr>
        <w:widowControl/>
        <w:spacing w:line="360" w:lineRule="auto"/>
        <w:jc w:val="left"/>
        <w:rPr>
          <w:rFonts w:ascii="宋体" w:hAnsi="宋体"/>
          <w:color w:val="auto"/>
          <w:szCs w:val="21"/>
          <w:highlight w:val="none"/>
        </w:rPr>
      </w:pPr>
      <w:r>
        <w:rPr>
          <w:rFonts w:hint="eastAsia" w:ascii="宋体" w:hAnsi="宋体"/>
          <w:color w:val="auto"/>
          <w:szCs w:val="21"/>
          <w:highlight w:val="none"/>
        </w:rPr>
        <w:t>4.1 符合国家现行质量验收标准；</w:t>
      </w:r>
    </w:p>
    <w:p>
      <w:pPr>
        <w:widowControl/>
        <w:spacing w:line="360" w:lineRule="auto"/>
        <w:jc w:val="left"/>
        <w:rPr>
          <w:rFonts w:ascii="宋体" w:hAnsi="宋体"/>
          <w:color w:val="auto"/>
          <w:szCs w:val="21"/>
          <w:highlight w:val="none"/>
        </w:rPr>
      </w:pPr>
      <w:r>
        <w:rPr>
          <w:rFonts w:hint="eastAsia" w:ascii="宋体" w:hAnsi="宋体"/>
          <w:color w:val="auto"/>
          <w:szCs w:val="21"/>
          <w:highlight w:val="none"/>
        </w:rPr>
        <w:t>4.2 在施工过程中，后勤处工程管理人员要深入施工现场，加强质量管理。对隐蔽工程，乙方必须及时通知后勤处，后勤处在接到乙方通知后及时组织监理单位（如有）、审计单位、使用单位、设计单位（如有）等进行现场勘查、确认和验收，签署隐蔽工程验收单和工程量签证单；后勤处会依据具体项目需要安排专业监理公司或学校老师学生对项目施工过程进行监督管理；</w:t>
      </w:r>
    </w:p>
    <w:p>
      <w:pPr>
        <w:widowControl/>
        <w:spacing w:line="360" w:lineRule="auto"/>
        <w:jc w:val="left"/>
        <w:rPr>
          <w:rFonts w:ascii="宋体" w:hAnsi="宋体"/>
          <w:color w:val="auto"/>
          <w:szCs w:val="21"/>
          <w:highlight w:val="none"/>
        </w:rPr>
      </w:pPr>
      <w:r>
        <w:rPr>
          <w:rFonts w:hint="eastAsia" w:ascii="宋体" w:hAnsi="宋体"/>
          <w:color w:val="auto"/>
          <w:szCs w:val="21"/>
          <w:highlight w:val="none"/>
        </w:rPr>
        <w:t>4.3 工程完工后，乙方应及时向后勤处提出验收申请。后勤处在接到申请两日内，组织设计单位、监理</w:t>
      </w:r>
      <w:r>
        <w:rPr>
          <w:rFonts w:ascii="宋体" w:hAnsi="宋体"/>
          <w:color w:val="auto"/>
          <w:szCs w:val="21"/>
          <w:highlight w:val="none"/>
        </w:rPr>
        <w:t>单位、</w:t>
      </w:r>
      <w:r>
        <w:rPr>
          <w:rFonts w:hint="eastAsia" w:ascii="宋体" w:hAnsi="宋体"/>
          <w:color w:val="auto"/>
          <w:szCs w:val="21"/>
          <w:highlight w:val="none"/>
        </w:rPr>
        <w:t>使用单位、乙方等进行工程验收。对验收中查出的质量问题，乙方必须认真、及时整改。对施工质量不合格的工程，不验收，不结算。后勤处工程管理人员要依法办事，确保工程监管到位、工程质量合格；</w:t>
      </w:r>
    </w:p>
    <w:p>
      <w:pPr>
        <w:widowControl/>
        <w:spacing w:line="360" w:lineRule="auto"/>
        <w:jc w:val="left"/>
        <w:rPr>
          <w:rFonts w:ascii="宋体" w:hAnsi="宋体"/>
          <w:color w:val="auto"/>
          <w:szCs w:val="21"/>
          <w:highlight w:val="none"/>
        </w:rPr>
      </w:pPr>
      <w:r>
        <w:rPr>
          <w:rFonts w:hint="eastAsia" w:ascii="宋体" w:hAnsi="宋体"/>
          <w:color w:val="auto"/>
          <w:szCs w:val="21"/>
          <w:highlight w:val="none"/>
        </w:rPr>
        <w:t>4.4 施工前工程中所用主材后勤处将根据实际情况选择主材甲供或甲控乙供；施工前确认</w:t>
      </w:r>
      <w:r>
        <w:rPr>
          <w:rFonts w:ascii="宋体" w:hAnsi="宋体"/>
          <w:color w:val="auto"/>
          <w:szCs w:val="21"/>
          <w:highlight w:val="none"/>
        </w:rPr>
        <w:t>的主材品牌，施工过程中乙方不得随意更换或以次充好，</w:t>
      </w:r>
      <w:r>
        <w:rPr>
          <w:rFonts w:hint="eastAsia" w:ascii="宋体" w:hAnsi="宋体"/>
          <w:color w:val="auto"/>
          <w:szCs w:val="21"/>
          <w:highlight w:val="none"/>
        </w:rPr>
        <w:t>工程所用主材需一次性全部进场，中途如需补货需在采购人见证下补货。</w:t>
      </w:r>
    </w:p>
    <w:p>
      <w:pPr>
        <w:widowControl/>
        <w:spacing w:line="360" w:lineRule="auto"/>
        <w:jc w:val="left"/>
        <w:rPr>
          <w:rFonts w:ascii="宋体" w:hAnsi="宋体"/>
          <w:color w:val="auto"/>
          <w:szCs w:val="21"/>
          <w:highlight w:val="none"/>
        </w:rPr>
      </w:pPr>
      <w:r>
        <w:rPr>
          <w:rFonts w:hint="eastAsia" w:ascii="宋体" w:hAnsi="宋体"/>
          <w:color w:val="auto"/>
          <w:szCs w:val="21"/>
          <w:highlight w:val="none"/>
        </w:rPr>
        <w:t>4.5质量保修期1年。</w:t>
      </w:r>
    </w:p>
    <w:p>
      <w:pPr>
        <w:widowControl/>
        <w:spacing w:line="360" w:lineRule="auto"/>
        <w:jc w:val="left"/>
        <w:rPr>
          <w:rFonts w:ascii="宋体" w:hAnsi="宋体"/>
          <w:b/>
          <w:color w:val="auto"/>
          <w:szCs w:val="21"/>
          <w:highlight w:val="none"/>
        </w:rPr>
      </w:pPr>
      <w:r>
        <w:rPr>
          <w:rFonts w:hint="eastAsia" w:ascii="宋体" w:hAnsi="宋体"/>
          <w:b/>
          <w:color w:val="auto"/>
          <w:szCs w:val="21"/>
          <w:highlight w:val="none"/>
        </w:rPr>
        <w:t>5、工程安全文明管理要求</w:t>
      </w:r>
    </w:p>
    <w:p>
      <w:pPr>
        <w:widowControl/>
        <w:spacing w:line="360" w:lineRule="auto"/>
        <w:jc w:val="left"/>
        <w:rPr>
          <w:rFonts w:ascii="宋体" w:hAnsi="宋体"/>
          <w:color w:val="auto"/>
          <w:szCs w:val="21"/>
          <w:highlight w:val="none"/>
        </w:rPr>
      </w:pPr>
      <w:r>
        <w:rPr>
          <w:rFonts w:hint="eastAsia" w:ascii="宋体" w:hAnsi="宋体"/>
          <w:color w:val="auto"/>
          <w:szCs w:val="21"/>
          <w:highlight w:val="none"/>
        </w:rPr>
        <w:t>5.1 具有安全生产许可证；</w:t>
      </w:r>
    </w:p>
    <w:p>
      <w:pPr>
        <w:widowControl/>
        <w:spacing w:line="360" w:lineRule="auto"/>
        <w:jc w:val="left"/>
        <w:rPr>
          <w:rFonts w:ascii="宋体" w:hAnsi="宋体"/>
          <w:color w:val="auto"/>
          <w:szCs w:val="21"/>
          <w:highlight w:val="none"/>
        </w:rPr>
      </w:pPr>
      <w:r>
        <w:rPr>
          <w:rFonts w:hint="eastAsia" w:ascii="宋体" w:hAnsi="宋体"/>
          <w:color w:val="auto"/>
          <w:szCs w:val="21"/>
          <w:highlight w:val="none"/>
        </w:rPr>
        <w:t>5.2 有关安全施工（生产）证件的检验。任何队伍入场，不管项目大小，首先检验该施工企业的安全施工（生产）证明和相关人员上岗证等，留下复印件；</w:t>
      </w:r>
    </w:p>
    <w:p>
      <w:pPr>
        <w:widowControl/>
        <w:spacing w:line="360" w:lineRule="auto"/>
        <w:jc w:val="left"/>
        <w:rPr>
          <w:rFonts w:ascii="宋体" w:hAnsi="宋体"/>
          <w:color w:val="auto"/>
          <w:szCs w:val="21"/>
          <w:highlight w:val="none"/>
        </w:rPr>
      </w:pPr>
      <w:r>
        <w:rPr>
          <w:rFonts w:hint="eastAsia" w:ascii="宋体" w:hAnsi="宋体"/>
          <w:color w:val="auto"/>
          <w:szCs w:val="21"/>
          <w:highlight w:val="none"/>
        </w:rPr>
        <w:t>5.3 施工现场安全制度的落实与检查。施工方应确定固定安全员，落实有效安全措施；</w:t>
      </w:r>
      <w:r>
        <w:rPr>
          <w:rFonts w:ascii="宋体" w:hAnsi="宋体"/>
          <w:color w:val="auto"/>
          <w:szCs w:val="21"/>
          <w:highlight w:val="none"/>
        </w:rPr>
        <w:t>乙方在施工过程中一定要自行做好安全措施和现场防护措施，如若在工程作业过程中发生安全事故造成乙方人员或因乙方原因造成第三方人员伤亡，一切责任由乙方承担。</w:t>
      </w:r>
    </w:p>
    <w:p>
      <w:pPr>
        <w:widowControl/>
        <w:spacing w:line="360" w:lineRule="auto"/>
        <w:jc w:val="left"/>
        <w:rPr>
          <w:rFonts w:ascii="宋体" w:hAnsi="宋体"/>
          <w:b/>
          <w:color w:val="auto"/>
          <w:szCs w:val="21"/>
          <w:highlight w:val="none"/>
        </w:rPr>
      </w:pPr>
      <w:r>
        <w:rPr>
          <w:rFonts w:hint="eastAsia" w:ascii="宋体" w:hAnsi="宋体"/>
          <w:b/>
          <w:color w:val="auto"/>
          <w:szCs w:val="21"/>
          <w:highlight w:val="none"/>
        </w:rPr>
        <w:t>6、工程进度管理要求</w:t>
      </w:r>
    </w:p>
    <w:p>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6.1</w:t>
      </w:r>
      <w:r>
        <w:rPr>
          <w:rFonts w:hint="eastAsia" w:ascii="宋体" w:hAnsi="宋体"/>
          <w:color w:val="auto"/>
          <w:sz w:val="24"/>
          <w:szCs w:val="24"/>
          <w:highlight w:val="none"/>
        </w:rPr>
        <w:t>乙方接到维修改造任务后必须在承诺的到场时间内到场，且不得超过3小时，若未能按要求到场的甲方有权进行追责（</w:t>
      </w:r>
      <w:r>
        <w:rPr>
          <w:rFonts w:hint="eastAsia" w:ascii="宋体" w:hAnsi="宋体"/>
          <w:color w:val="auto"/>
          <w:sz w:val="24"/>
          <w:szCs w:val="24"/>
          <w:highlight w:val="none"/>
          <w:lang w:eastAsia="zh-CN"/>
        </w:rPr>
        <w:t>包括但不限于限期整改</w:t>
      </w:r>
      <w:r>
        <w:rPr>
          <w:rFonts w:hint="eastAsia" w:ascii="宋体" w:hAnsi="宋体"/>
          <w:color w:val="auto"/>
          <w:sz w:val="24"/>
          <w:szCs w:val="24"/>
          <w:highlight w:val="none"/>
        </w:rPr>
        <w:t>、要求乙方支付违约金每次500元、扣除乙方合同款项、终止合同等。）</w:t>
      </w:r>
    </w:p>
    <w:p>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6.2</w:t>
      </w:r>
      <w:r>
        <w:rPr>
          <w:rFonts w:hint="eastAsia" w:ascii="宋体" w:hAnsi="宋体"/>
          <w:color w:val="auto"/>
          <w:sz w:val="24"/>
          <w:szCs w:val="24"/>
          <w:highlight w:val="none"/>
        </w:rPr>
        <w:t>乙方接到任务后对于1万元以下的维修改造工程，必须在承诺时间内且不得超过24小时内向后勤处上报项目</w:t>
      </w:r>
      <w:r>
        <w:rPr>
          <w:rFonts w:hint="eastAsia" w:ascii="宋体" w:hAnsi="宋体"/>
          <w:color w:val="auto"/>
          <w:sz w:val="24"/>
          <w:szCs w:val="24"/>
          <w:highlight w:val="none"/>
          <w:lang w:val="en-US" w:eastAsia="zh-CN"/>
        </w:rPr>
        <w:t>完成情况。</w:t>
      </w:r>
      <w:r>
        <w:rPr>
          <w:rFonts w:hint="eastAsia" w:ascii="宋体" w:hAnsi="宋体"/>
          <w:color w:val="auto"/>
          <w:sz w:val="24"/>
          <w:szCs w:val="24"/>
          <w:highlight w:val="none"/>
        </w:rPr>
        <w:t>1万元以上的维修改造工程，必须在承诺时间内且不得超过48小时内向后勤处上报项目施工方案（含工期安排）及概算文件(概算文件必须详细备注所用材料的品牌、规格、型号等信息)；若未能按时间及规范要求上报的甲方有权进行追责（</w:t>
      </w:r>
      <w:r>
        <w:rPr>
          <w:rFonts w:hint="eastAsia" w:ascii="宋体" w:hAnsi="宋体"/>
          <w:color w:val="auto"/>
          <w:sz w:val="24"/>
          <w:szCs w:val="24"/>
          <w:highlight w:val="none"/>
          <w:lang w:eastAsia="zh-CN"/>
        </w:rPr>
        <w:t>包括但不限于限期整改</w:t>
      </w:r>
      <w:r>
        <w:rPr>
          <w:rFonts w:hint="eastAsia" w:ascii="宋体" w:hAnsi="宋体"/>
          <w:color w:val="auto"/>
          <w:sz w:val="24"/>
          <w:szCs w:val="24"/>
          <w:highlight w:val="none"/>
        </w:rPr>
        <w:t>、要求乙方支付违约金每次500元、扣除乙方合同款项、终止合同等。）</w:t>
      </w:r>
    </w:p>
    <w:p>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6.3</w:t>
      </w:r>
      <w:r>
        <w:rPr>
          <w:rFonts w:hint="eastAsia" w:ascii="宋体" w:hAnsi="宋体"/>
          <w:color w:val="auto"/>
          <w:sz w:val="24"/>
          <w:szCs w:val="24"/>
          <w:highlight w:val="none"/>
        </w:rPr>
        <w:t>后勤处项目负责人及使用单位代表及时检查、督促工程进度情况，针对施工中出现的问题，要求乙方采取相对的措施，确保质量、进度计划的措施，有些工程项目甲方会派出工程监理，乙方应积极配合，服从监理监督管理。</w:t>
      </w:r>
    </w:p>
    <w:p>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6.4</w:t>
      </w:r>
      <w:r>
        <w:rPr>
          <w:rFonts w:hint="eastAsia" w:ascii="宋体" w:hAnsi="宋体"/>
          <w:color w:val="auto"/>
          <w:sz w:val="24"/>
          <w:szCs w:val="24"/>
          <w:highlight w:val="none"/>
        </w:rPr>
        <w:t>乙方应建立全面反映工程进度状况的工程日志、工程实际与计划进度对比图，乙方做好工程的统筹、计划工作，科学组织，倒排工期，编制施工进度计划，根据现场情况优化施工组织设计及施工方案，以提高施工效率，加快施工进度，乙方应有驻校工程技术人员，确保施工质量。</w:t>
      </w:r>
    </w:p>
    <w:p>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6.5</w:t>
      </w:r>
      <w:r>
        <w:rPr>
          <w:rFonts w:hint="eastAsia" w:ascii="宋体" w:hAnsi="宋体"/>
          <w:color w:val="auto"/>
          <w:sz w:val="24"/>
          <w:szCs w:val="24"/>
          <w:highlight w:val="none"/>
        </w:rPr>
        <w:t>未完成月度（包括调整）施工进度计划的类型均需提交专题“进度情况分析报告”，找出存在的问题，提出下阶段切实可行的计划。报告的主要内容包括：（1）未完成进度计划的主要工程项目和工程数量。（2）未完成进度计划的主要原因。（3）赶上本阶段施工进度计划的具体时间和实现这一目标计划的保证措施；</w:t>
      </w:r>
    </w:p>
    <w:p>
      <w:pPr>
        <w:widowControl/>
        <w:spacing w:line="360" w:lineRule="auto"/>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6.6</w:t>
      </w:r>
      <w:r>
        <w:rPr>
          <w:rFonts w:hint="eastAsia" w:ascii="宋体" w:hAnsi="宋体"/>
          <w:color w:val="auto"/>
          <w:sz w:val="24"/>
          <w:szCs w:val="24"/>
          <w:highlight w:val="none"/>
        </w:rPr>
        <w:t>乙方由于自身原因未按照要求完成进度计划的，甲方有权进行追责（</w:t>
      </w:r>
      <w:r>
        <w:rPr>
          <w:rFonts w:hint="eastAsia" w:ascii="宋体" w:hAnsi="宋体"/>
          <w:color w:val="auto"/>
          <w:sz w:val="24"/>
          <w:szCs w:val="24"/>
          <w:highlight w:val="none"/>
          <w:lang w:eastAsia="zh-CN"/>
        </w:rPr>
        <w:t>包括但不限于限期整改</w:t>
      </w:r>
      <w:r>
        <w:rPr>
          <w:rFonts w:hint="eastAsia" w:ascii="宋体" w:hAnsi="宋体"/>
          <w:color w:val="auto"/>
          <w:sz w:val="24"/>
          <w:szCs w:val="24"/>
          <w:highlight w:val="none"/>
        </w:rPr>
        <w:t>、要求乙方支付违约金每次500元、扣除乙方合同款项、终止合同等。）</w:t>
      </w:r>
      <w:r>
        <w:rPr>
          <w:rFonts w:hint="eastAsia" w:ascii="宋体" w:hAnsi="宋体"/>
          <w:color w:val="auto"/>
          <w:sz w:val="24"/>
          <w:szCs w:val="24"/>
          <w:highlight w:val="none"/>
          <w:lang w:val="en-US" w:eastAsia="zh-CN"/>
        </w:rPr>
        <w:t xml:space="preserve">    </w:t>
      </w:r>
    </w:p>
    <w:p>
      <w:pPr>
        <w:widowControl/>
        <w:spacing w:line="360" w:lineRule="auto"/>
        <w:jc w:val="left"/>
        <w:rPr>
          <w:rFonts w:ascii="宋体" w:hAnsi="宋体"/>
          <w:color w:val="auto"/>
          <w:sz w:val="24"/>
          <w:szCs w:val="24"/>
          <w:highlight w:val="none"/>
        </w:rPr>
      </w:pPr>
      <w:r>
        <w:rPr>
          <w:rFonts w:hint="eastAsia" w:ascii="宋体" w:hAnsi="宋体"/>
          <w:color w:val="auto"/>
          <w:sz w:val="24"/>
          <w:szCs w:val="24"/>
          <w:highlight w:val="none"/>
          <w:lang w:val="en-US" w:eastAsia="zh-CN"/>
        </w:rPr>
        <w:t>6.7本月结束后，乙方必须在次月15日前，向后勤处上报该月任务结算资料。否则甲方有权要求乙方限期整改，若整改不到位则每延误一天扣除乙方合同款项每天500元，直至当月合同款项全部扣除为止，次月底若不交任务结算资料，则默认为放弃该月合同款项。</w:t>
      </w:r>
    </w:p>
    <w:p>
      <w:pPr>
        <w:widowControl/>
        <w:spacing w:line="360" w:lineRule="auto"/>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6.8</w:t>
      </w:r>
      <w:r>
        <w:rPr>
          <w:rFonts w:hint="eastAsia" w:ascii="宋体" w:hAnsi="宋体"/>
          <w:color w:val="auto"/>
          <w:sz w:val="24"/>
          <w:szCs w:val="24"/>
          <w:highlight w:val="none"/>
        </w:rPr>
        <w:t>乙方在接到后勤处抢修工程任务时候，必须在承诺的时间内且不超过1小时内到达现场后及时组织处理，不能按要求到场处理的甲方有权进行追责（</w:t>
      </w:r>
      <w:r>
        <w:rPr>
          <w:rFonts w:hint="eastAsia" w:ascii="宋体" w:hAnsi="宋体"/>
          <w:color w:val="auto"/>
          <w:sz w:val="24"/>
          <w:szCs w:val="24"/>
          <w:highlight w:val="none"/>
          <w:lang w:eastAsia="zh-CN"/>
        </w:rPr>
        <w:t>包括但不限于限期整改</w:t>
      </w:r>
      <w:r>
        <w:rPr>
          <w:rFonts w:hint="eastAsia" w:ascii="宋体" w:hAnsi="宋体"/>
          <w:color w:val="auto"/>
          <w:sz w:val="24"/>
          <w:szCs w:val="24"/>
          <w:highlight w:val="none"/>
        </w:rPr>
        <w:t>、要求乙方支付违约金每次500元、扣除乙方合同款项、终止合同等。）</w:t>
      </w:r>
    </w:p>
    <w:p>
      <w:pPr>
        <w:widowControl/>
        <w:spacing w:line="360" w:lineRule="auto"/>
        <w:jc w:val="left"/>
        <w:rPr>
          <w:rFonts w:ascii="宋体" w:hAnsi="宋体"/>
          <w:b/>
          <w:color w:val="auto"/>
          <w:szCs w:val="21"/>
          <w:highlight w:val="none"/>
        </w:rPr>
      </w:pPr>
      <w:r>
        <w:rPr>
          <w:rFonts w:hint="eastAsia" w:ascii="宋体" w:hAnsi="宋体"/>
          <w:b/>
          <w:color w:val="auto"/>
          <w:szCs w:val="21"/>
          <w:highlight w:val="none"/>
        </w:rPr>
        <w:t>7、工程费用管理要求</w:t>
      </w:r>
    </w:p>
    <w:p>
      <w:pPr>
        <w:widowControl/>
        <w:spacing w:line="360" w:lineRule="auto"/>
        <w:jc w:val="left"/>
        <w:rPr>
          <w:rFonts w:ascii="宋体" w:hAnsi="宋体"/>
          <w:color w:val="auto"/>
          <w:szCs w:val="21"/>
          <w:highlight w:val="none"/>
        </w:rPr>
      </w:pPr>
      <w:r>
        <w:rPr>
          <w:rFonts w:hint="eastAsia" w:ascii="宋体" w:hAnsi="宋体"/>
          <w:color w:val="auto"/>
          <w:szCs w:val="21"/>
          <w:highlight w:val="none"/>
        </w:rPr>
        <w:t>7.1 年度工程总费用严格控制在年度预算内（单项工程预算不超过100万元）；</w:t>
      </w:r>
    </w:p>
    <w:p>
      <w:pPr>
        <w:widowControl/>
        <w:spacing w:line="360" w:lineRule="auto"/>
        <w:jc w:val="left"/>
        <w:rPr>
          <w:rFonts w:ascii="宋体" w:hAnsi="宋体"/>
          <w:color w:val="auto"/>
          <w:szCs w:val="21"/>
          <w:highlight w:val="none"/>
        </w:rPr>
      </w:pPr>
      <w:r>
        <w:rPr>
          <w:rFonts w:hint="eastAsia" w:ascii="宋体" w:hAnsi="宋体"/>
          <w:color w:val="auto"/>
          <w:szCs w:val="21"/>
          <w:highlight w:val="none"/>
        </w:rPr>
        <w:t>7.2 后勤处安排的抢修任务，乙方不得追加相关措施费或抢修费、赶工费等费用（含节假日安排工程，如：春节期间）；</w:t>
      </w:r>
    </w:p>
    <w:p>
      <w:pPr>
        <w:widowControl/>
        <w:spacing w:line="360" w:lineRule="auto"/>
        <w:jc w:val="left"/>
        <w:rPr>
          <w:rFonts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乙方的进度款申报，严格按照实际完成的工程量及定额标准填报，不得虚报。</w:t>
      </w:r>
    </w:p>
    <w:p>
      <w:pPr>
        <w:widowControl/>
        <w:spacing w:line="360" w:lineRule="auto"/>
        <w:jc w:val="left"/>
        <w:rPr>
          <w:rFonts w:ascii="宋体" w:hAnsi="宋体"/>
          <w:bCs/>
          <w:color w:val="auto"/>
          <w:szCs w:val="21"/>
          <w:highlight w:val="none"/>
        </w:rPr>
      </w:pPr>
      <w:r>
        <w:rPr>
          <w:rFonts w:hint="eastAsia" w:ascii="宋体" w:hAnsi="宋体"/>
          <w:bCs/>
          <w:color w:val="auto"/>
          <w:szCs w:val="21"/>
          <w:highlight w:val="none"/>
        </w:rPr>
        <w:t>7.</w:t>
      </w:r>
      <w:r>
        <w:rPr>
          <w:rFonts w:hint="eastAsia" w:ascii="宋体" w:hAnsi="宋体"/>
          <w:bCs/>
          <w:color w:val="auto"/>
          <w:szCs w:val="21"/>
          <w:highlight w:val="none"/>
          <w:lang w:val="en-US" w:eastAsia="zh-CN"/>
        </w:rPr>
        <w:t>4</w:t>
      </w:r>
      <w:r>
        <w:rPr>
          <w:rFonts w:hint="eastAsia" w:ascii="宋体" w:hAnsi="宋体"/>
          <w:bCs/>
          <w:color w:val="auto"/>
          <w:szCs w:val="21"/>
          <w:highlight w:val="none"/>
        </w:rPr>
        <w:t xml:space="preserve">计价原则 </w:t>
      </w:r>
    </w:p>
    <w:p>
      <w:pPr>
        <w:widowControl/>
        <w:spacing w:line="360" w:lineRule="auto"/>
        <w:jc w:val="left"/>
        <w:rPr>
          <w:rFonts w:ascii="宋体" w:hAnsi="宋体"/>
          <w:bCs/>
          <w:color w:val="auto"/>
          <w:szCs w:val="21"/>
          <w:highlight w:val="none"/>
        </w:rPr>
      </w:pPr>
      <w:r>
        <w:rPr>
          <w:rFonts w:hint="eastAsia" w:ascii="宋体" w:hAnsi="宋体"/>
          <w:bCs/>
          <w:color w:val="auto"/>
          <w:szCs w:val="21"/>
          <w:highlight w:val="none"/>
        </w:rPr>
        <w:t>7.</w:t>
      </w:r>
      <w:r>
        <w:rPr>
          <w:rFonts w:hint="eastAsia" w:ascii="宋体" w:hAnsi="宋体"/>
          <w:bCs/>
          <w:color w:val="auto"/>
          <w:szCs w:val="21"/>
          <w:highlight w:val="none"/>
          <w:lang w:val="en-US" w:eastAsia="zh-CN"/>
        </w:rPr>
        <w:t>4</w:t>
      </w:r>
      <w:r>
        <w:rPr>
          <w:rFonts w:hint="eastAsia" w:ascii="宋体" w:hAnsi="宋体"/>
          <w:bCs/>
          <w:color w:val="auto"/>
          <w:szCs w:val="21"/>
          <w:highlight w:val="none"/>
        </w:rPr>
        <w:t>.1乙方承担的具体工程项目施工任务，由甲方根据工程性质和特点，报价的计价方法按下列规则计算：</w:t>
      </w:r>
    </w:p>
    <w:p>
      <w:pPr>
        <w:widowControl/>
        <w:spacing w:line="360" w:lineRule="auto"/>
        <w:jc w:val="left"/>
        <w:rPr>
          <w:rFonts w:ascii="宋体" w:hAnsi="宋体"/>
          <w:bCs/>
          <w:color w:val="auto"/>
          <w:szCs w:val="21"/>
          <w:highlight w:val="none"/>
        </w:rPr>
      </w:pPr>
      <w:r>
        <w:rPr>
          <w:rFonts w:hint="eastAsia" w:ascii="宋体" w:hAnsi="宋体"/>
          <w:bCs/>
          <w:color w:val="auto"/>
          <w:szCs w:val="21"/>
          <w:highlight w:val="none"/>
        </w:rPr>
        <w:t>7.</w:t>
      </w:r>
      <w:r>
        <w:rPr>
          <w:rFonts w:hint="eastAsia" w:ascii="宋体" w:hAnsi="宋体"/>
          <w:bCs/>
          <w:color w:val="auto"/>
          <w:szCs w:val="21"/>
          <w:highlight w:val="none"/>
          <w:lang w:val="en-US" w:eastAsia="zh-CN"/>
        </w:rPr>
        <w:t>4</w:t>
      </w:r>
      <w:r>
        <w:rPr>
          <w:rFonts w:hint="eastAsia" w:ascii="宋体" w:hAnsi="宋体"/>
          <w:bCs/>
          <w:color w:val="auto"/>
          <w:szCs w:val="21"/>
          <w:highlight w:val="none"/>
        </w:rPr>
        <w:t>.1.1《建设工程工程量清单计价规范》（GB50500-2013）执行。</w:t>
      </w:r>
    </w:p>
    <w:p>
      <w:pPr>
        <w:widowControl/>
        <w:spacing w:line="360" w:lineRule="auto"/>
        <w:jc w:val="left"/>
        <w:rPr>
          <w:rFonts w:ascii="宋体" w:hAnsi="宋体"/>
          <w:bCs/>
          <w:color w:val="auto"/>
          <w:szCs w:val="21"/>
          <w:highlight w:val="none"/>
        </w:rPr>
      </w:pPr>
      <w:r>
        <w:rPr>
          <w:rFonts w:hint="eastAsia" w:ascii="宋体" w:hAnsi="宋体"/>
          <w:bCs/>
          <w:color w:val="auto"/>
          <w:szCs w:val="21"/>
          <w:highlight w:val="none"/>
        </w:rPr>
        <w:t>7.</w:t>
      </w:r>
      <w:r>
        <w:rPr>
          <w:rFonts w:hint="eastAsia" w:ascii="宋体" w:hAnsi="宋体"/>
          <w:bCs/>
          <w:color w:val="auto"/>
          <w:szCs w:val="21"/>
          <w:highlight w:val="none"/>
          <w:lang w:val="en-US" w:eastAsia="zh-CN"/>
        </w:rPr>
        <w:t>4</w:t>
      </w:r>
      <w:r>
        <w:rPr>
          <w:rFonts w:hint="eastAsia" w:ascii="宋体" w:hAnsi="宋体"/>
          <w:bCs/>
          <w:color w:val="auto"/>
          <w:szCs w:val="21"/>
          <w:highlight w:val="none"/>
        </w:rPr>
        <w:t>.1.2可参考的工程计价表和有关文件按《江苏省房屋修缮工程计价表》（2009年）、《江苏省建筑与市政工程计价表》、《江苏省建设工程工程量清单计价项目指引》等相关规定执行。</w:t>
      </w:r>
    </w:p>
    <w:p>
      <w:pPr>
        <w:widowControl/>
        <w:spacing w:line="360" w:lineRule="auto"/>
        <w:jc w:val="left"/>
        <w:rPr>
          <w:rFonts w:ascii="宋体" w:hAnsi="宋体"/>
          <w:bCs/>
          <w:color w:val="auto"/>
          <w:szCs w:val="21"/>
          <w:highlight w:val="none"/>
        </w:rPr>
      </w:pPr>
      <w:r>
        <w:rPr>
          <w:rFonts w:hint="eastAsia" w:ascii="宋体" w:hAnsi="宋体"/>
          <w:bCs/>
          <w:color w:val="auto"/>
          <w:szCs w:val="21"/>
          <w:highlight w:val="none"/>
        </w:rPr>
        <w:t>7.</w:t>
      </w:r>
      <w:r>
        <w:rPr>
          <w:rFonts w:hint="eastAsia" w:ascii="宋体" w:hAnsi="宋体"/>
          <w:bCs/>
          <w:color w:val="auto"/>
          <w:szCs w:val="21"/>
          <w:highlight w:val="none"/>
          <w:lang w:val="en-US" w:eastAsia="zh-CN"/>
        </w:rPr>
        <w:t>4</w:t>
      </w:r>
      <w:r>
        <w:rPr>
          <w:rFonts w:hint="eastAsia" w:ascii="宋体" w:hAnsi="宋体"/>
          <w:bCs/>
          <w:color w:val="auto"/>
          <w:szCs w:val="21"/>
          <w:highlight w:val="none"/>
        </w:rPr>
        <w:t>.1.3 材料、设备价格：以南京市工程造价信息中公布的合同签订时的材料、设备单价为基础；材料消耗量和辅材单价按相关定额计算。</w:t>
      </w:r>
    </w:p>
    <w:p>
      <w:pPr>
        <w:widowControl/>
        <w:spacing w:line="360" w:lineRule="auto"/>
        <w:jc w:val="left"/>
        <w:rPr>
          <w:rFonts w:ascii="宋体" w:hAnsi="宋体"/>
          <w:bCs/>
          <w:color w:val="auto"/>
          <w:szCs w:val="21"/>
          <w:highlight w:val="none"/>
        </w:rPr>
      </w:pPr>
      <w:r>
        <w:rPr>
          <w:rFonts w:hint="eastAsia" w:ascii="宋体" w:hAnsi="宋体"/>
          <w:bCs/>
          <w:color w:val="auto"/>
          <w:szCs w:val="21"/>
          <w:highlight w:val="none"/>
        </w:rPr>
        <w:t>7.</w:t>
      </w:r>
      <w:r>
        <w:rPr>
          <w:rFonts w:hint="eastAsia" w:ascii="宋体" w:hAnsi="宋体"/>
          <w:bCs/>
          <w:color w:val="auto"/>
          <w:szCs w:val="21"/>
          <w:highlight w:val="none"/>
          <w:lang w:val="en-US" w:eastAsia="zh-CN"/>
        </w:rPr>
        <w:t>4</w:t>
      </w:r>
      <w:r>
        <w:rPr>
          <w:rFonts w:hint="eastAsia" w:ascii="宋体" w:hAnsi="宋体"/>
          <w:bCs/>
          <w:color w:val="auto"/>
          <w:szCs w:val="21"/>
          <w:highlight w:val="none"/>
        </w:rPr>
        <w:t>.1.4 人工费单价：按签订合同时正在实行的江苏省政策性文件确定。</w:t>
      </w:r>
    </w:p>
    <w:p>
      <w:pPr>
        <w:widowControl/>
        <w:spacing w:line="360" w:lineRule="auto"/>
        <w:jc w:val="left"/>
        <w:rPr>
          <w:rFonts w:ascii="宋体" w:hAnsi="宋体"/>
          <w:bCs/>
          <w:color w:val="auto"/>
          <w:szCs w:val="21"/>
          <w:highlight w:val="none"/>
        </w:rPr>
      </w:pPr>
      <w:r>
        <w:rPr>
          <w:rFonts w:hint="eastAsia" w:ascii="宋体" w:hAnsi="宋体"/>
          <w:bCs/>
          <w:color w:val="auto"/>
          <w:szCs w:val="21"/>
          <w:highlight w:val="none"/>
        </w:rPr>
        <w:t>7.</w:t>
      </w:r>
      <w:r>
        <w:rPr>
          <w:rFonts w:hint="eastAsia" w:ascii="宋体" w:hAnsi="宋体"/>
          <w:bCs/>
          <w:color w:val="auto"/>
          <w:szCs w:val="21"/>
          <w:highlight w:val="none"/>
          <w:lang w:val="en-US" w:eastAsia="zh-CN"/>
        </w:rPr>
        <w:t>4</w:t>
      </w:r>
      <w:r>
        <w:rPr>
          <w:rFonts w:hint="eastAsia" w:ascii="宋体" w:hAnsi="宋体"/>
          <w:bCs/>
          <w:color w:val="auto"/>
          <w:szCs w:val="21"/>
          <w:highlight w:val="none"/>
        </w:rPr>
        <w:t>.1.5措施费和不可竞争费用：双方应根据具体项目情况在合同中加以明确约定。</w:t>
      </w:r>
    </w:p>
    <w:p>
      <w:pPr>
        <w:widowControl/>
        <w:spacing w:line="360" w:lineRule="auto"/>
        <w:jc w:val="left"/>
        <w:rPr>
          <w:rFonts w:ascii="宋体" w:hAnsi="宋体"/>
          <w:bCs/>
          <w:color w:val="auto"/>
          <w:szCs w:val="21"/>
          <w:highlight w:val="none"/>
        </w:rPr>
      </w:pPr>
      <w:r>
        <w:rPr>
          <w:rFonts w:hint="eastAsia" w:ascii="宋体" w:hAnsi="宋体"/>
          <w:bCs/>
          <w:color w:val="auto"/>
          <w:szCs w:val="21"/>
          <w:highlight w:val="none"/>
        </w:rPr>
        <w:t>7.</w:t>
      </w:r>
      <w:r>
        <w:rPr>
          <w:rFonts w:hint="eastAsia" w:ascii="宋体" w:hAnsi="宋体"/>
          <w:bCs/>
          <w:color w:val="auto"/>
          <w:szCs w:val="21"/>
          <w:highlight w:val="none"/>
          <w:lang w:val="en-US" w:eastAsia="zh-CN"/>
        </w:rPr>
        <w:t>4</w:t>
      </w:r>
      <w:r>
        <w:rPr>
          <w:rFonts w:hint="eastAsia" w:ascii="宋体" w:hAnsi="宋体"/>
          <w:bCs/>
          <w:color w:val="auto"/>
          <w:szCs w:val="21"/>
          <w:highlight w:val="none"/>
        </w:rPr>
        <w:t>.2定点期间，如遇国家或江苏省政策性调整，则双方须按最新政策规定执行。</w:t>
      </w:r>
    </w:p>
    <w:p>
      <w:pPr>
        <w:widowControl/>
        <w:spacing w:line="360" w:lineRule="auto"/>
        <w:jc w:val="left"/>
        <w:rPr>
          <w:rFonts w:ascii="宋体" w:hAnsi="宋体"/>
          <w:bCs/>
          <w:color w:val="auto"/>
          <w:szCs w:val="21"/>
          <w:highlight w:val="none"/>
        </w:rPr>
      </w:pPr>
      <w:r>
        <w:rPr>
          <w:rFonts w:hint="eastAsia" w:ascii="宋体" w:hAnsi="宋体"/>
          <w:bCs/>
          <w:color w:val="auto"/>
          <w:szCs w:val="21"/>
          <w:highlight w:val="none"/>
        </w:rPr>
        <w:t>7.</w:t>
      </w:r>
      <w:r>
        <w:rPr>
          <w:rFonts w:hint="eastAsia" w:ascii="宋体" w:hAnsi="宋体"/>
          <w:bCs/>
          <w:color w:val="auto"/>
          <w:szCs w:val="21"/>
          <w:highlight w:val="none"/>
          <w:lang w:val="en-US" w:eastAsia="zh-CN"/>
        </w:rPr>
        <w:t>4</w:t>
      </w:r>
      <w:r>
        <w:rPr>
          <w:rFonts w:hint="eastAsia" w:ascii="宋体" w:hAnsi="宋体"/>
          <w:bCs/>
          <w:color w:val="auto"/>
          <w:szCs w:val="21"/>
          <w:highlight w:val="none"/>
        </w:rPr>
        <w:t>.3结算价格的确定：乙方依照7.5.1.1、7.5.1.2、条和施工承包合同中有关价格调整的规定计算工程造价（包括但不限于人工费、材料费、机械费、管理费（含企业和现场管理费）、措施费、规费、保险费用、利润、税金等），并由甲方委托的审计部门进行结算审计。最终工程结算价格按照经审计后的工程造价下浮乙方在投标时填报的</w:t>
      </w:r>
      <w:r>
        <w:rPr>
          <w:rFonts w:hint="eastAsia" w:ascii="宋体" w:hAnsi="宋体"/>
          <w:color w:val="auto"/>
          <w:szCs w:val="21"/>
          <w:highlight w:val="none"/>
        </w:rPr>
        <w:t>优惠率</w:t>
      </w:r>
      <w:r>
        <w:rPr>
          <w:rFonts w:hint="eastAsia" w:ascii="宋体" w:hAnsi="宋体"/>
          <w:bCs/>
          <w:color w:val="auto"/>
          <w:szCs w:val="21"/>
          <w:highlight w:val="none"/>
        </w:rPr>
        <w:t>计算。</w:t>
      </w:r>
    </w:p>
    <w:p>
      <w:pPr>
        <w:widowControl/>
        <w:spacing w:line="360" w:lineRule="auto"/>
        <w:jc w:val="left"/>
        <w:rPr>
          <w:rFonts w:ascii="宋体" w:hAnsi="宋体"/>
          <w:bCs/>
          <w:color w:val="auto"/>
          <w:szCs w:val="21"/>
          <w:highlight w:val="none"/>
        </w:rPr>
      </w:pPr>
      <w:r>
        <w:rPr>
          <w:rFonts w:hint="eastAsia" w:ascii="宋体" w:hAnsi="宋体"/>
          <w:bCs/>
          <w:color w:val="auto"/>
          <w:szCs w:val="21"/>
          <w:highlight w:val="none"/>
        </w:rPr>
        <w:t>7.</w:t>
      </w:r>
      <w:r>
        <w:rPr>
          <w:rFonts w:hint="eastAsia" w:ascii="宋体" w:hAnsi="宋体"/>
          <w:bCs/>
          <w:color w:val="auto"/>
          <w:szCs w:val="21"/>
          <w:highlight w:val="none"/>
          <w:lang w:val="en-US" w:eastAsia="zh-CN"/>
        </w:rPr>
        <w:t>5</w:t>
      </w:r>
      <w:r>
        <w:rPr>
          <w:rFonts w:hint="eastAsia" w:ascii="宋体" w:hAnsi="宋体"/>
          <w:bCs/>
          <w:color w:val="auto"/>
          <w:szCs w:val="21"/>
          <w:highlight w:val="none"/>
        </w:rPr>
        <w:t>限额内工程报价</w:t>
      </w:r>
    </w:p>
    <w:p>
      <w:pPr>
        <w:widowControl/>
        <w:spacing w:line="360" w:lineRule="auto"/>
        <w:jc w:val="left"/>
        <w:rPr>
          <w:rFonts w:ascii="宋体" w:hAnsi="宋体"/>
          <w:bCs/>
          <w:color w:val="auto"/>
          <w:szCs w:val="21"/>
          <w:highlight w:val="none"/>
        </w:rPr>
      </w:pPr>
      <w:r>
        <w:rPr>
          <w:rFonts w:hint="eastAsia" w:ascii="宋体" w:hAnsi="宋体"/>
          <w:bCs/>
          <w:color w:val="auto"/>
          <w:szCs w:val="21"/>
          <w:highlight w:val="none"/>
        </w:rPr>
        <w:t>7.</w:t>
      </w:r>
      <w:r>
        <w:rPr>
          <w:rFonts w:hint="eastAsia" w:ascii="宋体" w:hAnsi="宋体"/>
          <w:bCs/>
          <w:color w:val="auto"/>
          <w:szCs w:val="21"/>
          <w:highlight w:val="none"/>
          <w:lang w:val="en-US" w:eastAsia="zh-CN"/>
        </w:rPr>
        <w:t>5</w:t>
      </w:r>
      <w:r>
        <w:rPr>
          <w:rFonts w:hint="eastAsia" w:ascii="宋体" w:hAnsi="宋体"/>
          <w:bCs/>
          <w:color w:val="auto"/>
          <w:szCs w:val="21"/>
          <w:highlight w:val="none"/>
        </w:rPr>
        <w:t>.1乙方填报的</w:t>
      </w:r>
      <w:r>
        <w:rPr>
          <w:rFonts w:hint="eastAsia" w:ascii="宋体" w:hAnsi="宋体"/>
          <w:color w:val="auto"/>
          <w:szCs w:val="21"/>
          <w:highlight w:val="none"/>
        </w:rPr>
        <w:t>优惠率</w:t>
      </w:r>
      <w:r>
        <w:rPr>
          <w:rFonts w:hint="eastAsia" w:ascii="宋体" w:hAnsi="宋体"/>
          <w:bCs/>
          <w:color w:val="auto"/>
          <w:szCs w:val="21"/>
          <w:highlight w:val="none"/>
        </w:rPr>
        <w:t>，无论在施工承包合同签订前或签订后，均不得以任何理由进行上调。</w:t>
      </w:r>
    </w:p>
    <w:p>
      <w:pPr>
        <w:widowControl/>
        <w:spacing w:line="360" w:lineRule="auto"/>
        <w:jc w:val="left"/>
        <w:rPr>
          <w:rFonts w:ascii="宋体" w:hAnsi="宋体"/>
          <w:bCs/>
          <w:color w:val="auto"/>
          <w:szCs w:val="21"/>
          <w:highlight w:val="none"/>
        </w:rPr>
      </w:pPr>
      <w:r>
        <w:rPr>
          <w:rFonts w:hint="eastAsia" w:ascii="宋体" w:hAnsi="宋体"/>
          <w:bCs/>
          <w:color w:val="auto"/>
          <w:szCs w:val="21"/>
          <w:highlight w:val="none"/>
        </w:rPr>
        <w:t>7.</w:t>
      </w:r>
      <w:r>
        <w:rPr>
          <w:rFonts w:hint="eastAsia" w:ascii="宋体" w:hAnsi="宋体"/>
          <w:bCs/>
          <w:color w:val="auto"/>
          <w:szCs w:val="21"/>
          <w:highlight w:val="none"/>
          <w:lang w:val="en-US" w:eastAsia="zh-CN"/>
        </w:rPr>
        <w:t>5</w:t>
      </w:r>
      <w:r>
        <w:rPr>
          <w:rFonts w:hint="eastAsia" w:ascii="宋体" w:hAnsi="宋体"/>
          <w:bCs/>
          <w:color w:val="auto"/>
          <w:szCs w:val="21"/>
          <w:highlight w:val="none"/>
        </w:rPr>
        <w:t>.2其他注意事项：</w:t>
      </w:r>
    </w:p>
    <w:p>
      <w:pPr>
        <w:widowControl/>
        <w:spacing w:line="360" w:lineRule="auto"/>
        <w:jc w:val="left"/>
        <w:rPr>
          <w:rFonts w:ascii="宋体" w:hAnsi="宋体"/>
          <w:bCs/>
          <w:color w:val="auto"/>
          <w:szCs w:val="21"/>
          <w:highlight w:val="none"/>
        </w:rPr>
      </w:pPr>
      <w:r>
        <w:rPr>
          <w:rFonts w:hint="eastAsia" w:ascii="宋体" w:hAnsi="宋体"/>
          <w:bCs/>
          <w:color w:val="auto"/>
          <w:szCs w:val="21"/>
          <w:highlight w:val="none"/>
        </w:rPr>
        <w:t>7.</w:t>
      </w:r>
      <w:r>
        <w:rPr>
          <w:rFonts w:hint="eastAsia" w:ascii="宋体" w:hAnsi="宋体"/>
          <w:bCs/>
          <w:color w:val="auto"/>
          <w:szCs w:val="21"/>
          <w:highlight w:val="none"/>
          <w:lang w:val="en-US" w:eastAsia="zh-CN"/>
        </w:rPr>
        <w:t>5</w:t>
      </w:r>
      <w:r>
        <w:rPr>
          <w:rFonts w:hint="eastAsia" w:ascii="宋体" w:hAnsi="宋体"/>
          <w:bCs/>
          <w:color w:val="auto"/>
          <w:szCs w:val="21"/>
          <w:highlight w:val="none"/>
        </w:rPr>
        <w:t>.2.1在具体项目施工期间，乙方应根据江苏省相关文件规定、现行标准和合同文件关于农民工工伤保险的约定，负责购买农民工工伤保险。</w:t>
      </w:r>
    </w:p>
    <w:p>
      <w:pPr>
        <w:widowControl/>
        <w:spacing w:line="360" w:lineRule="auto"/>
        <w:jc w:val="left"/>
        <w:rPr>
          <w:rFonts w:ascii="宋体" w:hAnsi="宋体"/>
          <w:color w:val="auto"/>
          <w:szCs w:val="21"/>
          <w:highlight w:val="none"/>
        </w:rPr>
      </w:pPr>
      <w:r>
        <w:rPr>
          <w:rFonts w:hint="eastAsia" w:ascii="宋体" w:hAnsi="宋体"/>
          <w:bCs/>
          <w:color w:val="auto"/>
          <w:szCs w:val="21"/>
          <w:highlight w:val="none"/>
        </w:rPr>
        <w:t>7.</w:t>
      </w:r>
      <w:r>
        <w:rPr>
          <w:rFonts w:hint="eastAsia" w:ascii="宋体" w:hAnsi="宋体"/>
          <w:bCs/>
          <w:color w:val="auto"/>
          <w:szCs w:val="21"/>
          <w:highlight w:val="none"/>
          <w:lang w:val="en-US" w:eastAsia="zh-CN"/>
        </w:rPr>
        <w:t>5</w:t>
      </w:r>
      <w:r>
        <w:rPr>
          <w:rFonts w:hint="eastAsia" w:ascii="宋体" w:hAnsi="宋体"/>
          <w:bCs/>
          <w:color w:val="auto"/>
          <w:szCs w:val="21"/>
          <w:highlight w:val="none"/>
        </w:rPr>
        <w:t>.2.2凡涉及影响建筑风格、档次的设备、材料，采购前其品牌、质量、规格、颜色等必须获得甲方的书面确认。</w:t>
      </w:r>
    </w:p>
    <w:p>
      <w:pPr>
        <w:widowControl/>
        <w:spacing w:line="360" w:lineRule="auto"/>
        <w:jc w:val="left"/>
        <w:rPr>
          <w:rFonts w:ascii="宋体" w:hAnsi="宋体"/>
          <w:b/>
          <w:color w:val="auto"/>
          <w:szCs w:val="21"/>
          <w:highlight w:val="none"/>
        </w:rPr>
      </w:pPr>
      <w:r>
        <w:rPr>
          <w:rFonts w:hint="eastAsia" w:ascii="宋体" w:hAnsi="宋体"/>
          <w:b/>
          <w:color w:val="auto"/>
          <w:szCs w:val="21"/>
          <w:highlight w:val="none"/>
        </w:rPr>
        <w:t>8、项目施工及支付流程安排</w:t>
      </w:r>
    </w:p>
    <w:p>
      <w:pPr>
        <w:widowControl/>
        <w:spacing w:line="360" w:lineRule="auto"/>
        <w:jc w:val="left"/>
        <w:rPr>
          <w:rFonts w:ascii="宋体" w:hAnsi="宋体"/>
          <w:color w:val="auto"/>
          <w:szCs w:val="21"/>
          <w:highlight w:val="none"/>
        </w:rPr>
      </w:pPr>
      <w:r>
        <w:rPr>
          <w:rFonts w:hint="eastAsia" w:ascii="宋体" w:hAnsi="宋体"/>
          <w:color w:val="auto"/>
          <w:szCs w:val="21"/>
          <w:highlight w:val="none"/>
        </w:rPr>
        <w:t>8.1 使用单位提报或后勤处巡查提出维修任务。</w:t>
      </w:r>
    </w:p>
    <w:p>
      <w:pPr>
        <w:widowControl/>
        <w:spacing w:line="360" w:lineRule="auto"/>
        <w:jc w:val="left"/>
        <w:rPr>
          <w:rFonts w:ascii="宋体" w:hAnsi="宋体"/>
          <w:color w:val="auto"/>
          <w:szCs w:val="21"/>
          <w:highlight w:val="none"/>
        </w:rPr>
      </w:pPr>
      <w:r>
        <w:rPr>
          <w:rFonts w:hint="eastAsia" w:ascii="宋体" w:hAnsi="宋体"/>
          <w:color w:val="auto"/>
          <w:szCs w:val="21"/>
          <w:highlight w:val="none"/>
        </w:rPr>
        <w:t>8.2 后勤处针对任务内容确定施工任务。</w:t>
      </w:r>
    </w:p>
    <w:p>
      <w:pPr>
        <w:widowControl/>
        <w:spacing w:line="360" w:lineRule="auto"/>
        <w:jc w:val="left"/>
        <w:rPr>
          <w:rFonts w:hint="eastAsia" w:ascii="宋体" w:hAnsi="宋体"/>
          <w:color w:val="auto"/>
          <w:szCs w:val="21"/>
          <w:highlight w:val="none"/>
        </w:rPr>
      </w:pPr>
      <w:r>
        <w:rPr>
          <w:rFonts w:hint="eastAsia" w:ascii="宋体" w:hAnsi="宋体"/>
          <w:color w:val="auto"/>
          <w:szCs w:val="21"/>
          <w:highlight w:val="none"/>
        </w:rPr>
        <w:t>8.3 乙方接到任务后，对于1万元以下的维修改造工程，必须在承诺时间内且不得超过24小时内向后勤处上报项目完成情况。1万元以上的维修改造工程，必须在承诺时间内且不得超过48小时内向后勤处上报项目施工方案（含工期安排）及概算文件(概算文件必须详细备注所用材料的品牌、规格、型号等信息)，报后勤处审核，后勤处审核通过后组织施工。</w:t>
      </w:r>
    </w:p>
    <w:p>
      <w:pPr>
        <w:widowControl/>
        <w:spacing w:line="360" w:lineRule="auto"/>
        <w:jc w:val="left"/>
        <w:rPr>
          <w:rFonts w:hint="eastAsia" w:ascii="宋体" w:hAnsi="宋体"/>
          <w:color w:val="auto"/>
          <w:szCs w:val="21"/>
          <w:highlight w:val="none"/>
        </w:rPr>
      </w:pPr>
      <w:r>
        <w:rPr>
          <w:rFonts w:hint="eastAsia" w:ascii="宋体" w:hAnsi="宋体"/>
          <w:color w:val="auto"/>
          <w:szCs w:val="21"/>
          <w:highlight w:val="none"/>
        </w:rPr>
        <w:t>8.4 施工过程中如遇主材进场或隐蔽工程，必须通知后勤处联系相关单位组织验收或签证。</w:t>
      </w:r>
    </w:p>
    <w:p>
      <w:pPr>
        <w:widowControl/>
        <w:spacing w:line="360" w:lineRule="auto"/>
        <w:jc w:val="left"/>
        <w:rPr>
          <w:rFonts w:hint="eastAsia" w:ascii="宋体" w:hAnsi="宋体"/>
          <w:color w:val="auto"/>
          <w:szCs w:val="21"/>
          <w:highlight w:val="none"/>
        </w:rPr>
      </w:pPr>
      <w:r>
        <w:rPr>
          <w:rFonts w:hint="eastAsia" w:ascii="宋体" w:hAnsi="宋体"/>
          <w:color w:val="auto"/>
          <w:szCs w:val="21"/>
          <w:highlight w:val="none"/>
        </w:rPr>
        <w:t>8.5 工程完工后，乙方应及时向后勤处提出验收申请。后勤处在接到申请一周内，将组织设计单位</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w:t>
      </w:r>
      <w:r>
        <w:rPr>
          <w:rFonts w:hint="eastAsia" w:ascii="宋体" w:hAnsi="宋体"/>
          <w:color w:val="auto"/>
          <w:szCs w:val="21"/>
          <w:highlight w:val="none"/>
        </w:rPr>
        <w:t>、监理（如有）、使用单位、乙方等进行工程验收。对验收中查出的质量问题，乙方必须认真、及时整改。对施工质量不合格的工程，不验收，不结算。</w:t>
      </w:r>
    </w:p>
    <w:p>
      <w:pPr>
        <w:widowControl/>
        <w:spacing w:line="360" w:lineRule="auto"/>
        <w:jc w:val="left"/>
        <w:rPr>
          <w:rFonts w:hint="eastAsia" w:ascii="宋体" w:hAnsi="宋体"/>
          <w:color w:val="auto"/>
          <w:szCs w:val="21"/>
          <w:highlight w:val="none"/>
        </w:rPr>
      </w:pPr>
      <w:r>
        <w:rPr>
          <w:rFonts w:hint="eastAsia" w:ascii="宋体" w:hAnsi="宋体"/>
          <w:color w:val="auto"/>
          <w:szCs w:val="21"/>
          <w:highlight w:val="none"/>
        </w:rPr>
        <w:t>8.6 本月结束后，乙方必须在次月15日前，向后勤处上报该月任务结算资料。否则甲方有权要求乙方限期整改，若整改不到位则每延误一天扣除乙方合同款项每天500元，直至当月合同款项全部扣除为止，若不交任务结算资料，则默认为放弃该月合同款项。</w:t>
      </w:r>
    </w:p>
    <w:p>
      <w:pPr>
        <w:widowControl/>
        <w:spacing w:line="360" w:lineRule="auto"/>
        <w:jc w:val="left"/>
        <w:rPr>
          <w:rFonts w:ascii="宋体" w:hAnsi="宋体"/>
          <w:color w:val="auto"/>
          <w:szCs w:val="21"/>
          <w:highlight w:val="none"/>
        </w:rPr>
      </w:pPr>
      <w:r>
        <w:rPr>
          <w:rFonts w:hint="eastAsia" w:ascii="宋体" w:hAnsi="宋体"/>
          <w:color w:val="auto"/>
          <w:szCs w:val="21"/>
          <w:highlight w:val="none"/>
        </w:rPr>
        <w:t>8.7 后勤处初审合格后，将该任务结算资料报送第三方审计公司审定。</w:t>
      </w:r>
    </w:p>
    <w:p>
      <w:pPr>
        <w:widowControl/>
        <w:spacing w:line="360" w:lineRule="auto"/>
        <w:jc w:val="left"/>
        <w:rPr>
          <w:rFonts w:ascii="宋体" w:hAnsi="宋体"/>
          <w:color w:val="auto"/>
          <w:szCs w:val="21"/>
          <w:highlight w:val="none"/>
        </w:rPr>
      </w:pPr>
      <w:r>
        <w:rPr>
          <w:rFonts w:hint="eastAsia" w:ascii="宋体" w:hAnsi="宋体"/>
          <w:color w:val="auto"/>
          <w:szCs w:val="21"/>
          <w:highlight w:val="none"/>
        </w:rPr>
        <w:t>8.8 费用支付以工程竣工验收合格（含竣工资料移交），按审计审定金额每月支付一次，支付全款。不预留质量保修金。如遇财政关门等不可控制情况，合同款将在次年预算下达后无息拨付。</w:t>
      </w:r>
    </w:p>
    <w:p>
      <w:pPr>
        <w:widowControl/>
        <w:spacing w:line="360" w:lineRule="auto"/>
        <w:jc w:val="left"/>
        <w:rPr>
          <w:rFonts w:ascii="宋体" w:hAnsi="宋体"/>
          <w:b/>
          <w:color w:val="auto"/>
          <w:szCs w:val="21"/>
          <w:highlight w:val="none"/>
        </w:rPr>
      </w:pPr>
      <w:r>
        <w:rPr>
          <w:rFonts w:hint="eastAsia" w:ascii="宋体" w:hAnsi="宋体"/>
          <w:b/>
          <w:color w:val="auto"/>
          <w:szCs w:val="21"/>
          <w:highlight w:val="none"/>
        </w:rPr>
        <w:t>9、施工单位管理</w:t>
      </w:r>
    </w:p>
    <w:p>
      <w:pPr>
        <w:widowControl/>
        <w:spacing w:line="360" w:lineRule="auto"/>
        <w:jc w:val="left"/>
        <w:rPr>
          <w:rFonts w:ascii="宋体" w:hAnsi="宋体"/>
          <w:color w:val="auto"/>
          <w:szCs w:val="21"/>
          <w:highlight w:val="none"/>
        </w:rPr>
      </w:pPr>
      <w:r>
        <w:rPr>
          <w:rFonts w:hint="eastAsia" w:ascii="宋体" w:hAnsi="宋体"/>
          <w:color w:val="auto"/>
          <w:szCs w:val="21"/>
          <w:highlight w:val="none"/>
        </w:rPr>
        <w:t xml:space="preserve">9.1 </w:t>
      </w:r>
      <w:r>
        <w:rPr>
          <w:rFonts w:hint="eastAsia"/>
          <w:highlight w:val="none"/>
        </w:rPr>
        <w:t>对质量、安全、进度等存在问题的甲方有权进行追责，追责方式包括（限期整改、要求乙方支付违约金每次500元、扣除乙方合同款项每次500元、终止合同等。）乙方需绝对服从于甲方管理。</w:t>
      </w:r>
    </w:p>
    <w:p>
      <w:pPr>
        <w:widowControl/>
        <w:spacing w:line="360" w:lineRule="auto"/>
        <w:jc w:val="left"/>
        <w:rPr>
          <w:rFonts w:ascii="宋体" w:hAnsi="宋体"/>
          <w:color w:val="auto"/>
          <w:szCs w:val="21"/>
          <w:highlight w:val="none"/>
        </w:rPr>
      </w:pPr>
      <w:r>
        <w:rPr>
          <w:rFonts w:hint="eastAsia" w:ascii="宋体" w:hAnsi="宋体"/>
          <w:color w:val="auto"/>
          <w:szCs w:val="21"/>
          <w:highlight w:val="none"/>
        </w:rPr>
        <w:t>9.2 若施工过程中发现存在弄虚作假、违反廉政协议的情况，一票否决，合同终止。</w:t>
      </w:r>
    </w:p>
    <w:p>
      <w:pPr>
        <w:widowControl/>
        <w:spacing w:line="360" w:lineRule="auto"/>
        <w:jc w:val="left"/>
        <w:rPr>
          <w:rFonts w:ascii="宋体" w:hAnsi="宋体"/>
          <w:color w:val="auto"/>
          <w:szCs w:val="21"/>
          <w:highlight w:val="none"/>
        </w:rPr>
      </w:pPr>
      <w:r>
        <w:rPr>
          <w:rFonts w:hint="eastAsia" w:ascii="宋体" w:hAnsi="宋体"/>
          <w:color w:val="auto"/>
          <w:szCs w:val="21"/>
          <w:highlight w:val="none"/>
        </w:rPr>
        <w:t>9.3 施工中若存在严重施工质量问题或安全事故，合同终止。</w:t>
      </w:r>
    </w:p>
    <w:p>
      <w:pPr>
        <w:widowControl/>
        <w:spacing w:line="360" w:lineRule="auto"/>
        <w:jc w:val="left"/>
        <w:rPr>
          <w:rFonts w:ascii="宋体" w:hAnsi="宋体"/>
          <w:color w:val="auto"/>
          <w:szCs w:val="21"/>
          <w:highlight w:val="none"/>
        </w:rPr>
      </w:pPr>
      <w:r>
        <w:rPr>
          <w:rFonts w:hint="eastAsia" w:ascii="宋体" w:hAnsi="宋体"/>
          <w:color w:val="auto"/>
          <w:szCs w:val="21"/>
          <w:highlight w:val="none"/>
        </w:rPr>
        <w:t>9.4 出现本通用条款、专用条款9.2、9.3的施工单位，三年之内不允许参加学校招投标项目。</w:t>
      </w:r>
    </w:p>
    <w:p>
      <w:pPr>
        <w:widowControl/>
        <w:spacing w:line="360" w:lineRule="auto"/>
        <w:jc w:val="left"/>
        <w:rPr>
          <w:rFonts w:ascii="宋体" w:hAnsi="宋体"/>
          <w:b/>
          <w:color w:val="auto"/>
          <w:szCs w:val="21"/>
          <w:highlight w:val="none"/>
        </w:rPr>
      </w:pPr>
      <w:r>
        <w:rPr>
          <w:rFonts w:hint="eastAsia" w:ascii="宋体" w:hAnsi="宋体"/>
          <w:b/>
          <w:color w:val="auto"/>
          <w:szCs w:val="21"/>
          <w:highlight w:val="none"/>
        </w:rPr>
        <w:t>10、廉政建设要求</w:t>
      </w:r>
    </w:p>
    <w:p>
      <w:pPr>
        <w:widowControl/>
        <w:spacing w:line="360" w:lineRule="auto"/>
        <w:jc w:val="left"/>
        <w:rPr>
          <w:rFonts w:ascii="宋体" w:hAnsi="宋体"/>
          <w:color w:val="auto"/>
          <w:szCs w:val="21"/>
          <w:highlight w:val="none"/>
        </w:rPr>
      </w:pPr>
      <w:r>
        <w:rPr>
          <w:rFonts w:hint="eastAsia" w:ascii="宋体" w:hAnsi="宋体"/>
          <w:color w:val="auto"/>
          <w:szCs w:val="21"/>
          <w:highlight w:val="none"/>
        </w:rPr>
        <w:t>10.1 乙方必须严格按照《廉政合同》履行职责与义务，若出现违反《廉政合同》规定的情况，一票否决，坚决清理出学校施工队伍。</w:t>
      </w:r>
    </w:p>
    <w:p>
      <w:pPr>
        <w:widowControl/>
        <w:spacing w:line="360" w:lineRule="auto"/>
        <w:jc w:val="left"/>
        <w:outlineLvl w:val="0"/>
        <w:rPr>
          <w:rFonts w:ascii="宋体" w:hAnsi="宋体"/>
          <w:b/>
          <w:bCs/>
          <w:color w:val="auto"/>
          <w:szCs w:val="21"/>
          <w:highlight w:val="none"/>
        </w:rPr>
      </w:pPr>
      <w:r>
        <w:rPr>
          <w:rFonts w:hint="eastAsia" w:ascii="宋体" w:hAnsi="宋体"/>
          <w:b/>
          <w:bCs/>
          <w:color w:val="auto"/>
          <w:szCs w:val="21"/>
          <w:highlight w:val="none"/>
        </w:rPr>
        <w:t>三、工期</w:t>
      </w:r>
    </w:p>
    <w:p>
      <w:pPr>
        <w:widowControl/>
        <w:spacing w:line="360" w:lineRule="auto"/>
        <w:jc w:val="left"/>
        <w:rPr>
          <w:rFonts w:ascii="宋体" w:hAnsi="宋体"/>
          <w:color w:val="auto"/>
          <w:szCs w:val="21"/>
          <w:highlight w:val="none"/>
        </w:rPr>
      </w:pPr>
      <w:r>
        <w:rPr>
          <w:rFonts w:hint="eastAsia" w:ascii="宋体" w:hAnsi="宋体"/>
          <w:color w:val="auto"/>
          <w:szCs w:val="21"/>
          <w:highlight w:val="none"/>
        </w:rPr>
        <w:t>11、具体单项任务工期根据实际情况确定。</w:t>
      </w:r>
    </w:p>
    <w:p>
      <w:pPr>
        <w:widowControl/>
        <w:spacing w:line="360" w:lineRule="auto"/>
        <w:jc w:val="left"/>
        <w:outlineLvl w:val="0"/>
        <w:rPr>
          <w:rFonts w:ascii="宋体" w:hAnsi="宋体"/>
          <w:b/>
          <w:bCs/>
          <w:color w:val="auto"/>
          <w:szCs w:val="21"/>
          <w:highlight w:val="none"/>
        </w:rPr>
      </w:pPr>
      <w:r>
        <w:rPr>
          <w:rFonts w:hint="eastAsia" w:ascii="宋体" w:hAnsi="宋体"/>
          <w:b/>
          <w:bCs/>
          <w:color w:val="auto"/>
          <w:szCs w:val="21"/>
          <w:highlight w:val="none"/>
        </w:rPr>
        <w:t>四、其他要求</w:t>
      </w:r>
    </w:p>
    <w:p>
      <w:pPr>
        <w:widowControl/>
        <w:spacing w:line="360" w:lineRule="auto"/>
        <w:jc w:val="left"/>
        <w:rPr>
          <w:rFonts w:ascii="宋体" w:hAnsi="宋体"/>
          <w:color w:val="auto"/>
          <w:szCs w:val="21"/>
          <w:highlight w:val="none"/>
        </w:rPr>
      </w:pPr>
      <w:r>
        <w:rPr>
          <w:rFonts w:hint="eastAsia" w:ascii="宋体" w:hAnsi="宋体"/>
          <w:color w:val="auto"/>
          <w:szCs w:val="21"/>
          <w:highlight w:val="none"/>
        </w:rPr>
        <w:t>12、由于乙方原因造成对甲方的不利影响，视为乙方违约。</w:t>
      </w:r>
    </w:p>
    <w:p>
      <w:pPr>
        <w:widowControl/>
        <w:spacing w:line="360" w:lineRule="auto"/>
        <w:jc w:val="left"/>
        <w:rPr>
          <w:rFonts w:ascii="宋体" w:hAnsi="宋体"/>
          <w:color w:val="auto"/>
          <w:szCs w:val="21"/>
          <w:highlight w:val="none"/>
        </w:rPr>
      </w:pPr>
      <w:r>
        <w:rPr>
          <w:rFonts w:hint="eastAsia" w:ascii="宋体" w:hAnsi="宋体"/>
          <w:color w:val="auto"/>
          <w:szCs w:val="21"/>
          <w:highlight w:val="none"/>
        </w:rPr>
        <w:t>13、按照学校信息化管理要求，后勤处将推行网上报修系统，乙方必须有专人</w:t>
      </w:r>
      <w:r>
        <w:rPr>
          <w:rFonts w:hint="eastAsia" w:ascii="宋体" w:hAnsi="宋体"/>
          <w:color w:val="auto"/>
          <w:szCs w:val="21"/>
          <w:highlight w:val="none"/>
          <w:lang w:val="en-US" w:eastAsia="zh-CN"/>
        </w:rPr>
        <w:t>负责</w:t>
      </w:r>
      <w:r>
        <w:rPr>
          <w:rFonts w:hint="eastAsia" w:ascii="宋体" w:hAnsi="宋体"/>
          <w:color w:val="auto"/>
          <w:szCs w:val="21"/>
          <w:highlight w:val="none"/>
        </w:rPr>
        <w:t>网上报修的受理与处理工作。</w:t>
      </w:r>
      <w:r>
        <w:rPr>
          <w:rFonts w:hint="eastAsia"/>
          <w:highlight w:val="none"/>
        </w:rPr>
        <w:t>乙方需绝对服从于甲方管理。</w:t>
      </w:r>
    </w:p>
    <w:p>
      <w:pPr>
        <w:widowControl/>
        <w:spacing w:line="360" w:lineRule="auto"/>
        <w:jc w:val="left"/>
        <w:rPr>
          <w:rFonts w:ascii="宋体" w:hAnsi="宋体"/>
          <w:color w:val="auto"/>
          <w:szCs w:val="21"/>
          <w:highlight w:val="none"/>
        </w:rPr>
      </w:pPr>
      <w:r>
        <w:rPr>
          <w:rFonts w:hint="eastAsia" w:ascii="宋体" w:hAnsi="宋体"/>
          <w:color w:val="auto"/>
          <w:szCs w:val="21"/>
          <w:highlight w:val="none"/>
        </w:rPr>
        <w:t>14、乙方承诺，中标后每月例会及其他按甲方要求需要公司法人代表参加的会议由公司法人代表参加。</w:t>
      </w:r>
    </w:p>
    <w:p>
      <w:pPr>
        <w:widowControl/>
        <w:spacing w:line="360" w:lineRule="auto"/>
        <w:jc w:val="left"/>
        <w:rPr>
          <w:rFonts w:ascii="宋体" w:hAnsi="宋体"/>
          <w:color w:val="auto"/>
          <w:szCs w:val="21"/>
          <w:highlight w:val="none"/>
        </w:rPr>
      </w:pPr>
      <w:r>
        <w:rPr>
          <w:rFonts w:hint="eastAsia" w:ascii="宋体" w:hAnsi="宋体"/>
          <w:color w:val="auto"/>
          <w:szCs w:val="21"/>
          <w:highlight w:val="none"/>
        </w:rPr>
        <w:t>15、乙方承诺，中标后安排专人负责项目预</w:t>
      </w:r>
      <w:r>
        <w:rPr>
          <w:rFonts w:hint="eastAsia" w:ascii="宋体" w:hAnsi="宋体"/>
          <w:color w:val="auto"/>
          <w:szCs w:val="21"/>
          <w:highlight w:val="none"/>
          <w:lang w:val="en-US" w:eastAsia="zh-CN"/>
        </w:rPr>
        <w:t>结</w:t>
      </w:r>
      <w:r>
        <w:rPr>
          <w:rFonts w:hint="eastAsia" w:ascii="宋体" w:hAnsi="宋体"/>
          <w:color w:val="auto"/>
          <w:szCs w:val="21"/>
          <w:highlight w:val="none"/>
        </w:rPr>
        <w:t>算、施工资料管理及网上</w:t>
      </w:r>
      <w:r>
        <w:rPr>
          <w:rFonts w:hint="eastAsia" w:ascii="宋体" w:hAnsi="宋体"/>
          <w:color w:val="auto"/>
          <w:szCs w:val="21"/>
          <w:highlight w:val="none"/>
          <w:lang w:val="en-US" w:eastAsia="zh-CN"/>
        </w:rPr>
        <w:t>报</w:t>
      </w:r>
      <w:r>
        <w:rPr>
          <w:rFonts w:hint="eastAsia" w:ascii="宋体" w:hAnsi="宋体"/>
          <w:color w:val="auto"/>
          <w:szCs w:val="21"/>
          <w:highlight w:val="none"/>
        </w:rPr>
        <w:t>修工作等工作。</w:t>
      </w:r>
    </w:p>
    <w:p>
      <w:pPr>
        <w:widowControl/>
        <w:spacing w:line="360" w:lineRule="auto"/>
        <w:jc w:val="left"/>
        <w:rPr>
          <w:rFonts w:ascii="宋体" w:hAnsi="宋体"/>
          <w:color w:val="auto"/>
          <w:szCs w:val="21"/>
          <w:highlight w:val="none"/>
        </w:rPr>
      </w:pPr>
      <w:r>
        <w:rPr>
          <w:rFonts w:hint="eastAsia" w:ascii="宋体" w:hAnsi="宋体"/>
          <w:color w:val="auto"/>
          <w:szCs w:val="21"/>
          <w:highlight w:val="none"/>
        </w:rPr>
        <w:t>16、乙方应保证所提供的货物及服务不侵犯任何第三方的知识产权及其他任何合法权益。若甲方在使用乙方货物或服务的任何一部分过程中，遭致第三方索赔或主张权利的，乙方应当修正以避免侵权等。</w:t>
      </w:r>
    </w:p>
    <w:p>
      <w:pPr>
        <w:widowControl/>
        <w:spacing w:line="360" w:lineRule="auto"/>
        <w:jc w:val="left"/>
        <w:rPr>
          <w:rFonts w:ascii="宋体" w:hAnsi="宋体"/>
          <w:color w:val="auto"/>
          <w:szCs w:val="21"/>
          <w:highlight w:val="none"/>
        </w:rPr>
      </w:pPr>
    </w:p>
    <w:p>
      <w:pPr>
        <w:widowControl/>
        <w:spacing w:line="360" w:lineRule="auto"/>
        <w:jc w:val="left"/>
        <w:rPr>
          <w:rFonts w:ascii="宋体" w:hAnsi="宋体"/>
          <w:color w:val="auto"/>
          <w:szCs w:val="21"/>
          <w:highlight w:val="none"/>
        </w:rPr>
      </w:pPr>
    </w:p>
    <w:p>
      <w:pPr>
        <w:widowControl/>
        <w:spacing w:line="360" w:lineRule="auto"/>
        <w:jc w:val="left"/>
        <w:rPr>
          <w:rFonts w:ascii="宋体" w:hAnsi="宋体"/>
          <w:color w:val="auto"/>
          <w:szCs w:val="21"/>
          <w:highlight w:val="none"/>
        </w:rPr>
      </w:pPr>
    </w:p>
    <w:tbl>
      <w:tblPr>
        <w:tblStyle w:val="56"/>
        <w:tblW w:w="9286" w:type="dxa"/>
        <w:tblInd w:w="-108" w:type="dxa"/>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c>
          <w:tcPr>
            <w:tcW w:w="4643" w:type="dxa"/>
          </w:tcPr>
          <w:p>
            <w:pPr>
              <w:widowControl/>
              <w:spacing w:line="360" w:lineRule="auto"/>
              <w:jc w:val="left"/>
              <w:rPr>
                <w:rFonts w:ascii="宋体" w:hAnsi="宋体"/>
                <w:color w:val="auto"/>
                <w:szCs w:val="21"/>
                <w:highlight w:val="none"/>
              </w:rPr>
            </w:pPr>
            <w:r>
              <w:rPr>
                <w:rFonts w:hint="eastAsia" w:ascii="宋体" w:hAnsi="宋体"/>
                <w:color w:val="auto"/>
                <w:szCs w:val="21"/>
                <w:highlight w:val="none"/>
              </w:rPr>
              <w:t>甲方（采购人）：（盖章）</w:t>
            </w:r>
          </w:p>
        </w:tc>
        <w:tc>
          <w:tcPr>
            <w:tcW w:w="4643" w:type="dxa"/>
          </w:tcPr>
          <w:p>
            <w:pPr>
              <w:widowControl/>
              <w:spacing w:line="360" w:lineRule="auto"/>
              <w:jc w:val="left"/>
              <w:rPr>
                <w:rFonts w:ascii="宋体" w:hAnsi="宋体"/>
                <w:color w:val="auto"/>
                <w:szCs w:val="21"/>
                <w:highlight w:val="none"/>
              </w:rPr>
            </w:pPr>
            <w:r>
              <w:rPr>
                <w:rFonts w:hint="eastAsia" w:ascii="宋体" w:hAnsi="宋体"/>
                <w:color w:val="auto"/>
                <w:szCs w:val="21"/>
                <w:highlight w:val="none"/>
              </w:rPr>
              <w:t>乙方（供应商）：（盖章）</w:t>
            </w:r>
          </w:p>
        </w:tc>
      </w:tr>
      <w:tr>
        <w:tblPrEx>
          <w:tblCellMar>
            <w:top w:w="0" w:type="dxa"/>
            <w:left w:w="0" w:type="dxa"/>
            <w:bottom w:w="0" w:type="dxa"/>
            <w:right w:w="0" w:type="dxa"/>
          </w:tblCellMar>
        </w:tblPrEx>
        <w:tc>
          <w:tcPr>
            <w:tcW w:w="4643" w:type="dxa"/>
          </w:tcPr>
          <w:p>
            <w:pPr>
              <w:widowControl/>
              <w:spacing w:line="360" w:lineRule="auto"/>
              <w:jc w:val="left"/>
              <w:rPr>
                <w:rFonts w:ascii="宋体" w:hAnsi="宋体"/>
                <w:color w:val="auto"/>
                <w:szCs w:val="21"/>
                <w:highlight w:val="none"/>
              </w:rPr>
            </w:pPr>
            <w:r>
              <w:rPr>
                <w:rFonts w:hint="eastAsia" w:ascii="宋体" w:hAnsi="宋体"/>
                <w:color w:val="auto"/>
                <w:szCs w:val="21"/>
                <w:highlight w:val="none"/>
              </w:rPr>
              <w:t>代表人：</w:t>
            </w:r>
          </w:p>
        </w:tc>
        <w:tc>
          <w:tcPr>
            <w:tcW w:w="4643" w:type="dxa"/>
          </w:tcPr>
          <w:p>
            <w:pPr>
              <w:widowControl/>
              <w:spacing w:line="360" w:lineRule="auto"/>
              <w:jc w:val="left"/>
              <w:rPr>
                <w:rFonts w:ascii="宋体" w:hAnsi="宋体"/>
                <w:color w:val="auto"/>
                <w:szCs w:val="21"/>
                <w:highlight w:val="none"/>
              </w:rPr>
            </w:pPr>
            <w:r>
              <w:rPr>
                <w:rFonts w:hint="eastAsia" w:ascii="宋体" w:hAnsi="宋体"/>
                <w:color w:val="auto"/>
                <w:szCs w:val="21"/>
                <w:highlight w:val="none"/>
              </w:rPr>
              <w:t>代表人：</w:t>
            </w:r>
          </w:p>
        </w:tc>
      </w:tr>
      <w:tr>
        <w:tblPrEx>
          <w:tblCellMar>
            <w:top w:w="0" w:type="dxa"/>
            <w:left w:w="0" w:type="dxa"/>
            <w:bottom w:w="0" w:type="dxa"/>
            <w:right w:w="0" w:type="dxa"/>
          </w:tblCellMar>
        </w:tblPrEx>
        <w:tc>
          <w:tcPr>
            <w:tcW w:w="4643" w:type="dxa"/>
          </w:tcPr>
          <w:p>
            <w:pPr>
              <w:widowControl/>
              <w:spacing w:line="360" w:lineRule="auto"/>
              <w:jc w:val="left"/>
              <w:rPr>
                <w:rFonts w:ascii="宋体" w:hAnsi="宋体"/>
                <w:color w:val="auto"/>
                <w:szCs w:val="21"/>
                <w:highlight w:val="none"/>
              </w:rPr>
            </w:pPr>
            <w:r>
              <w:rPr>
                <w:rFonts w:hint="eastAsia" w:ascii="宋体" w:hAnsi="宋体"/>
                <w:color w:val="auto"/>
                <w:szCs w:val="21"/>
                <w:highlight w:val="none"/>
              </w:rPr>
              <w:t>电话：</w:t>
            </w:r>
          </w:p>
        </w:tc>
        <w:tc>
          <w:tcPr>
            <w:tcW w:w="4643" w:type="dxa"/>
          </w:tcPr>
          <w:p>
            <w:pPr>
              <w:widowControl/>
              <w:spacing w:line="360" w:lineRule="auto"/>
              <w:jc w:val="left"/>
              <w:rPr>
                <w:rFonts w:ascii="宋体" w:hAnsi="宋体"/>
                <w:color w:val="auto"/>
                <w:szCs w:val="21"/>
                <w:highlight w:val="none"/>
              </w:rPr>
            </w:pPr>
            <w:r>
              <w:rPr>
                <w:rFonts w:hint="eastAsia" w:ascii="宋体" w:hAnsi="宋体"/>
                <w:color w:val="auto"/>
                <w:szCs w:val="21"/>
                <w:highlight w:val="none"/>
              </w:rPr>
              <w:t>电话：</w:t>
            </w:r>
          </w:p>
        </w:tc>
      </w:tr>
      <w:tr>
        <w:tblPrEx>
          <w:tblCellMar>
            <w:top w:w="0" w:type="dxa"/>
            <w:left w:w="0" w:type="dxa"/>
            <w:bottom w:w="0" w:type="dxa"/>
            <w:right w:w="0" w:type="dxa"/>
          </w:tblCellMar>
        </w:tblPrEx>
        <w:tc>
          <w:tcPr>
            <w:tcW w:w="4643" w:type="dxa"/>
          </w:tcPr>
          <w:p>
            <w:pPr>
              <w:widowControl/>
              <w:spacing w:line="360" w:lineRule="auto"/>
              <w:jc w:val="left"/>
              <w:rPr>
                <w:rFonts w:ascii="宋体" w:hAnsi="宋体"/>
                <w:color w:val="auto"/>
                <w:szCs w:val="21"/>
                <w:highlight w:val="none"/>
              </w:rPr>
            </w:pPr>
            <w:r>
              <w:rPr>
                <w:rFonts w:hint="eastAsia" w:ascii="宋体" w:hAnsi="宋体"/>
                <w:color w:val="auto"/>
                <w:szCs w:val="21"/>
                <w:highlight w:val="none"/>
              </w:rPr>
              <w:t>开户银行：</w:t>
            </w:r>
          </w:p>
        </w:tc>
        <w:tc>
          <w:tcPr>
            <w:tcW w:w="4643" w:type="dxa"/>
          </w:tcPr>
          <w:p>
            <w:pPr>
              <w:widowControl/>
              <w:spacing w:line="360" w:lineRule="auto"/>
              <w:jc w:val="left"/>
              <w:rPr>
                <w:rFonts w:ascii="宋体" w:hAnsi="宋体"/>
                <w:color w:val="auto"/>
                <w:szCs w:val="21"/>
                <w:highlight w:val="none"/>
              </w:rPr>
            </w:pPr>
            <w:r>
              <w:rPr>
                <w:rFonts w:hint="eastAsia" w:ascii="宋体" w:hAnsi="宋体"/>
                <w:color w:val="auto"/>
                <w:szCs w:val="21"/>
                <w:highlight w:val="none"/>
              </w:rPr>
              <w:t>开户银行：</w:t>
            </w:r>
            <w:r>
              <w:rPr>
                <w:rFonts w:ascii="宋体" w:hAnsi="宋体"/>
                <w:color w:val="auto"/>
                <w:szCs w:val="21"/>
                <w:highlight w:val="none"/>
              </w:rPr>
              <w:t xml:space="preserve"> </w:t>
            </w:r>
          </w:p>
        </w:tc>
      </w:tr>
      <w:tr>
        <w:tblPrEx>
          <w:tblCellMar>
            <w:top w:w="0" w:type="dxa"/>
            <w:left w:w="0" w:type="dxa"/>
            <w:bottom w:w="0" w:type="dxa"/>
            <w:right w:w="0" w:type="dxa"/>
          </w:tblCellMar>
        </w:tblPrEx>
        <w:tc>
          <w:tcPr>
            <w:tcW w:w="4643" w:type="dxa"/>
          </w:tcPr>
          <w:p>
            <w:pPr>
              <w:widowControl/>
              <w:spacing w:line="360" w:lineRule="auto"/>
              <w:jc w:val="left"/>
              <w:rPr>
                <w:rFonts w:ascii="宋体" w:hAnsi="宋体"/>
                <w:color w:val="auto"/>
                <w:szCs w:val="21"/>
                <w:highlight w:val="none"/>
              </w:rPr>
            </w:pPr>
            <w:r>
              <w:rPr>
                <w:rFonts w:hint="eastAsia" w:ascii="宋体" w:hAnsi="宋体"/>
                <w:color w:val="auto"/>
                <w:szCs w:val="21"/>
                <w:highlight w:val="none"/>
              </w:rPr>
              <w:t>帐号：</w:t>
            </w:r>
          </w:p>
        </w:tc>
        <w:tc>
          <w:tcPr>
            <w:tcW w:w="4643" w:type="dxa"/>
          </w:tcPr>
          <w:p>
            <w:pPr>
              <w:widowControl/>
              <w:spacing w:line="360" w:lineRule="auto"/>
              <w:jc w:val="left"/>
              <w:rPr>
                <w:rFonts w:ascii="宋体" w:hAnsi="宋体"/>
                <w:color w:val="auto"/>
                <w:szCs w:val="21"/>
                <w:highlight w:val="none"/>
              </w:rPr>
            </w:pPr>
            <w:r>
              <w:rPr>
                <w:rFonts w:hint="eastAsia" w:ascii="宋体" w:hAnsi="宋体"/>
                <w:color w:val="auto"/>
                <w:szCs w:val="21"/>
                <w:highlight w:val="none"/>
              </w:rPr>
              <w:t>帐号：</w:t>
            </w:r>
          </w:p>
          <w:p>
            <w:pPr>
              <w:widowControl/>
              <w:spacing w:line="360" w:lineRule="auto"/>
              <w:jc w:val="left"/>
              <w:rPr>
                <w:rFonts w:ascii="宋体" w:hAnsi="宋体"/>
                <w:color w:val="auto"/>
                <w:szCs w:val="21"/>
                <w:highlight w:val="none"/>
              </w:rPr>
            </w:pPr>
          </w:p>
        </w:tc>
      </w:tr>
    </w:tbl>
    <w:p>
      <w:pPr>
        <w:jc w:val="center"/>
        <w:rPr>
          <w:rFonts w:ascii="黑体" w:eastAsia="黑体" w:cs="黑体"/>
          <w:b/>
          <w:bCs/>
          <w:color w:val="auto"/>
          <w:sz w:val="36"/>
          <w:szCs w:val="36"/>
          <w:highlight w:val="none"/>
          <w:lang w:val="zh-CN"/>
        </w:rPr>
      </w:pPr>
    </w:p>
    <w:p>
      <w:pPr>
        <w:pStyle w:val="65"/>
        <w:rPr>
          <w:rFonts w:ascii="黑体" w:eastAsia="黑体" w:cs="黑体"/>
          <w:b/>
          <w:bCs/>
          <w:color w:val="auto"/>
          <w:sz w:val="36"/>
          <w:szCs w:val="36"/>
          <w:highlight w:val="none"/>
          <w:lang w:val="zh-CN"/>
        </w:rPr>
      </w:pPr>
    </w:p>
    <w:p>
      <w:pPr>
        <w:rPr>
          <w:rFonts w:hint="eastAsia"/>
          <w:color w:val="auto"/>
          <w:highlight w:val="none"/>
          <w:lang w:val="en-US" w:eastAsia="zh-CN"/>
        </w:rPr>
      </w:pPr>
      <w:r>
        <w:rPr>
          <w:rFonts w:hint="eastAsia"/>
          <w:color w:val="auto"/>
          <w:highlight w:val="none"/>
          <w:lang w:val="en-US" w:eastAsia="zh-CN"/>
        </w:rPr>
        <w:br w:type="page"/>
      </w:r>
    </w:p>
    <w:p>
      <w:pPr>
        <w:adjustRightInd w:val="0"/>
        <w:snapToGrid w:val="0"/>
        <w:spacing w:line="360" w:lineRule="auto"/>
        <w:jc w:val="left"/>
        <w:rPr>
          <w:rFonts w:hint="eastAsia"/>
          <w:color w:val="auto"/>
          <w:highlight w:val="none"/>
          <w:lang w:val="en-US" w:eastAsia="zh-CN"/>
        </w:rPr>
      </w:pPr>
      <w:r>
        <w:rPr>
          <w:rFonts w:hint="eastAsia"/>
          <w:color w:val="auto"/>
          <w:highlight w:val="none"/>
          <w:lang w:val="en-US" w:eastAsia="zh-CN"/>
        </w:rPr>
        <w:t>附件1：安全文明施工协议</w:t>
      </w:r>
    </w:p>
    <w:p>
      <w:pPr>
        <w:adjustRightInd w:val="0"/>
        <w:snapToGrid w:val="0"/>
        <w:spacing w:line="360" w:lineRule="auto"/>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安全文明施工协议</w:t>
      </w:r>
    </w:p>
    <w:p>
      <w:pPr>
        <w:adjustRightInd w:val="0"/>
        <w:snapToGrid w:val="0"/>
        <w:spacing w:line="360" w:lineRule="auto"/>
        <w:rPr>
          <w:rFonts w:hint="eastAsia" w:ascii="宋体" w:hAnsi="宋体" w:eastAsia="宋体" w:cs="宋体"/>
          <w:color w:val="auto"/>
          <w:szCs w:val="21"/>
          <w:highlight w:val="none"/>
        </w:rPr>
      </w:pPr>
    </w:p>
    <w:p>
      <w:pPr>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甲方（发包人）：南京</w:t>
      </w:r>
      <w:r>
        <w:rPr>
          <w:rFonts w:hint="eastAsia" w:ascii="宋体" w:hAnsi="宋体" w:cs="宋体"/>
          <w:color w:val="auto"/>
          <w:szCs w:val="21"/>
          <w:highlight w:val="none"/>
          <w:lang w:val="en-US" w:eastAsia="zh-CN"/>
        </w:rPr>
        <w:t>技师</w:t>
      </w:r>
      <w:r>
        <w:rPr>
          <w:rFonts w:hint="eastAsia" w:ascii="宋体" w:hAnsi="宋体" w:eastAsia="宋体" w:cs="宋体"/>
          <w:color w:val="auto"/>
          <w:szCs w:val="21"/>
          <w:highlight w:val="none"/>
        </w:rPr>
        <w:t>学院</w:t>
      </w:r>
    </w:p>
    <w:p>
      <w:pPr>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乙方（承包人）：</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经双方友好协商，就安全生产及相关事项形成以下协议：</w:t>
      </w:r>
    </w:p>
    <w:p>
      <w:pPr>
        <w:adjustRightInd w:val="0"/>
        <w:snapToGrid w:val="0"/>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一、安全施工</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（1）进入校内施工现场的各类安全防护由承包人统一协调管理，安全责任由承包人承担，费用含在合同价格中；</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（2）承包人负责进入施工现场施工人员及财物安全，发生任何伤亡事故与发包人无关，所有损失和责任由承包人承担；</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承包人需严格执行《中华人民共和国安全生产法》、《建设工程安全生产管理条例》（国务院第393号令）等相关法律法规。承包人在施工现场的安全管理、安全教育和安全事故责任及所发生的费用均由承包方承担。由承包人按规范施工并对安全生产负全责，承包人应严格按照施工组织设计组织施工，在安全管理方面除正常进行安全学习，安全教育外，同时应高度重视全部施工期间的安全工作，安全措施要落实到位，应急措施要跟上，并配备专职安全人员，全面负责施工现场的安全及周边设施的安全和第三方人身安全，并承担所有责任及相应地赔偿费用。</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（4）承包人应当遵守工程建设安全生产有关管理规定，严格按安全标准组织施工，并随时接受发包人及行业安全检查人员依法实施的监督检查，采取必要的安全防护措施，消除事故隐患。</w:t>
      </w:r>
    </w:p>
    <w:p>
      <w:pPr>
        <w:adjustRightInd w:val="0"/>
        <w:snapToGrid w:val="0"/>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二、文明施工</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承包人需办理有关施工场地交通、环卫和施工噪音管理等手续：承包人负责涉及到交通、环卫、市容(含渣土外运)、环保及劳务用工管理等所有协调工作，并按相关部门要求的时限及标准办理所有相关手续，并承担所发生的一切费用。工程施工期间，噪声对环境的影响必须满足国家和南京市有关法规要求。施工噪声遵守《建筑施工场界噪声限值》（GB12523－90）。在选择施工设备及施工方法时，承包人必须考虑由此产生的噪声标准及对施工人员和周围单位和居民的影响。在工程施工过程中，若发生施工噪声超标扰民事件，由承包人负责解决。</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承担施工安全保卫工作及夜间施工照明的责任和要求：在实施和完成本工程过程中，承包人应充分关注和保障所有在场人员及行人的安全，采取有效措施，使施工现场和本工程的实施保持有条不紊；为保护本工程免遭损坏，或为现场附近和过往人群的安全与方便，在确有必要的时候和地方，或当监理工程师或有关主管部门要求时，承包人应自费提供照明、警卫、护栅、警告标志等安全防护措施。非施工人员不得进入现场。安全事故，由承包人承担。</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3）施工场地清洁卫生的要求：按江苏省和南京市有关规定执行，文明施工，保证工完场清。施工围挡按发包人要求统一制作；同时承包人应按发包人要求，按规定作好场内各项标识，标牌，便于检查、视察或参观。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（4）扬尘控制：承包人应按照南京市人民政府令第321号修改后的《南京市扬尘污染防治管理办法》及控制扬尘十项措施进行现场扬尘控制管理。具体控制措施方案由承包人现场项目部制定。</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污水排放：所有的废水、污水应按批准的方法处理后排入排污系统，不得污染环境，由此而引进的后果由承包人自行负责。所有的施工垃圾应按照批准的方法运往批准的地点进行处理，生活垃圾应按照城市规定每天集中，纳入城市垃圾处理系统。</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6）夜间施工：承包人应按南京市有关规定要求办理夜间施工许可证。承包人应充分考虑中考、高考、节假日及城市有关部门重大活动等期间限制夜间施工而对工期造成的影响，由于施工可能对周围居民、企事业等单位造成影响，可能由此而引发各种争议，这些争议应由承包人负责协调。</w:t>
      </w:r>
    </w:p>
    <w:p>
      <w:pPr>
        <w:adjustRightInd w:val="0"/>
        <w:snapToGrid w:val="0"/>
        <w:spacing w:line="360" w:lineRule="auto"/>
        <w:jc w:val="left"/>
        <w:rPr>
          <w:rFonts w:ascii="宋体" w:hAnsi="宋体" w:eastAsia="宋体" w:cs="宋体"/>
          <w:color w:val="auto"/>
          <w:szCs w:val="21"/>
          <w:highlight w:val="none"/>
        </w:rPr>
      </w:pPr>
    </w:p>
    <w:p>
      <w:pPr>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甲方：（盖章）                           乙方：（盖章）</w:t>
      </w:r>
    </w:p>
    <w:p>
      <w:pPr>
        <w:pStyle w:val="2"/>
        <w:rPr>
          <w:rFonts w:hint="eastAsia" w:ascii="宋体" w:hAnsi="宋体"/>
          <w:color w:val="auto"/>
          <w:kern w:val="0"/>
          <w:sz w:val="24"/>
          <w:szCs w:val="24"/>
          <w:highlight w:val="none"/>
          <w:lang w:val="en-US" w:eastAsia="zh-CN"/>
        </w:rPr>
      </w:pPr>
      <w:r>
        <w:rPr>
          <w:rFonts w:hint="eastAsia" w:ascii="宋体" w:hAnsi="宋体" w:eastAsia="宋体" w:cs="宋体"/>
          <w:color w:val="auto"/>
          <w:szCs w:val="21"/>
          <w:highlight w:val="none"/>
        </w:rPr>
        <w:t>代表人：                                 代表人：</w:t>
      </w:r>
      <w:r>
        <w:rPr>
          <w:rFonts w:ascii="黑体" w:hAnsi="宋体" w:eastAsia="黑体"/>
          <w:color w:val="auto"/>
          <w:sz w:val="32"/>
          <w:szCs w:val="32"/>
          <w:highlight w:val="none"/>
        </w:rPr>
        <w:br w:type="page"/>
      </w:r>
    </w:p>
    <w:bookmarkEnd w:id="62"/>
    <w:p>
      <w:pPr>
        <w:pStyle w:val="3"/>
        <w:rPr>
          <w:color w:val="auto"/>
          <w:highlight w:val="none"/>
        </w:rPr>
      </w:pPr>
      <w:r>
        <w:rPr>
          <w:rFonts w:hint="eastAsia"/>
          <w:color w:val="auto"/>
          <w:highlight w:val="none"/>
        </w:rPr>
        <w:t>第</w:t>
      </w:r>
      <w:r>
        <w:rPr>
          <w:rFonts w:hint="eastAsia"/>
          <w:color w:val="auto"/>
          <w:highlight w:val="none"/>
          <w:lang w:val="en-US"/>
        </w:rPr>
        <w:t>六</w:t>
      </w:r>
      <w:r>
        <w:rPr>
          <w:rFonts w:hint="eastAsia"/>
          <w:color w:val="auto"/>
          <w:highlight w:val="none"/>
        </w:rPr>
        <w:t>章   竞争性磋商响应文件格式</w:t>
      </w:r>
    </w:p>
    <w:p>
      <w:pPr>
        <w:spacing w:line="360" w:lineRule="auto"/>
        <w:ind w:left="1807" w:hanging="1807" w:hangingChars="500"/>
        <w:rPr>
          <w:rFonts w:ascii="宋体" w:hAnsi="宋体" w:cs="宋体"/>
          <w:b/>
          <w:color w:val="auto"/>
          <w:sz w:val="36"/>
          <w:highlight w:val="none"/>
        </w:rPr>
      </w:pPr>
    </w:p>
    <w:p>
      <w:pPr>
        <w:spacing w:line="360" w:lineRule="auto"/>
        <w:ind w:left="1807" w:hanging="1807" w:hangingChars="500"/>
        <w:jc w:val="right"/>
        <w:rPr>
          <w:rFonts w:ascii="宋体" w:hAnsi="宋体" w:cs="宋体"/>
          <w:b/>
          <w:color w:val="auto"/>
          <w:sz w:val="36"/>
          <w:highlight w:val="none"/>
        </w:rPr>
      </w:pPr>
      <w:r>
        <w:rPr>
          <w:rFonts w:hint="eastAsia" w:ascii="宋体" w:hAnsi="宋体" w:cs="宋体"/>
          <w:b/>
          <w:color w:val="auto"/>
          <w:sz w:val="36"/>
          <w:highlight w:val="none"/>
        </w:rPr>
        <w:t>（正本/副本）</w:t>
      </w:r>
    </w:p>
    <w:p>
      <w:pPr>
        <w:spacing w:line="360" w:lineRule="auto"/>
        <w:jc w:val="center"/>
        <w:rPr>
          <w:rFonts w:ascii="宋体" w:hAnsi="宋体" w:cs="宋体"/>
          <w:b/>
          <w:bCs/>
          <w:color w:val="auto"/>
          <w:sz w:val="44"/>
          <w:szCs w:val="44"/>
          <w:highlight w:val="none"/>
        </w:rPr>
      </w:pPr>
    </w:p>
    <w:p>
      <w:pPr>
        <w:spacing w:line="360" w:lineRule="auto"/>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南京技师学院校园零星维修工程项目</w:t>
      </w:r>
    </w:p>
    <w:p>
      <w:pPr>
        <w:spacing w:line="360" w:lineRule="auto"/>
        <w:jc w:val="center"/>
        <w:rPr>
          <w:rFonts w:ascii="宋体" w:hAnsi="宋体" w:cs="宋体"/>
          <w:b/>
          <w:bCs/>
          <w:color w:val="auto"/>
          <w:sz w:val="44"/>
          <w:szCs w:val="44"/>
          <w:highlight w:val="none"/>
        </w:rPr>
      </w:pPr>
    </w:p>
    <w:p>
      <w:pPr>
        <w:adjustRightInd w:val="0"/>
        <w:snapToGrid w:val="0"/>
        <w:spacing w:line="360" w:lineRule="auto"/>
        <w:jc w:val="center"/>
        <w:rPr>
          <w:rFonts w:ascii="宋体" w:hAnsi="宋体" w:cs="宋体"/>
          <w:b/>
          <w:color w:val="auto"/>
          <w:sz w:val="52"/>
          <w:szCs w:val="52"/>
          <w:highlight w:val="none"/>
        </w:rPr>
      </w:pPr>
      <w:r>
        <w:rPr>
          <w:rFonts w:hint="eastAsia" w:ascii="宋体" w:hAnsi="宋体" w:cs="宋体"/>
          <w:b/>
          <w:color w:val="auto"/>
          <w:sz w:val="56"/>
          <w:szCs w:val="52"/>
          <w:highlight w:val="none"/>
        </w:rPr>
        <w:t>竞争性磋商响应文件</w:t>
      </w:r>
    </w:p>
    <w:p>
      <w:pPr>
        <w:adjustRightInd w:val="0"/>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（项目编号：JSZC-320100-SSJT-C2024-0042）</w:t>
      </w:r>
    </w:p>
    <w:p>
      <w:pPr>
        <w:adjustRightInd w:val="0"/>
        <w:snapToGrid w:val="0"/>
        <w:spacing w:line="360" w:lineRule="auto"/>
        <w:jc w:val="left"/>
        <w:rPr>
          <w:rFonts w:ascii="宋体" w:hAnsi="宋体" w:cs="宋体"/>
          <w:b/>
          <w:color w:val="auto"/>
          <w:sz w:val="44"/>
          <w:szCs w:val="52"/>
          <w:highlight w:val="none"/>
        </w:rPr>
      </w:pPr>
    </w:p>
    <w:p>
      <w:pPr>
        <w:adjustRightInd w:val="0"/>
        <w:snapToGrid w:val="0"/>
        <w:spacing w:line="360" w:lineRule="auto"/>
        <w:jc w:val="left"/>
        <w:rPr>
          <w:rFonts w:ascii="宋体" w:hAnsi="宋体" w:cs="宋体"/>
          <w:b/>
          <w:color w:val="auto"/>
          <w:sz w:val="44"/>
          <w:szCs w:val="52"/>
          <w:highlight w:val="none"/>
        </w:rPr>
      </w:pPr>
    </w:p>
    <w:p>
      <w:pPr>
        <w:adjustRightInd w:val="0"/>
        <w:snapToGrid w:val="0"/>
        <w:spacing w:line="360" w:lineRule="auto"/>
        <w:jc w:val="left"/>
        <w:rPr>
          <w:rFonts w:ascii="宋体" w:hAnsi="宋体" w:cs="宋体"/>
          <w:b/>
          <w:color w:val="auto"/>
          <w:sz w:val="44"/>
          <w:szCs w:val="52"/>
          <w:highlight w:val="none"/>
        </w:rPr>
      </w:pPr>
    </w:p>
    <w:p>
      <w:pPr>
        <w:adjustRightInd w:val="0"/>
        <w:snapToGrid w:val="0"/>
        <w:spacing w:line="360" w:lineRule="auto"/>
        <w:jc w:val="left"/>
        <w:rPr>
          <w:rFonts w:ascii="宋体" w:hAnsi="宋体" w:cs="宋体"/>
          <w:b/>
          <w:color w:val="auto"/>
          <w:sz w:val="44"/>
          <w:szCs w:val="52"/>
          <w:highlight w:val="none"/>
        </w:rPr>
      </w:pPr>
    </w:p>
    <w:p>
      <w:pPr>
        <w:adjustRightInd w:val="0"/>
        <w:snapToGrid w:val="0"/>
        <w:spacing w:line="360" w:lineRule="auto"/>
        <w:jc w:val="left"/>
        <w:rPr>
          <w:rFonts w:ascii="宋体" w:hAnsi="宋体" w:cs="宋体"/>
          <w:b/>
          <w:color w:val="auto"/>
          <w:sz w:val="32"/>
          <w:szCs w:val="32"/>
          <w:highlight w:val="none"/>
        </w:rPr>
      </w:pPr>
      <w:r>
        <w:rPr>
          <w:rFonts w:hint="eastAsia" w:ascii="宋体" w:hAnsi="宋体" w:cs="宋体"/>
          <w:b/>
          <w:color w:val="auto"/>
          <w:sz w:val="32"/>
          <w:szCs w:val="32"/>
          <w:highlight w:val="none"/>
        </w:rPr>
        <w:t>供应商：</w:t>
      </w:r>
      <w:r>
        <w:rPr>
          <w:rFonts w:hint="eastAsia" w:ascii="宋体" w:hAnsi="宋体" w:cs="宋体"/>
          <w:b/>
          <w:color w:val="auto"/>
          <w:sz w:val="32"/>
          <w:szCs w:val="32"/>
          <w:highlight w:val="none"/>
          <w:u w:val="single"/>
        </w:rPr>
        <w:t xml:space="preserve">                           </w:t>
      </w:r>
      <w:r>
        <w:rPr>
          <w:rFonts w:hint="eastAsia" w:ascii="宋体" w:hAnsi="宋体" w:cs="宋体"/>
          <w:b/>
          <w:color w:val="auto"/>
          <w:sz w:val="32"/>
          <w:szCs w:val="32"/>
          <w:highlight w:val="none"/>
        </w:rPr>
        <w:t>（公章）</w:t>
      </w:r>
    </w:p>
    <w:p>
      <w:pPr>
        <w:adjustRightInd w:val="0"/>
        <w:snapToGrid w:val="0"/>
        <w:spacing w:line="360" w:lineRule="auto"/>
        <w:jc w:val="left"/>
        <w:rPr>
          <w:rFonts w:ascii="宋体" w:hAnsi="宋体" w:cs="宋体"/>
          <w:b/>
          <w:color w:val="auto"/>
          <w:sz w:val="32"/>
          <w:szCs w:val="32"/>
          <w:highlight w:val="none"/>
        </w:rPr>
      </w:pPr>
      <w:r>
        <w:rPr>
          <w:rFonts w:hint="eastAsia" w:ascii="宋体" w:hAnsi="宋体" w:cs="宋体"/>
          <w:b/>
          <w:color w:val="auto"/>
          <w:sz w:val="32"/>
          <w:szCs w:val="32"/>
          <w:highlight w:val="none"/>
        </w:rPr>
        <w:t>法定代表人或授权委托人：___________（签字或盖章）</w:t>
      </w:r>
    </w:p>
    <w:p>
      <w:pPr>
        <w:adjustRightInd w:val="0"/>
        <w:snapToGrid w:val="0"/>
        <w:spacing w:line="360" w:lineRule="auto"/>
        <w:jc w:val="left"/>
        <w:rPr>
          <w:rFonts w:ascii="宋体" w:hAnsi="宋体" w:cs="宋体"/>
          <w:b/>
          <w:color w:val="auto"/>
          <w:sz w:val="32"/>
          <w:szCs w:val="32"/>
          <w:highlight w:val="none"/>
        </w:rPr>
      </w:pPr>
    </w:p>
    <w:p>
      <w:pPr>
        <w:adjustRightInd w:val="0"/>
        <w:snapToGrid w:val="0"/>
        <w:spacing w:line="360" w:lineRule="auto"/>
        <w:jc w:val="center"/>
        <w:rPr>
          <w:rFonts w:ascii="宋体" w:hAnsi="宋体" w:cs="宋体"/>
          <w:b/>
          <w:color w:val="auto"/>
          <w:sz w:val="32"/>
          <w:szCs w:val="32"/>
          <w:highlight w:val="none"/>
        </w:rPr>
        <w:sectPr>
          <w:pgSz w:w="11906" w:h="16838"/>
          <w:pgMar w:top="1440" w:right="1797" w:bottom="1440" w:left="1797" w:header="851" w:footer="992" w:gutter="0"/>
          <w:cols w:space="720" w:num="1"/>
          <w:docGrid w:linePitch="312" w:charSpace="0"/>
        </w:sectPr>
      </w:pPr>
      <w:r>
        <w:rPr>
          <w:rFonts w:hint="eastAsia" w:ascii="宋体" w:hAnsi="宋体" w:cs="宋体"/>
          <w:b/>
          <w:color w:val="auto"/>
          <w:sz w:val="32"/>
          <w:szCs w:val="32"/>
          <w:highlight w:val="none"/>
        </w:rPr>
        <w:t>年    月   日</w:t>
      </w:r>
    </w:p>
    <w:p>
      <w:pPr>
        <w:pageBreakBefore/>
        <w:snapToGrid w:val="0"/>
        <w:spacing w:line="360" w:lineRule="auto"/>
        <w:jc w:val="center"/>
        <w:rPr>
          <w:rFonts w:cs="宋体"/>
          <w:b/>
          <w:color w:val="auto"/>
          <w:sz w:val="44"/>
          <w:szCs w:val="44"/>
          <w:highlight w:val="none"/>
        </w:rPr>
      </w:pPr>
      <w:r>
        <w:rPr>
          <w:rFonts w:hint="eastAsia" w:cs="宋体"/>
          <w:color w:val="auto"/>
          <w:sz w:val="44"/>
          <w:szCs w:val="44"/>
          <w:highlight w:val="none"/>
        </w:rPr>
        <w:t>目　录</w:t>
      </w:r>
    </w:p>
    <w:p>
      <w:pPr>
        <w:snapToGrid w:val="0"/>
        <w:spacing w:line="360" w:lineRule="auto"/>
        <w:jc w:val="center"/>
        <w:rPr>
          <w:rFonts w:cs="宋体"/>
          <w:b/>
          <w:color w:val="auto"/>
          <w:sz w:val="24"/>
          <w:szCs w:val="24"/>
          <w:highlight w:val="none"/>
        </w:rPr>
      </w:pPr>
    </w:p>
    <w:p>
      <w:pPr>
        <w:snapToGrid w:val="0"/>
        <w:spacing w:line="360" w:lineRule="auto"/>
        <w:jc w:val="center"/>
        <w:rPr>
          <w:rFonts w:cs="宋体"/>
          <w:b/>
          <w:color w:val="auto"/>
          <w:sz w:val="24"/>
          <w:szCs w:val="24"/>
          <w:highlight w:val="none"/>
        </w:rPr>
      </w:pPr>
      <w:r>
        <w:rPr>
          <w:rFonts w:hint="eastAsia" w:cs="宋体"/>
          <w:color w:val="auto"/>
          <w:sz w:val="24"/>
          <w:szCs w:val="24"/>
          <w:highlight w:val="none"/>
        </w:rPr>
        <w:t xml:space="preserve"> （</w:t>
      </w:r>
      <w:r>
        <w:rPr>
          <w:rFonts w:hint="eastAsia" w:ascii="宋体" w:hAnsi="宋体" w:cs="宋体"/>
          <w:color w:val="auto"/>
          <w:sz w:val="24"/>
          <w:szCs w:val="24"/>
          <w:highlight w:val="none"/>
        </w:rPr>
        <w:t>供应商</w:t>
      </w:r>
      <w:r>
        <w:rPr>
          <w:rFonts w:hint="eastAsia" w:cs="宋体"/>
          <w:color w:val="auto"/>
          <w:sz w:val="24"/>
          <w:szCs w:val="24"/>
          <w:highlight w:val="none"/>
        </w:rPr>
        <w:t>可自行制作格式）</w:t>
      </w:r>
    </w:p>
    <w:p>
      <w:pPr>
        <w:snapToGrid w:val="0"/>
        <w:spacing w:before="120" w:line="360" w:lineRule="auto"/>
        <w:jc w:val="left"/>
        <w:rPr>
          <w:rFonts w:cs="宋体"/>
          <w:color w:val="auto"/>
          <w:szCs w:val="21"/>
          <w:highlight w:val="none"/>
        </w:rPr>
      </w:pPr>
    </w:p>
    <w:p>
      <w:pPr>
        <w:spacing w:line="440" w:lineRule="exact"/>
        <w:rPr>
          <w:rFonts w:ascii="Calibri" w:hAnsi="Calibri"/>
          <w:color w:val="auto"/>
          <w:szCs w:val="24"/>
          <w:highlight w:val="none"/>
        </w:rPr>
        <w:sectPr>
          <w:footerReference r:id="rId7" w:type="default"/>
          <w:pgSz w:w="11906" w:h="16838"/>
          <w:pgMar w:top="1440" w:right="1797" w:bottom="1440" w:left="1797" w:header="851" w:footer="992" w:gutter="0"/>
          <w:cols w:space="720" w:num="1"/>
          <w:titlePg/>
          <w:docGrid w:linePitch="312" w:charSpace="0"/>
        </w:sectPr>
      </w:pPr>
    </w:p>
    <w:bookmarkEnd w:id="46"/>
    <w:bookmarkEnd w:id="47"/>
    <w:p>
      <w:pPr>
        <w:jc w:val="center"/>
        <w:rPr>
          <w:rFonts w:ascii="宋体" w:hAnsi="宋体"/>
          <w:b/>
          <w:color w:val="auto"/>
          <w:sz w:val="32"/>
          <w:szCs w:val="32"/>
          <w:highlight w:val="none"/>
        </w:rPr>
      </w:pPr>
      <w:bookmarkStart w:id="65" w:name="_Toc310966102"/>
      <w:bookmarkStart w:id="66" w:name="_Toc310965983"/>
      <w:bookmarkStart w:id="67" w:name="_Toc316986045"/>
      <w:bookmarkStart w:id="68" w:name="_Toc329097754"/>
      <w:r>
        <w:rPr>
          <w:rFonts w:hint="eastAsia" w:ascii="宋体" w:hAnsi="宋体"/>
          <w:b/>
          <w:color w:val="auto"/>
          <w:sz w:val="32"/>
          <w:szCs w:val="32"/>
          <w:highlight w:val="none"/>
        </w:rPr>
        <w:t>一、投标函</w:t>
      </w:r>
      <w:bookmarkEnd w:id="65"/>
      <w:bookmarkEnd w:id="66"/>
      <w:bookmarkEnd w:id="67"/>
      <w:bookmarkEnd w:id="68"/>
    </w:p>
    <w:p>
      <w:pPr>
        <w:spacing w:line="400" w:lineRule="exact"/>
        <w:rPr>
          <w:rFonts w:ascii="宋体" w:hAns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rPr>
        <w:t>(</w:t>
      </w:r>
      <w:r>
        <w:rPr>
          <w:rFonts w:hint="eastAsia" w:ascii="宋体" w:hAnsi="宋体"/>
          <w:color w:val="auto"/>
          <w:szCs w:val="21"/>
          <w:highlight w:val="none"/>
        </w:rPr>
        <w:t>采购人</w:t>
      </w:r>
      <w:r>
        <w:rPr>
          <w:rFonts w:ascii="宋体" w:hAnsi="宋体"/>
          <w:color w:val="auto"/>
          <w:szCs w:val="21"/>
          <w:highlight w:val="none"/>
        </w:rPr>
        <w:t>)</w:t>
      </w:r>
    </w:p>
    <w:p>
      <w:pPr>
        <w:autoSpaceDE w:val="0"/>
        <w:autoSpaceDN w:val="0"/>
        <w:adjustRightInd w:val="0"/>
        <w:spacing w:line="400" w:lineRule="exact"/>
        <w:ind w:firstLine="420"/>
        <w:rPr>
          <w:rFonts w:ascii="宋体" w:hAnsi="宋体" w:cs="宋体"/>
          <w:color w:val="auto"/>
          <w:szCs w:val="21"/>
          <w:highlight w:val="none"/>
          <w:lang w:val="zh-CN"/>
        </w:rPr>
      </w:pPr>
      <w:r>
        <w:rPr>
          <w:rFonts w:hint="eastAsia" w:ascii="宋体" w:hAnsi="宋体"/>
          <w:color w:val="auto"/>
          <w:szCs w:val="21"/>
          <w:highlight w:val="none"/>
        </w:rPr>
        <w:t>根据贵方</w:t>
      </w:r>
      <w:r>
        <w:rPr>
          <w:rFonts w:hint="eastAsia"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项目名称</w:t>
      </w:r>
      <w:r>
        <w:rPr>
          <w:rFonts w:ascii="宋体" w:hAnsi="宋体"/>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项目编号</w:t>
      </w:r>
      <w:r>
        <w:rPr>
          <w:rFonts w:ascii="宋体" w:hAnsi="宋体"/>
          <w:color w:val="auto"/>
          <w:szCs w:val="21"/>
          <w:highlight w:val="none"/>
        </w:rPr>
        <w:t>)</w:t>
      </w:r>
      <w:r>
        <w:rPr>
          <w:rFonts w:hint="eastAsia" w:ascii="宋体" w:hAnsi="宋体"/>
          <w:color w:val="auto"/>
          <w:szCs w:val="21"/>
          <w:highlight w:val="none"/>
        </w:rPr>
        <w:t>的</w:t>
      </w:r>
      <w:r>
        <w:rPr>
          <w:rFonts w:hint="eastAsia" w:ascii="宋体"/>
          <w:color w:val="auto"/>
          <w:szCs w:val="21"/>
          <w:highlight w:val="none"/>
          <w:lang w:val="zh-CN"/>
        </w:rPr>
        <w:t>竞争性磋商邀请</w:t>
      </w:r>
      <w:r>
        <w:rPr>
          <w:rFonts w:hint="eastAsia" w:ascii="宋体" w:hAnsi="宋体"/>
          <w:color w:val="auto"/>
          <w:szCs w:val="21"/>
          <w:highlight w:val="none"/>
        </w:rPr>
        <w:t>，</w:t>
      </w:r>
      <w:r>
        <w:rPr>
          <w:rFonts w:hint="eastAsia" w:ascii="宋体" w:hAnsi="宋体" w:cs="宋体"/>
          <w:color w:val="auto"/>
          <w:szCs w:val="21"/>
          <w:highlight w:val="none"/>
          <w:lang w:val="zh-CN"/>
        </w:rPr>
        <w:t>正式授权下述签字人</w:t>
      </w:r>
      <w:r>
        <w:rPr>
          <w:rFonts w:hint="eastAsia" w:ascii="宋体" w:hAnsi="宋体"/>
          <w:color w:val="auto"/>
          <w:szCs w:val="21"/>
          <w:highlight w:val="none"/>
          <w:u w:val="single"/>
        </w:rPr>
        <w:t xml:space="preserve">          </w:t>
      </w:r>
      <w:r>
        <w:rPr>
          <w:rFonts w:hint="eastAsia" w:ascii="宋体" w:hAnsi="宋体" w:cs="宋体"/>
          <w:color w:val="auto"/>
          <w:szCs w:val="21"/>
          <w:highlight w:val="none"/>
          <w:lang w:val="zh-CN"/>
        </w:rPr>
        <w:t>(姓名和职务)代表</w:t>
      </w:r>
      <w:r>
        <w:rPr>
          <w:rFonts w:hint="eastAsia" w:ascii="宋体" w:hAnsi="宋体"/>
          <w:color w:val="auto"/>
          <w:szCs w:val="21"/>
          <w:highlight w:val="none"/>
          <w:u w:val="single"/>
        </w:rPr>
        <w:t xml:space="preserve">             </w:t>
      </w:r>
      <w:r>
        <w:rPr>
          <w:rFonts w:hint="eastAsia" w:ascii="宋体" w:hAnsi="宋体" w:cs="宋体"/>
          <w:color w:val="auto"/>
          <w:szCs w:val="21"/>
          <w:highlight w:val="none"/>
          <w:lang w:val="zh-CN"/>
        </w:rPr>
        <w:t>（供应商名称），提交响应性文件并参加磋商。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据此函，签字人兹宣布同意如下：</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zh-CN"/>
        </w:rPr>
        <w:t>我们的资格条件完全符合政府采购法和本次采购要求，</w:t>
      </w:r>
      <w:r>
        <w:rPr>
          <w:rFonts w:hint="eastAsia" w:ascii="宋体" w:hAnsi="宋体" w:cs="宋体"/>
          <w:color w:val="auto"/>
          <w:szCs w:val="21"/>
          <w:highlight w:val="none"/>
        </w:rPr>
        <w:t>我们</w:t>
      </w:r>
      <w:r>
        <w:rPr>
          <w:rFonts w:hint="eastAsia" w:ascii="宋体" w:hAnsi="宋体" w:cs="宋体"/>
          <w:color w:val="auto"/>
          <w:szCs w:val="21"/>
          <w:highlight w:val="none"/>
          <w:lang w:val="zh-CN"/>
        </w:rPr>
        <w:t>同意并向贵方提供了与本次采购活动有关的所有证据和资料</w:t>
      </w:r>
      <w:r>
        <w:rPr>
          <w:rFonts w:hint="eastAsia" w:ascii="宋体" w:hAnsi="宋体" w:cs="宋体"/>
          <w:color w:val="auto"/>
          <w:szCs w:val="21"/>
          <w:highlight w:val="none"/>
        </w:rPr>
        <w:t>。</w:t>
      </w:r>
    </w:p>
    <w:p>
      <w:pPr>
        <w:widowControl/>
        <w:shd w:val="clear" w:color="auto" w:fill="FFFFFF"/>
        <w:spacing w:line="400" w:lineRule="exact"/>
        <w:ind w:firstLine="420"/>
        <w:rPr>
          <w:color w:val="auto"/>
          <w:highlight w:val="none"/>
        </w:rPr>
      </w:pPr>
      <w:r>
        <w:rPr>
          <w:rFonts w:hint="eastAsia" w:ascii="宋体" w:hAnsi="宋体"/>
          <w:color w:val="auto"/>
          <w:kern w:val="0"/>
          <w:szCs w:val="21"/>
          <w:highlight w:val="none"/>
        </w:rPr>
        <w:t>2、按磋商要求，我方愿意按投标费率</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kern w:val="0"/>
          <w:szCs w:val="21"/>
          <w:highlight w:val="none"/>
        </w:rPr>
        <w:t>作为本次磋商首轮报价，服务期限：</w:t>
      </w:r>
      <w:r>
        <w:rPr>
          <w:rFonts w:hint="eastAsia" w:hAnsi="宋体"/>
          <w:color w:val="auto"/>
          <w:kern w:val="0"/>
          <w:szCs w:val="21"/>
          <w:highlight w:val="none"/>
          <w:u w:val="single"/>
        </w:rPr>
        <w:t xml:space="preserve">              </w:t>
      </w:r>
      <w:r>
        <w:rPr>
          <w:rFonts w:hint="eastAsia" w:hAnsi="宋体"/>
          <w:color w:val="auto"/>
          <w:kern w:val="0"/>
          <w:szCs w:val="21"/>
          <w:highlight w:val="none"/>
        </w:rPr>
        <w:t>，项目负责人：</w:t>
      </w:r>
      <w:r>
        <w:rPr>
          <w:rFonts w:hint="eastAsia" w:hAnsi="宋体"/>
          <w:color w:val="auto"/>
          <w:kern w:val="0"/>
          <w:szCs w:val="21"/>
          <w:highlight w:val="none"/>
          <w:u w:val="single"/>
        </w:rPr>
        <w:t xml:space="preserve">               </w:t>
      </w:r>
      <w:r>
        <w:rPr>
          <w:rFonts w:hint="eastAsia" w:hAnsi="宋体"/>
          <w:color w:val="auto"/>
          <w:kern w:val="0"/>
          <w:szCs w:val="21"/>
          <w:highlight w:val="none"/>
        </w:rPr>
        <w:t>，工程质量达到</w:t>
      </w:r>
      <w:r>
        <w:rPr>
          <w:rFonts w:hint="eastAsia" w:hAnsi="宋体"/>
          <w:color w:val="auto"/>
          <w:kern w:val="0"/>
          <w:szCs w:val="21"/>
          <w:highlight w:val="none"/>
          <w:u w:val="single"/>
        </w:rPr>
        <w:t xml:space="preserve">            </w:t>
      </w:r>
      <w:r>
        <w:rPr>
          <w:rFonts w:hint="eastAsia" w:ascii="宋体" w:hAnsi="宋体"/>
          <w:color w:val="auto"/>
          <w:kern w:val="0"/>
          <w:szCs w:val="21"/>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pacing w:val="-8"/>
          <w:szCs w:val="21"/>
          <w:highlight w:val="none"/>
        </w:rPr>
        <w:t>我方已</w:t>
      </w:r>
      <w:r>
        <w:rPr>
          <w:rFonts w:hint="eastAsia" w:ascii="宋体" w:hAnsi="宋体" w:cs="宋体"/>
          <w:color w:val="auto"/>
          <w:spacing w:val="-8"/>
          <w:szCs w:val="21"/>
          <w:highlight w:val="none"/>
        </w:rPr>
        <w:t>详细审</w:t>
      </w:r>
      <w:r>
        <w:rPr>
          <w:rFonts w:hint="eastAsia" w:ascii="宋体" w:hAnsi="宋体"/>
          <w:color w:val="auto"/>
          <w:spacing w:val="-8"/>
          <w:szCs w:val="21"/>
          <w:highlight w:val="none"/>
        </w:rPr>
        <w:t>核并确</w:t>
      </w:r>
      <w:r>
        <w:rPr>
          <w:rFonts w:hint="eastAsia" w:ascii="宋体" w:hAnsi="宋体" w:cs="宋体"/>
          <w:color w:val="auto"/>
          <w:spacing w:val="-8"/>
          <w:szCs w:val="21"/>
          <w:highlight w:val="none"/>
        </w:rPr>
        <w:t>认</w:t>
      </w:r>
      <w:r>
        <w:rPr>
          <w:rFonts w:hint="eastAsia" w:ascii="宋体" w:hAnsi="宋体"/>
          <w:color w:val="auto"/>
          <w:spacing w:val="-8"/>
          <w:szCs w:val="21"/>
          <w:highlight w:val="none"/>
        </w:rPr>
        <w:t>全部磋商文件，包括澄清、修改或补充磋商文件</w:t>
      </w:r>
      <w:r>
        <w:rPr>
          <w:rFonts w:ascii="宋体" w:hAnsi="宋体"/>
          <w:color w:val="auto"/>
          <w:spacing w:val="-8"/>
          <w:szCs w:val="21"/>
          <w:highlight w:val="none"/>
        </w:rPr>
        <w:t>(</w:t>
      </w:r>
      <w:r>
        <w:rPr>
          <w:rFonts w:hint="eastAsia" w:ascii="宋体" w:hAnsi="宋体"/>
          <w:color w:val="auto"/>
          <w:spacing w:val="-8"/>
          <w:szCs w:val="21"/>
          <w:highlight w:val="none"/>
        </w:rPr>
        <w:t>如有</w:t>
      </w:r>
      <w:r>
        <w:rPr>
          <w:rFonts w:hint="eastAsia" w:ascii="宋体" w:hAnsi="宋体" w:cs="宋体"/>
          <w:color w:val="auto"/>
          <w:spacing w:val="-8"/>
          <w:szCs w:val="21"/>
          <w:highlight w:val="none"/>
        </w:rPr>
        <w:t>时</w:t>
      </w:r>
      <w:r>
        <w:rPr>
          <w:rFonts w:ascii="宋体" w:hAnsi="宋体"/>
          <w:color w:val="auto"/>
          <w:spacing w:val="-8"/>
          <w:szCs w:val="21"/>
          <w:highlight w:val="none"/>
        </w:rPr>
        <w:t>)</w:t>
      </w:r>
      <w:r>
        <w:rPr>
          <w:rFonts w:hint="eastAsia" w:ascii="宋体" w:hAnsi="宋体"/>
          <w:color w:val="auto"/>
          <w:spacing w:val="-8"/>
          <w:szCs w:val="21"/>
          <w:highlight w:val="none"/>
        </w:rPr>
        <w:t>及有关附件。</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4、一旦我方成交，我方将根据竞争性磋商文件的规定严格履行合同，并保证于合同约定的期限内完成并移交全部合同工程，交付采购人验收、使用。</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5、我方接受磋商文件中工程款预付及支付条件。</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6、我方同意所提交的响应文件在磋商文件的竞争性磋商须知</w:t>
      </w:r>
      <w:r>
        <w:rPr>
          <w:rFonts w:hint="eastAsia" w:ascii="宋体" w:hAnsi="宋体" w:cs="宋体"/>
          <w:color w:val="auto"/>
          <w:szCs w:val="21"/>
          <w:highlight w:val="none"/>
        </w:rPr>
        <w:t>规</w:t>
      </w:r>
      <w:r>
        <w:rPr>
          <w:rFonts w:hint="eastAsia" w:ascii="宋体" w:hAnsi="宋体"/>
          <w:color w:val="auto"/>
          <w:szCs w:val="21"/>
          <w:highlight w:val="none"/>
        </w:rPr>
        <w:t>定的投</w:t>
      </w:r>
      <w:r>
        <w:rPr>
          <w:rFonts w:hint="eastAsia" w:ascii="宋体" w:hAnsi="宋体" w:cs="宋体"/>
          <w:color w:val="auto"/>
          <w:szCs w:val="21"/>
          <w:highlight w:val="none"/>
        </w:rPr>
        <w:t>标</w:t>
      </w:r>
      <w:r>
        <w:rPr>
          <w:rFonts w:hint="eastAsia" w:ascii="宋体" w:hAnsi="宋体"/>
          <w:color w:val="auto"/>
          <w:szCs w:val="21"/>
          <w:highlight w:val="none"/>
        </w:rPr>
        <w:t>有效期限内有效，在此期</w:t>
      </w:r>
      <w:r>
        <w:rPr>
          <w:rFonts w:hint="eastAsia" w:ascii="宋体" w:hAnsi="宋体" w:cs="宋体"/>
          <w:color w:val="auto"/>
          <w:szCs w:val="21"/>
          <w:highlight w:val="none"/>
        </w:rPr>
        <w:t>间</w:t>
      </w:r>
      <w:r>
        <w:rPr>
          <w:rFonts w:hint="eastAsia" w:ascii="宋体" w:hAnsi="宋体"/>
          <w:color w:val="auto"/>
          <w:szCs w:val="21"/>
          <w:highlight w:val="none"/>
        </w:rPr>
        <w:t>内如果中</w:t>
      </w:r>
      <w:r>
        <w:rPr>
          <w:rFonts w:hint="eastAsia" w:ascii="宋体" w:hAnsi="宋体" w:cs="宋体"/>
          <w:color w:val="auto"/>
          <w:szCs w:val="21"/>
          <w:highlight w:val="none"/>
        </w:rPr>
        <w:t>标</w:t>
      </w:r>
      <w:r>
        <w:rPr>
          <w:rFonts w:hint="eastAsia" w:ascii="宋体" w:hAnsi="宋体"/>
          <w:color w:val="auto"/>
          <w:szCs w:val="21"/>
          <w:highlight w:val="none"/>
        </w:rPr>
        <w:t>，我方将受此</w:t>
      </w:r>
      <w:r>
        <w:rPr>
          <w:rFonts w:hint="eastAsia" w:ascii="宋体" w:hAnsi="宋体" w:cs="宋体"/>
          <w:color w:val="auto"/>
          <w:szCs w:val="21"/>
          <w:highlight w:val="none"/>
        </w:rPr>
        <w:t>约</w:t>
      </w:r>
      <w:r>
        <w:rPr>
          <w:rFonts w:hint="eastAsia" w:ascii="宋体" w:hAnsi="宋体"/>
          <w:color w:val="auto"/>
          <w:szCs w:val="21"/>
          <w:highlight w:val="none"/>
        </w:rPr>
        <w:t>束。</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7、除非另外达成</w:t>
      </w:r>
      <w:r>
        <w:rPr>
          <w:rFonts w:hint="eastAsia" w:ascii="宋体" w:hAnsi="宋体" w:cs="宋体"/>
          <w:color w:val="auto"/>
          <w:szCs w:val="21"/>
          <w:highlight w:val="none"/>
        </w:rPr>
        <w:t>协议</w:t>
      </w:r>
      <w:r>
        <w:rPr>
          <w:rFonts w:hint="eastAsia" w:ascii="宋体" w:hAnsi="宋体"/>
          <w:color w:val="auto"/>
          <w:szCs w:val="21"/>
          <w:highlight w:val="none"/>
        </w:rPr>
        <w:t>并生效，</w:t>
      </w:r>
      <w:r>
        <w:rPr>
          <w:rFonts w:hint="eastAsia" w:ascii="宋体" w:hAnsi="宋体" w:cs="宋体"/>
          <w:color w:val="auto"/>
          <w:szCs w:val="21"/>
          <w:highlight w:val="none"/>
        </w:rPr>
        <w:t>贵</w:t>
      </w:r>
      <w:r>
        <w:rPr>
          <w:rFonts w:hint="eastAsia" w:ascii="宋体" w:hAnsi="宋体"/>
          <w:color w:val="auto"/>
          <w:szCs w:val="21"/>
          <w:highlight w:val="none"/>
        </w:rPr>
        <w:t>方的中</w:t>
      </w:r>
      <w:r>
        <w:rPr>
          <w:rFonts w:hint="eastAsia" w:ascii="宋体" w:hAnsi="宋体" w:cs="宋体"/>
          <w:color w:val="auto"/>
          <w:szCs w:val="21"/>
          <w:highlight w:val="none"/>
        </w:rPr>
        <w:t>标</w:t>
      </w:r>
      <w:r>
        <w:rPr>
          <w:rFonts w:hint="eastAsia" w:ascii="宋体" w:hAnsi="宋体"/>
          <w:color w:val="auto"/>
          <w:szCs w:val="21"/>
          <w:highlight w:val="none"/>
        </w:rPr>
        <w:t>通知</w:t>
      </w:r>
      <w:r>
        <w:rPr>
          <w:rFonts w:hint="eastAsia" w:ascii="宋体" w:hAnsi="宋体" w:cs="宋体"/>
          <w:color w:val="auto"/>
          <w:szCs w:val="21"/>
          <w:highlight w:val="none"/>
        </w:rPr>
        <w:t>书</w:t>
      </w:r>
      <w:r>
        <w:rPr>
          <w:rFonts w:hint="eastAsia" w:ascii="宋体" w:hAnsi="宋体"/>
          <w:color w:val="auto"/>
          <w:szCs w:val="21"/>
          <w:highlight w:val="none"/>
        </w:rPr>
        <w:t>和本响应文件将成</w:t>
      </w:r>
      <w:r>
        <w:rPr>
          <w:rFonts w:hint="eastAsia" w:ascii="宋体" w:hAnsi="宋体" w:cs="宋体"/>
          <w:color w:val="auto"/>
          <w:szCs w:val="21"/>
          <w:highlight w:val="none"/>
        </w:rPr>
        <w:t>为约</w:t>
      </w:r>
      <w:r>
        <w:rPr>
          <w:rFonts w:hint="eastAsia" w:ascii="宋体" w:hAnsi="宋体"/>
          <w:color w:val="auto"/>
          <w:szCs w:val="21"/>
          <w:highlight w:val="none"/>
        </w:rPr>
        <w:t>束双方的合同文件的</w:t>
      </w:r>
      <w:r>
        <w:rPr>
          <w:rFonts w:hint="eastAsia" w:ascii="宋体" w:hAnsi="宋体" w:cs="宋体"/>
          <w:color w:val="auto"/>
          <w:szCs w:val="21"/>
          <w:highlight w:val="none"/>
        </w:rPr>
        <w:t>组</w:t>
      </w:r>
      <w:r>
        <w:rPr>
          <w:rFonts w:hint="eastAsia" w:ascii="宋体" w:hAnsi="宋体"/>
          <w:color w:val="auto"/>
          <w:szCs w:val="21"/>
          <w:highlight w:val="none"/>
        </w:rPr>
        <w:t>成部分。</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8、其他补充说明：</w:t>
      </w:r>
      <w:r>
        <w:rPr>
          <w:rFonts w:ascii="宋体" w:hAnsi="宋体"/>
          <w:color w:val="auto"/>
          <w:szCs w:val="21"/>
          <w:highlight w:val="none"/>
        </w:rPr>
        <w:t>(</w:t>
      </w:r>
      <w:r>
        <w:rPr>
          <w:rFonts w:hint="eastAsia" w:ascii="宋体" w:hAnsi="宋体"/>
          <w:color w:val="auto"/>
          <w:szCs w:val="21"/>
          <w:highlight w:val="none"/>
        </w:rPr>
        <w:t>补充说明事项</w:t>
      </w:r>
      <w:r>
        <w:rPr>
          <w:rFonts w:ascii="宋体" w:hAnsi="宋体"/>
          <w:color w:val="auto"/>
          <w:szCs w:val="21"/>
          <w:highlight w:val="none"/>
        </w:rPr>
        <w:t>)</w:t>
      </w:r>
      <w:r>
        <w:rPr>
          <w:rFonts w:hint="eastAsia" w:ascii="宋体" w:hAnsi="宋体"/>
          <w:color w:val="auto"/>
          <w:szCs w:val="21"/>
          <w:highlight w:val="none"/>
        </w:rPr>
        <w:t>与本投标有关的一切正式往来通讯请寄：</w:t>
      </w:r>
    </w:p>
    <w:p>
      <w:pPr>
        <w:spacing w:line="400" w:lineRule="exact"/>
        <w:rPr>
          <w:rFonts w:ascii="宋体" w:hAnsi="宋体"/>
          <w:color w:val="auto"/>
          <w:szCs w:val="21"/>
          <w:highlight w:val="none"/>
        </w:rPr>
      </w:pPr>
    </w:p>
    <w:p>
      <w:pPr>
        <w:spacing w:before="84" w:line="305" w:lineRule="auto"/>
        <w:ind w:left="623" w:right="3961"/>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供应商名称（盖章</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u w:val="single" w:color="000000"/>
        </w:rPr>
        <w:t xml:space="preserve">                          </w:t>
      </w:r>
      <w:r>
        <w:rPr>
          <w:rFonts w:ascii="宋体" w:hAnsi="宋体" w:cs="宋体"/>
          <w:color w:val="auto"/>
          <w:kern w:val="0"/>
          <w:sz w:val="24"/>
          <w:szCs w:val="24"/>
          <w:highlight w:val="none"/>
        </w:rPr>
        <w:t xml:space="preserve">   </w:t>
      </w:r>
      <w:r>
        <w:rPr>
          <w:rFonts w:ascii="宋体" w:hAnsi="宋体" w:cs="宋体"/>
          <w:color w:val="auto"/>
          <w:spacing w:val="-1"/>
          <w:kern w:val="0"/>
          <w:sz w:val="24"/>
          <w:szCs w:val="24"/>
          <w:highlight w:val="none"/>
        </w:rPr>
        <w:t>地</w:t>
      </w:r>
      <w:r>
        <w:rPr>
          <w:rFonts w:ascii="宋体" w:hAnsi="宋体" w:cs="宋体"/>
          <w:color w:val="auto"/>
          <w:kern w:val="0"/>
          <w:sz w:val="24"/>
          <w:szCs w:val="24"/>
          <w:highlight w:val="none"/>
        </w:rPr>
        <w:t xml:space="preserve"> </w:t>
      </w:r>
      <w:r>
        <w:rPr>
          <w:rFonts w:ascii="宋体" w:hAnsi="宋体" w:cs="宋体"/>
          <w:color w:val="auto"/>
          <w:spacing w:val="120"/>
          <w:kern w:val="0"/>
          <w:sz w:val="24"/>
          <w:szCs w:val="24"/>
          <w:highlight w:val="none"/>
        </w:rPr>
        <w:t xml:space="preserve"> </w:t>
      </w:r>
      <w:r>
        <w:rPr>
          <w:rFonts w:ascii="宋体" w:hAnsi="宋体" w:cs="宋体"/>
          <w:color w:val="auto"/>
          <w:kern w:val="0"/>
          <w:sz w:val="24"/>
          <w:szCs w:val="24"/>
          <w:highlight w:val="none"/>
        </w:rPr>
        <w:t>址：</w:t>
      </w:r>
      <w:r>
        <w:rPr>
          <w:rFonts w:ascii="宋体" w:hAnsi="宋体" w:cs="宋体"/>
          <w:color w:val="auto"/>
          <w:kern w:val="0"/>
          <w:sz w:val="24"/>
          <w:szCs w:val="24"/>
          <w:highlight w:val="none"/>
          <w:u w:val="single" w:color="000000"/>
        </w:rPr>
        <w:t xml:space="preserve">                          </w:t>
      </w:r>
      <w:r>
        <w:rPr>
          <w:rFonts w:ascii="宋体" w:hAnsi="宋体" w:cs="宋体"/>
          <w:color w:val="auto"/>
          <w:kern w:val="0"/>
          <w:sz w:val="24"/>
          <w:szCs w:val="24"/>
          <w:highlight w:val="none"/>
        </w:rPr>
        <w:t xml:space="preserve"> </w:t>
      </w:r>
    </w:p>
    <w:p>
      <w:pPr>
        <w:spacing w:before="21" w:line="305" w:lineRule="auto"/>
        <w:ind w:left="623" w:right="3379"/>
        <w:jc w:val="left"/>
        <w:rPr>
          <w:rFonts w:ascii="宋体" w:hAnsi="宋体" w:cs="宋体"/>
          <w:color w:val="auto"/>
          <w:spacing w:val="20"/>
          <w:kern w:val="0"/>
          <w:sz w:val="24"/>
          <w:szCs w:val="24"/>
          <w:highlight w:val="none"/>
        </w:rPr>
      </w:pPr>
      <w:r>
        <w:rPr>
          <w:rFonts w:ascii="宋体" w:hAnsi="宋体" w:cs="宋体"/>
          <w:color w:val="auto"/>
          <w:spacing w:val="-1"/>
          <w:kern w:val="0"/>
          <w:sz w:val="24"/>
          <w:szCs w:val="24"/>
          <w:highlight w:val="none"/>
        </w:rPr>
        <w:t>联系电话：</w:t>
      </w:r>
      <w:r>
        <w:rPr>
          <w:rFonts w:ascii="宋体" w:hAnsi="宋体" w:cs="宋体"/>
          <w:color w:val="auto"/>
          <w:kern w:val="0"/>
          <w:sz w:val="24"/>
          <w:szCs w:val="24"/>
          <w:highlight w:val="none"/>
          <w:u w:val="single" w:color="000000"/>
        </w:rPr>
        <w:t xml:space="preserve">                                   </w:t>
      </w:r>
      <w:r>
        <w:rPr>
          <w:rFonts w:ascii="宋体" w:hAnsi="宋体" w:cs="宋体"/>
          <w:color w:val="auto"/>
          <w:spacing w:val="1"/>
          <w:kern w:val="0"/>
          <w:sz w:val="24"/>
          <w:szCs w:val="24"/>
          <w:highlight w:val="none"/>
          <w:u w:val="single" w:color="000000"/>
        </w:rPr>
        <w:t xml:space="preserve"> </w:t>
      </w:r>
      <w:r>
        <w:rPr>
          <w:rFonts w:ascii="宋体" w:hAnsi="宋体" w:cs="宋体"/>
          <w:color w:val="auto"/>
          <w:spacing w:val="24"/>
          <w:kern w:val="0"/>
          <w:sz w:val="24"/>
          <w:szCs w:val="24"/>
          <w:highlight w:val="none"/>
        </w:rPr>
        <w:t xml:space="preserve"> </w:t>
      </w:r>
      <w:r>
        <w:rPr>
          <w:rFonts w:ascii="宋体" w:hAnsi="宋体" w:cs="宋体"/>
          <w:color w:val="auto"/>
          <w:spacing w:val="-1"/>
          <w:kern w:val="0"/>
          <w:sz w:val="24"/>
          <w:szCs w:val="24"/>
          <w:highlight w:val="none"/>
        </w:rPr>
        <w:t>传</w:t>
      </w:r>
      <w:r>
        <w:rPr>
          <w:rFonts w:ascii="宋体" w:hAnsi="宋体" w:cs="宋体"/>
          <w:color w:val="auto"/>
          <w:kern w:val="0"/>
          <w:sz w:val="24"/>
          <w:szCs w:val="24"/>
          <w:highlight w:val="none"/>
        </w:rPr>
        <w:t xml:space="preserve"> </w:t>
      </w:r>
      <w:r>
        <w:rPr>
          <w:rFonts w:ascii="宋体" w:hAnsi="宋体" w:cs="宋体"/>
          <w:color w:val="auto"/>
          <w:spacing w:val="120"/>
          <w:kern w:val="0"/>
          <w:sz w:val="24"/>
          <w:szCs w:val="24"/>
          <w:highlight w:val="none"/>
        </w:rPr>
        <w:t xml:space="preserve"> </w:t>
      </w:r>
      <w:r>
        <w:rPr>
          <w:rFonts w:ascii="宋体" w:hAnsi="宋体" w:cs="宋体"/>
          <w:color w:val="auto"/>
          <w:kern w:val="0"/>
          <w:sz w:val="24"/>
          <w:szCs w:val="24"/>
          <w:highlight w:val="none"/>
        </w:rPr>
        <w:t>真：</w:t>
      </w:r>
      <w:r>
        <w:rPr>
          <w:rFonts w:ascii="宋体" w:hAnsi="宋体" w:cs="宋体"/>
          <w:color w:val="auto"/>
          <w:kern w:val="0"/>
          <w:sz w:val="24"/>
          <w:szCs w:val="24"/>
          <w:highlight w:val="none"/>
          <w:u w:val="single" w:color="000000"/>
        </w:rPr>
        <w:t xml:space="preserve">                          </w:t>
      </w:r>
      <w:r>
        <w:rPr>
          <w:rFonts w:ascii="宋体" w:hAnsi="宋体" w:cs="宋体"/>
          <w:color w:val="auto"/>
          <w:spacing w:val="20"/>
          <w:kern w:val="0"/>
          <w:sz w:val="24"/>
          <w:szCs w:val="24"/>
          <w:highlight w:val="none"/>
        </w:rPr>
        <w:t xml:space="preserve"> </w:t>
      </w:r>
    </w:p>
    <w:p>
      <w:pPr>
        <w:spacing w:before="21" w:line="305" w:lineRule="auto"/>
        <w:ind w:left="623" w:right="3379"/>
        <w:jc w:val="left"/>
        <w:rPr>
          <w:rFonts w:ascii="宋体" w:hAnsi="宋体" w:cs="宋体"/>
          <w:color w:val="auto"/>
          <w:kern w:val="0"/>
          <w:sz w:val="24"/>
          <w:szCs w:val="24"/>
          <w:highlight w:val="none"/>
        </w:rPr>
      </w:pPr>
      <w:r>
        <w:rPr>
          <w:rFonts w:ascii="宋体" w:hAnsi="宋体" w:cs="宋体"/>
          <w:color w:val="auto"/>
          <w:kern w:val="0"/>
          <w:sz w:val="24"/>
          <w:szCs w:val="24"/>
          <w:highlight w:val="none"/>
        </w:rPr>
        <w:t>供应商授权代表姓名（签字</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u w:val="single" w:color="000000"/>
        </w:rPr>
        <w:t xml:space="preserve">                </w:t>
      </w:r>
      <w:r>
        <w:rPr>
          <w:rFonts w:ascii="宋体" w:hAnsi="宋体" w:cs="宋体"/>
          <w:color w:val="auto"/>
          <w:kern w:val="0"/>
          <w:sz w:val="24"/>
          <w:szCs w:val="24"/>
          <w:highlight w:val="none"/>
        </w:rPr>
        <w:t xml:space="preserve">   </w:t>
      </w:r>
    </w:p>
    <w:p>
      <w:pPr>
        <w:spacing w:before="21" w:line="305" w:lineRule="auto"/>
        <w:ind w:left="623" w:right="3379"/>
        <w:jc w:val="left"/>
        <w:rPr>
          <w:rFonts w:ascii="宋体" w:hAnsi="宋体" w:cs="宋体"/>
          <w:color w:val="auto"/>
          <w:kern w:val="0"/>
          <w:sz w:val="24"/>
          <w:szCs w:val="24"/>
          <w:highlight w:val="none"/>
        </w:rPr>
      </w:pPr>
      <w:r>
        <w:rPr>
          <w:rFonts w:ascii="宋体" w:hAnsi="宋体" w:cs="宋体"/>
          <w:color w:val="auto"/>
          <w:spacing w:val="-1"/>
          <w:kern w:val="0"/>
          <w:sz w:val="24"/>
          <w:szCs w:val="24"/>
          <w:highlight w:val="none"/>
        </w:rPr>
        <w:t>联系电话</w:t>
      </w:r>
      <w:r>
        <w:rPr>
          <w:rFonts w:ascii="宋体" w:hAnsi="宋体" w:cs="宋体"/>
          <w:color w:val="auto"/>
          <w:kern w:val="0"/>
          <w:sz w:val="24"/>
          <w:szCs w:val="24"/>
          <w:highlight w:val="none"/>
        </w:rPr>
        <w:t>：</w:t>
      </w:r>
      <w:r>
        <w:rPr>
          <w:rFonts w:ascii="宋体" w:hAnsi="宋体" w:cs="宋体"/>
          <w:color w:val="auto"/>
          <w:kern w:val="0"/>
          <w:sz w:val="24"/>
          <w:szCs w:val="24"/>
          <w:highlight w:val="none"/>
          <w:u w:val="single" w:color="000000"/>
        </w:rPr>
        <w:t xml:space="preserve">                         </w:t>
      </w:r>
      <w:r>
        <w:rPr>
          <w:rFonts w:ascii="宋体" w:hAnsi="宋体" w:cs="宋体"/>
          <w:color w:val="auto"/>
          <w:kern w:val="0"/>
          <w:sz w:val="24"/>
          <w:szCs w:val="24"/>
          <w:highlight w:val="none"/>
        </w:rPr>
        <w:t xml:space="preserve"> </w:t>
      </w:r>
    </w:p>
    <w:p>
      <w:pPr>
        <w:spacing w:before="21" w:line="305" w:lineRule="auto"/>
        <w:ind w:left="623" w:right="3379"/>
        <w:jc w:val="left"/>
        <w:rPr>
          <w:rFonts w:ascii="宋体" w:hAnsi="宋体" w:cs="宋体"/>
          <w:color w:val="auto"/>
          <w:kern w:val="0"/>
          <w:sz w:val="24"/>
          <w:szCs w:val="24"/>
          <w:highlight w:val="none"/>
        </w:rPr>
      </w:pPr>
      <w:r>
        <w:rPr>
          <w:rFonts w:ascii="宋体" w:hAnsi="宋体" w:cs="宋体"/>
          <w:color w:val="auto"/>
          <w:spacing w:val="-1"/>
          <w:kern w:val="0"/>
          <w:sz w:val="24"/>
          <w:szCs w:val="24"/>
          <w:highlight w:val="none"/>
        </w:rPr>
        <w:t>日</w:t>
      </w:r>
      <w:r>
        <w:rPr>
          <w:rFonts w:ascii="宋体" w:hAnsi="宋体" w:cs="宋体"/>
          <w:color w:val="auto"/>
          <w:kern w:val="0"/>
          <w:sz w:val="24"/>
          <w:szCs w:val="24"/>
          <w:highlight w:val="none"/>
        </w:rPr>
        <w:t xml:space="preserve">    期：     </w:t>
      </w:r>
      <w:r>
        <w:rPr>
          <w:rFonts w:ascii="宋体" w:hAnsi="宋体" w:cs="宋体"/>
          <w:color w:val="auto"/>
          <w:spacing w:val="120"/>
          <w:kern w:val="0"/>
          <w:sz w:val="24"/>
          <w:szCs w:val="24"/>
          <w:highlight w:val="none"/>
        </w:rPr>
        <w:t xml:space="preserve"> </w:t>
      </w:r>
      <w:r>
        <w:rPr>
          <w:rFonts w:ascii="宋体" w:hAnsi="宋体" w:cs="宋体"/>
          <w:color w:val="auto"/>
          <w:kern w:val="0"/>
          <w:sz w:val="24"/>
          <w:szCs w:val="24"/>
          <w:highlight w:val="none"/>
        </w:rPr>
        <w:t xml:space="preserve">年  </w:t>
      </w:r>
      <w:r>
        <w:rPr>
          <w:rFonts w:ascii="宋体" w:hAnsi="宋体" w:cs="宋体"/>
          <w:color w:val="auto"/>
          <w:spacing w:val="120"/>
          <w:kern w:val="0"/>
          <w:sz w:val="24"/>
          <w:szCs w:val="24"/>
          <w:highlight w:val="none"/>
        </w:rPr>
        <w:t xml:space="preserve"> </w:t>
      </w:r>
      <w:r>
        <w:rPr>
          <w:rFonts w:ascii="宋体" w:hAnsi="宋体" w:cs="宋体"/>
          <w:color w:val="auto"/>
          <w:kern w:val="0"/>
          <w:sz w:val="24"/>
          <w:szCs w:val="24"/>
          <w:highlight w:val="none"/>
        </w:rPr>
        <w:t xml:space="preserve">月   </w:t>
      </w:r>
      <w:r>
        <w:rPr>
          <w:rFonts w:ascii="宋体" w:hAnsi="宋体" w:cs="宋体"/>
          <w:color w:val="auto"/>
          <w:spacing w:val="120"/>
          <w:kern w:val="0"/>
          <w:sz w:val="24"/>
          <w:szCs w:val="24"/>
          <w:highlight w:val="none"/>
        </w:rPr>
        <w:t xml:space="preserve"> </w:t>
      </w:r>
      <w:r>
        <w:rPr>
          <w:rFonts w:ascii="宋体" w:hAnsi="宋体" w:cs="宋体"/>
          <w:color w:val="auto"/>
          <w:kern w:val="0"/>
          <w:sz w:val="24"/>
          <w:szCs w:val="24"/>
          <w:highlight w:val="none"/>
        </w:rPr>
        <w:t xml:space="preserve">日  </w:t>
      </w:r>
    </w:p>
    <w:p>
      <w:pPr>
        <w:rPr>
          <w:rFonts w:ascii="宋体" w:hAnsi="宋体" w:cs="宋体"/>
          <w:color w:val="auto"/>
          <w:sz w:val="24"/>
          <w:szCs w:val="24"/>
          <w:highlight w:val="none"/>
        </w:rPr>
        <w:sectPr>
          <w:pgSz w:w="11910" w:h="16840"/>
          <w:pgMar w:top="1080" w:right="980" w:bottom="1180" w:left="1160" w:header="720" w:footer="720" w:gutter="0"/>
          <w:cols w:space="720" w:num="1"/>
        </w:sectPr>
      </w:pPr>
    </w:p>
    <w:p>
      <w:pPr>
        <w:jc w:val="center"/>
        <w:rPr>
          <w:rFonts w:ascii="宋体" w:hAnsi="宋体"/>
          <w:b/>
          <w:color w:val="auto"/>
          <w:sz w:val="28"/>
          <w:szCs w:val="28"/>
          <w:highlight w:val="none"/>
        </w:rPr>
      </w:pPr>
      <w:r>
        <w:rPr>
          <w:rFonts w:hint="eastAsia" w:ascii="宋体" w:hAnsi="宋体"/>
          <w:b/>
          <w:color w:val="auto"/>
          <w:sz w:val="28"/>
          <w:szCs w:val="28"/>
          <w:highlight w:val="none"/>
        </w:rPr>
        <w:t>二、</w:t>
      </w:r>
      <w:bookmarkStart w:id="69" w:name="_Toc329097755"/>
      <w:bookmarkStart w:id="70" w:name="_Toc310966103"/>
      <w:bookmarkStart w:id="71" w:name="_Toc316986046"/>
      <w:bookmarkStart w:id="72" w:name="_Toc310965984"/>
      <w:r>
        <w:rPr>
          <w:rFonts w:hint="eastAsia" w:ascii="宋体" w:hAnsi="宋体"/>
          <w:b/>
          <w:color w:val="auto"/>
          <w:sz w:val="28"/>
          <w:szCs w:val="28"/>
          <w:highlight w:val="none"/>
        </w:rPr>
        <w:t>开标一览表</w:t>
      </w:r>
      <w:bookmarkEnd w:id="69"/>
      <w:bookmarkEnd w:id="70"/>
      <w:bookmarkEnd w:id="71"/>
      <w:bookmarkEnd w:id="72"/>
    </w:p>
    <w:p>
      <w:pPr>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p>
      <w:pPr>
        <w:spacing w:line="440" w:lineRule="exact"/>
        <w:ind w:firstLine="472" w:firstLineChars="225"/>
        <w:rPr>
          <w:rFonts w:ascii="宋体"/>
          <w:color w:val="auto"/>
          <w:kern w:val="0"/>
          <w:szCs w:val="21"/>
          <w:highlight w:val="none"/>
        </w:rPr>
      </w:pPr>
      <w:r>
        <w:rPr>
          <w:rFonts w:hint="eastAsia" w:ascii="宋体" w:hAnsi="宋体" w:cs="宋体"/>
          <w:color w:val="auto"/>
          <w:kern w:val="0"/>
          <w:szCs w:val="21"/>
          <w:highlight w:val="none"/>
        </w:rPr>
        <w:t>项目名称：</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项目编号：</w:t>
      </w:r>
    </w:p>
    <w:tbl>
      <w:tblPr>
        <w:tblStyle w:val="56"/>
        <w:tblW w:w="864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5131"/>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1870" w:type="dxa"/>
            <w:vAlign w:val="center"/>
          </w:tcPr>
          <w:p>
            <w:pPr>
              <w:spacing w:line="440" w:lineRule="exact"/>
              <w:jc w:val="center"/>
              <w:rPr>
                <w:rFonts w:ascii="宋体"/>
                <w:color w:val="auto"/>
                <w:kern w:val="0"/>
                <w:sz w:val="20"/>
                <w:szCs w:val="21"/>
                <w:highlight w:val="none"/>
              </w:rPr>
            </w:pPr>
            <w:r>
              <w:rPr>
                <w:rFonts w:hint="eastAsia" w:ascii="宋体" w:hAnsi="宋体" w:cs="宋体"/>
                <w:color w:val="auto"/>
                <w:szCs w:val="21"/>
                <w:highlight w:val="none"/>
              </w:rPr>
              <w:t>投标费率</w:t>
            </w:r>
          </w:p>
        </w:tc>
        <w:tc>
          <w:tcPr>
            <w:tcW w:w="5131" w:type="dxa"/>
            <w:vAlign w:val="center"/>
          </w:tcPr>
          <w:p>
            <w:pPr>
              <w:spacing w:line="440" w:lineRule="exact"/>
              <w:rPr>
                <w:rFonts w:ascii="宋体"/>
                <w:color w:val="auto"/>
                <w:kern w:val="0"/>
                <w:sz w:val="20"/>
                <w:szCs w:val="21"/>
                <w:highlight w:val="none"/>
              </w:rPr>
            </w:pPr>
            <w:r>
              <w:rPr>
                <w:rFonts w:hint="eastAsia" w:ascii="宋体" w:hAnsi="宋体" w:cs="宋体"/>
                <w:b/>
                <w:bCs/>
                <w:color w:val="auto"/>
                <w:kern w:val="0"/>
                <w:szCs w:val="21"/>
                <w:highlight w:val="none"/>
              </w:rPr>
              <w:t>投标费率为</w:t>
            </w:r>
            <w:r>
              <w:rPr>
                <w:rFonts w:hint="eastAsia" w:ascii="宋体" w:hAnsi="宋体" w:cs="宋体"/>
                <w:b/>
                <w:bCs/>
                <w:color w:val="auto"/>
                <w:kern w:val="0"/>
                <w:szCs w:val="21"/>
                <w:highlight w:val="none"/>
                <w:u w:val="single"/>
              </w:rPr>
              <w:t xml:space="preserve">　  </w:t>
            </w:r>
            <w:r>
              <w:rPr>
                <w:rFonts w:ascii="宋体" w:hAnsi="宋体" w:cs="宋体"/>
                <w:b/>
                <w:bCs/>
                <w:color w:val="auto"/>
                <w:kern w:val="0"/>
                <w:szCs w:val="21"/>
                <w:highlight w:val="none"/>
                <w:u w:val="single"/>
              </w:rPr>
              <w:t xml:space="preserve"> </w:t>
            </w:r>
            <w:r>
              <w:rPr>
                <w:rFonts w:hint="eastAsia" w:ascii="宋体" w:hAnsi="宋体" w:cs="宋体"/>
                <w:b/>
                <w:bCs/>
                <w:color w:val="auto"/>
                <w:kern w:val="0"/>
                <w:szCs w:val="21"/>
                <w:highlight w:val="none"/>
                <w:u w:val="single"/>
              </w:rPr>
              <w:t xml:space="preserve">  %</w:t>
            </w:r>
            <w:r>
              <w:rPr>
                <w:rFonts w:ascii="宋体" w:hAnsi="宋体" w:cs="宋体"/>
                <w:color w:val="auto"/>
                <w:kern w:val="0"/>
                <w:sz w:val="20"/>
                <w:szCs w:val="21"/>
                <w:highlight w:val="none"/>
              </w:rPr>
              <w:t xml:space="preserve">                 </w:t>
            </w:r>
          </w:p>
        </w:tc>
        <w:tc>
          <w:tcPr>
            <w:tcW w:w="1639" w:type="dxa"/>
            <w:vAlign w:val="center"/>
          </w:tcPr>
          <w:p>
            <w:pPr>
              <w:spacing w:line="440" w:lineRule="exact"/>
              <w:jc w:val="center"/>
              <w:rPr>
                <w:rFonts w:ascii="宋体"/>
                <w:color w:val="auto"/>
                <w:kern w:val="0"/>
                <w:sz w:val="20"/>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870" w:type="dxa"/>
            <w:vAlign w:val="center"/>
          </w:tcPr>
          <w:p>
            <w:pPr>
              <w:spacing w:line="440" w:lineRule="exact"/>
              <w:jc w:val="center"/>
              <w:rPr>
                <w:rFonts w:ascii="宋体"/>
                <w:color w:val="auto"/>
                <w:kern w:val="0"/>
                <w:sz w:val="20"/>
                <w:szCs w:val="21"/>
                <w:highlight w:val="none"/>
              </w:rPr>
            </w:pPr>
            <w:r>
              <w:rPr>
                <w:rFonts w:hint="eastAsia" w:ascii="宋体" w:hAnsi="宋体" w:cs="宋体"/>
                <w:color w:val="auto"/>
                <w:szCs w:val="21"/>
                <w:highlight w:val="none"/>
              </w:rPr>
              <w:t>服务期限</w:t>
            </w:r>
          </w:p>
        </w:tc>
        <w:tc>
          <w:tcPr>
            <w:tcW w:w="5131" w:type="dxa"/>
            <w:vAlign w:val="center"/>
          </w:tcPr>
          <w:p>
            <w:pPr>
              <w:tabs>
                <w:tab w:val="left" w:pos="3624"/>
              </w:tabs>
              <w:spacing w:line="440" w:lineRule="exact"/>
              <w:ind w:firstLine="450" w:firstLineChars="225"/>
              <w:rPr>
                <w:rFonts w:ascii="宋体"/>
                <w:color w:val="auto"/>
                <w:kern w:val="0"/>
                <w:sz w:val="20"/>
                <w:szCs w:val="21"/>
                <w:highlight w:val="none"/>
                <w:u w:val="single"/>
              </w:rPr>
            </w:pPr>
            <w:r>
              <w:rPr>
                <w:rFonts w:hint="eastAsia" w:ascii="宋体"/>
                <w:color w:val="auto"/>
                <w:kern w:val="0"/>
                <w:sz w:val="20"/>
                <w:szCs w:val="21"/>
                <w:highlight w:val="none"/>
              </w:rPr>
              <w:t xml:space="preserve"> </w:t>
            </w:r>
          </w:p>
        </w:tc>
        <w:tc>
          <w:tcPr>
            <w:tcW w:w="1639" w:type="dxa"/>
            <w:vAlign w:val="center"/>
          </w:tcPr>
          <w:p>
            <w:pPr>
              <w:spacing w:line="440" w:lineRule="exact"/>
              <w:rPr>
                <w:rFonts w:ascii="宋体"/>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870"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5131" w:type="dxa"/>
            <w:vAlign w:val="center"/>
          </w:tcPr>
          <w:p>
            <w:pPr>
              <w:tabs>
                <w:tab w:val="left" w:pos="3624"/>
              </w:tabs>
              <w:spacing w:line="440" w:lineRule="exact"/>
              <w:ind w:firstLine="450" w:firstLineChars="225"/>
              <w:rPr>
                <w:rFonts w:ascii="宋体"/>
                <w:color w:val="auto"/>
                <w:kern w:val="0"/>
                <w:sz w:val="20"/>
                <w:szCs w:val="21"/>
                <w:highlight w:val="none"/>
              </w:rPr>
            </w:pPr>
          </w:p>
        </w:tc>
        <w:tc>
          <w:tcPr>
            <w:tcW w:w="1639" w:type="dxa"/>
            <w:vAlign w:val="center"/>
          </w:tcPr>
          <w:p>
            <w:pPr>
              <w:spacing w:line="440" w:lineRule="exact"/>
              <w:rPr>
                <w:rFonts w:ascii="宋体"/>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870"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供应商是否属于小微型企业</w:t>
            </w:r>
          </w:p>
        </w:tc>
        <w:tc>
          <w:tcPr>
            <w:tcW w:w="5131" w:type="dxa"/>
            <w:vAlign w:val="center"/>
          </w:tcPr>
          <w:p>
            <w:pPr>
              <w:spacing w:line="440" w:lineRule="exact"/>
              <w:jc w:val="center"/>
              <w:rPr>
                <w:rFonts w:ascii="宋体" w:hAns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（填写“是”或“否）</w:t>
            </w:r>
          </w:p>
        </w:tc>
        <w:tc>
          <w:tcPr>
            <w:tcW w:w="1639" w:type="dxa"/>
            <w:vAlign w:val="center"/>
          </w:tcPr>
          <w:p>
            <w:pPr>
              <w:spacing w:line="440" w:lineRule="exact"/>
              <w:rPr>
                <w:rFonts w:ascii="宋体"/>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870" w:type="dxa"/>
            <w:vAlign w:val="center"/>
          </w:tcPr>
          <w:p>
            <w:pPr>
              <w:pStyle w:val="15"/>
              <w:spacing w:line="440" w:lineRule="exact"/>
              <w:ind w:firstLine="0"/>
              <w:rPr>
                <w:rFonts w:ascii="宋体" w:hAnsi="宋体" w:cs="宋体"/>
                <w:color w:val="auto"/>
                <w:kern w:val="2"/>
                <w:sz w:val="21"/>
                <w:szCs w:val="21"/>
                <w:highlight w:val="none"/>
              </w:rPr>
            </w:pPr>
            <w:r>
              <w:rPr>
                <w:rFonts w:hint="eastAsia" w:ascii="宋体" w:hAnsi="宋体" w:cs="宋体"/>
                <w:color w:val="auto"/>
                <w:kern w:val="2"/>
                <w:sz w:val="21"/>
                <w:szCs w:val="21"/>
                <w:highlight w:val="none"/>
              </w:rPr>
              <w:t>小微型企业产品金额</w:t>
            </w:r>
          </w:p>
        </w:tc>
        <w:tc>
          <w:tcPr>
            <w:tcW w:w="5131" w:type="dxa"/>
            <w:vAlign w:val="center"/>
          </w:tcPr>
          <w:p>
            <w:pPr>
              <w:spacing w:line="440" w:lineRule="exact"/>
              <w:ind w:firstLine="420" w:firstLineChars="200"/>
              <w:rPr>
                <w:rFonts w:ascii="宋体" w:hAns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元</w:t>
            </w:r>
          </w:p>
        </w:tc>
        <w:tc>
          <w:tcPr>
            <w:tcW w:w="1639" w:type="dxa"/>
            <w:vAlign w:val="center"/>
          </w:tcPr>
          <w:p>
            <w:pPr>
              <w:spacing w:line="440" w:lineRule="exact"/>
              <w:rPr>
                <w:rFonts w:ascii="宋体"/>
                <w:color w:val="auto"/>
                <w:kern w:val="0"/>
                <w:sz w:val="20"/>
                <w:szCs w:val="21"/>
                <w:highlight w:val="none"/>
              </w:rPr>
            </w:pPr>
          </w:p>
        </w:tc>
      </w:tr>
    </w:tbl>
    <w:p>
      <w:pPr>
        <w:widowControl/>
        <w:shd w:val="clear" w:color="auto" w:fill="FFFFFF"/>
        <w:spacing w:line="360" w:lineRule="auto"/>
        <w:jc w:val="left"/>
        <w:rPr>
          <w:rFonts w:ascii="宋体" w:hAnsi="宋体" w:cs="宋体"/>
          <w:color w:val="auto"/>
          <w:kern w:val="0"/>
          <w:szCs w:val="21"/>
          <w:highlight w:val="none"/>
        </w:rPr>
      </w:pPr>
    </w:p>
    <w:p>
      <w:pPr>
        <w:widowControl/>
        <w:shd w:val="clear" w:color="auto" w:fill="FFFFFF"/>
        <w:spacing w:line="360" w:lineRule="auto"/>
        <w:jc w:val="left"/>
        <w:rPr>
          <w:rFonts w:ascii="宋体"/>
          <w:color w:val="auto"/>
          <w:kern w:val="0"/>
          <w:szCs w:val="21"/>
          <w:highlight w:val="none"/>
        </w:rPr>
      </w:pPr>
      <w:r>
        <w:rPr>
          <w:rFonts w:hint="eastAsia" w:ascii="宋体" w:hAnsi="宋体" w:cs="宋体"/>
          <w:color w:val="auto"/>
          <w:kern w:val="0"/>
          <w:szCs w:val="21"/>
          <w:highlight w:val="none"/>
        </w:rPr>
        <w:t>投标单位（盖章）：</w:t>
      </w:r>
      <w:r>
        <w:rPr>
          <w:rFonts w:ascii="宋体"/>
          <w:color w:val="auto"/>
          <w:kern w:val="0"/>
          <w:szCs w:val="21"/>
          <w:highlight w:val="none"/>
          <w:u w:val="single"/>
        </w:rPr>
        <w:t>                      </w:t>
      </w:r>
      <w:r>
        <w:rPr>
          <w:rFonts w:ascii="宋体" w:hAnsi="宋体" w:cs="宋体"/>
          <w:color w:val="auto"/>
          <w:kern w:val="0"/>
          <w:szCs w:val="21"/>
          <w:highlight w:val="none"/>
        </w:rPr>
        <w:t xml:space="preserve"> </w:t>
      </w:r>
    </w:p>
    <w:p>
      <w:pPr>
        <w:widowControl/>
        <w:shd w:val="clear" w:color="auto" w:fill="FFFFFF"/>
        <w:spacing w:line="360" w:lineRule="auto"/>
        <w:jc w:val="left"/>
        <w:rPr>
          <w:rFonts w:ascii="宋体"/>
          <w:color w:val="auto"/>
          <w:kern w:val="0"/>
          <w:szCs w:val="21"/>
          <w:highlight w:val="none"/>
          <w:u w:val="single"/>
        </w:rPr>
      </w:pPr>
      <w:r>
        <w:rPr>
          <w:rFonts w:hint="eastAsia" w:ascii="宋体" w:hAnsi="宋体" w:cs="宋体"/>
          <w:color w:val="auto"/>
          <w:kern w:val="0"/>
          <w:szCs w:val="21"/>
          <w:highlight w:val="none"/>
        </w:rPr>
        <w:t>授权代表（签字）：</w:t>
      </w:r>
      <w:r>
        <w:rPr>
          <w:rFonts w:ascii="宋体"/>
          <w:color w:val="auto"/>
          <w:kern w:val="0"/>
          <w:szCs w:val="21"/>
          <w:highlight w:val="none"/>
          <w:u w:val="single"/>
        </w:rPr>
        <w:t>                      </w:t>
      </w:r>
    </w:p>
    <w:p>
      <w:pPr>
        <w:widowControl/>
        <w:shd w:val="clear" w:color="auto" w:fill="FFFFFF"/>
        <w:spacing w:line="360" w:lineRule="auto"/>
        <w:jc w:val="left"/>
        <w:rPr>
          <w:rFonts w:ascii="宋体"/>
          <w:color w:val="auto"/>
          <w:kern w:val="0"/>
          <w:szCs w:val="21"/>
          <w:highlight w:val="none"/>
        </w:rPr>
      </w:pPr>
      <w:r>
        <w:rPr>
          <w:rFonts w:hint="eastAsia" w:ascii="宋体" w:hAnsi="宋体" w:cs="宋体"/>
          <w:color w:val="auto"/>
          <w:kern w:val="0"/>
          <w:szCs w:val="21"/>
          <w:highlight w:val="none"/>
        </w:rPr>
        <w:t>日</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期：</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年</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月</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日</w:t>
      </w:r>
    </w:p>
    <w:p>
      <w:pPr>
        <w:widowControl/>
        <w:shd w:val="clear" w:color="auto" w:fill="FFFFFF"/>
        <w:spacing w:line="360" w:lineRule="auto"/>
        <w:jc w:val="left"/>
        <w:rPr>
          <w:rFonts w:ascii="宋体"/>
          <w:color w:val="auto"/>
          <w:kern w:val="0"/>
          <w:szCs w:val="21"/>
          <w:highlight w:val="none"/>
        </w:rPr>
      </w:pPr>
      <w:r>
        <w:rPr>
          <w:rFonts w:hint="eastAsia" w:ascii="宋体" w:hAnsi="宋体" w:cs="宋体"/>
          <w:color w:val="auto"/>
          <w:kern w:val="0"/>
          <w:szCs w:val="21"/>
          <w:highlight w:val="none"/>
        </w:rPr>
        <w:t>说明：</w:t>
      </w:r>
    </w:p>
    <w:p>
      <w:pPr>
        <w:widowControl/>
        <w:shd w:val="clear" w:color="auto" w:fill="FFFFFF"/>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1、本项目仅接受一个价格，不得填报有选择性报价方案。若有优惠条款须注明，但不得影响报价，影响产品整体功能。</w:t>
      </w:r>
    </w:p>
    <w:p>
      <w:pPr>
        <w:widowControl/>
        <w:shd w:val="clear" w:color="auto" w:fill="FFFFFF"/>
        <w:spacing w:line="360" w:lineRule="auto"/>
        <w:ind w:firstLine="422" w:firstLineChars="200"/>
        <w:jc w:val="left"/>
        <w:rPr>
          <w:rFonts w:ascii="宋体" w:hAnsi="宋体" w:cs="宋体"/>
          <w:color w:val="auto"/>
          <w:kern w:val="0"/>
          <w:szCs w:val="21"/>
          <w:highlight w:val="none"/>
        </w:rPr>
      </w:pPr>
      <w:r>
        <w:rPr>
          <w:rFonts w:ascii="宋体" w:hAnsi="宋体" w:cs="宋体"/>
          <w:b/>
          <w:bCs/>
          <w:color w:val="auto"/>
          <w:kern w:val="0"/>
          <w:szCs w:val="21"/>
          <w:highlight w:val="none"/>
        </w:rPr>
        <w:t>2</w:t>
      </w:r>
      <w:r>
        <w:rPr>
          <w:rFonts w:hint="eastAsia" w:ascii="宋体" w:hAnsi="宋体" w:cs="宋体"/>
          <w:b/>
          <w:bCs/>
          <w:color w:val="auto"/>
          <w:kern w:val="0"/>
          <w:szCs w:val="21"/>
          <w:highlight w:val="none"/>
        </w:rPr>
        <w:t>、“供应商是否属于小微型企业</w:t>
      </w:r>
      <w:r>
        <w:rPr>
          <w:rFonts w:hint="eastAsia" w:ascii="宋体" w:hAnsi="宋体" w:cs="宋体"/>
          <w:b/>
          <w:bCs/>
          <w:color w:val="auto"/>
          <w:kern w:val="0"/>
          <w:szCs w:val="21"/>
          <w:highlight w:val="none"/>
          <w:lang w:val="zh-CN"/>
        </w:rPr>
        <w:t>”栏内填写“是”或“否”。如填写“是”，</w:t>
      </w:r>
      <w:r>
        <w:rPr>
          <w:rFonts w:hint="eastAsia" w:ascii="宋体" w:hAnsi="宋体" w:cs="宋体"/>
          <w:b/>
          <w:bCs/>
          <w:color w:val="auto"/>
          <w:szCs w:val="21"/>
          <w:highlight w:val="none"/>
        </w:rPr>
        <w:t>供应商需提供《中小企业声明函》、《残疾人福利性单位声明函》、《属于监狱企业的证明文件》</w:t>
      </w:r>
      <w:r>
        <w:rPr>
          <w:rFonts w:hint="eastAsia" w:ascii="宋体" w:hAnsi="宋体" w:cs="宋体"/>
          <w:b/>
          <w:color w:val="auto"/>
          <w:szCs w:val="21"/>
          <w:highlight w:val="none"/>
        </w:rPr>
        <w:t>。</w:t>
      </w:r>
    </w:p>
    <w:p>
      <w:pPr>
        <w:spacing w:line="360" w:lineRule="auto"/>
        <w:jc w:val="center"/>
        <w:outlineLvl w:val="1"/>
        <w:rPr>
          <w:b/>
          <w:color w:val="auto"/>
          <w:sz w:val="32"/>
          <w:szCs w:val="32"/>
          <w:highlight w:val="none"/>
        </w:rPr>
      </w:pPr>
      <w:r>
        <w:rPr>
          <w:rFonts w:hint="eastAsia" w:ascii="宋体" w:hAnsi="宋体" w:cs="宋体"/>
          <w:b/>
          <w:color w:val="auto"/>
          <w:kern w:val="0"/>
          <w:szCs w:val="21"/>
          <w:highlight w:val="none"/>
        </w:rPr>
        <w:t xml:space="preserve">   3、 磋商结束后，磋商小组将要求所有实质性响应的供应商在规定时间内提交最后报价。</w:t>
      </w:r>
      <w:r>
        <w:rPr>
          <w:rFonts w:hint="eastAsia" w:ascii="宋体" w:hAnsi="宋体" w:cs="宋体"/>
          <w:b/>
          <w:color w:val="auto"/>
          <w:kern w:val="0"/>
          <w:szCs w:val="21"/>
          <w:highlight w:val="none"/>
        </w:rPr>
        <w:br w:type="page"/>
      </w:r>
      <w:bookmarkStart w:id="73" w:name="_Toc329097758"/>
      <w:r>
        <w:rPr>
          <w:rFonts w:hint="eastAsia"/>
          <w:b/>
          <w:color w:val="auto"/>
          <w:sz w:val="32"/>
          <w:szCs w:val="32"/>
          <w:highlight w:val="none"/>
        </w:rPr>
        <w:t>三、法定代表人授权委托书</w:t>
      </w:r>
    </w:p>
    <w:p>
      <w:pPr>
        <w:spacing w:line="360" w:lineRule="auto"/>
        <w:rPr>
          <w:rFonts w:ascii="宋体" w:hAnsi="宋体" w:cs="宋体"/>
          <w:color w:val="auto"/>
          <w:szCs w:val="24"/>
          <w:highlight w:val="none"/>
        </w:rPr>
      </w:pPr>
    </w:p>
    <w:p>
      <w:pPr>
        <w:spacing w:line="360" w:lineRule="auto"/>
        <w:rPr>
          <w:rFonts w:ascii="宋体" w:hAnsi="宋体" w:cs="宋体"/>
          <w:color w:val="auto"/>
          <w:szCs w:val="24"/>
          <w:highlight w:val="none"/>
        </w:rPr>
      </w:pPr>
    </w:p>
    <w:p>
      <w:pPr>
        <w:spacing w:line="360" w:lineRule="auto"/>
        <w:ind w:right="31" w:rightChars="15" w:firstLine="435"/>
        <w:rPr>
          <w:rFonts w:ascii="宋体" w:hAnsi="宋体" w:cs="宋体"/>
          <w:color w:val="auto"/>
          <w:szCs w:val="24"/>
          <w:highlight w:val="none"/>
        </w:rPr>
      </w:pPr>
      <w:r>
        <w:rPr>
          <w:rFonts w:hint="eastAsia" w:ascii="宋体" w:hAnsi="宋体" w:cs="宋体"/>
          <w:color w:val="auto"/>
          <w:szCs w:val="24"/>
          <w:highlight w:val="none"/>
        </w:rPr>
        <w:t>本授权委托书声明：我</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（姓名）系</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w:t>
      </w:r>
      <w:r>
        <w:rPr>
          <w:rFonts w:hint="eastAsia" w:ascii="宋体" w:hAnsi="宋体" w:cs="宋体"/>
          <w:color w:val="auto"/>
          <w:sz w:val="24"/>
          <w:szCs w:val="24"/>
          <w:highlight w:val="none"/>
        </w:rPr>
        <w:t>供应商</w:t>
      </w:r>
      <w:r>
        <w:rPr>
          <w:rFonts w:hint="eastAsia" w:ascii="宋体" w:hAnsi="宋体" w:cs="宋体"/>
          <w:color w:val="auto"/>
          <w:szCs w:val="24"/>
          <w:highlight w:val="none"/>
        </w:rPr>
        <w:t>全称）的法定代表人，现授权委托</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（单位名称）</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（部门、职务、姓名）为本单位的合法代理人(即授权代表)，以本单位的名义参加苏世建设管理集团有限公司代理的</w:t>
      </w:r>
      <w:r>
        <w:rPr>
          <w:rFonts w:hint="eastAsia" w:ascii="宋体" w:hAnsi="宋体" w:cs="宋体"/>
          <w:color w:val="auto"/>
          <w:szCs w:val="24"/>
          <w:highlight w:val="none"/>
          <w:u w:val="single"/>
        </w:rPr>
        <w:t xml:space="preserve">                         (项目名称及项目编号) </w:t>
      </w:r>
      <w:r>
        <w:rPr>
          <w:rFonts w:hint="eastAsia" w:ascii="宋体" w:hAnsi="宋体" w:cs="宋体"/>
          <w:color w:val="auto"/>
          <w:szCs w:val="24"/>
          <w:highlight w:val="none"/>
        </w:rPr>
        <w:t xml:space="preserve"> 的投标，授权代表签署的一切文件和处理与之有关的一切事务，我均予以承认。</w:t>
      </w:r>
    </w:p>
    <w:p>
      <w:pPr>
        <w:spacing w:line="360" w:lineRule="auto"/>
        <w:ind w:firstLine="435"/>
        <w:rPr>
          <w:rFonts w:ascii="宋体" w:hAnsi="宋体" w:cs="宋体"/>
          <w:color w:val="auto"/>
          <w:szCs w:val="24"/>
          <w:highlight w:val="none"/>
        </w:rPr>
      </w:pPr>
      <w:r>
        <w:rPr>
          <w:rFonts w:hint="eastAsia" w:ascii="宋体" w:hAnsi="宋体" w:cs="宋体"/>
          <w:color w:val="auto"/>
          <w:szCs w:val="24"/>
          <w:highlight w:val="none"/>
        </w:rPr>
        <w:t>授权代表无权委托，特此委托。</w:t>
      </w:r>
    </w:p>
    <w:p>
      <w:pPr>
        <w:spacing w:line="360" w:lineRule="auto"/>
        <w:rPr>
          <w:rFonts w:ascii="宋体" w:hAnsi="宋体" w:cs="宋体"/>
          <w:color w:val="auto"/>
          <w:szCs w:val="24"/>
          <w:highlight w:val="none"/>
        </w:rPr>
      </w:pPr>
    </w:p>
    <w:p>
      <w:pPr>
        <w:spacing w:line="520" w:lineRule="exact"/>
        <w:rPr>
          <w:rFonts w:ascii="宋体" w:hAnsi="宋体" w:cs="宋体"/>
          <w:color w:val="auto"/>
          <w:szCs w:val="24"/>
          <w:highlight w:val="none"/>
        </w:rPr>
      </w:pPr>
    </w:p>
    <w:p>
      <w:pPr>
        <w:spacing w:line="520" w:lineRule="exact"/>
        <w:rPr>
          <w:rFonts w:ascii="宋体" w:hAnsi="宋体" w:cs="宋体"/>
          <w:color w:val="auto"/>
          <w:szCs w:val="24"/>
          <w:highlight w:val="none"/>
          <w:u w:val="single"/>
        </w:rPr>
      </w:pPr>
      <w:r>
        <w:rPr>
          <w:rFonts w:hint="eastAsia" w:ascii="宋体" w:hAnsi="宋体" w:cs="宋体"/>
          <w:color w:val="auto"/>
          <w:szCs w:val="24"/>
          <w:highlight w:val="none"/>
        </w:rPr>
        <w:t>授权代表（签字）：</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xml:space="preserve">  性      别：</w:t>
      </w:r>
      <w:r>
        <w:rPr>
          <w:rFonts w:hint="eastAsia" w:ascii="宋体" w:hAnsi="宋体" w:cs="宋体"/>
          <w:color w:val="auto"/>
          <w:szCs w:val="24"/>
          <w:highlight w:val="none"/>
          <w:u w:val="single"/>
        </w:rPr>
        <w:t xml:space="preserve">                     </w:t>
      </w:r>
    </w:p>
    <w:p>
      <w:pPr>
        <w:spacing w:line="520" w:lineRule="exact"/>
        <w:rPr>
          <w:rFonts w:ascii="宋体" w:hAnsi="宋体" w:cs="宋体"/>
          <w:color w:val="auto"/>
          <w:szCs w:val="24"/>
          <w:highlight w:val="none"/>
        </w:rPr>
      </w:pPr>
      <w:r>
        <w:rPr>
          <w:rFonts w:hint="eastAsia" w:ascii="宋体" w:hAnsi="宋体" w:cs="宋体"/>
          <w:color w:val="auto"/>
          <w:szCs w:val="24"/>
          <w:highlight w:val="none"/>
        </w:rPr>
        <w:t>单位（盖章）：</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xml:space="preserve">  身份证号码：</w:t>
      </w:r>
      <w:r>
        <w:rPr>
          <w:rFonts w:hint="eastAsia" w:ascii="宋体" w:hAnsi="宋体" w:cs="宋体"/>
          <w:color w:val="auto"/>
          <w:szCs w:val="24"/>
          <w:highlight w:val="none"/>
          <w:u w:val="single"/>
        </w:rPr>
        <w:t xml:space="preserve">                     </w:t>
      </w:r>
    </w:p>
    <w:p>
      <w:pPr>
        <w:spacing w:line="520" w:lineRule="exact"/>
        <w:rPr>
          <w:rFonts w:ascii="宋体" w:hAnsi="宋体" w:cs="宋体"/>
          <w:color w:val="auto"/>
          <w:szCs w:val="24"/>
          <w:highlight w:val="none"/>
        </w:rPr>
      </w:pPr>
    </w:p>
    <w:p>
      <w:pPr>
        <w:spacing w:line="520" w:lineRule="exact"/>
        <w:rPr>
          <w:rFonts w:ascii="宋体" w:hAnsi="宋体" w:cs="宋体"/>
          <w:color w:val="auto"/>
          <w:szCs w:val="24"/>
          <w:highlight w:val="none"/>
          <w:u w:val="single"/>
        </w:rPr>
      </w:pPr>
      <w:r>
        <w:rPr>
          <w:rFonts w:hint="eastAsia" w:ascii="宋体" w:hAnsi="宋体" w:cs="宋体"/>
          <w:color w:val="auto"/>
          <w:sz w:val="24"/>
          <w:szCs w:val="24"/>
          <w:highlight w:val="none"/>
        </w:rPr>
        <w:t>供应商</w:t>
      </w:r>
      <w:r>
        <w:rPr>
          <w:rFonts w:hint="eastAsia" w:ascii="宋体" w:hAnsi="宋体" w:cs="宋体"/>
          <w:color w:val="auto"/>
          <w:szCs w:val="24"/>
          <w:highlight w:val="none"/>
        </w:rPr>
        <w:t>（盖章）：</w:t>
      </w:r>
      <w:r>
        <w:rPr>
          <w:rFonts w:hint="eastAsia" w:ascii="宋体" w:hAnsi="宋体" w:cs="宋体"/>
          <w:color w:val="auto"/>
          <w:szCs w:val="24"/>
          <w:highlight w:val="none"/>
          <w:u w:val="single"/>
        </w:rPr>
        <w:t xml:space="preserve">                                   </w:t>
      </w:r>
    </w:p>
    <w:p>
      <w:pPr>
        <w:spacing w:line="520" w:lineRule="exact"/>
        <w:rPr>
          <w:rFonts w:ascii="宋体" w:hAnsi="宋体" w:cs="宋体"/>
          <w:color w:val="auto"/>
          <w:szCs w:val="24"/>
          <w:highlight w:val="none"/>
          <w:u w:val="single"/>
        </w:rPr>
      </w:pPr>
      <w:r>
        <w:rPr>
          <w:rFonts w:hint="eastAsia" w:ascii="宋体" w:hAnsi="宋体" w:cs="宋体"/>
          <w:color w:val="auto"/>
          <w:szCs w:val="24"/>
          <w:highlight w:val="none"/>
        </w:rPr>
        <w:t>法定代表人（签字或盖章）：</w:t>
      </w:r>
      <w:r>
        <w:rPr>
          <w:rFonts w:hint="eastAsia" w:ascii="宋体" w:hAnsi="宋体" w:cs="宋体"/>
          <w:color w:val="auto"/>
          <w:szCs w:val="24"/>
          <w:highlight w:val="none"/>
          <w:u w:val="single"/>
        </w:rPr>
        <w:t xml:space="preserve">                         </w:t>
      </w:r>
    </w:p>
    <w:p>
      <w:pPr>
        <w:spacing w:line="360" w:lineRule="auto"/>
        <w:rPr>
          <w:rFonts w:ascii="宋体" w:hAnsi="宋体" w:cs="宋体"/>
          <w:color w:val="auto"/>
          <w:szCs w:val="24"/>
          <w:highlight w:val="none"/>
          <w:u w:val="single"/>
        </w:rPr>
      </w:pPr>
    </w:p>
    <w:p>
      <w:pPr>
        <w:spacing w:line="360" w:lineRule="auto"/>
        <w:rPr>
          <w:rFonts w:ascii="宋体" w:hAnsi="宋体" w:cs="宋体"/>
          <w:color w:val="auto"/>
          <w:szCs w:val="24"/>
          <w:highlight w:val="none"/>
        </w:rPr>
      </w:pPr>
      <w:r>
        <w:rPr>
          <w:rFonts w:hint="eastAsia" w:ascii="宋体" w:hAnsi="宋体" w:cs="宋体"/>
          <w:color w:val="auto"/>
          <w:szCs w:val="24"/>
          <w:highlight w:val="none"/>
        </w:rPr>
        <w:t>附：委托代理人身份证复印件</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7" w:hRule="atLeast"/>
        </w:trPr>
        <w:tc>
          <w:tcPr>
            <w:tcW w:w="4831" w:type="dxa"/>
          </w:tcPr>
          <w:p>
            <w:pPr>
              <w:spacing w:line="360" w:lineRule="auto"/>
              <w:rPr>
                <w:rFonts w:ascii="宋体" w:hAnsi="宋体" w:cs="宋体"/>
                <w:color w:val="auto"/>
                <w:szCs w:val="24"/>
                <w:highlight w:val="none"/>
                <w:u w:val="single"/>
              </w:rPr>
            </w:pPr>
          </w:p>
        </w:tc>
        <w:tc>
          <w:tcPr>
            <w:tcW w:w="4831" w:type="dxa"/>
          </w:tcPr>
          <w:p>
            <w:pPr>
              <w:spacing w:line="360" w:lineRule="auto"/>
              <w:rPr>
                <w:rFonts w:ascii="宋体" w:hAnsi="宋体" w:cs="宋体"/>
                <w:color w:val="auto"/>
                <w:szCs w:val="24"/>
                <w:highlight w:val="none"/>
                <w:u w:val="single"/>
              </w:rPr>
            </w:pPr>
          </w:p>
        </w:tc>
      </w:tr>
    </w:tbl>
    <w:p>
      <w:pPr>
        <w:spacing w:line="360" w:lineRule="auto"/>
        <w:rPr>
          <w:rFonts w:ascii="宋体" w:hAnsi="宋体" w:cs="宋体"/>
          <w:color w:val="auto"/>
          <w:szCs w:val="24"/>
          <w:highlight w:val="none"/>
          <w:u w:val="single"/>
        </w:rPr>
      </w:pPr>
    </w:p>
    <w:p>
      <w:pPr>
        <w:spacing w:line="360" w:lineRule="auto"/>
        <w:rPr>
          <w:rFonts w:ascii="宋体" w:hAnsi="宋体" w:cs="宋体"/>
          <w:color w:val="auto"/>
          <w:szCs w:val="24"/>
          <w:highlight w:val="none"/>
        </w:rPr>
      </w:pPr>
      <w:r>
        <w:rPr>
          <w:rFonts w:hint="eastAsia" w:ascii="宋体" w:hAnsi="宋体" w:cs="宋体"/>
          <w:color w:val="auto"/>
          <w:szCs w:val="24"/>
          <w:highlight w:val="none"/>
        </w:rPr>
        <w:t xml:space="preserve">           </w:t>
      </w:r>
    </w:p>
    <w:p>
      <w:pPr>
        <w:spacing w:line="360" w:lineRule="auto"/>
        <w:jc w:val="right"/>
        <w:rPr>
          <w:rFonts w:ascii="宋体" w:hAnsi="宋体" w:cs="宋体"/>
          <w:color w:val="auto"/>
          <w:szCs w:val="24"/>
          <w:highlight w:val="none"/>
        </w:rPr>
      </w:pPr>
      <w:r>
        <w:rPr>
          <w:rFonts w:hint="eastAsia" w:ascii="宋体" w:hAnsi="宋体" w:cs="宋体"/>
          <w:color w:val="auto"/>
          <w:szCs w:val="24"/>
          <w:highlight w:val="none"/>
        </w:rPr>
        <w:t xml:space="preserve">   日期：        年    月    日</w:t>
      </w:r>
    </w:p>
    <w:p>
      <w:pPr>
        <w:spacing w:line="360" w:lineRule="auto"/>
        <w:ind w:firstLine="435"/>
        <w:rPr>
          <w:rFonts w:ascii="宋体" w:hAnsi="宋体" w:cs="宋体"/>
          <w:color w:val="auto"/>
          <w:szCs w:val="24"/>
          <w:highlight w:val="none"/>
        </w:rPr>
      </w:pPr>
    </w:p>
    <w:p>
      <w:pPr>
        <w:spacing w:line="360" w:lineRule="auto"/>
        <w:rPr>
          <w:rFonts w:ascii="宋体" w:hAnsi="宋体" w:cs="宋体"/>
          <w:color w:val="auto"/>
          <w:szCs w:val="24"/>
          <w:highlight w:val="none"/>
        </w:rPr>
      </w:pPr>
      <w:r>
        <w:rPr>
          <w:rFonts w:hint="eastAsia" w:ascii="宋体" w:hAnsi="宋体" w:cs="宋体"/>
          <w:color w:val="auto"/>
          <w:szCs w:val="24"/>
          <w:highlight w:val="none"/>
        </w:rPr>
        <w:t>（说明：如是法定代表人参加投标，本格式不需提供。如是非法人的其他组织参加投标，参照本格式执行。）</w:t>
      </w:r>
    </w:p>
    <w:p>
      <w:pPr>
        <w:spacing w:line="360" w:lineRule="auto"/>
        <w:ind w:firstLine="435"/>
        <w:rPr>
          <w:rFonts w:ascii="宋体" w:hAnsi="宋体" w:cs="宋体"/>
          <w:color w:val="auto"/>
          <w:szCs w:val="24"/>
          <w:highlight w:val="none"/>
        </w:rPr>
      </w:pPr>
    </w:p>
    <w:p>
      <w:pPr>
        <w:adjustRightInd w:val="0"/>
        <w:snapToGrid w:val="0"/>
        <w:spacing w:line="300" w:lineRule="auto"/>
        <w:ind w:firstLine="643"/>
        <w:jc w:val="center"/>
        <w:rPr>
          <w:rFonts w:ascii="宋体" w:hAnsi="宋体"/>
          <w:b/>
          <w:color w:val="auto"/>
          <w:sz w:val="32"/>
          <w:szCs w:val="20"/>
          <w:highlight w:val="none"/>
        </w:rPr>
      </w:pPr>
      <w:r>
        <w:rPr>
          <w:rFonts w:hint="eastAsia" w:ascii="宋体" w:hAnsi="宋体"/>
          <w:b/>
          <w:color w:val="auto"/>
          <w:sz w:val="32"/>
          <w:szCs w:val="20"/>
          <w:highlight w:val="none"/>
        </w:rPr>
        <w:t>四、</w:t>
      </w:r>
      <w:bookmarkEnd w:id="73"/>
      <w:r>
        <w:rPr>
          <w:rFonts w:hint="eastAsia" w:ascii="宋体" w:hAnsi="宋体"/>
          <w:b/>
          <w:color w:val="auto"/>
          <w:sz w:val="32"/>
          <w:szCs w:val="20"/>
          <w:highlight w:val="none"/>
        </w:rPr>
        <w:t>拟投入本项目的人员情况一览表</w:t>
      </w:r>
    </w:p>
    <w:p>
      <w:pPr>
        <w:adjustRightInd w:val="0"/>
        <w:snapToGrid w:val="0"/>
        <w:spacing w:line="300" w:lineRule="auto"/>
        <w:ind w:firstLine="640"/>
        <w:jc w:val="center"/>
        <w:rPr>
          <w:rFonts w:ascii="宋体" w:hAnsi="宋体"/>
          <w:color w:val="auto"/>
          <w:sz w:val="32"/>
          <w:szCs w:val="20"/>
          <w:highlight w:val="none"/>
        </w:rPr>
      </w:pPr>
    </w:p>
    <w:p>
      <w:pPr>
        <w:widowControl/>
        <w:shd w:val="clear" w:color="auto" w:fill="FFFFFF"/>
        <w:spacing w:before="240" w:beforeLines="100" w:line="360" w:lineRule="auto"/>
        <w:jc w:val="center"/>
        <w:rPr>
          <w:rFonts w:ascii="宋体" w:hAnsi="宋体"/>
          <w:b/>
          <w:color w:val="auto"/>
          <w:kern w:val="0"/>
          <w:sz w:val="36"/>
          <w:szCs w:val="36"/>
          <w:highlight w:val="none"/>
        </w:rPr>
      </w:pPr>
      <w:r>
        <w:rPr>
          <w:rFonts w:hint="eastAsia" w:ascii="宋体" w:hAnsi="宋体"/>
          <w:b/>
          <w:color w:val="auto"/>
          <w:kern w:val="0"/>
          <w:sz w:val="28"/>
          <w:szCs w:val="28"/>
          <w:highlight w:val="none"/>
        </w:rPr>
        <w:t>拟参与本项目人员一览表</w:t>
      </w:r>
    </w:p>
    <w:p>
      <w:pPr>
        <w:autoSpaceDE w:val="0"/>
        <w:autoSpaceDN w:val="0"/>
        <w:adjustRightInd w:val="0"/>
        <w:jc w:val="center"/>
        <w:rPr>
          <w:rFonts w:ascii="宋体" w:hAnsi="宋体" w:cs="宋体"/>
          <w:b/>
          <w:bCs/>
          <w:color w:val="auto"/>
          <w:szCs w:val="21"/>
          <w:highlight w:val="none"/>
          <w:lang w:val="zh-CN"/>
        </w:rPr>
      </w:pPr>
    </w:p>
    <w:p>
      <w:pPr>
        <w:autoSpaceDE w:val="0"/>
        <w:autoSpaceDN w:val="0"/>
        <w:adjustRightInd w:val="0"/>
        <w:rPr>
          <w:rFonts w:ascii="宋体" w:hAnsi="宋体" w:cs="宋体"/>
          <w:color w:val="auto"/>
          <w:szCs w:val="21"/>
          <w:highlight w:val="none"/>
          <w:lang w:val="zh-CN"/>
        </w:rPr>
      </w:pPr>
      <w:r>
        <w:rPr>
          <w:rFonts w:hint="eastAsia" w:ascii="宋体" w:hAnsi="宋体" w:cs="宋体"/>
          <w:color w:val="auto"/>
          <w:szCs w:val="21"/>
          <w:highlight w:val="none"/>
          <w:lang w:val="zh-CN"/>
        </w:rPr>
        <w:t>项目名称：                                     项目编号：</w:t>
      </w:r>
    </w:p>
    <w:tbl>
      <w:tblPr>
        <w:tblStyle w:val="56"/>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96"/>
        <w:gridCol w:w="663"/>
        <w:gridCol w:w="709"/>
        <w:gridCol w:w="1134"/>
        <w:gridCol w:w="1056"/>
        <w:gridCol w:w="1020"/>
        <w:gridCol w:w="1174"/>
        <w:gridCol w:w="1396"/>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534" w:type="dxa"/>
            <w:vAlign w:val="center"/>
          </w:tcPr>
          <w:p>
            <w:pPr>
              <w:autoSpaceDE w:val="0"/>
              <w:autoSpaceDN w:val="0"/>
              <w:adjustRightInd w:val="0"/>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序号</w:t>
            </w:r>
          </w:p>
        </w:tc>
        <w:tc>
          <w:tcPr>
            <w:tcW w:w="896" w:type="dxa"/>
            <w:vAlign w:val="center"/>
          </w:tcPr>
          <w:p>
            <w:pPr>
              <w:autoSpaceDE w:val="0"/>
              <w:autoSpaceDN w:val="0"/>
              <w:adjustRightInd w:val="0"/>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姓名</w:t>
            </w:r>
          </w:p>
        </w:tc>
        <w:tc>
          <w:tcPr>
            <w:tcW w:w="663" w:type="dxa"/>
            <w:vAlign w:val="center"/>
          </w:tcPr>
          <w:p>
            <w:pPr>
              <w:autoSpaceDE w:val="0"/>
              <w:autoSpaceDN w:val="0"/>
              <w:adjustRightInd w:val="0"/>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性别</w:t>
            </w:r>
          </w:p>
        </w:tc>
        <w:tc>
          <w:tcPr>
            <w:tcW w:w="709" w:type="dxa"/>
            <w:vAlign w:val="center"/>
          </w:tcPr>
          <w:p>
            <w:pPr>
              <w:autoSpaceDE w:val="0"/>
              <w:autoSpaceDN w:val="0"/>
              <w:adjustRightInd w:val="0"/>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年龄</w:t>
            </w:r>
          </w:p>
        </w:tc>
        <w:tc>
          <w:tcPr>
            <w:tcW w:w="1134" w:type="dxa"/>
            <w:vAlign w:val="center"/>
          </w:tcPr>
          <w:p>
            <w:pPr>
              <w:autoSpaceDE w:val="0"/>
              <w:autoSpaceDN w:val="0"/>
              <w:adjustRightInd w:val="0"/>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学历及</w:t>
            </w:r>
          </w:p>
          <w:p>
            <w:pPr>
              <w:autoSpaceDE w:val="0"/>
              <w:autoSpaceDN w:val="0"/>
              <w:adjustRightInd w:val="0"/>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专业</w:t>
            </w:r>
          </w:p>
        </w:tc>
        <w:tc>
          <w:tcPr>
            <w:tcW w:w="1056" w:type="dxa"/>
            <w:vAlign w:val="center"/>
          </w:tcPr>
          <w:p>
            <w:pPr>
              <w:autoSpaceDE w:val="0"/>
              <w:autoSpaceDN w:val="0"/>
              <w:adjustRightInd w:val="0"/>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执业</w:t>
            </w:r>
          </w:p>
          <w:p>
            <w:pPr>
              <w:autoSpaceDE w:val="0"/>
              <w:autoSpaceDN w:val="0"/>
              <w:adjustRightInd w:val="0"/>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资格及证书号</w:t>
            </w:r>
          </w:p>
        </w:tc>
        <w:tc>
          <w:tcPr>
            <w:tcW w:w="1020" w:type="dxa"/>
            <w:vAlign w:val="center"/>
          </w:tcPr>
          <w:p>
            <w:pPr>
              <w:autoSpaceDE w:val="0"/>
              <w:autoSpaceDN w:val="0"/>
              <w:adjustRightInd w:val="0"/>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技术</w:t>
            </w:r>
          </w:p>
          <w:p>
            <w:pPr>
              <w:autoSpaceDE w:val="0"/>
              <w:autoSpaceDN w:val="0"/>
              <w:adjustRightInd w:val="0"/>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职称</w:t>
            </w:r>
          </w:p>
        </w:tc>
        <w:tc>
          <w:tcPr>
            <w:tcW w:w="1174" w:type="dxa"/>
            <w:vAlign w:val="center"/>
          </w:tcPr>
          <w:p>
            <w:pPr>
              <w:autoSpaceDE w:val="0"/>
              <w:autoSpaceDN w:val="0"/>
              <w:adjustRightInd w:val="0"/>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相关工作年限及工作经历</w:t>
            </w:r>
          </w:p>
        </w:tc>
        <w:tc>
          <w:tcPr>
            <w:tcW w:w="1396" w:type="dxa"/>
            <w:vAlign w:val="center"/>
          </w:tcPr>
          <w:p>
            <w:pPr>
              <w:autoSpaceDE w:val="0"/>
              <w:autoSpaceDN w:val="0"/>
              <w:adjustRightInd w:val="0"/>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拟担任本项目何种工作</w:t>
            </w:r>
          </w:p>
        </w:tc>
        <w:tc>
          <w:tcPr>
            <w:tcW w:w="1043" w:type="dxa"/>
            <w:vAlign w:val="center"/>
          </w:tcPr>
          <w:p>
            <w:pPr>
              <w:autoSpaceDE w:val="0"/>
              <w:autoSpaceDN w:val="0"/>
              <w:adjustRightInd w:val="0"/>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Pr>
          <w:p>
            <w:pPr>
              <w:autoSpaceDE w:val="0"/>
              <w:autoSpaceDN w:val="0"/>
              <w:adjustRightInd w:val="0"/>
              <w:rPr>
                <w:rFonts w:ascii="宋体" w:hAnsi="宋体" w:cs="宋体"/>
                <w:color w:val="auto"/>
                <w:szCs w:val="21"/>
                <w:highlight w:val="none"/>
                <w:lang w:val="zh-CN"/>
              </w:rPr>
            </w:pPr>
          </w:p>
        </w:tc>
        <w:tc>
          <w:tcPr>
            <w:tcW w:w="896" w:type="dxa"/>
          </w:tcPr>
          <w:p>
            <w:pPr>
              <w:autoSpaceDE w:val="0"/>
              <w:autoSpaceDN w:val="0"/>
              <w:adjustRightInd w:val="0"/>
              <w:rPr>
                <w:rFonts w:ascii="宋体" w:hAnsi="宋体" w:cs="宋体"/>
                <w:color w:val="auto"/>
                <w:szCs w:val="21"/>
                <w:highlight w:val="none"/>
                <w:lang w:val="zh-CN"/>
              </w:rPr>
            </w:pPr>
          </w:p>
        </w:tc>
        <w:tc>
          <w:tcPr>
            <w:tcW w:w="663" w:type="dxa"/>
          </w:tcPr>
          <w:p>
            <w:pPr>
              <w:autoSpaceDE w:val="0"/>
              <w:autoSpaceDN w:val="0"/>
              <w:adjustRightInd w:val="0"/>
              <w:rPr>
                <w:rFonts w:ascii="宋体" w:hAnsi="宋体" w:cs="宋体"/>
                <w:color w:val="auto"/>
                <w:szCs w:val="21"/>
                <w:highlight w:val="none"/>
                <w:lang w:val="zh-CN"/>
              </w:rPr>
            </w:pPr>
          </w:p>
        </w:tc>
        <w:tc>
          <w:tcPr>
            <w:tcW w:w="709" w:type="dxa"/>
          </w:tcPr>
          <w:p>
            <w:pPr>
              <w:autoSpaceDE w:val="0"/>
              <w:autoSpaceDN w:val="0"/>
              <w:adjustRightInd w:val="0"/>
              <w:rPr>
                <w:rFonts w:ascii="宋体" w:hAnsi="宋体" w:cs="宋体"/>
                <w:color w:val="auto"/>
                <w:szCs w:val="21"/>
                <w:highlight w:val="none"/>
                <w:lang w:val="zh-CN"/>
              </w:rPr>
            </w:pPr>
          </w:p>
        </w:tc>
        <w:tc>
          <w:tcPr>
            <w:tcW w:w="1134" w:type="dxa"/>
          </w:tcPr>
          <w:p>
            <w:pPr>
              <w:autoSpaceDE w:val="0"/>
              <w:autoSpaceDN w:val="0"/>
              <w:adjustRightInd w:val="0"/>
              <w:rPr>
                <w:rFonts w:ascii="宋体" w:hAnsi="宋体" w:cs="宋体"/>
                <w:color w:val="auto"/>
                <w:szCs w:val="21"/>
                <w:highlight w:val="none"/>
                <w:lang w:val="zh-CN"/>
              </w:rPr>
            </w:pPr>
          </w:p>
        </w:tc>
        <w:tc>
          <w:tcPr>
            <w:tcW w:w="1056" w:type="dxa"/>
          </w:tcPr>
          <w:p>
            <w:pPr>
              <w:autoSpaceDE w:val="0"/>
              <w:autoSpaceDN w:val="0"/>
              <w:adjustRightInd w:val="0"/>
              <w:rPr>
                <w:rFonts w:ascii="宋体" w:hAnsi="宋体" w:cs="宋体"/>
                <w:color w:val="auto"/>
                <w:szCs w:val="21"/>
                <w:highlight w:val="none"/>
                <w:lang w:val="zh-CN"/>
              </w:rPr>
            </w:pPr>
          </w:p>
        </w:tc>
        <w:tc>
          <w:tcPr>
            <w:tcW w:w="1020" w:type="dxa"/>
          </w:tcPr>
          <w:p>
            <w:pPr>
              <w:autoSpaceDE w:val="0"/>
              <w:autoSpaceDN w:val="0"/>
              <w:adjustRightInd w:val="0"/>
              <w:rPr>
                <w:rFonts w:ascii="宋体" w:hAnsi="宋体" w:cs="宋体"/>
                <w:color w:val="auto"/>
                <w:szCs w:val="21"/>
                <w:highlight w:val="none"/>
                <w:lang w:val="zh-CN"/>
              </w:rPr>
            </w:pPr>
          </w:p>
        </w:tc>
        <w:tc>
          <w:tcPr>
            <w:tcW w:w="1174" w:type="dxa"/>
          </w:tcPr>
          <w:p>
            <w:pPr>
              <w:autoSpaceDE w:val="0"/>
              <w:autoSpaceDN w:val="0"/>
              <w:adjustRightInd w:val="0"/>
              <w:rPr>
                <w:rFonts w:ascii="宋体" w:hAnsi="宋体" w:cs="宋体"/>
                <w:color w:val="auto"/>
                <w:szCs w:val="21"/>
                <w:highlight w:val="none"/>
                <w:lang w:val="zh-CN"/>
              </w:rPr>
            </w:pPr>
          </w:p>
        </w:tc>
        <w:tc>
          <w:tcPr>
            <w:tcW w:w="1396" w:type="dxa"/>
          </w:tcPr>
          <w:p>
            <w:pPr>
              <w:autoSpaceDE w:val="0"/>
              <w:autoSpaceDN w:val="0"/>
              <w:adjustRightInd w:val="0"/>
              <w:rPr>
                <w:rFonts w:ascii="宋体" w:hAnsi="宋体" w:cs="宋体"/>
                <w:color w:val="auto"/>
                <w:szCs w:val="21"/>
                <w:highlight w:val="none"/>
                <w:lang w:val="zh-CN"/>
              </w:rPr>
            </w:pPr>
          </w:p>
        </w:tc>
        <w:tc>
          <w:tcPr>
            <w:tcW w:w="1043" w:type="dxa"/>
          </w:tcPr>
          <w:p>
            <w:pPr>
              <w:autoSpaceDE w:val="0"/>
              <w:autoSpaceDN w:val="0"/>
              <w:adjustRightInd w:val="0"/>
              <w:rPr>
                <w:rFonts w:ascii="宋体" w:hAnsi="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Pr>
          <w:p>
            <w:pPr>
              <w:autoSpaceDE w:val="0"/>
              <w:autoSpaceDN w:val="0"/>
              <w:adjustRightInd w:val="0"/>
              <w:rPr>
                <w:rFonts w:ascii="宋体" w:hAnsi="宋体" w:cs="宋体"/>
                <w:color w:val="auto"/>
                <w:szCs w:val="21"/>
                <w:highlight w:val="none"/>
                <w:lang w:val="zh-CN"/>
              </w:rPr>
            </w:pPr>
          </w:p>
        </w:tc>
        <w:tc>
          <w:tcPr>
            <w:tcW w:w="896" w:type="dxa"/>
          </w:tcPr>
          <w:p>
            <w:pPr>
              <w:autoSpaceDE w:val="0"/>
              <w:autoSpaceDN w:val="0"/>
              <w:adjustRightInd w:val="0"/>
              <w:rPr>
                <w:rFonts w:ascii="宋体" w:hAnsi="宋体" w:cs="宋体"/>
                <w:color w:val="auto"/>
                <w:szCs w:val="21"/>
                <w:highlight w:val="none"/>
                <w:lang w:val="zh-CN"/>
              </w:rPr>
            </w:pPr>
          </w:p>
        </w:tc>
        <w:tc>
          <w:tcPr>
            <w:tcW w:w="663" w:type="dxa"/>
          </w:tcPr>
          <w:p>
            <w:pPr>
              <w:autoSpaceDE w:val="0"/>
              <w:autoSpaceDN w:val="0"/>
              <w:adjustRightInd w:val="0"/>
              <w:rPr>
                <w:rFonts w:ascii="宋体" w:hAnsi="宋体" w:cs="宋体"/>
                <w:color w:val="auto"/>
                <w:szCs w:val="21"/>
                <w:highlight w:val="none"/>
                <w:lang w:val="zh-CN"/>
              </w:rPr>
            </w:pPr>
          </w:p>
        </w:tc>
        <w:tc>
          <w:tcPr>
            <w:tcW w:w="709" w:type="dxa"/>
          </w:tcPr>
          <w:p>
            <w:pPr>
              <w:autoSpaceDE w:val="0"/>
              <w:autoSpaceDN w:val="0"/>
              <w:adjustRightInd w:val="0"/>
              <w:rPr>
                <w:rFonts w:ascii="宋体" w:hAnsi="宋体" w:cs="宋体"/>
                <w:color w:val="auto"/>
                <w:szCs w:val="21"/>
                <w:highlight w:val="none"/>
                <w:lang w:val="zh-CN"/>
              </w:rPr>
            </w:pPr>
          </w:p>
        </w:tc>
        <w:tc>
          <w:tcPr>
            <w:tcW w:w="1134" w:type="dxa"/>
          </w:tcPr>
          <w:p>
            <w:pPr>
              <w:autoSpaceDE w:val="0"/>
              <w:autoSpaceDN w:val="0"/>
              <w:adjustRightInd w:val="0"/>
              <w:rPr>
                <w:rFonts w:ascii="宋体" w:hAnsi="宋体" w:cs="宋体"/>
                <w:color w:val="auto"/>
                <w:szCs w:val="21"/>
                <w:highlight w:val="none"/>
                <w:lang w:val="zh-CN"/>
              </w:rPr>
            </w:pPr>
          </w:p>
        </w:tc>
        <w:tc>
          <w:tcPr>
            <w:tcW w:w="1056" w:type="dxa"/>
          </w:tcPr>
          <w:p>
            <w:pPr>
              <w:autoSpaceDE w:val="0"/>
              <w:autoSpaceDN w:val="0"/>
              <w:adjustRightInd w:val="0"/>
              <w:rPr>
                <w:rFonts w:ascii="宋体" w:hAnsi="宋体" w:cs="宋体"/>
                <w:color w:val="auto"/>
                <w:szCs w:val="21"/>
                <w:highlight w:val="none"/>
                <w:lang w:val="zh-CN"/>
              </w:rPr>
            </w:pPr>
          </w:p>
        </w:tc>
        <w:tc>
          <w:tcPr>
            <w:tcW w:w="1020" w:type="dxa"/>
          </w:tcPr>
          <w:p>
            <w:pPr>
              <w:autoSpaceDE w:val="0"/>
              <w:autoSpaceDN w:val="0"/>
              <w:adjustRightInd w:val="0"/>
              <w:rPr>
                <w:rFonts w:ascii="宋体" w:hAnsi="宋体" w:cs="宋体"/>
                <w:color w:val="auto"/>
                <w:szCs w:val="21"/>
                <w:highlight w:val="none"/>
                <w:lang w:val="zh-CN"/>
              </w:rPr>
            </w:pPr>
          </w:p>
        </w:tc>
        <w:tc>
          <w:tcPr>
            <w:tcW w:w="1174" w:type="dxa"/>
          </w:tcPr>
          <w:p>
            <w:pPr>
              <w:autoSpaceDE w:val="0"/>
              <w:autoSpaceDN w:val="0"/>
              <w:adjustRightInd w:val="0"/>
              <w:rPr>
                <w:rFonts w:ascii="宋体" w:hAnsi="宋体" w:cs="宋体"/>
                <w:color w:val="auto"/>
                <w:szCs w:val="21"/>
                <w:highlight w:val="none"/>
                <w:lang w:val="zh-CN"/>
              </w:rPr>
            </w:pPr>
          </w:p>
        </w:tc>
        <w:tc>
          <w:tcPr>
            <w:tcW w:w="1396" w:type="dxa"/>
          </w:tcPr>
          <w:p>
            <w:pPr>
              <w:autoSpaceDE w:val="0"/>
              <w:autoSpaceDN w:val="0"/>
              <w:adjustRightInd w:val="0"/>
              <w:rPr>
                <w:rFonts w:ascii="宋体" w:hAnsi="宋体" w:cs="宋体"/>
                <w:color w:val="auto"/>
                <w:szCs w:val="21"/>
                <w:highlight w:val="none"/>
                <w:lang w:val="zh-CN"/>
              </w:rPr>
            </w:pPr>
          </w:p>
        </w:tc>
        <w:tc>
          <w:tcPr>
            <w:tcW w:w="1043" w:type="dxa"/>
          </w:tcPr>
          <w:p>
            <w:pPr>
              <w:autoSpaceDE w:val="0"/>
              <w:autoSpaceDN w:val="0"/>
              <w:adjustRightInd w:val="0"/>
              <w:rPr>
                <w:rFonts w:ascii="宋体" w:hAnsi="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Pr>
          <w:p>
            <w:pPr>
              <w:autoSpaceDE w:val="0"/>
              <w:autoSpaceDN w:val="0"/>
              <w:adjustRightInd w:val="0"/>
              <w:rPr>
                <w:rFonts w:ascii="宋体" w:hAnsi="宋体" w:cs="宋体"/>
                <w:color w:val="auto"/>
                <w:szCs w:val="21"/>
                <w:highlight w:val="none"/>
                <w:lang w:val="zh-CN"/>
              </w:rPr>
            </w:pPr>
          </w:p>
        </w:tc>
        <w:tc>
          <w:tcPr>
            <w:tcW w:w="896" w:type="dxa"/>
          </w:tcPr>
          <w:p>
            <w:pPr>
              <w:autoSpaceDE w:val="0"/>
              <w:autoSpaceDN w:val="0"/>
              <w:adjustRightInd w:val="0"/>
              <w:rPr>
                <w:rFonts w:ascii="宋体" w:hAnsi="宋体" w:cs="宋体"/>
                <w:color w:val="auto"/>
                <w:szCs w:val="21"/>
                <w:highlight w:val="none"/>
                <w:lang w:val="zh-CN"/>
              </w:rPr>
            </w:pPr>
          </w:p>
        </w:tc>
        <w:tc>
          <w:tcPr>
            <w:tcW w:w="663" w:type="dxa"/>
          </w:tcPr>
          <w:p>
            <w:pPr>
              <w:autoSpaceDE w:val="0"/>
              <w:autoSpaceDN w:val="0"/>
              <w:adjustRightInd w:val="0"/>
              <w:rPr>
                <w:rFonts w:ascii="宋体" w:hAnsi="宋体" w:cs="宋体"/>
                <w:color w:val="auto"/>
                <w:szCs w:val="21"/>
                <w:highlight w:val="none"/>
                <w:lang w:val="zh-CN"/>
              </w:rPr>
            </w:pPr>
          </w:p>
        </w:tc>
        <w:tc>
          <w:tcPr>
            <w:tcW w:w="709" w:type="dxa"/>
          </w:tcPr>
          <w:p>
            <w:pPr>
              <w:autoSpaceDE w:val="0"/>
              <w:autoSpaceDN w:val="0"/>
              <w:adjustRightInd w:val="0"/>
              <w:rPr>
                <w:rFonts w:ascii="宋体" w:hAnsi="宋体" w:cs="宋体"/>
                <w:color w:val="auto"/>
                <w:szCs w:val="21"/>
                <w:highlight w:val="none"/>
                <w:lang w:val="zh-CN"/>
              </w:rPr>
            </w:pPr>
          </w:p>
        </w:tc>
        <w:tc>
          <w:tcPr>
            <w:tcW w:w="1134" w:type="dxa"/>
          </w:tcPr>
          <w:p>
            <w:pPr>
              <w:autoSpaceDE w:val="0"/>
              <w:autoSpaceDN w:val="0"/>
              <w:adjustRightInd w:val="0"/>
              <w:rPr>
                <w:rFonts w:ascii="宋体" w:hAnsi="宋体" w:cs="宋体"/>
                <w:color w:val="auto"/>
                <w:szCs w:val="21"/>
                <w:highlight w:val="none"/>
                <w:lang w:val="zh-CN"/>
              </w:rPr>
            </w:pPr>
          </w:p>
        </w:tc>
        <w:tc>
          <w:tcPr>
            <w:tcW w:w="1056" w:type="dxa"/>
          </w:tcPr>
          <w:p>
            <w:pPr>
              <w:autoSpaceDE w:val="0"/>
              <w:autoSpaceDN w:val="0"/>
              <w:adjustRightInd w:val="0"/>
              <w:rPr>
                <w:rFonts w:ascii="宋体" w:hAnsi="宋体" w:cs="宋体"/>
                <w:color w:val="auto"/>
                <w:szCs w:val="21"/>
                <w:highlight w:val="none"/>
                <w:lang w:val="zh-CN"/>
              </w:rPr>
            </w:pPr>
          </w:p>
        </w:tc>
        <w:tc>
          <w:tcPr>
            <w:tcW w:w="1020" w:type="dxa"/>
          </w:tcPr>
          <w:p>
            <w:pPr>
              <w:autoSpaceDE w:val="0"/>
              <w:autoSpaceDN w:val="0"/>
              <w:adjustRightInd w:val="0"/>
              <w:rPr>
                <w:rFonts w:ascii="宋体" w:hAnsi="宋体" w:cs="宋体"/>
                <w:color w:val="auto"/>
                <w:szCs w:val="21"/>
                <w:highlight w:val="none"/>
                <w:lang w:val="zh-CN"/>
              </w:rPr>
            </w:pPr>
          </w:p>
        </w:tc>
        <w:tc>
          <w:tcPr>
            <w:tcW w:w="1174" w:type="dxa"/>
          </w:tcPr>
          <w:p>
            <w:pPr>
              <w:autoSpaceDE w:val="0"/>
              <w:autoSpaceDN w:val="0"/>
              <w:adjustRightInd w:val="0"/>
              <w:rPr>
                <w:rFonts w:ascii="宋体" w:hAnsi="宋体" w:cs="宋体"/>
                <w:color w:val="auto"/>
                <w:szCs w:val="21"/>
                <w:highlight w:val="none"/>
                <w:lang w:val="zh-CN"/>
              </w:rPr>
            </w:pPr>
          </w:p>
        </w:tc>
        <w:tc>
          <w:tcPr>
            <w:tcW w:w="1396" w:type="dxa"/>
          </w:tcPr>
          <w:p>
            <w:pPr>
              <w:autoSpaceDE w:val="0"/>
              <w:autoSpaceDN w:val="0"/>
              <w:adjustRightInd w:val="0"/>
              <w:rPr>
                <w:rFonts w:ascii="宋体" w:hAnsi="宋体" w:cs="宋体"/>
                <w:color w:val="auto"/>
                <w:szCs w:val="21"/>
                <w:highlight w:val="none"/>
                <w:lang w:val="zh-CN"/>
              </w:rPr>
            </w:pPr>
          </w:p>
        </w:tc>
        <w:tc>
          <w:tcPr>
            <w:tcW w:w="1043" w:type="dxa"/>
          </w:tcPr>
          <w:p>
            <w:pPr>
              <w:autoSpaceDE w:val="0"/>
              <w:autoSpaceDN w:val="0"/>
              <w:adjustRightInd w:val="0"/>
              <w:rPr>
                <w:rFonts w:ascii="宋体" w:hAnsi="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Pr>
          <w:p>
            <w:pPr>
              <w:autoSpaceDE w:val="0"/>
              <w:autoSpaceDN w:val="0"/>
              <w:adjustRightInd w:val="0"/>
              <w:rPr>
                <w:rFonts w:ascii="宋体" w:hAnsi="宋体" w:cs="宋体"/>
                <w:color w:val="auto"/>
                <w:szCs w:val="21"/>
                <w:highlight w:val="none"/>
                <w:lang w:val="zh-CN"/>
              </w:rPr>
            </w:pPr>
          </w:p>
        </w:tc>
        <w:tc>
          <w:tcPr>
            <w:tcW w:w="896" w:type="dxa"/>
          </w:tcPr>
          <w:p>
            <w:pPr>
              <w:autoSpaceDE w:val="0"/>
              <w:autoSpaceDN w:val="0"/>
              <w:adjustRightInd w:val="0"/>
              <w:rPr>
                <w:rFonts w:ascii="宋体" w:hAnsi="宋体" w:cs="宋体"/>
                <w:color w:val="auto"/>
                <w:szCs w:val="21"/>
                <w:highlight w:val="none"/>
                <w:lang w:val="zh-CN"/>
              </w:rPr>
            </w:pPr>
          </w:p>
        </w:tc>
        <w:tc>
          <w:tcPr>
            <w:tcW w:w="663" w:type="dxa"/>
          </w:tcPr>
          <w:p>
            <w:pPr>
              <w:autoSpaceDE w:val="0"/>
              <w:autoSpaceDN w:val="0"/>
              <w:adjustRightInd w:val="0"/>
              <w:rPr>
                <w:rFonts w:ascii="宋体" w:hAnsi="宋体" w:cs="宋体"/>
                <w:color w:val="auto"/>
                <w:szCs w:val="21"/>
                <w:highlight w:val="none"/>
                <w:lang w:val="zh-CN"/>
              </w:rPr>
            </w:pPr>
          </w:p>
        </w:tc>
        <w:tc>
          <w:tcPr>
            <w:tcW w:w="709" w:type="dxa"/>
          </w:tcPr>
          <w:p>
            <w:pPr>
              <w:autoSpaceDE w:val="0"/>
              <w:autoSpaceDN w:val="0"/>
              <w:adjustRightInd w:val="0"/>
              <w:rPr>
                <w:rFonts w:ascii="宋体" w:hAnsi="宋体" w:cs="宋体"/>
                <w:color w:val="auto"/>
                <w:szCs w:val="21"/>
                <w:highlight w:val="none"/>
                <w:lang w:val="zh-CN"/>
              </w:rPr>
            </w:pPr>
          </w:p>
        </w:tc>
        <w:tc>
          <w:tcPr>
            <w:tcW w:w="1134" w:type="dxa"/>
          </w:tcPr>
          <w:p>
            <w:pPr>
              <w:autoSpaceDE w:val="0"/>
              <w:autoSpaceDN w:val="0"/>
              <w:adjustRightInd w:val="0"/>
              <w:rPr>
                <w:rFonts w:ascii="宋体" w:hAnsi="宋体" w:cs="宋体"/>
                <w:color w:val="auto"/>
                <w:szCs w:val="21"/>
                <w:highlight w:val="none"/>
                <w:lang w:val="zh-CN"/>
              </w:rPr>
            </w:pPr>
          </w:p>
        </w:tc>
        <w:tc>
          <w:tcPr>
            <w:tcW w:w="1056" w:type="dxa"/>
          </w:tcPr>
          <w:p>
            <w:pPr>
              <w:autoSpaceDE w:val="0"/>
              <w:autoSpaceDN w:val="0"/>
              <w:adjustRightInd w:val="0"/>
              <w:rPr>
                <w:rFonts w:ascii="宋体" w:hAnsi="宋体" w:cs="宋体"/>
                <w:color w:val="auto"/>
                <w:szCs w:val="21"/>
                <w:highlight w:val="none"/>
                <w:lang w:val="zh-CN"/>
              </w:rPr>
            </w:pPr>
          </w:p>
        </w:tc>
        <w:tc>
          <w:tcPr>
            <w:tcW w:w="1020" w:type="dxa"/>
          </w:tcPr>
          <w:p>
            <w:pPr>
              <w:autoSpaceDE w:val="0"/>
              <w:autoSpaceDN w:val="0"/>
              <w:adjustRightInd w:val="0"/>
              <w:rPr>
                <w:rFonts w:ascii="宋体" w:hAnsi="宋体" w:cs="宋体"/>
                <w:color w:val="auto"/>
                <w:szCs w:val="21"/>
                <w:highlight w:val="none"/>
                <w:lang w:val="zh-CN"/>
              </w:rPr>
            </w:pPr>
          </w:p>
        </w:tc>
        <w:tc>
          <w:tcPr>
            <w:tcW w:w="1174" w:type="dxa"/>
          </w:tcPr>
          <w:p>
            <w:pPr>
              <w:autoSpaceDE w:val="0"/>
              <w:autoSpaceDN w:val="0"/>
              <w:adjustRightInd w:val="0"/>
              <w:rPr>
                <w:rFonts w:ascii="宋体" w:hAnsi="宋体" w:cs="宋体"/>
                <w:color w:val="auto"/>
                <w:szCs w:val="21"/>
                <w:highlight w:val="none"/>
                <w:lang w:val="zh-CN"/>
              </w:rPr>
            </w:pPr>
          </w:p>
        </w:tc>
        <w:tc>
          <w:tcPr>
            <w:tcW w:w="1396" w:type="dxa"/>
          </w:tcPr>
          <w:p>
            <w:pPr>
              <w:autoSpaceDE w:val="0"/>
              <w:autoSpaceDN w:val="0"/>
              <w:adjustRightInd w:val="0"/>
              <w:rPr>
                <w:rFonts w:ascii="宋体" w:hAnsi="宋体" w:cs="宋体"/>
                <w:color w:val="auto"/>
                <w:szCs w:val="21"/>
                <w:highlight w:val="none"/>
                <w:lang w:val="zh-CN"/>
              </w:rPr>
            </w:pPr>
          </w:p>
        </w:tc>
        <w:tc>
          <w:tcPr>
            <w:tcW w:w="1043" w:type="dxa"/>
          </w:tcPr>
          <w:p>
            <w:pPr>
              <w:autoSpaceDE w:val="0"/>
              <w:autoSpaceDN w:val="0"/>
              <w:adjustRightInd w:val="0"/>
              <w:rPr>
                <w:rFonts w:ascii="宋体" w:hAnsi="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Pr>
          <w:p>
            <w:pPr>
              <w:autoSpaceDE w:val="0"/>
              <w:autoSpaceDN w:val="0"/>
              <w:adjustRightInd w:val="0"/>
              <w:rPr>
                <w:rFonts w:ascii="宋体" w:hAnsi="宋体" w:cs="宋体"/>
                <w:color w:val="auto"/>
                <w:szCs w:val="21"/>
                <w:highlight w:val="none"/>
                <w:lang w:val="zh-CN"/>
              </w:rPr>
            </w:pPr>
          </w:p>
        </w:tc>
        <w:tc>
          <w:tcPr>
            <w:tcW w:w="896" w:type="dxa"/>
          </w:tcPr>
          <w:p>
            <w:pPr>
              <w:autoSpaceDE w:val="0"/>
              <w:autoSpaceDN w:val="0"/>
              <w:adjustRightInd w:val="0"/>
              <w:rPr>
                <w:rFonts w:ascii="宋体" w:hAnsi="宋体" w:cs="宋体"/>
                <w:color w:val="auto"/>
                <w:szCs w:val="21"/>
                <w:highlight w:val="none"/>
                <w:lang w:val="zh-CN"/>
              </w:rPr>
            </w:pPr>
          </w:p>
        </w:tc>
        <w:tc>
          <w:tcPr>
            <w:tcW w:w="663" w:type="dxa"/>
          </w:tcPr>
          <w:p>
            <w:pPr>
              <w:autoSpaceDE w:val="0"/>
              <w:autoSpaceDN w:val="0"/>
              <w:adjustRightInd w:val="0"/>
              <w:rPr>
                <w:rFonts w:ascii="宋体" w:hAnsi="宋体" w:cs="宋体"/>
                <w:color w:val="auto"/>
                <w:szCs w:val="21"/>
                <w:highlight w:val="none"/>
                <w:lang w:val="zh-CN"/>
              </w:rPr>
            </w:pPr>
          </w:p>
        </w:tc>
        <w:tc>
          <w:tcPr>
            <w:tcW w:w="709" w:type="dxa"/>
          </w:tcPr>
          <w:p>
            <w:pPr>
              <w:autoSpaceDE w:val="0"/>
              <w:autoSpaceDN w:val="0"/>
              <w:adjustRightInd w:val="0"/>
              <w:rPr>
                <w:rFonts w:ascii="宋体" w:hAnsi="宋体" w:cs="宋体"/>
                <w:color w:val="auto"/>
                <w:szCs w:val="21"/>
                <w:highlight w:val="none"/>
                <w:lang w:val="zh-CN"/>
              </w:rPr>
            </w:pPr>
          </w:p>
        </w:tc>
        <w:tc>
          <w:tcPr>
            <w:tcW w:w="1134" w:type="dxa"/>
          </w:tcPr>
          <w:p>
            <w:pPr>
              <w:autoSpaceDE w:val="0"/>
              <w:autoSpaceDN w:val="0"/>
              <w:adjustRightInd w:val="0"/>
              <w:rPr>
                <w:rFonts w:ascii="宋体" w:hAnsi="宋体" w:cs="宋体"/>
                <w:color w:val="auto"/>
                <w:szCs w:val="21"/>
                <w:highlight w:val="none"/>
                <w:lang w:val="zh-CN"/>
              </w:rPr>
            </w:pPr>
          </w:p>
        </w:tc>
        <w:tc>
          <w:tcPr>
            <w:tcW w:w="1056" w:type="dxa"/>
          </w:tcPr>
          <w:p>
            <w:pPr>
              <w:autoSpaceDE w:val="0"/>
              <w:autoSpaceDN w:val="0"/>
              <w:adjustRightInd w:val="0"/>
              <w:rPr>
                <w:rFonts w:ascii="宋体" w:hAnsi="宋体" w:cs="宋体"/>
                <w:color w:val="auto"/>
                <w:szCs w:val="21"/>
                <w:highlight w:val="none"/>
                <w:lang w:val="zh-CN"/>
              </w:rPr>
            </w:pPr>
          </w:p>
        </w:tc>
        <w:tc>
          <w:tcPr>
            <w:tcW w:w="1020" w:type="dxa"/>
          </w:tcPr>
          <w:p>
            <w:pPr>
              <w:autoSpaceDE w:val="0"/>
              <w:autoSpaceDN w:val="0"/>
              <w:adjustRightInd w:val="0"/>
              <w:rPr>
                <w:rFonts w:ascii="宋体" w:hAnsi="宋体" w:cs="宋体"/>
                <w:color w:val="auto"/>
                <w:szCs w:val="21"/>
                <w:highlight w:val="none"/>
                <w:lang w:val="zh-CN"/>
              </w:rPr>
            </w:pPr>
          </w:p>
        </w:tc>
        <w:tc>
          <w:tcPr>
            <w:tcW w:w="1174" w:type="dxa"/>
          </w:tcPr>
          <w:p>
            <w:pPr>
              <w:autoSpaceDE w:val="0"/>
              <w:autoSpaceDN w:val="0"/>
              <w:adjustRightInd w:val="0"/>
              <w:rPr>
                <w:rFonts w:ascii="宋体" w:hAnsi="宋体" w:cs="宋体"/>
                <w:color w:val="auto"/>
                <w:szCs w:val="21"/>
                <w:highlight w:val="none"/>
                <w:lang w:val="zh-CN"/>
              </w:rPr>
            </w:pPr>
          </w:p>
        </w:tc>
        <w:tc>
          <w:tcPr>
            <w:tcW w:w="1396" w:type="dxa"/>
          </w:tcPr>
          <w:p>
            <w:pPr>
              <w:autoSpaceDE w:val="0"/>
              <w:autoSpaceDN w:val="0"/>
              <w:adjustRightInd w:val="0"/>
              <w:rPr>
                <w:rFonts w:ascii="宋体" w:hAnsi="宋体" w:cs="宋体"/>
                <w:color w:val="auto"/>
                <w:szCs w:val="21"/>
                <w:highlight w:val="none"/>
                <w:lang w:val="zh-CN"/>
              </w:rPr>
            </w:pPr>
          </w:p>
        </w:tc>
        <w:tc>
          <w:tcPr>
            <w:tcW w:w="1043" w:type="dxa"/>
          </w:tcPr>
          <w:p>
            <w:pPr>
              <w:autoSpaceDE w:val="0"/>
              <w:autoSpaceDN w:val="0"/>
              <w:adjustRightInd w:val="0"/>
              <w:rPr>
                <w:rFonts w:ascii="宋体" w:hAnsi="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Pr>
          <w:p>
            <w:pPr>
              <w:autoSpaceDE w:val="0"/>
              <w:autoSpaceDN w:val="0"/>
              <w:adjustRightInd w:val="0"/>
              <w:rPr>
                <w:rFonts w:ascii="宋体" w:hAnsi="宋体" w:cs="宋体"/>
                <w:color w:val="auto"/>
                <w:szCs w:val="21"/>
                <w:highlight w:val="none"/>
                <w:lang w:val="zh-CN"/>
              </w:rPr>
            </w:pPr>
          </w:p>
        </w:tc>
        <w:tc>
          <w:tcPr>
            <w:tcW w:w="896" w:type="dxa"/>
          </w:tcPr>
          <w:p>
            <w:pPr>
              <w:autoSpaceDE w:val="0"/>
              <w:autoSpaceDN w:val="0"/>
              <w:adjustRightInd w:val="0"/>
              <w:rPr>
                <w:rFonts w:ascii="宋体" w:hAnsi="宋体" w:cs="宋体"/>
                <w:color w:val="auto"/>
                <w:szCs w:val="21"/>
                <w:highlight w:val="none"/>
                <w:lang w:val="zh-CN"/>
              </w:rPr>
            </w:pPr>
          </w:p>
        </w:tc>
        <w:tc>
          <w:tcPr>
            <w:tcW w:w="663" w:type="dxa"/>
          </w:tcPr>
          <w:p>
            <w:pPr>
              <w:autoSpaceDE w:val="0"/>
              <w:autoSpaceDN w:val="0"/>
              <w:adjustRightInd w:val="0"/>
              <w:rPr>
                <w:rFonts w:ascii="宋体" w:hAnsi="宋体" w:cs="宋体"/>
                <w:color w:val="auto"/>
                <w:szCs w:val="21"/>
                <w:highlight w:val="none"/>
                <w:lang w:val="zh-CN"/>
              </w:rPr>
            </w:pPr>
          </w:p>
        </w:tc>
        <w:tc>
          <w:tcPr>
            <w:tcW w:w="709" w:type="dxa"/>
          </w:tcPr>
          <w:p>
            <w:pPr>
              <w:autoSpaceDE w:val="0"/>
              <w:autoSpaceDN w:val="0"/>
              <w:adjustRightInd w:val="0"/>
              <w:rPr>
                <w:rFonts w:ascii="宋体" w:hAnsi="宋体" w:cs="宋体"/>
                <w:color w:val="auto"/>
                <w:szCs w:val="21"/>
                <w:highlight w:val="none"/>
                <w:lang w:val="zh-CN"/>
              </w:rPr>
            </w:pPr>
          </w:p>
        </w:tc>
        <w:tc>
          <w:tcPr>
            <w:tcW w:w="1134" w:type="dxa"/>
          </w:tcPr>
          <w:p>
            <w:pPr>
              <w:autoSpaceDE w:val="0"/>
              <w:autoSpaceDN w:val="0"/>
              <w:adjustRightInd w:val="0"/>
              <w:rPr>
                <w:rFonts w:ascii="宋体" w:hAnsi="宋体" w:cs="宋体"/>
                <w:color w:val="auto"/>
                <w:szCs w:val="21"/>
                <w:highlight w:val="none"/>
                <w:lang w:val="zh-CN"/>
              </w:rPr>
            </w:pPr>
          </w:p>
        </w:tc>
        <w:tc>
          <w:tcPr>
            <w:tcW w:w="1056" w:type="dxa"/>
          </w:tcPr>
          <w:p>
            <w:pPr>
              <w:autoSpaceDE w:val="0"/>
              <w:autoSpaceDN w:val="0"/>
              <w:adjustRightInd w:val="0"/>
              <w:rPr>
                <w:rFonts w:ascii="宋体" w:hAnsi="宋体" w:cs="宋体"/>
                <w:color w:val="auto"/>
                <w:szCs w:val="21"/>
                <w:highlight w:val="none"/>
                <w:lang w:val="zh-CN"/>
              </w:rPr>
            </w:pPr>
          </w:p>
        </w:tc>
        <w:tc>
          <w:tcPr>
            <w:tcW w:w="1020" w:type="dxa"/>
          </w:tcPr>
          <w:p>
            <w:pPr>
              <w:autoSpaceDE w:val="0"/>
              <w:autoSpaceDN w:val="0"/>
              <w:adjustRightInd w:val="0"/>
              <w:rPr>
                <w:rFonts w:ascii="宋体" w:hAnsi="宋体" w:cs="宋体"/>
                <w:color w:val="auto"/>
                <w:szCs w:val="21"/>
                <w:highlight w:val="none"/>
                <w:lang w:val="zh-CN"/>
              </w:rPr>
            </w:pPr>
          </w:p>
        </w:tc>
        <w:tc>
          <w:tcPr>
            <w:tcW w:w="1174" w:type="dxa"/>
          </w:tcPr>
          <w:p>
            <w:pPr>
              <w:autoSpaceDE w:val="0"/>
              <w:autoSpaceDN w:val="0"/>
              <w:adjustRightInd w:val="0"/>
              <w:rPr>
                <w:rFonts w:ascii="宋体" w:hAnsi="宋体" w:cs="宋体"/>
                <w:color w:val="auto"/>
                <w:szCs w:val="21"/>
                <w:highlight w:val="none"/>
                <w:lang w:val="zh-CN"/>
              </w:rPr>
            </w:pPr>
          </w:p>
        </w:tc>
        <w:tc>
          <w:tcPr>
            <w:tcW w:w="1396" w:type="dxa"/>
          </w:tcPr>
          <w:p>
            <w:pPr>
              <w:autoSpaceDE w:val="0"/>
              <w:autoSpaceDN w:val="0"/>
              <w:adjustRightInd w:val="0"/>
              <w:rPr>
                <w:rFonts w:ascii="宋体" w:hAnsi="宋体" w:cs="宋体"/>
                <w:color w:val="auto"/>
                <w:szCs w:val="21"/>
                <w:highlight w:val="none"/>
                <w:lang w:val="zh-CN"/>
              </w:rPr>
            </w:pPr>
          </w:p>
        </w:tc>
        <w:tc>
          <w:tcPr>
            <w:tcW w:w="1043" w:type="dxa"/>
          </w:tcPr>
          <w:p>
            <w:pPr>
              <w:autoSpaceDE w:val="0"/>
              <w:autoSpaceDN w:val="0"/>
              <w:adjustRightInd w:val="0"/>
              <w:rPr>
                <w:rFonts w:ascii="宋体" w:hAnsi="宋体" w:cs="宋体"/>
                <w:color w:val="auto"/>
                <w:szCs w:val="21"/>
                <w:highlight w:val="none"/>
                <w:lang w:val="zh-CN"/>
              </w:rPr>
            </w:pPr>
          </w:p>
        </w:tc>
      </w:tr>
    </w:tbl>
    <w:p>
      <w:pPr>
        <w:autoSpaceDE w:val="0"/>
        <w:autoSpaceDN w:val="0"/>
        <w:adjustRightInd w:val="0"/>
        <w:rPr>
          <w:rFonts w:ascii="宋体" w:hAnsi="宋体" w:cs="宋体"/>
          <w:color w:val="auto"/>
          <w:szCs w:val="21"/>
          <w:highlight w:val="none"/>
          <w:lang w:val="zh-CN"/>
        </w:rPr>
      </w:pPr>
    </w:p>
    <w:p>
      <w:pPr>
        <w:widowControl/>
        <w:shd w:val="clear" w:color="auto" w:fill="FFFFFF"/>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供应商（盖章）:</w:t>
      </w:r>
      <w:r>
        <w:rPr>
          <w:rFonts w:hint="eastAsia" w:ascii="宋体" w:hAnsi="宋体" w:cs="宋体"/>
          <w:color w:val="auto"/>
          <w:kern w:val="0"/>
          <w:szCs w:val="21"/>
          <w:highlight w:val="none"/>
          <w:u w:val="single"/>
        </w:rPr>
        <w:t xml:space="preserve">            </w:t>
      </w:r>
    </w:p>
    <w:p>
      <w:pPr>
        <w:widowControl/>
        <w:shd w:val="clear" w:color="auto" w:fill="FFFFFF"/>
        <w:spacing w:line="360" w:lineRule="auto"/>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授权代表（签字）：</w:t>
      </w:r>
      <w:r>
        <w:rPr>
          <w:rFonts w:hint="eastAsia" w:ascii="宋体" w:hAnsi="宋体" w:cs="宋体"/>
          <w:color w:val="auto"/>
          <w:kern w:val="0"/>
          <w:szCs w:val="21"/>
          <w:highlight w:val="none"/>
          <w:u w:val="single"/>
        </w:rPr>
        <w:t>          </w:t>
      </w:r>
    </w:p>
    <w:p>
      <w:pPr>
        <w:widowControl/>
        <w:shd w:val="clear" w:color="auto" w:fill="FFFFFF"/>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日    期：   年    月    日</w:t>
      </w:r>
    </w:p>
    <w:p>
      <w:pPr>
        <w:adjustRightInd w:val="0"/>
        <w:snapToGrid w:val="0"/>
        <w:spacing w:line="300" w:lineRule="auto"/>
        <w:ind w:firstLine="643"/>
        <w:jc w:val="center"/>
        <w:rPr>
          <w:rFonts w:ascii="宋体" w:hAnsi="宋体"/>
          <w:b/>
          <w:color w:val="auto"/>
          <w:sz w:val="32"/>
          <w:szCs w:val="20"/>
          <w:highlight w:val="none"/>
        </w:rPr>
        <w:sectPr>
          <w:footerReference r:id="rId8" w:type="default"/>
          <w:pgSz w:w="11906" w:h="16838"/>
          <w:pgMar w:top="1440" w:right="1797" w:bottom="1440" w:left="1797" w:header="851" w:footer="992" w:gutter="0"/>
          <w:cols w:space="720" w:num="1"/>
          <w:docGrid w:linePitch="312" w:charSpace="0"/>
        </w:sectPr>
      </w:pPr>
    </w:p>
    <w:p>
      <w:pPr>
        <w:adjustRightInd w:val="0"/>
        <w:snapToGrid w:val="0"/>
        <w:spacing w:line="300" w:lineRule="auto"/>
        <w:ind w:firstLine="643"/>
        <w:jc w:val="center"/>
        <w:rPr>
          <w:rFonts w:ascii="宋体" w:hAnsi="宋体"/>
          <w:b/>
          <w:color w:val="auto"/>
          <w:sz w:val="32"/>
          <w:szCs w:val="20"/>
          <w:highlight w:val="none"/>
        </w:rPr>
      </w:pPr>
      <w:r>
        <w:rPr>
          <w:rFonts w:hint="eastAsia" w:ascii="宋体" w:hAnsi="宋体"/>
          <w:b/>
          <w:color w:val="auto"/>
          <w:sz w:val="32"/>
          <w:szCs w:val="20"/>
          <w:highlight w:val="none"/>
        </w:rPr>
        <w:t>五、类似业绩情况表</w:t>
      </w:r>
    </w:p>
    <w:p>
      <w:pPr>
        <w:widowControl/>
        <w:adjustRightInd w:val="0"/>
        <w:spacing w:line="360" w:lineRule="auto"/>
        <w:jc w:val="center"/>
        <w:rPr>
          <w:rFonts w:ascii="宋体" w:hAnsi="宋体" w:cs="宋体"/>
          <w:b/>
          <w:bCs/>
          <w:color w:val="auto"/>
          <w:kern w:val="0"/>
          <w:szCs w:val="21"/>
          <w:highlight w:val="none"/>
        </w:rPr>
      </w:pPr>
    </w:p>
    <w:p>
      <w:pPr>
        <w:widowControl/>
        <w:shd w:val="clear" w:color="auto" w:fill="FFFFFF"/>
        <w:spacing w:before="240" w:beforeLines="100" w:line="360" w:lineRule="auto"/>
        <w:jc w:val="center"/>
        <w:rPr>
          <w:rFonts w:ascii="宋体" w:hAnsi="宋体"/>
          <w:b/>
          <w:color w:val="auto"/>
          <w:kern w:val="0"/>
          <w:sz w:val="28"/>
          <w:szCs w:val="28"/>
          <w:highlight w:val="none"/>
        </w:rPr>
      </w:pPr>
      <w:r>
        <w:rPr>
          <w:rFonts w:hint="eastAsia" w:ascii="宋体" w:hAnsi="宋体"/>
          <w:b/>
          <w:color w:val="auto"/>
          <w:kern w:val="0"/>
          <w:sz w:val="28"/>
          <w:szCs w:val="28"/>
          <w:highlight w:val="none"/>
        </w:rPr>
        <w:t>供应商承担过类似业绩情况表</w:t>
      </w:r>
    </w:p>
    <w:tbl>
      <w:tblPr>
        <w:tblStyle w:val="56"/>
        <w:tblW w:w="0" w:type="auto"/>
        <w:jc w:val="center"/>
        <w:tblLayout w:type="fixed"/>
        <w:tblCellMar>
          <w:top w:w="0" w:type="dxa"/>
          <w:left w:w="108" w:type="dxa"/>
          <w:bottom w:w="0" w:type="dxa"/>
          <w:right w:w="108" w:type="dxa"/>
        </w:tblCellMar>
      </w:tblPr>
      <w:tblGrid>
        <w:gridCol w:w="682"/>
        <w:gridCol w:w="1559"/>
        <w:gridCol w:w="1418"/>
        <w:gridCol w:w="992"/>
        <w:gridCol w:w="1517"/>
        <w:gridCol w:w="1134"/>
        <w:gridCol w:w="1134"/>
      </w:tblGrid>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559"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1418"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业主单位</w:t>
            </w:r>
          </w:p>
        </w:tc>
        <w:tc>
          <w:tcPr>
            <w:tcW w:w="992"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项目</w:t>
            </w:r>
          </w:p>
          <w:p>
            <w:pPr>
              <w:widowControl/>
              <w:spacing w:line="4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规模</w:t>
            </w: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签约及服务</w:t>
            </w:r>
          </w:p>
          <w:p>
            <w:pPr>
              <w:widowControl/>
              <w:spacing w:line="4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时间</w:t>
            </w: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联系人及电话</w:t>
            </w: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ind w:firstLine="120"/>
              <w:rPr>
                <w:rFonts w:ascii="宋体" w:hAnsi="宋体" w:cs="宋体"/>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r>
    </w:tbl>
    <w:p>
      <w:pPr>
        <w:widowControl/>
        <w:adjustRightInd w:val="0"/>
        <w:spacing w:line="360" w:lineRule="auto"/>
        <w:rPr>
          <w:rFonts w:ascii="宋体" w:hAnsi="宋体" w:cs="宋体"/>
          <w:b/>
          <w:bCs/>
          <w:color w:val="auto"/>
          <w:kern w:val="0"/>
          <w:szCs w:val="21"/>
          <w:highlight w:val="none"/>
        </w:rPr>
      </w:pPr>
    </w:p>
    <w:p>
      <w:pPr>
        <w:widowControl/>
        <w:adjustRightIn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说明：请供应商根据本格式要求如实填写业绩情况表，并附业绩证明材料，开标时请携带原件核查。</w:t>
      </w:r>
    </w:p>
    <w:p>
      <w:pPr>
        <w:widowControl/>
        <w:shd w:val="clear" w:color="auto" w:fill="FFFFFF"/>
        <w:spacing w:before="240" w:beforeLines="100" w:line="360" w:lineRule="auto"/>
        <w:jc w:val="center"/>
        <w:rPr>
          <w:rFonts w:ascii="宋体" w:hAnsi="宋体"/>
          <w:b/>
          <w:color w:val="auto"/>
          <w:kern w:val="0"/>
          <w:sz w:val="28"/>
          <w:szCs w:val="28"/>
          <w:highlight w:val="none"/>
        </w:rPr>
      </w:pPr>
      <w:r>
        <w:rPr>
          <w:rFonts w:hint="eastAsia" w:ascii="宋体" w:hAnsi="宋体"/>
          <w:b/>
          <w:color w:val="auto"/>
          <w:kern w:val="0"/>
          <w:sz w:val="28"/>
          <w:szCs w:val="28"/>
          <w:highlight w:val="none"/>
        </w:rPr>
        <w:t>项目负责人承担过类似业绩情况表</w:t>
      </w:r>
    </w:p>
    <w:tbl>
      <w:tblPr>
        <w:tblStyle w:val="56"/>
        <w:tblW w:w="0" w:type="auto"/>
        <w:jc w:val="center"/>
        <w:tblLayout w:type="fixed"/>
        <w:tblCellMar>
          <w:top w:w="0" w:type="dxa"/>
          <w:left w:w="108" w:type="dxa"/>
          <w:bottom w:w="0" w:type="dxa"/>
          <w:right w:w="108" w:type="dxa"/>
        </w:tblCellMar>
      </w:tblPr>
      <w:tblGrid>
        <w:gridCol w:w="682"/>
        <w:gridCol w:w="1559"/>
        <w:gridCol w:w="1418"/>
        <w:gridCol w:w="992"/>
        <w:gridCol w:w="1517"/>
        <w:gridCol w:w="1134"/>
        <w:gridCol w:w="1134"/>
      </w:tblGrid>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559"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1418"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业主单位</w:t>
            </w:r>
          </w:p>
        </w:tc>
        <w:tc>
          <w:tcPr>
            <w:tcW w:w="992"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项目</w:t>
            </w:r>
          </w:p>
          <w:p>
            <w:pPr>
              <w:widowControl/>
              <w:spacing w:line="4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规模</w:t>
            </w: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签约及服务</w:t>
            </w:r>
          </w:p>
          <w:p>
            <w:pPr>
              <w:widowControl/>
              <w:spacing w:line="4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时间</w:t>
            </w: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联系人及电话</w:t>
            </w: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ind w:firstLine="120"/>
              <w:rPr>
                <w:rFonts w:ascii="宋体" w:hAnsi="宋体" w:cs="宋体"/>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s="宋体"/>
                <w:color w:val="auto"/>
                <w:kern w:val="0"/>
                <w:szCs w:val="21"/>
                <w:highlight w:val="none"/>
              </w:rPr>
            </w:pPr>
          </w:p>
        </w:tc>
      </w:tr>
    </w:tbl>
    <w:p>
      <w:pPr>
        <w:widowControl/>
        <w:adjustRightInd w:val="0"/>
        <w:spacing w:line="360" w:lineRule="auto"/>
        <w:rPr>
          <w:rFonts w:ascii="宋体" w:hAnsi="宋体" w:cs="宋体"/>
          <w:b/>
          <w:bCs/>
          <w:color w:val="auto"/>
          <w:kern w:val="0"/>
          <w:szCs w:val="21"/>
          <w:highlight w:val="none"/>
        </w:rPr>
      </w:pPr>
    </w:p>
    <w:p>
      <w:pPr>
        <w:widowControl/>
        <w:adjustRightIn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说明：请供应商根据本格式要求如实填写业绩情况表，并附业绩证明材料，开标时请携带原件核查。</w:t>
      </w:r>
    </w:p>
    <w:p>
      <w:pPr>
        <w:adjustRightInd w:val="0"/>
        <w:snapToGrid w:val="0"/>
        <w:spacing w:line="300" w:lineRule="auto"/>
        <w:ind w:firstLine="562"/>
        <w:rPr>
          <w:rFonts w:ascii="宋体" w:hAnsi="宋体"/>
          <w:color w:val="auto"/>
          <w:sz w:val="32"/>
          <w:szCs w:val="20"/>
          <w:highlight w:val="none"/>
        </w:rPr>
      </w:pPr>
    </w:p>
    <w:p>
      <w:pPr>
        <w:adjustRightInd w:val="0"/>
        <w:snapToGrid w:val="0"/>
        <w:spacing w:line="300" w:lineRule="auto"/>
        <w:ind w:firstLine="640"/>
        <w:rPr>
          <w:rFonts w:ascii="宋体" w:hAnsi="宋体"/>
          <w:color w:val="auto"/>
          <w:sz w:val="32"/>
          <w:szCs w:val="20"/>
          <w:highlight w:val="none"/>
        </w:rPr>
      </w:pPr>
    </w:p>
    <w:p>
      <w:pPr>
        <w:adjustRightInd w:val="0"/>
        <w:snapToGrid w:val="0"/>
        <w:spacing w:line="300" w:lineRule="auto"/>
        <w:ind w:firstLine="560"/>
        <w:jc w:val="left"/>
        <w:rPr>
          <w:rFonts w:ascii="宋体" w:hAnsi="宋体"/>
          <w:snapToGrid w:val="0"/>
          <w:color w:val="auto"/>
          <w:sz w:val="28"/>
          <w:szCs w:val="24"/>
          <w:highlight w:val="none"/>
        </w:rPr>
      </w:pPr>
    </w:p>
    <w:p>
      <w:pPr>
        <w:adjustRightInd w:val="0"/>
        <w:snapToGrid w:val="0"/>
        <w:spacing w:line="300" w:lineRule="auto"/>
        <w:ind w:firstLine="643"/>
        <w:jc w:val="center"/>
        <w:rPr>
          <w:rFonts w:ascii="宋体" w:hAnsi="宋体"/>
          <w:b/>
          <w:color w:val="auto"/>
          <w:sz w:val="32"/>
          <w:szCs w:val="20"/>
          <w:highlight w:val="none"/>
        </w:rPr>
      </w:pPr>
      <w:bookmarkStart w:id="74" w:name="_Toc329097759"/>
      <w:r>
        <w:rPr>
          <w:rFonts w:hint="eastAsia" w:ascii="宋体" w:hAnsi="宋体"/>
          <w:b/>
          <w:color w:val="auto"/>
          <w:sz w:val="32"/>
          <w:szCs w:val="20"/>
          <w:highlight w:val="none"/>
        </w:rPr>
        <w:t>六、评分</w:t>
      </w:r>
      <w:r>
        <w:rPr>
          <w:rFonts w:ascii="宋体" w:hAnsi="宋体"/>
          <w:b/>
          <w:color w:val="auto"/>
          <w:sz w:val="32"/>
          <w:szCs w:val="20"/>
          <w:highlight w:val="none"/>
        </w:rPr>
        <w:t>标准要求的</w:t>
      </w:r>
      <w:r>
        <w:rPr>
          <w:rFonts w:hint="eastAsia" w:ascii="宋体" w:hAnsi="宋体"/>
          <w:b/>
          <w:color w:val="auto"/>
          <w:sz w:val="32"/>
          <w:szCs w:val="20"/>
          <w:highlight w:val="none"/>
        </w:rPr>
        <w:t>资料</w:t>
      </w:r>
      <w:bookmarkEnd w:id="74"/>
    </w:p>
    <w:p>
      <w:pPr>
        <w:spacing w:line="480" w:lineRule="auto"/>
        <w:ind w:firstLine="560" w:firstLineChars="200"/>
        <w:jc w:val="center"/>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根据磋商文件的要求和供应商认为需要提供的资料</w:t>
      </w:r>
      <w:r>
        <w:rPr>
          <w:rFonts w:ascii="宋体" w:hAnsi="宋体"/>
          <w:color w:val="auto"/>
          <w:sz w:val="28"/>
          <w:szCs w:val="28"/>
          <w:highlight w:val="none"/>
        </w:rPr>
        <w:t>)</w:t>
      </w:r>
    </w:p>
    <w:p>
      <w:pPr>
        <w:adjustRightInd w:val="0"/>
        <w:snapToGrid w:val="0"/>
        <w:spacing w:line="300" w:lineRule="auto"/>
        <w:ind w:firstLine="643"/>
        <w:jc w:val="center"/>
        <w:outlineLvl w:val="1"/>
        <w:rPr>
          <w:rFonts w:ascii="宋体" w:hAnsi="宋体"/>
          <w:b/>
          <w:color w:val="auto"/>
          <w:sz w:val="32"/>
          <w:szCs w:val="20"/>
          <w:highlight w:val="none"/>
        </w:rPr>
      </w:pPr>
    </w:p>
    <w:p>
      <w:pPr>
        <w:adjustRightInd w:val="0"/>
        <w:snapToGrid w:val="0"/>
        <w:spacing w:line="300" w:lineRule="auto"/>
        <w:ind w:firstLine="643"/>
        <w:jc w:val="center"/>
        <w:rPr>
          <w:rFonts w:ascii="宋体" w:hAnsi="Courier New"/>
          <w:color w:val="auto"/>
          <w:sz w:val="28"/>
          <w:szCs w:val="28"/>
          <w:highlight w:val="none"/>
        </w:rPr>
      </w:pPr>
    </w:p>
    <w:p>
      <w:pPr>
        <w:rPr>
          <w:color w:val="auto"/>
          <w:highlight w:val="none"/>
        </w:rPr>
      </w:pPr>
    </w:p>
    <w:p>
      <w:pPr>
        <w:rPr>
          <w:color w:val="auto"/>
          <w:highlight w:val="none"/>
        </w:rPr>
      </w:pPr>
    </w:p>
    <w:p>
      <w:pPr>
        <w:adjustRightInd w:val="0"/>
        <w:snapToGrid w:val="0"/>
        <w:spacing w:line="300" w:lineRule="auto"/>
        <w:ind w:firstLine="643"/>
        <w:jc w:val="center"/>
        <w:rPr>
          <w:rFonts w:ascii="宋体" w:hAnsi="宋体"/>
          <w:b/>
          <w:color w:val="auto"/>
          <w:sz w:val="32"/>
          <w:szCs w:val="20"/>
          <w:highlight w:val="none"/>
        </w:rPr>
      </w:pPr>
    </w:p>
    <w:p>
      <w:pPr>
        <w:adjustRightInd w:val="0"/>
        <w:snapToGrid w:val="0"/>
        <w:spacing w:line="300" w:lineRule="auto"/>
        <w:ind w:firstLine="643"/>
        <w:jc w:val="center"/>
        <w:rPr>
          <w:rFonts w:ascii="宋体" w:hAnsi="宋体"/>
          <w:b/>
          <w:color w:val="auto"/>
          <w:sz w:val="32"/>
          <w:szCs w:val="20"/>
          <w:highlight w:val="none"/>
        </w:rPr>
      </w:pPr>
    </w:p>
    <w:p>
      <w:pPr>
        <w:adjustRightInd w:val="0"/>
        <w:snapToGrid w:val="0"/>
        <w:spacing w:line="300" w:lineRule="auto"/>
        <w:ind w:firstLine="643"/>
        <w:jc w:val="center"/>
        <w:rPr>
          <w:rFonts w:ascii="宋体" w:hAnsi="宋体"/>
          <w:b/>
          <w:color w:val="auto"/>
          <w:sz w:val="32"/>
          <w:szCs w:val="20"/>
          <w:highlight w:val="none"/>
        </w:rPr>
      </w:pPr>
    </w:p>
    <w:p>
      <w:pPr>
        <w:adjustRightInd w:val="0"/>
        <w:snapToGrid w:val="0"/>
        <w:spacing w:line="300" w:lineRule="auto"/>
        <w:ind w:firstLine="643"/>
        <w:jc w:val="center"/>
        <w:rPr>
          <w:rFonts w:ascii="宋体" w:hAnsi="宋体"/>
          <w:b/>
          <w:color w:val="auto"/>
          <w:sz w:val="32"/>
          <w:szCs w:val="20"/>
          <w:highlight w:val="none"/>
        </w:rPr>
      </w:pPr>
      <w:r>
        <w:rPr>
          <w:rFonts w:hint="eastAsia" w:ascii="宋体" w:hAnsi="宋体"/>
          <w:b/>
          <w:color w:val="auto"/>
          <w:sz w:val="32"/>
          <w:szCs w:val="20"/>
          <w:highlight w:val="none"/>
        </w:rPr>
        <w:t>七</w:t>
      </w:r>
      <w:r>
        <w:rPr>
          <w:rFonts w:ascii="宋体" w:hAnsi="宋体"/>
          <w:b/>
          <w:color w:val="auto"/>
          <w:sz w:val="32"/>
          <w:szCs w:val="20"/>
          <w:highlight w:val="none"/>
        </w:rPr>
        <w:t>、服务承诺</w:t>
      </w:r>
    </w:p>
    <w:p>
      <w:pPr>
        <w:adjustRightInd w:val="0"/>
        <w:snapToGrid w:val="0"/>
        <w:spacing w:line="300" w:lineRule="auto"/>
        <w:ind w:firstLine="643"/>
        <w:jc w:val="center"/>
        <w:rPr>
          <w:rFonts w:ascii="宋体" w:hAnsi="Courier New"/>
          <w:color w:val="auto"/>
          <w:sz w:val="28"/>
          <w:szCs w:val="28"/>
          <w:highlight w:val="none"/>
        </w:rPr>
      </w:pPr>
    </w:p>
    <w:p>
      <w:pPr>
        <w:adjustRightInd w:val="0"/>
        <w:snapToGrid w:val="0"/>
        <w:spacing w:line="360" w:lineRule="auto"/>
        <w:rPr>
          <w:color w:val="auto"/>
          <w:highlight w:val="none"/>
        </w:rPr>
      </w:pPr>
    </w:p>
    <w:p>
      <w:pPr>
        <w:adjustRightInd w:val="0"/>
        <w:snapToGrid w:val="0"/>
        <w:spacing w:line="300" w:lineRule="auto"/>
        <w:ind w:firstLine="643"/>
        <w:jc w:val="center"/>
        <w:rPr>
          <w:rFonts w:ascii="宋体" w:hAnsi="宋体"/>
          <w:b/>
          <w:color w:val="auto"/>
          <w:sz w:val="32"/>
          <w:szCs w:val="20"/>
          <w:highlight w:val="none"/>
        </w:rPr>
      </w:pPr>
    </w:p>
    <w:p>
      <w:pPr>
        <w:adjustRightInd w:val="0"/>
        <w:snapToGrid w:val="0"/>
        <w:spacing w:line="300" w:lineRule="auto"/>
        <w:ind w:firstLine="643"/>
        <w:jc w:val="center"/>
        <w:rPr>
          <w:rFonts w:ascii="宋体" w:hAnsi="宋体"/>
          <w:b/>
          <w:color w:val="auto"/>
          <w:sz w:val="32"/>
          <w:szCs w:val="20"/>
          <w:highlight w:val="none"/>
        </w:rPr>
      </w:pPr>
    </w:p>
    <w:p>
      <w:pPr>
        <w:adjustRightInd w:val="0"/>
        <w:snapToGrid w:val="0"/>
        <w:spacing w:line="300" w:lineRule="auto"/>
        <w:ind w:firstLine="643"/>
        <w:jc w:val="center"/>
        <w:rPr>
          <w:rFonts w:ascii="宋体" w:hAnsi="宋体"/>
          <w:b/>
          <w:color w:val="auto"/>
          <w:sz w:val="32"/>
          <w:szCs w:val="20"/>
          <w:highlight w:val="none"/>
        </w:rPr>
      </w:pPr>
      <w:r>
        <w:rPr>
          <w:rFonts w:hint="eastAsia" w:ascii="宋体" w:hAnsi="宋体"/>
          <w:b/>
          <w:color w:val="auto"/>
          <w:sz w:val="32"/>
          <w:szCs w:val="20"/>
          <w:highlight w:val="none"/>
        </w:rPr>
        <w:t>八、供应商认为需要提供的其他资格证明文件</w:t>
      </w:r>
    </w:p>
    <w:p>
      <w:pPr>
        <w:adjustRightInd w:val="0"/>
        <w:snapToGrid w:val="0"/>
        <w:spacing w:line="300" w:lineRule="auto"/>
        <w:ind w:firstLine="643"/>
        <w:jc w:val="center"/>
        <w:rPr>
          <w:rFonts w:ascii="宋体" w:hAnsi="宋体" w:cs="宋体"/>
          <w:b/>
          <w:bCs/>
          <w:color w:val="auto"/>
          <w:szCs w:val="21"/>
          <w:highlight w:val="none"/>
        </w:rPr>
        <w:sectPr>
          <w:pgSz w:w="11906" w:h="16838"/>
          <w:pgMar w:top="1440" w:right="1797" w:bottom="1440" w:left="1797" w:header="851" w:footer="992" w:gutter="0"/>
          <w:cols w:space="720" w:num="1"/>
          <w:docGrid w:linePitch="312" w:charSpace="0"/>
        </w:sectPr>
      </w:pPr>
    </w:p>
    <w:p>
      <w:pPr>
        <w:adjustRightInd w:val="0"/>
        <w:snapToGrid w:val="0"/>
        <w:spacing w:line="300" w:lineRule="auto"/>
        <w:ind w:firstLine="643"/>
        <w:jc w:val="center"/>
        <w:rPr>
          <w:rFonts w:ascii="宋体" w:hAnsi="宋体" w:cs="宋体"/>
          <w:b/>
          <w:bCs/>
          <w:color w:val="auto"/>
          <w:szCs w:val="21"/>
          <w:highlight w:val="none"/>
        </w:rPr>
      </w:pPr>
      <w:r>
        <w:rPr>
          <w:rFonts w:hint="eastAsia" w:ascii="宋体" w:hAnsi="宋体" w:cs="宋体"/>
          <w:b/>
          <w:bCs/>
          <w:color w:val="auto"/>
          <w:szCs w:val="21"/>
          <w:highlight w:val="none"/>
        </w:rPr>
        <w:t>附件一、商务条款偏离表格式</w:t>
      </w:r>
    </w:p>
    <w:p>
      <w:pPr>
        <w:autoSpaceDE w:val="0"/>
        <w:autoSpaceDN w:val="0"/>
        <w:adjustRightInd w:val="0"/>
        <w:ind w:firstLine="420"/>
        <w:rPr>
          <w:rFonts w:ascii="宋体" w:hAnsi="宋体" w:cs="宋体"/>
          <w:color w:val="auto"/>
          <w:szCs w:val="21"/>
          <w:highlight w:val="none"/>
          <w:lang w:val="zh-CN"/>
        </w:rPr>
      </w:pPr>
    </w:p>
    <w:p>
      <w:pPr>
        <w:widowControl/>
        <w:shd w:val="clear" w:color="auto" w:fill="FFFFFF"/>
        <w:spacing w:before="240" w:beforeLines="100" w:line="360" w:lineRule="auto"/>
        <w:jc w:val="center"/>
        <w:rPr>
          <w:rFonts w:ascii="宋体" w:hAnsi="宋体"/>
          <w:b/>
          <w:color w:val="auto"/>
          <w:kern w:val="0"/>
          <w:sz w:val="36"/>
          <w:szCs w:val="36"/>
          <w:highlight w:val="none"/>
        </w:rPr>
      </w:pPr>
      <w:r>
        <w:rPr>
          <w:rFonts w:hint="eastAsia" w:ascii="宋体" w:hAnsi="宋体"/>
          <w:b/>
          <w:color w:val="auto"/>
          <w:kern w:val="0"/>
          <w:sz w:val="36"/>
          <w:szCs w:val="36"/>
          <w:highlight w:val="none"/>
        </w:rPr>
        <w:t>商务条款偏离表</w:t>
      </w:r>
    </w:p>
    <w:p>
      <w:pPr>
        <w:autoSpaceDE w:val="0"/>
        <w:autoSpaceDN w:val="0"/>
        <w:adjustRightInd w:val="0"/>
        <w:rPr>
          <w:rFonts w:ascii="宋体" w:hAnsi="宋体" w:cs="宋体"/>
          <w:color w:val="auto"/>
          <w:szCs w:val="21"/>
          <w:highlight w:val="none"/>
          <w:lang w:val="zh-CN"/>
        </w:rPr>
      </w:pPr>
    </w:p>
    <w:tbl>
      <w:tblPr>
        <w:tblStyle w:val="56"/>
        <w:tblW w:w="0" w:type="auto"/>
        <w:jc w:val="center"/>
        <w:tblLayout w:type="fixed"/>
        <w:tblCellMar>
          <w:top w:w="0" w:type="dxa"/>
          <w:left w:w="10" w:type="dxa"/>
          <w:bottom w:w="0" w:type="dxa"/>
          <w:right w:w="10" w:type="dxa"/>
        </w:tblCellMar>
      </w:tblPr>
      <w:tblGrid>
        <w:gridCol w:w="665"/>
        <w:gridCol w:w="1656"/>
        <w:gridCol w:w="2759"/>
        <w:gridCol w:w="1656"/>
        <w:gridCol w:w="1638"/>
        <w:gridCol w:w="1038"/>
      </w:tblGrid>
      <w:tr>
        <w:tblPrEx>
          <w:tblCellMar>
            <w:top w:w="0" w:type="dxa"/>
            <w:left w:w="10" w:type="dxa"/>
            <w:bottom w:w="0" w:type="dxa"/>
            <w:right w:w="10" w:type="dxa"/>
          </w:tblCellMar>
        </w:tblPrEx>
        <w:trPr>
          <w:trHeight w:val="284" w:hRule="atLeast"/>
          <w:jc w:val="center"/>
        </w:trPr>
        <w:tc>
          <w:tcPr>
            <w:tcW w:w="6736" w:type="dxa"/>
            <w:gridSpan w:val="4"/>
            <w:tcBorders>
              <w:bottom w:val="single" w:color="auto" w:sz="6" w:space="0"/>
            </w:tcBorders>
            <w:vAlign w:val="center"/>
          </w:tcPr>
          <w:p>
            <w:pPr>
              <w:autoSpaceDE w:val="0"/>
              <w:autoSpaceDN w:val="0"/>
              <w:adjustRightInd w:val="0"/>
              <w:jc w:val="left"/>
              <w:rPr>
                <w:rFonts w:ascii="宋体" w:hAnsi="宋体" w:cs="宋体"/>
                <w:color w:val="auto"/>
                <w:szCs w:val="21"/>
                <w:highlight w:val="none"/>
              </w:rPr>
            </w:pPr>
            <w:r>
              <w:rPr>
                <w:rFonts w:hint="eastAsia" w:ascii="宋体" w:hAnsi="宋体" w:cs="宋体"/>
                <w:color w:val="auto"/>
                <w:szCs w:val="21"/>
                <w:highlight w:val="none"/>
                <w:lang w:val="zh-CN"/>
              </w:rPr>
              <w:t>项目名称：</w:t>
            </w:r>
            <w:r>
              <w:rPr>
                <w:rFonts w:hint="eastAsia" w:ascii="宋体" w:hAnsi="宋体" w:cs="宋体"/>
                <w:color w:val="auto"/>
                <w:szCs w:val="21"/>
                <w:highlight w:val="none"/>
              </w:rPr>
              <w:t xml:space="preserve">              </w:t>
            </w:r>
          </w:p>
        </w:tc>
        <w:tc>
          <w:tcPr>
            <w:tcW w:w="2676" w:type="dxa"/>
            <w:gridSpan w:val="2"/>
            <w:tcBorders>
              <w:bottom w:val="single" w:color="auto" w:sz="6" w:space="0"/>
            </w:tcBorders>
            <w:vAlign w:val="center"/>
          </w:tcPr>
          <w:p>
            <w:pPr>
              <w:autoSpaceDE w:val="0"/>
              <w:autoSpaceDN w:val="0"/>
              <w:adjustRightInd w:val="0"/>
              <w:jc w:val="left"/>
              <w:rPr>
                <w:rFonts w:ascii="宋体" w:hAnsi="宋体" w:cs="宋体"/>
                <w:color w:val="auto"/>
                <w:szCs w:val="21"/>
                <w:highlight w:val="none"/>
                <w:lang w:val="zh-CN"/>
              </w:rPr>
            </w:pPr>
            <w:r>
              <w:rPr>
                <w:rFonts w:hint="eastAsia" w:ascii="宋体" w:hAnsi="宋体" w:cs="宋体"/>
                <w:color w:val="auto"/>
                <w:szCs w:val="21"/>
                <w:highlight w:val="none"/>
                <w:lang w:val="zh-CN"/>
              </w:rPr>
              <w:t xml:space="preserve">项目编号： </w:t>
            </w:r>
          </w:p>
        </w:tc>
      </w:tr>
      <w:tr>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r>
              <w:rPr>
                <w:rFonts w:hint="eastAsia" w:ascii="宋体" w:hAnsi="宋体" w:cs="宋体"/>
                <w:color w:val="auto"/>
                <w:szCs w:val="21"/>
                <w:highlight w:val="none"/>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r>
              <w:rPr>
                <w:rFonts w:hint="eastAsia" w:ascii="宋体" w:hAnsi="宋体" w:cs="宋体"/>
                <w:color w:val="auto"/>
                <w:szCs w:val="21"/>
                <w:highlight w:val="none"/>
                <w:lang w:val="zh-CN"/>
              </w:rPr>
              <w:t>采购文件条目号</w:t>
            </w:r>
          </w:p>
        </w:tc>
        <w:tc>
          <w:tcPr>
            <w:tcW w:w="27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r>
              <w:rPr>
                <w:rFonts w:hint="eastAsia" w:ascii="宋体" w:hAnsi="宋体" w:cs="宋体"/>
                <w:color w:val="auto"/>
                <w:szCs w:val="21"/>
                <w:highlight w:val="none"/>
                <w:lang w:val="zh-CN"/>
              </w:rPr>
              <w:t>采购文件要求的商务条款</w:t>
            </w:r>
          </w:p>
        </w:tc>
        <w:tc>
          <w:tcPr>
            <w:tcW w:w="329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r>
              <w:rPr>
                <w:rFonts w:hint="eastAsia" w:ascii="宋体" w:hAnsi="宋体" w:cs="宋体"/>
                <w:color w:val="auto"/>
                <w:szCs w:val="21"/>
                <w:highlight w:val="none"/>
                <w:lang w:val="zh-CN"/>
              </w:rPr>
              <w:t>磋商响应</w:t>
            </w:r>
          </w:p>
        </w:tc>
        <w:tc>
          <w:tcPr>
            <w:tcW w:w="10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r>
              <w:rPr>
                <w:rFonts w:hint="eastAsia" w:ascii="宋体" w:hAnsi="宋体" w:cs="宋体"/>
                <w:color w:val="auto"/>
                <w:szCs w:val="21"/>
                <w:highlight w:val="none"/>
                <w:lang w:val="zh-CN"/>
              </w:rPr>
              <w:t>偏离说明</w:t>
            </w:r>
          </w:p>
        </w:tc>
      </w:tr>
      <w:tr>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p>
        </w:tc>
        <w:tc>
          <w:tcPr>
            <w:tcW w:w="27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p>
        </w:tc>
        <w:tc>
          <w:tcPr>
            <w:tcW w:w="329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p>
        </w:tc>
      </w:tr>
      <w:tr>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p>
        </w:tc>
        <w:tc>
          <w:tcPr>
            <w:tcW w:w="27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p>
        </w:tc>
        <w:tc>
          <w:tcPr>
            <w:tcW w:w="329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p>
        </w:tc>
      </w:tr>
      <w:tr>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p>
        </w:tc>
        <w:tc>
          <w:tcPr>
            <w:tcW w:w="27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p>
        </w:tc>
        <w:tc>
          <w:tcPr>
            <w:tcW w:w="329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p>
        </w:tc>
      </w:tr>
      <w:tr>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p>
        </w:tc>
        <w:tc>
          <w:tcPr>
            <w:tcW w:w="27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p>
        </w:tc>
        <w:tc>
          <w:tcPr>
            <w:tcW w:w="329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p>
        </w:tc>
      </w:tr>
      <w:tr>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p>
        </w:tc>
        <w:tc>
          <w:tcPr>
            <w:tcW w:w="27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p>
        </w:tc>
        <w:tc>
          <w:tcPr>
            <w:tcW w:w="329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p>
        </w:tc>
      </w:tr>
    </w:tbl>
    <w:p>
      <w:pPr>
        <w:widowControl/>
        <w:shd w:val="clear" w:color="auto" w:fill="FFFFFF"/>
        <w:spacing w:line="360" w:lineRule="auto"/>
        <w:jc w:val="left"/>
        <w:rPr>
          <w:rFonts w:ascii="宋体" w:hAnsi="宋体" w:cs="宋体"/>
          <w:color w:val="auto"/>
          <w:kern w:val="0"/>
          <w:szCs w:val="21"/>
          <w:highlight w:val="none"/>
        </w:rPr>
      </w:pPr>
    </w:p>
    <w:p>
      <w:pPr>
        <w:widowControl/>
        <w:shd w:val="clear" w:color="auto" w:fill="FFFFFF"/>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供应商（盖章）:</w:t>
      </w:r>
      <w:r>
        <w:rPr>
          <w:rFonts w:hint="eastAsia" w:ascii="宋体" w:hAnsi="宋体" w:cs="宋体"/>
          <w:color w:val="auto"/>
          <w:kern w:val="0"/>
          <w:szCs w:val="21"/>
          <w:highlight w:val="none"/>
          <w:u w:val="single"/>
        </w:rPr>
        <w:t xml:space="preserve">            </w:t>
      </w:r>
    </w:p>
    <w:p>
      <w:pPr>
        <w:widowControl/>
        <w:shd w:val="clear" w:color="auto" w:fill="FFFFFF"/>
        <w:spacing w:line="360" w:lineRule="auto"/>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授权代表（签字）：</w:t>
      </w:r>
      <w:r>
        <w:rPr>
          <w:rFonts w:hint="eastAsia" w:ascii="宋体" w:hAnsi="宋体" w:cs="宋体"/>
          <w:color w:val="auto"/>
          <w:kern w:val="0"/>
          <w:szCs w:val="21"/>
          <w:highlight w:val="none"/>
          <w:u w:val="single"/>
        </w:rPr>
        <w:t>          </w:t>
      </w:r>
    </w:p>
    <w:p>
      <w:pPr>
        <w:widowControl/>
        <w:shd w:val="clear" w:color="auto" w:fill="FFFFFF"/>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日    期：   年    月    日</w:t>
      </w:r>
    </w:p>
    <w:p>
      <w:pPr>
        <w:widowControl/>
        <w:shd w:val="clear" w:color="auto" w:fill="FFFFFF"/>
        <w:spacing w:line="360" w:lineRule="auto"/>
        <w:jc w:val="left"/>
        <w:rPr>
          <w:rFonts w:ascii="宋体" w:hAnsi="宋体" w:cs="宋体"/>
          <w:b/>
          <w:bCs/>
          <w:color w:val="auto"/>
          <w:kern w:val="0"/>
          <w:szCs w:val="21"/>
          <w:highlight w:val="none"/>
          <w:lang w:val="zh-CN"/>
        </w:rPr>
      </w:pPr>
    </w:p>
    <w:p>
      <w:pPr>
        <w:widowControl/>
        <w:shd w:val="clear" w:color="auto" w:fill="FFFFFF"/>
        <w:spacing w:line="360" w:lineRule="auto"/>
        <w:jc w:val="left"/>
        <w:rPr>
          <w:rFonts w:ascii="宋体" w:hAnsi="宋体" w:cs="宋体"/>
          <w:b/>
          <w:bCs/>
          <w:color w:val="auto"/>
          <w:kern w:val="0"/>
          <w:szCs w:val="21"/>
          <w:highlight w:val="none"/>
          <w:lang w:val="zh-CN"/>
        </w:rPr>
      </w:pPr>
    </w:p>
    <w:p>
      <w:pPr>
        <w:widowControl/>
        <w:shd w:val="clear" w:color="auto" w:fill="FFFFFF"/>
        <w:spacing w:line="360" w:lineRule="auto"/>
        <w:jc w:val="left"/>
        <w:rPr>
          <w:rFonts w:ascii="宋体" w:hAnsi="宋体" w:cs="宋体"/>
          <w:b/>
          <w:bCs/>
          <w:color w:val="auto"/>
          <w:kern w:val="0"/>
          <w:szCs w:val="21"/>
          <w:highlight w:val="none"/>
          <w:lang w:val="zh-CN"/>
        </w:rPr>
      </w:pPr>
    </w:p>
    <w:p>
      <w:pPr>
        <w:widowControl/>
        <w:shd w:val="clear" w:color="auto" w:fill="FFFFFF"/>
        <w:spacing w:line="360" w:lineRule="auto"/>
        <w:jc w:val="left"/>
        <w:rPr>
          <w:rFonts w:ascii="宋体" w:hAnsi="宋体" w:cs="宋体"/>
          <w:b/>
          <w:bCs/>
          <w:color w:val="auto"/>
          <w:kern w:val="0"/>
          <w:szCs w:val="21"/>
          <w:highlight w:val="none"/>
          <w:lang w:val="zh-CN"/>
        </w:rPr>
      </w:pPr>
    </w:p>
    <w:p>
      <w:pPr>
        <w:widowControl/>
        <w:shd w:val="clear" w:color="auto" w:fill="FFFFFF"/>
        <w:spacing w:line="360" w:lineRule="auto"/>
        <w:jc w:val="left"/>
        <w:rPr>
          <w:rFonts w:ascii="宋体" w:hAnsi="宋体" w:cs="宋体"/>
          <w:b/>
          <w:bCs/>
          <w:color w:val="auto"/>
          <w:kern w:val="0"/>
          <w:szCs w:val="21"/>
          <w:highlight w:val="none"/>
          <w:lang w:val="zh-CN"/>
        </w:rPr>
      </w:pPr>
    </w:p>
    <w:p>
      <w:pPr>
        <w:autoSpaceDE w:val="0"/>
        <w:autoSpaceDN w:val="0"/>
        <w:adjustRightInd w:val="0"/>
        <w:rPr>
          <w:rFonts w:ascii="宋体" w:hAnsi="宋体" w:cs="宋体"/>
          <w:b/>
          <w:bCs/>
          <w:color w:val="auto"/>
          <w:szCs w:val="21"/>
          <w:highlight w:val="none"/>
        </w:rPr>
      </w:pPr>
      <w:r>
        <w:rPr>
          <w:rFonts w:hint="eastAsia" w:ascii="宋体" w:hAnsi="宋体" w:cs="宋体"/>
          <w:b/>
          <w:bCs/>
          <w:color w:val="auto"/>
          <w:szCs w:val="21"/>
          <w:highlight w:val="none"/>
        </w:rPr>
        <w:t>附件二、采购需求条款偏离表格式</w:t>
      </w:r>
    </w:p>
    <w:p>
      <w:pPr>
        <w:rPr>
          <w:rFonts w:ascii="宋体" w:hAnsi="宋体" w:cs="宋体"/>
          <w:b/>
          <w:color w:val="auto"/>
          <w:szCs w:val="21"/>
          <w:highlight w:val="none"/>
        </w:rPr>
      </w:pPr>
    </w:p>
    <w:p>
      <w:pPr>
        <w:widowControl/>
        <w:shd w:val="clear" w:color="auto" w:fill="FFFFFF"/>
        <w:spacing w:before="240" w:beforeLines="100" w:line="360" w:lineRule="auto"/>
        <w:jc w:val="center"/>
        <w:rPr>
          <w:rFonts w:ascii="宋体" w:hAnsi="宋体"/>
          <w:b/>
          <w:color w:val="auto"/>
          <w:kern w:val="0"/>
          <w:sz w:val="36"/>
          <w:szCs w:val="36"/>
          <w:highlight w:val="none"/>
        </w:rPr>
      </w:pPr>
      <w:r>
        <w:rPr>
          <w:rFonts w:hint="eastAsia" w:ascii="宋体" w:hAnsi="宋体"/>
          <w:b/>
          <w:color w:val="auto"/>
          <w:kern w:val="0"/>
          <w:sz w:val="36"/>
          <w:szCs w:val="36"/>
          <w:highlight w:val="none"/>
        </w:rPr>
        <w:t>采购需求条款偏离表</w:t>
      </w:r>
    </w:p>
    <w:p>
      <w:pPr>
        <w:autoSpaceDE w:val="0"/>
        <w:autoSpaceDN w:val="0"/>
        <w:adjustRightInd w:val="0"/>
        <w:rPr>
          <w:rFonts w:ascii="宋体" w:hAnsi="宋体" w:cs="宋体"/>
          <w:color w:val="auto"/>
          <w:szCs w:val="21"/>
          <w:highlight w:val="none"/>
          <w:lang w:val="zh-CN"/>
        </w:rPr>
      </w:pPr>
      <w:r>
        <w:rPr>
          <w:rFonts w:hint="eastAsia" w:ascii="宋体" w:hAnsi="宋体" w:cs="宋体"/>
          <w:color w:val="auto"/>
          <w:szCs w:val="21"/>
          <w:highlight w:val="none"/>
          <w:lang w:val="zh-CN"/>
        </w:rPr>
        <w:t xml:space="preserve">                        </w:t>
      </w:r>
    </w:p>
    <w:p>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t xml:space="preserve">                                         </w:t>
      </w:r>
    </w:p>
    <w:tbl>
      <w:tblPr>
        <w:tblStyle w:val="56"/>
        <w:tblW w:w="0" w:type="auto"/>
        <w:jc w:val="center"/>
        <w:tblLayout w:type="fixed"/>
        <w:tblCellMar>
          <w:top w:w="0" w:type="dxa"/>
          <w:left w:w="10" w:type="dxa"/>
          <w:bottom w:w="0" w:type="dxa"/>
          <w:right w:w="10" w:type="dxa"/>
        </w:tblCellMar>
      </w:tblPr>
      <w:tblGrid>
        <w:gridCol w:w="665"/>
        <w:gridCol w:w="2549"/>
        <w:gridCol w:w="2820"/>
        <w:gridCol w:w="702"/>
        <w:gridCol w:w="1638"/>
        <w:gridCol w:w="1038"/>
      </w:tblGrid>
      <w:tr>
        <w:tblPrEx>
          <w:tblCellMar>
            <w:top w:w="0" w:type="dxa"/>
            <w:left w:w="10" w:type="dxa"/>
            <w:bottom w:w="0" w:type="dxa"/>
            <w:right w:w="10" w:type="dxa"/>
          </w:tblCellMar>
        </w:tblPrEx>
        <w:trPr>
          <w:trHeight w:val="284" w:hRule="atLeast"/>
          <w:jc w:val="center"/>
        </w:trPr>
        <w:tc>
          <w:tcPr>
            <w:tcW w:w="6736" w:type="dxa"/>
            <w:gridSpan w:val="4"/>
            <w:tcBorders>
              <w:bottom w:val="single" w:color="auto" w:sz="6" w:space="0"/>
            </w:tcBorders>
            <w:vAlign w:val="center"/>
          </w:tcPr>
          <w:p>
            <w:pPr>
              <w:autoSpaceDE w:val="0"/>
              <w:autoSpaceDN w:val="0"/>
              <w:adjustRightInd w:val="0"/>
              <w:jc w:val="left"/>
              <w:rPr>
                <w:rFonts w:ascii="宋体" w:hAnsi="宋体" w:cs="宋体"/>
                <w:color w:val="auto"/>
                <w:szCs w:val="21"/>
                <w:highlight w:val="none"/>
              </w:rPr>
            </w:pPr>
            <w:r>
              <w:rPr>
                <w:rFonts w:hint="eastAsia" w:ascii="宋体" w:hAnsi="宋体" w:cs="宋体"/>
                <w:color w:val="auto"/>
                <w:szCs w:val="21"/>
                <w:highlight w:val="none"/>
                <w:lang w:val="zh-CN"/>
              </w:rPr>
              <w:t>项目名称：</w:t>
            </w:r>
            <w:r>
              <w:rPr>
                <w:rFonts w:hint="eastAsia" w:ascii="宋体" w:hAnsi="宋体" w:cs="宋体"/>
                <w:color w:val="auto"/>
                <w:szCs w:val="21"/>
                <w:highlight w:val="none"/>
              </w:rPr>
              <w:t xml:space="preserve">                    </w:t>
            </w:r>
          </w:p>
        </w:tc>
        <w:tc>
          <w:tcPr>
            <w:tcW w:w="2676" w:type="dxa"/>
            <w:gridSpan w:val="2"/>
            <w:tcBorders>
              <w:bottom w:val="single" w:color="auto" w:sz="6" w:space="0"/>
            </w:tcBorders>
            <w:vAlign w:val="center"/>
          </w:tcPr>
          <w:p>
            <w:pPr>
              <w:autoSpaceDE w:val="0"/>
              <w:autoSpaceDN w:val="0"/>
              <w:adjustRightInd w:val="0"/>
              <w:jc w:val="left"/>
              <w:rPr>
                <w:rFonts w:ascii="宋体" w:hAnsi="宋体" w:cs="宋体"/>
                <w:color w:val="auto"/>
                <w:szCs w:val="21"/>
                <w:highlight w:val="none"/>
                <w:lang w:val="zh-CN"/>
              </w:rPr>
            </w:pPr>
            <w:r>
              <w:rPr>
                <w:rFonts w:hint="eastAsia" w:ascii="宋体" w:hAnsi="宋体" w:cs="宋体"/>
                <w:color w:val="auto"/>
                <w:szCs w:val="21"/>
                <w:highlight w:val="none"/>
                <w:lang w:val="zh-CN"/>
              </w:rPr>
              <w:t xml:space="preserve">项目编号： </w:t>
            </w:r>
          </w:p>
        </w:tc>
      </w:tr>
      <w:tr>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r>
              <w:rPr>
                <w:rFonts w:hint="eastAsia" w:ascii="宋体" w:hAnsi="宋体" w:cs="宋体"/>
                <w:color w:val="auto"/>
                <w:szCs w:val="21"/>
                <w:highlight w:val="none"/>
                <w:lang w:val="zh-CN"/>
              </w:rPr>
              <w:t>序号</w:t>
            </w:r>
          </w:p>
        </w:tc>
        <w:tc>
          <w:tcPr>
            <w:tcW w:w="2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r>
              <w:rPr>
                <w:rFonts w:hint="eastAsia" w:ascii="宋体" w:hAnsi="宋体" w:cs="宋体"/>
                <w:color w:val="auto"/>
                <w:szCs w:val="21"/>
                <w:highlight w:val="none"/>
                <w:lang w:val="zh-CN"/>
              </w:rPr>
              <w:t>采购文件条目号</w:t>
            </w:r>
          </w:p>
        </w:tc>
        <w:tc>
          <w:tcPr>
            <w:tcW w:w="28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r>
              <w:rPr>
                <w:rFonts w:hint="eastAsia" w:ascii="宋体" w:hAnsi="宋体" w:cs="宋体"/>
                <w:color w:val="auto"/>
                <w:szCs w:val="21"/>
                <w:highlight w:val="none"/>
                <w:lang w:val="zh-CN"/>
              </w:rPr>
              <w:t>采购文件要求的</w:t>
            </w:r>
            <w:r>
              <w:rPr>
                <w:rFonts w:hint="eastAsia" w:ascii="宋体" w:hAnsi="宋体" w:cs="宋体"/>
                <w:color w:val="auto"/>
                <w:szCs w:val="21"/>
                <w:highlight w:val="none"/>
              </w:rPr>
              <w:t>采购需求</w:t>
            </w:r>
            <w:r>
              <w:rPr>
                <w:rFonts w:hint="eastAsia" w:ascii="宋体" w:hAnsi="宋体" w:cs="宋体"/>
                <w:color w:val="auto"/>
                <w:szCs w:val="21"/>
                <w:highlight w:val="none"/>
                <w:lang w:val="zh-CN"/>
              </w:rPr>
              <w:t>条款</w:t>
            </w:r>
          </w:p>
        </w:tc>
        <w:tc>
          <w:tcPr>
            <w:tcW w:w="23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r>
              <w:rPr>
                <w:rFonts w:hint="eastAsia" w:ascii="宋体" w:hAnsi="宋体" w:cs="宋体"/>
                <w:color w:val="auto"/>
                <w:szCs w:val="21"/>
                <w:highlight w:val="none"/>
                <w:lang w:val="zh-CN"/>
              </w:rPr>
              <w:t>磋商响应</w:t>
            </w:r>
          </w:p>
        </w:tc>
        <w:tc>
          <w:tcPr>
            <w:tcW w:w="10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r>
              <w:rPr>
                <w:rFonts w:hint="eastAsia" w:ascii="宋体" w:hAnsi="宋体" w:cs="宋体"/>
                <w:color w:val="auto"/>
                <w:szCs w:val="21"/>
                <w:highlight w:val="none"/>
                <w:lang w:val="zh-CN"/>
              </w:rPr>
              <w:t>偏离说明</w:t>
            </w:r>
          </w:p>
        </w:tc>
      </w:tr>
      <w:tr>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p>
        </w:tc>
        <w:tc>
          <w:tcPr>
            <w:tcW w:w="2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p>
        </w:tc>
        <w:tc>
          <w:tcPr>
            <w:tcW w:w="28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p>
        </w:tc>
        <w:tc>
          <w:tcPr>
            <w:tcW w:w="23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p>
        </w:tc>
      </w:tr>
      <w:tr>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p>
        </w:tc>
        <w:tc>
          <w:tcPr>
            <w:tcW w:w="2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p>
        </w:tc>
        <w:tc>
          <w:tcPr>
            <w:tcW w:w="28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p>
        </w:tc>
        <w:tc>
          <w:tcPr>
            <w:tcW w:w="23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p>
        </w:tc>
      </w:tr>
      <w:tr>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p>
        </w:tc>
        <w:tc>
          <w:tcPr>
            <w:tcW w:w="2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p>
        </w:tc>
        <w:tc>
          <w:tcPr>
            <w:tcW w:w="28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p>
        </w:tc>
        <w:tc>
          <w:tcPr>
            <w:tcW w:w="23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p>
        </w:tc>
      </w:tr>
      <w:tr>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p>
        </w:tc>
        <w:tc>
          <w:tcPr>
            <w:tcW w:w="2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p>
        </w:tc>
        <w:tc>
          <w:tcPr>
            <w:tcW w:w="28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p>
        </w:tc>
        <w:tc>
          <w:tcPr>
            <w:tcW w:w="23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p>
        </w:tc>
      </w:tr>
      <w:tr>
        <w:tblPrEx>
          <w:tblCellMar>
            <w:top w:w="0" w:type="dxa"/>
            <w:left w:w="10" w:type="dxa"/>
            <w:bottom w:w="0" w:type="dxa"/>
            <w:right w:w="10" w:type="dxa"/>
          </w:tblCellMar>
        </w:tblPrEx>
        <w:trPr>
          <w:trHeight w:val="284"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p>
        </w:tc>
        <w:tc>
          <w:tcPr>
            <w:tcW w:w="2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p>
        </w:tc>
        <w:tc>
          <w:tcPr>
            <w:tcW w:w="28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p>
        </w:tc>
        <w:tc>
          <w:tcPr>
            <w:tcW w:w="23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p>
        </w:tc>
        <w:tc>
          <w:tcPr>
            <w:tcW w:w="10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auto"/>
                <w:szCs w:val="21"/>
                <w:highlight w:val="none"/>
                <w:lang w:val="zh-CN"/>
              </w:rPr>
            </w:pPr>
          </w:p>
        </w:tc>
      </w:tr>
    </w:tbl>
    <w:p>
      <w:pPr>
        <w:autoSpaceDE w:val="0"/>
        <w:autoSpaceDN w:val="0"/>
        <w:adjustRightInd w:val="0"/>
        <w:rPr>
          <w:rFonts w:ascii="宋体" w:hAnsi="宋体" w:cs="宋体"/>
          <w:color w:val="auto"/>
          <w:szCs w:val="21"/>
          <w:highlight w:val="none"/>
          <w:lang w:val="zh-CN"/>
        </w:rPr>
      </w:pPr>
    </w:p>
    <w:p>
      <w:pPr>
        <w:widowControl/>
        <w:shd w:val="clear" w:color="auto" w:fill="FFFFFF"/>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供应商（盖章）:</w:t>
      </w:r>
      <w:r>
        <w:rPr>
          <w:rFonts w:hint="eastAsia" w:ascii="宋体" w:hAnsi="宋体" w:cs="宋体"/>
          <w:color w:val="auto"/>
          <w:kern w:val="0"/>
          <w:szCs w:val="21"/>
          <w:highlight w:val="none"/>
          <w:u w:val="single"/>
        </w:rPr>
        <w:t xml:space="preserve">            </w:t>
      </w:r>
    </w:p>
    <w:p>
      <w:pPr>
        <w:widowControl/>
        <w:shd w:val="clear" w:color="auto" w:fill="FFFFFF"/>
        <w:spacing w:line="360" w:lineRule="auto"/>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授权代表（签字）：</w:t>
      </w:r>
      <w:r>
        <w:rPr>
          <w:rFonts w:hint="eastAsia" w:ascii="宋体" w:hAnsi="宋体" w:cs="宋体"/>
          <w:color w:val="auto"/>
          <w:kern w:val="0"/>
          <w:szCs w:val="21"/>
          <w:highlight w:val="none"/>
          <w:u w:val="single"/>
        </w:rPr>
        <w:t>          </w:t>
      </w:r>
    </w:p>
    <w:p>
      <w:pPr>
        <w:widowControl/>
        <w:shd w:val="clear" w:color="auto" w:fill="FFFFFF"/>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日    期：   年    月    日</w:t>
      </w:r>
    </w:p>
    <w:p>
      <w:pPr>
        <w:keepNext/>
        <w:keepLines/>
        <w:numPr>
          <w:ilvl w:val="1"/>
          <w:numId w:val="0"/>
        </w:numPr>
        <w:spacing w:before="120" w:after="120"/>
        <w:jc w:val="left"/>
        <w:outlineLvl w:val="1"/>
        <w:rPr>
          <w:rFonts w:ascii="宋体" w:hAnsi="宋体" w:cs="宋体"/>
          <w:b/>
          <w:bCs/>
          <w:color w:val="auto"/>
          <w:kern w:val="0"/>
          <w:szCs w:val="21"/>
          <w:highlight w:val="none"/>
        </w:rPr>
      </w:pPr>
      <w:bookmarkStart w:id="75" w:name="_Toc504056876"/>
      <w:bookmarkStart w:id="76" w:name="_Toc534273808"/>
      <w:bookmarkStart w:id="77" w:name="_Toc534273685"/>
      <w:bookmarkStart w:id="78" w:name="_Toc504044388"/>
      <w:bookmarkStart w:id="79" w:name="_Toc490133036"/>
      <w:bookmarkStart w:id="80" w:name="_Toc504573091"/>
      <w:r>
        <w:rPr>
          <w:rFonts w:hint="eastAsia" w:ascii="宋体" w:hAnsi="宋体" w:cs="宋体"/>
          <w:b/>
          <w:bCs/>
          <w:color w:val="auto"/>
          <w:kern w:val="0"/>
          <w:szCs w:val="21"/>
          <w:highlight w:val="none"/>
        </w:rPr>
        <w:t>附件三、企业声明函格式</w:t>
      </w:r>
      <w:bookmarkEnd w:id="75"/>
      <w:bookmarkEnd w:id="76"/>
      <w:bookmarkEnd w:id="77"/>
      <w:bookmarkEnd w:id="78"/>
      <w:bookmarkEnd w:id="79"/>
      <w:bookmarkEnd w:id="80"/>
    </w:p>
    <w:p>
      <w:pPr>
        <w:rPr>
          <w:color w:val="auto"/>
          <w:szCs w:val="20"/>
          <w:highlight w:val="none"/>
        </w:rPr>
      </w:pPr>
    </w:p>
    <w:p>
      <w:pPr>
        <w:widowControl/>
        <w:shd w:val="clear" w:color="auto" w:fill="FFFFFF"/>
        <w:spacing w:before="240" w:beforeLines="100" w:line="360" w:lineRule="auto"/>
        <w:jc w:val="center"/>
        <w:rPr>
          <w:rFonts w:ascii="宋体" w:hAnsi="宋体"/>
          <w:b/>
          <w:color w:val="auto"/>
          <w:kern w:val="0"/>
          <w:sz w:val="36"/>
          <w:szCs w:val="36"/>
          <w:highlight w:val="none"/>
        </w:rPr>
      </w:pPr>
      <w:r>
        <w:rPr>
          <w:rFonts w:hint="eastAsia" w:ascii="宋体" w:hAnsi="宋体"/>
          <w:b/>
          <w:color w:val="auto"/>
          <w:kern w:val="0"/>
          <w:sz w:val="36"/>
          <w:szCs w:val="36"/>
          <w:highlight w:val="none"/>
        </w:rPr>
        <w:t>中小企业声明函</w:t>
      </w:r>
    </w:p>
    <w:p>
      <w:pPr>
        <w:ind w:firstLine="630" w:firstLineChars="300"/>
        <w:rPr>
          <w:rFonts w:ascii="宋体" w:hAnsi="宋体"/>
          <w:color w:val="auto"/>
          <w:szCs w:val="21"/>
          <w:highlight w:val="none"/>
        </w:rPr>
      </w:pPr>
      <w:r>
        <w:rPr>
          <w:rFonts w:hint="eastAsia" w:ascii="宋体" w:hAnsi="宋体" w:cs="宋体"/>
          <w:color w:val="auto"/>
          <w:kern w:val="0"/>
          <w:szCs w:val="21"/>
          <w:highlight w:val="none"/>
        </w:rPr>
        <w:t xml:space="preserve">   </w:t>
      </w:r>
      <w:r>
        <w:rPr>
          <w:rFonts w:hint="eastAsia" w:ascii="宋体" w:hAnsi="宋体"/>
          <w:color w:val="auto"/>
          <w:szCs w:val="21"/>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ind w:firstLine="525" w:firstLineChars="250"/>
        <w:rPr>
          <w:rFonts w:ascii="宋体" w:hAnsi="宋体"/>
          <w:color w:val="auto"/>
          <w:szCs w:val="21"/>
          <w:highlight w:val="none"/>
        </w:rPr>
      </w:pPr>
      <w:r>
        <w:rPr>
          <w:rFonts w:hint="eastAsia" w:ascii="宋体" w:hAnsi="宋体"/>
          <w:color w:val="auto"/>
          <w:szCs w:val="21"/>
          <w:highlight w:val="none"/>
        </w:rPr>
        <w:t xml:space="preserve">1. </w:t>
      </w:r>
      <w:r>
        <w:rPr>
          <w:rFonts w:hint="eastAsia" w:ascii="宋体" w:hAnsi="宋体"/>
          <w:color w:val="auto"/>
          <w:szCs w:val="21"/>
          <w:highlight w:val="none"/>
          <w:u w:val="single"/>
        </w:rPr>
        <w:t>（标的名称）</w:t>
      </w:r>
      <w:r>
        <w:rPr>
          <w:rFonts w:hint="eastAsia" w:ascii="宋体" w:hAnsi="宋体"/>
          <w:color w:val="auto"/>
          <w:szCs w:val="21"/>
          <w:highlight w:val="none"/>
        </w:rPr>
        <w:t xml:space="preserve"> ，属于</w:t>
      </w:r>
      <w:r>
        <w:rPr>
          <w:rFonts w:hint="eastAsia" w:ascii="宋体" w:hAnsi="宋体"/>
          <w:color w:val="auto"/>
          <w:szCs w:val="21"/>
          <w:highlight w:val="none"/>
          <w:u w:val="single"/>
        </w:rPr>
        <w:t>（采购文件中明确的所属行业）</w:t>
      </w:r>
      <w:r>
        <w:rPr>
          <w:rFonts w:hint="eastAsia" w:ascii="宋体" w:hAnsi="宋体"/>
          <w:color w:val="auto"/>
          <w:szCs w:val="21"/>
          <w:highlight w:val="none"/>
        </w:rPr>
        <w:t>；承建（承接）企业为</w:t>
      </w:r>
      <w:r>
        <w:rPr>
          <w:rFonts w:hint="eastAsia" w:ascii="宋体" w:hAnsi="宋体"/>
          <w:color w:val="auto"/>
          <w:szCs w:val="21"/>
          <w:highlight w:val="none"/>
          <w:u w:val="single"/>
        </w:rPr>
        <w:t>（企业名称）</w:t>
      </w:r>
      <w:r>
        <w:rPr>
          <w:rFonts w:hint="eastAsia" w:ascii="宋体" w:hAnsi="宋体"/>
          <w:color w:val="auto"/>
          <w:szCs w:val="21"/>
          <w:highlight w:val="none"/>
        </w:rPr>
        <w:t xml:space="preserve">，从业人员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万元，资产总额为 </w:t>
      </w:r>
      <w:r>
        <w:rPr>
          <w:rFonts w:ascii="宋体" w:hAnsi="宋体"/>
          <w:color w:val="auto"/>
          <w:szCs w:val="21"/>
          <w:highlight w:val="none"/>
          <w:u w:val="single"/>
        </w:rPr>
        <w:t xml:space="preserve">      </w:t>
      </w:r>
      <w:r>
        <w:rPr>
          <w:rFonts w:hint="eastAsia" w:ascii="宋体" w:hAnsi="宋体"/>
          <w:color w:val="auto"/>
          <w:szCs w:val="21"/>
          <w:highlight w:val="none"/>
        </w:rPr>
        <w:t>万元,属于（中型企业、小型企业、微型企业）；</w:t>
      </w:r>
    </w:p>
    <w:p>
      <w:pPr>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 xml:space="preserve"> （标的名称）</w:t>
      </w:r>
      <w:r>
        <w:rPr>
          <w:rFonts w:hint="eastAsia" w:ascii="宋体" w:hAnsi="宋体"/>
          <w:color w:val="auto"/>
          <w:szCs w:val="21"/>
          <w:highlight w:val="none"/>
        </w:rPr>
        <w:t xml:space="preserve"> ，属于</w:t>
      </w:r>
      <w:r>
        <w:rPr>
          <w:rFonts w:hint="eastAsia" w:ascii="宋体" w:hAnsi="宋体"/>
          <w:color w:val="auto"/>
          <w:szCs w:val="21"/>
          <w:highlight w:val="none"/>
          <w:u w:val="single"/>
        </w:rPr>
        <w:t>（采购文件中明确的所属行业）</w:t>
      </w:r>
      <w:r>
        <w:rPr>
          <w:rFonts w:hint="eastAsia" w:ascii="宋体" w:hAnsi="宋体"/>
          <w:color w:val="auto"/>
          <w:szCs w:val="21"/>
          <w:highlight w:val="none"/>
        </w:rPr>
        <w:t>；承建（承接）企业为</w:t>
      </w:r>
      <w:r>
        <w:rPr>
          <w:rFonts w:hint="eastAsia" w:ascii="宋体" w:hAnsi="宋体"/>
          <w:color w:val="auto"/>
          <w:szCs w:val="21"/>
          <w:highlight w:val="none"/>
          <w:u w:val="single"/>
        </w:rPr>
        <w:t>（企业名称）</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hint="eastAsia" w:ascii="宋体" w:hAnsi="宋体"/>
          <w:color w:val="auto"/>
          <w:szCs w:val="21"/>
          <w:highlight w:val="none"/>
        </w:rPr>
        <w:t>万元，属于（中型企业、小型企业、微型企业）；</w:t>
      </w:r>
    </w:p>
    <w:p>
      <w:pPr>
        <w:rPr>
          <w:rFonts w:ascii="宋体" w:hAnsi="宋体"/>
          <w:color w:val="auto"/>
          <w:szCs w:val="21"/>
          <w:highlight w:val="none"/>
        </w:rPr>
      </w:pPr>
      <w:r>
        <w:rPr>
          <w:rFonts w:hint="eastAsia" w:ascii="宋体" w:hAnsi="宋体"/>
          <w:color w:val="auto"/>
          <w:szCs w:val="21"/>
          <w:highlight w:val="none"/>
        </w:rPr>
        <w:t>……</w:t>
      </w:r>
    </w:p>
    <w:p>
      <w:pPr>
        <w:ind w:firstLine="420" w:firstLineChars="200"/>
        <w:rPr>
          <w:rFonts w:ascii="宋体" w:hAnsi="宋体"/>
          <w:color w:val="auto"/>
          <w:szCs w:val="21"/>
          <w:highlight w:val="none"/>
        </w:rPr>
      </w:pPr>
      <w:r>
        <w:rPr>
          <w:rFonts w:hint="eastAsia" w:ascii="宋体" w:hAnsi="宋体"/>
          <w:color w:val="auto"/>
          <w:szCs w:val="21"/>
          <w:highlight w:val="none"/>
        </w:rPr>
        <w:t>以上企业，不属于大企业的分支机构，不存在控股股东为大企业的情形，也不存在与大企业的负责人为同一人的情形。</w:t>
      </w:r>
    </w:p>
    <w:p>
      <w:pPr>
        <w:ind w:firstLine="420" w:firstLineChars="200"/>
        <w:rPr>
          <w:rFonts w:ascii="宋体" w:hAnsi="宋体"/>
          <w:color w:val="auto"/>
          <w:szCs w:val="21"/>
          <w:highlight w:val="none"/>
        </w:rPr>
      </w:pPr>
      <w:r>
        <w:rPr>
          <w:rFonts w:hint="eastAsia" w:ascii="宋体" w:hAnsi="宋体"/>
          <w:color w:val="auto"/>
          <w:szCs w:val="21"/>
          <w:highlight w:val="none"/>
        </w:rPr>
        <w:t>本企业对上述声明内容的真实性负责。如有虚假，将依法承担相应责任。</w:t>
      </w:r>
    </w:p>
    <w:p>
      <w:pPr>
        <w:ind w:firstLine="4620" w:firstLineChars="2200"/>
        <w:rPr>
          <w:rFonts w:ascii="宋体" w:hAnsi="宋体"/>
          <w:color w:val="auto"/>
          <w:szCs w:val="21"/>
          <w:highlight w:val="none"/>
        </w:rPr>
      </w:pPr>
    </w:p>
    <w:p>
      <w:pPr>
        <w:ind w:firstLine="4620" w:firstLineChars="2200"/>
        <w:rPr>
          <w:rFonts w:ascii="宋体" w:hAnsi="宋体"/>
          <w:color w:val="auto"/>
          <w:szCs w:val="21"/>
          <w:highlight w:val="none"/>
        </w:rPr>
      </w:pPr>
      <w:r>
        <w:rPr>
          <w:rFonts w:hint="eastAsia" w:ascii="宋体" w:hAnsi="宋体"/>
          <w:color w:val="auto"/>
          <w:szCs w:val="21"/>
          <w:highlight w:val="none"/>
        </w:rPr>
        <w:t>企业名称（盖章）：</w:t>
      </w:r>
    </w:p>
    <w:p>
      <w:pPr>
        <w:ind w:firstLine="4725" w:firstLineChars="2250"/>
        <w:rPr>
          <w:rFonts w:ascii="宋体" w:hAnsi="宋体"/>
          <w:color w:val="auto"/>
          <w:szCs w:val="21"/>
          <w:highlight w:val="none"/>
        </w:rPr>
      </w:pPr>
      <w:r>
        <w:rPr>
          <w:rFonts w:hint="eastAsia" w:ascii="宋体" w:hAnsi="宋体"/>
          <w:color w:val="auto"/>
          <w:szCs w:val="21"/>
          <w:highlight w:val="none"/>
        </w:rPr>
        <w:t>日 期：</w:t>
      </w:r>
    </w:p>
    <w:p>
      <w:pPr>
        <w:rPr>
          <w:color w:val="auto"/>
          <w:sz w:val="18"/>
          <w:szCs w:val="18"/>
          <w:highlight w:val="none"/>
        </w:rPr>
      </w:pPr>
      <w:r>
        <w:rPr>
          <w:rFonts w:hint="eastAsia"/>
          <w:color w:val="auto"/>
          <w:sz w:val="18"/>
          <w:szCs w:val="18"/>
          <w:highlight w:val="none"/>
        </w:rPr>
        <w:t>注</w:t>
      </w:r>
      <w:r>
        <w:rPr>
          <w:color w:val="auto"/>
          <w:sz w:val="18"/>
          <w:szCs w:val="18"/>
          <w:highlight w:val="none"/>
        </w:rPr>
        <w:t>：</w:t>
      </w:r>
      <w:r>
        <w:rPr>
          <w:rFonts w:hint="eastAsia"/>
          <w:color w:val="auto"/>
          <w:sz w:val="18"/>
          <w:szCs w:val="18"/>
          <w:highlight w:val="none"/>
        </w:rPr>
        <w:t>从业人员、营业收入、资产总额填报上一年度数据，无上一年度数据的新成立企业可不填报。</w:t>
      </w:r>
    </w:p>
    <w:p>
      <w:pPr>
        <w:spacing w:line="360" w:lineRule="auto"/>
        <w:jc w:val="center"/>
        <w:rPr>
          <w:rFonts w:ascii="宋体"/>
          <w:b/>
          <w:bCs/>
          <w:color w:val="auto"/>
          <w:sz w:val="28"/>
          <w:szCs w:val="24"/>
          <w:highlight w:val="none"/>
        </w:rPr>
      </w:pPr>
    </w:p>
    <w:p>
      <w:pPr>
        <w:widowControl/>
        <w:shd w:val="clear" w:color="auto" w:fill="FFFFFF"/>
        <w:spacing w:line="360" w:lineRule="auto"/>
        <w:rPr>
          <w:rFonts w:ascii="宋体" w:hAnsi="宋体" w:cs="宋体"/>
          <w:color w:val="auto"/>
          <w:kern w:val="0"/>
          <w:szCs w:val="21"/>
          <w:highlight w:val="none"/>
        </w:rPr>
      </w:pPr>
    </w:p>
    <w:p>
      <w:pPr>
        <w:widowControl/>
        <w:shd w:val="clear" w:color="auto" w:fill="FFFFFF"/>
        <w:spacing w:before="240" w:beforeLines="100" w:line="360" w:lineRule="auto"/>
        <w:jc w:val="center"/>
        <w:rPr>
          <w:rFonts w:ascii="宋体" w:hAnsi="宋体"/>
          <w:b/>
          <w:color w:val="auto"/>
          <w:kern w:val="0"/>
          <w:sz w:val="36"/>
          <w:szCs w:val="36"/>
          <w:highlight w:val="none"/>
        </w:rPr>
      </w:pPr>
      <w:bookmarkStart w:id="81" w:name="OLE_LINK14"/>
      <w:bookmarkStart w:id="82" w:name="OLE_LINK13"/>
      <w:r>
        <w:rPr>
          <w:rFonts w:hint="eastAsia" w:ascii="宋体" w:hAnsi="宋体"/>
          <w:b/>
          <w:color w:val="auto"/>
          <w:kern w:val="0"/>
          <w:sz w:val="36"/>
          <w:szCs w:val="36"/>
          <w:highlight w:val="none"/>
        </w:rPr>
        <w:t>残疾人福利性单位声明函</w:t>
      </w:r>
    </w:p>
    <w:bookmarkEnd w:id="81"/>
    <w:bookmarkEnd w:id="82"/>
    <w:p>
      <w:pPr>
        <w:widowControl/>
        <w:spacing w:line="400" w:lineRule="exact"/>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400" w:lineRule="exact"/>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本单位对上述声明的真实性负责。如有虚假，将依法承担相应责任。</w:t>
      </w:r>
    </w:p>
    <w:p>
      <w:pPr>
        <w:widowControl/>
        <w:spacing w:line="440" w:lineRule="exact"/>
        <w:ind w:firstLine="5040" w:firstLineChars="2400"/>
        <w:jc w:val="left"/>
        <w:rPr>
          <w:rFonts w:ascii="宋体" w:hAnsi="宋体" w:cs="宋体"/>
          <w:snapToGrid w:val="0"/>
          <w:color w:val="auto"/>
          <w:kern w:val="0"/>
          <w:szCs w:val="21"/>
          <w:highlight w:val="none"/>
        </w:rPr>
      </w:pPr>
    </w:p>
    <w:p>
      <w:pPr>
        <w:widowControl/>
        <w:spacing w:line="440" w:lineRule="exact"/>
        <w:ind w:firstLine="5040" w:firstLineChars="2400"/>
        <w:jc w:val="left"/>
        <w:rPr>
          <w:rFonts w:ascii="宋体" w:hAnsi="宋体" w:cs="宋体"/>
          <w:snapToGrid w:val="0"/>
          <w:color w:val="auto"/>
          <w:kern w:val="0"/>
          <w:szCs w:val="21"/>
          <w:highlight w:val="none"/>
        </w:rPr>
      </w:pPr>
    </w:p>
    <w:p>
      <w:pPr>
        <w:widowControl/>
        <w:spacing w:line="440" w:lineRule="exact"/>
        <w:ind w:firstLine="5040" w:firstLineChars="2400"/>
        <w:jc w:val="left"/>
        <w:rPr>
          <w:rFonts w:ascii="宋体" w:hAnsi="宋体" w:cs="宋体"/>
          <w:snapToGrid w:val="0"/>
          <w:color w:val="auto"/>
          <w:kern w:val="0"/>
          <w:szCs w:val="21"/>
          <w:highlight w:val="none"/>
        </w:rPr>
      </w:pPr>
    </w:p>
    <w:p>
      <w:pPr>
        <w:widowControl/>
        <w:shd w:val="clear" w:color="auto" w:fill="FFFFFF"/>
        <w:spacing w:line="360" w:lineRule="auto"/>
        <w:ind w:firstLine="3990" w:firstLineChars="1900"/>
        <w:jc w:val="left"/>
        <w:rPr>
          <w:rFonts w:ascii="宋体" w:hAnsi="宋体" w:cs="宋体"/>
          <w:color w:val="auto"/>
          <w:kern w:val="0"/>
          <w:szCs w:val="21"/>
          <w:highlight w:val="none"/>
        </w:rPr>
      </w:pPr>
      <w:r>
        <w:rPr>
          <w:rFonts w:hint="eastAsia" w:ascii="宋体" w:hAnsi="宋体" w:cs="宋体"/>
          <w:color w:val="auto"/>
          <w:kern w:val="0"/>
          <w:szCs w:val="21"/>
          <w:highlight w:val="none"/>
        </w:rPr>
        <w:t>供应商（盖章）:</w:t>
      </w:r>
      <w:r>
        <w:rPr>
          <w:rFonts w:hint="eastAsia" w:ascii="宋体" w:hAnsi="宋体" w:cs="宋体"/>
          <w:color w:val="auto"/>
          <w:kern w:val="0"/>
          <w:szCs w:val="21"/>
          <w:highlight w:val="none"/>
          <w:u w:val="single"/>
        </w:rPr>
        <w:t xml:space="preserve">            </w:t>
      </w:r>
    </w:p>
    <w:p>
      <w:pPr>
        <w:widowControl/>
        <w:shd w:val="clear" w:color="auto" w:fill="FFFFFF"/>
        <w:spacing w:line="360" w:lineRule="auto"/>
        <w:ind w:firstLine="3990" w:firstLineChars="1900"/>
        <w:jc w:val="left"/>
        <w:rPr>
          <w:rFonts w:ascii="宋体" w:hAnsi="宋体" w:cs="宋体"/>
          <w:b/>
          <w:bCs/>
          <w:color w:val="auto"/>
          <w:szCs w:val="21"/>
          <w:highlight w:val="none"/>
        </w:rPr>
      </w:pPr>
      <w:r>
        <w:rPr>
          <w:rFonts w:hint="eastAsia" w:ascii="宋体" w:hAnsi="宋体" w:cs="宋体"/>
          <w:color w:val="auto"/>
          <w:kern w:val="0"/>
          <w:szCs w:val="21"/>
          <w:highlight w:val="none"/>
        </w:rPr>
        <w:t>日    期：   年    月    日</w:t>
      </w:r>
    </w:p>
    <w:p>
      <w:pPr>
        <w:widowControl/>
        <w:shd w:val="clear" w:color="auto" w:fill="FFFFFF"/>
        <w:spacing w:before="240" w:beforeLines="100" w:line="360" w:lineRule="auto"/>
        <w:jc w:val="center"/>
        <w:rPr>
          <w:rFonts w:ascii="宋体" w:hAnsi="宋体"/>
          <w:b/>
          <w:color w:val="auto"/>
          <w:kern w:val="0"/>
          <w:sz w:val="36"/>
          <w:szCs w:val="36"/>
          <w:highlight w:val="none"/>
        </w:rPr>
      </w:pPr>
    </w:p>
    <w:p>
      <w:pPr>
        <w:widowControl/>
        <w:shd w:val="clear" w:color="auto" w:fill="FFFFFF"/>
        <w:spacing w:before="240" w:beforeLines="100" w:line="360" w:lineRule="auto"/>
        <w:jc w:val="center"/>
        <w:rPr>
          <w:rFonts w:ascii="宋体" w:hAnsi="宋体"/>
          <w:b/>
          <w:color w:val="auto"/>
          <w:kern w:val="0"/>
          <w:sz w:val="36"/>
          <w:szCs w:val="36"/>
          <w:highlight w:val="none"/>
        </w:rPr>
      </w:pPr>
      <w:r>
        <w:rPr>
          <w:rFonts w:hint="eastAsia" w:ascii="宋体" w:hAnsi="宋体"/>
          <w:b/>
          <w:color w:val="auto"/>
          <w:kern w:val="0"/>
          <w:sz w:val="36"/>
          <w:szCs w:val="36"/>
          <w:highlight w:val="none"/>
        </w:rPr>
        <w:t>属于监狱企业的证明文件</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（提供由省级以上监狱管理局、戒毒管理局(含新疆生产建设兵团)出具的属于监狱企业的证明文件）</w:t>
      </w:r>
    </w:p>
    <w:p>
      <w:pPr>
        <w:spacing w:line="360" w:lineRule="auto"/>
        <w:rPr>
          <w:rFonts w:ascii="宋体" w:hAnsi="宋体" w:cs="宋体"/>
          <w:b/>
          <w:bCs/>
          <w:color w:val="auto"/>
          <w:szCs w:val="21"/>
          <w:highlight w:val="none"/>
        </w:rPr>
      </w:pPr>
    </w:p>
    <w:p>
      <w:pPr>
        <w:spacing w:line="360" w:lineRule="auto"/>
        <w:rPr>
          <w:rFonts w:ascii="宋体" w:hAnsi="宋体" w:cs="宋体"/>
          <w:b/>
          <w:bCs/>
          <w:color w:val="auto"/>
          <w:szCs w:val="21"/>
          <w:highlight w:val="none"/>
        </w:rPr>
      </w:pPr>
    </w:p>
    <w:p>
      <w:pPr>
        <w:spacing w:line="360" w:lineRule="auto"/>
        <w:rPr>
          <w:rFonts w:ascii="宋体" w:hAnsi="宋体" w:cs="宋体"/>
          <w:b/>
          <w:bCs/>
          <w:color w:val="auto"/>
          <w:szCs w:val="21"/>
          <w:highlight w:val="none"/>
        </w:rPr>
      </w:pPr>
    </w:p>
    <w:p>
      <w:pPr>
        <w:spacing w:line="360" w:lineRule="auto"/>
        <w:rPr>
          <w:rFonts w:ascii="宋体" w:hAnsi="宋体" w:cs="宋体"/>
          <w:b/>
          <w:bCs/>
          <w:color w:val="auto"/>
          <w:szCs w:val="21"/>
          <w:highlight w:val="none"/>
        </w:rPr>
      </w:pPr>
    </w:p>
    <w:p>
      <w:pPr>
        <w:spacing w:line="360" w:lineRule="auto"/>
        <w:rPr>
          <w:rFonts w:ascii="宋体" w:hAnsi="宋体" w:cs="宋体"/>
          <w:b/>
          <w:bCs/>
          <w:color w:val="auto"/>
          <w:szCs w:val="21"/>
          <w:highlight w:val="none"/>
        </w:rPr>
      </w:pPr>
    </w:p>
    <w:p>
      <w:pPr>
        <w:spacing w:line="360" w:lineRule="auto"/>
        <w:jc w:val="center"/>
        <w:rPr>
          <w:rFonts w:ascii="宋体" w:hAnsi="宋体"/>
          <w:b/>
          <w:color w:val="auto"/>
          <w:kern w:val="0"/>
          <w:sz w:val="36"/>
          <w:szCs w:val="36"/>
          <w:highlight w:val="none"/>
        </w:rPr>
      </w:pPr>
      <w:r>
        <w:rPr>
          <w:rFonts w:hint="eastAsia" w:ascii="宋体" w:hAnsi="宋体"/>
          <w:b/>
          <w:color w:val="auto"/>
          <w:kern w:val="0"/>
          <w:sz w:val="36"/>
          <w:szCs w:val="36"/>
          <w:highlight w:val="none"/>
        </w:rPr>
        <w:t>节能产品认证证书</w:t>
      </w:r>
    </w:p>
    <w:p>
      <w:pPr>
        <w:widowControl/>
        <w:shd w:val="clear" w:color="auto" w:fill="FFFFFF"/>
        <w:spacing w:before="240" w:beforeLines="100" w:line="360" w:lineRule="auto"/>
        <w:rPr>
          <w:rFonts w:ascii="宋体" w:hAnsi="宋体" w:cs="宋体"/>
          <w:bCs/>
          <w:color w:val="auto"/>
          <w:szCs w:val="21"/>
          <w:highlight w:val="none"/>
        </w:rPr>
      </w:pPr>
      <w:r>
        <w:rPr>
          <w:rFonts w:hint="eastAsia" w:ascii="宋体" w:hAnsi="宋体"/>
          <w:bCs/>
          <w:color w:val="auto"/>
          <w:szCs w:val="20"/>
          <w:highlight w:val="none"/>
        </w:rPr>
        <w:t>（提供国家确定的认证机构出具的、处于有效期之内的产品认证证书）</w:t>
      </w:r>
    </w:p>
    <w:p>
      <w:pPr>
        <w:spacing w:line="360" w:lineRule="auto"/>
        <w:rPr>
          <w:rFonts w:ascii="宋体" w:hAnsi="宋体" w:cs="宋体"/>
          <w:b/>
          <w:bCs/>
          <w:color w:val="auto"/>
          <w:szCs w:val="21"/>
          <w:highlight w:val="none"/>
        </w:rPr>
      </w:pPr>
    </w:p>
    <w:p>
      <w:pPr>
        <w:spacing w:line="360" w:lineRule="auto"/>
        <w:rPr>
          <w:rFonts w:ascii="宋体" w:hAnsi="宋体" w:cs="宋体"/>
          <w:b/>
          <w:bCs/>
          <w:color w:val="auto"/>
          <w:szCs w:val="21"/>
          <w:highlight w:val="none"/>
        </w:rPr>
      </w:pPr>
    </w:p>
    <w:p>
      <w:pPr>
        <w:spacing w:line="360" w:lineRule="auto"/>
        <w:rPr>
          <w:rFonts w:ascii="宋体" w:hAnsi="宋体" w:cs="宋体"/>
          <w:b/>
          <w:bCs/>
          <w:color w:val="auto"/>
          <w:szCs w:val="21"/>
          <w:highlight w:val="none"/>
        </w:rPr>
      </w:pPr>
    </w:p>
    <w:p>
      <w:pPr>
        <w:spacing w:line="360" w:lineRule="auto"/>
        <w:rPr>
          <w:rFonts w:ascii="宋体" w:hAnsi="宋体" w:cs="宋体"/>
          <w:b/>
          <w:bCs/>
          <w:color w:val="auto"/>
          <w:szCs w:val="21"/>
          <w:highlight w:val="none"/>
        </w:rPr>
      </w:pPr>
    </w:p>
    <w:p>
      <w:pPr>
        <w:spacing w:line="360" w:lineRule="auto"/>
        <w:rPr>
          <w:rFonts w:ascii="宋体" w:hAnsi="宋体" w:cs="宋体"/>
          <w:b/>
          <w:bCs/>
          <w:color w:val="auto"/>
          <w:szCs w:val="21"/>
          <w:highlight w:val="none"/>
        </w:rPr>
      </w:pPr>
    </w:p>
    <w:p>
      <w:pPr>
        <w:spacing w:line="360" w:lineRule="auto"/>
        <w:jc w:val="center"/>
        <w:rPr>
          <w:rFonts w:ascii="宋体" w:hAnsi="宋体"/>
          <w:b/>
          <w:bCs/>
          <w:color w:val="auto"/>
          <w:szCs w:val="20"/>
          <w:highlight w:val="none"/>
        </w:rPr>
      </w:pPr>
      <w:r>
        <w:rPr>
          <w:rFonts w:hint="eastAsia" w:ascii="宋体" w:hAnsi="宋体"/>
          <w:b/>
          <w:color w:val="auto"/>
          <w:kern w:val="0"/>
          <w:sz w:val="36"/>
          <w:szCs w:val="36"/>
          <w:highlight w:val="none"/>
        </w:rPr>
        <w:t>环境标志产品认证证书</w:t>
      </w:r>
    </w:p>
    <w:p>
      <w:pPr>
        <w:widowControl/>
        <w:shd w:val="clear" w:color="auto" w:fill="FFFFFF"/>
        <w:spacing w:before="240" w:beforeLines="100" w:line="360" w:lineRule="auto"/>
        <w:rPr>
          <w:rFonts w:ascii="宋体" w:hAnsi="宋体" w:cs="宋体"/>
          <w:color w:val="auto"/>
          <w:szCs w:val="21"/>
          <w:highlight w:val="none"/>
        </w:rPr>
      </w:pPr>
      <w:r>
        <w:rPr>
          <w:rFonts w:hint="eastAsia" w:ascii="宋体" w:hAnsi="宋体"/>
          <w:bCs/>
          <w:color w:val="auto"/>
          <w:szCs w:val="20"/>
          <w:highlight w:val="none"/>
        </w:rPr>
        <w:t>（提供国家确定的认证机构出具的、处于有效期之内的产品认证证书）</w:t>
      </w:r>
    </w:p>
    <w:p>
      <w:pPr>
        <w:spacing w:line="360" w:lineRule="auto"/>
        <w:rPr>
          <w:rFonts w:ascii="宋体" w:hAnsi="宋体" w:cs="宋体"/>
          <w:b/>
          <w:bCs/>
          <w:color w:val="auto"/>
          <w:szCs w:val="21"/>
          <w:highlight w:val="none"/>
        </w:rPr>
      </w:pPr>
    </w:p>
    <w:p>
      <w:pPr>
        <w:spacing w:line="360" w:lineRule="auto"/>
        <w:rPr>
          <w:rFonts w:ascii="宋体" w:hAnsi="宋体" w:cs="宋体"/>
          <w:b/>
          <w:bCs/>
          <w:color w:val="auto"/>
          <w:szCs w:val="21"/>
          <w:highlight w:val="none"/>
        </w:rPr>
      </w:pPr>
    </w:p>
    <w:p>
      <w:pPr>
        <w:spacing w:line="360" w:lineRule="auto"/>
        <w:rPr>
          <w:rFonts w:ascii="宋体" w:hAnsi="宋体" w:cs="宋体"/>
          <w:b/>
          <w:bCs/>
          <w:color w:val="auto"/>
          <w:szCs w:val="21"/>
          <w:highlight w:val="none"/>
        </w:rPr>
      </w:pPr>
    </w:p>
    <w:p>
      <w:pPr>
        <w:spacing w:line="360" w:lineRule="auto"/>
        <w:rPr>
          <w:rFonts w:ascii="宋体" w:hAnsi="宋体" w:cs="宋体"/>
          <w:b/>
          <w:bCs/>
          <w:color w:val="auto"/>
          <w:szCs w:val="21"/>
          <w:highlight w:val="none"/>
        </w:rPr>
      </w:pPr>
    </w:p>
    <w:p>
      <w:pPr>
        <w:spacing w:line="360" w:lineRule="auto"/>
        <w:rPr>
          <w:rFonts w:ascii="宋体" w:hAnsi="宋体" w:cs="宋体"/>
          <w:b/>
          <w:bCs/>
          <w:color w:val="auto"/>
          <w:szCs w:val="21"/>
          <w:highlight w:val="none"/>
        </w:rPr>
      </w:pPr>
    </w:p>
    <w:p>
      <w:pPr>
        <w:widowControl/>
        <w:shd w:val="clear" w:color="auto" w:fill="FFFFFF"/>
        <w:spacing w:before="240" w:beforeLines="100" w:line="360" w:lineRule="auto"/>
        <w:jc w:val="center"/>
        <w:rPr>
          <w:rFonts w:ascii="宋体" w:hAnsi="宋体"/>
          <w:b/>
          <w:color w:val="auto"/>
          <w:kern w:val="0"/>
          <w:sz w:val="36"/>
          <w:szCs w:val="36"/>
          <w:highlight w:val="none"/>
        </w:rPr>
      </w:pPr>
      <w:r>
        <w:rPr>
          <w:rFonts w:hint="eastAsia" w:ascii="宋体" w:hAnsi="宋体"/>
          <w:b/>
          <w:color w:val="auto"/>
          <w:kern w:val="0"/>
          <w:sz w:val="36"/>
          <w:szCs w:val="36"/>
          <w:highlight w:val="none"/>
        </w:rPr>
        <w:t>进口产品转让技术、消化吸收再创新方案</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（对于允许进口产品参加的项目）</w:t>
      </w:r>
    </w:p>
    <w:p>
      <w:pPr>
        <w:autoSpaceDE w:val="0"/>
        <w:autoSpaceDN w:val="0"/>
        <w:adjustRightInd w:val="0"/>
        <w:spacing w:line="360" w:lineRule="auto"/>
        <w:rPr>
          <w:rFonts w:ascii="宋体" w:hAnsi="宋体"/>
          <w:b/>
          <w:color w:val="auto"/>
          <w:szCs w:val="20"/>
          <w:highlight w:val="none"/>
        </w:rPr>
      </w:pPr>
      <w:r>
        <w:rPr>
          <w:rFonts w:hint="eastAsia" w:ascii="宋体" w:hAnsi="宋体" w:cs="宋体"/>
          <w:color w:val="auto"/>
          <w:szCs w:val="21"/>
          <w:highlight w:val="none"/>
          <w:lang w:val="zh-CN"/>
        </w:rPr>
        <w:br w:type="page"/>
      </w:r>
      <w:bookmarkStart w:id="83" w:name="_Toc504056877"/>
      <w:bookmarkStart w:id="84" w:name="_Toc504573092"/>
      <w:bookmarkStart w:id="85" w:name="_Toc534273686"/>
      <w:bookmarkStart w:id="86" w:name="_Toc8704"/>
      <w:bookmarkStart w:id="87" w:name="_Toc534273809"/>
      <w:bookmarkStart w:id="88" w:name="_Toc490133037"/>
      <w:bookmarkStart w:id="89" w:name="_Toc504044389"/>
      <w:r>
        <w:rPr>
          <w:rFonts w:hint="eastAsia" w:ascii="宋体" w:hAnsi="宋体"/>
          <w:b/>
          <w:color w:val="auto"/>
          <w:szCs w:val="20"/>
          <w:highlight w:val="none"/>
        </w:rPr>
        <w:t>附件四、无重大违法记录声明格式</w:t>
      </w:r>
    </w:p>
    <w:p>
      <w:pPr>
        <w:spacing w:line="240" w:lineRule="atLeast"/>
        <w:jc w:val="center"/>
        <w:rPr>
          <w:rFonts w:ascii="黑体" w:eastAsia="黑体"/>
          <w:color w:val="auto"/>
          <w:sz w:val="28"/>
          <w:szCs w:val="36"/>
          <w:highlight w:val="none"/>
        </w:rPr>
      </w:pPr>
    </w:p>
    <w:p>
      <w:pPr>
        <w:spacing w:line="240" w:lineRule="atLeast"/>
        <w:jc w:val="center"/>
        <w:rPr>
          <w:rFonts w:ascii="黑体" w:eastAsia="黑体"/>
          <w:color w:val="auto"/>
          <w:sz w:val="28"/>
          <w:szCs w:val="36"/>
          <w:highlight w:val="none"/>
        </w:rPr>
      </w:pPr>
      <w:r>
        <w:rPr>
          <w:rFonts w:hint="eastAsia" w:ascii="黑体" w:eastAsia="黑体"/>
          <w:color w:val="auto"/>
          <w:sz w:val="28"/>
          <w:szCs w:val="36"/>
          <w:highlight w:val="none"/>
        </w:rPr>
        <w:t>无重大违法记录声明</w:t>
      </w:r>
    </w:p>
    <w:p>
      <w:pPr>
        <w:spacing w:line="360" w:lineRule="auto"/>
        <w:rPr>
          <w:rFonts w:ascii="黑体" w:eastAsia="黑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苏世建设</w:t>
      </w:r>
      <w:r>
        <w:rPr>
          <w:rFonts w:ascii="宋体" w:hAnsi="宋体"/>
          <w:color w:val="auto"/>
          <w:szCs w:val="21"/>
          <w:highlight w:val="none"/>
        </w:rPr>
        <w:t>管理集团有限公司</w:t>
      </w:r>
      <w:r>
        <w:rPr>
          <w:rFonts w:hint="eastAsia" w:ascii="宋体" w:hAnsi="宋体"/>
          <w:color w:val="auto"/>
          <w:szCs w:val="21"/>
          <w:highlight w:val="none"/>
        </w:rPr>
        <w:t>：</w:t>
      </w:r>
    </w:p>
    <w:p>
      <w:pPr>
        <w:spacing w:line="360" w:lineRule="auto"/>
        <w:rPr>
          <w:rFonts w:ascii="宋体" w:hAnsi="宋体"/>
          <w:color w:val="auto"/>
          <w:szCs w:val="21"/>
          <w:highlight w:val="none"/>
        </w:rPr>
      </w:pPr>
    </w:p>
    <w:p>
      <w:pPr>
        <w:widowControl/>
        <w:shd w:val="clear" w:color="auto" w:fill="FFFFFF"/>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我单位（供应商名称）宣布声明和承诺如下：</w:t>
      </w:r>
    </w:p>
    <w:p>
      <w:pPr>
        <w:widowControl/>
        <w:shd w:val="clear" w:color="auto" w:fill="FFFFFF"/>
        <w:spacing w:line="360" w:lineRule="auto"/>
        <w:ind w:firstLine="310" w:firstLineChars="147"/>
        <w:rPr>
          <w:rFonts w:ascii="宋体" w:hAnsi="宋体" w:cs="宋体"/>
          <w:b/>
          <w:color w:val="auto"/>
          <w:kern w:val="0"/>
          <w:szCs w:val="21"/>
          <w:highlight w:val="none"/>
        </w:rPr>
      </w:pPr>
      <w:r>
        <w:rPr>
          <w:rFonts w:hint="eastAsia" w:ascii="宋体" w:hAnsi="宋体" w:cs="宋体"/>
          <w:b/>
          <w:color w:val="auto"/>
          <w:kern w:val="0"/>
          <w:szCs w:val="21"/>
          <w:highlight w:val="none"/>
        </w:rPr>
        <w:t xml:space="preserve"> 我单位参加本次采购活动前3年内在经营活动中没有重大违法记录，且不是失信被执行人、重大税收违法案件当事人名单、政府采购严重违法失信行为记录名单的供应商。</w:t>
      </w:r>
    </w:p>
    <w:p>
      <w:pPr>
        <w:spacing w:line="360" w:lineRule="auto"/>
        <w:ind w:firstLine="315" w:firstLineChars="150"/>
        <w:rPr>
          <w:rFonts w:ascii="宋体" w:hAnsi="宋体"/>
          <w:color w:val="auto"/>
          <w:szCs w:val="20"/>
          <w:highlight w:val="none"/>
        </w:rPr>
      </w:pPr>
      <w:r>
        <w:rPr>
          <w:rFonts w:hint="eastAsia" w:ascii="宋体" w:hAnsi="宋体"/>
          <w:color w:val="auto"/>
          <w:szCs w:val="20"/>
          <w:highlight w:val="none"/>
        </w:rPr>
        <w:t>（说明：政府采购法第二十二条第一款第五项所称重大违法记录，是指供应商因违法经营受到刑事处罚或者责令停产停业、吊销许可证或者执照、较大数额罚款等行政处罚。）</w:t>
      </w:r>
    </w:p>
    <w:p>
      <w:pPr>
        <w:spacing w:line="360" w:lineRule="auto"/>
        <w:ind w:firstLine="315" w:firstLineChars="150"/>
        <w:rPr>
          <w:rFonts w:ascii="宋体" w:hAnsi="宋体"/>
          <w:color w:val="auto"/>
          <w:szCs w:val="20"/>
          <w:highlight w:val="none"/>
        </w:rPr>
      </w:pPr>
    </w:p>
    <w:p>
      <w:pPr>
        <w:spacing w:line="360" w:lineRule="auto"/>
        <w:rPr>
          <w:rFonts w:ascii="宋体" w:hAnsi="宋体"/>
          <w:color w:val="auto"/>
          <w:szCs w:val="20"/>
          <w:highlight w:val="none"/>
        </w:rPr>
      </w:pPr>
    </w:p>
    <w:p>
      <w:pPr>
        <w:spacing w:line="360" w:lineRule="auto"/>
        <w:rPr>
          <w:rFonts w:ascii="宋体" w:hAnsi="宋体"/>
          <w:color w:val="auto"/>
          <w:szCs w:val="20"/>
          <w:highlight w:val="none"/>
        </w:rPr>
      </w:pPr>
    </w:p>
    <w:p>
      <w:pPr>
        <w:spacing w:line="360" w:lineRule="auto"/>
        <w:ind w:firstLine="5208" w:firstLineChars="2480"/>
        <w:rPr>
          <w:rFonts w:ascii="宋体" w:hAnsi="宋体"/>
          <w:color w:val="auto"/>
          <w:szCs w:val="20"/>
          <w:highlight w:val="none"/>
        </w:rPr>
      </w:pPr>
      <w:r>
        <w:rPr>
          <w:rFonts w:hint="eastAsia" w:ascii="宋体" w:hAnsi="宋体"/>
          <w:color w:val="auto"/>
          <w:szCs w:val="20"/>
          <w:highlight w:val="none"/>
        </w:rPr>
        <w:t>声明人：（公章）</w:t>
      </w:r>
    </w:p>
    <w:p>
      <w:pPr>
        <w:autoSpaceDE w:val="0"/>
        <w:autoSpaceDN w:val="0"/>
        <w:adjustRightInd w:val="0"/>
        <w:spacing w:line="360" w:lineRule="auto"/>
        <w:ind w:right="420"/>
        <w:jc w:val="center"/>
        <w:rPr>
          <w:color w:val="auto"/>
          <w:szCs w:val="20"/>
          <w:highlight w:val="none"/>
        </w:rPr>
      </w:pPr>
      <w:r>
        <w:rPr>
          <w:rFonts w:hint="eastAsia"/>
          <w:color w:val="auto"/>
          <w:szCs w:val="20"/>
          <w:highlight w:val="none"/>
        </w:rPr>
        <w:t xml:space="preserve">                                         日期：    年   月</w:t>
      </w:r>
    </w:p>
    <w:p>
      <w:pPr>
        <w:autoSpaceDE w:val="0"/>
        <w:autoSpaceDN w:val="0"/>
        <w:adjustRightInd w:val="0"/>
        <w:spacing w:line="360" w:lineRule="auto"/>
        <w:ind w:right="420"/>
        <w:jc w:val="center"/>
        <w:rPr>
          <w:color w:val="auto"/>
          <w:szCs w:val="20"/>
          <w:highlight w:val="none"/>
        </w:rPr>
      </w:pPr>
    </w:p>
    <w:p>
      <w:pPr>
        <w:autoSpaceDE w:val="0"/>
        <w:autoSpaceDN w:val="0"/>
        <w:adjustRightInd w:val="0"/>
        <w:spacing w:line="360" w:lineRule="auto"/>
        <w:ind w:right="420"/>
        <w:jc w:val="center"/>
        <w:rPr>
          <w:color w:val="auto"/>
          <w:szCs w:val="20"/>
          <w:highlight w:val="none"/>
        </w:rPr>
      </w:pPr>
    </w:p>
    <w:p>
      <w:pPr>
        <w:autoSpaceDE w:val="0"/>
        <w:autoSpaceDN w:val="0"/>
        <w:adjustRightInd w:val="0"/>
        <w:spacing w:line="360" w:lineRule="auto"/>
        <w:ind w:right="420"/>
        <w:rPr>
          <w:rFonts w:ascii="宋体" w:hAnsi="宋体"/>
          <w:b/>
          <w:color w:val="auto"/>
          <w:szCs w:val="20"/>
          <w:highlight w:val="none"/>
        </w:rPr>
      </w:pPr>
      <w:r>
        <w:rPr>
          <w:color w:val="auto"/>
          <w:szCs w:val="20"/>
          <w:highlight w:val="none"/>
        </w:rPr>
        <w:br w:type="page"/>
      </w:r>
      <w:r>
        <w:rPr>
          <w:rFonts w:hint="eastAsia" w:ascii="宋体" w:hAnsi="宋体"/>
          <w:b/>
          <w:color w:val="auto"/>
          <w:szCs w:val="20"/>
          <w:highlight w:val="none"/>
        </w:rPr>
        <w:t>附件五、</w:t>
      </w:r>
      <w:bookmarkEnd w:id="83"/>
      <w:bookmarkEnd w:id="84"/>
      <w:bookmarkEnd w:id="85"/>
      <w:bookmarkEnd w:id="86"/>
      <w:bookmarkEnd w:id="87"/>
      <w:bookmarkEnd w:id="88"/>
      <w:bookmarkEnd w:id="89"/>
      <w:r>
        <w:rPr>
          <w:rFonts w:hint="eastAsia" w:ascii="宋体" w:hAnsi="宋体"/>
          <w:b/>
          <w:color w:val="auto"/>
          <w:szCs w:val="20"/>
          <w:highlight w:val="none"/>
        </w:rPr>
        <w:t>资格资信证明文件</w:t>
      </w:r>
    </w:p>
    <w:p>
      <w:pPr>
        <w:widowControl/>
        <w:adjustRightIn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lang w:val="zh-CN"/>
        </w:rPr>
        <w:t>（</w:t>
      </w:r>
      <w:r>
        <w:rPr>
          <w:rFonts w:ascii="宋体" w:hAnsi="宋体" w:cs="宋体"/>
          <w:color w:val="auto"/>
          <w:szCs w:val="21"/>
          <w:highlight w:val="none"/>
        </w:rPr>
        <w:t>1</w:t>
      </w:r>
      <w:r>
        <w:rPr>
          <w:rFonts w:hint="eastAsia" w:ascii="宋体" w:hAnsi="宋体" w:cs="宋体"/>
          <w:color w:val="auto"/>
          <w:szCs w:val="21"/>
          <w:highlight w:val="none"/>
          <w:lang w:val="zh-CN"/>
        </w:rPr>
        <w:t>）</w:t>
      </w:r>
      <w:r>
        <w:rPr>
          <w:rFonts w:hint="eastAsia" w:ascii="宋体" w:hAnsi="宋体" w:cs="宋体"/>
          <w:color w:val="auto"/>
          <w:szCs w:val="21"/>
          <w:highlight w:val="none"/>
        </w:rPr>
        <w:t>第一章竞争性磋商公告中《中华人民共和国政府采购法》规定的资格条件证明文件；</w:t>
      </w:r>
    </w:p>
    <w:p>
      <w:pPr>
        <w:widowControl/>
        <w:adjustRightIn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）第一章竞争性磋商公告中采购人根据采购项目的特殊要求规定的特定条件证明文件；</w:t>
      </w:r>
    </w:p>
    <w:p>
      <w:pPr>
        <w:autoSpaceDE w:val="0"/>
        <w:autoSpaceDN w:val="0"/>
        <w:adjustRightInd w:val="0"/>
        <w:spacing w:line="360" w:lineRule="auto"/>
        <w:rPr>
          <w:rFonts w:ascii="宋体" w:hAnsi="宋体"/>
          <w:b/>
          <w:color w:val="auto"/>
          <w:szCs w:val="20"/>
          <w:highlight w:val="none"/>
        </w:rPr>
      </w:pPr>
    </w:p>
    <w:p>
      <w:pPr>
        <w:autoSpaceDE w:val="0"/>
        <w:autoSpaceDN w:val="0"/>
        <w:adjustRightInd w:val="0"/>
        <w:spacing w:line="360" w:lineRule="auto"/>
        <w:rPr>
          <w:rFonts w:ascii="宋体" w:hAnsi="宋体"/>
          <w:b/>
          <w:color w:val="auto"/>
          <w:szCs w:val="20"/>
          <w:highlight w:val="none"/>
        </w:rPr>
      </w:pPr>
    </w:p>
    <w:p>
      <w:pPr>
        <w:autoSpaceDE w:val="0"/>
        <w:autoSpaceDN w:val="0"/>
        <w:adjustRightInd w:val="0"/>
        <w:spacing w:line="360" w:lineRule="auto"/>
        <w:ind w:right="420"/>
        <w:rPr>
          <w:rFonts w:ascii="宋体" w:hAnsi="宋体"/>
          <w:b/>
          <w:color w:val="auto"/>
          <w:szCs w:val="20"/>
          <w:highlight w:val="none"/>
        </w:rPr>
      </w:pPr>
    </w:p>
    <w:p>
      <w:pPr>
        <w:rPr>
          <w:color w:val="auto"/>
          <w:highlight w:val="none"/>
        </w:rPr>
      </w:pPr>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文鼎CS大黑">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KNLe">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18415" b="1905"/>
              <wp:wrapNone/>
              <wp:docPr id="4"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34"/>
                            <w:jc w:val="center"/>
                          </w:pPr>
                          <w:r>
                            <w:fldChar w:fldCharType="begin"/>
                          </w:r>
                          <w:r>
                            <w:instrText xml:space="preserve"> PAGE   \* MERGEFORMAT </w:instrText>
                          </w:r>
                          <w:r>
                            <w:fldChar w:fldCharType="separate"/>
                          </w:r>
                          <w:r>
                            <w:rPr>
                              <w:lang w:val="zh-CN"/>
                            </w:rPr>
                            <w:t>2</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4vdRNAAAAACAQAADwAAAAAAAAABACAAAAAiAAAAZHJzL2Rv&#10;d25yZXYueG1sUEsBAhQAFAAAAAgAh07iQINPjqMJAgAAAQQAAA4AAAAAAAAAAQAgAAAAHwEAAGRy&#10;cy9lMm9Eb2MueG1sUEsFBgAAAAAGAAYAWQEAAJoFAAAAAA==&#10;">
              <v:fill on="f" focussize="0,0"/>
              <v:stroke on="f"/>
              <v:imagedata o:title=""/>
              <o:lock v:ext="edit" aspectratio="f"/>
              <v:textbox inset="0mm,0mm,0mm,0mm" style="mso-fit-shape-to-text:t;">
                <w:txbxContent>
                  <w:p>
                    <w:pPr>
                      <w:pStyle w:val="34"/>
                      <w:jc w:val="center"/>
                    </w:pPr>
                    <w:r>
                      <w:fldChar w:fldCharType="begin"/>
                    </w:r>
                    <w:r>
                      <w:instrText xml:space="preserve"> PAGE   \* MERGEFORMAT </w:instrText>
                    </w:r>
                    <w:r>
                      <w:fldChar w:fldCharType="separate"/>
                    </w:r>
                    <w:r>
                      <w:rPr>
                        <w:lang w:val="zh-CN"/>
                      </w:rPr>
                      <w:t>2</w:t>
                    </w:r>
                    <w:r>
                      <w:fldChar w:fldCharType="end"/>
                    </w:r>
                  </w:p>
                </w:txbxContent>
              </v:textbox>
            </v:shape>
          </w:pict>
        </mc:Fallback>
      </mc:AlternateContent>
    </w:r>
  </w:p>
  <w:p>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34"/>
                            <w:jc w:val="center"/>
                          </w:pPr>
                          <w:r>
                            <w:fldChar w:fldCharType="begin"/>
                          </w:r>
                          <w:r>
                            <w:instrText xml:space="preserve"> PAGE   \* MERGEFORMAT </w:instrText>
                          </w:r>
                          <w:r>
                            <w:fldChar w:fldCharType="separate"/>
                          </w:r>
                          <w:r>
                            <w:rPr>
                              <w:lang w:val="zh-CN"/>
                            </w:rPr>
                            <w:t>19</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pPr>
                      <w:pStyle w:val="34"/>
                      <w:jc w:val="center"/>
                    </w:pPr>
                    <w:r>
                      <w:fldChar w:fldCharType="begin"/>
                    </w:r>
                    <w:r>
                      <w:instrText xml:space="preserve"> PAGE   \* MERGEFORMAT </w:instrText>
                    </w:r>
                    <w:r>
                      <w:fldChar w:fldCharType="separate"/>
                    </w:r>
                    <w:r>
                      <w:rPr>
                        <w:lang w:val="zh-CN"/>
                      </w:rPr>
                      <w:t>19</w:t>
                    </w:r>
                    <w:r>
                      <w:fldChar w:fldCharType="end"/>
                    </w:r>
                  </w:p>
                </w:txbxContent>
              </v:textbox>
            </v:shape>
          </w:pict>
        </mc:Fallback>
      </mc:AlternateContent>
    </w:r>
  </w:p>
  <w:p>
    <w:pPr>
      <w:pStyle w:val="3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rPr>
        <w:lang w:val="zh-CN"/>
      </w:rPr>
      <w:fldChar w:fldCharType="begin"/>
    </w:r>
    <w:r>
      <w:rPr>
        <w:lang w:val="zh-CN"/>
      </w:rPr>
      <w:instrText xml:space="preserve">PAGE   \* MERGEFORMAT</w:instrText>
    </w:r>
    <w:r>
      <w:rPr>
        <w:lang w:val="zh-CN"/>
      </w:rPr>
      <w:fldChar w:fldCharType="separate"/>
    </w:r>
    <w:r>
      <w:rPr>
        <w:lang w:val="zh-CN"/>
      </w:rPr>
      <w:t>38</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fldChar w:fldCharType="begin"/>
    </w:r>
    <w:r>
      <w:instrText xml:space="preserve">PAGE   \* MERGEFORMAT</w:instrText>
    </w:r>
    <w:r>
      <w:fldChar w:fldCharType="separate"/>
    </w:r>
    <w:r>
      <w:rPr>
        <w:lang w:val="zh-CN"/>
      </w:rPr>
      <w:t>40</w:t>
    </w:r>
    <w:r>
      <w:fldChar w:fldCharType="end"/>
    </w:r>
    <w:r>
      <mc:AlternateContent>
        <mc:Choice Requires="wps">
          <w:drawing>
            <wp:anchor distT="0" distB="0" distL="114300" distR="114300" simplePos="0" relativeHeight="251660288" behindDoc="0" locked="0" layoutInCell="1" allowOverlap="1">
              <wp:simplePos x="0" y="0"/>
              <wp:positionH relativeFrom="margin">
                <wp:posOffset>2121535</wp:posOffset>
              </wp:positionH>
              <wp:positionV relativeFrom="paragraph">
                <wp:posOffset>0</wp:posOffset>
              </wp:positionV>
              <wp:extent cx="114935" cy="131445"/>
              <wp:effectExtent l="0" t="0" r="2540" b="0"/>
              <wp:wrapNone/>
              <wp:docPr id="1" name="文本框 1057"/>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34"/>
                            <w:jc w:val="center"/>
                          </w:pPr>
                        </w:p>
                      </w:txbxContent>
                    </wps:txbx>
                    <wps:bodyPr rot="0" vert="horz" wrap="none" lIns="0" tIns="0" rIns="0" bIns="0" anchor="t" anchorCtr="0" upright="1">
                      <a:spAutoFit/>
                    </wps:bodyPr>
                  </wps:wsp>
                </a:graphicData>
              </a:graphic>
            </wp:anchor>
          </w:drawing>
        </mc:Choice>
        <mc:Fallback>
          <w:pict>
            <v:shape id="文本框 1057" o:spid="_x0000_s1026" o:spt="202" type="#_x0000_t202" style="position:absolute;left:0pt;margin-left:167.05pt;margin-top:0pt;height:10.35pt;width:9.05pt;mso-position-horizontal-relative:margin;mso-wrap-style:none;z-index:251660288;mso-width-relative:page;mso-height-relative:page;" filled="f" stroked="f" coordsize="21600,21600" o:gfxdata="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wy813UAAAABwEAAA8AAAAAAAAAAQAgAAAAIgAA&#10;AGRycy9kb3ducmV2LnhtbFBLAQIUABQAAAAIAIdO4kAm+KRNDAIAAAUEAAAOAAAAAAAAAAEAIAAA&#10;ACMBAABkcnMvZTJvRG9jLnhtbFBLBQYAAAAABgAGAFkBAAChBQAAAAA=&#10;">
              <v:fill on="f" focussize="0,0"/>
              <v:stroke on="f"/>
              <v:imagedata o:title=""/>
              <o:lock v:ext="edit" aspectratio="f"/>
              <v:textbox inset="0mm,0mm,0mm,0mm" style="mso-fit-shape-to-text:t;">
                <w:txbxContent>
                  <w:p>
                    <w:pPr>
                      <w:pStyle w:val="34"/>
                      <w:jc w:val="cente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fldChar w:fldCharType="begin"/>
    </w:r>
    <w:r>
      <w:rPr>
        <w:rStyle w:val="60"/>
      </w:rPr>
      <w:instrText xml:space="preserve"> PAGE </w:instrText>
    </w:r>
    <w:r>
      <w:fldChar w:fldCharType="separate"/>
    </w:r>
    <w:r>
      <w:rPr>
        <w:rStyle w:val="60"/>
      </w:rPr>
      <w:t>50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332"/>
      <w:suff w:val="nothing"/>
      <w:lvlText w:val="第%1章"/>
      <w:lvlJc w:val="left"/>
      <w:pPr>
        <w:ind w:left="0" w:firstLine="0"/>
      </w:pPr>
    </w:lvl>
    <w:lvl w:ilvl="1" w:tentative="0">
      <w:start w:val="1"/>
      <w:numFmt w:val="none"/>
      <w:pStyle w:val="307"/>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586F5932"/>
    <w:multiLevelType w:val="singleLevel"/>
    <w:tmpl w:val="586F5932"/>
    <w:lvl w:ilvl="0" w:tentative="0">
      <w:start w:val="6"/>
      <w:numFmt w:val="decimal"/>
      <w:pStyle w:val="345"/>
      <w:suff w:val="nothing"/>
      <w:lvlText w:val="%1、"/>
      <w:lvlJc w:val="left"/>
      <w:pPr>
        <w:ind w:left="0" w:firstLine="0"/>
      </w:pPr>
      <w:rPr>
        <w:rFonts w:hint="eastAsia"/>
        <w:b w:val="0"/>
      </w:rPr>
    </w:lvl>
  </w:abstractNum>
  <w:abstractNum w:abstractNumId="2">
    <w:nsid w:val="58C6081D"/>
    <w:multiLevelType w:val="singleLevel"/>
    <w:tmpl w:val="58C6081D"/>
    <w:lvl w:ilvl="0" w:tentative="0">
      <w:start w:val="1"/>
      <w:numFmt w:val="decimal"/>
      <w:pStyle w:val="342"/>
      <w:suff w:val="nothing"/>
      <w:lvlText w:val="（%1）"/>
      <w:lvlJc w:val="left"/>
    </w:lvl>
  </w:abstractNum>
  <w:abstractNum w:abstractNumId="3">
    <w:nsid w:val="65E26879"/>
    <w:multiLevelType w:val="multilevel"/>
    <w:tmpl w:val="65E26879"/>
    <w:lvl w:ilvl="0" w:tentative="0">
      <w:start w:val="1"/>
      <w:numFmt w:val="decimal"/>
      <w:pStyle w:val="294"/>
      <w:lvlText w:val="%1）"/>
      <w:lvlJc w:val="left"/>
      <w:pPr>
        <w:ind w:left="360" w:hanging="360"/>
      </w:pPr>
    </w:lvl>
    <w:lvl w:ilvl="1" w:tentative="0">
      <w:start w:val="1"/>
      <w:numFmt w:val="lowerLetter"/>
      <w:lvlText w:val="%1)"/>
      <w:lvlJc w:val="left"/>
      <w:pPr>
        <w:ind w:left="840" w:hanging="420"/>
      </w:pPr>
    </w:lvl>
    <w:lvl w:ilvl="2" w:tentative="0">
      <w:start w:val="1"/>
      <w:numFmt w:val="lowerRoman"/>
      <w:lvlText w:val="%1."/>
      <w:lvlJc w:val="right"/>
      <w:pPr>
        <w:ind w:left="1260" w:hanging="420"/>
      </w:pPr>
    </w:lvl>
    <w:lvl w:ilvl="3" w:tentative="0">
      <w:start w:val="1"/>
      <w:numFmt w:val="decimal"/>
      <w:lvlText w:val="%1."/>
      <w:lvlJc w:val="left"/>
      <w:pPr>
        <w:ind w:left="1680" w:hanging="420"/>
      </w:pPr>
    </w:lvl>
    <w:lvl w:ilvl="4" w:tentative="0">
      <w:start w:val="1"/>
      <w:numFmt w:val="lowerLetter"/>
      <w:lvlText w:val="%1)"/>
      <w:lvlJc w:val="left"/>
      <w:pPr>
        <w:ind w:left="2100" w:hanging="420"/>
      </w:pPr>
    </w:lvl>
    <w:lvl w:ilvl="5" w:tentative="0">
      <w:start w:val="1"/>
      <w:numFmt w:val="lowerRoman"/>
      <w:lvlText w:val="%1."/>
      <w:lvlJc w:val="right"/>
      <w:pPr>
        <w:ind w:left="2520" w:hanging="420"/>
      </w:pPr>
    </w:lvl>
    <w:lvl w:ilvl="6" w:tentative="0">
      <w:start w:val="1"/>
      <w:numFmt w:val="decimal"/>
      <w:lvlText w:val="%1."/>
      <w:lvlJc w:val="left"/>
      <w:pPr>
        <w:ind w:left="2940" w:hanging="420"/>
      </w:pPr>
    </w:lvl>
    <w:lvl w:ilvl="7" w:tentative="0">
      <w:start w:val="1"/>
      <w:numFmt w:val="lowerLetter"/>
      <w:lvlText w:val="%1)"/>
      <w:lvlJc w:val="left"/>
      <w:pPr>
        <w:ind w:left="3360" w:hanging="420"/>
      </w:pPr>
    </w:lvl>
    <w:lvl w:ilvl="8" w:tentative="0">
      <w:start w:val="1"/>
      <w:numFmt w:val="lowerRoman"/>
      <w:lvlText w:val="%1."/>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hMDU0MmQzOTkzODkwN2QyNWJkNmNkYmQyYzhhYjEifQ=="/>
    <w:docVar w:name="KGWebUrl" w:val="http://jszfcg.jscz.gov.cn/jszc/gateWay/joffice/office?access_token=0126eff4-3d62-4d14-8efa-55db86b8f8b8"/>
  </w:docVars>
  <w:rsids>
    <w:rsidRoot w:val="00C873B2"/>
    <w:rsid w:val="00001372"/>
    <w:rsid w:val="00004051"/>
    <w:rsid w:val="000131E8"/>
    <w:rsid w:val="00014B98"/>
    <w:rsid w:val="00015ABF"/>
    <w:rsid w:val="000217A3"/>
    <w:rsid w:val="00021B79"/>
    <w:rsid w:val="000245B7"/>
    <w:rsid w:val="000269E3"/>
    <w:rsid w:val="00035764"/>
    <w:rsid w:val="00040B8E"/>
    <w:rsid w:val="00041212"/>
    <w:rsid w:val="000437F2"/>
    <w:rsid w:val="00044009"/>
    <w:rsid w:val="000449ED"/>
    <w:rsid w:val="0004651C"/>
    <w:rsid w:val="00050125"/>
    <w:rsid w:val="0005124B"/>
    <w:rsid w:val="00051C19"/>
    <w:rsid w:val="000529F0"/>
    <w:rsid w:val="00057CED"/>
    <w:rsid w:val="000639A4"/>
    <w:rsid w:val="00074EDF"/>
    <w:rsid w:val="000773A7"/>
    <w:rsid w:val="00077C1B"/>
    <w:rsid w:val="00083573"/>
    <w:rsid w:val="0008592E"/>
    <w:rsid w:val="00086893"/>
    <w:rsid w:val="00093BE8"/>
    <w:rsid w:val="0009540E"/>
    <w:rsid w:val="00096994"/>
    <w:rsid w:val="000A77BC"/>
    <w:rsid w:val="000B0078"/>
    <w:rsid w:val="000B45BA"/>
    <w:rsid w:val="000B45C2"/>
    <w:rsid w:val="000B7478"/>
    <w:rsid w:val="000C2E08"/>
    <w:rsid w:val="000D074D"/>
    <w:rsid w:val="000D216D"/>
    <w:rsid w:val="000D4851"/>
    <w:rsid w:val="000D53B8"/>
    <w:rsid w:val="000D593E"/>
    <w:rsid w:val="000E1898"/>
    <w:rsid w:val="000E1C6A"/>
    <w:rsid w:val="000E5E66"/>
    <w:rsid w:val="001011E1"/>
    <w:rsid w:val="00103B4C"/>
    <w:rsid w:val="00105230"/>
    <w:rsid w:val="00106E34"/>
    <w:rsid w:val="00122873"/>
    <w:rsid w:val="00124157"/>
    <w:rsid w:val="001258F9"/>
    <w:rsid w:val="0012628E"/>
    <w:rsid w:val="0012753A"/>
    <w:rsid w:val="00132DBF"/>
    <w:rsid w:val="001348F4"/>
    <w:rsid w:val="001362E6"/>
    <w:rsid w:val="00146414"/>
    <w:rsid w:val="00150349"/>
    <w:rsid w:val="00151F77"/>
    <w:rsid w:val="00152D8E"/>
    <w:rsid w:val="0015454F"/>
    <w:rsid w:val="0015703F"/>
    <w:rsid w:val="00157EAB"/>
    <w:rsid w:val="00161923"/>
    <w:rsid w:val="0016466E"/>
    <w:rsid w:val="00166573"/>
    <w:rsid w:val="00172B25"/>
    <w:rsid w:val="001733C3"/>
    <w:rsid w:val="001741A1"/>
    <w:rsid w:val="00176AC0"/>
    <w:rsid w:val="00180D14"/>
    <w:rsid w:val="00182EC3"/>
    <w:rsid w:val="00184F99"/>
    <w:rsid w:val="001851BD"/>
    <w:rsid w:val="001851E8"/>
    <w:rsid w:val="001900F8"/>
    <w:rsid w:val="00193985"/>
    <w:rsid w:val="0019745A"/>
    <w:rsid w:val="001A0AA2"/>
    <w:rsid w:val="001A0D49"/>
    <w:rsid w:val="001A12B1"/>
    <w:rsid w:val="001A1FDE"/>
    <w:rsid w:val="001B33E4"/>
    <w:rsid w:val="001B4EB7"/>
    <w:rsid w:val="001B53E1"/>
    <w:rsid w:val="001C0491"/>
    <w:rsid w:val="001C0D99"/>
    <w:rsid w:val="001C1085"/>
    <w:rsid w:val="001C1E4D"/>
    <w:rsid w:val="001C5E18"/>
    <w:rsid w:val="001D3B63"/>
    <w:rsid w:val="001D5BE7"/>
    <w:rsid w:val="001D7D6A"/>
    <w:rsid w:val="001E23AF"/>
    <w:rsid w:val="001E4DCC"/>
    <w:rsid w:val="001E4E37"/>
    <w:rsid w:val="001F0C76"/>
    <w:rsid w:val="001F4DB0"/>
    <w:rsid w:val="001F61A1"/>
    <w:rsid w:val="001F7687"/>
    <w:rsid w:val="001F7925"/>
    <w:rsid w:val="00203C98"/>
    <w:rsid w:val="00204354"/>
    <w:rsid w:val="002053FB"/>
    <w:rsid w:val="00210635"/>
    <w:rsid w:val="00210CE4"/>
    <w:rsid w:val="00215388"/>
    <w:rsid w:val="00215C12"/>
    <w:rsid w:val="0021602B"/>
    <w:rsid w:val="00216083"/>
    <w:rsid w:val="002169F4"/>
    <w:rsid w:val="00220A9F"/>
    <w:rsid w:val="002251EE"/>
    <w:rsid w:val="00225F8F"/>
    <w:rsid w:val="002278BF"/>
    <w:rsid w:val="00230314"/>
    <w:rsid w:val="0023147B"/>
    <w:rsid w:val="00231EB9"/>
    <w:rsid w:val="00232417"/>
    <w:rsid w:val="00235D9B"/>
    <w:rsid w:val="0023776C"/>
    <w:rsid w:val="00241A8B"/>
    <w:rsid w:val="00242011"/>
    <w:rsid w:val="0024272D"/>
    <w:rsid w:val="00244C82"/>
    <w:rsid w:val="00245B96"/>
    <w:rsid w:val="0024720A"/>
    <w:rsid w:val="00247242"/>
    <w:rsid w:val="00250F9A"/>
    <w:rsid w:val="00252227"/>
    <w:rsid w:val="00256DBD"/>
    <w:rsid w:val="002612FF"/>
    <w:rsid w:val="00261589"/>
    <w:rsid w:val="00262EE2"/>
    <w:rsid w:val="00265B9B"/>
    <w:rsid w:val="002708DB"/>
    <w:rsid w:val="00272358"/>
    <w:rsid w:val="00273F3D"/>
    <w:rsid w:val="00274CD1"/>
    <w:rsid w:val="0027702A"/>
    <w:rsid w:val="00277537"/>
    <w:rsid w:val="002842F2"/>
    <w:rsid w:val="002935A7"/>
    <w:rsid w:val="00293AF8"/>
    <w:rsid w:val="00294971"/>
    <w:rsid w:val="00296068"/>
    <w:rsid w:val="00296B64"/>
    <w:rsid w:val="00297FB7"/>
    <w:rsid w:val="002A1187"/>
    <w:rsid w:val="002A164E"/>
    <w:rsid w:val="002A5C1B"/>
    <w:rsid w:val="002B2673"/>
    <w:rsid w:val="002B30FF"/>
    <w:rsid w:val="002B3465"/>
    <w:rsid w:val="002B58B4"/>
    <w:rsid w:val="002B7CE8"/>
    <w:rsid w:val="002C43C4"/>
    <w:rsid w:val="002C7204"/>
    <w:rsid w:val="002D0F6A"/>
    <w:rsid w:val="002D6EE4"/>
    <w:rsid w:val="002E0148"/>
    <w:rsid w:val="002E1BE7"/>
    <w:rsid w:val="002E4996"/>
    <w:rsid w:val="002E6A53"/>
    <w:rsid w:val="002E7308"/>
    <w:rsid w:val="002F37EB"/>
    <w:rsid w:val="003012D1"/>
    <w:rsid w:val="00304060"/>
    <w:rsid w:val="00304942"/>
    <w:rsid w:val="00306610"/>
    <w:rsid w:val="00307D29"/>
    <w:rsid w:val="00314860"/>
    <w:rsid w:val="00314DE0"/>
    <w:rsid w:val="00316840"/>
    <w:rsid w:val="00316952"/>
    <w:rsid w:val="00317A1B"/>
    <w:rsid w:val="00320D08"/>
    <w:rsid w:val="00320D8E"/>
    <w:rsid w:val="0033000F"/>
    <w:rsid w:val="003307DC"/>
    <w:rsid w:val="00331035"/>
    <w:rsid w:val="0034155B"/>
    <w:rsid w:val="00341B2D"/>
    <w:rsid w:val="003532DE"/>
    <w:rsid w:val="0035399C"/>
    <w:rsid w:val="003563FC"/>
    <w:rsid w:val="003571C1"/>
    <w:rsid w:val="003578DD"/>
    <w:rsid w:val="0036003A"/>
    <w:rsid w:val="00363008"/>
    <w:rsid w:val="003632FB"/>
    <w:rsid w:val="0036423B"/>
    <w:rsid w:val="00372D65"/>
    <w:rsid w:val="00372EBD"/>
    <w:rsid w:val="003759C6"/>
    <w:rsid w:val="003767F9"/>
    <w:rsid w:val="00377233"/>
    <w:rsid w:val="0038314C"/>
    <w:rsid w:val="003840FC"/>
    <w:rsid w:val="00387C04"/>
    <w:rsid w:val="00390685"/>
    <w:rsid w:val="0039483C"/>
    <w:rsid w:val="003960F4"/>
    <w:rsid w:val="003A1527"/>
    <w:rsid w:val="003A3585"/>
    <w:rsid w:val="003A40B7"/>
    <w:rsid w:val="003A4E6C"/>
    <w:rsid w:val="003A6E33"/>
    <w:rsid w:val="003B04E0"/>
    <w:rsid w:val="003C465E"/>
    <w:rsid w:val="003C53D5"/>
    <w:rsid w:val="003C5C60"/>
    <w:rsid w:val="003C6164"/>
    <w:rsid w:val="003C6577"/>
    <w:rsid w:val="003C6E3A"/>
    <w:rsid w:val="003D2564"/>
    <w:rsid w:val="003D32FD"/>
    <w:rsid w:val="003D671E"/>
    <w:rsid w:val="003E0CD4"/>
    <w:rsid w:val="003E241A"/>
    <w:rsid w:val="003E61E9"/>
    <w:rsid w:val="003E6A97"/>
    <w:rsid w:val="003F3650"/>
    <w:rsid w:val="003F7434"/>
    <w:rsid w:val="0040055E"/>
    <w:rsid w:val="00402362"/>
    <w:rsid w:val="00405096"/>
    <w:rsid w:val="00412347"/>
    <w:rsid w:val="00412EC9"/>
    <w:rsid w:val="00413FA4"/>
    <w:rsid w:val="00416BF9"/>
    <w:rsid w:val="00427149"/>
    <w:rsid w:val="0043075D"/>
    <w:rsid w:val="00431D0F"/>
    <w:rsid w:val="004336A5"/>
    <w:rsid w:val="0044094F"/>
    <w:rsid w:val="004504D5"/>
    <w:rsid w:val="0045222D"/>
    <w:rsid w:val="00452394"/>
    <w:rsid w:val="00452C31"/>
    <w:rsid w:val="00455895"/>
    <w:rsid w:val="00455C33"/>
    <w:rsid w:val="00455C67"/>
    <w:rsid w:val="00460D19"/>
    <w:rsid w:val="00461F19"/>
    <w:rsid w:val="00467525"/>
    <w:rsid w:val="004726E7"/>
    <w:rsid w:val="00472705"/>
    <w:rsid w:val="004728DE"/>
    <w:rsid w:val="004819C7"/>
    <w:rsid w:val="00485AEC"/>
    <w:rsid w:val="00485FF9"/>
    <w:rsid w:val="004908FA"/>
    <w:rsid w:val="00490F15"/>
    <w:rsid w:val="00491354"/>
    <w:rsid w:val="00492694"/>
    <w:rsid w:val="00492CA6"/>
    <w:rsid w:val="00497167"/>
    <w:rsid w:val="004971C8"/>
    <w:rsid w:val="00497B1E"/>
    <w:rsid w:val="004A64B6"/>
    <w:rsid w:val="004A7C80"/>
    <w:rsid w:val="004B0630"/>
    <w:rsid w:val="004B1DA1"/>
    <w:rsid w:val="004B3DBF"/>
    <w:rsid w:val="004B41A5"/>
    <w:rsid w:val="004B431A"/>
    <w:rsid w:val="004B4DAD"/>
    <w:rsid w:val="004B51B9"/>
    <w:rsid w:val="004B6864"/>
    <w:rsid w:val="004C01CA"/>
    <w:rsid w:val="004C1211"/>
    <w:rsid w:val="004C79C4"/>
    <w:rsid w:val="004D0AD6"/>
    <w:rsid w:val="004D0E96"/>
    <w:rsid w:val="004D1507"/>
    <w:rsid w:val="004D1722"/>
    <w:rsid w:val="004D1FF8"/>
    <w:rsid w:val="004E3E08"/>
    <w:rsid w:val="004E565C"/>
    <w:rsid w:val="004E5BF5"/>
    <w:rsid w:val="004E72E5"/>
    <w:rsid w:val="004F0664"/>
    <w:rsid w:val="004F22DA"/>
    <w:rsid w:val="004F4258"/>
    <w:rsid w:val="004F445E"/>
    <w:rsid w:val="004F4E2A"/>
    <w:rsid w:val="004F5DC8"/>
    <w:rsid w:val="004F61DA"/>
    <w:rsid w:val="004F7778"/>
    <w:rsid w:val="00501E63"/>
    <w:rsid w:val="0050441B"/>
    <w:rsid w:val="00505087"/>
    <w:rsid w:val="00511613"/>
    <w:rsid w:val="00512193"/>
    <w:rsid w:val="0051327E"/>
    <w:rsid w:val="00514B44"/>
    <w:rsid w:val="00524B2A"/>
    <w:rsid w:val="00525261"/>
    <w:rsid w:val="00531176"/>
    <w:rsid w:val="00531A81"/>
    <w:rsid w:val="00534AE8"/>
    <w:rsid w:val="0054381F"/>
    <w:rsid w:val="00544ABA"/>
    <w:rsid w:val="00552FE0"/>
    <w:rsid w:val="005545DC"/>
    <w:rsid w:val="00555233"/>
    <w:rsid w:val="00555DD8"/>
    <w:rsid w:val="005614EC"/>
    <w:rsid w:val="00563154"/>
    <w:rsid w:val="005650F1"/>
    <w:rsid w:val="005660E5"/>
    <w:rsid w:val="00566713"/>
    <w:rsid w:val="00567919"/>
    <w:rsid w:val="005720E3"/>
    <w:rsid w:val="00575B91"/>
    <w:rsid w:val="005770D2"/>
    <w:rsid w:val="00577362"/>
    <w:rsid w:val="00580B9B"/>
    <w:rsid w:val="00585376"/>
    <w:rsid w:val="00587790"/>
    <w:rsid w:val="00591873"/>
    <w:rsid w:val="00591B5F"/>
    <w:rsid w:val="00596A21"/>
    <w:rsid w:val="00596A94"/>
    <w:rsid w:val="005A50F6"/>
    <w:rsid w:val="005A7519"/>
    <w:rsid w:val="005B1755"/>
    <w:rsid w:val="005B3708"/>
    <w:rsid w:val="005B567C"/>
    <w:rsid w:val="005B6548"/>
    <w:rsid w:val="005C0D80"/>
    <w:rsid w:val="005C265D"/>
    <w:rsid w:val="005C31C0"/>
    <w:rsid w:val="005C358D"/>
    <w:rsid w:val="005C379A"/>
    <w:rsid w:val="005C6416"/>
    <w:rsid w:val="005D4333"/>
    <w:rsid w:val="005D5416"/>
    <w:rsid w:val="005D6836"/>
    <w:rsid w:val="005E0602"/>
    <w:rsid w:val="005E4F01"/>
    <w:rsid w:val="005E54D9"/>
    <w:rsid w:val="005E751E"/>
    <w:rsid w:val="005E7C4A"/>
    <w:rsid w:val="005F3043"/>
    <w:rsid w:val="005F315D"/>
    <w:rsid w:val="005F3520"/>
    <w:rsid w:val="005F3A0A"/>
    <w:rsid w:val="00602763"/>
    <w:rsid w:val="00602C3D"/>
    <w:rsid w:val="00603580"/>
    <w:rsid w:val="00604698"/>
    <w:rsid w:val="006061B9"/>
    <w:rsid w:val="00606A9C"/>
    <w:rsid w:val="0060717D"/>
    <w:rsid w:val="00607F95"/>
    <w:rsid w:val="00616C5A"/>
    <w:rsid w:val="00622EB3"/>
    <w:rsid w:val="006245AD"/>
    <w:rsid w:val="00626AD3"/>
    <w:rsid w:val="00626CF6"/>
    <w:rsid w:val="00626E03"/>
    <w:rsid w:val="00631F9A"/>
    <w:rsid w:val="00637820"/>
    <w:rsid w:val="00640439"/>
    <w:rsid w:val="00645197"/>
    <w:rsid w:val="00645DAC"/>
    <w:rsid w:val="00653C97"/>
    <w:rsid w:val="00656003"/>
    <w:rsid w:val="0065666E"/>
    <w:rsid w:val="0065774F"/>
    <w:rsid w:val="00657940"/>
    <w:rsid w:val="006625B1"/>
    <w:rsid w:val="00662C5A"/>
    <w:rsid w:val="00663CA9"/>
    <w:rsid w:val="00664858"/>
    <w:rsid w:val="006676B2"/>
    <w:rsid w:val="00667829"/>
    <w:rsid w:val="00667C49"/>
    <w:rsid w:val="00674693"/>
    <w:rsid w:val="00682D45"/>
    <w:rsid w:val="00685037"/>
    <w:rsid w:val="0069232D"/>
    <w:rsid w:val="00695C76"/>
    <w:rsid w:val="00696A9A"/>
    <w:rsid w:val="006A0A59"/>
    <w:rsid w:val="006A0A78"/>
    <w:rsid w:val="006A1C4F"/>
    <w:rsid w:val="006A2364"/>
    <w:rsid w:val="006B5543"/>
    <w:rsid w:val="006B75B8"/>
    <w:rsid w:val="006B77B7"/>
    <w:rsid w:val="006B7CC9"/>
    <w:rsid w:val="006C7A70"/>
    <w:rsid w:val="006D077B"/>
    <w:rsid w:val="006D0937"/>
    <w:rsid w:val="006D3304"/>
    <w:rsid w:val="006D3C8F"/>
    <w:rsid w:val="006D4877"/>
    <w:rsid w:val="006D59D8"/>
    <w:rsid w:val="006D7032"/>
    <w:rsid w:val="006E0ABA"/>
    <w:rsid w:val="006E0DDD"/>
    <w:rsid w:val="006E253C"/>
    <w:rsid w:val="006E340A"/>
    <w:rsid w:val="006E6962"/>
    <w:rsid w:val="006E75BC"/>
    <w:rsid w:val="006F21C8"/>
    <w:rsid w:val="006F2FDC"/>
    <w:rsid w:val="006F2FFA"/>
    <w:rsid w:val="006F3A0D"/>
    <w:rsid w:val="006F6944"/>
    <w:rsid w:val="006F7867"/>
    <w:rsid w:val="007006D6"/>
    <w:rsid w:val="007056C9"/>
    <w:rsid w:val="007067B2"/>
    <w:rsid w:val="00712812"/>
    <w:rsid w:val="00714F5A"/>
    <w:rsid w:val="00721110"/>
    <w:rsid w:val="00721890"/>
    <w:rsid w:val="0072236C"/>
    <w:rsid w:val="00723592"/>
    <w:rsid w:val="0072450C"/>
    <w:rsid w:val="007251E8"/>
    <w:rsid w:val="00731175"/>
    <w:rsid w:val="00732406"/>
    <w:rsid w:val="0073494B"/>
    <w:rsid w:val="007368B4"/>
    <w:rsid w:val="007374AE"/>
    <w:rsid w:val="00742342"/>
    <w:rsid w:val="00743BD9"/>
    <w:rsid w:val="0074509B"/>
    <w:rsid w:val="007516F0"/>
    <w:rsid w:val="00751F9F"/>
    <w:rsid w:val="00755A09"/>
    <w:rsid w:val="00756C87"/>
    <w:rsid w:val="007610BF"/>
    <w:rsid w:val="0077105A"/>
    <w:rsid w:val="0077570F"/>
    <w:rsid w:val="00781B39"/>
    <w:rsid w:val="0078298B"/>
    <w:rsid w:val="00785729"/>
    <w:rsid w:val="0079080E"/>
    <w:rsid w:val="007A23D4"/>
    <w:rsid w:val="007A2F20"/>
    <w:rsid w:val="007A5836"/>
    <w:rsid w:val="007B1113"/>
    <w:rsid w:val="007B176E"/>
    <w:rsid w:val="007B1DC8"/>
    <w:rsid w:val="007B3255"/>
    <w:rsid w:val="007B3998"/>
    <w:rsid w:val="007B50B2"/>
    <w:rsid w:val="007B64E5"/>
    <w:rsid w:val="007B75B3"/>
    <w:rsid w:val="007C09AF"/>
    <w:rsid w:val="007C2257"/>
    <w:rsid w:val="007C2727"/>
    <w:rsid w:val="007C3AFE"/>
    <w:rsid w:val="007C6490"/>
    <w:rsid w:val="007D047F"/>
    <w:rsid w:val="007D3180"/>
    <w:rsid w:val="007D3196"/>
    <w:rsid w:val="007D3DDC"/>
    <w:rsid w:val="007D642D"/>
    <w:rsid w:val="007E28B3"/>
    <w:rsid w:val="007E2F80"/>
    <w:rsid w:val="007E3E8C"/>
    <w:rsid w:val="007E683D"/>
    <w:rsid w:val="007F1D13"/>
    <w:rsid w:val="007F77D4"/>
    <w:rsid w:val="0080112D"/>
    <w:rsid w:val="00801791"/>
    <w:rsid w:val="00801C7E"/>
    <w:rsid w:val="00806582"/>
    <w:rsid w:val="00806CB3"/>
    <w:rsid w:val="00806D80"/>
    <w:rsid w:val="008125B0"/>
    <w:rsid w:val="00815E34"/>
    <w:rsid w:val="008162EC"/>
    <w:rsid w:val="0082137D"/>
    <w:rsid w:val="00821771"/>
    <w:rsid w:val="00822769"/>
    <w:rsid w:val="0082312B"/>
    <w:rsid w:val="00825120"/>
    <w:rsid w:val="00826818"/>
    <w:rsid w:val="00826893"/>
    <w:rsid w:val="00826A7D"/>
    <w:rsid w:val="008276F3"/>
    <w:rsid w:val="00830344"/>
    <w:rsid w:val="00832894"/>
    <w:rsid w:val="008345A2"/>
    <w:rsid w:val="00834F29"/>
    <w:rsid w:val="00837BE5"/>
    <w:rsid w:val="00840CB1"/>
    <w:rsid w:val="008452C5"/>
    <w:rsid w:val="00845D80"/>
    <w:rsid w:val="00846A10"/>
    <w:rsid w:val="00852FBD"/>
    <w:rsid w:val="00853C45"/>
    <w:rsid w:val="00854486"/>
    <w:rsid w:val="00862729"/>
    <w:rsid w:val="00871101"/>
    <w:rsid w:val="00871759"/>
    <w:rsid w:val="00874387"/>
    <w:rsid w:val="00876B5C"/>
    <w:rsid w:val="008770E5"/>
    <w:rsid w:val="00877B1B"/>
    <w:rsid w:val="0088169E"/>
    <w:rsid w:val="00882961"/>
    <w:rsid w:val="00884CCA"/>
    <w:rsid w:val="0088505B"/>
    <w:rsid w:val="00885258"/>
    <w:rsid w:val="00885E6B"/>
    <w:rsid w:val="0089095B"/>
    <w:rsid w:val="00891E72"/>
    <w:rsid w:val="008A71A1"/>
    <w:rsid w:val="008B243D"/>
    <w:rsid w:val="008C534F"/>
    <w:rsid w:val="008C73DF"/>
    <w:rsid w:val="008D07FC"/>
    <w:rsid w:val="008D3878"/>
    <w:rsid w:val="008D6591"/>
    <w:rsid w:val="008E082F"/>
    <w:rsid w:val="008E0E2A"/>
    <w:rsid w:val="008E1C19"/>
    <w:rsid w:val="008E5140"/>
    <w:rsid w:val="008F104A"/>
    <w:rsid w:val="008F1FF0"/>
    <w:rsid w:val="008F37D9"/>
    <w:rsid w:val="008F5684"/>
    <w:rsid w:val="008F7709"/>
    <w:rsid w:val="0090605E"/>
    <w:rsid w:val="00907594"/>
    <w:rsid w:val="00907649"/>
    <w:rsid w:val="009076CA"/>
    <w:rsid w:val="00910F5E"/>
    <w:rsid w:val="0091114D"/>
    <w:rsid w:val="009124B2"/>
    <w:rsid w:val="00912E72"/>
    <w:rsid w:val="0091327D"/>
    <w:rsid w:val="00913935"/>
    <w:rsid w:val="00916721"/>
    <w:rsid w:val="00921FEA"/>
    <w:rsid w:val="009222E9"/>
    <w:rsid w:val="00924E28"/>
    <w:rsid w:val="00927B8F"/>
    <w:rsid w:val="00931D30"/>
    <w:rsid w:val="00932936"/>
    <w:rsid w:val="0094023E"/>
    <w:rsid w:val="00940E53"/>
    <w:rsid w:val="009429A6"/>
    <w:rsid w:val="0094401B"/>
    <w:rsid w:val="00953057"/>
    <w:rsid w:val="009577D6"/>
    <w:rsid w:val="009633B9"/>
    <w:rsid w:val="00967654"/>
    <w:rsid w:val="009719AD"/>
    <w:rsid w:val="00972168"/>
    <w:rsid w:val="00974A9B"/>
    <w:rsid w:val="0097729E"/>
    <w:rsid w:val="0098048C"/>
    <w:rsid w:val="00984F2E"/>
    <w:rsid w:val="00986321"/>
    <w:rsid w:val="00986B75"/>
    <w:rsid w:val="009872C1"/>
    <w:rsid w:val="00987F5C"/>
    <w:rsid w:val="00994659"/>
    <w:rsid w:val="00995E38"/>
    <w:rsid w:val="00995E64"/>
    <w:rsid w:val="009974E0"/>
    <w:rsid w:val="00997F9E"/>
    <w:rsid w:val="009A0370"/>
    <w:rsid w:val="009A33F5"/>
    <w:rsid w:val="009A42FD"/>
    <w:rsid w:val="009A5008"/>
    <w:rsid w:val="009A6026"/>
    <w:rsid w:val="009B0002"/>
    <w:rsid w:val="009B1E1C"/>
    <w:rsid w:val="009B31C8"/>
    <w:rsid w:val="009B3FA7"/>
    <w:rsid w:val="009B5A57"/>
    <w:rsid w:val="009B5F43"/>
    <w:rsid w:val="009B6BDF"/>
    <w:rsid w:val="009C0B6B"/>
    <w:rsid w:val="009C104A"/>
    <w:rsid w:val="009C1C45"/>
    <w:rsid w:val="009C202F"/>
    <w:rsid w:val="009C2EF2"/>
    <w:rsid w:val="009C38EC"/>
    <w:rsid w:val="009C4BC2"/>
    <w:rsid w:val="009D0F2A"/>
    <w:rsid w:val="009D2917"/>
    <w:rsid w:val="009D508F"/>
    <w:rsid w:val="009D672E"/>
    <w:rsid w:val="009F60F0"/>
    <w:rsid w:val="009F73F3"/>
    <w:rsid w:val="00A0140C"/>
    <w:rsid w:val="00A01E19"/>
    <w:rsid w:val="00A03F46"/>
    <w:rsid w:val="00A05304"/>
    <w:rsid w:val="00A056E0"/>
    <w:rsid w:val="00A06F21"/>
    <w:rsid w:val="00A100A2"/>
    <w:rsid w:val="00A20CBC"/>
    <w:rsid w:val="00A23F4E"/>
    <w:rsid w:val="00A25FEB"/>
    <w:rsid w:val="00A267FC"/>
    <w:rsid w:val="00A317DC"/>
    <w:rsid w:val="00A3764A"/>
    <w:rsid w:val="00A37F1E"/>
    <w:rsid w:val="00A42D62"/>
    <w:rsid w:val="00A42DBC"/>
    <w:rsid w:val="00A43BB3"/>
    <w:rsid w:val="00A442F2"/>
    <w:rsid w:val="00A462C8"/>
    <w:rsid w:val="00A46E4D"/>
    <w:rsid w:val="00A50444"/>
    <w:rsid w:val="00A50D5B"/>
    <w:rsid w:val="00A538DC"/>
    <w:rsid w:val="00A55D10"/>
    <w:rsid w:val="00A5692D"/>
    <w:rsid w:val="00A626E7"/>
    <w:rsid w:val="00A62D7A"/>
    <w:rsid w:val="00A62E8E"/>
    <w:rsid w:val="00A71C61"/>
    <w:rsid w:val="00A76526"/>
    <w:rsid w:val="00A82C31"/>
    <w:rsid w:val="00A91E95"/>
    <w:rsid w:val="00A94FF0"/>
    <w:rsid w:val="00A956EB"/>
    <w:rsid w:val="00AA0384"/>
    <w:rsid w:val="00AA10DB"/>
    <w:rsid w:val="00AA3C66"/>
    <w:rsid w:val="00AB00D5"/>
    <w:rsid w:val="00AB1FEC"/>
    <w:rsid w:val="00AB5BED"/>
    <w:rsid w:val="00AB691B"/>
    <w:rsid w:val="00AC01A6"/>
    <w:rsid w:val="00AC2EDB"/>
    <w:rsid w:val="00AC31A7"/>
    <w:rsid w:val="00AC6C8E"/>
    <w:rsid w:val="00AC78EF"/>
    <w:rsid w:val="00AE191C"/>
    <w:rsid w:val="00AE3A2E"/>
    <w:rsid w:val="00AE6F95"/>
    <w:rsid w:val="00AE7F0B"/>
    <w:rsid w:val="00AF20CB"/>
    <w:rsid w:val="00AF63E2"/>
    <w:rsid w:val="00B032F5"/>
    <w:rsid w:val="00B0608E"/>
    <w:rsid w:val="00B138BA"/>
    <w:rsid w:val="00B15360"/>
    <w:rsid w:val="00B15EE5"/>
    <w:rsid w:val="00B24579"/>
    <w:rsid w:val="00B32845"/>
    <w:rsid w:val="00B337B4"/>
    <w:rsid w:val="00B34E7F"/>
    <w:rsid w:val="00B3682D"/>
    <w:rsid w:val="00B37CE7"/>
    <w:rsid w:val="00B42346"/>
    <w:rsid w:val="00B42ACC"/>
    <w:rsid w:val="00B435C0"/>
    <w:rsid w:val="00B43D95"/>
    <w:rsid w:val="00B46363"/>
    <w:rsid w:val="00B50C17"/>
    <w:rsid w:val="00B56BBC"/>
    <w:rsid w:val="00B601F8"/>
    <w:rsid w:val="00B645E4"/>
    <w:rsid w:val="00B728A1"/>
    <w:rsid w:val="00B76C9B"/>
    <w:rsid w:val="00B773D0"/>
    <w:rsid w:val="00B779B2"/>
    <w:rsid w:val="00B80C67"/>
    <w:rsid w:val="00B80DF0"/>
    <w:rsid w:val="00B83122"/>
    <w:rsid w:val="00B86636"/>
    <w:rsid w:val="00B872B9"/>
    <w:rsid w:val="00B90250"/>
    <w:rsid w:val="00B907B5"/>
    <w:rsid w:val="00B94E12"/>
    <w:rsid w:val="00B9679F"/>
    <w:rsid w:val="00BA1ECA"/>
    <w:rsid w:val="00BA63E6"/>
    <w:rsid w:val="00BB5CCF"/>
    <w:rsid w:val="00BB780F"/>
    <w:rsid w:val="00BC2E24"/>
    <w:rsid w:val="00BD5244"/>
    <w:rsid w:val="00BD5450"/>
    <w:rsid w:val="00BD74F8"/>
    <w:rsid w:val="00BE1A5C"/>
    <w:rsid w:val="00BE36DA"/>
    <w:rsid w:val="00BE3E41"/>
    <w:rsid w:val="00BF4CB1"/>
    <w:rsid w:val="00C05293"/>
    <w:rsid w:val="00C07DC6"/>
    <w:rsid w:val="00C11A16"/>
    <w:rsid w:val="00C14D22"/>
    <w:rsid w:val="00C15DE1"/>
    <w:rsid w:val="00C20FCD"/>
    <w:rsid w:val="00C25764"/>
    <w:rsid w:val="00C326EA"/>
    <w:rsid w:val="00C35BF1"/>
    <w:rsid w:val="00C377D8"/>
    <w:rsid w:val="00C40B97"/>
    <w:rsid w:val="00C4121B"/>
    <w:rsid w:val="00C42BA5"/>
    <w:rsid w:val="00C4487F"/>
    <w:rsid w:val="00C4496C"/>
    <w:rsid w:val="00C45276"/>
    <w:rsid w:val="00C4591F"/>
    <w:rsid w:val="00C4625D"/>
    <w:rsid w:val="00C520D8"/>
    <w:rsid w:val="00C60B48"/>
    <w:rsid w:val="00C615EE"/>
    <w:rsid w:val="00C70374"/>
    <w:rsid w:val="00C71987"/>
    <w:rsid w:val="00C74887"/>
    <w:rsid w:val="00C814BA"/>
    <w:rsid w:val="00C830B4"/>
    <w:rsid w:val="00C83143"/>
    <w:rsid w:val="00C835F1"/>
    <w:rsid w:val="00C84D42"/>
    <w:rsid w:val="00C869D5"/>
    <w:rsid w:val="00C873B2"/>
    <w:rsid w:val="00C87B15"/>
    <w:rsid w:val="00C91A37"/>
    <w:rsid w:val="00C94055"/>
    <w:rsid w:val="00CA158F"/>
    <w:rsid w:val="00CA2862"/>
    <w:rsid w:val="00CA4FF4"/>
    <w:rsid w:val="00CA745B"/>
    <w:rsid w:val="00CB1388"/>
    <w:rsid w:val="00CB17B8"/>
    <w:rsid w:val="00CB371D"/>
    <w:rsid w:val="00CB6DD8"/>
    <w:rsid w:val="00CC2DAD"/>
    <w:rsid w:val="00CC3549"/>
    <w:rsid w:val="00CC3D53"/>
    <w:rsid w:val="00CC4777"/>
    <w:rsid w:val="00CC5C39"/>
    <w:rsid w:val="00CC759F"/>
    <w:rsid w:val="00CC7639"/>
    <w:rsid w:val="00CC7887"/>
    <w:rsid w:val="00CC7DBC"/>
    <w:rsid w:val="00CD2359"/>
    <w:rsid w:val="00CD39DA"/>
    <w:rsid w:val="00CD5DAD"/>
    <w:rsid w:val="00CD60C1"/>
    <w:rsid w:val="00CE14BF"/>
    <w:rsid w:val="00CE4094"/>
    <w:rsid w:val="00CE4D04"/>
    <w:rsid w:val="00CE56A6"/>
    <w:rsid w:val="00CE723B"/>
    <w:rsid w:val="00CF148C"/>
    <w:rsid w:val="00CF18F3"/>
    <w:rsid w:val="00CF46DA"/>
    <w:rsid w:val="00CF5FC8"/>
    <w:rsid w:val="00CF713E"/>
    <w:rsid w:val="00D01387"/>
    <w:rsid w:val="00D035ED"/>
    <w:rsid w:val="00D046E7"/>
    <w:rsid w:val="00D07418"/>
    <w:rsid w:val="00D115F7"/>
    <w:rsid w:val="00D125B2"/>
    <w:rsid w:val="00D13041"/>
    <w:rsid w:val="00D156CE"/>
    <w:rsid w:val="00D16000"/>
    <w:rsid w:val="00D21B3E"/>
    <w:rsid w:val="00D246E2"/>
    <w:rsid w:val="00D27F16"/>
    <w:rsid w:val="00D304E3"/>
    <w:rsid w:val="00D30EC3"/>
    <w:rsid w:val="00D33B32"/>
    <w:rsid w:val="00D354D5"/>
    <w:rsid w:val="00D35F73"/>
    <w:rsid w:val="00D363B1"/>
    <w:rsid w:val="00D41BF4"/>
    <w:rsid w:val="00D421FB"/>
    <w:rsid w:val="00D45D2F"/>
    <w:rsid w:val="00D46A51"/>
    <w:rsid w:val="00D46DA9"/>
    <w:rsid w:val="00D47F6A"/>
    <w:rsid w:val="00D50A1B"/>
    <w:rsid w:val="00D51520"/>
    <w:rsid w:val="00D53E42"/>
    <w:rsid w:val="00D57DAE"/>
    <w:rsid w:val="00D60F7B"/>
    <w:rsid w:val="00D615A9"/>
    <w:rsid w:val="00D64D9A"/>
    <w:rsid w:val="00D6525A"/>
    <w:rsid w:val="00D66DBB"/>
    <w:rsid w:val="00D70D16"/>
    <w:rsid w:val="00D736AB"/>
    <w:rsid w:val="00D7700B"/>
    <w:rsid w:val="00D87BAC"/>
    <w:rsid w:val="00D91C4B"/>
    <w:rsid w:val="00D91D20"/>
    <w:rsid w:val="00D9206D"/>
    <w:rsid w:val="00D927D9"/>
    <w:rsid w:val="00D92A5E"/>
    <w:rsid w:val="00D94756"/>
    <w:rsid w:val="00DA12D1"/>
    <w:rsid w:val="00DA196F"/>
    <w:rsid w:val="00DA2DD1"/>
    <w:rsid w:val="00DA428C"/>
    <w:rsid w:val="00DA7D21"/>
    <w:rsid w:val="00DB0C58"/>
    <w:rsid w:val="00DB4E39"/>
    <w:rsid w:val="00DB5056"/>
    <w:rsid w:val="00DB6C7D"/>
    <w:rsid w:val="00DB6F0A"/>
    <w:rsid w:val="00DC55DA"/>
    <w:rsid w:val="00DC6197"/>
    <w:rsid w:val="00DC6C20"/>
    <w:rsid w:val="00DD17C5"/>
    <w:rsid w:val="00DD2BC5"/>
    <w:rsid w:val="00DD2F4F"/>
    <w:rsid w:val="00DD3BB5"/>
    <w:rsid w:val="00DD6D16"/>
    <w:rsid w:val="00DE2044"/>
    <w:rsid w:val="00DE20A7"/>
    <w:rsid w:val="00DE2699"/>
    <w:rsid w:val="00DE282D"/>
    <w:rsid w:val="00DF0792"/>
    <w:rsid w:val="00DF1602"/>
    <w:rsid w:val="00DF1CF5"/>
    <w:rsid w:val="00DF25B9"/>
    <w:rsid w:val="00E04108"/>
    <w:rsid w:val="00E04288"/>
    <w:rsid w:val="00E07A82"/>
    <w:rsid w:val="00E11B5C"/>
    <w:rsid w:val="00E12908"/>
    <w:rsid w:val="00E13D23"/>
    <w:rsid w:val="00E14E26"/>
    <w:rsid w:val="00E15B21"/>
    <w:rsid w:val="00E1648A"/>
    <w:rsid w:val="00E205D9"/>
    <w:rsid w:val="00E25F8B"/>
    <w:rsid w:val="00E26512"/>
    <w:rsid w:val="00E3252D"/>
    <w:rsid w:val="00E36788"/>
    <w:rsid w:val="00E3796C"/>
    <w:rsid w:val="00E37D7B"/>
    <w:rsid w:val="00E43C82"/>
    <w:rsid w:val="00E46117"/>
    <w:rsid w:val="00E47945"/>
    <w:rsid w:val="00E501E7"/>
    <w:rsid w:val="00E5061C"/>
    <w:rsid w:val="00E52635"/>
    <w:rsid w:val="00E52A98"/>
    <w:rsid w:val="00E60B1B"/>
    <w:rsid w:val="00E629AF"/>
    <w:rsid w:val="00E733FB"/>
    <w:rsid w:val="00E7538E"/>
    <w:rsid w:val="00E8195E"/>
    <w:rsid w:val="00E83A0D"/>
    <w:rsid w:val="00E87271"/>
    <w:rsid w:val="00E8753E"/>
    <w:rsid w:val="00E875ED"/>
    <w:rsid w:val="00E92E2F"/>
    <w:rsid w:val="00E9429F"/>
    <w:rsid w:val="00E94F95"/>
    <w:rsid w:val="00EA1253"/>
    <w:rsid w:val="00EA1D03"/>
    <w:rsid w:val="00EA2CBA"/>
    <w:rsid w:val="00EA3447"/>
    <w:rsid w:val="00EA5350"/>
    <w:rsid w:val="00EB32DB"/>
    <w:rsid w:val="00EC18C2"/>
    <w:rsid w:val="00EC63D9"/>
    <w:rsid w:val="00ED0648"/>
    <w:rsid w:val="00ED1D26"/>
    <w:rsid w:val="00ED727E"/>
    <w:rsid w:val="00EE0668"/>
    <w:rsid w:val="00EE0E98"/>
    <w:rsid w:val="00EE2873"/>
    <w:rsid w:val="00EE2D3C"/>
    <w:rsid w:val="00EE562E"/>
    <w:rsid w:val="00EE572D"/>
    <w:rsid w:val="00EF1E45"/>
    <w:rsid w:val="00EF2A1A"/>
    <w:rsid w:val="00EF64F7"/>
    <w:rsid w:val="00EF6DB9"/>
    <w:rsid w:val="00F017AA"/>
    <w:rsid w:val="00F02FB6"/>
    <w:rsid w:val="00F15DA9"/>
    <w:rsid w:val="00F21412"/>
    <w:rsid w:val="00F24254"/>
    <w:rsid w:val="00F279FD"/>
    <w:rsid w:val="00F306C1"/>
    <w:rsid w:val="00F30C10"/>
    <w:rsid w:val="00F32B4F"/>
    <w:rsid w:val="00F33073"/>
    <w:rsid w:val="00F35993"/>
    <w:rsid w:val="00F4049E"/>
    <w:rsid w:val="00F42841"/>
    <w:rsid w:val="00F44F45"/>
    <w:rsid w:val="00F46670"/>
    <w:rsid w:val="00F46D9D"/>
    <w:rsid w:val="00F507CB"/>
    <w:rsid w:val="00F50923"/>
    <w:rsid w:val="00F539FF"/>
    <w:rsid w:val="00F54BEC"/>
    <w:rsid w:val="00F603F5"/>
    <w:rsid w:val="00F60C78"/>
    <w:rsid w:val="00F62938"/>
    <w:rsid w:val="00F711E7"/>
    <w:rsid w:val="00F75DB9"/>
    <w:rsid w:val="00F7632B"/>
    <w:rsid w:val="00F775FA"/>
    <w:rsid w:val="00F77659"/>
    <w:rsid w:val="00F90F1C"/>
    <w:rsid w:val="00F93316"/>
    <w:rsid w:val="00FA2529"/>
    <w:rsid w:val="00FA4CB7"/>
    <w:rsid w:val="00FA57D1"/>
    <w:rsid w:val="00FA65DD"/>
    <w:rsid w:val="00FB19F3"/>
    <w:rsid w:val="00FB2608"/>
    <w:rsid w:val="00FB3553"/>
    <w:rsid w:val="00FB6208"/>
    <w:rsid w:val="00FB67D5"/>
    <w:rsid w:val="00FC4242"/>
    <w:rsid w:val="00FC43E8"/>
    <w:rsid w:val="00FD3E44"/>
    <w:rsid w:val="00FD4015"/>
    <w:rsid w:val="00FD6F91"/>
    <w:rsid w:val="00FE11AE"/>
    <w:rsid w:val="00FE3C3F"/>
    <w:rsid w:val="00FE4F1C"/>
    <w:rsid w:val="00FE5CD6"/>
    <w:rsid w:val="00FE5D8B"/>
    <w:rsid w:val="00FE5DF6"/>
    <w:rsid w:val="00FF02FC"/>
    <w:rsid w:val="00FF07CD"/>
    <w:rsid w:val="00FF17DF"/>
    <w:rsid w:val="00FF2F82"/>
    <w:rsid w:val="00FF3E9D"/>
    <w:rsid w:val="00FF49A8"/>
    <w:rsid w:val="00FF588E"/>
    <w:rsid w:val="00FF6123"/>
    <w:rsid w:val="018F7952"/>
    <w:rsid w:val="01944051"/>
    <w:rsid w:val="01991EB4"/>
    <w:rsid w:val="01E0518C"/>
    <w:rsid w:val="0267290F"/>
    <w:rsid w:val="02797D15"/>
    <w:rsid w:val="02AD67FB"/>
    <w:rsid w:val="02B6722E"/>
    <w:rsid w:val="02BF10AE"/>
    <w:rsid w:val="02C75D2A"/>
    <w:rsid w:val="02DE1A2B"/>
    <w:rsid w:val="0306337B"/>
    <w:rsid w:val="03232B43"/>
    <w:rsid w:val="033168E5"/>
    <w:rsid w:val="03617BC7"/>
    <w:rsid w:val="039F32F6"/>
    <w:rsid w:val="03B52E7E"/>
    <w:rsid w:val="03BD3FAD"/>
    <w:rsid w:val="03DA1658"/>
    <w:rsid w:val="042B0F6D"/>
    <w:rsid w:val="043F6426"/>
    <w:rsid w:val="044325CE"/>
    <w:rsid w:val="04F0440B"/>
    <w:rsid w:val="0506415E"/>
    <w:rsid w:val="05112121"/>
    <w:rsid w:val="053B6CC4"/>
    <w:rsid w:val="055B7589"/>
    <w:rsid w:val="05F0756B"/>
    <w:rsid w:val="062F7DC0"/>
    <w:rsid w:val="067A521E"/>
    <w:rsid w:val="06BB19C1"/>
    <w:rsid w:val="071971DA"/>
    <w:rsid w:val="074029D5"/>
    <w:rsid w:val="07445E38"/>
    <w:rsid w:val="075C5A87"/>
    <w:rsid w:val="07696AAD"/>
    <w:rsid w:val="0777595E"/>
    <w:rsid w:val="0783392A"/>
    <w:rsid w:val="079E1EF8"/>
    <w:rsid w:val="07A951AC"/>
    <w:rsid w:val="07B01B0A"/>
    <w:rsid w:val="07C54F98"/>
    <w:rsid w:val="07CD1D72"/>
    <w:rsid w:val="08024A9F"/>
    <w:rsid w:val="081B23AE"/>
    <w:rsid w:val="087B391D"/>
    <w:rsid w:val="08CC7B7E"/>
    <w:rsid w:val="08CD6716"/>
    <w:rsid w:val="08EF01FA"/>
    <w:rsid w:val="08F70BA8"/>
    <w:rsid w:val="0910563A"/>
    <w:rsid w:val="0A160A2B"/>
    <w:rsid w:val="0A197A1A"/>
    <w:rsid w:val="0AAE262A"/>
    <w:rsid w:val="0ADE42E0"/>
    <w:rsid w:val="0AF97D68"/>
    <w:rsid w:val="0B0E458C"/>
    <w:rsid w:val="0B174DC0"/>
    <w:rsid w:val="0BA55F1B"/>
    <w:rsid w:val="0BCB2A5E"/>
    <w:rsid w:val="0C8750B9"/>
    <w:rsid w:val="0CA550E9"/>
    <w:rsid w:val="0D1E3AE0"/>
    <w:rsid w:val="0D251258"/>
    <w:rsid w:val="0D4977E2"/>
    <w:rsid w:val="0D5F4759"/>
    <w:rsid w:val="0DA47473"/>
    <w:rsid w:val="0E10354B"/>
    <w:rsid w:val="0E1325D7"/>
    <w:rsid w:val="0E2A6C4B"/>
    <w:rsid w:val="0E353CF7"/>
    <w:rsid w:val="0E696F84"/>
    <w:rsid w:val="0EF73A29"/>
    <w:rsid w:val="0F281D63"/>
    <w:rsid w:val="0F2A413C"/>
    <w:rsid w:val="0F2A5FF8"/>
    <w:rsid w:val="0F4A6519"/>
    <w:rsid w:val="0F8D7E35"/>
    <w:rsid w:val="0FC40172"/>
    <w:rsid w:val="0FC72FDB"/>
    <w:rsid w:val="109F7E47"/>
    <w:rsid w:val="10B1586F"/>
    <w:rsid w:val="10CC0289"/>
    <w:rsid w:val="11C36010"/>
    <w:rsid w:val="11FC1F18"/>
    <w:rsid w:val="12167641"/>
    <w:rsid w:val="12191E87"/>
    <w:rsid w:val="12311AFF"/>
    <w:rsid w:val="123A1676"/>
    <w:rsid w:val="125B2E1C"/>
    <w:rsid w:val="127B61EA"/>
    <w:rsid w:val="13503967"/>
    <w:rsid w:val="135D398D"/>
    <w:rsid w:val="13C90916"/>
    <w:rsid w:val="13DA4490"/>
    <w:rsid w:val="13DD1A7B"/>
    <w:rsid w:val="14133621"/>
    <w:rsid w:val="143E4A1F"/>
    <w:rsid w:val="145D16EA"/>
    <w:rsid w:val="14710E8F"/>
    <w:rsid w:val="147772D8"/>
    <w:rsid w:val="149C4854"/>
    <w:rsid w:val="14D8469C"/>
    <w:rsid w:val="14F831F4"/>
    <w:rsid w:val="150542E7"/>
    <w:rsid w:val="151A266A"/>
    <w:rsid w:val="151C25CB"/>
    <w:rsid w:val="154E1251"/>
    <w:rsid w:val="15532FF9"/>
    <w:rsid w:val="15CC018D"/>
    <w:rsid w:val="15CF1017"/>
    <w:rsid w:val="15F22BBE"/>
    <w:rsid w:val="15F42453"/>
    <w:rsid w:val="15FF54BA"/>
    <w:rsid w:val="161C3EC5"/>
    <w:rsid w:val="16212980"/>
    <w:rsid w:val="16456080"/>
    <w:rsid w:val="164745E5"/>
    <w:rsid w:val="16547120"/>
    <w:rsid w:val="167664C6"/>
    <w:rsid w:val="16972AB9"/>
    <w:rsid w:val="169C153F"/>
    <w:rsid w:val="169C7DCF"/>
    <w:rsid w:val="16BD5867"/>
    <w:rsid w:val="172C52AA"/>
    <w:rsid w:val="17672146"/>
    <w:rsid w:val="17836C5A"/>
    <w:rsid w:val="178C39D5"/>
    <w:rsid w:val="18026C4C"/>
    <w:rsid w:val="184238AB"/>
    <w:rsid w:val="185313AD"/>
    <w:rsid w:val="18534349"/>
    <w:rsid w:val="18723C21"/>
    <w:rsid w:val="187678A6"/>
    <w:rsid w:val="19081158"/>
    <w:rsid w:val="19194A7B"/>
    <w:rsid w:val="193E4B4D"/>
    <w:rsid w:val="199E6826"/>
    <w:rsid w:val="19C00C66"/>
    <w:rsid w:val="19EB389E"/>
    <w:rsid w:val="19EE3B94"/>
    <w:rsid w:val="19F172DC"/>
    <w:rsid w:val="19F470AD"/>
    <w:rsid w:val="1AA06F5A"/>
    <w:rsid w:val="1ADF1F0B"/>
    <w:rsid w:val="1AF17443"/>
    <w:rsid w:val="1B7C3D1C"/>
    <w:rsid w:val="1BA67AEA"/>
    <w:rsid w:val="1BCA2199"/>
    <w:rsid w:val="1C025EC1"/>
    <w:rsid w:val="1C0C34BB"/>
    <w:rsid w:val="1CB122B8"/>
    <w:rsid w:val="1CBD6A53"/>
    <w:rsid w:val="1CC820BE"/>
    <w:rsid w:val="1D3F4C0B"/>
    <w:rsid w:val="1D652505"/>
    <w:rsid w:val="1DA00715"/>
    <w:rsid w:val="1DAF4D6F"/>
    <w:rsid w:val="1DB84E63"/>
    <w:rsid w:val="1E3276BA"/>
    <w:rsid w:val="1E5841C7"/>
    <w:rsid w:val="1E8A260F"/>
    <w:rsid w:val="1EC13D7F"/>
    <w:rsid w:val="1EDA1028"/>
    <w:rsid w:val="1EE61DFE"/>
    <w:rsid w:val="1F002D34"/>
    <w:rsid w:val="1F0F6803"/>
    <w:rsid w:val="1F280985"/>
    <w:rsid w:val="1F5C7A75"/>
    <w:rsid w:val="1F64493D"/>
    <w:rsid w:val="1F696D40"/>
    <w:rsid w:val="1F6E6E31"/>
    <w:rsid w:val="1F7574F9"/>
    <w:rsid w:val="1F8D25DD"/>
    <w:rsid w:val="1FCA4638"/>
    <w:rsid w:val="202D76F6"/>
    <w:rsid w:val="207D2938"/>
    <w:rsid w:val="20A96430"/>
    <w:rsid w:val="20B53430"/>
    <w:rsid w:val="20BE6668"/>
    <w:rsid w:val="20F440DF"/>
    <w:rsid w:val="21055302"/>
    <w:rsid w:val="216D3D1B"/>
    <w:rsid w:val="217B0DF2"/>
    <w:rsid w:val="217D5218"/>
    <w:rsid w:val="21E12E8E"/>
    <w:rsid w:val="228B4129"/>
    <w:rsid w:val="22C14E4F"/>
    <w:rsid w:val="22C14ECB"/>
    <w:rsid w:val="22D57551"/>
    <w:rsid w:val="22D85B0F"/>
    <w:rsid w:val="22F67FA0"/>
    <w:rsid w:val="23105488"/>
    <w:rsid w:val="233B2DFC"/>
    <w:rsid w:val="23416022"/>
    <w:rsid w:val="2378512C"/>
    <w:rsid w:val="23986524"/>
    <w:rsid w:val="23BB6EDC"/>
    <w:rsid w:val="245C40A4"/>
    <w:rsid w:val="24607D33"/>
    <w:rsid w:val="24977320"/>
    <w:rsid w:val="24BE280F"/>
    <w:rsid w:val="250E57E6"/>
    <w:rsid w:val="25197D8C"/>
    <w:rsid w:val="253B1C1A"/>
    <w:rsid w:val="254F6804"/>
    <w:rsid w:val="257B0CAC"/>
    <w:rsid w:val="25B0628B"/>
    <w:rsid w:val="25FB0CD3"/>
    <w:rsid w:val="26A31B49"/>
    <w:rsid w:val="26C21EBC"/>
    <w:rsid w:val="26CF7759"/>
    <w:rsid w:val="2704786B"/>
    <w:rsid w:val="27314692"/>
    <w:rsid w:val="2737249E"/>
    <w:rsid w:val="27620233"/>
    <w:rsid w:val="27714FEB"/>
    <w:rsid w:val="27727A61"/>
    <w:rsid w:val="27743E31"/>
    <w:rsid w:val="27780CBB"/>
    <w:rsid w:val="28406954"/>
    <w:rsid w:val="28434FD7"/>
    <w:rsid w:val="287E7266"/>
    <w:rsid w:val="28962050"/>
    <w:rsid w:val="28BC101C"/>
    <w:rsid w:val="2950553A"/>
    <w:rsid w:val="29522B01"/>
    <w:rsid w:val="299718DD"/>
    <w:rsid w:val="29F70584"/>
    <w:rsid w:val="2A190450"/>
    <w:rsid w:val="2A541ED3"/>
    <w:rsid w:val="2A682330"/>
    <w:rsid w:val="2A732106"/>
    <w:rsid w:val="2A737D7A"/>
    <w:rsid w:val="2AE03B55"/>
    <w:rsid w:val="2B33071F"/>
    <w:rsid w:val="2B5B7641"/>
    <w:rsid w:val="2B831DE7"/>
    <w:rsid w:val="2B853C05"/>
    <w:rsid w:val="2BA5768F"/>
    <w:rsid w:val="2BB644D8"/>
    <w:rsid w:val="2BCD65F4"/>
    <w:rsid w:val="2C2078B3"/>
    <w:rsid w:val="2C646BB5"/>
    <w:rsid w:val="2D104648"/>
    <w:rsid w:val="2D130C39"/>
    <w:rsid w:val="2D855F93"/>
    <w:rsid w:val="2DD20AFC"/>
    <w:rsid w:val="2E536C85"/>
    <w:rsid w:val="2E574C02"/>
    <w:rsid w:val="2E660286"/>
    <w:rsid w:val="2EA94D5E"/>
    <w:rsid w:val="2ED56B81"/>
    <w:rsid w:val="2EF02962"/>
    <w:rsid w:val="2F083515"/>
    <w:rsid w:val="2F244621"/>
    <w:rsid w:val="2F4025E9"/>
    <w:rsid w:val="2F5F6186"/>
    <w:rsid w:val="2FA31522"/>
    <w:rsid w:val="2FB61094"/>
    <w:rsid w:val="2FC229A2"/>
    <w:rsid w:val="2FFC7A0E"/>
    <w:rsid w:val="30354AD0"/>
    <w:rsid w:val="30911F8C"/>
    <w:rsid w:val="319D622E"/>
    <w:rsid w:val="31D80186"/>
    <w:rsid w:val="31E07CB7"/>
    <w:rsid w:val="320B7B5E"/>
    <w:rsid w:val="321630FA"/>
    <w:rsid w:val="324D41D9"/>
    <w:rsid w:val="32690405"/>
    <w:rsid w:val="32CD0DAD"/>
    <w:rsid w:val="332A4E16"/>
    <w:rsid w:val="33323A75"/>
    <w:rsid w:val="3363107A"/>
    <w:rsid w:val="336C2581"/>
    <w:rsid w:val="337C47A6"/>
    <w:rsid w:val="33835B53"/>
    <w:rsid w:val="33890C8F"/>
    <w:rsid w:val="33E37556"/>
    <w:rsid w:val="341B222F"/>
    <w:rsid w:val="345E7DC3"/>
    <w:rsid w:val="347F5293"/>
    <w:rsid w:val="3481421E"/>
    <w:rsid w:val="35273ED1"/>
    <w:rsid w:val="356F5644"/>
    <w:rsid w:val="35B92201"/>
    <w:rsid w:val="35D629F5"/>
    <w:rsid w:val="35DD296B"/>
    <w:rsid w:val="35E566FB"/>
    <w:rsid w:val="35EF7542"/>
    <w:rsid w:val="35F32B67"/>
    <w:rsid w:val="36003C2A"/>
    <w:rsid w:val="3608456E"/>
    <w:rsid w:val="361F6638"/>
    <w:rsid w:val="36A75BEC"/>
    <w:rsid w:val="36E302D0"/>
    <w:rsid w:val="370642ED"/>
    <w:rsid w:val="3716211F"/>
    <w:rsid w:val="373C3563"/>
    <w:rsid w:val="375868EF"/>
    <w:rsid w:val="37645189"/>
    <w:rsid w:val="377C74BC"/>
    <w:rsid w:val="37F30C23"/>
    <w:rsid w:val="37F567A3"/>
    <w:rsid w:val="38620520"/>
    <w:rsid w:val="38740160"/>
    <w:rsid w:val="387B504A"/>
    <w:rsid w:val="387E4E4B"/>
    <w:rsid w:val="38D128CB"/>
    <w:rsid w:val="38D64D57"/>
    <w:rsid w:val="39401CB0"/>
    <w:rsid w:val="394F5E49"/>
    <w:rsid w:val="39F843D0"/>
    <w:rsid w:val="3A150CB5"/>
    <w:rsid w:val="3A6D1D92"/>
    <w:rsid w:val="3AB2620B"/>
    <w:rsid w:val="3B0D16F2"/>
    <w:rsid w:val="3B5B58D7"/>
    <w:rsid w:val="3B63467D"/>
    <w:rsid w:val="3B776768"/>
    <w:rsid w:val="3BEC625F"/>
    <w:rsid w:val="3C023E9F"/>
    <w:rsid w:val="3C166852"/>
    <w:rsid w:val="3C1B3785"/>
    <w:rsid w:val="3C2679C3"/>
    <w:rsid w:val="3C542220"/>
    <w:rsid w:val="3D182326"/>
    <w:rsid w:val="3D4D0625"/>
    <w:rsid w:val="3D8D107A"/>
    <w:rsid w:val="3D9D5A63"/>
    <w:rsid w:val="3E0B58AC"/>
    <w:rsid w:val="3E180ECD"/>
    <w:rsid w:val="3E3170BC"/>
    <w:rsid w:val="3E594080"/>
    <w:rsid w:val="3E8A0892"/>
    <w:rsid w:val="3EAE69CD"/>
    <w:rsid w:val="3ECA2954"/>
    <w:rsid w:val="3EEA4E40"/>
    <w:rsid w:val="3F2F55D9"/>
    <w:rsid w:val="3F31361C"/>
    <w:rsid w:val="3F626F64"/>
    <w:rsid w:val="3F8368CB"/>
    <w:rsid w:val="3FC86F40"/>
    <w:rsid w:val="40405449"/>
    <w:rsid w:val="404818F2"/>
    <w:rsid w:val="405409CE"/>
    <w:rsid w:val="40660EC0"/>
    <w:rsid w:val="40674587"/>
    <w:rsid w:val="40891E40"/>
    <w:rsid w:val="40E92563"/>
    <w:rsid w:val="40EA04B4"/>
    <w:rsid w:val="40EB2E8B"/>
    <w:rsid w:val="40F50566"/>
    <w:rsid w:val="415B6B61"/>
    <w:rsid w:val="41826532"/>
    <w:rsid w:val="418A2AC1"/>
    <w:rsid w:val="41D52ED3"/>
    <w:rsid w:val="420C10EA"/>
    <w:rsid w:val="422A4293"/>
    <w:rsid w:val="425644FC"/>
    <w:rsid w:val="42730E00"/>
    <w:rsid w:val="42806168"/>
    <w:rsid w:val="42BA6537"/>
    <w:rsid w:val="430A5EAD"/>
    <w:rsid w:val="436F49F9"/>
    <w:rsid w:val="43715854"/>
    <w:rsid w:val="437C0725"/>
    <w:rsid w:val="43802330"/>
    <w:rsid w:val="438B1B16"/>
    <w:rsid w:val="43B83592"/>
    <w:rsid w:val="43F13C79"/>
    <w:rsid w:val="44003AFC"/>
    <w:rsid w:val="446F7160"/>
    <w:rsid w:val="44A0041B"/>
    <w:rsid w:val="44B579A8"/>
    <w:rsid w:val="45243D30"/>
    <w:rsid w:val="454D65D7"/>
    <w:rsid w:val="45500292"/>
    <w:rsid w:val="45703A5D"/>
    <w:rsid w:val="45863930"/>
    <w:rsid w:val="459778E8"/>
    <w:rsid w:val="45BD5465"/>
    <w:rsid w:val="460D0F18"/>
    <w:rsid w:val="46AD246C"/>
    <w:rsid w:val="46BA1434"/>
    <w:rsid w:val="46D442FB"/>
    <w:rsid w:val="472546FC"/>
    <w:rsid w:val="473C3A99"/>
    <w:rsid w:val="47AF1F35"/>
    <w:rsid w:val="48287B80"/>
    <w:rsid w:val="48597B39"/>
    <w:rsid w:val="48651873"/>
    <w:rsid w:val="486A50DB"/>
    <w:rsid w:val="48CC4385"/>
    <w:rsid w:val="48FB56DC"/>
    <w:rsid w:val="49021893"/>
    <w:rsid w:val="493853DB"/>
    <w:rsid w:val="49430405"/>
    <w:rsid w:val="49867CF3"/>
    <w:rsid w:val="49A32798"/>
    <w:rsid w:val="4A4A5A4C"/>
    <w:rsid w:val="4A760740"/>
    <w:rsid w:val="4A893311"/>
    <w:rsid w:val="4AC10542"/>
    <w:rsid w:val="4ADD099A"/>
    <w:rsid w:val="4AFA62A3"/>
    <w:rsid w:val="4B313A42"/>
    <w:rsid w:val="4B437F81"/>
    <w:rsid w:val="4B760988"/>
    <w:rsid w:val="4B9A62AF"/>
    <w:rsid w:val="4B9F32EE"/>
    <w:rsid w:val="4BAE06A2"/>
    <w:rsid w:val="4BDE66C8"/>
    <w:rsid w:val="4BDF26A2"/>
    <w:rsid w:val="4C2F3297"/>
    <w:rsid w:val="4C320882"/>
    <w:rsid w:val="4CA164D0"/>
    <w:rsid w:val="4CCD5AD0"/>
    <w:rsid w:val="4D27620F"/>
    <w:rsid w:val="4D5148A3"/>
    <w:rsid w:val="4D560717"/>
    <w:rsid w:val="4D9B71D7"/>
    <w:rsid w:val="4E303EFC"/>
    <w:rsid w:val="4E527049"/>
    <w:rsid w:val="4EB250E6"/>
    <w:rsid w:val="4EBE4867"/>
    <w:rsid w:val="4EC11521"/>
    <w:rsid w:val="4EC14619"/>
    <w:rsid w:val="4EC439D9"/>
    <w:rsid w:val="4EC46751"/>
    <w:rsid w:val="4F3D1321"/>
    <w:rsid w:val="4F3D23DD"/>
    <w:rsid w:val="4F502974"/>
    <w:rsid w:val="4F6857D4"/>
    <w:rsid w:val="4F834DDE"/>
    <w:rsid w:val="4F8678E9"/>
    <w:rsid w:val="4F877CF5"/>
    <w:rsid w:val="4FBA4253"/>
    <w:rsid w:val="50011E81"/>
    <w:rsid w:val="505C5972"/>
    <w:rsid w:val="508605A1"/>
    <w:rsid w:val="50923421"/>
    <w:rsid w:val="509753FF"/>
    <w:rsid w:val="51206B97"/>
    <w:rsid w:val="513916E5"/>
    <w:rsid w:val="51477D68"/>
    <w:rsid w:val="516B5167"/>
    <w:rsid w:val="517C25E2"/>
    <w:rsid w:val="517C3FB0"/>
    <w:rsid w:val="519456CE"/>
    <w:rsid w:val="519B1845"/>
    <w:rsid w:val="51D86AFE"/>
    <w:rsid w:val="522271A8"/>
    <w:rsid w:val="5255211E"/>
    <w:rsid w:val="52AE7D73"/>
    <w:rsid w:val="52CD365D"/>
    <w:rsid w:val="531F533D"/>
    <w:rsid w:val="53202F66"/>
    <w:rsid w:val="53513958"/>
    <w:rsid w:val="53675551"/>
    <w:rsid w:val="53C61CCF"/>
    <w:rsid w:val="53F554B5"/>
    <w:rsid w:val="541E2DD9"/>
    <w:rsid w:val="544D26F6"/>
    <w:rsid w:val="54564B4E"/>
    <w:rsid w:val="545A10DC"/>
    <w:rsid w:val="5491715C"/>
    <w:rsid w:val="54987624"/>
    <w:rsid w:val="54E44BA8"/>
    <w:rsid w:val="54EF0E42"/>
    <w:rsid w:val="553F5720"/>
    <w:rsid w:val="55474FEC"/>
    <w:rsid w:val="5588094F"/>
    <w:rsid w:val="559A7000"/>
    <w:rsid w:val="55EA50E8"/>
    <w:rsid w:val="55FF240C"/>
    <w:rsid w:val="560110EA"/>
    <w:rsid w:val="562E179C"/>
    <w:rsid w:val="56EE26C2"/>
    <w:rsid w:val="56F30243"/>
    <w:rsid w:val="57300B21"/>
    <w:rsid w:val="577B4C0F"/>
    <w:rsid w:val="57AF2ABD"/>
    <w:rsid w:val="57EC78BB"/>
    <w:rsid w:val="583F2DBD"/>
    <w:rsid w:val="58657C25"/>
    <w:rsid w:val="58873140"/>
    <w:rsid w:val="58944D17"/>
    <w:rsid w:val="59216BA1"/>
    <w:rsid w:val="592B4D3E"/>
    <w:rsid w:val="59341A69"/>
    <w:rsid w:val="593F4E04"/>
    <w:rsid w:val="59A52775"/>
    <w:rsid w:val="5A435A0E"/>
    <w:rsid w:val="5A675914"/>
    <w:rsid w:val="5A781DF2"/>
    <w:rsid w:val="5A7E4326"/>
    <w:rsid w:val="5A91078C"/>
    <w:rsid w:val="5AFE6C84"/>
    <w:rsid w:val="5B966C88"/>
    <w:rsid w:val="5BC70C1D"/>
    <w:rsid w:val="5BE64A40"/>
    <w:rsid w:val="5C717EA1"/>
    <w:rsid w:val="5C96013F"/>
    <w:rsid w:val="5CBC35C5"/>
    <w:rsid w:val="5CE5414D"/>
    <w:rsid w:val="5D0C2C01"/>
    <w:rsid w:val="5D177188"/>
    <w:rsid w:val="5D5101A6"/>
    <w:rsid w:val="5D987893"/>
    <w:rsid w:val="5E1063E9"/>
    <w:rsid w:val="5E1D5B3E"/>
    <w:rsid w:val="5E3B0812"/>
    <w:rsid w:val="5E6B0243"/>
    <w:rsid w:val="5E9660E8"/>
    <w:rsid w:val="5E995F13"/>
    <w:rsid w:val="5F1C5796"/>
    <w:rsid w:val="5F444152"/>
    <w:rsid w:val="5F6B37BB"/>
    <w:rsid w:val="5FAF2C82"/>
    <w:rsid w:val="5FB15AC5"/>
    <w:rsid w:val="5FE400FE"/>
    <w:rsid w:val="60951670"/>
    <w:rsid w:val="60B04C1F"/>
    <w:rsid w:val="613F58E9"/>
    <w:rsid w:val="615B0B92"/>
    <w:rsid w:val="61974E27"/>
    <w:rsid w:val="61C64ACE"/>
    <w:rsid w:val="61E4737C"/>
    <w:rsid w:val="61FA4982"/>
    <w:rsid w:val="6221466B"/>
    <w:rsid w:val="62CA6048"/>
    <w:rsid w:val="62E529E5"/>
    <w:rsid w:val="637864A7"/>
    <w:rsid w:val="63795D72"/>
    <w:rsid w:val="63943B94"/>
    <w:rsid w:val="639C4526"/>
    <w:rsid w:val="63B73BC1"/>
    <w:rsid w:val="63CD357C"/>
    <w:rsid w:val="63D00907"/>
    <w:rsid w:val="63F20EAF"/>
    <w:rsid w:val="644F1254"/>
    <w:rsid w:val="646357C2"/>
    <w:rsid w:val="64710DE2"/>
    <w:rsid w:val="649F45FD"/>
    <w:rsid w:val="64A20DDD"/>
    <w:rsid w:val="64AB0D66"/>
    <w:rsid w:val="64B8710E"/>
    <w:rsid w:val="64D70FAB"/>
    <w:rsid w:val="65E479E4"/>
    <w:rsid w:val="66071C6A"/>
    <w:rsid w:val="660E4375"/>
    <w:rsid w:val="66A37310"/>
    <w:rsid w:val="66BC3E4D"/>
    <w:rsid w:val="66EB1055"/>
    <w:rsid w:val="670015D8"/>
    <w:rsid w:val="67201443"/>
    <w:rsid w:val="67241149"/>
    <w:rsid w:val="672679C9"/>
    <w:rsid w:val="676925C4"/>
    <w:rsid w:val="67EC2FBF"/>
    <w:rsid w:val="67F67BF9"/>
    <w:rsid w:val="68177F76"/>
    <w:rsid w:val="684A7F63"/>
    <w:rsid w:val="68582DDC"/>
    <w:rsid w:val="685F5322"/>
    <w:rsid w:val="687D1EBD"/>
    <w:rsid w:val="688B371F"/>
    <w:rsid w:val="68A22606"/>
    <w:rsid w:val="68D90E4B"/>
    <w:rsid w:val="690356AF"/>
    <w:rsid w:val="696D4413"/>
    <w:rsid w:val="698F23F0"/>
    <w:rsid w:val="69906734"/>
    <w:rsid w:val="69DC1F47"/>
    <w:rsid w:val="6A911D18"/>
    <w:rsid w:val="6AA54025"/>
    <w:rsid w:val="6AAA0710"/>
    <w:rsid w:val="6AC542C4"/>
    <w:rsid w:val="6AE81761"/>
    <w:rsid w:val="6B0C74AF"/>
    <w:rsid w:val="6B223CE7"/>
    <w:rsid w:val="6B373D84"/>
    <w:rsid w:val="6BA43D5F"/>
    <w:rsid w:val="6BB440F6"/>
    <w:rsid w:val="6BE80CC6"/>
    <w:rsid w:val="6BF3402C"/>
    <w:rsid w:val="6C0C4A9C"/>
    <w:rsid w:val="6C2F1330"/>
    <w:rsid w:val="6C336F12"/>
    <w:rsid w:val="6C400DED"/>
    <w:rsid w:val="6C7040A8"/>
    <w:rsid w:val="6C793D20"/>
    <w:rsid w:val="6CA16A6E"/>
    <w:rsid w:val="6CD05BAA"/>
    <w:rsid w:val="6CD417C1"/>
    <w:rsid w:val="6CDC510C"/>
    <w:rsid w:val="6CED516D"/>
    <w:rsid w:val="6D263EA5"/>
    <w:rsid w:val="6D6F379D"/>
    <w:rsid w:val="6D811100"/>
    <w:rsid w:val="6DC96DAB"/>
    <w:rsid w:val="6DE93A76"/>
    <w:rsid w:val="6E112472"/>
    <w:rsid w:val="6E437F32"/>
    <w:rsid w:val="6E554DC4"/>
    <w:rsid w:val="6E771C94"/>
    <w:rsid w:val="6EAC1DD1"/>
    <w:rsid w:val="6F4F36B4"/>
    <w:rsid w:val="6F895489"/>
    <w:rsid w:val="6FC656CF"/>
    <w:rsid w:val="703D4BFF"/>
    <w:rsid w:val="708C1308"/>
    <w:rsid w:val="70A02B99"/>
    <w:rsid w:val="70D5214B"/>
    <w:rsid w:val="70EA475B"/>
    <w:rsid w:val="70ED2756"/>
    <w:rsid w:val="71191194"/>
    <w:rsid w:val="711B06F2"/>
    <w:rsid w:val="7159554B"/>
    <w:rsid w:val="717B788E"/>
    <w:rsid w:val="71B240F7"/>
    <w:rsid w:val="720C1024"/>
    <w:rsid w:val="72514D9C"/>
    <w:rsid w:val="725F4E87"/>
    <w:rsid w:val="72614811"/>
    <w:rsid w:val="7286153F"/>
    <w:rsid w:val="729545AA"/>
    <w:rsid w:val="7297191A"/>
    <w:rsid w:val="72C82AE7"/>
    <w:rsid w:val="72D7068F"/>
    <w:rsid w:val="730963C8"/>
    <w:rsid w:val="731730AC"/>
    <w:rsid w:val="733A5527"/>
    <w:rsid w:val="734E41A7"/>
    <w:rsid w:val="73580A4B"/>
    <w:rsid w:val="73987250"/>
    <w:rsid w:val="73C00F46"/>
    <w:rsid w:val="73F91EBE"/>
    <w:rsid w:val="743A210F"/>
    <w:rsid w:val="743D5F96"/>
    <w:rsid w:val="746C31FB"/>
    <w:rsid w:val="748B1F2E"/>
    <w:rsid w:val="74B504B9"/>
    <w:rsid w:val="74DC3F4E"/>
    <w:rsid w:val="74FF2584"/>
    <w:rsid w:val="75433119"/>
    <w:rsid w:val="758E2D45"/>
    <w:rsid w:val="765C2740"/>
    <w:rsid w:val="769936C6"/>
    <w:rsid w:val="76B175C8"/>
    <w:rsid w:val="76F37EC6"/>
    <w:rsid w:val="7710731E"/>
    <w:rsid w:val="77617526"/>
    <w:rsid w:val="77CD74C0"/>
    <w:rsid w:val="77DB26A9"/>
    <w:rsid w:val="7892370F"/>
    <w:rsid w:val="78AD1AEC"/>
    <w:rsid w:val="78B33D7F"/>
    <w:rsid w:val="78BD60BC"/>
    <w:rsid w:val="78CD7BC8"/>
    <w:rsid w:val="795E6374"/>
    <w:rsid w:val="79B82852"/>
    <w:rsid w:val="79D31A11"/>
    <w:rsid w:val="79E602F0"/>
    <w:rsid w:val="7A14302F"/>
    <w:rsid w:val="7A45791D"/>
    <w:rsid w:val="7A7E0609"/>
    <w:rsid w:val="7AA40AFD"/>
    <w:rsid w:val="7AD46E2D"/>
    <w:rsid w:val="7AD7365B"/>
    <w:rsid w:val="7AEF2F01"/>
    <w:rsid w:val="7B0A6399"/>
    <w:rsid w:val="7B17182E"/>
    <w:rsid w:val="7B454337"/>
    <w:rsid w:val="7B6969E8"/>
    <w:rsid w:val="7C1B43D3"/>
    <w:rsid w:val="7C283E93"/>
    <w:rsid w:val="7C7F2C3C"/>
    <w:rsid w:val="7C951E84"/>
    <w:rsid w:val="7CCE3842"/>
    <w:rsid w:val="7D0703B6"/>
    <w:rsid w:val="7D1276D5"/>
    <w:rsid w:val="7D321965"/>
    <w:rsid w:val="7D8B1D18"/>
    <w:rsid w:val="7DA8199E"/>
    <w:rsid w:val="7DBA57F7"/>
    <w:rsid w:val="7DBE43F1"/>
    <w:rsid w:val="7DD71127"/>
    <w:rsid w:val="7DDF4C23"/>
    <w:rsid w:val="7E5A4C07"/>
    <w:rsid w:val="7EB502F1"/>
    <w:rsid w:val="7F052E8D"/>
    <w:rsid w:val="7F1D74CD"/>
    <w:rsid w:val="7F3B008E"/>
    <w:rsid w:val="7F460DAF"/>
    <w:rsid w:val="7F800FA1"/>
    <w:rsid w:val="7F995660"/>
    <w:rsid w:val="7F9F33B1"/>
    <w:rsid w:val="7FA57D9A"/>
    <w:rsid w:val="7FC2644A"/>
    <w:rsid w:val="7FDF54B6"/>
    <w:rsid w:val="7FEA3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99" w:semiHidden="0" w:name="index 2"/>
    <w:lsdException w:qFormat="1" w:unhideWhenUsed="0" w:uiPriority="99" w:semiHidden="0" w:name="index 3"/>
    <w:lsdException w:qFormat="1" w:unhideWhenUsed="0" w:uiPriority="0"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iPriority="99" w:semiHidden="0" w:name="Body Text Indent 2"/>
    <w:lsdException w:qFormat="1" w:unhideWhenUsed="0" w:uiPriority="99" w:semiHidden="0" w:name="Body Text Indent 3"/>
    <w:lsdException w:qFormat="1" w:uiPriority="99"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66"/>
    <w:autoRedefine/>
    <w:qFormat/>
    <w:uiPriority w:val="9"/>
    <w:pPr>
      <w:spacing w:line="360" w:lineRule="auto"/>
      <w:jc w:val="center"/>
      <w:outlineLvl w:val="0"/>
    </w:pPr>
    <w:rPr>
      <w:rFonts w:ascii="黑体" w:hAnsi="黑体"/>
      <w:b/>
      <w:kern w:val="0"/>
      <w:sz w:val="32"/>
      <w:szCs w:val="20"/>
      <w:lang w:val="zh-CN"/>
    </w:rPr>
  </w:style>
  <w:style w:type="paragraph" w:styleId="4">
    <w:name w:val="heading 2"/>
    <w:basedOn w:val="1"/>
    <w:next w:val="1"/>
    <w:link w:val="67"/>
    <w:autoRedefine/>
    <w:qFormat/>
    <w:uiPriority w:val="9"/>
    <w:pPr>
      <w:jc w:val="center"/>
      <w:outlineLvl w:val="1"/>
    </w:pPr>
    <w:rPr>
      <w:rFonts w:ascii="黑体" w:hAnsi="黑体" w:eastAsia="黑体"/>
      <w:b/>
      <w:kern w:val="0"/>
      <w:sz w:val="28"/>
      <w:szCs w:val="28"/>
    </w:rPr>
  </w:style>
  <w:style w:type="paragraph" w:styleId="5">
    <w:name w:val="heading 3"/>
    <w:basedOn w:val="1"/>
    <w:next w:val="1"/>
    <w:link w:val="68"/>
    <w:autoRedefine/>
    <w:qFormat/>
    <w:uiPriority w:val="0"/>
    <w:pPr>
      <w:keepNext/>
      <w:keepLines/>
      <w:spacing w:before="260" w:after="260" w:line="413" w:lineRule="auto"/>
      <w:outlineLvl w:val="2"/>
    </w:pPr>
    <w:rPr>
      <w:b/>
      <w:sz w:val="32"/>
    </w:rPr>
  </w:style>
  <w:style w:type="paragraph" w:styleId="6">
    <w:name w:val="heading 4"/>
    <w:basedOn w:val="1"/>
    <w:next w:val="1"/>
    <w:link w:val="69"/>
    <w:autoRedefine/>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70"/>
    <w:autoRedefine/>
    <w:qFormat/>
    <w:uiPriority w:val="9"/>
    <w:pPr>
      <w:keepNext/>
      <w:keepLines/>
      <w:spacing w:before="280" w:after="290" w:line="372" w:lineRule="auto"/>
      <w:outlineLvl w:val="4"/>
    </w:pPr>
    <w:rPr>
      <w:rFonts w:ascii="Calibri" w:hAnsi="Calibri"/>
      <w:b/>
      <w:bCs/>
      <w:sz w:val="28"/>
      <w:szCs w:val="28"/>
    </w:rPr>
  </w:style>
  <w:style w:type="paragraph" w:styleId="8">
    <w:name w:val="heading 6"/>
    <w:basedOn w:val="1"/>
    <w:next w:val="1"/>
    <w:link w:val="71"/>
    <w:autoRedefine/>
    <w:qFormat/>
    <w:uiPriority w:val="9"/>
    <w:pPr>
      <w:keepNext/>
      <w:keepLines/>
      <w:widowControl/>
      <w:tabs>
        <w:tab w:val="left" w:pos="1440"/>
      </w:tabs>
      <w:spacing w:before="240" w:after="64" w:line="317" w:lineRule="auto"/>
      <w:ind w:left="1152" w:hanging="1152"/>
      <w:jc w:val="left"/>
      <w:outlineLvl w:val="5"/>
    </w:pPr>
    <w:rPr>
      <w:rFonts w:ascii="Arial" w:hAnsi="Arial" w:eastAsia="黑体"/>
      <w:b/>
      <w:kern w:val="0"/>
      <w:sz w:val="24"/>
      <w:szCs w:val="20"/>
    </w:rPr>
  </w:style>
  <w:style w:type="paragraph" w:styleId="9">
    <w:name w:val="heading 7"/>
    <w:basedOn w:val="1"/>
    <w:next w:val="1"/>
    <w:link w:val="72"/>
    <w:autoRedefine/>
    <w:qFormat/>
    <w:uiPriority w:val="9"/>
    <w:pPr>
      <w:keepNext/>
      <w:keepLines/>
      <w:widowControl/>
      <w:tabs>
        <w:tab w:val="left" w:pos="2520"/>
      </w:tabs>
      <w:spacing w:before="240" w:after="64" w:line="317" w:lineRule="auto"/>
      <w:ind w:left="1296" w:hanging="1296"/>
      <w:jc w:val="left"/>
      <w:outlineLvl w:val="6"/>
    </w:pPr>
    <w:rPr>
      <w:b/>
      <w:kern w:val="0"/>
      <w:sz w:val="24"/>
      <w:szCs w:val="20"/>
    </w:rPr>
  </w:style>
  <w:style w:type="paragraph" w:styleId="10">
    <w:name w:val="heading 8"/>
    <w:basedOn w:val="1"/>
    <w:next w:val="1"/>
    <w:link w:val="73"/>
    <w:autoRedefine/>
    <w:qFormat/>
    <w:uiPriority w:val="9"/>
    <w:pPr>
      <w:keepNext/>
      <w:keepLines/>
      <w:widowControl/>
      <w:tabs>
        <w:tab w:val="left" w:pos="1440"/>
      </w:tabs>
      <w:spacing w:before="240" w:after="64" w:line="317" w:lineRule="auto"/>
      <w:ind w:left="1440" w:hanging="1440"/>
      <w:jc w:val="left"/>
      <w:outlineLvl w:val="7"/>
    </w:pPr>
    <w:rPr>
      <w:rFonts w:ascii="Arial" w:hAnsi="Arial" w:eastAsia="黑体"/>
      <w:kern w:val="0"/>
      <w:sz w:val="24"/>
      <w:szCs w:val="20"/>
    </w:rPr>
  </w:style>
  <w:style w:type="paragraph" w:styleId="11">
    <w:name w:val="heading 9"/>
    <w:basedOn w:val="1"/>
    <w:next w:val="1"/>
    <w:link w:val="74"/>
    <w:autoRedefine/>
    <w:qFormat/>
    <w:uiPriority w:val="9"/>
    <w:pPr>
      <w:keepNext/>
      <w:keepLines/>
      <w:widowControl/>
      <w:tabs>
        <w:tab w:val="left" w:pos="1584"/>
      </w:tabs>
      <w:spacing w:before="240" w:after="64" w:line="317" w:lineRule="auto"/>
      <w:ind w:left="1584" w:hanging="1584"/>
      <w:jc w:val="left"/>
      <w:outlineLvl w:val="8"/>
    </w:pPr>
    <w:rPr>
      <w:rFonts w:ascii="Arial" w:hAnsi="Arial" w:eastAsia="黑体"/>
      <w:kern w:val="0"/>
      <w:szCs w:val="20"/>
    </w:rPr>
  </w:style>
  <w:style w:type="character" w:default="1" w:styleId="58">
    <w:name w:val="Default Paragraph Font"/>
    <w:autoRedefine/>
    <w:semiHidden/>
    <w:unhideWhenUsed/>
    <w:qFormat/>
    <w:uiPriority w:val="1"/>
  </w:style>
  <w:style w:type="table" w:default="1" w:styleId="56">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99"/>
    <w:pPr>
      <w:spacing w:line="360" w:lineRule="auto"/>
      <w:ind w:firstLine="480" w:firstLineChars="200"/>
      <w:jc w:val="left"/>
    </w:pPr>
    <w:rPr>
      <w:rFonts w:ascii="宋体" w:hAnsi="宋体"/>
      <w:sz w:val="24"/>
      <w:szCs w:val="20"/>
    </w:rPr>
  </w:style>
  <w:style w:type="paragraph" w:styleId="12">
    <w:name w:val="List 3"/>
    <w:basedOn w:val="1"/>
    <w:autoRedefine/>
    <w:qFormat/>
    <w:uiPriority w:val="99"/>
    <w:pPr>
      <w:ind w:left="1260" w:hanging="420"/>
    </w:pPr>
    <w:rPr>
      <w:szCs w:val="20"/>
    </w:rPr>
  </w:style>
  <w:style w:type="paragraph" w:styleId="13">
    <w:name w:val="toc 7"/>
    <w:basedOn w:val="1"/>
    <w:next w:val="1"/>
    <w:autoRedefine/>
    <w:qFormat/>
    <w:uiPriority w:val="39"/>
    <w:pPr>
      <w:ind w:left="2520" w:leftChars="1200"/>
    </w:pPr>
    <w:rPr>
      <w:rFonts w:ascii="Calibri" w:hAnsi="Calibri"/>
    </w:rPr>
  </w:style>
  <w:style w:type="paragraph" w:styleId="14">
    <w:name w:val="index 8"/>
    <w:basedOn w:val="1"/>
    <w:next w:val="1"/>
    <w:autoRedefine/>
    <w:qFormat/>
    <w:uiPriority w:val="99"/>
    <w:pPr>
      <w:ind w:left="2940"/>
    </w:pPr>
    <w:rPr>
      <w:szCs w:val="20"/>
    </w:rPr>
  </w:style>
  <w:style w:type="paragraph" w:styleId="15">
    <w:name w:val="Normal Indent"/>
    <w:basedOn w:val="1"/>
    <w:link w:val="75"/>
    <w:autoRedefine/>
    <w:qFormat/>
    <w:uiPriority w:val="0"/>
    <w:pPr>
      <w:ind w:firstLine="420"/>
    </w:pPr>
    <w:rPr>
      <w:kern w:val="0"/>
      <w:sz w:val="20"/>
      <w:szCs w:val="20"/>
    </w:rPr>
  </w:style>
  <w:style w:type="paragraph" w:styleId="16">
    <w:name w:val="caption"/>
    <w:basedOn w:val="1"/>
    <w:next w:val="1"/>
    <w:autoRedefine/>
    <w:qFormat/>
    <w:uiPriority w:val="0"/>
    <w:rPr>
      <w:rFonts w:ascii="Cambria" w:hAnsi="Cambria" w:eastAsia="黑体"/>
      <w:sz w:val="20"/>
      <w:szCs w:val="20"/>
    </w:rPr>
  </w:style>
  <w:style w:type="paragraph" w:styleId="17">
    <w:name w:val="index 5"/>
    <w:basedOn w:val="1"/>
    <w:next w:val="1"/>
    <w:autoRedefine/>
    <w:qFormat/>
    <w:uiPriority w:val="99"/>
    <w:pPr>
      <w:ind w:left="1680"/>
    </w:pPr>
    <w:rPr>
      <w:szCs w:val="20"/>
    </w:rPr>
  </w:style>
  <w:style w:type="paragraph" w:styleId="18">
    <w:name w:val="Document Map"/>
    <w:basedOn w:val="1"/>
    <w:link w:val="76"/>
    <w:autoRedefine/>
    <w:qFormat/>
    <w:uiPriority w:val="99"/>
    <w:pPr>
      <w:shd w:val="clear" w:color="auto" w:fill="000080"/>
    </w:pPr>
    <w:rPr>
      <w:szCs w:val="20"/>
    </w:rPr>
  </w:style>
  <w:style w:type="paragraph" w:styleId="19">
    <w:name w:val="annotation text"/>
    <w:basedOn w:val="1"/>
    <w:link w:val="77"/>
    <w:autoRedefine/>
    <w:qFormat/>
    <w:uiPriority w:val="0"/>
    <w:pPr>
      <w:jc w:val="left"/>
    </w:pPr>
    <w:rPr>
      <w:szCs w:val="24"/>
    </w:rPr>
  </w:style>
  <w:style w:type="paragraph" w:styleId="20">
    <w:name w:val="index 6"/>
    <w:basedOn w:val="1"/>
    <w:next w:val="1"/>
    <w:autoRedefine/>
    <w:qFormat/>
    <w:uiPriority w:val="99"/>
    <w:pPr>
      <w:ind w:left="2100"/>
    </w:pPr>
    <w:rPr>
      <w:szCs w:val="20"/>
    </w:rPr>
  </w:style>
  <w:style w:type="paragraph" w:styleId="21">
    <w:name w:val="Body Text 3"/>
    <w:basedOn w:val="1"/>
    <w:link w:val="78"/>
    <w:autoRedefine/>
    <w:qFormat/>
    <w:uiPriority w:val="99"/>
    <w:pPr>
      <w:jc w:val="center"/>
    </w:pPr>
    <w:rPr>
      <w:rFonts w:ascii="Arial" w:hAnsi="Arial" w:eastAsia="文鼎CS大黑"/>
      <w:b/>
      <w:bCs/>
      <w:sz w:val="52"/>
      <w:szCs w:val="20"/>
    </w:rPr>
  </w:style>
  <w:style w:type="paragraph" w:styleId="22">
    <w:name w:val="Body Text"/>
    <w:basedOn w:val="1"/>
    <w:next w:val="1"/>
    <w:link w:val="79"/>
    <w:autoRedefine/>
    <w:qFormat/>
    <w:uiPriority w:val="0"/>
    <w:pPr>
      <w:spacing w:after="120"/>
    </w:pPr>
    <w:rPr>
      <w:szCs w:val="20"/>
    </w:rPr>
  </w:style>
  <w:style w:type="paragraph" w:styleId="23">
    <w:name w:val="Body Text Indent"/>
    <w:basedOn w:val="1"/>
    <w:link w:val="80"/>
    <w:autoRedefine/>
    <w:qFormat/>
    <w:uiPriority w:val="99"/>
    <w:pPr>
      <w:spacing w:after="120"/>
      <w:ind w:left="420" w:leftChars="200"/>
    </w:pPr>
  </w:style>
  <w:style w:type="paragraph" w:styleId="24">
    <w:name w:val="Block Text"/>
    <w:basedOn w:val="1"/>
    <w:autoRedefine/>
    <w:unhideWhenUsed/>
    <w:qFormat/>
    <w:uiPriority w:val="99"/>
    <w:pPr>
      <w:spacing w:after="120"/>
      <w:ind w:left="1440" w:leftChars="700" w:right="1440" w:rightChars="700"/>
    </w:pPr>
    <w:rPr>
      <w:rFonts w:ascii="Calibri" w:hAnsi="Calibri"/>
      <w:szCs w:val="20"/>
    </w:rPr>
  </w:style>
  <w:style w:type="paragraph" w:styleId="25">
    <w:name w:val="index 4"/>
    <w:basedOn w:val="1"/>
    <w:next w:val="1"/>
    <w:autoRedefine/>
    <w:qFormat/>
    <w:uiPriority w:val="0"/>
    <w:pPr>
      <w:ind w:left="600" w:leftChars="600"/>
    </w:pPr>
    <w:rPr>
      <w:szCs w:val="24"/>
    </w:rPr>
  </w:style>
  <w:style w:type="paragraph" w:styleId="26">
    <w:name w:val="toc 5"/>
    <w:basedOn w:val="1"/>
    <w:next w:val="1"/>
    <w:autoRedefine/>
    <w:qFormat/>
    <w:uiPriority w:val="39"/>
    <w:pPr>
      <w:tabs>
        <w:tab w:val="right" w:leader="dot" w:pos="8296"/>
      </w:tabs>
      <w:ind w:left="1050" w:leftChars="500"/>
    </w:pPr>
    <w:rPr>
      <w:rFonts w:ascii="Calibri" w:hAnsi="Calibri"/>
    </w:rPr>
  </w:style>
  <w:style w:type="paragraph" w:styleId="27">
    <w:name w:val="toc 3"/>
    <w:basedOn w:val="1"/>
    <w:next w:val="1"/>
    <w:autoRedefine/>
    <w:qFormat/>
    <w:uiPriority w:val="39"/>
    <w:pPr>
      <w:ind w:left="840" w:leftChars="400"/>
    </w:pPr>
    <w:rPr>
      <w:szCs w:val="20"/>
    </w:rPr>
  </w:style>
  <w:style w:type="paragraph" w:styleId="28">
    <w:name w:val="Plain Text"/>
    <w:basedOn w:val="1"/>
    <w:link w:val="81"/>
    <w:autoRedefine/>
    <w:qFormat/>
    <w:uiPriority w:val="99"/>
    <w:rPr>
      <w:rFonts w:ascii="宋体" w:hAnsi="Courier New"/>
      <w:szCs w:val="21"/>
    </w:rPr>
  </w:style>
  <w:style w:type="paragraph" w:styleId="29">
    <w:name w:val="toc 8"/>
    <w:basedOn w:val="1"/>
    <w:next w:val="1"/>
    <w:autoRedefine/>
    <w:qFormat/>
    <w:uiPriority w:val="39"/>
    <w:pPr>
      <w:ind w:left="2940" w:leftChars="1400"/>
    </w:pPr>
    <w:rPr>
      <w:rFonts w:ascii="Calibri" w:hAnsi="Calibri"/>
    </w:rPr>
  </w:style>
  <w:style w:type="paragraph" w:styleId="30">
    <w:name w:val="index 3"/>
    <w:basedOn w:val="1"/>
    <w:next w:val="1"/>
    <w:autoRedefine/>
    <w:qFormat/>
    <w:uiPriority w:val="99"/>
    <w:pPr>
      <w:ind w:left="840"/>
    </w:pPr>
    <w:rPr>
      <w:szCs w:val="20"/>
    </w:rPr>
  </w:style>
  <w:style w:type="paragraph" w:styleId="31">
    <w:name w:val="Date"/>
    <w:basedOn w:val="1"/>
    <w:next w:val="1"/>
    <w:link w:val="82"/>
    <w:autoRedefine/>
    <w:qFormat/>
    <w:uiPriority w:val="99"/>
  </w:style>
  <w:style w:type="paragraph" w:styleId="32">
    <w:name w:val="Body Text Indent 2"/>
    <w:basedOn w:val="1"/>
    <w:link w:val="83"/>
    <w:autoRedefine/>
    <w:unhideWhenUsed/>
    <w:qFormat/>
    <w:uiPriority w:val="99"/>
    <w:pPr>
      <w:spacing w:after="120" w:line="480" w:lineRule="auto"/>
      <w:ind w:left="420" w:leftChars="200"/>
    </w:pPr>
  </w:style>
  <w:style w:type="paragraph" w:styleId="33">
    <w:name w:val="Balloon Text"/>
    <w:basedOn w:val="1"/>
    <w:link w:val="84"/>
    <w:autoRedefine/>
    <w:qFormat/>
    <w:uiPriority w:val="99"/>
    <w:rPr>
      <w:sz w:val="18"/>
      <w:szCs w:val="18"/>
    </w:rPr>
  </w:style>
  <w:style w:type="paragraph" w:styleId="34">
    <w:name w:val="footer"/>
    <w:basedOn w:val="1"/>
    <w:link w:val="85"/>
    <w:autoRedefine/>
    <w:unhideWhenUsed/>
    <w:qFormat/>
    <w:uiPriority w:val="99"/>
    <w:pPr>
      <w:tabs>
        <w:tab w:val="center" w:pos="4153"/>
        <w:tab w:val="right" w:pos="8306"/>
      </w:tabs>
      <w:snapToGrid w:val="0"/>
      <w:jc w:val="left"/>
    </w:pPr>
    <w:rPr>
      <w:kern w:val="0"/>
      <w:sz w:val="18"/>
      <w:szCs w:val="18"/>
    </w:rPr>
  </w:style>
  <w:style w:type="paragraph" w:styleId="35">
    <w:name w:val="header"/>
    <w:basedOn w:val="1"/>
    <w:link w:val="86"/>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6">
    <w:name w:val="toc 1"/>
    <w:basedOn w:val="1"/>
    <w:next w:val="1"/>
    <w:link w:val="87"/>
    <w:autoRedefine/>
    <w:unhideWhenUsed/>
    <w:qFormat/>
    <w:uiPriority w:val="39"/>
  </w:style>
  <w:style w:type="paragraph" w:styleId="37">
    <w:name w:val="toc 4"/>
    <w:basedOn w:val="1"/>
    <w:next w:val="1"/>
    <w:autoRedefine/>
    <w:qFormat/>
    <w:uiPriority w:val="39"/>
    <w:pPr>
      <w:tabs>
        <w:tab w:val="left" w:pos="1890"/>
        <w:tab w:val="right" w:leader="dot" w:pos="8296"/>
      </w:tabs>
      <w:ind w:left="630" w:leftChars="300"/>
    </w:pPr>
    <w:rPr>
      <w:rFonts w:ascii="Calibri" w:hAnsi="Calibri"/>
    </w:rPr>
  </w:style>
  <w:style w:type="paragraph" w:styleId="38">
    <w:name w:val="index heading"/>
    <w:basedOn w:val="1"/>
    <w:next w:val="39"/>
    <w:autoRedefine/>
    <w:qFormat/>
    <w:uiPriority w:val="99"/>
    <w:rPr>
      <w:szCs w:val="20"/>
    </w:rPr>
  </w:style>
  <w:style w:type="paragraph" w:styleId="39">
    <w:name w:val="index 1"/>
    <w:basedOn w:val="1"/>
    <w:next w:val="1"/>
    <w:autoRedefine/>
    <w:qFormat/>
    <w:uiPriority w:val="0"/>
    <w:pPr>
      <w:spacing w:line="220" w:lineRule="exact"/>
      <w:jc w:val="center"/>
    </w:pPr>
    <w:rPr>
      <w:rFonts w:ascii="仿宋_GB2312" w:eastAsia="仿宋_GB2312"/>
      <w:szCs w:val="20"/>
    </w:rPr>
  </w:style>
  <w:style w:type="paragraph" w:styleId="40">
    <w:name w:val="Subtitle"/>
    <w:basedOn w:val="1"/>
    <w:next w:val="1"/>
    <w:link w:val="88"/>
    <w:autoRedefine/>
    <w:qFormat/>
    <w:uiPriority w:val="11"/>
    <w:pPr>
      <w:spacing w:before="240" w:after="60" w:line="312" w:lineRule="auto"/>
      <w:jc w:val="center"/>
      <w:outlineLvl w:val="1"/>
    </w:pPr>
    <w:rPr>
      <w:rFonts w:ascii="Cambria" w:hAnsi="Cambria"/>
      <w:b/>
      <w:bCs/>
      <w:kern w:val="28"/>
      <w:sz w:val="32"/>
      <w:szCs w:val="32"/>
    </w:rPr>
  </w:style>
  <w:style w:type="paragraph" w:styleId="41">
    <w:name w:val="toc 6"/>
    <w:basedOn w:val="1"/>
    <w:next w:val="1"/>
    <w:autoRedefine/>
    <w:qFormat/>
    <w:uiPriority w:val="39"/>
    <w:pPr>
      <w:ind w:left="2100" w:leftChars="1000"/>
    </w:pPr>
    <w:rPr>
      <w:rFonts w:ascii="Calibri" w:hAnsi="Calibri"/>
    </w:rPr>
  </w:style>
  <w:style w:type="paragraph" w:styleId="42">
    <w:name w:val="Body Text Indent 3"/>
    <w:basedOn w:val="1"/>
    <w:link w:val="89"/>
    <w:autoRedefine/>
    <w:qFormat/>
    <w:uiPriority w:val="99"/>
    <w:pPr>
      <w:spacing w:after="120"/>
      <w:ind w:left="420" w:leftChars="200"/>
    </w:pPr>
    <w:rPr>
      <w:sz w:val="16"/>
      <w:szCs w:val="16"/>
    </w:rPr>
  </w:style>
  <w:style w:type="paragraph" w:styleId="43">
    <w:name w:val="index 7"/>
    <w:basedOn w:val="1"/>
    <w:next w:val="1"/>
    <w:autoRedefine/>
    <w:qFormat/>
    <w:uiPriority w:val="99"/>
    <w:pPr>
      <w:ind w:left="2520"/>
    </w:pPr>
    <w:rPr>
      <w:szCs w:val="20"/>
    </w:rPr>
  </w:style>
  <w:style w:type="paragraph" w:styleId="44">
    <w:name w:val="index 9"/>
    <w:basedOn w:val="1"/>
    <w:next w:val="1"/>
    <w:autoRedefine/>
    <w:qFormat/>
    <w:uiPriority w:val="99"/>
    <w:pPr>
      <w:ind w:left="3360"/>
    </w:pPr>
    <w:rPr>
      <w:szCs w:val="20"/>
    </w:rPr>
  </w:style>
  <w:style w:type="paragraph" w:styleId="45">
    <w:name w:val="table of figures"/>
    <w:basedOn w:val="1"/>
    <w:next w:val="1"/>
    <w:autoRedefine/>
    <w:qFormat/>
    <w:uiPriority w:val="99"/>
    <w:pPr>
      <w:ind w:left="840" w:hanging="420"/>
    </w:pPr>
    <w:rPr>
      <w:szCs w:val="20"/>
    </w:rPr>
  </w:style>
  <w:style w:type="paragraph" w:styleId="46">
    <w:name w:val="toc 2"/>
    <w:basedOn w:val="1"/>
    <w:next w:val="1"/>
    <w:autoRedefine/>
    <w:unhideWhenUsed/>
    <w:qFormat/>
    <w:uiPriority w:val="39"/>
    <w:pPr>
      <w:ind w:left="420" w:leftChars="200"/>
    </w:pPr>
  </w:style>
  <w:style w:type="paragraph" w:styleId="47">
    <w:name w:val="toc 9"/>
    <w:basedOn w:val="1"/>
    <w:next w:val="1"/>
    <w:autoRedefine/>
    <w:qFormat/>
    <w:uiPriority w:val="39"/>
    <w:pPr>
      <w:ind w:left="3360" w:leftChars="1600"/>
    </w:pPr>
    <w:rPr>
      <w:rFonts w:ascii="Calibri" w:hAnsi="Calibri"/>
    </w:rPr>
  </w:style>
  <w:style w:type="paragraph" w:styleId="48">
    <w:name w:val="Body Text 2"/>
    <w:basedOn w:val="1"/>
    <w:link w:val="90"/>
    <w:autoRedefine/>
    <w:qFormat/>
    <w:uiPriority w:val="99"/>
    <w:pPr>
      <w:spacing w:after="120" w:line="480" w:lineRule="auto"/>
    </w:pPr>
    <w:rPr>
      <w:szCs w:val="24"/>
    </w:rPr>
  </w:style>
  <w:style w:type="paragraph" w:styleId="49">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50">
    <w:name w:val="HTML Preformatted"/>
    <w:basedOn w:val="1"/>
    <w:link w:val="9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51">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52">
    <w:name w:val="index 2"/>
    <w:basedOn w:val="1"/>
    <w:next w:val="1"/>
    <w:autoRedefine/>
    <w:qFormat/>
    <w:uiPriority w:val="99"/>
    <w:pPr>
      <w:ind w:left="420"/>
    </w:pPr>
    <w:rPr>
      <w:szCs w:val="20"/>
    </w:rPr>
  </w:style>
  <w:style w:type="paragraph" w:styleId="53">
    <w:name w:val="Title"/>
    <w:basedOn w:val="1"/>
    <w:link w:val="92"/>
    <w:autoRedefine/>
    <w:qFormat/>
    <w:uiPriority w:val="10"/>
    <w:pPr>
      <w:adjustRightInd w:val="0"/>
      <w:spacing w:before="240" w:after="60" w:line="420" w:lineRule="atLeast"/>
      <w:jc w:val="center"/>
      <w:textAlignment w:val="baseline"/>
      <w:outlineLvl w:val="0"/>
    </w:pPr>
    <w:rPr>
      <w:rFonts w:ascii="Arial" w:hAnsi="Arial"/>
      <w:b/>
      <w:kern w:val="0"/>
      <w:sz w:val="32"/>
      <w:szCs w:val="20"/>
    </w:rPr>
  </w:style>
  <w:style w:type="paragraph" w:styleId="54">
    <w:name w:val="annotation subject"/>
    <w:basedOn w:val="19"/>
    <w:next w:val="19"/>
    <w:link w:val="93"/>
    <w:autoRedefine/>
    <w:qFormat/>
    <w:uiPriority w:val="0"/>
    <w:rPr>
      <w:b/>
      <w:bCs/>
    </w:rPr>
  </w:style>
  <w:style w:type="paragraph" w:styleId="55">
    <w:name w:val="Body Text First Indent"/>
    <w:basedOn w:val="22"/>
    <w:link w:val="94"/>
    <w:autoRedefine/>
    <w:qFormat/>
    <w:uiPriority w:val="99"/>
    <w:pPr>
      <w:ind w:firstLine="420" w:firstLineChars="100"/>
    </w:pPr>
    <w:rPr>
      <w:kern w:val="0"/>
      <w:sz w:val="20"/>
    </w:rPr>
  </w:style>
  <w:style w:type="table" w:styleId="57">
    <w:name w:val="Table Grid"/>
    <w:basedOn w:val="56"/>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autoRedefine/>
    <w:qFormat/>
    <w:uiPriority w:val="0"/>
    <w:rPr>
      <w:b/>
    </w:rPr>
  </w:style>
  <w:style w:type="character" w:styleId="60">
    <w:name w:val="page number"/>
    <w:autoRedefine/>
    <w:qFormat/>
    <w:uiPriority w:val="0"/>
  </w:style>
  <w:style w:type="character" w:styleId="61">
    <w:name w:val="FollowedHyperlink"/>
    <w:autoRedefine/>
    <w:unhideWhenUsed/>
    <w:qFormat/>
    <w:uiPriority w:val="0"/>
    <w:rPr>
      <w:color w:val="333333"/>
      <w:u w:val="none"/>
    </w:rPr>
  </w:style>
  <w:style w:type="character" w:styleId="62">
    <w:name w:val="Emphasis"/>
    <w:autoRedefine/>
    <w:qFormat/>
    <w:uiPriority w:val="0"/>
    <w:rPr>
      <w:i/>
      <w:iCs/>
    </w:rPr>
  </w:style>
  <w:style w:type="character" w:styleId="63">
    <w:name w:val="Hyperlink"/>
    <w:autoRedefine/>
    <w:unhideWhenUsed/>
    <w:qFormat/>
    <w:uiPriority w:val="99"/>
    <w:rPr>
      <w:color w:val="0000FF"/>
      <w:u w:val="single"/>
    </w:rPr>
  </w:style>
  <w:style w:type="character" w:styleId="64">
    <w:name w:val="annotation reference"/>
    <w:autoRedefine/>
    <w:qFormat/>
    <w:uiPriority w:val="0"/>
    <w:rPr>
      <w:sz w:val="21"/>
      <w:szCs w:val="21"/>
    </w:rPr>
  </w:style>
  <w:style w:type="paragraph" w:styleId="65">
    <w:name w:val="List Paragraph"/>
    <w:basedOn w:val="1"/>
    <w:next w:val="19"/>
    <w:link w:val="254"/>
    <w:autoRedefine/>
    <w:qFormat/>
    <w:uiPriority w:val="34"/>
    <w:pPr>
      <w:ind w:firstLine="420" w:firstLineChars="200"/>
    </w:pPr>
    <w:rPr>
      <w:rFonts w:ascii="Calibri" w:hAnsi="Calibri"/>
    </w:rPr>
  </w:style>
  <w:style w:type="character" w:customStyle="1" w:styleId="66">
    <w:name w:val="标题 1 字符2"/>
    <w:link w:val="3"/>
    <w:autoRedefine/>
    <w:qFormat/>
    <w:uiPriority w:val="9"/>
    <w:rPr>
      <w:rFonts w:ascii="黑体" w:hAnsi="黑体" w:eastAsia="宋体" w:cs="Times New Roman"/>
      <w:b/>
      <w:sz w:val="32"/>
      <w:lang w:val="zh-CN"/>
    </w:rPr>
  </w:style>
  <w:style w:type="character" w:customStyle="1" w:styleId="67">
    <w:name w:val="标题 2 字符2"/>
    <w:link w:val="4"/>
    <w:autoRedefine/>
    <w:qFormat/>
    <w:uiPriority w:val="9"/>
    <w:rPr>
      <w:rFonts w:ascii="黑体" w:hAnsi="黑体" w:eastAsia="黑体" w:cs="Times New Roman"/>
      <w:b/>
      <w:sz w:val="28"/>
      <w:szCs w:val="28"/>
    </w:rPr>
  </w:style>
  <w:style w:type="character" w:customStyle="1" w:styleId="68">
    <w:name w:val="标题 3 字符2"/>
    <w:link w:val="5"/>
    <w:autoRedefine/>
    <w:qFormat/>
    <w:uiPriority w:val="0"/>
    <w:rPr>
      <w:b/>
      <w:kern w:val="2"/>
      <w:sz w:val="32"/>
      <w:szCs w:val="22"/>
    </w:rPr>
  </w:style>
  <w:style w:type="character" w:customStyle="1" w:styleId="69">
    <w:name w:val="标题 4 字符2"/>
    <w:link w:val="6"/>
    <w:autoRedefine/>
    <w:qFormat/>
    <w:uiPriority w:val="9"/>
    <w:rPr>
      <w:rFonts w:ascii="Cambria" w:hAnsi="Cambria" w:eastAsia="宋体" w:cs="Times New Roman"/>
      <w:b/>
      <w:bCs/>
      <w:kern w:val="2"/>
      <w:sz w:val="28"/>
      <w:szCs w:val="28"/>
    </w:rPr>
  </w:style>
  <w:style w:type="character" w:customStyle="1" w:styleId="70">
    <w:name w:val="标题 5 字符2"/>
    <w:link w:val="7"/>
    <w:autoRedefine/>
    <w:qFormat/>
    <w:uiPriority w:val="9"/>
    <w:rPr>
      <w:rFonts w:ascii="Calibri" w:hAnsi="Calibri"/>
      <w:b/>
      <w:bCs/>
      <w:kern w:val="2"/>
      <w:sz w:val="28"/>
      <w:szCs w:val="28"/>
    </w:rPr>
  </w:style>
  <w:style w:type="character" w:customStyle="1" w:styleId="71">
    <w:name w:val="标题 6 字符2"/>
    <w:link w:val="8"/>
    <w:autoRedefine/>
    <w:qFormat/>
    <w:uiPriority w:val="9"/>
    <w:rPr>
      <w:rFonts w:ascii="Arial" w:hAnsi="Arial" w:eastAsia="黑体"/>
      <w:b/>
      <w:sz w:val="24"/>
    </w:rPr>
  </w:style>
  <w:style w:type="character" w:customStyle="1" w:styleId="72">
    <w:name w:val="标题 7 字符2"/>
    <w:link w:val="9"/>
    <w:autoRedefine/>
    <w:qFormat/>
    <w:uiPriority w:val="9"/>
    <w:rPr>
      <w:b/>
      <w:sz w:val="24"/>
    </w:rPr>
  </w:style>
  <w:style w:type="character" w:customStyle="1" w:styleId="73">
    <w:name w:val="标题 8 字符2"/>
    <w:link w:val="10"/>
    <w:autoRedefine/>
    <w:qFormat/>
    <w:uiPriority w:val="9"/>
    <w:rPr>
      <w:rFonts w:ascii="Arial" w:hAnsi="Arial" w:eastAsia="黑体"/>
      <w:sz w:val="24"/>
    </w:rPr>
  </w:style>
  <w:style w:type="character" w:customStyle="1" w:styleId="74">
    <w:name w:val="标题 9 字符2"/>
    <w:link w:val="11"/>
    <w:autoRedefine/>
    <w:qFormat/>
    <w:uiPriority w:val="9"/>
    <w:rPr>
      <w:rFonts w:ascii="Arial" w:hAnsi="Arial" w:eastAsia="黑体"/>
      <w:sz w:val="21"/>
    </w:rPr>
  </w:style>
  <w:style w:type="character" w:customStyle="1" w:styleId="75">
    <w:name w:val="正文缩进 字符2"/>
    <w:link w:val="15"/>
    <w:autoRedefine/>
    <w:qFormat/>
    <w:uiPriority w:val="0"/>
    <w:rPr>
      <w:rFonts w:eastAsia="宋体"/>
    </w:rPr>
  </w:style>
  <w:style w:type="character" w:customStyle="1" w:styleId="76">
    <w:name w:val="文档结构图 字符2"/>
    <w:link w:val="18"/>
    <w:autoRedefine/>
    <w:qFormat/>
    <w:uiPriority w:val="99"/>
    <w:rPr>
      <w:kern w:val="2"/>
      <w:sz w:val="21"/>
      <w:shd w:val="clear" w:color="auto" w:fill="000080"/>
    </w:rPr>
  </w:style>
  <w:style w:type="character" w:customStyle="1" w:styleId="77">
    <w:name w:val="批注文字 字符2"/>
    <w:link w:val="19"/>
    <w:autoRedefine/>
    <w:qFormat/>
    <w:uiPriority w:val="0"/>
    <w:rPr>
      <w:kern w:val="2"/>
      <w:sz w:val="21"/>
      <w:szCs w:val="24"/>
    </w:rPr>
  </w:style>
  <w:style w:type="character" w:customStyle="1" w:styleId="78">
    <w:name w:val="正文文本 3 字符2"/>
    <w:link w:val="21"/>
    <w:autoRedefine/>
    <w:qFormat/>
    <w:uiPriority w:val="99"/>
    <w:rPr>
      <w:rFonts w:ascii="Arial" w:hAnsi="Arial" w:eastAsia="文鼎CS大黑"/>
      <w:b/>
      <w:bCs/>
      <w:kern w:val="2"/>
      <w:sz w:val="52"/>
    </w:rPr>
  </w:style>
  <w:style w:type="character" w:customStyle="1" w:styleId="79">
    <w:name w:val="正文文本 字符2"/>
    <w:link w:val="22"/>
    <w:autoRedefine/>
    <w:qFormat/>
    <w:uiPriority w:val="0"/>
    <w:rPr>
      <w:kern w:val="2"/>
      <w:sz w:val="21"/>
    </w:rPr>
  </w:style>
  <w:style w:type="character" w:customStyle="1" w:styleId="80">
    <w:name w:val="正文文本缩进 字符2"/>
    <w:link w:val="23"/>
    <w:autoRedefine/>
    <w:qFormat/>
    <w:uiPriority w:val="99"/>
    <w:rPr>
      <w:kern w:val="2"/>
      <w:sz w:val="21"/>
    </w:rPr>
  </w:style>
  <w:style w:type="character" w:customStyle="1" w:styleId="81">
    <w:name w:val="纯文本 字符2"/>
    <w:link w:val="28"/>
    <w:autoRedefine/>
    <w:qFormat/>
    <w:uiPriority w:val="99"/>
    <w:rPr>
      <w:rFonts w:ascii="宋体" w:hAnsi="Courier New"/>
      <w:kern w:val="2"/>
      <w:sz w:val="21"/>
      <w:szCs w:val="21"/>
    </w:rPr>
  </w:style>
  <w:style w:type="character" w:customStyle="1" w:styleId="82">
    <w:name w:val="日期 字符2"/>
    <w:link w:val="31"/>
    <w:autoRedefine/>
    <w:qFormat/>
    <w:uiPriority w:val="99"/>
    <w:rPr>
      <w:kern w:val="2"/>
      <w:sz w:val="24"/>
    </w:rPr>
  </w:style>
  <w:style w:type="character" w:customStyle="1" w:styleId="83">
    <w:name w:val="正文文本缩进 2 字符2"/>
    <w:link w:val="32"/>
    <w:autoRedefine/>
    <w:qFormat/>
    <w:uiPriority w:val="99"/>
    <w:rPr>
      <w:kern w:val="2"/>
      <w:sz w:val="21"/>
      <w:szCs w:val="22"/>
    </w:rPr>
  </w:style>
  <w:style w:type="character" w:customStyle="1" w:styleId="84">
    <w:name w:val="批注框文本 字符2"/>
    <w:link w:val="33"/>
    <w:autoRedefine/>
    <w:qFormat/>
    <w:uiPriority w:val="99"/>
    <w:rPr>
      <w:kern w:val="2"/>
      <w:sz w:val="18"/>
      <w:szCs w:val="18"/>
    </w:rPr>
  </w:style>
  <w:style w:type="character" w:customStyle="1" w:styleId="85">
    <w:name w:val="页脚 字符2"/>
    <w:link w:val="34"/>
    <w:autoRedefine/>
    <w:qFormat/>
    <w:uiPriority w:val="99"/>
    <w:rPr>
      <w:sz w:val="18"/>
      <w:szCs w:val="18"/>
    </w:rPr>
  </w:style>
  <w:style w:type="character" w:customStyle="1" w:styleId="86">
    <w:name w:val="页眉 字符2"/>
    <w:link w:val="35"/>
    <w:autoRedefine/>
    <w:qFormat/>
    <w:uiPriority w:val="99"/>
    <w:rPr>
      <w:sz w:val="18"/>
      <w:szCs w:val="18"/>
    </w:rPr>
  </w:style>
  <w:style w:type="character" w:customStyle="1" w:styleId="87">
    <w:name w:val="TOC 1 字符"/>
    <w:link w:val="36"/>
    <w:autoRedefine/>
    <w:qFormat/>
    <w:uiPriority w:val="39"/>
  </w:style>
  <w:style w:type="character" w:customStyle="1" w:styleId="88">
    <w:name w:val="副标题 字符2"/>
    <w:link w:val="40"/>
    <w:autoRedefine/>
    <w:qFormat/>
    <w:uiPriority w:val="11"/>
    <w:rPr>
      <w:rFonts w:ascii="Cambria" w:hAnsi="Cambria"/>
      <w:b/>
      <w:bCs/>
      <w:kern w:val="28"/>
      <w:sz w:val="32"/>
      <w:szCs w:val="32"/>
    </w:rPr>
  </w:style>
  <w:style w:type="character" w:customStyle="1" w:styleId="89">
    <w:name w:val="正文文本缩进 3 字符2"/>
    <w:link w:val="42"/>
    <w:autoRedefine/>
    <w:qFormat/>
    <w:uiPriority w:val="99"/>
    <w:rPr>
      <w:kern w:val="2"/>
      <w:sz w:val="16"/>
    </w:rPr>
  </w:style>
  <w:style w:type="character" w:customStyle="1" w:styleId="90">
    <w:name w:val="正文文本 2 字符2"/>
    <w:link w:val="48"/>
    <w:autoRedefine/>
    <w:qFormat/>
    <w:uiPriority w:val="99"/>
    <w:rPr>
      <w:kern w:val="2"/>
      <w:sz w:val="21"/>
      <w:szCs w:val="24"/>
    </w:rPr>
  </w:style>
  <w:style w:type="character" w:customStyle="1" w:styleId="91">
    <w:name w:val="HTML 预设格式 字符2"/>
    <w:link w:val="50"/>
    <w:autoRedefine/>
    <w:qFormat/>
    <w:uiPriority w:val="99"/>
    <w:rPr>
      <w:rFonts w:ascii="宋体" w:hAnsi="宋体" w:cs="宋体"/>
      <w:sz w:val="24"/>
      <w:szCs w:val="24"/>
    </w:rPr>
  </w:style>
  <w:style w:type="character" w:customStyle="1" w:styleId="92">
    <w:name w:val="标题 字符2"/>
    <w:link w:val="53"/>
    <w:autoRedefine/>
    <w:qFormat/>
    <w:uiPriority w:val="10"/>
    <w:rPr>
      <w:rFonts w:ascii="Arial" w:hAnsi="Arial"/>
      <w:b/>
      <w:sz w:val="32"/>
    </w:rPr>
  </w:style>
  <w:style w:type="character" w:customStyle="1" w:styleId="93">
    <w:name w:val="批注主题 字符2"/>
    <w:link w:val="54"/>
    <w:autoRedefine/>
    <w:qFormat/>
    <w:uiPriority w:val="0"/>
    <w:rPr>
      <w:b/>
      <w:bCs/>
      <w:kern w:val="2"/>
      <w:sz w:val="21"/>
      <w:szCs w:val="24"/>
    </w:rPr>
  </w:style>
  <w:style w:type="character" w:customStyle="1" w:styleId="94">
    <w:name w:val="正文文本首行缩进 字符"/>
    <w:link w:val="55"/>
    <w:autoRedefine/>
    <w:qFormat/>
    <w:locked/>
    <w:uiPriority w:val="99"/>
  </w:style>
  <w:style w:type="paragraph" w:styleId="95">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6">
    <w:name w:val="正文文本 2 Char1"/>
    <w:autoRedefine/>
    <w:qFormat/>
    <w:uiPriority w:val="0"/>
    <w:rPr>
      <w:kern w:val="2"/>
      <w:sz w:val="21"/>
    </w:rPr>
  </w:style>
  <w:style w:type="character" w:customStyle="1" w:styleId="97">
    <w:name w:val="文档结构图 字符"/>
    <w:autoRedefine/>
    <w:qFormat/>
    <w:locked/>
    <w:uiPriority w:val="0"/>
    <w:rPr>
      <w:rFonts w:cs="Times New Roman"/>
      <w:sz w:val="2"/>
    </w:rPr>
  </w:style>
  <w:style w:type="character" w:customStyle="1" w:styleId="98">
    <w:name w:val="日期 Char1"/>
    <w:autoRedefine/>
    <w:qFormat/>
    <w:uiPriority w:val="0"/>
    <w:rPr>
      <w:kern w:val="2"/>
      <w:sz w:val="21"/>
      <w:szCs w:val="22"/>
    </w:rPr>
  </w:style>
  <w:style w:type="character" w:customStyle="1" w:styleId="99">
    <w:name w:val="标题 7 字符"/>
    <w:autoRedefine/>
    <w:qFormat/>
    <w:locked/>
    <w:uiPriority w:val="0"/>
    <w:rPr>
      <w:b/>
      <w:bCs/>
      <w:sz w:val="24"/>
      <w:szCs w:val="24"/>
    </w:rPr>
  </w:style>
  <w:style w:type="character" w:customStyle="1" w:styleId="100">
    <w:name w:val="批注主题 字符1"/>
    <w:autoRedefine/>
    <w:qFormat/>
    <w:uiPriority w:val="0"/>
    <w:rPr>
      <w:b/>
      <w:bCs/>
      <w:kern w:val="2"/>
      <w:sz w:val="21"/>
    </w:rPr>
  </w:style>
  <w:style w:type="character" w:customStyle="1" w:styleId="101">
    <w:name w:val="批注主题 Char2"/>
    <w:autoRedefine/>
    <w:qFormat/>
    <w:uiPriority w:val="0"/>
    <w:rPr>
      <w:rFonts w:ascii="宋体" w:hAnsi="Calibri" w:eastAsia="宋体" w:cs="Times New Roman"/>
      <w:b/>
      <w:bCs/>
      <w:kern w:val="2"/>
      <w:sz w:val="28"/>
      <w:szCs w:val="22"/>
    </w:rPr>
  </w:style>
  <w:style w:type="character" w:customStyle="1" w:styleId="102">
    <w:name w:val="页眉 Char1"/>
    <w:autoRedefine/>
    <w:semiHidden/>
    <w:qFormat/>
    <w:uiPriority w:val="99"/>
    <w:rPr>
      <w:rFonts w:ascii="Calibri" w:hAnsi="Calibri" w:eastAsia="宋体" w:cs="Times New Roman"/>
      <w:sz w:val="18"/>
      <w:szCs w:val="18"/>
    </w:rPr>
  </w:style>
  <w:style w:type="character" w:customStyle="1" w:styleId="103">
    <w:name w:val="正文文本 字符1"/>
    <w:autoRedefine/>
    <w:qFormat/>
    <w:uiPriority w:val="99"/>
    <w:rPr>
      <w:kern w:val="2"/>
      <w:sz w:val="21"/>
    </w:rPr>
  </w:style>
  <w:style w:type="character" w:customStyle="1" w:styleId="104">
    <w:name w:val="para_small"/>
    <w:autoRedefine/>
    <w:qFormat/>
    <w:uiPriority w:val="99"/>
    <w:rPr>
      <w:rFonts w:cs="Times New Roman"/>
    </w:rPr>
  </w:style>
  <w:style w:type="character" w:customStyle="1" w:styleId="105">
    <w:name w:val="rvts11"/>
    <w:autoRedefine/>
    <w:qFormat/>
    <w:uiPriority w:val="0"/>
    <w:rPr>
      <w:rFonts w:hint="default" w:ascii="KNLe" w:hAnsi="KNLe"/>
      <w:u w:val="single"/>
    </w:rPr>
  </w:style>
  <w:style w:type="character" w:customStyle="1" w:styleId="106">
    <w:name w:val="15"/>
    <w:autoRedefine/>
    <w:qFormat/>
    <w:uiPriority w:val="0"/>
    <w:rPr>
      <w:rFonts w:hint="default" w:ascii="Times New Roman" w:hAnsi="Times New Roman" w:cs="Times New Roman"/>
    </w:rPr>
  </w:style>
  <w:style w:type="character" w:customStyle="1" w:styleId="107">
    <w:name w:val="引用 Char3"/>
    <w:autoRedefine/>
    <w:qFormat/>
    <w:uiPriority w:val="99"/>
    <w:rPr>
      <w:i/>
      <w:iCs/>
      <w:color w:val="000000"/>
      <w:kern w:val="2"/>
      <w:sz w:val="21"/>
    </w:rPr>
  </w:style>
  <w:style w:type="character" w:customStyle="1" w:styleId="108">
    <w:name w:val="标题 8 字符1"/>
    <w:autoRedefine/>
    <w:qFormat/>
    <w:uiPriority w:val="0"/>
    <w:rPr>
      <w:rFonts w:ascii="Cambria" w:hAnsi="Cambria"/>
      <w:sz w:val="24"/>
      <w:szCs w:val="24"/>
    </w:rPr>
  </w:style>
  <w:style w:type="character" w:customStyle="1" w:styleId="109">
    <w:name w:val="批注框文本 字符1"/>
    <w:autoRedefine/>
    <w:qFormat/>
    <w:uiPriority w:val="0"/>
    <w:rPr>
      <w:kern w:val="2"/>
      <w:sz w:val="18"/>
      <w:szCs w:val="18"/>
    </w:rPr>
  </w:style>
  <w:style w:type="character" w:customStyle="1" w:styleId="110">
    <w:name w:val="标题 3 字符"/>
    <w:autoRedefine/>
    <w:qFormat/>
    <w:locked/>
    <w:uiPriority w:val="99"/>
    <w:rPr>
      <w:b/>
      <w:bCs/>
      <w:sz w:val="32"/>
      <w:szCs w:val="32"/>
    </w:rPr>
  </w:style>
  <w:style w:type="character" w:customStyle="1" w:styleId="111">
    <w:name w:val="标题 Char1"/>
    <w:autoRedefine/>
    <w:qFormat/>
    <w:uiPriority w:val="10"/>
    <w:rPr>
      <w:rFonts w:ascii="Cambria" w:hAnsi="Cambria" w:cs="Times New Roman"/>
      <w:b/>
      <w:bCs/>
      <w:kern w:val="2"/>
      <w:sz w:val="32"/>
      <w:szCs w:val="32"/>
    </w:rPr>
  </w:style>
  <w:style w:type="character" w:customStyle="1" w:styleId="112">
    <w:name w:val="明显参考1"/>
    <w:autoRedefine/>
    <w:qFormat/>
    <w:uiPriority w:val="0"/>
    <w:rPr>
      <w:b/>
      <w:bCs/>
      <w:smallCaps/>
      <w:color w:val="C0504D"/>
      <w:spacing w:val="5"/>
      <w:u w:val="single"/>
    </w:rPr>
  </w:style>
  <w:style w:type="character" w:customStyle="1" w:styleId="113">
    <w:name w:val="rvts17"/>
    <w:autoRedefine/>
    <w:qFormat/>
    <w:uiPriority w:val="0"/>
    <w:rPr>
      <w:rFonts w:hint="default" w:ascii="KNLe" w:hAnsi="KNLe"/>
      <w:u w:val="single"/>
    </w:rPr>
  </w:style>
  <w:style w:type="character" w:customStyle="1" w:styleId="114">
    <w:name w:val="正文文本 Char_0"/>
    <w:link w:val="115"/>
    <w:autoRedefine/>
    <w:qFormat/>
    <w:uiPriority w:val="0"/>
    <w:rPr>
      <w:szCs w:val="24"/>
    </w:rPr>
  </w:style>
  <w:style w:type="paragraph" w:customStyle="1" w:styleId="115">
    <w:name w:val="正文文本_0"/>
    <w:basedOn w:val="116"/>
    <w:link w:val="114"/>
    <w:autoRedefine/>
    <w:qFormat/>
    <w:uiPriority w:val="0"/>
    <w:pPr>
      <w:spacing w:after="120"/>
    </w:pPr>
    <w:rPr>
      <w:kern w:val="0"/>
      <w:sz w:val="20"/>
    </w:rPr>
  </w:style>
  <w:style w:type="paragraph" w:customStyle="1" w:styleId="116">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7">
    <w:name w:val="正文缩进 字符"/>
    <w:autoRedefine/>
    <w:qFormat/>
    <w:locked/>
    <w:uiPriority w:val="0"/>
    <w:rPr>
      <w:rFonts w:eastAsia="宋体" w:cs="Times New Roman"/>
      <w:kern w:val="2"/>
      <w:sz w:val="21"/>
      <w:lang w:val="en-US" w:eastAsia="zh-CN" w:bidi="ar-SA"/>
    </w:rPr>
  </w:style>
  <w:style w:type="character" w:customStyle="1" w:styleId="118">
    <w:name w:val="副标题 Char3"/>
    <w:autoRedefine/>
    <w:qFormat/>
    <w:uiPriority w:val="0"/>
    <w:rPr>
      <w:rFonts w:ascii="Cambria" w:hAnsi="Cambria" w:cs="Times New Roman"/>
      <w:b/>
      <w:bCs/>
      <w:kern w:val="28"/>
      <w:sz w:val="32"/>
      <w:szCs w:val="32"/>
    </w:rPr>
  </w:style>
  <w:style w:type="character" w:customStyle="1" w:styleId="119">
    <w:name w:val="引用 Char1"/>
    <w:link w:val="120"/>
    <w:autoRedefine/>
    <w:qFormat/>
    <w:uiPriority w:val="29"/>
    <w:rPr>
      <w:i/>
      <w:iCs/>
      <w:color w:val="000000"/>
      <w:kern w:val="2"/>
      <w:sz w:val="21"/>
      <w:szCs w:val="24"/>
    </w:rPr>
  </w:style>
  <w:style w:type="paragraph" w:customStyle="1" w:styleId="120">
    <w:name w:val="引用1"/>
    <w:basedOn w:val="1"/>
    <w:next w:val="1"/>
    <w:link w:val="119"/>
    <w:autoRedefine/>
    <w:qFormat/>
    <w:uiPriority w:val="29"/>
    <w:rPr>
      <w:i/>
      <w:iCs/>
      <w:color w:val="000000"/>
      <w:szCs w:val="24"/>
    </w:rPr>
  </w:style>
  <w:style w:type="character" w:customStyle="1" w:styleId="121">
    <w:name w:val="正文文本 3 Char2"/>
    <w:autoRedefine/>
    <w:qFormat/>
    <w:uiPriority w:val="0"/>
    <w:rPr>
      <w:kern w:val="2"/>
      <w:sz w:val="16"/>
      <w:szCs w:val="16"/>
    </w:rPr>
  </w:style>
  <w:style w:type="character" w:customStyle="1" w:styleId="122">
    <w:name w:val="_Style 77"/>
    <w:autoRedefine/>
    <w:qFormat/>
    <w:uiPriority w:val="0"/>
    <w:rPr>
      <w:b/>
      <w:bCs/>
      <w:smallCaps/>
      <w:color w:val="C0504D"/>
      <w:spacing w:val="5"/>
      <w:u w:val="single"/>
    </w:rPr>
  </w:style>
  <w:style w:type="character" w:customStyle="1" w:styleId="123">
    <w:name w:val="页脚 Char1"/>
    <w:autoRedefine/>
    <w:semiHidden/>
    <w:qFormat/>
    <w:uiPriority w:val="99"/>
    <w:rPr>
      <w:rFonts w:ascii="Times New Roman" w:hAnsi="Times New Roman" w:eastAsia="宋体" w:cs="Times New Roman"/>
      <w:sz w:val="18"/>
      <w:szCs w:val="18"/>
    </w:rPr>
  </w:style>
  <w:style w:type="character" w:customStyle="1" w:styleId="124">
    <w:name w:val="textcontents"/>
    <w:autoRedefine/>
    <w:qFormat/>
    <w:uiPriority w:val="0"/>
    <w:rPr>
      <w:rFonts w:cs="Times New Roman"/>
    </w:rPr>
  </w:style>
  <w:style w:type="character" w:customStyle="1" w:styleId="125">
    <w:name w:val="书籍标题1"/>
    <w:autoRedefine/>
    <w:qFormat/>
    <w:uiPriority w:val="0"/>
    <w:rPr>
      <w:b/>
      <w:bCs/>
      <w:smallCaps/>
      <w:spacing w:val="5"/>
    </w:rPr>
  </w:style>
  <w:style w:type="character" w:customStyle="1" w:styleId="126">
    <w:name w:val="批注文字 Char1"/>
    <w:autoRedefine/>
    <w:qFormat/>
    <w:uiPriority w:val="0"/>
    <w:rPr>
      <w:rFonts w:ascii="Times New Roman" w:hAnsi="Times New Roman" w:eastAsia="宋体" w:cs="Times New Roman"/>
      <w:szCs w:val="20"/>
    </w:rPr>
  </w:style>
  <w:style w:type="character" w:customStyle="1" w:styleId="127">
    <w:name w:val="rvts13"/>
    <w:autoRedefine/>
    <w:qFormat/>
    <w:uiPriority w:val="0"/>
    <w:rPr>
      <w:rFonts w:hint="default" w:ascii="KNLe" w:hAnsi="KNLe"/>
      <w:color w:val="000000"/>
    </w:rPr>
  </w:style>
  <w:style w:type="character" w:customStyle="1" w:styleId="128">
    <w:name w:val="标题 3 字符1"/>
    <w:autoRedefine/>
    <w:qFormat/>
    <w:locked/>
    <w:uiPriority w:val="0"/>
    <w:rPr>
      <w:b/>
      <w:bCs/>
      <w:sz w:val="32"/>
      <w:szCs w:val="32"/>
    </w:rPr>
  </w:style>
  <w:style w:type="character" w:customStyle="1" w:styleId="129">
    <w:name w:val="_Style 90"/>
    <w:autoRedefine/>
    <w:qFormat/>
    <w:uiPriority w:val="0"/>
    <w:rPr>
      <w:i/>
      <w:iCs/>
      <w:color w:val="808080"/>
    </w:rPr>
  </w:style>
  <w:style w:type="character" w:customStyle="1" w:styleId="130">
    <w:name w:val="正文文本缩进 字符1"/>
    <w:autoRedefine/>
    <w:qFormat/>
    <w:locked/>
    <w:uiPriority w:val="0"/>
  </w:style>
  <w:style w:type="character" w:customStyle="1" w:styleId="131">
    <w:name w:val="正文文本 2 字符1"/>
    <w:autoRedefine/>
    <w:qFormat/>
    <w:locked/>
    <w:uiPriority w:val="99"/>
  </w:style>
  <w:style w:type="character" w:customStyle="1" w:styleId="132">
    <w:name w:val="纯文本 字符1"/>
    <w:autoRedefine/>
    <w:qFormat/>
    <w:locked/>
    <w:uiPriority w:val="0"/>
    <w:rPr>
      <w:rFonts w:ascii="宋体" w:hAnsi="Courier New"/>
      <w:sz w:val="21"/>
      <w:szCs w:val="21"/>
    </w:rPr>
  </w:style>
  <w:style w:type="character" w:customStyle="1" w:styleId="133">
    <w:name w:val="批注文字 Char Char"/>
    <w:autoRedefine/>
    <w:qFormat/>
    <w:uiPriority w:val="0"/>
    <w:rPr>
      <w:rFonts w:ascii="宋体" w:hAnsi="Times New Roman" w:eastAsia="宋体" w:cs="Times New Roman"/>
      <w:sz w:val="28"/>
      <w:szCs w:val="20"/>
    </w:rPr>
  </w:style>
  <w:style w:type="character" w:customStyle="1" w:styleId="134">
    <w:name w:val="不明显强调1"/>
    <w:autoRedefine/>
    <w:qFormat/>
    <w:uiPriority w:val="0"/>
    <w:rPr>
      <w:i/>
      <w:iCs/>
      <w:color w:val="808080"/>
    </w:rPr>
  </w:style>
  <w:style w:type="character" w:customStyle="1" w:styleId="135">
    <w:name w:val="Char Char22"/>
    <w:autoRedefine/>
    <w:qFormat/>
    <w:uiPriority w:val="0"/>
    <w:rPr>
      <w:rFonts w:eastAsia="宋体"/>
      <w:b/>
      <w:kern w:val="2"/>
      <w:sz w:val="32"/>
      <w:lang w:val="en-US" w:eastAsia="zh-CN" w:bidi="ar-SA"/>
    </w:rPr>
  </w:style>
  <w:style w:type="character" w:customStyle="1" w:styleId="136">
    <w:name w:val="标题 2 字符"/>
    <w:autoRedefine/>
    <w:qFormat/>
    <w:locked/>
    <w:uiPriority w:val="0"/>
    <w:rPr>
      <w:rFonts w:ascii="Cambria" w:hAnsi="Cambria"/>
      <w:b/>
      <w:bCs/>
      <w:sz w:val="32"/>
      <w:szCs w:val="32"/>
    </w:rPr>
  </w:style>
  <w:style w:type="character" w:customStyle="1" w:styleId="137">
    <w:name w:val="NormalCharacter"/>
    <w:autoRedefine/>
    <w:qFormat/>
    <w:uiPriority w:val="0"/>
  </w:style>
  <w:style w:type="character" w:customStyle="1" w:styleId="138">
    <w:name w:val="标题 3 Char_0"/>
    <w:link w:val="139"/>
    <w:autoRedefine/>
    <w:qFormat/>
    <w:uiPriority w:val="0"/>
    <w:rPr>
      <w:b/>
      <w:bCs/>
      <w:sz w:val="32"/>
      <w:szCs w:val="32"/>
    </w:rPr>
  </w:style>
  <w:style w:type="paragraph" w:customStyle="1" w:styleId="139">
    <w:name w:val="标题 3_0"/>
    <w:basedOn w:val="116"/>
    <w:next w:val="116"/>
    <w:link w:val="138"/>
    <w:autoRedefine/>
    <w:qFormat/>
    <w:uiPriority w:val="0"/>
    <w:pPr>
      <w:keepNext/>
      <w:keepLines/>
      <w:spacing w:before="260" w:after="260" w:line="416" w:lineRule="auto"/>
      <w:outlineLvl w:val="2"/>
    </w:pPr>
    <w:rPr>
      <w:b/>
      <w:bCs/>
      <w:kern w:val="0"/>
      <w:sz w:val="32"/>
      <w:szCs w:val="32"/>
    </w:rPr>
  </w:style>
  <w:style w:type="character" w:customStyle="1" w:styleId="140">
    <w:name w:val="纯文本 Char1"/>
    <w:autoRedefine/>
    <w:qFormat/>
    <w:uiPriority w:val="0"/>
    <w:rPr>
      <w:rFonts w:ascii="宋体" w:hAnsi="Courier New" w:cs="Courier New"/>
      <w:kern w:val="2"/>
      <w:sz w:val="21"/>
      <w:szCs w:val="21"/>
    </w:rPr>
  </w:style>
  <w:style w:type="character" w:customStyle="1" w:styleId="141">
    <w:name w:val="批注框文本 字符"/>
    <w:autoRedefine/>
    <w:qFormat/>
    <w:uiPriority w:val="0"/>
    <w:rPr>
      <w:kern w:val="2"/>
      <w:sz w:val="18"/>
      <w:szCs w:val="18"/>
    </w:rPr>
  </w:style>
  <w:style w:type="character" w:customStyle="1" w:styleId="142">
    <w:name w:val="批注文字 字符"/>
    <w:autoRedefine/>
    <w:qFormat/>
    <w:locked/>
    <w:uiPriority w:val="99"/>
    <w:rPr>
      <w:rFonts w:cs="Times New Roman"/>
      <w:sz w:val="20"/>
      <w:szCs w:val="20"/>
    </w:rPr>
  </w:style>
  <w:style w:type="character" w:customStyle="1" w:styleId="143">
    <w:name w:val="标题 7 字符1"/>
    <w:autoRedefine/>
    <w:qFormat/>
    <w:uiPriority w:val="0"/>
    <w:rPr>
      <w:b/>
      <w:bCs/>
      <w:sz w:val="24"/>
      <w:szCs w:val="24"/>
    </w:rPr>
  </w:style>
  <w:style w:type="character" w:customStyle="1" w:styleId="144">
    <w:name w:val="引用 字符"/>
    <w:autoRedefine/>
    <w:qFormat/>
    <w:uiPriority w:val="0"/>
    <w:rPr>
      <w:i/>
      <w:iCs/>
      <w:color w:val="000000"/>
    </w:rPr>
  </w:style>
  <w:style w:type="character" w:customStyle="1" w:styleId="145">
    <w:name w:val="文档结构图 字符1"/>
    <w:autoRedefine/>
    <w:qFormat/>
    <w:locked/>
    <w:uiPriority w:val="0"/>
    <w:rPr>
      <w:sz w:val="2"/>
      <w:shd w:val="clear" w:color="auto" w:fill="000080"/>
    </w:rPr>
  </w:style>
  <w:style w:type="character" w:customStyle="1" w:styleId="146">
    <w:name w:val="批注主题 字符"/>
    <w:autoRedefine/>
    <w:qFormat/>
    <w:locked/>
    <w:uiPriority w:val="0"/>
    <w:rPr>
      <w:rFonts w:cs="Times New Roman"/>
      <w:b/>
      <w:bCs/>
      <w:sz w:val="20"/>
      <w:szCs w:val="20"/>
    </w:rPr>
  </w:style>
  <w:style w:type="character" w:customStyle="1" w:styleId="147">
    <w:name w:val="标题 9 字符1"/>
    <w:autoRedefine/>
    <w:qFormat/>
    <w:uiPriority w:val="0"/>
    <w:rPr>
      <w:rFonts w:ascii="Cambria" w:hAnsi="Cambria"/>
      <w:sz w:val="21"/>
      <w:szCs w:val="21"/>
    </w:rPr>
  </w:style>
  <w:style w:type="character" w:customStyle="1" w:styleId="148">
    <w:name w:val="页眉 字符"/>
    <w:autoRedefine/>
    <w:qFormat/>
    <w:locked/>
    <w:uiPriority w:val="0"/>
    <w:rPr>
      <w:rFonts w:eastAsia="宋体" w:cs="Times New Roman"/>
      <w:kern w:val="2"/>
      <w:sz w:val="18"/>
      <w:lang w:val="en-US" w:eastAsia="zh-CN" w:bidi="ar-SA"/>
    </w:rPr>
  </w:style>
  <w:style w:type="character" w:customStyle="1" w:styleId="149">
    <w:name w:val="_Style 82"/>
    <w:autoRedefine/>
    <w:qFormat/>
    <w:uiPriority w:val="0"/>
    <w:rPr>
      <w:b/>
      <w:bCs/>
      <w:smallCaps/>
      <w:spacing w:val="5"/>
    </w:rPr>
  </w:style>
  <w:style w:type="character" w:customStyle="1" w:styleId="150">
    <w:name w:val="纯文本 Char2"/>
    <w:autoRedefine/>
    <w:semiHidden/>
    <w:qFormat/>
    <w:uiPriority w:val="99"/>
    <w:rPr>
      <w:rFonts w:ascii="宋体" w:hAnsi="Courier New" w:cs="Courier New"/>
      <w:kern w:val="2"/>
      <w:sz w:val="21"/>
      <w:szCs w:val="21"/>
    </w:rPr>
  </w:style>
  <w:style w:type="character" w:customStyle="1" w:styleId="151">
    <w:name w:val="副标题 Char1"/>
    <w:autoRedefine/>
    <w:qFormat/>
    <w:uiPriority w:val="11"/>
    <w:rPr>
      <w:rFonts w:ascii="Cambria" w:hAnsi="Cambria"/>
      <w:b/>
      <w:bCs/>
      <w:kern w:val="28"/>
      <w:sz w:val="32"/>
      <w:szCs w:val="32"/>
    </w:rPr>
  </w:style>
  <w:style w:type="character" w:customStyle="1" w:styleId="152">
    <w:name w:val="日期 Char3"/>
    <w:autoRedefine/>
    <w:qFormat/>
    <w:uiPriority w:val="0"/>
    <w:rPr>
      <w:kern w:val="2"/>
      <w:sz w:val="21"/>
    </w:rPr>
  </w:style>
  <w:style w:type="character" w:customStyle="1" w:styleId="153">
    <w:name w:val="正文首行缩进 Char1"/>
    <w:autoRedefine/>
    <w:qFormat/>
    <w:uiPriority w:val="0"/>
  </w:style>
  <w:style w:type="character" w:customStyle="1" w:styleId="154">
    <w:name w:val="正文文本缩进 3 字符1"/>
    <w:autoRedefine/>
    <w:qFormat/>
    <w:locked/>
    <w:uiPriority w:val="0"/>
    <w:rPr>
      <w:sz w:val="16"/>
      <w:szCs w:val="16"/>
    </w:rPr>
  </w:style>
  <w:style w:type="character" w:customStyle="1" w:styleId="155">
    <w:name w:val="日期 字符1"/>
    <w:autoRedefine/>
    <w:qFormat/>
    <w:locked/>
    <w:uiPriority w:val="0"/>
  </w:style>
  <w:style w:type="character" w:customStyle="1" w:styleId="156">
    <w:name w:val="标题 4 Char_0"/>
    <w:link w:val="157"/>
    <w:autoRedefine/>
    <w:qFormat/>
    <w:uiPriority w:val="0"/>
    <w:rPr>
      <w:rFonts w:ascii="Arial" w:hAnsi="Arial" w:eastAsia="黑体"/>
      <w:b/>
      <w:bCs/>
      <w:sz w:val="28"/>
      <w:szCs w:val="28"/>
    </w:rPr>
  </w:style>
  <w:style w:type="paragraph" w:customStyle="1" w:styleId="157">
    <w:name w:val="标题 4_0"/>
    <w:basedOn w:val="116"/>
    <w:next w:val="116"/>
    <w:link w:val="156"/>
    <w:autoRedefine/>
    <w:qFormat/>
    <w:uiPriority w:val="0"/>
    <w:pPr>
      <w:keepNext/>
      <w:keepLines/>
      <w:spacing w:before="280" w:after="290" w:line="376" w:lineRule="auto"/>
      <w:outlineLvl w:val="3"/>
    </w:pPr>
    <w:rPr>
      <w:rFonts w:ascii="Arial" w:hAnsi="Arial" w:eastAsia="黑体"/>
      <w:b/>
      <w:bCs/>
      <w:kern w:val="0"/>
      <w:sz w:val="28"/>
      <w:szCs w:val="28"/>
    </w:rPr>
  </w:style>
  <w:style w:type="character" w:customStyle="1" w:styleId="158">
    <w:name w:val="明显引用 字符2"/>
    <w:link w:val="159"/>
    <w:autoRedefine/>
    <w:qFormat/>
    <w:uiPriority w:val="30"/>
    <w:rPr>
      <w:rFonts w:ascii="Calibri" w:hAnsi="Calibri"/>
      <w:b/>
      <w:bCs/>
      <w:i/>
      <w:iCs/>
      <w:color w:val="4F81BD"/>
      <w:kern w:val="2"/>
      <w:sz w:val="21"/>
      <w:szCs w:val="22"/>
    </w:rPr>
  </w:style>
  <w:style w:type="paragraph" w:styleId="159">
    <w:name w:val="Intense Quote"/>
    <w:basedOn w:val="1"/>
    <w:next w:val="1"/>
    <w:link w:val="158"/>
    <w:autoRedefine/>
    <w:qFormat/>
    <w:uiPriority w:val="30"/>
    <w:pPr>
      <w:pBdr>
        <w:bottom w:val="single" w:color="4F81BD" w:sz="4" w:space="4"/>
      </w:pBdr>
      <w:spacing w:before="200" w:after="280"/>
      <w:ind w:left="936" w:right="936"/>
    </w:pPr>
    <w:rPr>
      <w:rFonts w:ascii="Calibri" w:hAnsi="Calibri"/>
      <w:b/>
      <w:bCs/>
      <w:i/>
      <w:iCs/>
      <w:color w:val="4F81BD"/>
    </w:rPr>
  </w:style>
  <w:style w:type="character" w:customStyle="1" w:styleId="160">
    <w:name w:val="明显引用 Char3"/>
    <w:autoRedefine/>
    <w:qFormat/>
    <w:uiPriority w:val="99"/>
    <w:rPr>
      <w:b/>
      <w:bCs/>
      <w:i/>
      <w:iCs/>
      <w:color w:val="4F81BD"/>
      <w:kern w:val="2"/>
      <w:sz w:val="21"/>
    </w:rPr>
  </w:style>
  <w:style w:type="character" w:customStyle="1" w:styleId="161">
    <w:name w:val="纯文本 字符"/>
    <w:autoRedefine/>
    <w:qFormat/>
    <w:locked/>
    <w:uiPriority w:val="99"/>
    <w:rPr>
      <w:rFonts w:ascii="宋体" w:hAnsi="Courier New" w:cs="Courier New"/>
      <w:sz w:val="21"/>
      <w:szCs w:val="21"/>
    </w:rPr>
  </w:style>
  <w:style w:type="character" w:customStyle="1" w:styleId="162">
    <w:name w:val="10"/>
    <w:autoRedefine/>
    <w:qFormat/>
    <w:uiPriority w:val="0"/>
    <w:rPr>
      <w:rFonts w:hint="default" w:ascii="Times New Roman" w:hAnsi="Times New Roman" w:cs="Times New Roman"/>
    </w:rPr>
  </w:style>
  <w:style w:type="character" w:customStyle="1" w:styleId="163">
    <w:name w:val="Char Char"/>
    <w:autoRedefine/>
    <w:qFormat/>
    <w:uiPriority w:val="0"/>
    <w:rPr>
      <w:rFonts w:ascii="宋体" w:hAnsi="宋体" w:eastAsia="宋体"/>
      <w:sz w:val="24"/>
      <w:lang w:val="en-US" w:eastAsia="zh-CN" w:bidi="ar-SA"/>
    </w:rPr>
  </w:style>
  <w:style w:type="character" w:customStyle="1" w:styleId="164">
    <w:name w:val="标题 5 Char_0"/>
    <w:link w:val="165"/>
    <w:autoRedefine/>
    <w:qFormat/>
    <w:uiPriority w:val="0"/>
    <w:rPr>
      <w:rFonts w:ascii="Calibri" w:hAnsi="Calibri"/>
      <w:b/>
      <w:bCs/>
      <w:sz w:val="28"/>
      <w:szCs w:val="28"/>
    </w:rPr>
  </w:style>
  <w:style w:type="paragraph" w:customStyle="1" w:styleId="165">
    <w:name w:val="标题 5_0"/>
    <w:basedOn w:val="116"/>
    <w:next w:val="116"/>
    <w:link w:val="164"/>
    <w:autoRedefine/>
    <w:qFormat/>
    <w:uiPriority w:val="0"/>
    <w:pPr>
      <w:keepNext/>
      <w:keepLines/>
      <w:spacing w:before="280" w:after="290" w:line="372" w:lineRule="auto"/>
      <w:outlineLvl w:val="4"/>
    </w:pPr>
    <w:rPr>
      <w:rFonts w:ascii="Calibri" w:hAnsi="Calibri"/>
      <w:b/>
      <w:bCs/>
      <w:kern w:val="0"/>
      <w:sz w:val="28"/>
      <w:szCs w:val="28"/>
    </w:rPr>
  </w:style>
  <w:style w:type="character" w:customStyle="1" w:styleId="166">
    <w:name w:val="标题 5 字符"/>
    <w:autoRedefine/>
    <w:qFormat/>
    <w:locked/>
    <w:uiPriority w:val="0"/>
    <w:rPr>
      <w:b/>
      <w:bCs/>
      <w:sz w:val="28"/>
      <w:szCs w:val="28"/>
    </w:rPr>
  </w:style>
  <w:style w:type="character" w:customStyle="1" w:styleId="167">
    <w:name w:val="页脚 字符"/>
    <w:autoRedefine/>
    <w:qFormat/>
    <w:locked/>
    <w:uiPriority w:val="99"/>
    <w:rPr>
      <w:rFonts w:eastAsia="宋体" w:cs="Times New Roman"/>
      <w:kern w:val="2"/>
      <w:sz w:val="18"/>
      <w:lang w:val="en-US" w:eastAsia="zh-CN" w:bidi="ar-SA"/>
    </w:rPr>
  </w:style>
  <w:style w:type="character" w:customStyle="1" w:styleId="168">
    <w:name w:val="Char Char16"/>
    <w:autoRedefine/>
    <w:qFormat/>
    <w:uiPriority w:val="0"/>
    <w:rPr>
      <w:rFonts w:eastAsia="宋体"/>
      <w:b/>
      <w:kern w:val="2"/>
      <w:sz w:val="32"/>
      <w:lang w:val="en-US" w:eastAsia="zh-CN" w:bidi="ar-SA"/>
    </w:rPr>
  </w:style>
  <w:style w:type="character" w:customStyle="1" w:styleId="169">
    <w:name w:val="标题 1 Char_0"/>
    <w:link w:val="170"/>
    <w:autoRedefine/>
    <w:qFormat/>
    <w:uiPriority w:val="0"/>
    <w:rPr>
      <w:b/>
      <w:bCs/>
      <w:kern w:val="44"/>
      <w:sz w:val="44"/>
      <w:szCs w:val="44"/>
    </w:rPr>
  </w:style>
  <w:style w:type="paragraph" w:customStyle="1" w:styleId="170">
    <w:name w:val="标题 1_0"/>
    <w:basedOn w:val="116"/>
    <w:next w:val="116"/>
    <w:link w:val="169"/>
    <w:autoRedefine/>
    <w:qFormat/>
    <w:uiPriority w:val="0"/>
    <w:pPr>
      <w:keepNext/>
      <w:keepLines/>
      <w:spacing w:before="340" w:after="330" w:line="578" w:lineRule="auto"/>
      <w:outlineLvl w:val="0"/>
    </w:pPr>
    <w:rPr>
      <w:b/>
      <w:bCs/>
      <w:kern w:val="44"/>
      <w:sz w:val="44"/>
      <w:szCs w:val="44"/>
    </w:rPr>
  </w:style>
  <w:style w:type="character" w:customStyle="1" w:styleId="171">
    <w:name w:val="引用 字符2"/>
    <w:link w:val="172"/>
    <w:autoRedefine/>
    <w:qFormat/>
    <w:uiPriority w:val="29"/>
    <w:rPr>
      <w:rFonts w:ascii="Calibri" w:hAnsi="Calibri"/>
      <w:i/>
      <w:iCs/>
      <w:color w:val="000000"/>
      <w:kern w:val="2"/>
      <w:sz w:val="21"/>
      <w:szCs w:val="22"/>
    </w:rPr>
  </w:style>
  <w:style w:type="paragraph" w:styleId="172">
    <w:name w:val="Quote"/>
    <w:basedOn w:val="1"/>
    <w:next w:val="1"/>
    <w:link w:val="171"/>
    <w:autoRedefine/>
    <w:qFormat/>
    <w:uiPriority w:val="29"/>
    <w:rPr>
      <w:rFonts w:ascii="Calibri" w:hAnsi="Calibri"/>
      <w:i/>
      <w:iCs/>
      <w:color w:val="000000"/>
    </w:rPr>
  </w:style>
  <w:style w:type="character" w:customStyle="1" w:styleId="173">
    <w:name w:val="标题4 Char Char"/>
    <w:link w:val="174"/>
    <w:autoRedefine/>
    <w:qFormat/>
    <w:uiPriority w:val="0"/>
    <w:rPr>
      <w:rFonts w:ascii="Arial" w:hAnsi="Arial"/>
      <w:b/>
      <w:bCs/>
      <w:sz w:val="24"/>
      <w:szCs w:val="32"/>
    </w:rPr>
  </w:style>
  <w:style w:type="paragraph" w:customStyle="1" w:styleId="174">
    <w:name w:val="标题4"/>
    <w:basedOn w:val="4"/>
    <w:next w:val="25"/>
    <w:link w:val="173"/>
    <w:autoRedefine/>
    <w:qFormat/>
    <w:uiPriority w:val="0"/>
    <w:pPr>
      <w:keepNext/>
      <w:keepLines/>
      <w:spacing w:line="413" w:lineRule="auto"/>
      <w:jc w:val="both"/>
    </w:pPr>
    <w:rPr>
      <w:rFonts w:ascii="Arial" w:hAnsi="Arial" w:eastAsia="宋体"/>
      <w:bCs/>
      <w:sz w:val="24"/>
      <w:szCs w:val="32"/>
    </w:rPr>
  </w:style>
  <w:style w:type="character" w:customStyle="1" w:styleId="175">
    <w:name w:val="00-合正 Char"/>
    <w:link w:val="176"/>
    <w:autoRedefine/>
    <w:qFormat/>
    <w:uiPriority w:val="0"/>
    <w:rPr>
      <w:rFonts w:ascii="楷体" w:hAnsi="楷体" w:eastAsia="楷体" w:cs="Times New Roman"/>
      <w:color w:val="000000"/>
      <w:kern w:val="0"/>
      <w:sz w:val="28"/>
      <w:szCs w:val="24"/>
    </w:rPr>
  </w:style>
  <w:style w:type="paragraph" w:customStyle="1" w:styleId="176">
    <w:name w:val="00-合正"/>
    <w:basedOn w:val="1"/>
    <w:link w:val="175"/>
    <w:autoRedefine/>
    <w:qFormat/>
    <w:uiPriority w:val="0"/>
    <w:pPr>
      <w:spacing w:line="560" w:lineRule="exact"/>
      <w:ind w:firstLine="200" w:firstLineChars="200"/>
      <w:jc w:val="left"/>
    </w:pPr>
    <w:rPr>
      <w:rFonts w:ascii="楷体" w:hAnsi="楷体" w:eastAsia="楷体"/>
      <w:color w:val="000000"/>
      <w:kern w:val="0"/>
      <w:sz w:val="28"/>
      <w:szCs w:val="24"/>
    </w:rPr>
  </w:style>
  <w:style w:type="character" w:customStyle="1" w:styleId="177">
    <w:name w:val="标题 6 字符"/>
    <w:autoRedefine/>
    <w:qFormat/>
    <w:locked/>
    <w:uiPriority w:val="0"/>
    <w:rPr>
      <w:rFonts w:ascii="Cambria" w:hAnsi="Cambria"/>
      <w:b/>
      <w:bCs/>
      <w:sz w:val="24"/>
      <w:szCs w:val="24"/>
    </w:rPr>
  </w:style>
  <w:style w:type="character" w:customStyle="1" w:styleId="178">
    <w:name w:val="副标题 字符1"/>
    <w:autoRedefine/>
    <w:qFormat/>
    <w:uiPriority w:val="0"/>
    <w:rPr>
      <w:rFonts w:ascii="Cambria" w:hAnsi="Cambria"/>
      <w:b/>
      <w:bCs/>
      <w:kern w:val="28"/>
      <w:sz w:val="32"/>
      <w:szCs w:val="32"/>
    </w:rPr>
  </w:style>
  <w:style w:type="character" w:customStyle="1" w:styleId="179">
    <w:name w:val="明显引用 字符"/>
    <w:autoRedefine/>
    <w:qFormat/>
    <w:uiPriority w:val="0"/>
    <w:rPr>
      <w:b/>
      <w:bCs/>
      <w:i/>
      <w:iCs/>
      <w:color w:val="4F81BD"/>
    </w:rPr>
  </w:style>
  <w:style w:type="character" w:customStyle="1" w:styleId="180">
    <w:name w:val="正文文本缩进 2 Char1"/>
    <w:autoRedefine/>
    <w:qFormat/>
    <w:uiPriority w:val="0"/>
    <w:rPr>
      <w:kern w:val="2"/>
      <w:sz w:val="21"/>
      <w:szCs w:val="24"/>
    </w:rPr>
  </w:style>
  <w:style w:type="character" w:customStyle="1" w:styleId="181">
    <w:name w:val="标题 字符1"/>
    <w:autoRedefine/>
    <w:qFormat/>
    <w:uiPriority w:val="0"/>
    <w:rPr>
      <w:rFonts w:ascii="Cambria" w:hAnsi="Cambria"/>
      <w:b/>
      <w:bCs/>
      <w:kern w:val="2"/>
      <w:sz w:val="32"/>
      <w:szCs w:val="32"/>
    </w:rPr>
  </w:style>
  <w:style w:type="character" w:customStyle="1" w:styleId="182">
    <w:name w:val="批注主题 Char3"/>
    <w:autoRedefine/>
    <w:semiHidden/>
    <w:qFormat/>
    <w:uiPriority w:val="99"/>
    <w:rPr>
      <w:b/>
      <w:bCs/>
      <w:kern w:val="2"/>
      <w:sz w:val="21"/>
      <w:szCs w:val="22"/>
    </w:rPr>
  </w:style>
  <w:style w:type="character" w:customStyle="1" w:styleId="183">
    <w:name w:val="标题 4 字符1"/>
    <w:autoRedefine/>
    <w:qFormat/>
    <w:uiPriority w:val="0"/>
    <w:rPr>
      <w:rFonts w:ascii="Cambria" w:hAnsi="Cambria"/>
      <w:b/>
      <w:bCs/>
      <w:sz w:val="28"/>
      <w:szCs w:val="28"/>
    </w:rPr>
  </w:style>
  <w:style w:type="character" w:customStyle="1" w:styleId="184">
    <w:name w:val="副标题 字符"/>
    <w:autoRedefine/>
    <w:qFormat/>
    <w:uiPriority w:val="0"/>
    <w:rPr>
      <w:rFonts w:ascii="Cambria" w:hAnsi="Cambria"/>
      <w:b/>
      <w:bCs/>
      <w:kern w:val="28"/>
      <w:sz w:val="32"/>
      <w:szCs w:val="32"/>
    </w:rPr>
  </w:style>
  <w:style w:type="character" w:customStyle="1" w:styleId="185">
    <w:name w:val="HTML 预设格式 字符1"/>
    <w:autoRedefine/>
    <w:qFormat/>
    <w:uiPriority w:val="99"/>
    <w:rPr>
      <w:rFonts w:ascii="Courier New" w:hAnsi="Courier New" w:cs="Courier New"/>
      <w:kern w:val="2"/>
    </w:rPr>
  </w:style>
  <w:style w:type="character" w:customStyle="1" w:styleId="186">
    <w:name w:val="正文首行缩进 Char"/>
    <w:autoRedefine/>
    <w:semiHidden/>
    <w:qFormat/>
    <w:uiPriority w:val="99"/>
    <w:rPr>
      <w:kern w:val="2"/>
      <w:sz w:val="21"/>
      <w:szCs w:val="22"/>
    </w:rPr>
  </w:style>
  <w:style w:type="character" w:customStyle="1" w:styleId="187">
    <w:name w:val="日期 Char2"/>
    <w:autoRedefine/>
    <w:semiHidden/>
    <w:qFormat/>
    <w:uiPriority w:val="99"/>
    <w:rPr>
      <w:kern w:val="2"/>
      <w:sz w:val="21"/>
      <w:szCs w:val="22"/>
    </w:rPr>
  </w:style>
  <w:style w:type="character" w:customStyle="1" w:styleId="188">
    <w:name w:val="正文文本 字符"/>
    <w:autoRedefine/>
    <w:qFormat/>
    <w:locked/>
    <w:uiPriority w:val="0"/>
    <w:rPr>
      <w:rFonts w:cs="Times New Roman"/>
      <w:sz w:val="20"/>
      <w:szCs w:val="20"/>
    </w:rPr>
  </w:style>
  <w:style w:type="character" w:customStyle="1" w:styleId="189">
    <w:name w:val="正文2 Char"/>
    <w:link w:val="190"/>
    <w:autoRedefine/>
    <w:qFormat/>
    <w:uiPriority w:val="0"/>
    <w:rPr>
      <w:kern w:val="2"/>
      <w:sz w:val="24"/>
    </w:rPr>
  </w:style>
  <w:style w:type="paragraph" w:customStyle="1" w:styleId="190">
    <w:name w:val="正文2"/>
    <w:basedOn w:val="1"/>
    <w:link w:val="189"/>
    <w:autoRedefine/>
    <w:qFormat/>
    <w:uiPriority w:val="0"/>
    <w:pPr>
      <w:spacing w:before="156" w:line="360" w:lineRule="auto"/>
      <w:ind w:firstLine="510" w:firstLineChars="200"/>
    </w:pPr>
    <w:rPr>
      <w:sz w:val="24"/>
      <w:szCs w:val="20"/>
    </w:rPr>
  </w:style>
  <w:style w:type="character" w:customStyle="1" w:styleId="191">
    <w:name w:val="标题 6 字符1"/>
    <w:autoRedefine/>
    <w:qFormat/>
    <w:uiPriority w:val="0"/>
    <w:rPr>
      <w:rFonts w:ascii="Cambria" w:hAnsi="Cambria"/>
      <w:b/>
      <w:bCs/>
      <w:sz w:val="24"/>
      <w:szCs w:val="24"/>
    </w:rPr>
  </w:style>
  <w:style w:type="character" w:customStyle="1" w:styleId="192">
    <w:name w:val="文档结构图 Char1"/>
    <w:autoRedefine/>
    <w:qFormat/>
    <w:uiPriority w:val="0"/>
    <w:rPr>
      <w:rFonts w:ascii="宋体"/>
      <w:kern w:val="2"/>
      <w:sz w:val="18"/>
      <w:szCs w:val="18"/>
    </w:rPr>
  </w:style>
  <w:style w:type="character" w:customStyle="1" w:styleId="193">
    <w:name w:val="标题 4 字符"/>
    <w:autoRedefine/>
    <w:qFormat/>
    <w:locked/>
    <w:uiPriority w:val="0"/>
    <w:rPr>
      <w:rFonts w:ascii="Cambria" w:hAnsi="Cambria"/>
      <w:b/>
      <w:bCs/>
      <w:sz w:val="28"/>
      <w:szCs w:val="28"/>
    </w:rPr>
  </w:style>
  <w:style w:type="character" w:customStyle="1" w:styleId="194">
    <w:name w:val="批注文字 Char"/>
    <w:autoRedefine/>
    <w:qFormat/>
    <w:uiPriority w:val="99"/>
    <w:rPr>
      <w:rFonts w:ascii="Times New Roman" w:hAnsi="Times New Roman" w:eastAsia="宋体" w:cs="Times New Roman"/>
      <w:szCs w:val="20"/>
    </w:rPr>
  </w:style>
  <w:style w:type="character" w:customStyle="1" w:styleId="195">
    <w:name w:val="正文文本缩进 字符"/>
    <w:autoRedefine/>
    <w:qFormat/>
    <w:locked/>
    <w:uiPriority w:val="0"/>
    <w:rPr>
      <w:rFonts w:cs="Times New Roman"/>
      <w:sz w:val="20"/>
      <w:szCs w:val="20"/>
    </w:rPr>
  </w:style>
  <w:style w:type="character" w:customStyle="1" w:styleId="196">
    <w:name w:val="超链接_0"/>
    <w:autoRedefine/>
    <w:qFormat/>
    <w:uiPriority w:val="99"/>
    <w:rPr>
      <w:rFonts w:ascii="Calibri" w:hAnsi="Calibri"/>
      <w:color w:val="0000FF"/>
      <w:u w:val="single"/>
    </w:rPr>
  </w:style>
  <w:style w:type="character" w:customStyle="1" w:styleId="197">
    <w:name w:val="正文文本 3 字符1"/>
    <w:autoRedefine/>
    <w:qFormat/>
    <w:locked/>
    <w:uiPriority w:val="0"/>
    <w:rPr>
      <w:sz w:val="16"/>
      <w:szCs w:val="16"/>
    </w:rPr>
  </w:style>
  <w:style w:type="character" w:customStyle="1" w:styleId="198">
    <w:name w:val="明显引用 Char1"/>
    <w:link w:val="199"/>
    <w:autoRedefine/>
    <w:qFormat/>
    <w:uiPriority w:val="30"/>
    <w:rPr>
      <w:b/>
      <w:bCs/>
      <w:i/>
      <w:iCs/>
      <w:color w:val="4F81BD"/>
      <w:kern w:val="2"/>
      <w:sz w:val="21"/>
      <w:szCs w:val="24"/>
    </w:rPr>
  </w:style>
  <w:style w:type="paragraph" w:customStyle="1" w:styleId="199">
    <w:name w:val="明显引用1"/>
    <w:basedOn w:val="1"/>
    <w:next w:val="1"/>
    <w:link w:val="198"/>
    <w:autoRedefine/>
    <w:qFormat/>
    <w:uiPriority w:val="30"/>
    <w:pPr>
      <w:pBdr>
        <w:bottom w:val="single" w:color="4F81BD" w:sz="4" w:space="4"/>
      </w:pBdr>
      <w:spacing w:before="200" w:after="280"/>
      <w:ind w:left="936" w:right="936"/>
    </w:pPr>
    <w:rPr>
      <w:b/>
      <w:bCs/>
      <w:i/>
      <w:iCs/>
      <w:color w:val="4F81BD"/>
      <w:szCs w:val="24"/>
    </w:rPr>
  </w:style>
  <w:style w:type="character" w:customStyle="1" w:styleId="200">
    <w:name w:val="正文文本 Char2"/>
    <w:autoRedefine/>
    <w:semiHidden/>
    <w:qFormat/>
    <w:uiPriority w:val="99"/>
    <w:rPr>
      <w:kern w:val="2"/>
      <w:sz w:val="21"/>
      <w:szCs w:val="22"/>
    </w:rPr>
  </w:style>
  <w:style w:type="character" w:customStyle="1" w:styleId="201">
    <w:name w:val="标题5 Char Char"/>
    <w:link w:val="202"/>
    <w:autoRedefine/>
    <w:qFormat/>
    <w:uiPriority w:val="0"/>
    <w:rPr>
      <w:rFonts w:ascii="Arial" w:hAnsi="Arial"/>
      <w:b/>
      <w:bCs/>
      <w:sz w:val="24"/>
      <w:szCs w:val="32"/>
    </w:rPr>
  </w:style>
  <w:style w:type="paragraph" w:customStyle="1" w:styleId="202">
    <w:name w:val="标题5"/>
    <w:basedOn w:val="5"/>
    <w:link w:val="201"/>
    <w:autoRedefine/>
    <w:qFormat/>
    <w:uiPriority w:val="0"/>
    <w:pPr>
      <w:spacing w:before="0" w:after="0"/>
    </w:pPr>
    <w:rPr>
      <w:rFonts w:ascii="Arial" w:hAnsi="Arial"/>
      <w:bCs/>
      <w:kern w:val="0"/>
      <w:sz w:val="24"/>
      <w:szCs w:val="32"/>
    </w:rPr>
  </w:style>
  <w:style w:type="character" w:customStyle="1" w:styleId="203">
    <w:name w:val="_Style 80"/>
    <w:autoRedefine/>
    <w:qFormat/>
    <w:uiPriority w:val="0"/>
    <w:rPr>
      <w:b/>
      <w:bCs/>
      <w:i/>
      <w:iCs/>
      <w:color w:val="4F81BD"/>
    </w:rPr>
  </w:style>
  <w:style w:type="character" w:customStyle="1" w:styleId="204">
    <w:name w:val="point_normal1"/>
    <w:autoRedefine/>
    <w:qFormat/>
    <w:uiPriority w:val="99"/>
    <w:rPr>
      <w:rFonts w:ascii="Arial" w:hAnsi="Arial" w:cs="Arial"/>
      <w:sz w:val="18"/>
      <w:szCs w:val="18"/>
    </w:rPr>
  </w:style>
  <w:style w:type="character" w:customStyle="1" w:styleId="205">
    <w:name w:val="正文文本 3 Char1"/>
    <w:autoRedefine/>
    <w:semiHidden/>
    <w:qFormat/>
    <w:uiPriority w:val="99"/>
    <w:rPr>
      <w:kern w:val="2"/>
      <w:sz w:val="16"/>
      <w:szCs w:val="16"/>
    </w:rPr>
  </w:style>
  <w:style w:type="character" w:customStyle="1" w:styleId="206">
    <w:name w:val="Table Sub Section Char"/>
    <w:link w:val="207"/>
    <w:autoRedefine/>
    <w:qFormat/>
    <w:locked/>
    <w:uiPriority w:val="0"/>
    <w:rPr>
      <w:rFonts w:ascii="Arial" w:hAnsi="Arial"/>
      <w:b/>
      <w:bCs/>
      <w:color w:val="0F0F0F"/>
      <w:lang w:eastAsia="en-US"/>
    </w:rPr>
  </w:style>
  <w:style w:type="paragraph" w:customStyle="1" w:styleId="207">
    <w:name w:val="Table Sub Section"/>
    <w:basedOn w:val="1"/>
    <w:link w:val="206"/>
    <w:autoRedefine/>
    <w:qFormat/>
    <w:uiPriority w:val="0"/>
    <w:pPr>
      <w:keepNext/>
      <w:widowControl/>
      <w:spacing w:before="160" w:after="160" w:line="276" w:lineRule="auto"/>
      <w:jc w:val="left"/>
    </w:pPr>
    <w:rPr>
      <w:rFonts w:ascii="Arial" w:hAnsi="Arial"/>
      <w:b/>
      <w:bCs/>
      <w:color w:val="0F0F0F"/>
      <w:kern w:val="0"/>
      <w:sz w:val="20"/>
      <w:szCs w:val="20"/>
      <w:lang w:eastAsia="en-US"/>
    </w:rPr>
  </w:style>
  <w:style w:type="character" w:customStyle="1" w:styleId="208">
    <w:name w:val="批注框文本 Char2"/>
    <w:autoRedefine/>
    <w:semiHidden/>
    <w:qFormat/>
    <w:uiPriority w:val="99"/>
    <w:rPr>
      <w:kern w:val="2"/>
      <w:sz w:val="18"/>
      <w:szCs w:val="18"/>
    </w:rPr>
  </w:style>
  <w:style w:type="character" w:customStyle="1" w:styleId="209">
    <w:name w:val="正文文本缩进 3 Char1"/>
    <w:autoRedefine/>
    <w:qFormat/>
    <w:uiPriority w:val="0"/>
    <w:rPr>
      <w:kern w:val="2"/>
      <w:sz w:val="16"/>
      <w:szCs w:val="16"/>
    </w:rPr>
  </w:style>
  <w:style w:type="character" w:customStyle="1" w:styleId="210">
    <w:name w:val="页眉 字符1"/>
    <w:autoRedefine/>
    <w:qFormat/>
    <w:uiPriority w:val="0"/>
    <w:rPr>
      <w:kern w:val="2"/>
      <w:sz w:val="18"/>
      <w:szCs w:val="18"/>
    </w:rPr>
  </w:style>
  <w:style w:type="character" w:customStyle="1" w:styleId="211">
    <w:name w:val="批注文字 字符1"/>
    <w:autoRedefine/>
    <w:qFormat/>
    <w:uiPriority w:val="99"/>
  </w:style>
  <w:style w:type="character" w:customStyle="1" w:styleId="212">
    <w:name w:val="批注主题 Char"/>
    <w:autoRedefine/>
    <w:qFormat/>
    <w:uiPriority w:val="99"/>
  </w:style>
  <w:style w:type="character" w:customStyle="1" w:styleId="213">
    <w:name w:val="书籍标题11"/>
    <w:autoRedefine/>
    <w:qFormat/>
    <w:uiPriority w:val="0"/>
    <w:rPr>
      <w:b/>
      <w:bCs/>
      <w:smallCaps/>
      <w:spacing w:val="5"/>
    </w:rPr>
  </w:style>
  <w:style w:type="character" w:customStyle="1" w:styleId="214">
    <w:name w:val="批注框文本 Char1"/>
    <w:autoRedefine/>
    <w:qFormat/>
    <w:uiPriority w:val="0"/>
    <w:rPr>
      <w:kern w:val="2"/>
      <w:sz w:val="18"/>
      <w:szCs w:val="18"/>
    </w:rPr>
  </w:style>
  <w:style w:type="character" w:customStyle="1" w:styleId="215">
    <w:name w:val="引用 Char"/>
    <w:link w:val="216"/>
    <w:autoRedefine/>
    <w:qFormat/>
    <w:uiPriority w:val="29"/>
    <w:rPr>
      <w:i/>
      <w:iCs/>
      <w:color w:val="000000"/>
    </w:rPr>
  </w:style>
  <w:style w:type="paragraph" w:customStyle="1" w:styleId="216">
    <w:name w:val="_Style 59"/>
    <w:basedOn w:val="1"/>
    <w:next w:val="1"/>
    <w:link w:val="215"/>
    <w:autoRedefine/>
    <w:qFormat/>
    <w:uiPriority w:val="29"/>
    <w:rPr>
      <w:i/>
      <w:iCs/>
      <w:color w:val="000000"/>
      <w:kern w:val="0"/>
      <w:sz w:val="20"/>
      <w:szCs w:val="20"/>
    </w:rPr>
  </w:style>
  <w:style w:type="character" w:customStyle="1" w:styleId="217">
    <w:name w:val="引用 字符1"/>
    <w:autoRedefine/>
    <w:qFormat/>
    <w:uiPriority w:val="0"/>
    <w:rPr>
      <w:i/>
      <w:iCs/>
      <w:color w:val="000000"/>
    </w:rPr>
  </w:style>
  <w:style w:type="character" w:customStyle="1" w:styleId="218">
    <w:name w:val="正文文本 2 字符"/>
    <w:autoRedefine/>
    <w:semiHidden/>
    <w:qFormat/>
    <w:locked/>
    <w:uiPriority w:val="99"/>
    <w:rPr>
      <w:rFonts w:cs="Times New Roman"/>
      <w:sz w:val="20"/>
      <w:szCs w:val="20"/>
    </w:rPr>
  </w:style>
  <w:style w:type="character" w:customStyle="1" w:styleId="219">
    <w:name w:val="不明显强调11"/>
    <w:autoRedefine/>
    <w:qFormat/>
    <w:uiPriority w:val="0"/>
    <w:rPr>
      <w:i/>
      <w:iCs/>
      <w:color w:val="808080"/>
    </w:rPr>
  </w:style>
  <w:style w:type="character" w:customStyle="1" w:styleId="220">
    <w:name w:val="标题 1 字符"/>
    <w:autoRedefine/>
    <w:qFormat/>
    <w:locked/>
    <w:uiPriority w:val="0"/>
    <w:rPr>
      <w:rFonts w:ascii="黑体" w:eastAsia="黑体"/>
      <w:b/>
      <w:kern w:val="44"/>
      <w:sz w:val="28"/>
    </w:rPr>
  </w:style>
  <w:style w:type="character" w:customStyle="1" w:styleId="221">
    <w:name w:val="不明显参考1"/>
    <w:autoRedefine/>
    <w:qFormat/>
    <w:uiPriority w:val="0"/>
    <w:rPr>
      <w:smallCaps/>
      <w:color w:val="C0504D"/>
      <w:u w:val="single"/>
    </w:rPr>
  </w:style>
  <w:style w:type="character" w:customStyle="1" w:styleId="222">
    <w:name w:val="HTML 预设格式 字符"/>
    <w:autoRedefine/>
    <w:semiHidden/>
    <w:qFormat/>
    <w:locked/>
    <w:uiPriority w:val="99"/>
    <w:rPr>
      <w:rFonts w:ascii="Courier New" w:hAnsi="Courier New" w:cs="Courier New"/>
      <w:sz w:val="20"/>
      <w:szCs w:val="20"/>
    </w:rPr>
  </w:style>
  <w:style w:type="character" w:customStyle="1" w:styleId="223">
    <w:name w:val="明显参考2"/>
    <w:autoRedefine/>
    <w:qFormat/>
    <w:uiPriority w:val="0"/>
    <w:rPr>
      <w:b/>
      <w:bCs/>
      <w:smallCaps/>
      <w:color w:val="C0504D"/>
      <w:spacing w:val="5"/>
      <w:u w:val="single"/>
    </w:rPr>
  </w:style>
  <w:style w:type="character" w:customStyle="1" w:styleId="224">
    <w:name w:val="rvts9"/>
    <w:autoRedefine/>
    <w:qFormat/>
    <w:uiPriority w:val="0"/>
    <w:rPr>
      <w:rFonts w:hint="default" w:ascii="KNLe" w:hAnsi="KNLe"/>
    </w:rPr>
  </w:style>
  <w:style w:type="character" w:customStyle="1" w:styleId="225">
    <w:name w:val="bookmark"/>
    <w:autoRedefine/>
    <w:qFormat/>
    <w:uiPriority w:val="0"/>
  </w:style>
  <w:style w:type="character" w:customStyle="1" w:styleId="226">
    <w:name w:val="页脚 字符1"/>
    <w:autoRedefine/>
    <w:qFormat/>
    <w:locked/>
    <w:uiPriority w:val="99"/>
    <w:rPr>
      <w:kern w:val="2"/>
      <w:sz w:val="18"/>
    </w:rPr>
  </w:style>
  <w:style w:type="character" w:customStyle="1" w:styleId="227">
    <w:name w:val="不明显参考11"/>
    <w:autoRedefine/>
    <w:qFormat/>
    <w:uiPriority w:val="0"/>
    <w:rPr>
      <w:smallCaps/>
      <w:color w:val="C0504D"/>
      <w:u w:val="single"/>
    </w:rPr>
  </w:style>
  <w:style w:type="character" w:customStyle="1" w:styleId="228">
    <w:name w:val="标题 字符"/>
    <w:autoRedefine/>
    <w:qFormat/>
    <w:uiPriority w:val="0"/>
    <w:rPr>
      <w:rFonts w:ascii="Cambria" w:hAnsi="Cambria" w:cs="Times New Roman"/>
      <w:b/>
      <w:bCs/>
      <w:kern w:val="2"/>
      <w:sz w:val="32"/>
      <w:szCs w:val="32"/>
    </w:rPr>
  </w:style>
  <w:style w:type="character" w:customStyle="1" w:styleId="229">
    <w:name w:val="二级目录 Char"/>
    <w:link w:val="230"/>
    <w:autoRedefine/>
    <w:qFormat/>
    <w:uiPriority w:val="99"/>
    <w:rPr>
      <w:b/>
      <w:kern w:val="2"/>
      <w:sz w:val="30"/>
      <w:szCs w:val="28"/>
    </w:rPr>
  </w:style>
  <w:style w:type="paragraph" w:customStyle="1" w:styleId="230">
    <w:name w:val="二级目录"/>
    <w:next w:val="1"/>
    <w:link w:val="229"/>
    <w:autoRedefine/>
    <w:qFormat/>
    <w:uiPriority w:val="99"/>
    <w:pPr>
      <w:tabs>
        <w:tab w:val="left" w:pos="720"/>
      </w:tabs>
      <w:outlineLvl w:val="1"/>
    </w:pPr>
    <w:rPr>
      <w:rFonts w:ascii="Times New Roman" w:hAnsi="Times New Roman" w:eastAsia="宋体" w:cs="Times New Roman"/>
      <w:b/>
      <w:kern w:val="2"/>
      <w:sz w:val="30"/>
      <w:szCs w:val="28"/>
      <w:lang w:val="en-US" w:eastAsia="zh-CN" w:bidi="ar-SA"/>
    </w:rPr>
  </w:style>
  <w:style w:type="character" w:customStyle="1" w:styleId="231">
    <w:name w:val="批注文字 Char3"/>
    <w:autoRedefine/>
    <w:semiHidden/>
    <w:qFormat/>
    <w:uiPriority w:val="99"/>
    <w:rPr>
      <w:kern w:val="2"/>
      <w:sz w:val="21"/>
      <w:szCs w:val="22"/>
    </w:rPr>
  </w:style>
  <w:style w:type="character" w:customStyle="1" w:styleId="232">
    <w:name w:val="正文文本缩进 2 字符1"/>
    <w:autoRedefine/>
    <w:qFormat/>
    <w:locked/>
    <w:uiPriority w:val="99"/>
  </w:style>
  <w:style w:type="character" w:customStyle="1" w:styleId="233">
    <w:name w:val="明显引用 Char"/>
    <w:link w:val="234"/>
    <w:autoRedefine/>
    <w:qFormat/>
    <w:uiPriority w:val="30"/>
    <w:rPr>
      <w:b/>
      <w:bCs/>
      <w:i/>
      <w:iCs/>
      <w:color w:val="4F81BD"/>
    </w:rPr>
  </w:style>
  <w:style w:type="paragraph" w:customStyle="1" w:styleId="234">
    <w:name w:val="_Style 50"/>
    <w:basedOn w:val="1"/>
    <w:next w:val="1"/>
    <w:link w:val="233"/>
    <w:autoRedefine/>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235">
    <w:name w:val="文档结构图 Char2"/>
    <w:autoRedefine/>
    <w:semiHidden/>
    <w:qFormat/>
    <w:uiPriority w:val="99"/>
    <w:rPr>
      <w:rFonts w:ascii="宋体"/>
      <w:kern w:val="2"/>
      <w:sz w:val="18"/>
      <w:szCs w:val="18"/>
    </w:rPr>
  </w:style>
  <w:style w:type="character" w:customStyle="1" w:styleId="236">
    <w:name w:val="正文文本缩进 3 字符"/>
    <w:autoRedefine/>
    <w:qFormat/>
    <w:locked/>
    <w:uiPriority w:val="0"/>
    <w:rPr>
      <w:rFonts w:cs="Times New Roman"/>
      <w:sz w:val="16"/>
      <w:szCs w:val="16"/>
    </w:rPr>
  </w:style>
  <w:style w:type="character" w:customStyle="1" w:styleId="237">
    <w:name w:val="标题 9 字符"/>
    <w:autoRedefine/>
    <w:qFormat/>
    <w:locked/>
    <w:uiPriority w:val="0"/>
    <w:rPr>
      <w:rFonts w:ascii="Cambria" w:hAnsi="Cambria"/>
      <w:sz w:val="21"/>
      <w:szCs w:val="21"/>
    </w:rPr>
  </w:style>
  <w:style w:type="character" w:customStyle="1" w:styleId="238">
    <w:name w:val="明显强调1"/>
    <w:autoRedefine/>
    <w:qFormat/>
    <w:uiPriority w:val="0"/>
    <w:rPr>
      <w:b/>
      <w:bCs/>
      <w:i/>
      <w:iCs/>
      <w:color w:val="4F81BD"/>
    </w:rPr>
  </w:style>
  <w:style w:type="character" w:customStyle="1" w:styleId="239">
    <w:name w:val="正文文本 Char1"/>
    <w:autoRedefine/>
    <w:qFormat/>
    <w:uiPriority w:val="0"/>
    <w:rPr>
      <w:kern w:val="2"/>
      <w:sz w:val="21"/>
      <w:szCs w:val="22"/>
    </w:rPr>
  </w:style>
  <w:style w:type="character" w:customStyle="1" w:styleId="240">
    <w:name w:val="正文缩进 字符1"/>
    <w:autoRedefine/>
    <w:qFormat/>
    <w:locked/>
    <w:uiPriority w:val="0"/>
    <w:rPr>
      <w:kern w:val="2"/>
      <w:sz w:val="21"/>
    </w:rPr>
  </w:style>
  <w:style w:type="character" w:customStyle="1" w:styleId="241">
    <w:name w:val="标题 8 字符"/>
    <w:autoRedefine/>
    <w:qFormat/>
    <w:locked/>
    <w:uiPriority w:val="0"/>
    <w:rPr>
      <w:rFonts w:ascii="Cambria" w:hAnsi="Cambria"/>
      <w:sz w:val="24"/>
      <w:szCs w:val="24"/>
    </w:rPr>
  </w:style>
  <w:style w:type="character" w:customStyle="1" w:styleId="242">
    <w:name w:val="font161"/>
    <w:autoRedefine/>
    <w:qFormat/>
    <w:uiPriority w:val="0"/>
    <w:rPr>
      <w:b/>
      <w:sz w:val="32"/>
    </w:rPr>
  </w:style>
  <w:style w:type="character" w:customStyle="1" w:styleId="243">
    <w:name w:val="明显引用 字符1"/>
    <w:autoRedefine/>
    <w:qFormat/>
    <w:uiPriority w:val="0"/>
    <w:rPr>
      <w:b/>
      <w:bCs/>
      <w:i/>
      <w:iCs/>
      <w:color w:val="4F81BD"/>
    </w:rPr>
  </w:style>
  <w:style w:type="character" w:customStyle="1" w:styleId="244">
    <w:name w:val="正文首行缩进 字符"/>
    <w:autoRedefine/>
    <w:semiHidden/>
    <w:qFormat/>
    <w:locked/>
    <w:uiPriority w:val="99"/>
  </w:style>
  <w:style w:type="character" w:customStyle="1" w:styleId="245">
    <w:name w:val="_Style 85"/>
    <w:autoRedefine/>
    <w:qFormat/>
    <w:uiPriority w:val="0"/>
    <w:rPr>
      <w:smallCaps/>
      <w:color w:val="C0504D"/>
      <w:u w:val="single"/>
    </w:rPr>
  </w:style>
  <w:style w:type="character" w:customStyle="1" w:styleId="246">
    <w:name w:val="正文文本缩进 Char1"/>
    <w:autoRedefine/>
    <w:qFormat/>
    <w:uiPriority w:val="0"/>
    <w:rPr>
      <w:kern w:val="2"/>
      <w:sz w:val="21"/>
      <w:szCs w:val="22"/>
    </w:rPr>
  </w:style>
  <w:style w:type="character" w:customStyle="1" w:styleId="247">
    <w:name w:val="标题 2 字符1"/>
    <w:autoRedefine/>
    <w:qFormat/>
    <w:locked/>
    <w:uiPriority w:val="0"/>
    <w:rPr>
      <w:rFonts w:ascii="Cambria" w:hAnsi="Cambria"/>
      <w:b/>
      <w:bCs/>
      <w:sz w:val="32"/>
      <w:szCs w:val="32"/>
    </w:rPr>
  </w:style>
  <w:style w:type="character" w:customStyle="1" w:styleId="248">
    <w:name w:val="正文文本缩进 2 字符"/>
    <w:autoRedefine/>
    <w:qFormat/>
    <w:locked/>
    <w:uiPriority w:val="99"/>
    <w:rPr>
      <w:rFonts w:cs="Times New Roman"/>
      <w:sz w:val="20"/>
      <w:szCs w:val="20"/>
    </w:rPr>
  </w:style>
  <w:style w:type="character" w:customStyle="1" w:styleId="249">
    <w:name w:val="标题 2 Char_0"/>
    <w:link w:val="250"/>
    <w:autoRedefine/>
    <w:qFormat/>
    <w:uiPriority w:val="0"/>
    <w:rPr>
      <w:rFonts w:ascii="Cambria" w:hAnsi="Cambria"/>
      <w:b/>
      <w:bCs/>
      <w:sz w:val="32"/>
      <w:szCs w:val="32"/>
    </w:rPr>
  </w:style>
  <w:style w:type="paragraph" w:customStyle="1" w:styleId="250">
    <w:name w:val="标题 2_0"/>
    <w:basedOn w:val="116"/>
    <w:next w:val="116"/>
    <w:link w:val="249"/>
    <w:autoRedefine/>
    <w:unhideWhenUsed/>
    <w:qFormat/>
    <w:uiPriority w:val="0"/>
    <w:pPr>
      <w:keepNext/>
      <w:keepLines/>
      <w:spacing w:before="260" w:after="260" w:line="416" w:lineRule="auto"/>
      <w:outlineLvl w:val="1"/>
    </w:pPr>
    <w:rPr>
      <w:rFonts w:ascii="Cambria" w:hAnsi="Cambria"/>
      <w:b/>
      <w:bCs/>
      <w:kern w:val="0"/>
      <w:sz w:val="32"/>
      <w:szCs w:val="32"/>
    </w:rPr>
  </w:style>
  <w:style w:type="character" w:customStyle="1" w:styleId="251">
    <w:name w:val="日期 字符"/>
    <w:autoRedefine/>
    <w:qFormat/>
    <w:locked/>
    <w:uiPriority w:val="0"/>
    <w:rPr>
      <w:rFonts w:cs="Times New Roman"/>
      <w:sz w:val="20"/>
      <w:szCs w:val="20"/>
    </w:rPr>
  </w:style>
  <w:style w:type="character" w:customStyle="1" w:styleId="252">
    <w:name w:val="副标题 Char2"/>
    <w:autoRedefine/>
    <w:qFormat/>
    <w:uiPriority w:val="11"/>
    <w:rPr>
      <w:rFonts w:ascii="Cambria" w:hAnsi="Cambria" w:cs="Times New Roman"/>
      <w:b/>
      <w:bCs/>
      <w:kern w:val="28"/>
      <w:sz w:val="32"/>
      <w:szCs w:val="32"/>
    </w:rPr>
  </w:style>
  <w:style w:type="character" w:customStyle="1" w:styleId="253">
    <w:name w:val="明显强调11"/>
    <w:autoRedefine/>
    <w:qFormat/>
    <w:uiPriority w:val="0"/>
    <w:rPr>
      <w:b/>
      <w:bCs/>
      <w:i/>
      <w:iCs/>
      <w:color w:val="4F81BD"/>
    </w:rPr>
  </w:style>
  <w:style w:type="character" w:customStyle="1" w:styleId="254">
    <w:name w:val="列表段落 字符"/>
    <w:link w:val="65"/>
    <w:autoRedefine/>
    <w:qFormat/>
    <w:uiPriority w:val="34"/>
    <w:rPr>
      <w:kern w:val="2"/>
      <w:sz w:val="21"/>
      <w:szCs w:val="22"/>
    </w:rPr>
  </w:style>
  <w:style w:type="character" w:customStyle="1" w:styleId="255">
    <w:name w:val="标题 1 字符1"/>
    <w:autoRedefine/>
    <w:qFormat/>
    <w:uiPriority w:val="0"/>
    <w:rPr>
      <w:rFonts w:ascii="黑体" w:eastAsia="黑体"/>
      <w:b/>
      <w:kern w:val="44"/>
      <w:sz w:val="28"/>
    </w:rPr>
  </w:style>
  <w:style w:type="character" w:customStyle="1" w:styleId="256">
    <w:name w:val="文档结构图 Char3"/>
    <w:autoRedefine/>
    <w:qFormat/>
    <w:uiPriority w:val="0"/>
    <w:rPr>
      <w:rFonts w:ascii="宋体"/>
      <w:kern w:val="2"/>
      <w:sz w:val="18"/>
      <w:szCs w:val="18"/>
    </w:rPr>
  </w:style>
  <w:style w:type="character" w:customStyle="1" w:styleId="257">
    <w:name w:val="正文文本 3 字符"/>
    <w:autoRedefine/>
    <w:qFormat/>
    <w:locked/>
    <w:uiPriority w:val="0"/>
    <w:rPr>
      <w:rFonts w:cs="Times New Roman"/>
      <w:sz w:val="16"/>
      <w:szCs w:val="16"/>
    </w:rPr>
  </w:style>
  <w:style w:type="character" w:customStyle="1" w:styleId="258">
    <w:name w:val="标题 5 字符1"/>
    <w:autoRedefine/>
    <w:qFormat/>
    <w:uiPriority w:val="0"/>
    <w:rPr>
      <w:b/>
      <w:bCs/>
      <w:sz w:val="28"/>
      <w:szCs w:val="28"/>
    </w:rPr>
  </w:style>
  <w:style w:type="paragraph" w:customStyle="1" w:styleId="259">
    <w:name w:val="_Style 42"/>
    <w:basedOn w:val="1"/>
    <w:autoRedefine/>
    <w:qFormat/>
    <w:uiPriority w:val="34"/>
    <w:pPr>
      <w:ind w:firstLine="420" w:firstLineChars="200"/>
    </w:pPr>
    <w:rPr>
      <w:rFonts w:ascii="Calibri" w:hAnsi="Calibri"/>
    </w:rPr>
  </w:style>
  <w:style w:type="paragraph" w:customStyle="1" w:styleId="260">
    <w:name w:val="msolistparagraph"/>
    <w:basedOn w:val="1"/>
    <w:autoRedefine/>
    <w:qFormat/>
    <w:uiPriority w:val="99"/>
    <w:pPr>
      <w:ind w:firstLine="420" w:firstLineChars="200"/>
    </w:pPr>
    <w:rPr>
      <w:rFonts w:ascii="Calibri" w:hAnsi="Calibri"/>
    </w:rPr>
  </w:style>
  <w:style w:type="paragraph" w:customStyle="1" w:styleId="261">
    <w:name w:val="标题 11"/>
    <w:basedOn w:val="262"/>
    <w:next w:val="262"/>
    <w:autoRedefine/>
    <w:qFormat/>
    <w:uiPriority w:val="0"/>
  </w:style>
  <w:style w:type="paragraph" w:customStyle="1" w:styleId="262">
    <w:name w:val="正文1"/>
    <w:autoRedefine/>
    <w:qFormat/>
    <w:uiPriority w:val="0"/>
    <w:pPr>
      <w:widowControl w:val="0"/>
      <w:jc w:val="both"/>
    </w:pPr>
    <w:rPr>
      <w:rFonts w:ascii="Calibri" w:hAnsi="Calibri" w:eastAsia="宋体" w:cs="Times New Roman"/>
      <w:lang w:val="en-US" w:eastAsia="zh-CN" w:bidi="ar-SA"/>
    </w:rPr>
  </w:style>
  <w:style w:type="paragraph" w:customStyle="1" w:styleId="263">
    <w:name w:val="Char Char Char Char"/>
    <w:basedOn w:val="18"/>
    <w:autoRedefine/>
    <w:qFormat/>
    <w:uiPriority w:val="99"/>
    <w:pPr>
      <w:adjustRightInd w:val="0"/>
      <w:snapToGrid w:val="0"/>
      <w:spacing w:line="360" w:lineRule="auto"/>
    </w:pPr>
    <w:rPr>
      <w:rFonts w:ascii="Tahoma" w:hAnsi="Tahoma"/>
      <w:kern w:val="0"/>
      <w:sz w:val="24"/>
      <w:szCs w:val="24"/>
    </w:rPr>
  </w:style>
  <w:style w:type="paragraph" w:customStyle="1" w:styleId="264">
    <w:name w:val="默认段落字体 Para Char Char Char Char Char Char Char"/>
    <w:basedOn w:val="1"/>
    <w:autoRedefine/>
    <w:qFormat/>
    <w:uiPriority w:val="99"/>
    <w:rPr>
      <w:szCs w:val="20"/>
    </w:rPr>
  </w:style>
  <w:style w:type="paragraph" w:customStyle="1" w:styleId="265">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kern w:val="0"/>
      <w:sz w:val="20"/>
      <w:szCs w:val="20"/>
    </w:rPr>
  </w:style>
  <w:style w:type="paragraph" w:customStyle="1" w:styleId="26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7">
    <w:name w:val="Char1"/>
    <w:basedOn w:val="1"/>
    <w:autoRedefine/>
    <w:qFormat/>
    <w:uiPriority w:val="0"/>
    <w:rPr>
      <w:rFonts w:ascii="仿宋_GB2312" w:eastAsia="仿宋_GB2312"/>
      <w:b/>
      <w:sz w:val="32"/>
      <w:szCs w:val="32"/>
    </w:rPr>
  </w:style>
  <w:style w:type="paragraph" w:customStyle="1" w:styleId="268">
    <w:name w:val="Heading3"/>
    <w:basedOn w:val="1"/>
    <w:next w:val="1"/>
    <w:autoRedefine/>
    <w:qFormat/>
    <w:uiPriority w:val="0"/>
    <w:pPr>
      <w:keepNext/>
      <w:keepLines/>
      <w:widowControl/>
      <w:spacing w:before="260" w:after="260" w:line="416" w:lineRule="auto"/>
      <w:textAlignment w:val="baseline"/>
    </w:pPr>
    <w:rPr>
      <w:sz w:val="32"/>
      <w:szCs w:val="20"/>
    </w:rPr>
  </w:style>
  <w:style w:type="paragraph" w:customStyle="1" w:styleId="269">
    <w:name w:val="1"/>
    <w:basedOn w:val="1"/>
    <w:next w:val="1"/>
    <w:autoRedefine/>
    <w:qFormat/>
    <w:uiPriority w:val="0"/>
    <w:rPr>
      <w:szCs w:val="20"/>
    </w:rPr>
  </w:style>
  <w:style w:type="paragraph" w:customStyle="1" w:styleId="270">
    <w:name w:val="Blockquote"/>
    <w:basedOn w:val="1"/>
    <w:autoRedefine/>
    <w:qFormat/>
    <w:uiPriority w:val="0"/>
    <w:pPr>
      <w:autoSpaceDE w:val="0"/>
      <w:autoSpaceDN w:val="0"/>
      <w:adjustRightInd w:val="0"/>
      <w:spacing w:before="100" w:after="100"/>
      <w:ind w:left="360" w:right="360"/>
      <w:jc w:val="left"/>
    </w:pPr>
    <w:rPr>
      <w:kern w:val="0"/>
      <w:sz w:val="24"/>
    </w:rPr>
  </w:style>
  <w:style w:type="paragraph" w:customStyle="1" w:styleId="271">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72">
    <w:name w:val="彩色列表 - 强调文字颜色 11"/>
    <w:basedOn w:val="1"/>
    <w:autoRedefine/>
    <w:qFormat/>
    <w:uiPriority w:val="0"/>
    <w:pPr>
      <w:widowControl/>
      <w:spacing w:before="100" w:after="100" w:line="276" w:lineRule="auto"/>
      <w:ind w:left="720"/>
      <w:jc w:val="left"/>
    </w:pPr>
    <w:rPr>
      <w:rFonts w:ascii="Arial" w:hAnsi="Arial" w:cs="Arial"/>
      <w:color w:val="0F0F0F"/>
      <w:sz w:val="20"/>
      <w:szCs w:val="20"/>
      <w:lang w:eastAsia="en-US"/>
    </w:rPr>
  </w:style>
  <w:style w:type="paragraph" w:customStyle="1" w:styleId="273">
    <w:name w:val="Char Char Char"/>
    <w:basedOn w:val="18"/>
    <w:autoRedefine/>
    <w:qFormat/>
    <w:uiPriority w:val="99"/>
    <w:pPr>
      <w:spacing w:line="436" w:lineRule="exact"/>
    </w:pPr>
    <w:rPr>
      <w:kern w:val="0"/>
      <w:sz w:val="2"/>
      <w:szCs w:val="24"/>
    </w:rPr>
  </w:style>
  <w:style w:type="paragraph" w:customStyle="1" w:styleId="274">
    <w:name w:val="Char Char Char Char Char Char Char"/>
    <w:basedOn w:val="1"/>
    <w:autoRedefine/>
    <w:qFormat/>
    <w:uiPriority w:val="0"/>
    <w:pPr>
      <w:adjustRightInd w:val="0"/>
      <w:spacing w:line="360" w:lineRule="auto"/>
    </w:pPr>
    <w:rPr>
      <w:kern w:val="0"/>
      <w:sz w:val="24"/>
      <w:szCs w:val="20"/>
    </w:rPr>
  </w:style>
  <w:style w:type="paragraph" w:customStyle="1" w:styleId="275">
    <w:name w:val="正文_0_0_0"/>
    <w:autoRedefine/>
    <w:qFormat/>
    <w:uiPriority w:val="0"/>
    <w:pPr>
      <w:widowControl w:val="0"/>
      <w:jc w:val="both"/>
    </w:pPr>
    <w:rPr>
      <w:rFonts w:ascii="Times New Roman" w:hAnsi="Times New Roman" w:eastAsia="宋体" w:cs="Times New Roman"/>
      <w:lang w:val="en-US" w:eastAsia="zh-CN" w:bidi="ar-SA"/>
    </w:rPr>
  </w:style>
  <w:style w:type="paragraph" w:customStyle="1" w:styleId="276">
    <w:name w:val="表格文字"/>
    <w:basedOn w:val="1"/>
    <w:autoRedefine/>
    <w:qFormat/>
    <w:uiPriority w:val="0"/>
    <w:pPr>
      <w:adjustRightInd w:val="0"/>
      <w:spacing w:line="420" w:lineRule="atLeast"/>
      <w:jc w:val="left"/>
      <w:textAlignment w:val="baseline"/>
    </w:pPr>
    <w:rPr>
      <w:kern w:val="0"/>
      <w:szCs w:val="20"/>
    </w:rPr>
  </w:style>
  <w:style w:type="paragraph" w:customStyle="1" w:styleId="277">
    <w:name w:val="列出段落2"/>
    <w:basedOn w:val="1"/>
    <w:autoRedefine/>
    <w:qFormat/>
    <w:uiPriority w:val="34"/>
    <w:pPr>
      <w:ind w:firstLine="420" w:firstLineChars="200"/>
    </w:pPr>
    <w:rPr>
      <w:szCs w:val="20"/>
    </w:rPr>
  </w:style>
  <w:style w:type="paragraph" w:customStyle="1" w:styleId="278">
    <w:name w:val="目录 5_0"/>
    <w:basedOn w:val="116"/>
    <w:next w:val="116"/>
    <w:autoRedefine/>
    <w:qFormat/>
    <w:uiPriority w:val="39"/>
    <w:pPr>
      <w:ind w:left="1680" w:leftChars="800"/>
    </w:pPr>
    <w:rPr>
      <w:rFonts w:ascii="Calibri" w:hAnsi="Calibri"/>
    </w:rPr>
  </w:style>
  <w:style w:type="paragraph" w:customStyle="1" w:styleId="279">
    <w:name w:val="列出段落3"/>
    <w:basedOn w:val="1"/>
    <w:autoRedefine/>
    <w:qFormat/>
    <w:uiPriority w:val="34"/>
    <w:pPr>
      <w:ind w:firstLine="420" w:firstLineChars="200"/>
    </w:pPr>
    <w:rPr>
      <w:szCs w:val="20"/>
    </w:rPr>
  </w:style>
  <w:style w:type="paragraph" w:customStyle="1" w:styleId="280">
    <w:name w:val="xl107"/>
    <w:basedOn w:val="1"/>
    <w:autoRedefine/>
    <w:qFormat/>
    <w:uiPriority w:val="0"/>
    <w:pPr>
      <w:widowControl/>
      <w:spacing w:before="100" w:beforeAutospacing="1" w:after="100" w:afterAutospacing="1"/>
      <w:jc w:val="left"/>
    </w:pPr>
    <w:rPr>
      <w:rFonts w:ascii="Arial" w:hAnsi="Arial" w:cs="Arial"/>
      <w:kern w:val="0"/>
      <w:sz w:val="20"/>
      <w:szCs w:val="20"/>
    </w:rPr>
  </w:style>
  <w:style w:type="paragraph" w:customStyle="1" w:styleId="281">
    <w:name w:val="无间隔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2">
    <w:name w:val="_Style 49"/>
    <w:autoRedefine/>
    <w:qFormat/>
    <w:uiPriority w:val="0"/>
    <w:rPr>
      <w:rFonts w:ascii="Times New Roman" w:hAnsi="Times New Roman" w:eastAsia="宋体" w:cs="Times New Roman"/>
      <w:kern w:val="2"/>
      <w:sz w:val="21"/>
      <w:szCs w:val="24"/>
      <w:lang w:val="en-US" w:eastAsia="zh-CN" w:bidi="ar-SA"/>
    </w:rPr>
  </w:style>
  <w:style w:type="paragraph" w:customStyle="1" w:styleId="283">
    <w:name w:val="_Style 34"/>
    <w:next w:val="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4">
    <w:name w:val="模板正文"/>
    <w:basedOn w:val="1"/>
    <w:autoRedefine/>
    <w:qFormat/>
    <w:uiPriority w:val="0"/>
    <w:pPr>
      <w:wordWrap w:val="0"/>
      <w:spacing w:before="120" w:line="360" w:lineRule="auto"/>
      <w:ind w:firstLine="200" w:firstLineChars="200"/>
    </w:pPr>
    <w:rPr>
      <w:rFonts w:eastAsia="仿宋_GB2312"/>
      <w:sz w:val="24"/>
      <w:szCs w:val="21"/>
    </w:rPr>
  </w:style>
  <w:style w:type="paragraph" w:customStyle="1" w:styleId="285">
    <w:name w:val="Blockquote_0"/>
    <w:basedOn w:val="116"/>
    <w:autoRedefine/>
    <w:qFormat/>
    <w:uiPriority w:val="0"/>
    <w:pPr>
      <w:autoSpaceDE w:val="0"/>
      <w:autoSpaceDN w:val="0"/>
      <w:adjustRightInd w:val="0"/>
      <w:spacing w:before="100" w:after="100"/>
      <w:ind w:left="360" w:right="360"/>
      <w:jc w:val="left"/>
    </w:pPr>
    <w:rPr>
      <w:rFonts w:ascii="Calibri" w:hAnsi="Calibri" w:eastAsia="Times New Roman"/>
      <w:kern w:val="0"/>
      <w:sz w:val="24"/>
      <w:szCs w:val="20"/>
    </w:rPr>
  </w:style>
  <w:style w:type="paragraph" w:customStyle="1" w:styleId="286">
    <w:name w:val="样式 标题 2 + Times New Roman 四号 非加粗 段前: 5 磅 段后: 0 磅 行距: 固定值 20..._0"/>
    <w:basedOn w:val="1"/>
    <w:autoRedefine/>
    <w:qFormat/>
    <w:uiPriority w:val="0"/>
    <w:pPr>
      <w:keepNext/>
      <w:keepLines/>
      <w:spacing w:before="100" w:line="360" w:lineRule="auto"/>
      <w:outlineLvl w:val="1"/>
    </w:pPr>
    <w:rPr>
      <w:rFonts w:eastAsia="Times New Roman" w:cs="宋体"/>
      <w:kern w:val="0"/>
      <w:sz w:val="28"/>
      <w:szCs w:val="20"/>
    </w:rPr>
  </w:style>
  <w:style w:type="paragraph" w:customStyle="1" w:styleId="287">
    <w:name w:val="_Style 54"/>
    <w:basedOn w:val="3"/>
    <w:next w:val="1"/>
    <w:autoRedefine/>
    <w:qFormat/>
    <w:uiPriority w:val="0"/>
    <w:pPr>
      <w:keepNext/>
      <w:keepLines/>
      <w:spacing w:line="576" w:lineRule="auto"/>
      <w:jc w:val="both"/>
      <w:outlineLvl w:val="9"/>
    </w:pPr>
    <w:rPr>
      <w:rFonts w:ascii="Calibri" w:hAnsi="Calibri"/>
      <w:bCs/>
      <w:kern w:val="44"/>
      <w:sz w:val="44"/>
      <w:szCs w:val="44"/>
    </w:rPr>
  </w:style>
  <w:style w:type="paragraph" w:customStyle="1" w:styleId="288">
    <w:name w:val="rvps1"/>
    <w:basedOn w:val="1"/>
    <w:autoRedefine/>
    <w:qFormat/>
    <w:uiPriority w:val="0"/>
    <w:pPr>
      <w:widowControl/>
      <w:jc w:val="center"/>
    </w:pPr>
    <w:rPr>
      <w:kern w:val="0"/>
      <w:sz w:val="24"/>
      <w:szCs w:val="24"/>
    </w:rPr>
  </w:style>
  <w:style w:type="paragraph" w:customStyle="1" w:styleId="289">
    <w:name w:val="_Style 36"/>
    <w:next w:val="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0">
    <w:name w:val="List Paragraph11"/>
    <w:basedOn w:val="1"/>
    <w:autoRedefine/>
    <w:qFormat/>
    <w:uiPriority w:val="34"/>
    <w:pPr>
      <w:ind w:firstLine="420" w:firstLineChars="200"/>
    </w:pPr>
    <w:rPr>
      <w:szCs w:val="20"/>
    </w:rPr>
  </w:style>
  <w:style w:type="paragraph" w:customStyle="1" w:styleId="291">
    <w:name w:val="表格"/>
    <w:basedOn w:val="1"/>
    <w:autoRedefine/>
    <w:qFormat/>
    <w:uiPriority w:val="0"/>
    <w:pPr>
      <w:jc w:val="center"/>
      <w:textAlignment w:val="center"/>
    </w:pPr>
    <w:rPr>
      <w:rFonts w:ascii="华文细黑" w:hAnsi="华文细黑"/>
      <w:kern w:val="0"/>
      <w:szCs w:val="20"/>
    </w:rPr>
  </w:style>
  <w:style w:type="paragraph" w:customStyle="1" w:styleId="292">
    <w:name w:val="丁华正文"/>
    <w:basedOn w:val="42"/>
    <w:autoRedefine/>
    <w:qFormat/>
    <w:uiPriority w:val="99"/>
    <w:pPr>
      <w:adjustRightInd w:val="0"/>
      <w:snapToGrid w:val="0"/>
      <w:spacing w:after="0" w:line="360" w:lineRule="auto"/>
      <w:ind w:left="0" w:leftChars="0" w:firstLine="510"/>
    </w:pPr>
    <w:rPr>
      <w:kern w:val="0"/>
      <w:sz w:val="24"/>
    </w:rPr>
  </w:style>
  <w:style w:type="paragraph" w:customStyle="1" w:styleId="293">
    <w:name w:val="正文 + 行距: 固定值 20 磅"/>
    <w:basedOn w:val="1"/>
    <w:autoRedefine/>
    <w:qFormat/>
    <w:uiPriority w:val="0"/>
    <w:pPr>
      <w:spacing w:line="400" w:lineRule="exact"/>
      <w:ind w:firstLine="716" w:firstLineChars="341"/>
    </w:pPr>
    <w:rPr>
      <w:szCs w:val="20"/>
    </w:rPr>
  </w:style>
  <w:style w:type="paragraph" w:customStyle="1" w:styleId="294">
    <w:name w:val="Item Step in Table"/>
    <w:autoRedefine/>
    <w:qFormat/>
    <w:uiPriority w:val="99"/>
    <w:pPr>
      <w:numPr>
        <w:ilvl w:val="0"/>
        <w:numId w:val="1"/>
      </w:numPr>
      <w:tabs>
        <w:tab w:val="left" w:pos="397"/>
      </w:tabs>
      <w:spacing w:before="40" w:after="40"/>
      <w:jc w:val="both"/>
    </w:pPr>
    <w:rPr>
      <w:rFonts w:ascii="Arial" w:hAnsi="Arial" w:eastAsia="宋体" w:cs="Arial"/>
      <w:sz w:val="18"/>
      <w:szCs w:val="18"/>
      <w:lang w:val="en-US" w:eastAsia="zh-CN" w:bidi="ar-SA"/>
    </w:rPr>
  </w:style>
  <w:style w:type="paragraph" w:customStyle="1" w:styleId="295">
    <w:name w:val="retrait3"/>
    <w:basedOn w:val="1"/>
    <w:autoRedefine/>
    <w:qFormat/>
    <w:uiPriority w:val="99"/>
    <w:pPr>
      <w:widowControl/>
      <w:spacing w:before="20" w:after="20"/>
      <w:ind w:left="851"/>
      <w:jc w:val="left"/>
    </w:pPr>
    <w:rPr>
      <w:rFonts w:ascii="Arial" w:hAnsi="Arial"/>
      <w:kern w:val="0"/>
      <w:sz w:val="24"/>
      <w:szCs w:val="20"/>
    </w:rPr>
  </w:style>
  <w:style w:type="paragraph" w:customStyle="1" w:styleId="296">
    <w:name w:val="tableau"/>
    <w:basedOn w:val="1"/>
    <w:autoRedefine/>
    <w:qFormat/>
    <w:uiPriority w:val="99"/>
    <w:pPr>
      <w:widowControl/>
      <w:spacing w:before="20" w:after="20"/>
      <w:jc w:val="center"/>
    </w:pPr>
    <w:rPr>
      <w:rFonts w:ascii="Arial" w:hAnsi="Arial"/>
      <w:kern w:val="0"/>
      <w:sz w:val="16"/>
      <w:szCs w:val="20"/>
      <w:lang w:eastAsia="en-US"/>
    </w:rPr>
  </w:style>
  <w:style w:type="paragraph" w:customStyle="1" w:styleId="297">
    <w:name w:val="xl1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98">
    <w:name w:val="样式 标题 3 + (中文) 黑体 小四 非加粗 段前: 7.8 磅 段后: 0 磅 行距: 固定值 20 磅"/>
    <w:basedOn w:val="5"/>
    <w:autoRedefine/>
    <w:qFormat/>
    <w:uiPriority w:val="0"/>
    <w:pPr>
      <w:spacing w:before="0" w:after="0" w:line="400" w:lineRule="exact"/>
    </w:pPr>
    <w:rPr>
      <w:rFonts w:eastAsia="黑体"/>
      <w:b w:val="0"/>
      <w:sz w:val="24"/>
    </w:rPr>
  </w:style>
  <w:style w:type="paragraph" w:customStyle="1" w:styleId="299">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00">
    <w:name w:val="论文正文"/>
    <w:basedOn w:val="32"/>
    <w:autoRedefine/>
    <w:qFormat/>
    <w:uiPriority w:val="99"/>
    <w:pPr>
      <w:spacing w:after="0" w:line="360" w:lineRule="auto"/>
      <w:ind w:left="0" w:leftChars="0" w:firstLine="200" w:firstLineChars="200"/>
      <w:jc w:val="left"/>
    </w:pPr>
    <w:rPr>
      <w:kern w:val="0"/>
      <w:sz w:val="28"/>
      <w:szCs w:val="24"/>
    </w:rPr>
  </w:style>
  <w:style w:type="paragraph" w:customStyle="1" w:styleId="301">
    <w:name w:val="默认段落字体 Para Char"/>
    <w:basedOn w:val="1"/>
    <w:autoRedefine/>
    <w:qFormat/>
    <w:uiPriority w:val="99"/>
    <w:rPr>
      <w:sz w:val="24"/>
      <w:szCs w:val="24"/>
    </w:rPr>
  </w:style>
  <w:style w:type="paragraph" w:customStyle="1" w:styleId="302">
    <w:name w:val="xl11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color w:val="000000"/>
      <w:kern w:val="0"/>
      <w:sz w:val="20"/>
      <w:szCs w:val="20"/>
    </w:rPr>
  </w:style>
  <w:style w:type="paragraph" w:customStyle="1" w:styleId="303">
    <w:name w:val="_Style 32"/>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4">
    <w:name w:val="表格1"/>
    <w:basedOn w:val="1"/>
    <w:autoRedefine/>
    <w:qFormat/>
    <w:uiPriority w:val="99"/>
    <w:pPr>
      <w:adjustRightInd w:val="0"/>
      <w:textAlignment w:val="baseline"/>
    </w:pPr>
    <w:rPr>
      <w:rFonts w:ascii="宋体"/>
      <w:kern w:val="24"/>
      <w:szCs w:val="21"/>
    </w:rPr>
  </w:style>
  <w:style w:type="paragraph" w:customStyle="1" w:styleId="305">
    <w:name w:val="Char Char Char Char Char Char Char Char Char Char Char Char Char"/>
    <w:basedOn w:val="18"/>
    <w:autoRedefine/>
    <w:qFormat/>
    <w:uiPriority w:val="99"/>
    <w:rPr>
      <w:rFonts w:ascii="Tahoma" w:hAnsi="Tahoma"/>
      <w:kern w:val="0"/>
      <w:sz w:val="24"/>
      <w:szCs w:val="24"/>
    </w:rPr>
  </w:style>
  <w:style w:type="paragraph" w:customStyle="1" w:styleId="306">
    <w:name w:val="_Style 1"/>
    <w:basedOn w:val="1"/>
    <w:autoRedefine/>
    <w:qFormat/>
    <w:uiPriority w:val="99"/>
    <w:pPr>
      <w:ind w:firstLine="420" w:firstLineChars="200"/>
    </w:pPr>
  </w:style>
  <w:style w:type="paragraph" w:customStyle="1" w:styleId="307">
    <w:name w:val="丁华标题2"/>
    <w:basedOn w:val="4"/>
    <w:next w:val="292"/>
    <w:autoRedefine/>
    <w:qFormat/>
    <w:uiPriority w:val="99"/>
    <w:pPr>
      <w:keepNext/>
      <w:keepLines/>
      <w:numPr>
        <w:ilvl w:val="1"/>
        <w:numId w:val="2"/>
      </w:numPr>
      <w:tabs>
        <w:tab w:val="left" w:pos="567"/>
      </w:tabs>
      <w:spacing w:before="120" w:after="120" w:line="415" w:lineRule="auto"/>
      <w:jc w:val="left"/>
    </w:pPr>
    <w:rPr>
      <w:rFonts w:ascii="Arial" w:hAnsi="Arial"/>
      <w:b w:val="0"/>
      <w:bCs/>
      <w:szCs w:val="20"/>
    </w:rPr>
  </w:style>
  <w:style w:type="paragraph" w:customStyle="1" w:styleId="308">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09">
    <w:name w:val="Table Paragraph"/>
    <w:basedOn w:val="1"/>
    <w:autoRedefine/>
    <w:qFormat/>
    <w:uiPriority w:val="0"/>
    <w:rPr>
      <w:szCs w:val="24"/>
    </w:rPr>
  </w:style>
  <w:style w:type="paragraph" w:customStyle="1" w:styleId="310">
    <w:name w:val="列出段落1"/>
    <w:basedOn w:val="1"/>
    <w:autoRedefine/>
    <w:qFormat/>
    <w:uiPriority w:val="34"/>
    <w:pPr>
      <w:ind w:firstLine="420" w:firstLineChars="200"/>
    </w:pPr>
    <w:rPr>
      <w:szCs w:val="20"/>
    </w:rPr>
  </w:style>
  <w:style w:type="paragraph" w:customStyle="1" w:styleId="311">
    <w:name w:val="179"/>
    <w:basedOn w:val="1"/>
    <w:autoRedefine/>
    <w:qFormat/>
    <w:uiPriority w:val="0"/>
    <w:pPr>
      <w:widowControl/>
      <w:ind w:firstLine="420" w:firstLineChars="200"/>
      <w:textAlignment w:val="baseline"/>
    </w:pPr>
    <w:rPr>
      <w:szCs w:val="24"/>
    </w:rPr>
  </w:style>
  <w:style w:type="paragraph" w:customStyle="1" w:styleId="312">
    <w:name w:val="丁华标题3"/>
    <w:basedOn w:val="307"/>
    <w:next w:val="292"/>
    <w:autoRedefine/>
    <w:qFormat/>
    <w:uiPriority w:val="99"/>
    <w:pPr>
      <w:numPr>
        <w:numId w:val="0"/>
      </w:numPr>
      <w:tabs>
        <w:tab w:val="left" w:pos="1470"/>
        <w:tab w:val="left" w:pos="1980"/>
        <w:tab w:val="clear" w:pos="567"/>
      </w:tabs>
      <w:spacing w:after="0"/>
      <w:ind w:left="1980" w:hanging="420"/>
      <w:outlineLvl w:val="2"/>
    </w:pPr>
    <w:rPr>
      <w:sz w:val="24"/>
    </w:rPr>
  </w:style>
  <w:style w:type="paragraph" w:customStyle="1" w:styleId="313">
    <w:name w:val="修订2"/>
    <w:autoRedefine/>
    <w:unhideWhenUsed/>
    <w:qFormat/>
    <w:uiPriority w:val="0"/>
    <w:rPr>
      <w:rFonts w:ascii="Times New Roman" w:hAnsi="Times New Roman" w:eastAsia="宋体" w:cs="Times New Roman"/>
      <w:kern w:val="2"/>
      <w:sz w:val="21"/>
      <w:szCs w:val="24"/>
      <w:lang w:val="en-US" w:eastAsia="zh-CN" w:bidi="ar-SA"/>
    </w:rPr>
  </w:style>
  <w:style w:type="paragraph" w:customStyle="1" w:styleId="314">
    <w:name w:val="正文3"/>
    <w:autoRedefine/>
    <w:qFormat/>
    <w:uiPriority w:val="0"/>
    <w:pPr>
      <w:widowControl w:val="0"/>
      <w:jc w:val="both"/>
    </w:pPr>
    <w:rPr>
      <w:rFonts w:ascii="Calibri" w:hAnsi="Calibri" w:eastAsia="宋体" w:cs="Times New Roman"/>
      <w:lang w:val="en-US" w:eastAsia="zh-CN" w:bidi="ar-SA"/>
    </w:rPr>
  </w:style>
  <w:style w:type="paragraph" w:customStyle="1" w:styleId="315">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color w:val="000000"/>
      <w:kern w:val="0"/>
      <w:sz w:val="20"/>
      <w:szCs w:val="20"/>
    </w:rPr>
  </w:style>
  <w:style w:type="paragraph" w:customStyle="1" w:styleId="316">
    <w:name w:val="_Style 4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7">
    <w:name w:val="目录 4_0"/>
    <w:basedOn w:val="116"/>
    <w:next w:val="116"/>
    <w:autoRedefine/>
    <w:qFormat/>
    <w:uiPriority w:val="39"/>
    <w:pPr>
      <w:ind w:left="1260" w:leftChars="600"/>
    </w:pPr>
    <w:rPr>
      <w:rFonts w:ascii="Calibri" w:hAnsi="Calibri"/>
    </w:rPr>
  </w:style>
  <w:style w:type="paragraph" w:customStyle="1" w:styleId="318">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3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0">
    <w:name w:val="Char Char Char Char Char Char Char1"/>
    <w:basedOn w:val="1"/>
    <w:autoRedefine/>
    <w:qFormat/>
    <w:uiPriority w:val="0"/>
    <w:pPr>
      <w:adjustRightInd w:val="0"/>
      <w:spacing w:line="360" w:lineRule="auto"/>
    </w:pPr>
    <w:rPr>
      <w:kern w:val="0"/>
      <w:sz w:val="24"/>
      <w:szCs w:val="20"/>
    </w:rPr>
  </w:style>
  <w:style w:type="paragraph" w:customStyle="1" w:styleId="321">
    <w:name w:val="普通正文"/>
    <w:basedOn w:val="1"/>
    <w:autoRedefine/>
    <w:qFormat/>
    <w:uiPriority w:val="0"/>
    <w:pPr>
      <w:adjustRightInd w:val="0"/>
      <w:spacing w:before="120" w:after="120" w:line="360" w:lineRule="auto"/>
      <w:ind w:firstLine="480" w:firstLineChars="200"/>
      <w:jc w:val="left"/>
      <w:textAlignment w:val="baseline"/>
    </w:pPr>
    <w:rPr>
      <w:rFonts w:ascii="Arial" w:hAnsi="Arial" w:cs="Arial"/>
      <w:kern w:val="0"/>
      <w:sz w:val="24"/>
      <w:szCs w:val="24"/>
    </w:rPr>
  </w:style>
  <w:style w:type="paragraph" w:customStyle="1" w:styleId="322">
    <w:name w:val="p0"/>
    <w:basedOn w:val="1"/>
    <w:autoRedefine/>
    <w:qFormat/>
    <w:uiPriority w:val="99"/>
    <w:pPr>
      <w:widowControl/>
    </w:pPr>
    <w:rPr>
      <w:kern w:val="0"/>
      <w:szCs w:val="21"/>
    </w:rPr>
  </w:style>
  <w:style w:type="paragraph" w:customStyle="1" w:styleId="323">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324">
    <w:name w:val="样式"/>
    <w:basedOn w:val="1"/>
    <w:next w:val="22"/>
    <w:autoRedefine/>
    <w:qFormat/>
    <w:uiPriority w:val="99"/>
    <w:rPr>
      <w:rFonts w:ascii="楷体_GB2312" w:hAnsi="Arial" w:eastAsia="楷体_GB2312"/>
      <w:sz w:val="28"/>
      <w:szCs w:val="20"/>
    </w:rPr>
  </w:style>
  <w:style w:type="paragraph" w:customStyle="1" w:styleId="325">
    <w:name w:val="段落"/>
    <w:basedOn w:val="1"/>
    <w:autoRedefine/>
    <w:qFormat/>
    <w:uiPriority w:val="99"/>
    <w:pPr>
      <w:spacing w:line="460" w:lineRule="exact"/>
      <w:ind w:firstLine="480"/>
    </w:pPr>
    <w:rPr>
      <w:sz w:val="24"/>
      <w:szCs w:val="20"/>
    </w:rPr>
  </w:style>
  <w:style w:type="paragraph" w:customStyle="1" w:styleId="326">
    <w:name w:val="Char Char Char Char Char Char Char Char Char Char Char1 Char Char Char1"/>
    <w:basedOn w:val="1"/>
    <w:autoRedefine/>
    <w:semiHidden/>
    <w:qFormat/>
    <w:uiPriority w:val="99"/>
    <w:pPr>
      <w:ind w:firstLine="200" w:firstLineChars="200"/>
      <w:jc w:val="left"/>
    </w:pPr>
    <w:rPr>
      <w:rFonts w:ascii="Tahoma" w:hAnsi="Tahoma"/>
      <w:sz w:val="24"/>
      <w:szCs w:val="24"/>
    </w:rPr>
  </w:style>
  <w:style w:type="paragraph" w:customStyle="1" w:styleId="327">
    <w:name w:val="样式 标题 1 + 黑体 三号 非加粗 居中 段前: 6 磅 段后: 6 磅 行距: 固定值 20 磅"/>
    <w:basedOn w:val="3"/>
    <w:autoRedefine/>
    <w:qFormat/>
    <w:uiPriority w:val="0"/>
    <w:pPr>
      <w:keepNext/>
      <w:keepLines/>
      <w:spacing w:before="120" w:after="120" w:line="400" w:lineRule="exact"/>
    </w:pPr>
    <w:rPr>
      <w:b w:val="0"/>
      <w:kern w:val="44"/>
    </w:rPr>
  </w:style>
  <w:style w:type="paragraph" w:customStyle="1" w:styleId="328">
    <w:name w:val="font7"/>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329">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30">
    <w:name w:val="Char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31">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color w:val="000000"/>
      <w:kern w:val="0"/>
      <w:sz w:val="20"/>
      <w:szCs w:val="20"/>
    </w:rPr>
  </w:style>
  <w:style w:type="paragraph" w:customStyle="1" w:styleId="332">
    <w:name w:val="丁华标题1"/>
    <w:basedOn w:val="3"/>
    <w:next w:val="292"/>
    <w:autoRedefine/>
    <w:qFormat/>
    <w:uiPriority w:val="99"/>
    <w:pPr>
      <w:keepNext/>
      <w:keepLines/>
      <w:numPr>
        <w:ilvl w:val="0"/>
        <w:numId w:val="2"/>
      </w:numPr>
      <w:spacing w:after="312" w:afterLines="100" w:line="578" w:lineRule="auto"/>
      <w:jc w:val="left"/>
    </w:pPr>
    <w:rPr>
      <w:rFonts w:ascii="Times New Roman" w:hAnsi="Times New Roman"/>
      <w:b w:val="0"/>
      <w:kern w:val="44"/>
    </w:rPr>
  </w:style>
  <w:style w:type="paragraph" w:customStyle="1" w:styleId="333">
    <w:name w:val="List Paragraph1"/>
    <w:basedOn w:val="1"/>
    <w:autoRedefine/>
    <w:qFormat/>
    <w:uiPriority w:val="99"/>
    <w:pPr>
      <w:ind w:firstLine="420" w:firstLineChars="200"/>
    </w:pPr>
    <w:rPr>
      <w:szCs w:val="24"/>
    </w:rPr>
  </w:style>
  <w:style w:type="paragraph" w:customStyle="1" w:styleId="334">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335">
    <w:name w:val="Char"/>
    <w:basedOn w:val="1"/>
    <w:autoRedefine/>
    <w:qFormat/>
    <w:uiPriority w:val="0"/>
    <w:pPr>
      <w:tabs>
        <w:tab w:val="left" w:pos="360"/>
      </w:tabs>
    </w:pPr>
    <w:rPr>
      <w:sz w:val="24"/>
      <w:szCs w:val="24"/>
    </w:rPr>
  </w:style>
  <w:style w:type="paragraph" w:customStyle="1" w:styleId="336">
    <w:name w:val="_Style 20"/>
    <w:next w:val="1"/>
    <w:autoRedefine/>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37">
    <w:name w:val="目录 3_0"/>
    <w:basedOn w:val="116"/>
    <w:next w:val="116"/>
    <w:autoRedefine/>
    <w:qFormat/>
    <w:uiPriority w:val="39"/>
    <w:pPr>
      <w:ind w:left="840" w:leftChars="400"/>
    </w:pPr>
    <w:rPr>
      <w:rFonts w:ascii="Calibri" w:hAnsi="Calibri"/>
    </w:rPr>
  </w:style>
  <w:style w:type="paragraph" w:customStyle="1" w:styleId="338">
    <w:name w:val="font6"/>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39">
    <w:name w:val="Char Char Char1 Char Char Char Char"/>
    <w:basedOn w:val="1"/>
    <w:autoRedefine/>
    <w:qFormat/>
    <w:uiPriority w:val="0"/>
    <w:pPr>
      <w:widowControl/>
      <w:spacing w:after="160" w:line="240" w:lineRule="exact"/>
      <w:jc w:val="left"/>
    </w:pPr>
    <w:rPr>
      <w:rFonts w:ascii="宋体" w:hAnsi="宋体"/>
      <w:b/>
      <w:kern w:val="0"/>
      <w:sz w:val="28"/>
      <w:szCs w:val="28"/>
    </w:rPr>
  </w:style>
  <w:style w:type="paragraph" w:customStyle="1" w:styleId="340">
    <w:name w:val="样式 标题 2 + Times New Roman 四号 非加粗 段前: 5 磅 段后: 0 磅 行距: 固定值 20..."/>
    <w:basedOn w:val="4"/>
    <w:autoRedefine/>
    <w:qFormat/>
    <w:uiPriority w:val="0"/>
    <w:pPr>
      <w:spacing w:before="100" w:line="400" w:lineRule="exact"/>
    </w:pPr>
    <w:rPr>
      <w:rFonts w:ascii="Times New Roman" w:hAnsi="Times New Roman"/>
      <w:b w:val="0"/>
    </w:rPr>
  </w:style>
  <w:style w:type="paragraph" w:customStyle="1" w:styleId="341">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2">
    <w:name w:val="Bullets L1"/>
    <w:basedOn w:val="1"/>
    <w:autoRedefine/>
    <w:qFormat/>
    <w:uiPriority w:val="99"/>
    <w:pPr>
      <w:widowControl/>
      <w:numPr>
        <w:ilvl w:val="0"/>
        <w:numId w:val="3"/>
      </w:numPr>
      <w:tabs>
        <w:tab w:val="left" w:pos="360"/>
      </w:tabs>
      <w:spacing w:before="60" w:after="60"/>
      <w:jc w:val="left"/>
    </w:pPr>
    <w:rPr>
      <w:rFonts w:ascii="Arial" w:hAnsi="Arial"/>
      <w:kern w:val="0"/>
      <w:sz w:val="20"/>
      <w:szCs w:val="20"/>
    </w:rPr>
  </w:style>
  <w:style w:type="paragraph" w:customStyle="1" w:styleId="343">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b/>
      <w:bCs/>
      <w:color w:val="000000"/>
      <w:kern w:val="0"/>
      <w:sz w:val="20"/>
      <w:szCs w:val="20"/>
    </w:rPr>
  </w:style>
  <w:style w:type="paragraph" w:customStyle="1" w:styleId="344">
    <w:name w:val="TOC 标题1"/>
    <w:basedOn w:val="3"/>
    <w:next w:val="1"/>
    <w:autoRedefine/>
    <w:qFormat/>
    <w:uiPriority w:val="0"/>
    <w:pPr>
      <w:keepNext/>
      <w:keepLines/>
      <w:spacing w:before="340" w:after="330" w:line="576" w:lineRule="auto"/>
      <w:jc w:val="both"/>
      <w:outlineLvl w:val="9"/>
    </w:pPr>
    <w:rPr>
      <w:rFonts w:ascii="Calibri" w:hAnsi="Calibri"/>
      <w:bCs/>
      <w:kern w:val="44"/>
      <w:sz w:val="44"/>
      <w:szCs w:val="44"/>
    </w:rPr>
  </w:style>
  <w:style w:type="paragraph" w:customStyle="1" w:styleId="345">
    <w:name w:val="标题6"/>
    <w:basedOn w:val="7"/>
    <w:autoRedefine/>
    <w:qFormat/>
    <w:uiPriority w:val="99"/>
    <w:pPr>
      <w:numPr>
        <w:ilvl w:val="0"/>
        <w:numId w:val="4"/>
      </w:numPr>
      <w:tabs>
        <w:tab w:val="left" w:pos="420"/>
      </w:tabs>
      <w:autoSpaceDE w:val="0"/>
      <w:autoSpaceDN w:val="0"/>
      <w:spacing w:before="156" w:beforeLines="50" w:after="156" w:afterLines="50" w:line="240" w:lineRule="auto"/>
    </w:pPr>
    <w:rPr>
      <w:rFonts w:ascii="Times New Roman" w:hAnsi="Times New Roman"/>
      <w:b w:val="0"/>
      <w:sz w:val="24"/>
    </w:rPr>
  </w:style>
  <w:style w:type="paragraph" w:customStyle="1" w:styleId="346">
    <w:name w:val="标题 12"/>
    <w:basedOn w:val="314"/>
    <w:next w:val="314"/>
    <w:autoRedefine/>
    <w:qFormat/>
    <w:uiPriority w:val="0"/>
  </w:style>
  <w:style w:type="paragraph" w:customStyle="1" w:styleId="347">
    <w:name w:val="Char Char2 Char Char"/>
    <w:basedOn w:val="18"/>
    <w:autoRedefine/>
    <w:qFormat/>
    <w:uiPriority w:val="99"/>
    <w:pPr>
      <w:spacing w:line="436" w:lineRule="exact"/>
    </w:pPr>
    <w:rPr>
      <w:rFonts w:ascii="Tahoma" w:hAnsi="Tahoma"/>
      <w:kern w:val="0"/>
      <w:sz w:val="24"/>
    </w:rPr>
  </w:style>
  <w:style w:type="paragraph" w:customStyle="1" w:styleId="348">
    <w:name w:val="xl25"/>
    <w:basedOn w:val="1"/>
    <w:autoRedefine/>
    <w:qFormat/>
    <w:uiPriority w:val="99"/>
    <w:pPr>
      <w:widowControl/>
      <w:pBdr>
        <w:right w:val="single" w:color="auto" w:sz="4" w:space="0"/>
      </w:pBdr>
      <w:spacing w:before="100" w:beforeAutospacing="1" w:after="100" w:afterAutospacing="1"/>
      <w:jc w:val="center"/>
    </w:pPr>
    <w:rPr>
      <w:kern w:val="0"/>
      <w:szCs w:val="21"/>
    </w:rPr>
  </w:style>
  <w:style w:type="paragraph" w:customStyle="1" w:styleId="349">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character" w:customStyle="1" w:styleId="350">
    <w:name w:val="不明显参考2"/>
    <w:autoRedefine/>
    <w:qFormat/>
    <w:uiPriority w:val="0"/>
    <w:rPr>
      <w:smallCaps/>
      <w:color w:val="C0504D"/>
      <w:u w:val="single"/>
    </w:rPr>
  </w:style>
  <w:style w:type="character" w:customStyle="1" w:styleId="351">
    <w:name w:val="Char Char221"/>
    <w:autoRedefine/>
    <w:qFormat/>
    <w:uiPriority w:val="0"/>
    <w:rPr>
      <w:rFonts w:eastAsia="宋体"/>
      <w:b/>
      <w:kern w:val="2"/>
      <w:sz w:val="32"/>
      <w:lang w:val="en-US" w:eastAsia="zh-CN" w:bidi="ar-SA"/>
    </w:rPr>
  </w:style>
  <w:style w:type="character" w:customStyle="1" w:styleId="352">
    <w:name w:val="不明显强调2"/>
    <w:autoRedefine/>
    <w:qFormat/>
    <w:uiPriority w:val="0"/>
    <w:rPr>
      <w:i/>
      <w:iCs/>
      <w:color w:val="808080"/>
    </w:rPr>
  </w:style>
  <w:style w:type="character" w:customStyle="1" w:styleId="353">
    <w:name w:val="Char Char1"/>
    <w:autoRedefine/>
    <w:qFormat/>
    <w:uiPriority w:val="0"/>
    <w:rPr>
      <w:rFonts w:ascii="宋体" w:hAnsi="宋体" w:eastAsia="宋体"/>
      <w:sz w:val="24"/>
      <w:lang w:val="en-US" w:eastAsia="zh-CN" w:bidi="ar-SA"/>
    </w:rPr>
  </w:style>
  <w:style w:type="character" w:customStyle="1" w:styleId="354">
    <w:name w:val="明显强调2"/>
    <w:autoRedefine/>
    <w:qFormat/>
    <w:uiPriority w:val="0"/>
    <w:rPr>
      <w:b/>
      <w:bCs/>
      <w:i/>
      <w:iCs/>
      <w:color w:val="4F81BD"/>
    </w:rPr>
  </w:style>
  <w:style w:type="character" w:customStyle="1" w:styleId="355">
    <w:name w:val="书籍标题2"/>
    <w:autoRedefine/>
    <w:qFormat/>
    <w:uiPriority w:val="0"/>
    <w:rPr>
      <w:b/>
      <w:bCs/>
      <w:smallCaps/>
      <w:spacing w:val="5"/>
    </w:rPr>
  </w:style>
  <w:style w:type="paragraph" w:customStyle="1" w:styleId="356">
    <w:name w:val="Char Char Char1 Char Char Char Char1"/>
    <w:basedOn w:val="1"/>
    <w:autoRedefine/>
    <w:qFormat/>
    <w:uiPriority w:val="0"/>
    <w:pPr>
      <w:widowControl/>
      <w:spacing w:after="160" w:line="240" w:lineRule="exact"/>
      <w:jc w:val="left"/>
    </w:pPr>
    <w:rPr>
      <w:rFonts w:ascii="宋体" w:hAnsi="宋体"/>
      <w:b/>
      <w:kern w:val="0"/>
      <w:sz w:val="28"/>
      <w:szCs w:val="28"/>
    </w:rPr>
  </w:style>
  <w:style w:type="paragraph" w:customStyle="1" w:styleId="357">
    <w:name w:val="修订21"/>
    <w:autoRedefine/>
    <w:unhideWhenUsed/>
    <w:qFormat/>
    <w:uiPriority w:val="0"/>
    <w:rPr>
      <w:rFonts w:ascii="Times New Roman" w:hAnsi="Times New Roman" w:eastAsia="宋体" w:cs="Times New Roman"/>
      <w:kern w:val="2"/>
      <w:sz w:val="21"/>
      <w:szCs w:val="24"/>
      <w:lang w:val="en-US" w:eastAsia="zh-CN" w:bidi="ar-SA"/>
    </w:rPr>
  </w:style>
  <w:style w:type="paragraph" w:customStyle="1" w:styleId="358">
    <w:name w:val="TOC 标题11"/>
    <w:basedOn w:val="3"/>
    <w:next w:val="1"/>
    <w:autoRedefine/>
    <w:qFormat/>
    <w:uiPriority w:val="0"/>
    <w:pPr>
      <w:keepNext/>
      <w:keepLines/>
      <w:spacing w:before="340" w:after="330" w:line="576" w:lineRule="auto"/>
      <w:jc w:val="both"/>
      <w:outlineLvl w:val="9"/>
    </w:pPr>
    <w:rPr>
      <w:rFonts w:ascii="Calibri" w:hAnsi="Calibri"/>
      <w:bCs/>
      <w:kern w:val="44"/>
      <w:sz w:val="44"/>
      <w:szCs w:val="44"/>
    </w:rPr>
  </w:style>
  <w:style w:type="paragraph" w:customStyle="1" w:styleId="359">
    <w:name w:val="List Paragraph2"/>
    <w:basedOn w:val="1"/>
    <w:autoRedefine/>
    <w:qFormat/>
    <w:uiPriority w:val="34"/>
    <w:pPr>
      <w:ind w:firstLine="420" w:firstLineChars="200"/>
    </w:pPr>
    <w:rPr>
      <w:szCs w:val="20"/>
    </w:rPr>
  </w:style>
  <w:style w:type="paragraph" w:customStyle="1" w:styleId="360">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61">
    <w:name w:val="正文文本缩进1"/>
    <w:basedOn w:val="1"/>
    <w:next w:val="362"/>
    <w:autoRedefine/>
    <w:qFormat/>
    <w:uiPriority w:val="0"/>
    <w:pPr>
      <w:spacing w:after="120"/>
      <w:ind w:left="420"/>
    </w:pPr>
    <w:rPr>
      <w:sz w:val="24"/>
    </w:rPr>
  </w:style>
  <w:style w:type="paragraph" w:customStyle="1" w:styleId="362">
    <w:name w:val="正文首行缩进 21"/>
    <w:basedOn w:val="361"/>
    <w:next w:val="363"/>
    <w:autoRedefine/>
    <w:qFormat/>
    <w:uiPriority w:val="0"/>
    <w:pPr>
      <w:spacing w:line="360" w:lineRule="auto"/>
      <w:ind w:firstLine="200"/>
    </w:pPr>
    <w:rPr>
      <w:rFonts w:ascii="宋体"/>
      <w:sz w:val="21"/>
    </w:rPr>
  </w:style>
  <w:style w:type="paragraph" w:customStyle="1" w:styleId="363">
    <w:name w:val="正文缩进1"/>
    <w:basedOn w:val="1"/>
    <w:autoRedefine/>
    <w:qFormat/>
    <w:uiPriority w:val="0"/>
    <w:pPr>
      <w:ind w:firstLine="420"/>
    </w:pPr>
    <w:rPr>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56</Pages>
  <Words>30266</Words>
  <Characters>31600</Characters>
  <Lines>236</Lines>
  <Paragraphs>66</Paragraphs>
  <TotalTime>14</TotalTime>
  <ScaleCrop>false</ScaleCrop>
  <LinksUpToDate>false</LinksUpToDate>
  <CharactersWithSpaces>33248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2023-04-21T06:19:00Z</dcterms:created>
  <dc:creator>许婷婷</dc:creator>
  <cp:lastModifiedBy>Asus</cp:lastModifiedBy>
  <dcterms:modified xsi:type="dcterms:W3CDTF">2024-06-05T03:02:01Z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6167697496D74C2AAF7C7799A659F6C2_13</vt:lpwstr>
  </property>
</Properties>
</file>