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t xml:space="preserve"> </w:t>
      </w:r>
      <w:r>
        <w:rPr>
          <w:rFonts w:ascii="SimHei" w:hAnsi="SimHei" w:eastAsia="SimHei" w:cs="SimHei"/>
          <w:color w:val="000000"/>
          <w:sz w:val="100"/>
        </w:rPr>
        <w:t xml:space="preserve">公开招标文件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4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44"/>
        </w:rPr>
        <w:t xml:space="preserve"> </w:t>
      </w:r>
      <w:r/>
    </w:p>
    <w:p>
      <w:pPr>
        <w:ind w:left="4400" w:right="0" w:hanging="4400"/>
        <w:spacing w:before="240" w:after="24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项目编号：</w:t>
      </w:r>
      <w:r>
        <w:rPr>
          <w:rFonts w:ascii="SimHei" w:hAnsi="SimHei" w:eastAsia="SimHei" w:cs="SimHei"/>
          <w:color w:val="000000"/>
          <w:sz w:val="36"/>
        </w:rPr>
        <w:t xml:space="preserve">JSZC-320117-NJYX-G2026-0009</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项目名称：</w:t>
      </w:r>
      <w:r>
        <w:rPr>
          <w:rFonts w:ascii="SimHei" w:hAnsi="SimHei" w:eastAsia="SimHei" w:cs="SimHei"/>
          <w:color w:val="000000"/>
          <w:sz w:val="36"/>
        </w:rPr>
        <w:t xml:space="preserve">交通事故、违法车辆清拖和保管服务</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3080" w:right="0" w:hanging="30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4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南京永信联合会计师事务所（普通合伙）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二○二六年五月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第一章       投标邀请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南京永信联合会计师事务所（以下简称“南京永信”）受南京市公安局溧水分局</w:t>
      </w:r>
      <w:r>
        <w:rPr>
          <w:rFonts w:ascii="SimSun" w:hAnsi="SimSun" w:eastAsia="SimSun" w:cs="SimSun"/>
          <w:b/>
          <w:color w:val="000000"/>
          <w:sz w:val="24"/>
        </w:rPr>
        <w:t xml:space="preserve">（以下简称“采购人”）委托</w:t>
      </w:r>
      <w:r>
        <w:rPr>
          <w:rFonts w:ascii="SimSun" w:hAnsi="SimSun" w:eastAsia="SimSun" w:cs="SimSun"/>
          <w:color w:val="000000"/>
          <w:sz w:val="24"/>
        </w:rPr>
        <w:t xml:space="preserve">，就交通事故、违法车辆清拖和保管服务项目进行国内公开招标，兹邀请符合资格条件的投标人投标。</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1、项目编号：</w:t>
      </w:r>
      <w:r>
        <w:rPr>
          <w:rFonts w:ascii="SimSun" w:hAnsi="SimSun" w:eastAsia="SimSun" w:cs="SimSun"/>
          <w:color w:val="000000"/>
          <w:sz w:val="24"/>
        </w:rPr>
        <w:t xml:space="preserve">JSZC-320117-NJYX-G2026-0009</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2、项目名称：</w:t>
      </w:r>
      <w:r>
        <w:rPr>
          <w:rFonts w:ascii="SimSun" w:hAnsi="SimSun" w:eastAsia="SimSun" w:cs="SimSun"/>
          <w:color w:val="000000"/>
          <w:sz w:val="24"/>
        </w:rPr>
        <w:t xml:space="preserve">交通事故、违法车辆清拖和保管服务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3、项目预算金额：人民币380万元/年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4、项目最高限价：</w:t>
      </w:r>
      <w:r>
        <w:rPr>
          <w:rFonts w:ascii="SimSun" w:hAnsi="SimSun" w:eastAsia="SimSun" w:cs="SimSun"/>
          <w:color w:val="000000"/>
          <w:sz w:val="24"/>
        </w:rPr>
        <w:t xml:space="preserve">本项目按优惠率（下浮率）报价，投标人应考虑经济增长物价上涨及自身成本报价，确定优惠率。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5、采购需求：</w:t>
      </w:r>
      <w:r>
        <w:rPr>
          <w:rFonts w:ascii="SimSun" w:hAnsi="SimSun" w:eastAsia="SimSun" w:cs="SimSun"/>
          <w:color w:val="000000"/>
          <w:sz w:val="24"/>
        </w:rPr>
        <w:t xml:space="preserve">本项目分为两个片区，片区一：永阳街道、白马镇、东屏街道；片区二：开发区、洪蓝街道、和凤镇、晶桥镇、石湫街道。本次共采购2家中标供应商提供服务，按照得分从高到低排序，第一名自主选择片区，第二名承接另一片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6、合同履行期限：</w:t>
      </w:r>
      <w:r>
        <w:rPr>
          <w:rFonts w:ascii="SimSun" w:hAnsi="SimSun" w:eastAsia="SimSun" w:cs="SimSun"/>
          <w:color w:val="000000"/>
          <w:sz w:val="24"/>
        </w:rPr>
        <w:t xml:space="preserve">3年，合同一年一签。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7、投标人应具备下列资格条件,并提供证明材料（包括但不限于）:</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7.1 《中华人民共和国政府采购法》第二十二条规定规定的条件:</w:t>
      </w:r>
      <w:r/>
    </w:p>
    <w:p>
      <w:pPr>
        <w:ind w:left="0" w:right="0" w:firstLine="480"/>
        <w:jc w:val="both"/>
        <w:spacing w:before="0" w:after="0" w:line="85" w:lineRule="atLeast"/>
        <w:tabs>
          <w:tab w:val="left" w:pos="49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（1）具有独立承担民事责任的能力（法人或者其他组织的营业执照等证明文件，自然人的身份证明）；</w:t>
      </w:r>
      <w:r/>
    </w:p>
    <w:p>
      <w:pPr>
        <w:ind w:left="0" w:right="0" w:firstLine="480"/>
        <w:jc w:val="both"/>
        <w:spacing w:before="0" w:after="0" w:line="85" w:lineRule="atLeast"/>
        <w:tabs>
          <w:tab w:val="left" w:pos="49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（2）具有良好的商业信誉和健全的财务会计制度（提供参加本次政府采购活动前12个月（至少一个月）的会计报表，不足一个月无须提供）；</w:t>
      </w:r>
      <w:r/>
    </w:p>
    <w:p>
      <w:pPr>
        <w:ind w:left="0" w:right="0" w:firstLine="480"/>
        <w:jc w:val="both"/>
        <w:spacing w:before="0" w:after="0" w:line="85" w:lineRule="atLeast"/>
        <w:tabs>
          <w:tab w:val="left" w:pos="49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（3）具有履行合同所必需的设备和专业技术能力（根据项目需求提供声明函）；</w:t>
      </w:r>
      <w:r/>
    </w:p>
    <w:p>
      <w:pPr>
        <w:ind w:left="0" w:right="0" w:firstLine="480"/>
        <w:jc w:val="both"/>
        <w:spacing w:before="0" w:after="0" w:line="85" w:lineRule="atLeast"/>
        <w:tabs>
          <w:tab w:val="left" w:pos="49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（4）有依法缴纳税收和社会保障资金的良好记录（提供参加政府采购活动前12个月内（至少一个月）依法缴纳税收和社会保障资金的相关材料，不足一个月无须提供）；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（5）参加政府采购活动前三年内，在经营活动中没有重大违法记录（提供参加政府采购活动前三年内在经营活动中没有重大违法记录的书面声明）</w:t>
      </w:r>
      <w:r/>
    </w:p>
    <w:p>
      <w:pPr>
        <w:ind w:left="0" w:right="0" w:firstLine="480"/>
        <w:jc w:val="both"/>
        <w:spacing w:before="0" w:after="0" w:line="85" w:lineRule="atLeast"/>
        <w:tabs>
          <w:tab w:val="left" w:pos="49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供应商只需提供书面《南京市政府采购供应商信用记录表暨信用承诺书》格式详见附件，即可替代以下证明材料：</w:t>
      </w:r>
      <w:r/>
    </w:p>
    <w:p>
      <w:pPr>
        <w:ind w:left="0" w:right="0" w:firstLine="480"/>
        <w:jc w:val="both"/>
        <w:spacing w:before="0" w:after="0" w:line="85" w:lineRule="atLeast"/>
        <w:tabs>
          <w:tab w:val="left" w:pos="49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（1）符合国家相关规定的财务状况报告； </w:t>
      </w:r>
      <w:r/>
    </w:p>
    <w:p>
      <w:pPr>
        <w:ind w:left="0" w:right="0" w:firstLine="480"/>
        <w:jc w:val="both"/>
        <w:spacing w:before="0" w:after="0" w:line="85" w:lineRule="atLeast"/>
        <w:tabs>
          <w:tab w:val="left" w:pos="49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（2）依法缴纳税收的证明材料； </w:t>
      </w:r>
      <w:r/>
    </w:p>
    <w:p>
      <w:pPr>
        <w:ind w:left="0" w:right="0" w:firstLine="480"/>
        <w:jc w:val="both"/>
        <w:spacing w:before="0" w:after="0" w:line="85" w:lineRule="atLeast"/>
        <w:tabs>
          <w:tab w:val="left" w:pos="49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（3）依法缴纳社会保障资金的证明材料； </w:t>
      </w:r>
      <w:r/>
    </w:p>
    <w:p>
      <w:pPr>
        <w:ind w:left="0" w:right="0" w:firstLine="480"/>
        <w:jc w:val="both"/>
        <w:spacing w:before="0" w:after="0" w:line="85" w:lineRule="atLeast"/>
        <w:tabs>
          <w:tab w:val="left" w:pos="49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（4）具备履行政府采购合同所必需的设备和专业技术能力的证明材料； </w:t>
      </w:r>
      <w:r/>
    </w:p>
    <w:p>
      <w:pPr>
        <w:ind w:left="0" w:right="0" w:firstLine="480"/>
        <w:jc w:val="both"/>
        <w:spacing w:before="0" w:after="0" w:line="85" w:lineRule="atLeast"/>
        <w:tabs>
          <w:tab w:val="left" w:pos="49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（5）参加政府采购活动前三年内在经营活动中没有重大违法记录的证明材料； </w:t>
      </w:r>
      <w:r/>
    </w:p>
    <w:p>
      <w:pPr>
        <w:ind w:left="0" w:right="0" w:firstLine="480"/>
        <w:jc w:val="both"/>
        <w:spacing w:before="0" w:after="0" w:line="85" w:lineRule="atLeast"/>
        <w:tabs>
          <w:tab w:val="left" w:pos="49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（6）未被列入失信被执行人、重大税收违法失信主体、政府采购严重违法失信行为记录名单的证明材料。 </w:t>
      </w:r>
      <w:r/>
    </w:p>
    <w:p>
      <w:pPr>
        <w:ind w:left="0" w:right="0" w:firstLine="480"/>
        <w:jc w:val="both"/>
        <w:spacing w:before="0" w:after="0" w:line="85" w:lineRule="atLeast"/>
        <w:tabs>
          <w:tab w:val="left" w:pos="49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供应商在中标（成交）后，应按采购文件要求，将上述由信用承诺书替代的证明材料提交采购人或采购代理机构核验。经核验无误后，由采购人或采购代理机构发出中标（成交）通知书。 </w:t>
      </w:r>
      <w:r/>
    </w:p>
    <w:p>
      <w:pPr>
        <w:ind w:left="0" w:right="0" w:firstLine="480"/>
        <w:jc w:val="both"/>
        <w:spacing w:before="0" w:after="0" w:line="85" w:lineRule="atLeast"/>
        <w:tabs>
          <w:tab w:val="left" w:pos="49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供应商涉及以下情形的，不适用信用承诺： </w:t>
      </w:r>
      <w:r/>
    </w:p>
    <w:p>
      <w:pPr>
        <w:ind w:left="0" w:right="0" w:firstLine="480"/>
        <w:jc w:val="both"/>
        <w:spacing w:before="0" w:after="0" w:line="85" w:lineRule="atLeast"/>
        <w:tabs>
          <w:tab w:val="left" w:pos="49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（1）供应商被列入严重失信主体名单； </w:t>
      </w:r>
      <w:r/>
    </w:p>
    <w:p>
      <w:pPr>
        <w:ind w:left="0" w:right="0" w:firstLine="480"/>
        <w:jc w:val="both"/>
        <w:spacing w:before="0" w:after="0" w:line="85" w:lineRule="atLeast"/>
        <w:tabs>
          <w:tab w:val="left" w:pos="49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（2）被相关监管部门作出行政处罚且尚在处罚有效期内； </w:t>
      </w:r>
      <w:r/>
    </w:p>
    <w:p>
      <w:pPr>
        <w:ind w:left="0" w:right="0" w:firstLine="480"/>
        <w:jc w:val="both"/>
        <w:spacing w:before="0" w:after="0" w:line="85" w:lineRule="atLeast"/>
        <w:tabs>
          <w:tab w:val="left" w:pos="49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（3）其他法律、行政法规规定的不适用信用承诺的情形。 </w:t>
      </w:r>
      <w:r/>
    </w:p>
    <w:p>
      <w:pPr>
        <w:ind w:left="0" w:right="0" w:firstLine="480"/>
        <w:jc w:val="both"/>
        <w:spacing w:before="0" w:after="0" w:line="85" w:lineRule="atLeast"/>
        <w:tabs>
          <w:tab w:val="left" w:pos="49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供应商对信用承诺内容的真实性、合法性、有效性负责。如作出虚假信用承诺，视同为“提供虚假材料谋取中标、成交”的违法行为。</w:t>
      </w:r>
      <w:r/>
    </w:p>
    <w:p>
      <w:pPr>
        <w:ind w:left="0" w:right="0" w:firstLine="482"/>
        <w:jc w:val="both"/>
        <w:spacing w:before="0" w:after="0" w:line="85" w:lineRule="atLeast"/>
        <w:tabs>
          <w:tab w:val="left" w:pos="49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7.2特定资质要求：</w:t>
      </w:r>
      <w:r>
        <w:rPr>
          <w:rFonts w:ascii="SimSun" w:hAnsi="SimSun" w:eastAsia="SimSun" w:cs="SimSun"/>
          <w:color w:val="000000"/>
          <w:sz w:val="24"/>
        </w:rPr>
        <w:t xml:space="preserve">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7.3 拒绝下述投标人参加本次采购活动：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（1）投标人单位负责人为同一人或者存在直接控股、管理关系的不同投标人，不得参加同一合同项下的政府采购活动。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（2）凡为采购项目提供整体设计、规范编制或者项目管理、监理、检测等服务的投标人，不得再参加本项目的采购活动。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（3）投标人被“信用中国”网站（</w:t>
      </w:r>
      <w:hyperlink r:id="rId9" w:tooltip="http://www.creditchina.gov.cn/" w:history="1">
        <w:r>
          <w:rPr>
            <w:rStyle w:val="798"/>
            <w:rFonts w:ascii="SimSun" w:hAnsi="SimSun" w:eastAsia="SimSun" w:cs="SimSun"/>
            <w:color w:val="000000"/>
            <w:sz w:val="24"/>
            <w:u w:val="single"/>
          </w:rPr>
          <w:t xml:space="preserve">http://www.creditchina.gov.cn</w:t>
        </w:r>
      </w:hyperlink>
      <w:r>
        <w:rPr>
          <w:rFonts w:ascii="SimSun" w:hAnsi="SimSun" w:eastAsia="SimSun" w:cs="SimSun"/>
          <w:color w:val="000000"/>
          <w:sz w:val="24"/>
        </w:rPr>
        <w:t xml:space="preserve">）、“中国政府采购网"(</w:t>
      </w:r>
      <w:hyperlink r:id="rId10" w:tooltip="http://www.ccgp.gov.cn/" w:history="1">
        <w:r>
          <w:rPr>
            <w:rStyle w:val="798"/>
            <w:rFonts w:ascii="SimSun" w:hAnsi="SimSun" w:eastAsia="SimSun" w:cs="SimSun"/>
            <w:color w:val="000000"/>
            <w:sz w:val="24"/>
            <w:u w:val="single"/>
          </w:rPr>
          <w:t xml:space="preserve">http://www.ccgp.gov.cn</w:t>
        </w:r>
      </w:hyperlink>
      <w:r>
        <w:rPr>
          <w:rFonts w:ascii="SimSun" w:hAnsi="SimSun" w:eastAsia="SimSun" w:cs="SimSun"/>
          <w:color w:val="000000"/>
          <w:sz w:val="24"/>
        </w:rPr>
        <w:t xml:space="preserve">)列入失信被执行人、重大税收违法案件当事人名单、政府采购严重违法失信行为记录名单。</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8、落实政府采购政策需满足的资格要求：</w:t>
      </w:r>
      <w:r>
        <w:rPr>
          <w:rFonts w:ascii="SimSun" w:hAnsi="SimSun" w:eastAsia="SimSun" w:cs="SimSun"/>
          <w:color w:val="000000"/>
          <w:sz w:val="24"/>
        </w:rPr>
        <w:t xml:space="preserve">本项目为非预留份额的采购项目或采购包，执行价格扣除优惠政策，具体详见第四章评标办法与标准。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9、本次采购项目不接受联合体投标。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10、招标文件获取信息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时间：自公告发布之日起5个工作日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地点：线上获取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11、投标文件接收信息：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投标文件接收截止时间： 2026年 06月16日下午2:30     </w:t>
      </w:r>
      <w:r>
        <w:rPr>
          <w:rFonts w:ascii="SimSun" w:hAnsi="SimSun" w:eastAsia="SimSun" w:cs="SimSun"/>
          <w:b/>
          <w:color w:val="000000"/>
          <w:sz w:val="24"/>
        </w:rPr>
        <w:t xml:space="preserve"> （北京时间）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投标文件接收地点：“苏采云”政府采购交易系统网上开标大厅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12、开标有关信息：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开标开始时间：2026年 06 月 16 日下午2:30 </w:t>
      </w:r>
      <w:r>
        <w:rPr>
          <w:rFonts w:ascii="SimSun" w:hAnsi="SimSun" w:eastAsia="SimSun" w:cs="SimSun"/>
          <w:b/>
          <w:color w:val="000000"/>
          <w:sz w:val="24"/>
        </w:rPr>
        <w:t xml:space="preserve">     （北京时间）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开标地点：“苏采云”政府采购交易系统网上开标大厅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13、采购单位联系方式：</w:t>
      </w:r>
      <w:r/>
    </w:p>
    <w:p>
      <w:pPr>
        <w:ind w:left="0" w:right="-10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联系人：孙主任  </w:t>
      </w:r>
      <w:r/>
    </w:p>
    <w:p>
      <w:pPr>
        <w:ind w:left="0" w:right="-10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联系电话：18052009533   </w:t>
      </w:r>
      <w:r/>
    </w:p>
    <w:p>
      <w:pPr>
        <w:ind w:left="0" w:right="-10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单位名称：南京市公安局溧水分局</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14、南京永信联系方式：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联系人：王春燕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联系电话：025—56228353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联系地址：南京市溧水区永阳街道天生桥大道汇金大厦409号招标办公室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15、</w:t>
      </w:r>
      <w:r>
        <w:rPr>
          <w:rFonts w:ascii="SimSun" w:hAnsi="SimSun" w:eastAsia="SimSun" w:cs="SimSun"/>
          <w:b/>
          <w:color w:val="000000"/>
          <w:sz w:val="24"/>
        </w:rPr>
        <w:t xml:space="preserve">招标文件发布信息：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（1）招标公告期限：自招标公告在“南京公共采购信息网”发布之日起5个工作日。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（2）有关本次招标的事项若存在变动或修改，敬请及时关注“南京公共采购信息网”发布的信息更正公告。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16、供应商诚信档案管理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南京市政府采购供应商信用管理工作暂行办法》（宁财规[2018]10号）有关规定，凡在南京地区参加政府采购活动的供应商，应当事先登陆“信用南京”（www.njcredit.gov.cn）或“南京市政府采购网”（www.njgp.gov.cn）主页“政府采购供应商诚信档案”栏目进行注册登记。由于特殊原因未及时注册的供应商可先行获取采购文件，但必须在提交投标（响应）文件截止日2天前办理登记注册手续。供应商申请网上注册的，应当按以下程序进行（1）登陆“南京公共采购信息网”网站，点击“政府采购供应商诚信档案”图</w:t>
      </w:r>
      <w:r>
        <w:rPr>
          <w:rFonts w:ascii="SimSun" w:hAnsi="SimSun" w:eastAsia="SimSun" w:cs="SimSun"/>
          <w:color w:val="000000"/>
          <w:sz w:val="24"/>
        </w:rPr>
        <w:t xml:space="preserve">标，在弹出的用户登录界面，点击“新用户注册”；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成功后，供应商参加本次政府采购活动时，在采购文件发布之日起至递交投标（响应）文件截止日前，应先登录“南京公共采购信息网”在线打印其“南京市政府采购供应商信用记录表”，经法定代表人签名盖章后作为投标（响应）文件的组成部分“南京市政府采购供应商信用记录表”是其参加本次政府采购活动的必备材料。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南京市政府采购供应商诚信档案管理系统客服电话：025-52718366；供应商可就用户注册与打印“南京市政府采购供应商信用记录表”等事宜进行咨询。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本项目需要使用CA数字证书制作、上传电子投标文件完成电子投标，请供应商在参加投标活动前办理好CA数字证书申领及电子签章等操作。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供应商操作手册》（以下简称《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p>
    <w:p>
      <w:pPr>
        <w:ind w:left="0" w:right="0" w:firstLine="720"/>
        <w:jc w:val="both"/>
        <w:spacing w:before="180" w:after="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第二章   </w:t>
      </w:r>
      <w:r>
        <w:rPr>
          <w:rFonts w:ascii="SimHei" w:hAnsi="SimHei" w:eastAsia="SimHei" w:cs="SimHei"/>
          <w:color w:val="000000"/>
          <w:sz w:val="36"/>
        </w:rPr>
        <w:t xml:space="preserve">投标人须知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《中华人民共和国政府采购法》、《中华人民共和国政府采购法实施条例》、《政府采购货物和服务招标投标管理办法》等有关法律、规章和规定等。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“投标人”“投标人”是指参加投标竞争，并符合招标文件规定资格条件的法人、其他组织或者自然人。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“货物和服务”指本招标文件中所述服务及相关产品。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“用户或使用单位”是指使用服务的单位。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3、政策功能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3.1政府采购促进中小企业发展，在政府采购活动中，供应商提供的货物、工程或者服务符合下列情形的，享受中小企业扶持政策：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（1）在货物采购项目中，货物由中小企业制造，即货物由中小企业生产且使用该中小企业商号或者注册商标；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（2）在工程采购项目中，工程由中小企业承建，即工程施工单位为中小企业；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（3）在服务采购项目中，服务由中小企业承接，即提供服务的人员为中小企业依照《中华人民共和国劳动合同法》订立劳动合同的从业人员。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在货物采购项目中，供应商提供的货物既有中小企业制造货物，也有大型企业制造货物的，不享受中小企业扶持政策。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中小企业供应商参加政府采购活动，应当出具《中小企业声明函》（格式见后附件），否则不得享受相关中小企业扶持政策。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中小企业，是指在中华人民共和国境内依法设立，依据国务院批准的中小企业划分标准（详见《关于印发中小企业划型标准规定的通知》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中小企业享受政府采购支持政策的要求详见《政府采购促进中小企业发展管理办法》财库〔2020〕46号。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3.2政府采购支持监狱和戒毒企业发展政策，监狱和戒毒企业提供的产品和服务在评标时将获得优势，参加投标的监狱和戒毒企业，应当 提供由省级以上监狱管理局、戒毒管理局（含新疆生产建设兵团）出具的属于监狱企业的证明文件，监狱和戒毒企业享受政府采购支持政策的要求详见财库〔2014〕68号。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3.3政府采购促进残疾人就业政策，残疾人福利性单位提供的产品和服务在评标时将获得优势，参加投标的残疾人福利性单位，应当提供 《残疾人福利性单位声明函》，残疾人福利性单位享受政府采购支持政策的要求详见财库〔2017〕141号。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关于节能产品采购要求详见《财政部发展改革委生态环境部市场监管总局关于调整优化节能产品环境标志产品政府采购执行机制的通知》财库〔2019〕9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 并获得强制性产品认证证书的产品；环境标志产品是指列入财政部、国家环保总局制定的《环境标志产品政府采购清单》，且经过认证的环境标志产品。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 供应商提供的产品属于信息安全产品的，应当选择经国家认证的信息安全产品投标，并提供由中国信息安全认证中心按国家标准认证颁发的有效认证证书复印件。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3.7供应商提供的产品属于政府强制采购节能产品的，应当选择《节能产品政府采购清单》中的产品投标，并提供有效的节能产品认证证书复印件。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 提供的产品属于环境标志产品的,供应商应当选择最新一期《环境标志产品政府采购清单》中的,且经过认证的环境标志产品投标,并提供有效的环境标志产品认证证书复印件。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3.9</w:t>
      </w:r>
      <w:r>
        <w:rPr>
          <w:rFonts w:ascii="SimSun" w:hAnsi="SimSun" w:eastAsia="SimSun" w:cs="SimSun"/>
          <w:color w:val="000000"/>
          <w:sz w:val="24"/>
        </w:rPr>
        <w:t xml:space="preserve">政府采购中实施本国产品标准和政策，根据《国务院办公厅关于在政府采购中实施本国产品标准及相关政策的通知》(国办发〔2025〕34号)和《关于贯彻落实〈国务院办公厅关于在政府采购中实施本国产品标准及相关政策的通知〉的意见》(财库〔2025〕30号),供应商对其提供的产品须出具《关于符合本国产品标准的声明函》。</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3.9.1本国产品标准</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本国产品应当符合以下条件：</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（一）在中国境内生产</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产品应当在中国境内生产，即在中华人民共和国关境内实现从原材料、组件到产品的属性改变。</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属性改变是指经过制造、加工或者组装等工序，产生完全不同于原材料、组件的新产品，并具有新的名称和特征（用途）。属性改变不包括以下细微操作：</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1.为确保产品在运输或者储存期间保持某种状态而进行的操作；</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2.为产品运输或者销售进行的包装或者展示；</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3.在产品或者其包装上粘贴或者印刷品牌、标志、标识以及其他用于区别的标记；</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4.简单的上漆、磨光和分装；</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5.其他不属于属性改变的情形。</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（二）在中国境内生产的组件成本占比达到规定比例</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产品在中国境内生产的组件成本占比应当达到规定比例，计算公式为：</w:t>
      </w:r>
      <w:r/>
    </w:p>
    <w:p>
      <w:pPr>
        <w:ind w:left="0" w:right="0" w:firstLine="0"/>
        <w:jc w:val="center"/>
        <w:spacing w:before="30" w:after="30"/>
        <w:shd w:val="clear" w:color="ffffff" w:fill="ffffff"/>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829175" cy="7620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405476" name=""/>
                        <pic:cNvPicPr>
                          <a:picLocks noChangeAspect="1"/>
                        </pic:cNvPicPr>
                        <pic:nvPr/>
                      </pic:nvPicPr>
                      <pic:blipFill>
                        <a:blip/>
                        <a:stretch/>
                      </pic:blipFill>
                      <pic:spPr bwMode="auto">
                        <a:xfrm>
                          <a:off x="0" y="0"/>
                          <a:ext cx="4829175" cy="7619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0.2pt;height:60.0pt;mso-wrap-distance-left:0.0pt;mso-wrap-distance-top:0.0pt;mso-wrap-distance-right:0.0pt;mso-wrap-distance-bottom:0.0pt;" stroked="false">
                <v:path textboxrect="0,0,0,0"/>
              </v:shape>
            </w:pict>
          </mc:Fallback>
        </mc:AlternateConten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（三）特定产品的关键组件、关键工序符合相关要求</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3.9.2本国产品标准的适用范围</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本国产品标准适用于货物，包括政府采购货物项目和服务项目中涉及的货物。适用本国产品标准的货物具体是指《政府采购</w:t>
      </w:r>
      <w:r>
        <w:rPr>
          <w:rFonts w:ascii="SimSun" w:hAnsi="SimSun" w:eastAsia="SimSun" w:cs="SimSun"/>
          <w:color w:val="333333"/>
          <w:sz w:val="24"/>
          <w:highlight w:val="white"/>
        </w:rPr>
        <w:t xml:space="preserve">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4.代理费用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供应商应自行承担所有与参加本次采购有关的费用，无论采购过程中的做法和结果如何，采购人和代理机构在任何情况下均无义务和责任承担这些费用。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代理服务费：按照计价格〔2002〕1980号收费标准收取，由中标供应商支付，专家评审费由采购人支付。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收款单位名称: 南京永信联合会计师事务所（普通合伙）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开户行: 中国工商银行溧水支行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账号: 4301 0192 1910 0311 903</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5、招标文件组成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招标文件组成：投标邀请、投标人须知、投标人应当提交的资格和资信证明文件、投标报价要求、投标文件编制要求和招标项目的服务要求和数量、合同主要条款及合同签订方式、提供服务的时间、付款条件、评标方法、评标标准、无效投标和废标条款、附件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招标文件如果要求投标人提交备选投标方案的，投标人可以提交备选方案；否则，备选方案将被拒绝。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6、招标文件的澄清、补充或修改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南京永信对已发出的招标文件进行必要澄清、补充或者修改的，将在招标文件要求提交投标文件截止时间</w:t>
      </w:r>
      <w:r>
        <w:rPr>
          <w:rFonts w:ascii="SimSun" w:hAnsi="SimSun" w:eastAsia="SimSun" w:cs="SimSun"/>
          <w:b/>
          <w:color w:val="000000"/>
          <w:sz w:val="24"/>
        </w:rPr>
        <w:t xml:space="preserve">十日</w:t>
      </w:r>
      <w:r>
        <w:rPr>
          <w:rFonts w:ascii="SimSun" w:hAnsi="SimSun" w:eastAsia="SimSun" w:cs="SimSun"/>
          <w:color w:val="000000"/>
          <w:sz w:val="24"/>
        </w:rPr>
        <w:t xml:space="preserve">前，在原招标公告媒体发布更正公告，该澄清、补充或者修改的内容为招标文件的组成部分。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南京永信在招标文件要求提交投标文件截止时间前，有权决定延长投标截止时间和开标时间，并在原采购信息发布媒体上发布变更公告。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投标人应在投标截止时间前关注原采购信息发布媒体上有关本招标项目有无变更公告。</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三、投标文件的编制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7.投标文件的语言及度量衡单位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投标人提交的投标文件以及投标人与南京永信就有关投标的所有来往通知、函件和文件均应使用简体中文。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除技术性能另有规定外，投标文件所使用的度量衡单位，均须采用国家法定计量单位。</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8.投标文件构成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投标人编写的投标文件应包括资格证明文件、符合性证明文件、投标分项报价表、响应及偏离表、其他证明文件、投标函、开标一览表等部分。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如标书制作工具中格式和内容与“南京公共采购信息网”发布的招标文件不一致，以“南京公共采购信息网”发布的招标文件为准。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9.证明投标人及投标标的符合招标文件规定的文件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投标人应按照法律、法规、规章和规范性文件以及招标文件要求提交证明文件，证明其投标标的符合招标文件规定。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招标文件对证明文件无明确形式要求的，证明文件可以以文字资料、图纸和数据等形式提交。</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10.投标分项报价表（如有）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投标人应按照招标文件规定格式填报投标分项报价表。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投标文件中的单价和总价无特殊规定的采用人民币报价，以元为单位标注。招标文件另有规定的按规定执行。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11.响应及偏离表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投标人需对招标文件中的技术要求与商务要求逐项作出响应或偏离说明。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投标人可以在投标文件中提供认为需要的其他技术文件或说明。</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12.投标函和开标一览表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投标人应按照招标文件规定格式完整、正确填报投标函、开标一览表。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对于采用货币报价的项目，开标一览表中的投标总报价应与投标分项报价表中的投标总报价一致，如不一致评标时以开标一览表中价格为准。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投标有效期为招标公告规定的开标之日起六十天。投标有效期比规定短的将被视为未实质性响应招标文件而被拒绝。</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14.投标有效期的延长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在特殊情况下，南京永信于原投标有效期满之前，可向投标人提出延长投标有效期的要求。这种要求与答复均应采用书面形式。投标人可以拒绝南京永信的这一要求而放弃投标。同意延长投标有效期的投标人既不能要求也不允许修改其投标文件，同时受投标有效期约束的所有权利与义务均延长至新的有效期满。</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四、投标文件的递交</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15.投标文件</w:t>
      </w:r>
      <w:r>
        <w:rPr>
          <w:rFonts w:ascii="SimSun" w:hAnsi="SimSun" w:eastAsia="SimSun" w:cs="SimSun"/>
          <w:b/>
          <w:color w:val="000000"/>
          <w:sz w:val="24"/>
        </w:rPr>
        <w:t xml:space="preserve">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投标人应当按照《操作手册》规定，在招标公告规定的投标截止时间前制作并上传电子投标文件。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投标人应充分考虑网络环境、网络带宽等因素可能对投标产生的影响，如因投标人自身原因造成的电子投标文件上传不成功的，按照本招标文件第二章第25.1条规定做无效投标处理。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南京永信可以按照规定，通过修改招标文件酌情延长投标截止时间，在此情况下，投标人的所有权利和义务均以延长后新的截止时间为准。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16.投标文件</w:t>
      </w:r>
      <w:r>
        <w:rPr>
          <w:rFonts w:ascii="SimSun" w:hAnsi="SimSun" w:eastAsia="SimSun" w:cs="SimSun"/>
          <w:b/>
          <w:color w:val="000000"/>
          <w:sz w:val="24"/>
        </w:rPr>
        <w:t xml:space="preserve">的拒收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投标截止时间后上传的任何投标文件将被拒绝。</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17.投标文件的撤回和修改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投标文件的撤回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17.1.1 投标人可在投标截止时间前撤回其电子投标文件，具体操作方法见《操作手册》。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17.1.2 投标人撤回电子投标文件，则认为其不再参与本项目投标活动。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投标文件的修改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17.2.1 投标人可在投标截止时间前对其电子投标文件进行修改，具体操作方法见《操作手册》。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17.2.2 投标截止时间之后，投标人不得对其电子投标文件作任何修改。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在投标截止时间至招标文件中规定的投标有效期满之间的这段时间内，投标人不得撤回其投标。</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五、开标与评标</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18.开标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南京永信在招标公告中规定的时间和地点组织公开开标。投标人按照《操作手册》规定参加开标活动，并在苏采云系统规定的时间内对投标文件进行解密。苏采云系统公布各投标人名称和投标价格。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投标人如果对开标过程和开标结果有疑义，应当根据《操作手册》规定提出，苏采云系统中《开标记录表》公布后5分钟内未提出的，视同认可开标结果。</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19.评标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评标由依法组建的评标委员会（以下简称“评委会”）进行。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评委会由采购人代表和有关方面的专家组成，且人员构成符合政府采购有关规定。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评委会独立工作，负责评审所有投标文件并推荐中标候选人，或根据采购人授权直接确定中标人。</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20.评标过程的保密与公正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凡是与审查、澄清、评价和比较投标的有关资料以及授标建议等，采购人、评委、南京永信均不得向投标人或与评标无关的其他人员透露。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投标人不得以任何方式影响评标，否则其投标文件将被作为无效投标文件。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南京永信和评委会不向未中标的投标人解释未中标原因，也不公布评标过程中的相关细节。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 采用综合评分法的项目，未中标的投标人可于中标结果公告期限届满之日起通过苏采云系统查看本单位的评审得分及排名情况。</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21.投标文件的澄清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接到评委会澄清、说明和补正要求的，投标人如未按规定作出澄清、说明和补正，其风险由投标人自行承担。</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22.投标文件的</w:t>
      </w:r>
      <w:r>
        <w:rPr>
          <w:rFonts w:ascii="SimSun" w:hAnsi="SimSun" w:eastAsia="SimSun" w:cs="SimSun"/>
          <w:b/>
          <w:color w:val="000000"/>
          <w:sz w:val="24"/>
        </w:rPr>
        <w:t xml:space="preserve">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投标文件审查分为资格审查和符合性审查。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22.1.1 资格审查。依据法律法规和招标文件规定，由采购人对投标文件中的资格证明文件进行审查，并向评委会反馈审查结论。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采购人进行资格审查时，将在“信用中国”网站（www.creditchina.gov.cn）查询投标人的信用记录，以确定投标人是否具备投标资格，查询结果留存并归档。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接受联合体的项目，联合体成员存在不良信用记录的，视同联合体存在不良信用记录。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22.1.2 符合性审查。依据招标文件的规定，由评委会从有效性、完整性和对招标文件的响应程度等方面对投标文件进行审查，以确定是否对招标文件的实质性要求作出响应。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22.1.3 未通过资格审查或符合性审查的投标人，南京永信将通过苏采云系统告知其具体原因，评标结束后不再接受有关询问。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评委会仅对实质性响应招标文件要求的投标文件进行详细评审。实质性响应的投标文件应该是与招标文件要求的全部条款、条件和规格相符，没有重大偏离或保留的文件。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如果投标文件实质上没有响应招标文件的要求，评委会将予以拒绝，投标人不得通过修改或撤销不合要求的偏离或保留而使其投标成为实质性响应的投标。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评委会将对确定为实质性响应的投标进行进一步审核，确定其是否有计算上或累加上的算术错误。修正错误的原则如下：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2.6 投标人在开、评标全过程中应保持通讯畅通，及时登录苏采云系统查阅、答复相关信息，并安排专人与南京永信及评委会联系。</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23.无效投标和废标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3.1 无效投标情形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23.1.1 投标人在苏采云系统规定的时间内未成功解密电子投标文件。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23.1.2 投标人未按照招标文件要求上传电子投标文件。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23.1.3 同一投标人提交两个（含两个）以上不同的投标报价。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23.1.4 投标人不具备招标文件规定的资格要求。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23.1.5 投标人的报价超过了采购预算或最高限价或单价上限。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23.1.6 未通过符合性审查。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23.1.7 不符合招标文件中实质性要求和条件（</w:t>
      </w:r>
      <w:r>
        <w:rPr>
          <w:rFonts w:ascii="SimSun" w:hAnsi="SimSun" w:eastAsia="SimSun" w:cs="SimSun"/>
          <w:b/>
          <w:color w:val="000000"/>
          <w:sz w:val="24"/>
        </w:rPr>
        <w:t xml:space="preserve">本文件中斜体且有下划线部分，或者打“★”内容为实质性要求和条件</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23.1.9 投标文件含有采购人不能接受的附加条件。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23.1.10 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23.1.11 采购产品被财政部、国家发改委、生态环境部等列入“节能产品品目清单”强制采购范围，而投标人提供的产品不在强制采购范围内。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23.1.12 投标文件未按照招标文件要求加盖电子公章。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23.1.13 法律法规及本招标文件规定的其他无效投标情形。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废标情形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23.2.1 符合资格条件的供应商或者对招标文件作出实质性响应的供应商不足三家。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23.2.2 出现影响采购公正的违法、违规行为。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23.2.3 因重大变故采购任务取消。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23.2.4 评委会认定招标文件存在歧义、重大缺陷导致评审工作无法进行。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23.2.5 因苏采云系统故障造成开标不成功。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如出现投标截止时间后参加投标的供应商或者对招标文件作出实质性响应的供应商不足三家的情况，按政府采购相关规定执行。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如出现23.2.1或23.3情形，招标活动失败，评审委员会应对招标文件是否存在不合理条款进行论证，并在评审报告中写明论证意见。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23.5评审过程中出现下列情形之一的，评委会应当启动异常低价响应审查程序：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（1）响应报价低于采购项目预算50%的，即响应报价&lt;采购项目预算×50%；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（2）响应报价低于采购项目最高限价45%的，即响应报价&lt;采购项目最高限价×45% ；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（3）评委会认定的供应商响应报价过低、有可能影响产品质量或者不能诚信履约的其他情形。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启动异常低价响应审查后，评委会应当要求相关供应商在评审现场合理的时间内，提供项目具体成本测算等与响应报价合理性相关的书面说明及相关证明材料，对响应价格作出解释，由评委会结合同类产品在主要电商平台的价格、该行业当地薪资水平等情况，依据专业经验对供应商响应报价合理性进行判断。供应商不提供书面说明、证明材料，或者提供的书面说明、证明材料不能证明其响应报价合理性的，评委会应当将其作为无效响应处理。审查相关情况应当在评审报告中进行记录。</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六、定标</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w:t>
      </w:r>
      <w:r>
        <w:rPr>
          <w:rFonts w:ascii="SimSun" w:hAnsi="SimSun" w:eastAsia="SimSun" w:cs="SimSun"/>
          <w:b/>
          <w:color w:val="000000"/>
          <w:sz w:val="24"/>
        </w:rPr>
        <w:t xml:space="preserve">4.确定中标单位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按以下第（2）种方式确定中标人：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（1）评委会直接确定排名第一的中标候选人为中标人；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（2）在投标文件满足招标文件全部实质性要求的供应商中，按照评审得分由高到低推荐3名中标候选人，采购人在评委会推荐的中标候选人中按顺序确定中标人。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按第二种方式确定中标人的，南京永信自评审结束之日起两个工作日内将评审结果通过苏采云提交至采购人，采购人自收到评审结果之日起五个工作日内，在评审结果推荐的中标候选人中按顺序确定中标人。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南京永信将在“南京公共采购信息网”发布中标公告，公告期限为1个工作日。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w:t>
      </w:r>
      <w:r>
        <w:rPr>
          <w:rFonts w:ascii="SimSun" w:hAnsi="SimSun" w:eastAsia="SimSun" w:cs="SimSun"/>
          <w:b/>
          <w:color w:val="000000"/>
          <w:sz w:val="24"/>
        </w:rPr>
        <w:t xml:space="preserve">若有充分证据证明中标人有下列情况之一的，一经查实将被取消中标资格：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24.3.1 提供虚假材料谋取中标。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24.3.2 向评审专家、采购人或南京永信工作人员行贿或者提供其他不正当利益。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24.3.3 与其他供应商、评审专家、采购人或南京永信工作人员恶意串通。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24.3.4 属于本文件规定的无效投标情形，但在评标过程中未被评委会发现。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24.3.5 采取不正当手段诋毁、排挤其他供应商。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w:t>
      </w:r>
      <w:r>
        <w:rPr>
          <w:rFonts w:ascii="SimSun" w:hAnsi="SimSun" w:eastAsia="SimSun" w:cs="SimSun"/>
          <w:b/>
          <w:color w:val="000000"/>
          <w:sz w:val="24"/>
        </w:rPr>
        <w:t xml:space="preserve">有下列情形之一的视为投标人串通投标，投标无效：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24.4.1 不同投标人的投标文件由同一单位或者个人编制。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24.4.2 不同投标人委托同一单位或者个人办理投标事宜。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24.4.3 不同投标人的投标文件载明的项目管理成员或者联系人员为同一人。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24.4.4 不同投标人的投标文件异常一致或者投标报价呈规律性差异。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25.l 中标结果确定后，南京永信将向中标人发出《中标通知书》。中标人可在中标结果公告届满之日起三十日内，登录苏采云系统下载。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《中标通知书》是合同的一个组成部分，对采购人和中标人均具有法律效力。《中标通知书》发出后，采购人改变中标结果或者中标人放弃中标项目的，应当依法承担法律责任。</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七、授予合同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26.l 中标人应当在《中标通知书》发出之日起三十日内，按照招标文件确定的事项与采购人签订政府采购合同。采购人于合同签订后2个工作日内通过苏采云系统进行公示。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招标文件、中标人的投标文件及招标过程中有关澄清、承诺文件均作为合同附件。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中标人因自身原因拒绝与采购人签订合同的，不得参加采购人重新组织的采购活动，且将可能被拒绝参加该采购人一年内的其他政府采购活动。</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27.标的物的追加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合同履行中，采购人需追加与合同标的相同的货物（包含与货物相关的服务），在不改变合同其他条款的前提下，可以与中标人协商签订补充合同，但所有补充合同的金额不超过原合同金额的10%。</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28.政府采购履约资金扶持政策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中标供应商可通过南京市公共资源交易平台网站“小企业融资平台”，选择相应的金融机构办理融资贷款。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依据《关于在全省政府采购领域推行电子履约保函（保险）的通知》（苏财购〔2023〕150号），需要缴纳履约保证金，中标供应商可通过江苏政府采购网“政府采购电子履约保函（保险）综合服务平台”线上办理履约保函（保险）。</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29.提出质疑的供应商应当是参与所质疑项目采购活动的供应商，潜在供应商依法获取其可质疑的采购文件的，可以对采购文件提出质疑。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30.供应商认为采购文件、采购过程和采购结果使自己的权益受到损害的，可以在知道或应知其权益受到损害之日起七个工作日内，按照第34条、第35条之规定以书面形式向采购人或南京永信提出质疑。</w:t>
      </w:r>
      <w:r>
        <w:rPr>
          <w:rFonts w:ascii="SimSun" w:hAnsi="SimSun" w:eastAsia="SimSun" w:cs="SimSun"/>
          <w:b/>
          <w:color w:val="000000"/>
          <w:sz w:val="24"/>
        </w:rPr>
        <w:t xml:space="preserve">上述应知其权益受到损害之日是指</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 对采购文件提出质疑的，为收到采购文件之日或者采购文件公告期限届满之日。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对采购过程提出质疑的，为各采购程序环节结束之日。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对中标或者成交结果提出质疑的，为中标或者成交结果公告期限届满之日。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31.供应商应当在法定质疑期内一次性提出针对同一采购程序环节的质疑。供应商如在法定期限内对同一采购程序环节提出多次质疑的，南京永信或采购人将只对供应商第一次质疑作出答复。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32.供应商提出质疑应提交《质疑函》原件，且尽可能通过邮寄方式送达，南京永信和采购人不接受无运单的快件。《质疑函》应按照本招标文件中《质疑函范本》的格式和内容填写。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供应商如组成联合体参加采购活动，《质疑函范本》中要求加盖公章之处，联合体各方均须按要求加盖公章。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rPr>
          <w:rFonts w:ascii="SimSun" w:hAnsi="SimSun" w:eastAsia="SimSun" w:cs="SimSun"/>
          <w:b/>
          <w:color w:val="000000"/>
          <w:sz w:val="24"/>
        </w:rPr>
        <w:t xml:space="preserve">供应商（含潜在供应商）对采购方式、采购需求、供应商资格条件、评标方法和评标标准、合同文本的询问或质疑向采购人提出，由采购人负责答复。</w:t>
      </w:r>
      <w:r>
        <w:rPr>
          <w:rFonts w:ascii="SimSun" w:hAnsi="SimSun" w:eastAsia="SimSun" w:cs="SimSun"/>
          <w:color w:val="000000"/>
          <w:sz w:val="24"/>
        </w:rPr>
        <w:t xml:space="preserve">供应商对采购过程、采购结果的询问或质疑向南京永信提出，由南京永信负责答复。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34.以下情形的质疑不予受理：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内容不符合《政府采购质疑和投诉办法》第十二条规定的质疑。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超出政府采购法定期限的质疑。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 以传真、电子邮件等方式递交的非原件形式的质疑。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 未参加采购活动或在采购活动中自身权益未受到损害的供应商所提出的质疑。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34.5 供应商组成联合体参加采购活动，联合体中任何一方或多方未按要求签字或签章、加盖公章的质疑。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34.6 法律法规规定的其他不予受理情形。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供应商提出书面质疑必须有理、有据，不得捏造事实、提供虚假材料进行恶意质疑。否则，一经查实，南京永信或采购人有权依据政府采购的有关规定，报请政府采购监管部门对该供应商进行相应的行政处罚和记录该供应商的失信信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采购项目服务内容、技术要求等</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一、项目内容</w:t>
      </w:r>
      <w:r/>
    </w:p>
    <w:p>
      <w:pPr>
        <w:ind w:left="0" w:right="0" w:firstLine="2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中标供应商为采购人提供交通执法活动所需要的各类清障拖车及停车保管服务。</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二、项目预算</w:t>
      </w:r>
      <w:r/>
    </w:p>
    <w:p>
      <w:pPr>
        <w:ind w:left="0" w:right="0" w:firstLine="2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本项目全部预算为380万元/年。</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三、片区划分</w:t>
      </w:r>
      <w:r/>
    </w:p>
    <w:p>
      <w:pPr>
        <w:ind w:left="0" w:right="0" w:firstLine="2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本项目服务范围如下：</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0"/>
        <w:gridCol w:w="2626"/>
        <w:gridCol w:w="5523"/>
      </w:tblGrid>
      <w:tr>
        <w:trPr>
          <w:trHeight w:val="3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片区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区域及服务中队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片区1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永阳、白马、东屏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3"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1、各片区服务范围原则上以片区内中队管辖范围为准，如出现其他变化则由采购人确定服务范围。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2、国家法律法规或上级管理部门有新规定的从其规定。</w:t>
            </w:r>
            <w:r/>
          </w:p>
        </w:tc>
      </w:tr>
      <w:tr>
        <w:trPr>
          <w:trHeight w:val="12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片区2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开发区、洪蓝、和凤、晶桥、石湫</w:t>
            </w:r>
            <w:r/>
          </w:p>
        </w:tc>
        <w:tc>
          <w:tcPr>
            <w:vMerge w:val="continue"/>
            <w:textDirection w:val="lrTb"/>
            <w:noWrap w:val="false"/>
          </w:tcPr>
          <w:p>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备注:本项目分为以上两个片区，共采购2家中标供应商提供服务，按照得分从高到低排序，第一名自主选择片区，第二名承接另一片区。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四、报价项目</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25"/>
        <w:gridCol w:w="4575"/>
      </w:tblGrid>
      <w:tr>
        <w:trPr>
          <w:trHeight w:val="4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7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投标优惠率（%）</w:t>
            </w:r>
            <w:r/>
          </w:p>
        </w:tc>
      </w:tr>
      <w:tr>
        <w:trPr>
          <w:trHeight w:val="9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城市道路、普通公路拖吊车辆及交通保障服务优惠率（%）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5" w:type="dxa"/>
            <w:vAlign w:val="top"/>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其他清障工作服务（190元/次*台）</w:t>
            </w:r>
            <w:r/>
          </w:p>
        </w:tc>
        <w:tc>
          <w:tcPr>
            <w:vMerge w:val="continue"/>
            <w:textDirection w:val="lrTb"/>
            <w:noWrap w:val="false"/>
          </w:tcPr>
          <w:p>
            <w:r/>
            <w:r/>
          </w:p>
        </w:tc>
      </w:tr>
      <w:tr>
        <w:trPr>
          <w:trHeight w:val="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停车保管服务费（25万元/年/片区）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固定价格，投标人无须报价</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填报要求：</w:t>
      </w:r>
      <w:r/>
    </w:p>
    <w:p>
      <w:pPr>
        <w:ind w:left="0" w:right="0" w:firstLine="2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拖吊车辆及交通服务保障按基准价（见：九、城市道路、普通公路拖吊车辆及交通服务保障最高限单价表）报出统一的优惠率，不接受区间报价（如2%-3%）。优惠率＝（基准价-采购人实付价） ÷基准价×100% 。</w:t>
      </w:r>
      <w:r/>
    </w:p>
    <w:p>
      <w:pPr>
        <w:ind w:left="0" w:right="0" w:firstLine="2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清障工作价格不分车型，报价最高限价190元／次·台。</w:t>
      </w:r>
      <w:r/>
    </w:p>
    <w:p>
      <w:pPr>
        <w:ind w:left="0" w:right="0" w:firstLine="2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每个片区停车保管服务费25万元/年。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本项目按优惠率（下浮率）报价，投标人应考虑经济增长物价上涨及自身成本报价，确定优惠率。优惠率≤100% 。如下浮：1%, 2%，5%。</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★五、服务特别约定（提供承诺书原件并加盖单位电子公章，格式自拟，承诺书须体现下列内容）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中标供应商签订合同后，需对采购人原先在相关场地停放的需处置车辆免费拖移转场并提供免费保管服务，拖移转场工作在1个月以内完成。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服务期限：三年，合同一年一签，上期合同到期后未能续签合同的，须免费延长保管期3个月，以便采购人对原场地停放车辆进行处置，逾期采购人按照供应商停车保管服务费报价每月按比例（报价的1/12）支付保管费用。</w:t>
      </w:r>
      <w:r/>
    </w:p>
    <w:p>
      <w:pPr>
        <w:ind w:left="0" w:right="0" w:firstLine="48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3.中标供应商须承诺因采购人其他工作需要，需提供相关车辆免费保管服务。</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六、服务要求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（一）车辆数量及车辆状况、作业人员要求</w:t>
      </w:r>
      <w:r/>
    </w:p>
    <w:p>
      <w:pPr>
        <w:ind w:left="0" w:right="0" w:firstLine="641"/>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w:t>
      </w:r>
      <w:r>
        <w:rPr>
          <w:rFonts w:ascii="SimSun" w:hAnsi="SimSun" w:eastAsia="SimSun" w:cs="SimSun"/>
          <w:b/>
          <w:color w:val="000000"/>
          <w:sz w:val="24"/>
        </w:rPr>
        <w:t xml:space="preserve">1.车辆数量要求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各分包救援车辆如下表：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53"/>
        <w:gridCol w:w="5849"/>
        <w:gridCol w:w="2076"/>
      </w:tblGrid>
      <w:tr>
        <w:trPr>
          <w:trHeight w:val="4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4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数量（台）</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30吨大型吊机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 吨大型专项作业车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5吨至-10吨大中型专项作业车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吨至3吨中小型专项作业车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以上车辆数量要求仅为供应商提供服务的最低要求，在实际工作中如清障作业需要车辆超出上述要求，供应商应当满足。专项作业车车辆吨位是指车辆的最大拖牵质量（以车辆技术文件为准）。货车吨位是指核定载质量（以车辆行驶证为准），吊机吨位是指额定起重量（以车辆参数表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（3）中标供应商必须按每个分包需投入的数量要求提供足够的清障车辆， 以满足采购人的清障作业要求。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自有车辆（指行驶证与投标人名称相符、且在年检有效期内的车辆），提供行驶证、保险复印件等资料，须能体现有效年检记录、吨位、货物险等相关信息；未按要求提交或提供失效证件的，视为无效。</w:t>
      </w:r>
      <w:r/>
    </w:p>
    <w:p>
      <w:pPr>
        <w:ind w:left="0" w:right="0" w:firstLine="641"/>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w:t>
      </w:r>
      <w:r>
        <w:rPr>
          <w:rFonts w:ascii="SimSun" w:hAnsi="SimSun" w:eastAsia="SimSun" w:cs="SimSun"/>
          <w:b/>
          <w:color w:val="000000"/>
          <w:sz w:val="24"/>
        </w:rPr>
        <w:t xml:space="preserve">2.车辆状况要求</w:t>
      </w:r>
      <w:r/>
    </w:p>
    <w:p>
      <w:pPr>
        <w:ind w:left="0" w:right="0" w:firstLine="480"/>
        <w:jc w:val="both"/>
        <w:spacing w:before="0" w:after="0" w:line="5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提供的车辆必须具有合法、完备的证照，不得提供报废、非法车辆参与清障作业，保证车况良好并配备足够、完好的交通清障辅助设备（包括枕木、反光椎筒、警示带等反光标志、拖车辅助轮、磅秤、千斤顶、1000万像素以上具有夜间拍摄和摄录功能的相机等）及通讯工具。大中型专项作业车（含）以上车型还需增配消防器材、破拆工具等设备，以确保清障能力与通信畅通。救援车辆应当安装标志灯具并喷涂明显的标志，执行救援任务时，应当开启标志灯具和危险报警闪光灯，并设置必要的安全警戒区。（提供承诺书原件并加盖单位公章，格式自拟，承</w:t>
      </w:r>
      <w:r>
        <w:rPr>
          <w:rFonts w:ascii="SimSun" w:hAnsi="SimSun" w:eastAsia="SimSun" w:cs="SimSun"/>
          <w:color w:val="000000"/>
          <w:sz w:val="24"/>
        </w:rPr>
        <w:t xml:space="preserve">诺书须体现上述内容）</w:t>
      </w:r>
      <w:r/>
    </w:p>
    <w:p>
      <w:pPr>
        <w:ind w:left="0" w:right="0" w:firstLine="480"/>
        <w:jc w:val="both"/>
        <w:spacing w:before="0" w:after="0" w:line="5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供应商提供的车辆必须购买相应的保险，除交强险外，还应购买保险理赔金额不少于200万的第三者责任险、不少于100万的货物险，且保险理赔时限在本项目服务期限内持续有效。（提供承诺书原件并加盖单位公章，格式自拟，承诺签订合同前向采购人提供正式保单）</w:t>
      </w:r>
      <w:r/>
    </w:p>
    <w:p>
      <w:pPr>
        <w:ind w:left="0" w:right="0" w:firstLine="480"/>
        <w:jc w:val="both"/>
        <w:spacing w:before="0" w:after="0" w:line="5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（3）中标供应商提供的车辆必须安装全球卫星定位系统（GPS ）车载终端，车辆定位数据须保存3个月，并实时提供给采购人。（提供承诺书原件并加盖单位公章，格式自拟，承诺书须体现上述内容）</w:t>
      </w:r>
      <w:r/>
    </w:p>
    <w:p>
      <w:pPr>
        <w:ind w:left="0" w:right="0" w:firstLine="480"/>
        <w:jc w:val="both"/>
        <w:spacing w:before="0" w:after="0" w:line="5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供应商提供的车辆必须安装行车记录仪，行车记录仪必须配备三个摄像头（前一后二），满足日间、夜晚的记录要求，能清晰摄录将暂扣车辆拖移至停车场并移交完毕的整个过程，具体安装要求由采购人指定，摄录数据至少保存45天。（提供承诺书原件并加盖单位公章，格式自拟，承诺书须体现上述内容）</w:t>
      </w:r>
      <w:r/>
    </w:p>
    <w:p>
      <w:pPr>
        <w:ind w:left="0" w:right="0" w:firstLine="480"/>
        <w:jc w:val="both"/>
        <w:spacing w:before="0" w:after="0" w:line="5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（5）中标供应商提供的车辆必须统一喷涂中标供应商单位名称及投诉电话。（提供承诺书原件并加盖单位公章，格式自拟，承诺书须体现上述内容）</w:t>
      </w:r>
      <w:r/>
    </w:p>
    <w:p>
      <w:pPr>
        <w:ind w:left="0" w:right="0" w:firstLine="480"/>
        <w:jc w:val="both"/>
        <w:spacing w:before="0" w:after="0" w:line="5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服务期内，中标供应商投入的车辆必须在有效期内，对提供服务的车辆进行维修保养、年检等，在原服务车辆不能按时到场服务的情况下，中标供应商须提供同车型、同吨位的备用车辆（具有合格、完备证照）替代服务，并事前征得采购人同意。（提供承诺书原件并加盖单位公章，格式自拟，承诺书须体现上述内容）</w:t>
      </w:r>
      <w:r/>
    </w:p>
    <w:p>
      <w:pPr>
        <w:ind w:left="0" w:right="0" w:firstLine="480"/>
        <w:jc w:val="both"/>
        <w:spacing w:before="0" w:after="0" w:line="5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（7）到达现场清障作业的车辆必须能够承担并完成采购人指定的清障任务。（提供承诺书原件并加盖单位公章，格式自拟，承诺书须体现上述内容）</w:t>
      </w:r>
      <w:r/>
    </w:p>
    <w:p>
      <w:pPr>
        <w:ind w:left="0" w:right="0" w:firstLine="482"/>
        <w:jc w:val="both"/>
        <w:spacing w:before="0" w:after="0" w:line="59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3.清障作业人员要求</w:t>
      </w:r>
      <w:r/>
    </w:p>
    <w:p>
      <w:pPr>
        <w:ind w:left="0" w:right="0" w:firstLine="480"/>
        <w:jc w:val="both"/>
        <w:spacing w:before="0" w:after="0" w:line="5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★（1）实施清障作业的每辆车，除合格驾驶员外，应配备1 名熟悉业务的作业人员（参与交通整治时，如采购人要求每台作业车辆配备2名熟悉业务作业人员的，供应商应予以满足)，保证交通清障顺利完成。（提供人员信息（1名）及近六个月（2025年11月至2026年04月）社保缴纳证明材料）</w:t>
      </w:r>
      <w:r/>
    </w:p>
    <w:p>
      <w:pPr>
        <w:ind w:left="0" w:right="0" w:firstLine="480"/>
        <w:jc w:val="both"/>
        <w:spacing w:before="0" w:after="0" w:line="5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（2）清障作业人员必须统一着装，作业时要着反光服（背心），按规范流程操作，同时必须听从交警的指挥。</w:t>
      </w:r>
      <w:r/>
    </w:p>
    <w:p>
      <w:pPr>
        <w:ind w:left="0" w:right="0" w:firstLine="480"/>
        <w:jc w:val="both"/>
        <w:spacing w:before="0" w:after="0" w:line="5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（3）作业人员必须是和中标供应商签定劳动合同的人员，并且购买人员的人身意外险，清障作业人员应报采购人备案，中标供应商不得录用有违法犯罪记录或被采购人认定为在清障作业工作中违规的人员。</w:t>
      </w:r>
      <w:r/>
    </w:p>
    <w:p>
      <w:pPr>
        <w:ind w:left="0" w:right="0" w:firstLine="480"/>
        <w:jc w:val="both"/>
        <w:spacing w:before="0" w:after="0" w:line="5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（4）清障作业人员应遵守相关保密规定。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（二）清障作业服务要求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 服务时间要求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中标供应商提供全天24小时的各类清障作业。供应商接到采购人发出的清障指令起计，在规定时间(见下表）到达现场提供服务。</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24"/>
        <w:gridCol w:w="2325"/>
        <w:gridCol w:w="5170"/>
      </w:tblGrid>
      <w:tr>
        <w:trPr>
          <w:trHeight w:val="4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城区以外区域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9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20分钟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40分钟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城区指机场路—246省道—无想山大道—204省道（栖凤路、宝塔北路）合围区域内</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2.现场作业要求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（1）中标供应商应按照拖吊车作业规范实施作业，应当配备消防器材、破拆工具以及清扫工具等设备，对被拖吊车辆及相关物品进行检查和清点，按规范流程进行作业等。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（2）拖车作业人员应服从现场交警的指挥。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（3）中标供应商实施清障作业时，必须有交通警察在场并取得委托。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（4）中标供应商作业时必须严格遵守道路交通管理规定，不得因作业而影响交通、造成交通堵塞或损坏市政设施。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（5）中标供应商须及时清扫由于事故造成的路面垃圾、障碍等，不得影响交通而引发二次事故。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3.车上物品处理要求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中标供应商应按照采购人规定的程序及规范处置被拖吊车辆的随车物品，未经采购人或当事人同意，作业人员不得进入被拖吊车辆的车辆内部（包括驾驶乘坐仓以及车尾箱等）。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4.车辆出场的要求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因中标供应商违反拖吊车作业规范，导致车辆（含随车物品）出场时与扣留时登记的实际状态不符的，由此造成的法律及经济责任由中标供应商承担。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5.如现场民警要求将涉案货车拖移至称重点或治超点进行称重的，中标供应商应予以免费服务，并在完成称重后，再将车辆拖移至停车场。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6.中标供应商应对“清障作业”所拖吊车辆数据进行分类登记，并定期向采购人报备。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（三）停车保管场要求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停车保管场地须在溧水区内，面积不小于7000平方米，且符合消防、环保的要求，同时符合政府规划要求，如遇政府规划调整，应及时提供符合前述要求的停车保管场地。（①提供停车场地的有效权属文件、租赁协议并加盖单位公章；②提供承诺书原件，承诺内容包括场地位置、面积、可用时间及专用于某分包等，只统计投标分包区域内承诺用于采购人实际使用的场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停车保管场所应设置办公电脑、租用网络接入采购方的网络，使用采购方提供的车辆停车保管系统平台；出入口及车辆保管场所监控全覆盖，视频保持不少于30天。（提供承诺书原件并加盖单位公章，格式自拟，承诺书须体现上述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3.中标供应商中标后15日内接入采购人指定车辆停车保管系统平台，相关费用由投标人承担。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4.进入停车保管场的车辆必须凭采购方签发的扣留车辆强制措施凭证、违停清拖通知单或事故车辆保管单入场，否则采购方拒付服务费用。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5.超过法定或约定的保管期限，所产生的停车保管费用供应商可按相关规定公示的收费范围及标准向车辆所有人或相关责任人收取，未按规定公示不得收取停车保管费用。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停车保管场地为供应商自有场地须提供合法有效证件；如系租赁场地须提供与土地所有人签定的租赁合同，同时提供土地合法有效证件。如不是与土地所有人签定的转租合同，必须提供所有人的土地合法有效证件并由土地所有人对转租合同确认。土地合法有效证件、合同复印件及转租合同确认均加盖土地所有人印章或签名。租赁合同的期限不得低于本次服务合同的期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（四）现场防护要求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1.按照道路交通事故现场安全防护的相应等级要求做好现场防护。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2.对较大以上事故现场（含视觉冲突比较惨烈的现场），及时做好围挡措施，避免产生不良影响。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（五）相关安全责任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1、在整个清拖清障吊运作业以及车辆保管过程中（包括场地安全），造成的所有人身伤亡、财产损失等相关法律责任和经济赔偿责任均由中标供应商自行承担并依法妥善处置，与采购方无关。</w:t>
      </w:r>
      <w:r/>
    </w:p>
    <w:p>
      <w:pPr>
        <w:ind w:left="0" w:right="0" w:firstLine="48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2、因现场安全防护、事故现场清理不到位等导致的二次事故均由中标供应商自行承担相关责任和善后处置。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（六）交通违法车辆的拖吊服务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1.采购人开展交通整治时，中标供应商应按采购人要求提供拖、吊车服务。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2.中标供应商应根据采购人要求将被拖吊车辆的停放地点及联系方式等，通过文字标示或者其它方式告知当事人。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3.中标供应商作业过程中应遵守有关法律法规、部门规章关于拖吊交通违法车辆的规定。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（七）交通保障服务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1.交通保障服务指各项交通警卫、大型群体性活动以及中心城区重点路段的清障车应急清障准备，以及在此过程中按采购人要求的巡逻、摆放交通安保设施、拖移车辆的服务。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2.中标供应商提供备勤服务的清障车应按采购人指定时间及地点进行备勤，并按采购人要求进行巡逻或拖移车辆。备勤保障车必须在采购人发出结束指令后方可撤离。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3.中标供应商应优先确保交通保障服务，经采购人同意，可以调配正在执行采购人其他服务指令的清障车参与交通保障工作。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（八）其他清障工作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中标供应商按采购人指令提供其他清障服务，包括清理路面淤泥、油污、垃圾等常见垃圾。常规清理现场时间40分钟内完成。</w:t>
      </w:r>
      <w:r/>
    </w:p>
    <w:p>
      <w:pPr>
        <w:ind w:left="482" w:right="0" w:hanging="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（九）中标供应商在服务期内须遵守</w:t>
      </w:r>
      <w:r>
        <w:rPr>
          <w:rFonts w:ascii="SimSun" w:hAnsi="SimSun" w:eastAsia="SimSun" w:cs="SimSun"/>
          <w:color w:val="000000"/>
          <w:sz w:val="24"/>
        </w:rPr>
        <w:t xml:space="preserve">《南京市公安局溧水分局南京市公安局溧水分局交通事故违法车辆清拖和保管服务考核办法》。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七、项目管理及考评处罚办法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（一）项目管理要求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1.采购人将不定期对中标供应商的作业情况及台帐登记情况进行检查。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2.供应商服务费与考核挂钩，每半年考核一次。采购人将对中标供应商清拖和保管任务完成的质量情况进行考评并制作半年制考评表，根据考核结果，采购人支付相应的服务费用。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根据检查发现并核实的问题向中标供应商发出整改通知书，要求限期整改，中标供应商应在规定期限内实施整改，并将整改结果书面报采购人；如中标供应商不按要求实施整改的，采购人有权扣减考核分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4.中标供应商如出现重大违规事件，或半年制考核分数低于60分的，采购人有权终止合同，且由此造成的损失由供应商负责。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（二）考评办法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采购人有权将中标供应商在合同服务期内违反合同规定的各种情况进行登记，建立诚信档案，制作半年制考评表，按考评表分数比例扣减相应服务费用。南京市公安局溧水分局南京市公安局溧水分局交通事故违法车辆清拖和保管服务考核评分表见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2.考评表评分按百分制，每半年为一个计分周期。当得分低于60分的，视为不合格，采购人有权解除合同。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3.中标供应商服务费支付比例和考核情况挂钩：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（1）按总评分数支付相同比例的服务费。例如半年得分为85.2分的，支付服务费时则按85.2%支付半年服务费，依此类推；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（2）当总评95分或95分以上的，按100%支付半年服务费：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4.采购人半年制作考评总表，作为结算依据之一。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（三）考评条款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1.供应商因操作不当、保管不善致使清拖保管的车辆发生被盗、灭失、损坏，由供应商承担赔偿责任，扣除10分/次。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2.1供应商在清障工作中发生重大失误或违规事件的，扣除10分/次。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2.2供应商在清障工作中发生重大失误或违规事件，并被当事人投诉或起诉的扣除20分/次。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2.3供应商在清障工作中发生重大失误或违规事件，并造成负面舆情或新闻媒体曝光的，扣除30分/次。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3.供应商提供拖吊车及清障服务时，到达现场超过规定时间的，按超时时长扣分，具体标准如下表: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88"/>
        <w:gridCol w:w="1949"/>
        <w:gridCol w:w="461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8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超时时长</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未造成影响的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1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造成明显影响的</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20分钟≤超时＜40分钟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0.5分/次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1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6分/次</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40分钟≤超时＜60分钟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1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60分钟≤超时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1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10分/次</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“造成明显影响”是指：（1）造成道路堵塞的；（2）在重要安保任务中发生的；（3）导致同一警情出现5 宗以上的。如由于客观原因导致无法准时到达现场的，经发出指令的交警中队出具书面说明，并经大队领导审核同意后可免予扣分。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4.1供应商实施专门指令任务，没有按规范或没有按规定时间及路线进场的，扣除2分/次。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4.2供应商实施专门指令任务，没有按规范或没有按规定时间及路线进场的，造成损失的，扣除5分/次。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5.1供应商内部员工盗窃或置换被拖吊车辆零配件或车上物品的，扣除20分/次。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5.2供应商内部员工盗窃或置换被拖吊车辆零配件或车上物品的，数量或金额较大的（如盗窃或置换整车、一次盗窃或置换电池10 个以上、盗窃车上物品估计价值超过1万元的），同时追究供应商法律责任，且采购人可单方面解除合同，扣除30分/次。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6.因供应商原因造成被拖吊车辆遗失或严重损坏（无法修复）的，供应商负责对车主给予损失赔偿，扣除10分/次。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7.供应商内部员工违规使用被拖吊车辆或车上物品的，扣除5分/次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8.1供应商违规收费的，因收费问题被当事人投诉并经调查确认供应商索要超标拖吊车费的，扣除5分/次。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供应商违规收费的，己产生违规收费事实的，费用按规定退赔：（1）超标准收取拖吊车费及清理费的，扣除10分/次；（2）杜撰服务项目进行收费的，扣除15分/次；（3）当事人到相关部门进行投诉或起诉的，扣除20分/次；（4）造成负面舆情或新闻媒体曝光的，扣除30分/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9.由于供应商原因未能及时完成清障的：（1）在一般工作或安保工作任务中，扣除5分/次；（2）造成交通堵塞的，扣除10分/次；（3）在重大安保或重大群体性活动中，造成堵塞50 米以上或影响车队快速通过，扣除15分/次；（4）造成重大安保任务无法正常进行的，委托人可单方面解除合同，同时保留追究相应责任的权利，扣除30分/次。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10.1供应商不按投标文件承诺或委托人要求投入相应人力或清障车被交警在日常检查发现的，缺少作业人员，每人次扣0.5 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10.2作业人员要与相关当事人友好文明沟通，文明作业，发生辱骂等不文明行为的，扣除1分/次。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10.3在执行清障任务时，缺少必要的装备、设施，不符合规范安全防护要求的，按采购人要求实施整改，扣除1分/次，对采购人工作造成影响的，扣除5分/次。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11.供应商不按采购人要求使用清障车车载GPS、行车记录仪的， 或不按要求保存相关数据的，每次扣5 分并限期整改；未按要求整改的，每延迟一天扣1分，至整改至符合采购人要求为止。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12.供应商不按采购人要求使用车辆停车保管系统的，包括硬件、人员配备及使用人员操作等，每次扣1分并限期整改；不按采购人要求实施整改的，每延迟一天扣1分， 至整改至符合采购人要求止；影响系统正常运转的，每次扣5 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13.1供应商未按采购人要求备勤的（包括未按规定时间、地点、车型、人员配备备勤和自行收勤），扣除2分/次。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13.2在重大安保或重大群体性活动中，供应商未按采购人要求备勤的，当年度发生2起以上的，采购人可单方面解除合同，扣除10分/次。</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14.采购人执法扣留的车辆，未经采购人允许，不得收取任何管理费用，如有收取，由采购人按收取费用的10倍在结算服务费时扣除，同时扣除10分/次。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15.供应商按规定及时上报保管车辆的台账且与平台登记的信息准确无误，经大队领导审核同意后每月奖励1分。半年制总评供应商评分超过95分（含95分）时， 服务费按100%支付。每月最高奖励1分。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八、付款条件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（一）拖吊非事故类违法车辆计费。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1、拖吊违法车辆（两轮摩托车、两轮电动车、两轮助力车、人力三轮车和自行车除外）的，由采购人按拖吊数量与拖吊单价进行结算，由采购人负责支付，中标供应商不得向当事人收取任何费用。</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2、接到采购人通知，拖吊：两轮摩托车、两轮电动车、两轮助力车、人力三轮车和自行车，按照交通保障服务方式计费。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（二）交通保障服务计费。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、交通保障服务按小时计算，具体以中标供应商中标单价及经采购人审核确定的服务时间进行核算。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2、在提供应急保障服务期间由交警指派实施的拖吊车作业，服务费用按拖吊非事故类违法车辆计费标准计费。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（三）停车保管服务费：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合同签订之日起每隔半年支付1/2的保管服务费，一年付清。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（四）其他清障服务计费。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其他清障服务费用按车次计算支付，具体以中标供应商中标单价及经采购人审核确定的服务次数进行核算。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（五）在非中标分包服务的结算方式。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在整治或大规模活动中，采购人指派到非中标分包实施清障作业的，服务费用按照该作业供应商中标价进行结算。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w:t>
      </w:r>
      <w:r>
        <w:rPr>
          <w:rFonts w:ascii="SimSun" w:hAnsi="SimSun" w:eastAsia="SimSun" w:cs="SimSun"/>
          <w:color w:val="000000"/>
          <w:sz w:val="24"/>
        </w:rPr>
        <w:t xml:space="preserve">除合同中规定的拖吊车及清障作业等费用外，采购人不再向中标供应商额外支付任何费用，中标供应商为完成合同约定任务，购置所需的各种设备及人工费用等各项开支自行负责。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（七）支付程序。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（1）供应商每月10日前须提供上月产生的费用清单交采购人确认，经确认的费用清单作为结算依据，逾期未提供费用清单的，视为自愿放弃上月服务费用。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（2）每半年凭审计报告支付一次，中标供应商应10日内提交前半年报账表及相关资料给采购人进行审计审核。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九、城市道路、普通公路拖吊车辆及交通服务保障最高限单价表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（一）城市道路、普通公路基准价如下：</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1"/>
        <w:gridCol w:w="3723"/>
        <w:gridCol w:w="2032"/>
        <w:gridCol w:w="1301"/>
        <w:gridCol w:w="1557"/>
      </w:tblGrid>
      <w:tr>
        <w:trPr>
          <w:trHeight w:val="13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拖吊车型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拖车及交通服务保障基准价（元/次）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吊车基准价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报价要求</w:t>
            </w:r>
            <w:r/>
          </w:p>
        </w:tc>
      </w:tr>
      <w:tr>
        <w:trPr>
          <w:trHeight w:val="10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7座以下（含7座）小型客车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小于等于6T轻型货车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手扶拖拉机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对各拖吊的车型报出统一的优惠率，优惠率&lt;100%，含事故现场的清扫。</w:t>
            </w:r>
            <w:r/>
          </w:p>
        </w:tc>
      </w:tr>
      <w:tr>
        <w:trPr>
          <w:trHeight w:val="8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中型客车(6m＜车辆长度 ≤9m)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中型货车(6t＜总质量≤14t)</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1000</w:t>
            </w:r>
            <w:r/>
          </w:p>
        </w:tc>
        <w:tc>
          <w:tcPr>
            <w:vMerge w:val="continue"/>
            <w:textDirection w:val="lrTb"/>
            <w:noWrap w:val="false"/>
          </w:tcPr>
          <w:p>
            <w:r/>
            <w:r/>
          </w:p>
        </w:tc>
      </w:tr>
      <w:tr>
        <w:trPr>
          <w:trHeight w:val="4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大型客车（车辆长度＞9m)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2200</w:t>
            </w:r>
            <w:r/>
          </w:p>
        </w:tc>
        <w:tc>
          <w:tcPr>
            <w:vMerge w:val="continue"/>
            <w:textDirection w:val="lrTb"/>
            <w:noWrap w:val="false"/>
          </w:tcPr>
          <w:p>
            <w:r/>
            <w:r/>
          </w:p>
        </w:tc>
      </w:tr>
      <w:tr>
        <w:trPr>
          <w:trHeight w:val="2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重型货车（(14t＜总质量≤35t)</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2200</w:t>
            </w:r>
            <w:r/>
          </w:p>
        </w:tc>
        <w:tc>
          <w:tcPr>
            <w:vMerge w:val="continue"/>
            <w:textDirection w:val="lrTb"/>
            <w:noWrap w:val="false"/>
          </w:tcPr>
          <w:p>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重型货车（总质量＞</w:t>
            </w:r>
            <w:r>
              <w:rPr>
                <w:rFonts w:ascii="SimSun" w:hAnsi="SimSun" w:eastAsia="SimSun" w:cs="SimSun"/>
                <w:color w:val="000000"/>
                <w:sz w:val="21"/>
              </w:rPr>
              <w:t xml:space="preserve"> </w:t>
            </w:r>
            <w:r>
              <w:rPr>
                <w:rFonts w:ascii="SimSun" w:hAnsi="SimSun" w:eastAsia="SimSun" w:cs="SimSun"/>
                <w:color w:val="000000"/>
                <w:sz w:val="22"/>
              </w:rPr>
              <w:t xml:space="preserve">35t)（含桥梁登高车、轮式挖机、装载机、压路机）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3800</w:t>
            </w:r>
            <w:r/>
          </w:p>
        </w:tc>
        <w:tc>
          <w:tcPr>
            <w:vMerge w:val="continue"/>
            <w:textDirection w:val="lrTb"/>
            <w:noWrap w:val="false"/>
          </w:tcPr>
          <w:p>
            <w:r/>
            <w:r/>
          </w:p>
        </w:tc>
      </w:tr>
      <w:tr>
        <w:trPr>
          <w:trHeight w:val="9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两轮摩托车、两轮电动车、两轮助力车和人力三轮车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vMerge w:val="continue"/>
            <w:textDirection w:val="lrTb"/>
            <w:noWrap w:val="false"/>
          </w:tcPr>
          <w:p>
            <w:r/>
            <w:r/>
          </w:p>
        </w:tc>
      </w:tr>
      <w:tr>
        <w:trPr>
          <w:trHeight w:val="9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三轮电动车、三轮摩托车以及三轮其他车辆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600</w:t>
            </w:r>
            <w:r/>
          </w:p>
        </w:tc>
        <w:tc>
          <w:tcPr>
            <w:vMerge w:val="continue"/>
            <w:textDirection w:val="lrTb"/>
            <w:noWrap w:val="false"/>
          </w:tcPr>
          <w:p>
            <w:r/>
            <w:r/>
          </w:p>
        </w:tc>
      </w:tr>
      <w:tr>
        <w:trPr>
          <w:trHeight w:val="4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自行车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vMerge w:val="continue"/>
            <w:textDirection w:val="lrTb"/>
            <w:noWrap w:val="false"/>
          </w:tcPr>
          <w:p>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交通保障服务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70元/车/小时</w:t>
            </w:r>
            <w:r/>
          </w:p>
        </w:tc>
        <w:tc>
          <w:tcPr>
            <w:vMerge w:val="continue"/>
            <w:textDirection w:val="lrTb"/>
            <w:noWrap w:val="false"/>
          </w:tcPr>
          <w:p>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1.以上基准价为南京市物价局《关于进一步规范城市道路、普通公路车辆救援服务收费的通知》宁价服［2015] 1号文规定的价格。江苏省物价局关于颁布《江苏省高速公路清排障服务收费标准》的通知。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城市道路、普通公路采购人实付价＝基准价×(1-中标优惠率）。例如：投标统一优惠率为10%，大型客车每次吊车费为：2200*（1-10%）=1980元；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优惠率的表示方式用百分数表示：如下浮1%, 2%, 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服务期内，如江苏省、南京市政府物价部门对拖吊车服务价格进行调整的，基准价按南京市物价部门新价格标准中同一服务类别、拖吊的同一车型的最低价进行计算：未涉及调整服务价格的服务项目或车型，则按原基准价进行计算。计算方式按上述第2点执行，且中标优惠率均固定不变。执行时间从政府物价部门正式公布新标准的下一个月开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 其他清障工作的报价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中标供应商从事采购人指定的其他清障工作（如清理淤泥垃圾等），以出车车次（不分车型大小，但需按采购人要求的车型及人员配备出车）计算，按次报价，最高限价为190元／次*台。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（三）每包停车保管服务费:25万元/年。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（四）投标人报价必须综合考虑各分包实际拖车距离。报价应包含清障车的油料费、维修费、路桥费、保险费、税费以及服务人员工资、保险费等所有费用。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（五）以上报价供应商统一按优惠率（下浮率）报价，优惠率≤100% 。如下浮：1%, 2%，5%。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（六）供应商应充分考虑所有可能影响到报价价格及政策等风险因素，一旦中标，一律不予调整，两个片区结算价不超过380万/年。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（七）供应商中标后不允许分包、转包，一旦发现采购人有权立即终止合同。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特别说明：本章打“★”内容为实质性要求，不允许负偏离，否则作为无效文件。如有疑问请与采购人联系。</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南京市公安局溧水分局南京市公安局溧水分局交通事故违法车辆清拖和保管服务考核评分表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考核对象：　　　　　　　　　　　　　　　　　考核时间区间：</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tblGrid>
      <w:tr>
        <w:trPr>
          <w:gridAfter w:val="1"/>
          <w:trHeight w:val="829"/>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4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考核标准</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2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扣分标准</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9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w:t>
            </w:r>
            <w:r/>
          </w:p>
        </w:tc>
      </w:tr>
      <w:tr>
        <w:trPr>
          <w:gridAfter w:val="1"/>
          <w:trHeight w:val="68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供应商因操作不当、保管不善致使清拖保管的车辆发生被盗、灭失、损坏，由供应商承担赔偿责任</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7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扣除10分/次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57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供应商在清障工作中发生重大失误或违规事件的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7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扣除10分/次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59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供应商在清障工作中发生重大失误或违规事件，并被当事人投诉或起诉的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7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扣除20分/次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43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供应商在清障工作中发生重大失误或违规事件，并造成负面舆情或新闻媒体曝光的，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7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扣除30分/次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gridSpan w:val="3"/>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5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供应商提供拖吊车及清障服务时，到达现场超过规定时间的，按超时时长扣分，具体标准如下表: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92"/>
              <w:gridCol w:w="1532"/>
              <w:gridCol w:w="362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超时时长</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未造成影响的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造成明显影响的</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20分钟≤超时＜40分钟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0.5分/次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6分/次</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40分钟≤超时＜60分钟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1分/次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8分/次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60分钟≤超时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2分/次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10分/次</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w:t>
            </w:r>
            <w:r>
              <w:rPr>
                <w:rFonts w:ascii="SimSun" w:hAnsi="SimSun" w:eastAsia="SimSun" w:cs="SimSun"/>
                <w:color w:val="000000"/>
                <w:sz w:val="21"/>
              </w:rPr>
              <w:t xml:space="preserve"> </w:t>
            </w:r>
            <w:r>
              <w:rPr>
                <w:rFonts w:ascii="SimSun" w:hAnsi="SimSun" w:eastAsia="SimSun" w:cs="SimSun"/>
                <w:color w:val="000000"/>
                <w:sz w:val="22"/>
              </w:rPr>
              <w:t xml:space="preserve">“造成明显影响”是指：（1）造成道路堵塞的；（2）在重要安保任务中发生的；（3）导致同一警情出现5 宗以上的。如由于客观原因导致无法准时到达现场的，经发出指令的交警中队出具书面说明，并经大队领导审核同意后可免予扣分。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68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供应商实施专门指令任务，没有按规范或没有按规定时间及路线进场的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7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扣除2分/次</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9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68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供应商实施专门指令任务，没有按规范或没有按规定时间及路线进场的，造成损失的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7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扣除5分/次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657"/>
        </w:trPr>
        <w:tc>
          <w:tcPr>
            <w:tcBorders>
              <w:top w:val="none" w:color="000000" w:sz="4" w:space="0"/>
              <w:left w:val="single" w:color="000000" w:sz="8" w:space="0"/>
              <w:bottom w:val="none" w:color="000000" w:sz="4" w:space="0"/>
              <w:right w:val="single" w:color="000000" w:sz="8" w:space="0"/>
            </w:tcBorders>
            <w:tcMar>
              <w:left w:w="15" w:type="dxa"/>
              <w:top w:w="15" w:type="dxa"/>
              <w:right w:w="15"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w:t>
            </w:r>
            <w:r/>
          </w:p>
        </w:tc>
        <w:tc>
          <w:tcPr>
            <w:tcBorders>
              <w:top w:val="none" w:color="000000" w:sz="4" w:space="0"/>
              <w:left w:val="none" w:color="000000" w:sz="4" w:space="0"/>
              <w:bottom w:val="none" w:color="000000" w:sz="4" w:space="0"/>
              <w:right w:val="single" w:color="000000" w:sz="8" w:space="0"/>
            </w:tcBorders>
            <w:tcMar>
              <w:left w:w="15" w:type="dxa"/>
              <w:top w:w="15" w:type="dxa"/>
              <w:right w:w="15" w:type="dxa"/>
              <w:bottom w:w="0" w:type="dxa"/>
            </w:tcMar>
            <w:tcW w:w="4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供应商内部员工盗窃或置换被拖吊车辆零配件或车上物品的</w:t>
            </w:r>
            <w:r/>
          </w:p>
        </w:tc>
        <w:tc>
          <w:tcPr>
            <w:tcBorders>
              <w:top w:val="none" w:color="000000" w:sz="4" w:space="0"/>
              <w:left w:val="none" w:color="000000" w:sz="4" w:space="0"/>
              <w:bottom w:val="none" w:color="000000" w:sz="4" w:space="0"/>
              <w:right w:val="single" w:color="000000" w:sz="8" w:space="0"/>
            </w:tcBorders>
            <w:tcMar>
              <w:left w:w="15" w:type="dxa"/>
              <w:top w:w="15" w:type="dxa"/>
              <w:right w:w="15" w:type="dxa"/>
              <w:bottom w:w="0" w:type="dxa"/>
            </w:tcMar>
            <w:tcW w:w="27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扣除20分/次</w:t>
            </w:r>
            <w:r/>
          </w:p>
        </w:tc>
        <w:tc>
          <w:tcPr>
            <w:tcBorders>
              <w:top w:val="none" w:color="000000" w:sz="4" w:space="0"/>
              <w:left w:val="none" w:color="000000" w:sz="4" w:space="0"/>
              <w:bottom w:val="none" w:color="000000" w:sz="4" w:space="0"/>
              <w:right w:val="single" w:color="000000" w:sz="8" w:space="0"/>
            </w:tcBorders>
            <w:tcMar>
              <w:left w:w="15" w:type="dxa"/>
              <w:top w:w="15" w:type="dxa"/>
              <w:right w:w="15" w:type="dxa"/>
              <w:bottom w:w="0" w:type="dxa"/>
            </w:tcMar>
            <w:tcW w:w="9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1312"/>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4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供应商内部员工盗窃或置换被拖吊车辆零配件或车上物品的，数量或金额较大的（如盗窃或置换整车、一次盗窃或置换电池10 个以上、盗窃车上物品估计价值超过1 万元的），同时追究供应商法律责任，且采购人可单方面解除合同</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2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扣除30分/次</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9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44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因供应商原因造成被拖吊车辆遗失或严重损坏（无法修复）的，供应商负责对车主给予损失赔偿。</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扣除10分/次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42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供应商内部员工违规使用被拖吊车辆或车上物品的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扣除5分/次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68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供应商违规收费的，因收费问题被当事人投诉并经调查确认供应商索要超标拖吊车费的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扣除5分/次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68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供应商违规收费的，己产生违规收费事实的：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（1）超标准收取拖吊车费及清理费的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扣除10分/次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56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（2）杜撰服务项目进行收费的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扣除15分/次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49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（3）当事人到相关部门进行投诉或起诉的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扣除20分/次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60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（4）造成负面舆情或新闻媒体曝光的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扣除30分/次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52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由于供应商原因未能及时完成清障的：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（1）在一般工作或安保工作任务中</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扣除5分/次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51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（2）造成交通堵塞的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扣除10分/次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68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（3）在重大安保或重大群体性活动中，造成堵塞50 米以上或影响车队快速通过</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扣除15分/次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47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（4）造成重大安保任务无法正常进行的，委托人可单方面解除合同，同时保留追究相应责任的权利。</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扣除30分/次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47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供应商不按投标文件承诺或委托人要求投入相应人力或清障车被交警在日常检查发现的，缺少作业人员</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每人次扣0.5 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2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作业人员要与相关当事人友好文明沟通，文明作业，发生辱骂等不文明行为的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扣除1分/次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54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在执行清障任务时，缺少必要的装备、设施，不符合规范安全防护要求的，按采购人要求实施整改</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扣除1分/次，对采购人工作造成影响的，扣除5分/次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97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供应商不按采购人要求使用清障车车载GPS、行车记录仪的， 或不按要求保存相关数据的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每次扣5分并限期整改；未按要求整改的，每延迟一天扣1 分，至整改至符合采购人要求为止。</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1439"/>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供应商不按采购人要求使用车辆停车保管系统的，包括硬件、人员配备及使用人员操作等</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每次扣1分并限期整改；不按采购人要求实施整改的，每延迟一天扣1分， 至整改至符合采购人要求止；影响系统正常运转的，每次扣5分。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68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供应商未按采购人要求备勤的（包括未按规定时间、地点、车型、人员配备备勤和自行收勤）</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扣除2分/次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68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在重大安保或重大群体性活动中，供应商未按采购人要求备勤的，当年度发生2起以上的，采购人可单方面解除合同</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扣除10分/次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99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采购人执法扣留的车辆，未经采购人允许，不得收取任何管理费用，如有收取，由采购人按收取费用的10倍在结算服务费时扣除</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扣除10分/次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166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奖分办法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供应商按规定及时上报保管车辆的台账且与平台登记的信息准确无误，经大队领导审核同意后每月奖励1分。半年制总评供应商评分超过95分（含95分）时， 服务费按100%支付。</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每月最高奖励1分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考核中队：　　　　　　　　　　　　　　　　　　　　负责人签字：</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1"/>
        </w:numPr>
        <w:jc w:val="center"/>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评分标准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取综合评分法，评标结果按评审后得分由高到低顺序排列。得分相同的，按投标报价由低到高（下浮率由高到低）顺序排列。得分且投标报价相同的，依次按评标标准中“车辆”、“特殊类型清障车辆”、“停车保管场地要求”、“人员配备”、“业绩”、“履约评价”、“服务方案”得分由高到低顺序排列。在投标文件满足招标文件全部实质性要求的供应商中，按照评审得分由高到低推荐3名中标候选人，采购人在评委会推荐的中标候选人中按顺序确定中标人。</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2"/>
        <w:gridCol w:w="1016"/>
        <w:gridCol w:w="6767"/>
        <w:gridCol w:w="8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6"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67"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评标标准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分值</w:t>
            </w:r>
            <w:r/>
          </w:p>
        </w:tc>
      </w:tr>
      <w:tr>
        <w:trPr>
          <w:trHeight w:val="20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价 格</w:t>
            </w:r>
            <w:r/>
          </w:p>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7" w:type="dxa"/>
            <w:vAlign w:val="center"/>
            <w:textDirection w:val="lrTb"/>
            <w:noWrap w:val="false"/>
          </w:tcPr>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用低价优先法计算，即满足招标文件要求（通过资格性审查和符合性审查）且最高优惠率为评标基准价，其价格分为满分。其他投标人的价格分按照下列公式计算：价格评分=（1-最高优惠率）/（1-投标优惠率）*15（小数点保留两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w:t>
            </w:r>
            <w:r/>
          </w:p>
        </w:tc>
      </w:tr>
      <w:tr>
        <w:trPr>
          <w:trHeight w:val="37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240"/>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6"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车辆</w:t>
            </w:r>
            <w:r/>
          </w:p>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7" w:type="dxa"/>
            <w:vAlign w:val="top"/>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配备的自有救援车辆及车型（指行驶证与供应商名称一致、且在年检有效期内的车辆），在满足文件基本要求的情况下，每增加一台自有30吨及以上大型吊机或30吨及以上大型专项作业车，得3分/辆；每增加一台自有5吨（含5吨）至10吨大中型专项作业车或2吨（含2吨）至3吨中小型专项作业车，得2分/辆；若为租赁车辆，得1分/辆，最高得5分；本项满分15分。</w:t>
            </w:r>
            <w:r/>
          </w:p>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（自有车辆提供车辆行驶证及保险扫描件并加盖投标单位公章，租赁车辆提供租赁合同并加盖投标单位公章（合同期不得少于本次采购合同）；相关资料须体现有效年检记录、吨位等相关信息）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w:t>
            </w:r>
            <w:r/>
          </w:p>
        </w:tc>
      </w:tr>
      <w:tr>
        <w:trPr>
          <w:trHeight w:val="4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240"/>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6"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特殊类型清障车辆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7" w:type="dxa"/>
            <w:vAlign w:val="top"/>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供应商提供自有的特殊类型清障车辆（采购人要求的四种车型以外的），每提供一辆车得2分，最多得6分。（提供以上车辆的照片、行驶证及车辆保险复印件并加盖投标单位公章，资料须能体现有效年检记录等相关信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6</w:t>
            </w:r>
            <w:r/>
          </w:p>
        </w:tc>
      </w:tr>
      <w:tr>
        <w:trPr>
          <w:trHeight w:val="11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240"/>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停车保管场地要求</w:t>
            </w:r>
            <w:r/>
          </w:p>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7" w:type="dxa"/>
            <w:vAlign w:val="top"/>
            <w:textDirection w:val="lrTb"/>
            <w:noWrap w:val="false"/>
          </w:tcPr>
          <w:p>
            <w:pPr>
              <w:ind w:left="0" w:right="232" w:firstLine="472"/>
              <w:spacing w:before="20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停车保管场地为供应商自有场地须提供合法有效证件或证明；如系租赁场地须提供与土地所有人签定的租赁合同</w:t>
            </w:r>
            <w:r>
              <w:rPr>
                <w:rFonts w:ascii="FangSong" w:hAnsi="FangSong" w:eastAsia="FangSong" w:cs="FangSong"/>
                <w:color w:val="000000"/>
                <w:sz w:val="24"/>
              </w:rPr>
              <w:t xml:space="preserve">（租期不得少于本次采购合同）</w:t>
            </w:r>
            <w:r>
              <w:rPr>
                <w:rFonts w:ascii="FangSong" w:hAnsi="FangSong" w:eastAsia="FangSong" w:cs="FangSong"/>
                <w:color w:val="000000"/>
                <w:spacing w:val="-2"/>
                <w:sz w:val="24"/>
              </w:rPr>
              <w:t xml:space="preserve">，同时提供土地合法有效证件或证明。如不是与土地所有人签定的转租合同，必须提供所有人的土地合法有效证件或证明，并由土地所有人对转租合同确认。（合同须有土地所有人印章和签名，土地合法有效证件或证明、转租合同须加盖土地所有人印章，提供不了相关证明材料本项不得分。）停车场面积／20000平方米×15分（小数点保留两位），本项满分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w:t>
            </w:r>
            <w:r/>
          </w:p>
        </w:tc>
      </w:tr>
      <w:tr>
        <w:trPr>
          <w:trHeight w:val="12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240"/>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人员配备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7" w:type="dxa"/>
            <w:vAlign w:val="top"/>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（1）供应商具有应急救援员的得3分，提供应急救援员职业资格证书以及供应商为其缴纳的近六个月（2025年11月-2026年04月）社保缴纳证明材料。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rPr>
                <w:rFonts w:ascii="FangSong" w:hAnsi="FangSong" w:eastAsia="FangSong" w:cs="FangSong"/>
                <w:color w:val="000000"/>
                <w:spacing w:val="-2"/>
                <w:sz w:val="24"/>
              </w:rPr>
              <w:t xml:space="preserve">驾驶员及作业人员配备：供应商须配备对应相关车型的准驾A1/A2/B1/B2类驾驶证，缺少一种准驾车型驾驶证此项不得分。具体分值按照下列公式计算：驾驶员及作业人员数／20人×10分（小数点保留两位），本项满分10分。（提供驾驶证复印件并加盖投标单位公章，以上人员均须提供社保机构出具的近六个月投（2025年11月-2026年04月）标申请人为其缴纳的社保缴费证明【加盖社保公章或具有可验证的二维码（或验证码）】，社保缴纳应体现养老、工伤、失业，或医疗、生育保险，疫情期间执行国家、省市相关政策，对社保缴费证明中出现</w:t>
            </w:r>
            <w:r>
              <w:rPr>
                <w:rFonts w:ascii="FangSong" w:hAnsi="FangSong" w:eastAsia="FangSong" w:cs="FangSong"/>
                <w:color w:val="000000"/>
                <w:spacing w:val="-2"/>
                <w:sz w:val="24"/>
              </w:rPr>
              <w:t xml:space="preserve">投标人为项目组成员缴纳金额为0或者非到账状态等情况，应视为有效。）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w:t>
            </w:r>
            <w:r/>
          </w:p>
        </w:tc>
      </w:tr>
      <w:tr>
        <w:trPr>
          <w:trHeight w:val="7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240"/>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7" w:type="dxa"/>
            <w:vAlign w:val="top"/>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同类项目经验:自2023年01月01日以来（含01月01日）完成的拖车项目得，每提供一个的得3分，满分9分。（提供合同扫描件并加盖公章，时间以合同签订时间为准，提供的相关证明材料必须能反映出相关数据和内容，否则视为未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w:t>
            </w:r>
            <w:r/>
          </w:p>
        </w:tc>
      </w:tr>
      <w:tr>
        <w:trPr>
          <w:trHeight w:val="7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240"/>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履约评价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7" w:type="dxa"/>
            <w:vAlign w:val="top"/>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完成的上述项目合同经用户评价表总体履约评价结果为“优秀”或满意或考核评分为95分及以上（100分制）的，每提供一个得2分，最高得4分。（提供用户评价表同时加盖服务单位业务章或公章扫描件并加盖投标单位电子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r>
      <w:tr>
        <w:trPr>
          <w:trHeight w:val="7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7" w:type="dxa"/>
            <w:vAlign w:val="top"/>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方案、运作流程：为采购人提供有针对性的服务方案，方案内容包含但不限于总体服务方案、运作流程、岗位管理、人员分配、与前服务单位的交接以及合同到期后的交接工作安排等：方案完整，并优于其他供应商新颖思路的得6分；方案较完整，较满足采购人需求的得4分；方案基本完整，基本满足采购人需求得2分；方案不满足采购人需求或操作性较差的得1分；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7" w:type="dxa"/>
            <w:vAlign w:val="top"/>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服务措施及服务承诺：</w:t>
            </w:r>
            <w:r/>
          </w:p>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供应商的从业经验、优势，对项目情况的了解程度，以及目前拥有和拟投入的清障能力、保障措施、结合溧水区的实际情况制定响应应急措施、安全保证措施等方面进行评审：制订的保障措施、应急措施、安全保证措施合理可行、针对性强的，得6分；制订的保障措施、应急措施、安全保证措施较合理的，得4分；制订的保障措施、应急措施、安全保证措施简单，缺乏针对性的，得2分；制订的保障措施、应急措施、安全保证措施不完整或操作性较差的得1分；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r>
      <w:tr>
        <w:trPr>
          <w:trHeight w:val="8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7" w:type="dxa"/>
            <w:vAlign w:val="top"/>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响应时间：</w:t>
            </w:r>
            <w:r/>
          </w:p>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供应商提供的售后服务体系、服务方式、服务响应时间等方面进行综合评定，方案完整，可操作性的得6分；方案较完整，可操作性较强的得4分；方案基本完整，基本符合采购需求的得2分；方案不完整或操作性较差的得1分；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r>
      <w:tr>
        <w:trPr>
          <w:trHeight w:val="18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7" w:type="dxa"/>
            <w:vAlign w:val="top"/>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突发事件应急处理预案：突发事件应急处理预案完备健全，对本服务项目针对性强，具有实际可操作性的得5分；突发事件应急处理预案较完备健全，对本服务项目针对性较强，有一定的实际可操作性的得3分；预案不完备、不健全，对本服务针对性不强，不具有实际可操作性的得1分；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r>
    </w:tbl>
    <w:p>
      <w:pPr>
        <w:ind w:left="0" w:right="0" w:firstLine="2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312"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312"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312"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1、实质性要求不得负偏离，否则，按照无效报价处理。</w:t>
      </w:r>
      <w:r/>
    </w:p>
    <w:p>
      <w:pPr>
        <w:ind w:left="0" w:right="-312"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2、对国家认定的节能产品和环保产品分别给予报价的 5%价格扣除，用扣除后的价格参与评审 （ 特 别 说 明 ： 节 能 、 环 保 产 品 必 须 纳 入 “ 中 国 政 府 采 购 网http://www.ccgp.gov.cn”等官方网站“节能、环保产品查询系统”，且以提供的证书扫描件为准）。</w:t>
      </w:r>
      <w:r/>
    </w:p>
    <w:p>
      <w:pPr>
        <w:ind w:left="0" w:right="-312"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3、小微企业的价格扣除</w:t>
      </w:r>
      <w:r/>
    </w:p>
    <w:p>
      <w:pPr>
        <w:ind w:left="0" w:right="-312"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3.1.对小微企业生产的产品给予报价的 10%价格扣除，用扣除后的价格参与评审。</w:t>
      </w:r>
      <w:r/>
    </w:p>
    <w:p>
      <w:pPr>
        <w:ind w:left="0" w:right="-312"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3.2大中型企业和其他自然人、法人或者其他组织与小型、微型企业组成联合体共同参加磋商，如果联合协议中约定，小型、微型企业的协议合同金额占到联合体协议合同总金额 30%以上的，给予联合体 2%的价格扣除。联合体各方均为小型、微型企业的， 联合体视同为小型、微型企业享受 6%价格扣除，用扣除后的价格参与评审。小企业（含小型、微型企业）应当同时符合以下条件：</w:t>
      </w:r>
      <w:r/>
    </w:p>
    <w:p>
      <w:pPr>
        <w:ind w:left="0" w:right="-312"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3.3小企业（含小型、微型企业）应当同时符合以下条件：</w:t>
      </w:r>
      <w:r/>
    </w:p>
    <w:p>
      <w:pPr>
        <w:ind w:left="0" w:right="-312"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（1）供应商为小企业，且符合中小企业划分标准；</w:t>
      </w:r>
      <w:r/>
    </w:p>
    <w:p>
      <w:pPr>
        <w:ind w:left="0" w:right="-312"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（2）提供本企业制造的货物、承担的工程或者服务，或者提供其他小企业制造的货物。如果提供的货物为大中型企业注册商标的货物，视同大中型企业。</w:t>
      </w:r>
      <w:r/>
    </w:p>
    <w:p>
      <w:pPr>
        <w:ind w:left="0" w:right="-312"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4、监狱和戒毒企业的价格扣除</w:t>
      </w:r>
      <w:r/>
    </w:p>
    <w:p>
      <w:pPr>
        <w:ind w:left="0" w:right="-312"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4.1本项目对监狱和戒毒企业（简称监狱企业），给予10%的价格扣除，用扣除后的价格参与评审。</w:t>
      </w:r>
      <w:r/>
    </w:p>
    <w:p>
      <w:pPr>
        <w:ind w:left="0" w:right="-312"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4.2监狱企业需提供由省级以上监狱管理局、戒毒管理局（含新疆生产建设兵团）出具的属于监狱企业的证明文件。</w:t>
      </w:r>
      <w:r/>
    </w:p>
    <w:p>
      <w:pPr>
        <w:ind w:left="0" w:right="-312"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4.3监狱企业标准请参照《关于政府采购支持监狱企业发展有关问题的通知》（财库[2014]68 号）。</w:t>
      </w:r>
      <w:r/>
    </w:p>
    <w:p>
      <w:pPr>
        <w:ind w:left="0" w:right="-312"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5、残疾人福利性单位的价格扣除</w:t>
      </w:r>
      <w:r/>
    </w:p>
    <w:p>
      <w:pPr>
        <w:ind w:left="0" w:right="-312"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本项目对残疾人福利性单位，给予 10%的价格扣除，用扣除后的价格参与评审。残疾人福利单位需按照采购文件的要求提供《残疾人福利性单位声明函》。残疾人福利单位标准请参照《关于促进残疾人就业政府采购政策的通知》（财库〔2017〕141 号）。</w:t>
      </w:r>
      <w:r/>
    </w:p>
    <w:p>
      <w:pPr>
        <w:ind w:left="0" w:right="-312"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6、监狱企业、残疾人福利单位属于小型、微型企业的，不重复享受政策。</w:t>
      </w:r>
      <w:r/>
    </w:p>
    <w:p>
      <w:pPr>
        <w:ind w:left="0" w:right="-312"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7、对本国产品的支持政策</w:t>
      </w:r>
      <w:r/>
    </w:p>
    <w:p>
      <w:pPr>
        <w:ind w:left="0" w:right="-312"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7.1政府采购活动中既有本国产品又有非本国产品参与竞争的，依法对本国产品给予价格评审优惠，对本国产品的报价给予20%的价格扣除，用扣除后的价格参与评审。</w:t>
      </w:r>
      <w:r/>
    </w:p>
    <w:p>
      <w:pPr>
        <w:ind w:left="0" w:right="-312"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312"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所有认证、证明和业绩均以有效的证明文件的复印件（加盖公章）为依据，原件备查。如有提供虚假信息、证明、合同或证书等虚假资料的，按照无效投标处理，如已签署合同的，则中止合同并承担相应法律责任，并依据相关规定在三年内取消其参加南京市政府采购项目的投标资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17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17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17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17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17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17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17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17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17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17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17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17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17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第五章合同主要条款及格式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191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合同编号 ：</w:t>
      </w:r>
      <w:r>
        <w:rPr>
          <w:rFonts w:ascii="SimSun" w:hAnsi="SimSun" w:eastAsia="SimSun" w:cs="SimSun"/>
          <w:b/>
          <w:color w:val="000000"/>
          <w:sz w:val="36"/>
          <w:u w:val="single"/>
        </w:rPr>
        <w:t xml:space="preserve">                    </w:t>
      </w:r>
      <w:r/>
    </w:p>
    <w:p>
      <w:pPr>
        <w:ind w:left="0" w:right="0" w:firstLine="191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 ：</w:t>
      </w:r>
      <w:r>
        <w:rPr>
          <w:rFonts w:ascii="SimSun" w:hAnsi="SimSun" w:eastAsia="SimSun" w:cs="SimSun"/>
          <w:b/>
          <w:color w:val="000000"/>
          <w:sz w:val="36"/>
          <w:u w:val="single"/>
        </w:rPr>
        <w:t xml:space="preserve">                    </w:t>
      </w:r>
      <w:r/>
    </w:p>
    <w:p>
      <w:pPr>
        <w:ind w:left="0" w:right="0" w:firstLine="191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 ：</w:t>
      </w:r>
      <w:r>
        <w:rPr>
          <w:rFonts w:ascii="SimSun" w:hAnsi="SimSun" w:eastAsia="SimSun" w:cs="SimSun"/>
          <w:b/>
          <w:color w:val="000000"/>
          <w:sz w:val="36"/>
          <w:u w:val="single"/>
        </w:rPr>
        <w:t xml:space="preserve">                    </w:t>
      </w:r>
      <w:r/>
    </w:p>
    <w:p>
      <w:pPr>
        <w:ind w:left="0" w:right="0" w:firstLine="191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 ：</w:t>
      </w:r>
      <w:r>
        <w:rPr>
          <w:rFonts w:ascii="SimSun" w:hAnsi="SimSun" w:eastAsia="SimSun" w:cs="SimSun"/>
          <w:b/>
          <w:color w:val="000000"/>
          <w:sz w:val="36"/>
          <w:u w:val="single"/>
        </w:rPr>
        <w:t xml:space="preserve">                    </w:t>
      </w:r>
      <w:r/>
    </w:p>
    <w:p>
      <w:pPr>
        <w:ind w:left="0" w:right="0" w:firstLine="191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91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91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签订日期 ：</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124" w:after="18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103" w:firstLine="480"/>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以下为成交后签订本项目合同的通用条款，成交供应商不得提出实质性的修改，关于专用条款将由采购人与成交供应商结合本项目具体情况协商后签订。</w:t>
      </w:r>
      <w:r/>
    </w:p>
    <w:p>
      <w:pPr>
        <w:ind w:left="0" w:right="103" w:firstLine="480"/>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项目名称：交通事故、违法车辆清拖和保管服务</w:t>
      </w:r>
      <w:r/>
    </w:p>
    <w:p>
      <w:pPr>
        <w:ind w:left="0" w:right="103" w:firstLine="480"/>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p>
      <w:pPr>
        <w:ind w:left="0" w:right="103" w:firstLine="480"/>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采购人（以下简称甲方）：</w:t>
      </w:r>
      <w:r>
        <w:rPr>
          <w:rFonts w:ascii="SimSun" w:hAnsi="SimSun" w:eastAsia="SimSun" w:cs="SimSun"/>
          <w:color w:val="000000"/>
          <w:sz w:val="24"/>
          <w:u w:val="single"/>
        </w:rPr>
        <w:t xml:space="preserve">                       </w:t>
      </w:r>
      <w:r/>
    </w:p>
    <w:p>
      <w:pPr>
        <w:ind w:left="0" w:right="103" w:firstLine="480"/>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供应商（以下简称乙方）：</w:t>
      </w:r>
      <w:r>
        <w:rPr>
          <w:rFonts w:ascii="SimSun" w:hAnsi="SimSun" w:eastAsia="SimSun" w:cs="SimSun"/>
          <w:color w:val="000000"/>
          <w:sz w:val="24"/>
          <w:u w:val="single"/>
        </w:rPr>
        <w:t xml:space="preserve">                      </w:t>
      </w:r>
      <w:r/>
    </w:p>
    <w:p>
      <w:pPr>
        <w:ind w:left="0" w:right="103" w:firstLine="480"/>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w:t>
      </w:r>
      <w:r>
        <w:rPr>
          <w:rFonts w:ascii="SimSun" w:hAnsi="SimSun" w:eastAsia="SimSun" w:cs="SimSun"/>
          <w:color w:val="000000"/>
          <w:sz w:val="24"/>
          <w:u w:val="single"/>
        </w:rPr>
        <w:t xml:space="preserve">      （项目名称）    （项目编号）</w:t>
      </w:r>
      <w:r>
        <w:rPr>
          <w:rFonts w:ascii="SimSun" w:hAnsi="SimSun" w:eastAsia="SimSun" w:cs="SimSun"/>
          <w:color w:val="000000"/>
          <w:sz w:val="24"/>
        </w:rPr>
        <w:t xml:space="preserve">采购的结果，签署本合同。</w:t>
      </w:r>
      <w:r/>
    </w:p>
    <w:p>
      <w:pPr>
        <w:ind w:left="114" w:right="146"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一、采购标的</w:t>
      </w:r>
      <w:r/>
    </w:p>
    <w:p>
      <w:pPr>
        <w:ind w:left="594" w:right="272" w:firstLine="0"/>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片区：</w:t>
      </w:r>
      <w:r/>
    </w:p>
    <w:p>
      <w:pPr>
        <w:ind w:left="594" w:right="272" w:firstLine="0"/>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产品/服务内容：</w:t>
      </w:r>
      <w:r>
        <w:rPr>
          <w:rFonts w:ascii="SimSun" w:hAnsi="SimSun" w:eastAsia="SimSun" w:cs="SimSun"/>
          <w:b/>
          <w:color w:val="000000"/>
          <w:sz w:val="24"/>
          <w:u w:val="single"/>
        </w:rPr>
        <w:t xml:space="preserve">交通事故、违法车辆清拖和保管服务</w:t>
      </w:r>
      <w:r>
        <w:rPr>
          <w:rFonts w:ascii="SimSun" w:hAnsi="SimSun" w:eastAsia="SimSun" w:cs="SimSun"/>
          <w:color w:val="000000"/>
          <w:sz w:val="24"/>
          <w:u w:val="single"/>
        </w:rPr>
        <w:t xml:space="preserve"> </w:t>
      </w:r>
      <w:r/>
    </w:p>
    <w:p>
      <w:pPr>
        <w:ind w:left="0" w:right="272" w:firstLine="480"/>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服务期限：本项目服务期限三年，合同一年一签，本期合同自    年月日至年月日。</w:t>
      </w:r>
      <w:r/>
    </w:p>
    <w:p>
      <w:pPr>
        <w:ind w:left="114" w:right="146"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0" w:right="103" w:firstLine="480"/>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本合同优惠率为：</w:t>
      </w:r>
      <w:r>
        <w:rPr>
          <w:rFonts w:ascii="SimSun" w:hAnsi="SimSun" w:eastAsia="SimSun" w:cs="SimSun"/>
          <w:color w:val="000000"/>
          <w:spacing w:val="-1"/>
          <w:sz w:val="24"/>
          <w:u w:val="single"/>
        </w:rPr>
        <w:tab/>
        <w:t xml:space="preserve">   %</w:t>
      </w:r>
      <w:r>
        <w:rPr>
          <w:rFonts w:ascii="SimSun" w:hAnsi="SimSun" w:eastAsia="SimSun" w:cs="SimSun"/>
          <w:color w:val="000000"/>
          <w:sz w:val="24"/>
        </w:rPr>
        <w:t xml:space="preserve">。本合同价款包含所有乙方提供合同约定产品和服务的报酬及乙方提供合同中产品和服务所支出的必要费用，甲方在上述合同价款之外不再向乙方支付其他任何费用。</w:t>
      </w:r>
      <w:r/>
    </w:p>
    <w:p>
      <w:pPr>
        <w:ind w:left="114" w:right="146"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三、服务地点</w:t>
      </w:r>
      <w:r/>
    </w:p>
    <w:p>
      <w:pPr>
        <w:ind w:left="114" w:right="5390" w:firstLine="480"/>
        <w:jc w:val="both"/>
        <w:spacing w:before="0" w:after="0" w:line="499" w:lineRule="atLeast"/>
        <w:tabs>
          <w:tab w:val="left" w:pos="37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服务地点：</w:t>
      </w:r>
      <w:r>
        <w:rPr>
          <w:rFonts w:ascii="SimSun" w:hAnsi="SimSun" w:eastAsia="SimSun" w:cs="SimSun"/>
          <w:color w:val="000000"/>
          <w:sz w:val="24"/>
          <w:u w:val="single"/>
        </w:rPr>
        <w:tab/>
      </w:r>
      <w:r/>
    </w:p>
    <w:p>
      <w:pPr>
        <w:ind w:left="594" w:right="4232" w:hanging="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四、合同款支付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拖吊车辆、清障服务及车辆保管服务费用每月结算，每半年支付一次。第四个季度对年度服务进行审计（由采购人委托第三方予以审计），按审计结果支付，供应商有义务配合采购人做好相关审计工作，由于供应商的原因导致审计不符合要求，不能按时付款，采购人不承担责任。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（二）除合同中规定的拖吊车、清障作业及定点保管费用外，采购人不再向供应商额外支付任何费用；供应商自行购置清障工作所需的各种设备，以及负责人工费用和各项开支。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（三）支付程序。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（1）供应商每月10日前须提供上月产生的费用清单交采购人确认，经确认的费用清单作为结算依据，逾期未提供费用清单的，视为自愿放弃上月服务费用。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（2）每半年凭审计报告支付一次，中标供应商应10日内提交前半年报账表及相关资料给采购人进行审计审核。</w:t>
      </w:r>
      <w:r/>
    </w:p>
    <w:p>
      <w:pPr>
        <w:ind w:left="114" w:right="146"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五、质量保证</w:t>
      </w:r>
      <w:r/>
    </w:p>
    <w:p>
      <w:pPr>
        <w:ind w:left="0" w:right="114" w:firstLine="480"/>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乙方所提供的服务的技术规格应与招标（采购）文件规定的技术规格及所附的“技</w:t>
      </w:r>
      <w:r>
        <w:rPr>
          <w:rFonts w:ascii="SimSun" w:hAnsi="SimSun" w:eastAsia="SimSun" w:cs="SimSun"/>
          <w:color w:val="000000"/>
          <w:sz w:val="24"/>
        </w:rPr>
        <w:t xml:space="preserve">术规格响应表”相一致；若技术性能无特殊说明，则按国家有关部门最新颁布的标准及规范为准。</w:t>
      </w:r>
      <w:r/>
    </w:p>
    <w:p>
      <w:pPr>
        <w:ind w:left="114" w:right="146"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六、交付和验收</w:t>
      </w:r>
      <w:r/>
    </w:p>
    <w:p>
      <w:pPr>
        <w:ind w:left="0" w:right="103" w:firstLine="480"/>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1.乙方应当在合同签订后 7 个工作日内完成相关交接事项。</w:t>
      </w:r>
      <w:r/>
    </w:p>
    <w:p>
      <w:pPr>
        <w:ind w:left="0" w:right="103" w:firstLine="480"/>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2.验收标准：按行业通行标准和乙方投标（响应）文件的承诺（详见合同附件载明的标准，并不低于国家相关标准）。</w:t>
      </w:r>
      <w:r/>
    </w:p>
    <w:p>
      <w:pPr>
        <w:ind w:left="594" w:right="992" w:hanging="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七、甲方的权利与义务 </w:t>
      </w:r>
      <w:r/>
    </w:p>
    <w:p>
      <w:pPr>
        <w:ind w:left="0" w:right="103" w:firstLine="480"/>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1、甲方有权要求乙方按照甲方规定的要求对涉案车辆、物品进行保管。</w:t>
      </w:r>
      <w:r/>
    </w:p>
    <w:p>
      <w:pPr>
        <w:ind w:left="0" w:right="103" w:firstLine="480"/>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2、甲方及其上级主管部门有权对乙方进行监督，并对乙方保管行为实行半年制考评制度。</w:t>
      </w:r>
      <w:r/>
    </w:p>
    <w:p>
      <w:pPr>
        <w:ind w:left="0" w:right="103" w:firstLine="480"/>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3、甲方有权从乙方保管费中扣除考评不达标的违约金。</w:t>
      </w:r>
      <w:r/>
    </w:p>
    <w:p>
      <w:pPr>
        <w:ind w:left="0" w:right="103" w:firstLine="480"/>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4、甲方委派专人负责对涉案车辆保管进行监督管理、评价考核和对接工作。</w:t>
      </w:r>
      <w:r/>
    </w:p>
    <w:p>
      <w:pPr>
        <w:ind w:left="0" w:right="103" w:firstLine="480"/>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5、甲方应约束、培训所属执法人员依法履行职务。</w:t>
      </w:r>
      <w:r/>
    </w:p>
    <w:p>
      <w:pPr>
        <w:ind w:left="0" w:right="103" w:firstLine="480"/>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6、甲方应按约定期限向乙方支付保管费。 </w:t>
      </w:r>
      <w:r/>
    </w:p>
    <w:p>
      <w:pPr>
        <w:ind w:left="0" w:right="103" w:firstLine="480"/>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7、甲方在接到投诉并核查确有车辆损毁、车辆内财务丢失、车辆零件丢失、车辆被偷开等事件发生时，甲方有权要求乙方按照相应价值进行赔偿。每核实一起事件，甲方都有权扣除乙方当季服务费用的2%的。</w:t>
      </w:r>
      <w:r/>
    </w:p>
    <w:p>
      <w:pPr>
        <w:ind w:left="594" w:right="992" w:hanging="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八、乙方的权利与义务</w:t>
      </w:r>
      <w:r/>
    </w:p>
    <w:p>
      <w:pPr>
        <w:ind w:left="0" w:right="103" w:firstLine="480"/>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1、乙方有权向甲方提出合理化建议。</w:t>
      </w:r>
      <w:r/>
    </w:p>
    <w:p>
      <w:pPr>
        <w:ind w:left="0" w:right="103" w:firstLine="480"/>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严格遵守甲方关于涉案车辆、财务管理的相关规定，统一使用甲方制作的涉案车辆出入场登记台账入场签收单、涉案车辆移送登记台账对入出车辆进行登记、保管、移送。一律凭甲方盖（公）章的格式放车单发还涉案车辆。每天认真清点车辆和核对登记台账，保证实际车辆与登记台账数量、内容完全一致。</w:t>
      </w:r>
      <w:r/>
    </w:p>
    <w:p>
      <w:pPr>
        <w:ind w:left="0" w:right="103" w:firstLine="480"/>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3、车型分类存放，涉案车辆、事故车辆分类存放，分别建立保管台账。</w:t>
      </w:r>
      <w:r/>
    </w:p>
    <w:p>
      <w:pPr>
        <w:ind w:left="0" w:right="103" w:firstLine="480"/>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在涉案车辆保管场所悬挂合法的营业执照，场地内全方位安装了监控，配备足够数量的灭火器等救援设备，监控及安全防护设施齐全有效，有完善的安全管制及巡查措施，具备防雨、防晒、防火、防盗、防水淹等管理设施，保证停车场地的正常安全使用。门卫落实 24 小时值守制度。</w:t>
      </w:r>
      <w:r/>
    </w:p>
    <w:p>
      <w:pPr>
        <w:ind w:left="0" w:right="103" w:firstLine="480"/>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5、乙方一个月组织一次内部施救、救援业务培训，能够更好地配合交警完成救援任务。公司清障车辆由专人保养，确保运行安全。</w:t>
      </w:r>
      <w:r/>
    </w:p>
    <w:p>
      <w:pPr>
        <w:ind w:left="0" w:right="103" w:firstLine="480"/>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6、公司员工 24 小时随时待命，能够及时到达现场配合交警开展救援、清障等工作。</w:t>
      </w:r>
      <w:r/>
    </w:p>
    <w:p>
      <w:pPr>
        <w:ind w:left="0" w:right="103" w:firstLine="480"/>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7、对涉案、涉事车辆，不得违反规定收取当事人代驾、拖移及车辆停放等费用。</w:t>
      </w:r>
      <w:r/>
    </w:p>
    <w:p>
      <w:pPr>
        <w:ind w:left="0" w:right="103" w:firstLine="480"/>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8、乙方对甲方车辆造成的灭失或毁损应按照车辆相应价值进行赔偿。对零部件缺失的，恢复原状，不能恢复原状的，按新部件赔偿。并承担与之相关的一切合理费用。</w:t>
      </w:r>
      <w:r/>
    </w:p>
    <w:p>
      <w:pPr>
        <w:ind w:left="594" w:right="992" w:hanging="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九、税费</w:t>
      </w:r>
      <w:r/>
    </w:p>
    <w:p>
      <w:pPr>
        <w:ind w:left="0" w:right="103" w:firstLine="480"/>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本合同执行中相关的一切税费均由乙方负担。</w:t>
      </w:r>
      <w:r/>
    </w:p>
    <w:p>
      <w:pPr>
        <w:ind w:left="594" w:right="992" w:hanging="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十、违约责任</w:t>
      </w:r>
      <w:r/>
    </w:p>
    <w:p>
      <w:pPr>
        <w:ind w:left="0" w:right="102" w:firstLine="482"/>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1.甲方无正当理由拒收服务、拒付服务款项的，甲方向乙方偿付合同总价的 10%违约金。</w:t>
      </w:r>
      <w:r/>
    </w:p>
    <w:p>
      <w:pPr>
        <w:ind w:left="0" w:right="102" w:firstLine="482"/>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2.如乙方不能交付服务的，甲方有权扣除未支付服务费；同时乙方应向甲方支付合同总价10%的违约金。 </w:t>
      </w:r>
      <w:r/>
    </w:p>
    <w:p>
      <w:pPr>
        <w:ind w:left="0" w:right="102" w:firstLine="482"/>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3.乙方所交付的服务不符合合同规定的，甲方有权解除合同，乙方应向甲方支付合同总款10%的违约金。</w:t>
      </w:r>
      <w:r/>
    </w:p>
    <w:p>
      <w:pPr>
        <w:ind w:left="0" w:right="102" w:firstLine="482"/>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4.乙方未按本合同的规定和服务承诺提供相应服务的，应按合同总价款的10%向甲方承担违约责任。 </w:t>
      </w:r>
      <w:r/>
    </w:p>
    <w:p>
      <w:pPr>
        <w:ind w:left="0" w:right="102" w:firstLine="482"/>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5.乙方在承担上述2-4款一项或多项违约责任后，仍应继续履行合同规定的义务（甲方解除合同的除外）。甲方未能及时追究乙方的任何一项违约责任并不表明甲方放弃追究乙方该项或其他违约责任。 </w:t>
      </w:r>
      <w:r/>
    </w:p>
    <w:p>
      <w:pPr>
        <w:ind w:left="0" w:right="102" w:firstLine="482"/>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6.乙方响应属虚假承诺，或提供的服务不能满足投标（响应）文件要求，或是由于乙方的过错造成合同无法继续履行的，乙方应向甲方支付不少于合同总价10%赔偿金。</w:t>
      </w:r>
      <w:r/>
    </w:p>
    <w:p>
      <w:pPr>
        <w:ind w:left="594" w:right="992" w:hanging="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十一、相关安全责任</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1、在整个清拖清障吊运作业以及车辆保管过程中（包括场地安全），造成的所有人身伤亡、财产损失等相关法律责任和经济赔偿责任均由乙方自行承担并依法妥善处置，与甲方无关。</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2、因现场安全防护、事故现场清理不到位等导致的二次事故均由中标供应商自行承担相关责任和善后处置。</w:t>
      </w:r>
      <w:r/>
    </w:p>
    <w:p>
      <w:pPr>
        <w:ind w:left="594" w:right="992" w:hanging="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十二、考核措施</w:t>
      </w:r>
      <w:r/>
    </w:p>
    <w:p>
      <w:pPr>
        <w:ind w:left="0" w:right="0" w:firstLine="480"/>
        <w:jc w:val="both"/>
        <w:spacing w:before="0" w:after="0" w:line="5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甲方有权将乙方在合同服务期内违反合同规定的各种情况进行登记，建立诚信档案，制作半年制考评表，按考评表分数比例扣减相应服务费用。南京市公安局溧水分局交通事故违法车辆清拖和保管服务考核评分表见附件。</w:t>
      </w:r>
      <w:r/>
    </w:p>
    <w:p>
      <w:pPr>
        <w:ind w:left="0" w:right="0" w:firstLine="480"/>
        <w:jc w:val="both"/>
        <w:spacing w:before="0" w:after="0" w:line="5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2.考评表评分按百分制，每半年为一个计分周期。当得分低于60分的，视为不合格，甲方有权解除合同。</w:t>
      </w:r>
      <w:r/>
    </w:p>
    <w:p>
      <w:pPr>
        <w:ind w:left="0" w:right="0" w:firstLine="480"/>
        <w:jc w:val="both"/>
        <w:spacing w:before="0" w:after="0" w:line="5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3.乙方服务费支付比例和考核情况挂钩：</w:t>
      </w:r>
      <w:r/>
    </w:p>
    <w:p>
      <w:pPr>
        <w:ind w:left="0" w:right="0" w:firstLine="480"/>
        <w:jc w:val="both"/>
        <w:spacing w:before="0" w:after="0" w:line="5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（1）按总评分数支付相同比例的服务费。例如半年得分为85.2分的，支付服务费时则按85.2%支付半年服务费，依此类推；</w:t>
      </w:r>
      <w:r/>
    </w:p>
    <w:p>
      <w:pPr>
        <w:ind w:left="0" w:right="0" w:firstLine="480"/>
        <w:jc w:val="both"/>
        <w:spacing w:before="0" w:after="0" w:line="5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（2）当总评95分或95分以上的，按100%支付半年服务费：</w:t>
      </w:r>
      <w:r/>
    </w:p>
    <w:p>
      <w:pPr>
        <w:ind w:left="0" w:right="0" w:firstLine="480"/>
        <w:jc w:val="both"/>
        <w:spacing w:before="0" w:after="0" w:line="5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4.甲方半年制作考评总表，作为结算依据之一。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16" w:firstLine="0"/>
        <w:jc w:val="both"/>
        <w:spacing w:before="36"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十三、不可抗力事件处理 </w:t>
      </w:r>
      <w:r/>
    </w:p>
    <w:p>
      <w:pPr>
        <w:ind w:left="0" w:right="103"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有效期内，任何一方因不可抗力事件导致不能履行合同，则合同履行期延长，其延长期与不可抗力影响期相同。不可抗力事件发生后，应立即通知对方，并寄送有关权威机构出具的证明。不可抗力事件延续120天以上，双方应通过友好协商，确定是否继续履行合同。</w:t>
      </w:r>
      <w:r/>
    </w:p>
    <w:p>
      <w:pPr>
        <w:ind w:left="594" w:right="216" w:hanging="480"/>
        <w:jc w:val="both"/>
        <w:spacing w:before="36"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十四、诉讼</w:t>
      </w:r>
      <w:r/>
    </w:p>
    <w:p>
      <w:pPr>
        <w:ind w:left="0" w:right="103"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双方在执行合同中所发生的一切争议，应通过协商解决。如协商不成，可向甲方所在地法院起诉。</w:t>
      </w:r>
      <w:r/>
    </w:p>
    <w:p>
      <w:pPr>
        <w:ind w:left="594" w:right="227" w:hanging="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十五、合同生效及其它 </w:t>
      </w:r>
      <w:r/>
    </w:p>
    <w:p>
      <w:pPr>
        <w:ind w:left="0" w:right="102" w:firstLine="482"/>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（一）合同正本一式四份，甲、乙双方各执二份。</w:t>
      </w:r>
      <w:r/>
    </w:p>
    <w:p>
      <w:pPr>
        <w:ind w:left="0" w:right="102" w:firstLine="482"/>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（二）如需修改或补充合同内容，经协商，双方应签署书面修改或补充协议，该协议将作为本合同的一个组成部分。</w:t>
      </w:r>
      <w:r/>
    </w:p>
    <w:p>
      <w:pPr>
        <w:ind w:left="0" w:right="102" w:firstLine="482"/>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（三）下列文件构成本合同的组成部分：</w:t>
      </w:r>
      <w:r/>
    </w:p>
    <w:p>
      <w:pPr>
        <w:ind w:left="0" w:right="102" w:firstLine="482"/>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合同主要条款 </w:t>
      </w:r>
      <w:r/>
    </w:p>
    <w:p>
      <w:pPr>
        <w:ind w:left="0" w:right="102" w:firstLine="482"/>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成交通知书</w:t>
      </w:r>
      <w:r/>
    </w:p>
    <w:p>
      <w:pPr>
        <w:ind w:left="0" w:right="102" w:firstLine="482"/>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公开招标文件</w:t>
      </w:r>
      <w:r/>
    </w:p>
    <w:p>
      <w:pPr>
        <w:ind w:left="0" w:right="102" w:firstLine="482"/>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供应商响应文件（含询标记录和优惠条件）</w:t>
      </w:r>
      <w:r/>
    </w:p>
    <w:p>
      <w:pPr>
        <w:ind w:left="0" w:right="102" w:firstLine="482"/>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合同补充条款或说明（如有）</w:t>
      </w:r>
      <w:r/>
    </w:p>
    <w:p>
      <w:pPr>
        <w:ind w:left="594" w:right="227" w:hanging="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十四、合同解除：</w:t>
      </w:r>
      <w:r/>
    </w:p>
    <w:p>
      <w:pPr>
        <w:ind w:left="0" w:right="103"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1、乙方在甲方月度评价考核中一年内有两次不合格情形的,甲方可以单方面解除合同。</w:t>
      </w:r>
      <w:r/>
    </w:p>
    <w:p>
      <w:pPr>
        <w:ind w:left="0" w:right="103"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2、保管期间,被保管车辆被盗抢或被偷换的,甲方有权终止合同。</w:t>
      </w:r>
      <w:r/>
    </w:p>
    <w:p>
      <w:pPr>
        <w:ind w:left="0" w:right="103"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3、甲乙双方中的任何一方中止、解除合同的,应提前一个月书面告知对方。</w:t>
      </w:r>
      <w:r/>
    </w:p>
    <w:p>
      <w:pPr>
        <w:ind w:left="0" w:right="86" w:firstLine="403"/>
        <w:spacing w:before="240" w:after="1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61"/>
        <w:gridCol w:w="4661"/>
      </w:tblGrid>
      <w:tr>
        <w:trPr>
          <w:trHeight w:val="62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61" w:type="dxa"/>
            <w:vAlign w:val="top"/>
            <w:textDirection w:val="lrTb"/>
            <w:noWrap w:val="false"/>
          </w:tcPr>
          <w:p>
            <w:pPr>
              <w:ind w:left="0" w:right="86" w:firstLine="403"/>
              <w:spacing w:before="200" w:after="1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甲方（委托方）：</w:t>
            </w:r>
            <w:r/>
          </w:p>
          <w:p>
            <w:pPr>
              <w:ind w:left="0" w:right="86" w:firstLine="403"/>
              <w:spacing w:before="200" w:after="1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61" w:type="dxa"/>
            <w:vAlign w:val="top"/>
            <w:textDirection w:val="lrTb"/>
            <w:noWrap w:val="false"/>
          </w:tcPr>
          <w:p>
            <w:pPr>
              <w:ind w:left="0" w:right="86" w:firstLine="403"/>
              <w:spacing w:before="200" w:after="1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p>
            <w:pPr>
              <w:ind w:left="0" w:right="86" w:firstLine="403"/>
              <w:spacing w:before="200" w:after="1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（盖章）</w:t>
            </w:r>
            <w:r/>
          </w:p>
        </w:tc>
      </w:tr>
      <w:tr>
        <w:trPr>
          <w:trHeight w:val="62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61" w:type="dxa"/>
            <w:vAlign w:val="bottom"/>
            <w:textDirection w:val="lrTb"/>
            <w:noWrap w:val="false"/>
          </w:tcPr>
          <w:p>
            <w:pPr>
              <w:ind w:left="0" w:right="86" w:firstLine="403"/>
              <w:spacing w:before="200" w:after="1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法定或委托代表人：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61" w:type="dxa"/>
            <w:vAlign w:val="bottom"/>
            <w:textDirection w:val="lrTb"/>
            <w:noWrap w:val="false"/>
          </w:tcPr>
          <w:p>
            <w:pPr>
              <w:ind w:left="0" w:right="86" w:firstLine="403"/>
              <w:spacing w:before="200" w:after="1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法定或委托代表人：</w:t>
            </w:r>
            <w:r/>
          </w:p>
        </w:tc>
      </w:tr>
      <w:tr>
        <w:trPr>
          <w:trHeight w:val="45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61" w:type="dxa"/>
            <w:vAlign w:val="bottom"/>
            <w:textDirection w:val="lrTb"/>
            <w:noWrap w:val="false"/>
          </w:tcPr>
          <w:p>
            <w:pPr>
              <w:ind w:left="0" w:right="86" w:firstLine="403"/>
              <w:spacing w:before="200" w:after="1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61" w:type="dxa"/>
            <w:vAlign w:val="bottom"/>
            <w:textDirection w:val="lrTb"/>
            <w:noWrap w:val="false"/>
          </w:tcPr>
          <w:p>
            <w:pPr>
              <w:ind w:left="0" w:right="86" w:firstLine="403"/>
              <w:spacing w:before="200" w:after="1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r>
      <w:tr>
        <w:trPr>
          <w:trHeight w:val="45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61" w:type="dxa"/>
            <w:vAlign w:val="bottom"/>
            <w:textDirection w:val="lrTb"/>
            <w:noWrap w:val="false"/>
          </w:tcPr>
          <w:p>
            <w:pPr>
              <w:ind w:left="0" w:right="86" w:firstLine="403"/>
              <w:spacing w:before="200" w:after="1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61" w:type="dxa"/>
            <w:vAlign w:val="bottom"/>
            <w:textDirection w:val="lrTb"/>
            <w:noWrap w:val="false"/>
          </w:tcPr>
          <w:p>
            <w:pPr>
              <w:ind w:left="0" w:right="86" w:firstLine="403"/>
              <w:spacing w:before="200" w:after="1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r>
      <w:tr>
        <w:trPr>
          <w:trHeight w:val="45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61" w:type="dxa"/>
            <w:vAlign w:val="bottom"/>
            <w:textDirection w:val="lrTb"/>
            <w:noWrap w:val="false"/>
          </w:tcPr>
          <w:p>
            <w:pPr>
              <w:ind w:left="0" w:right="86" w:firstLine="403"/>
              <w:spacing w:before="200" w:after="1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61" w:type="dxa"/>
            <w:vAlign w:val="bottom"/>
            <w:textDirection w:val="lrTb"/>
            <w:noWrap w:val="false"/>
          </w:tcPr>
          <w:p>
            <w:pPr>
              <w:ind w:left="0" w:right="86" w:firstLine="403"/>
              <w:spacing w:before="200" w:after="1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r>
      <w:tr>
        <w:trPr>
          <w:trHeight w:val="45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61" w:type="dxa"/>
            <w:vAlign w:val="bottom"/>
            <w:textDirection w:val="lrTb"/>
            <w:noWrap w:val="false"/>
          </w:tcPr>
          <w:p>
            <w:pPr>
              <w:ind w:left="0" w:right="86" w:firstLine="403"/>
              <w:spacing w:before="200" w:after="1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61" w:type="dxa"/>
            <w:vAlign w:val="bottom"/>
            <w:textDirection w:val="lrTb"/>
            <w:noWrap w:val="false"/>
          </w:tcPr>
          <w:p>
            <w:pPr>
              <w:ind w:left="0" w:right="86" w:firstLine="403"/>
              <w:spacing w:before="200" w:after="1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第六章 投标文件</w:t>
      </w:r>
      <w:r>
        <w:rPr>
          <w:rFonts w:ascii="SimHei" w:hAnsi="SimHei" w:eastAsia="SimHei" w:cs="SimHei"/>
          <w:color w:val="000000"/>
          <w:sz w:val="36"/>
          <w:u w:val="none"/>
        </w:rPr>
        <w:t xml:space="preserve">附件</w:t>
      </w:r>
      <w:r/>
    </w:p>
    <w:p>
      <w:pPr>
        <w:ind w:left="0" w:right="0" w:firstLine="353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 录（仅供参考）</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投标申请及声明……………………………………………</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法定代表人授权书…………………………………………</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 标 一 览 表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供应商信用承诺书……………………………………</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技术规格偏离表 ……………………………………………</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商务条款偏离表……………………………………………</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服务与承诺……………………………………………</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投标人具有相关类似项目业绩情况表（及证明材料）…</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供应商拟投入本项目服务人员一览表……………………………………</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中小企业声明函格式……………………………………</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无重大违法记录声明格式………………………………</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具备履行合同所必需的设备和专业技术能力的声明格式…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十三、残疾人福利性单位声明函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十四、属于监狱企业的证明文件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十五、关于符合本国产品标准的声明函……………………………………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（说明：本目录内容为参考格式，投标人可根据招标文件及评标标准内容需要，自行细化或补充目录条款及内容）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目录一、投标申请及声明格式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投标申请及声明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致：南京市公安局溧水分局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rPr>
          <w:rFonts w:ascii="SimSun" w:hAnsi="SimSun" w:eastAsia="SimSun" w:cs="SimSun"/>
          <w:color w:val="000000"/>
          <w:sz w:val="24"/>
        </w:rPr>
        <w:t xml:space="preserve">（项目编号）投标邀请，正式授权下述签字人</w:t>
      </w:r>
      <w:r>
        <w:rPr>
          <w:rFonts w:ascii="SimSun" w:hAnsi="SimSun" w:eastAsia="SimSun" w:cs="SimSun"/>
          <w:color w:val="000000"/>
          <w:sz w:val="24"/>
          <w:u w:val="single"/>
        </w:rPr>
        <w:t xml:space="preserve">      </w:t>
      </w:r>
      <w:r>
        <w:rPr>
          <w:rFonts w:ascii="SimSun" w:hAnsi="SimSun" w:eastAsia="SimSun" w:cs="SimSun"/>
          <w:color w:val="000000"/>
          <w:sz w:val="24"/>
        </w:rPr>
        <w:t xml:space="preserve">(姓名和职务)代表投标人</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（投标人名称），提交投标文件。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据此函，签字人兹宣布声明和承诺如下：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1、我们的资格条件完全符合政府采购法和本次招标要求，我们同意并向贵方提供了与投标有关的所有证据和资料。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2、按招标要求，我们的投标优惠率为</w:t>
      </w:r>
      <w:r>
        <w:rPr>
          <w:rFonts w:ascii="FangSong" w:hAnsi="FangSong" w:eastAsia="FangSong" w:cs="FangSong"/>
          <w:color w:val="000000"/>
          <w:sz w:val="32"/>
          <w:u w:val="single"/>
        </w:rPr>
        <w:t xml:space="preserve"> </w:t>
      </w:r>
      <w:r>
        <w:rPr>
          <w:rFonts w:ascii="SimSun" w:hAnsi="SimSun" w:eastAsia="SimSun" w:cs="SimSun"/>
          <w:color w:val="000000"/>
          <w:sz w:val="24"/>
        </w:rPr>
        <w:t xml:space="preserve"> %</w:t>
      </w:r>
      <w:r>
        <w:rPr>
          <w:rFonts w:ascii="FangSong" w:hAnsi="FangSong" w:eastAsia="FangSong" w:cs="FangSong"/>
          <w:color w:val="000000"/>
          <w:sz w:val="3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3、本项目交付时间为：满足采购文件要求。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4、我们已详细审核全部招标文件及其有效补充文件，我们放弃对招标文件任何误解的权利，提交投标文件后，</w:t>
      </w:r>
      <w:r>
        <w:rPr>
          <w:rFonts w:ascii="SimSun" w:hAnsi="SimSun" w:eastAsia="SimSun" w:cs="SimSun"/>
          <w:b/>
          <w:color w:val="000000"/>
          <w:sz w:val="24"/>
        </w:rPr>
        <w:t xml:space="preserve">不对招标文件本身提出质疑</w:t>
      </w:r>
      <w:r>
        <w:rPr>
          <w:rFonts w:ascii="SimSun" w:hAnsi="SimSun" w:eastAsia="SimSun" w:cs="SimSun"/>
          <w:color w:val="000000"/>
          <w:sz w:val="24"/>
        </w:rPr>
        <w:t xml:space="preserve">。否则，属于不诚信和故意扰乱政府采购活动行为，我们将无条件接受处罚。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5、我们同意从规定的开标日期起遵循本投标文件，并在规定的投标有效期期满之前均具有约束力。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截止时间结束后参加投标的投标人不足三家的，或在评标期间出现符合专业条件的投标人或者对招标文件作出实质响应的投标人不足三家情形的，我们酌情决定是否参加当场变更的竞争性谈判或单一来源方式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7、一旦我方中标，我方将根据招标文件的规定严格履行合同，并保证于承诺的时间完成服务的启动/集成、调试等服务，交付采购人验收、使用。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绝不提供虚假材料谋取中标、绝不采取不正当手段诋毁、排挤其他投标人、绝不与采购人、其它投标人或者南京永信恶意串通、绝不向采购人、南京永信工作人员和评委进行商业贿赂、绝不在采购过程中与采购人进行协商谈判、绝不拒绝有关部门监督检查或提供虚假情况，如有违反，无条件接受贵方及相关管理部门的处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9、我方为：¨大型企业 ¨中型企业 ¨小型企业 ¨微型企业（在对应¨内打“√”）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10、与本投标有关的正式联系方式为：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投标人授权代表姓名（签字）：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目录二、法定代表人授权书格式</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法定代表人授权委托书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致：南京市公安局溧水分局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本授权书声明：注册于</w:t>
      </w:r>
      <w:r>
        <w:rPr>
          <w:rFonts w:ascii="SimSun" w:hAnsi="SimSun" w:eastAsia="SimSun" w:cs="SimSun"/>
          <w:color w:val="000000"/>
          <w:sz w:val="24"/>
          <w:u w:val="single"/>
        </w:rPr>
        <w:t xml:space="preserve">       </w:t>
      </w:r>
      <w:r>
        <w:rPr>
          <w:rFonts w:ascii="SimSun" w:hAnsi="SimSun" w:eastAsia="SimSun" w:cs="SimSun"/>
          <w:color w:val="000000"/>
          <w:sz w:val="24"/>
        </w:rPr>
        <w:t xml:space="preserve">（投标人住址）的</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（法定代表人姓名、职务）代表本公司授权在下面签字的</w:t>
      </w:r>
      <w:r>
        <w:rPr>
          <w:rFonts w:ascii="SimSun" w:hAnsi="SimSun" w:eastAsia="SimSun" w:cs="SimSun"/>
          <w:color w:val="000000"/>
          <w:sz w:val="24"/>
          <w:u w:val="single"/>
        </w:rPr>
        <w:t xml:space="preserve">         </w:t>
      </w:r>
      <w:r>
        <w:rPr>
          <w:rFonts w:ascii="SimSun" w:hAnsi="SimSun" w:eastAsia="SimSun" w:cs="SimSun"/>
          <w:color w:val="000000"/>
          <w:sz w:val="24"/>
        </w:rPr>
        <w:t xml:space="preserve">（投标人代表姓名、职务）为本公司的合法代理人，就贵方组织的</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rPr>
          <w:rFonts w:ascii="SimSun" w:hAnsi="SimSun" w:eastAsia="SimSun" w:cs="SimSun"/>
          <w:color w:val="000000"/>
          <w:sz w:val="24"/>
        </w:rPr>
        <w:t xml:space="preserve">（项目编号）投标，以本公司名义处理一切与之有关的事务。</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本授权书于年月日签字或签章生效，特此声明。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法定代表人签字或签章：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授权委托人签字：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w:t>
      </w:r>
      <w:r/>
    </w:p>
    <w:p>
      <w:pPr>
        <w:ind w:left="0" w:right="0" w:firstLine="420"/>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（后附双方身份证正反面）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目录三、开标一览表格式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8"/>
        <w:gridCol w:w="3118"/>
        <w:gridCol w:w="3118"/>
      </w:tblGrid>
      <w:tr>
        <w:trPr>
          <w:trHeight w:val="284"/>
        </w:trPr>
        <w:tc>
          <w:tcPr>
            <w:gridSpan w:val="3"/>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r>
      <w:tr>
        <w:trPr>
          <w:trHeight w:val="9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21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投标优惠率（下浮率）</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投标人是否属于小微型企业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（填写“是”或“否）</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投标人是否属于监狱刑企业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（填写“是”或“否）</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投标人是否属于残疾人企业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（填写“是”或“否）</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4462" w:right="0" w:firstLine="0"/>
        <w:jc w:val="both"/>
        <w:spacing w:before="124" w:after="1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 </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目录四、供应商信用承诺书格式</w:t>
      </w:r>
      <w:r/>
    </w:p>
    <w:p>
      <w:pPr>
        <w:ind w:left="0" w:right="0" w:firstLine="48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供应商信用承诺书</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南京市公安局溧水分局：</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（供应商名称）郑重承诺：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我公司符合下列要求：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(三)有依法缴纳税收和社会保障资金的良好记录；</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(四)参加政府采购活动前三年内，在经营活动中没有重大违法记录。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如果我公司中标（成交），将在中标（成交）结果公示后七个工作日内向采购人提供下列材料核验：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（1）营业执照副本或事业单位法人登记证书；</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（3）履行合同所必需的设备和专业技术能力证明材料；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（4）参加本次政府采购活动前一年内至少一个月依法缴纳税收和社会保障资金的证明材料。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本公司对上述承诺内容的真实性、合法性、有效性负责，如有虚假，将依法承担相应责任。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日期：______年___月___日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目录五、技术规格偏离表格式</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技术规格偏离表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项目名称：项目编号：</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5"/>
        <w:gridCol w:w="779"/>
        <w:gridCol w:w="1277"/>
        <w:gridCol w:w="1809"/>
        <w:gridCol w:w="748"/>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7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招标要求</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1、投标人应逐一说明服务响应情况。</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目录六、商务条款偏离表格式</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商务条款偏离表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9"/>
        <w:gridCol w:w="725"/>
        <w:gridCol w:w="1405"/>
        <w:gridCol w:w="3896"/>
        <w:gridCol w:w="2870"/>
      </w:tblGrid>
      <w:tr>
        <w:trPr>
          <w:trHeight w:val="284"/>
        </w:trPr>
        <w:tc>
          <w:tcPr>
            <w:gridSpan w:val="4"/>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8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87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招标文件要求的商务条款</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8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1、投标人应逐一说明商务响应情况。</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目录七、服务与承诺</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由投标人根据招标文件内容要求及评标标准内容自行编写，详尽、完整、易于理解。</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目录八、投标人具有相关类似项目业绩情况表（及证明材料）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企业类似业绩一览表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36"/>
        <w:gridCol w:w="1356"/>
        <w:gridCol w:w="1327"/>
        <w:gridCol w:w="1772"/>
        <w:gridCol w:w="1905"/>
        <w:gridCol w:w="148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85" w:lineRule="atLeast"/>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p>
            <w:pPr>
              <w:ind w:left="0" w:right="0" w:firstLine="0"/>
              <w:jc w:val="center"/>
              <w:spacing w:before="0" w:after="0" w:line="85" w:lineRule="atLeast"/>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附：提供业绩合同复印件，原件备查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投标单位（单位盖章）：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目录九、服务人员一览表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供应商拟投入本项目服务人员一览表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项目编号：</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8"/>
        <w:gridCol w:w="850"/>
        <w:gridCol w:w="851"/>
        <w:gridCol w:w="903"/>
        <w:gridCol w:w="656"/>
        <w:gridCol w:w="850"/>
        <w:gridCol w:w="851"/>
        <w:gridCol w:w="1091"/>
        <w:gridCol w:w="717"/>
        <w:gridCol w:w="719"/>
      </w:tblGrid>
      <w:tr>
        <w:trPr>
          <w:trHeight w:val="11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证书号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相关工作年限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3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“备注”栏，可填写该人员擅长的工作种类；</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3、所有职称、证明均需要提供有效的复印件（扫描件），原件备查。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目录十、中小企业声明函格式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中小微企业声明函（服务类项目）（采购包号：**）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项目（项目名称）（采购包号：**）的采购活动，服务全部由符合政策的中小微企业承接。相关企业（含联合体中的中小微企业、签订采购包意向协议的中小微企业）的具体情况如下：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交通运输</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餐饮服务</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日期：___年____月____日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80" w:after="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80" w:after="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目录十一、无重大违法记录声明格式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致：南京市公安局溧水分局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参加政府采购活动前3年内在经营活动中</w:t>
      </w:r>
      <w:r>
        <w:rPr>
          <w:rFonts w:ascii="SimSun" w:hAnsi="SimSun" w:eastAsia="SimSun" w:cs="SimSun"/>
          <w:color w:val="000000"/>
          <w:sz w:val="24"/>
          <w:u w:val="single"/>
        </w:rPr>
        <w:t xml:space="preserve">        </w:t>
      </w:r>
      <w:r>
        <w:rPr>
          <w:rFonts w:ascii="SimSun" w:hAnsi="SimSun" w:eastAsia="SimSun" w:cs="SimSun"/>
          <w:color w:val="000000"/>
          <w:sz w:val="24"/>
        </w:rPr>
        <w:t xml:space="preserve">（在下划线上如实填写：有或没有）重大违法记录。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声明人（公章）：</w:t>
      </w:r>
      <w:r/>
    </w:p>
    <w:p>
      <w:pPr>
        <w:ind w:left="0" w:right="0" w:firstLine="48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目录十二、具备履行合同所必需的设备和专业技术能力的声明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具备履行合同所必需的设备和专业技术能力的声明</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致：南京市公安局溧水分局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（供应商名称）郑重声明：我公司具备履行本项采购合同所必需的设备和专业技术能力。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特此申明！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声明人：（公章）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目录十三、残疾人福利性单位声明函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残疾人福利性单位声明函（服务类项目）（采购包号：**）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项目（项目名称）（采购包号：**）采购活动由本单位提供服务。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2.非专门面向中小微型企业采购的项目，供应商如不提供此声明函，价格将不做相应扣除。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3.中标/成交供应商为残疾人福利性单位的，此声明函将随中标/成交结果同时公告，接受社会监督</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559" w:firstLine="624"/>
        <w:jc w:val="center"/>
        <w:spacing w:before="0" w:after="0" w:line="85" w:lineRule="atLeast"/>
        <w:tabs>
          <w:tab w:val="left" w:pos="486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0" w:right="1559" w:firstLine="2880"/>
        <w:jc w:val="both"/>
        <w:spacing w:before="0" w:after="0" w:line="85" w:lineRule="atLeast"/>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日期：___年____月____日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目录十四、属于监狱企业的证明文件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（提供由省级以上监狱管理局、戒毒管理局(含新疆生产建设兵团)出具的属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于监狱企业的证明文件）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目录十五、关于符合本国产品标准的声明函</w:t>
      </w:r>
      <w:r/>
    </w:p>
    <w:p>
      <w:pPr>
        <w:ind w:left="0" w:right="0" w:firstLine="0"/>
        <w:jc w:val="both"/>
        <w:spacing w:before="15" w:after="1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3313"/>
        <w:jc w:val="both"/>
        <w:spacing w:before="15" w:after="1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333333"/>
          <w:sz w:val="30"/>
          <w:highlight w:val="white"/>
        </w:rPr>
        <w:t xml:space="preserve">关于符合本国产品标准的声明函</w:t>
      </w:r>
      <w:r/>
    </w:p>
    <w:p>
      <w:pPr>
        <w:ind w:left="0" w:right="0" w:firstLine="420"/>
        <w:spacing w:before="15" w:after="15"/>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 </w:t>
      </w:r>
      <w:r/>
    </w:p>
    <w:p>
      <w:pPr>
        <w:ind w:left="0" w:right="0" w:firstLine="0"/>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公司（单位）名称（加盖CA电子公章）：         </w:t>
      </w:r>
      <w:r/>
    </w:p>
    <w:p>
      <w:pPr>
        <w:ind w:left="0" w:right="0" w:firstLine="0"/>
        <w:jc w:val="cente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6.《声明函》中标注“</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”的地方无需填写。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imSun">
    <w:panose1 w:val="02010600030101010101"/>
  </w:font>
  <w:font w:name="Calibri">
    <w:panose1 w:val="020F0502020204030204"/>
  </w:font>
  <w:font w:name="FangSong">
    <w:panose1 w:val="02010609060101010101"/>
  </w:font>
  <w:font w:name="SimHe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link w:val="639"/>
    <w:uiPriority w:val="9"/>
    <w:qFormat/>
    <w:pPr>
      <w:keepLines/>
      <w:keepNext/>
      <w:spacing w:before="480" w:after="200"/>
      <w:outlineLvl w:val="0"/>
    </w:pPr>
    <w:rPr>
      <w:rFonts w:ascii="Arial" w:hAnsi="Arial" w:eastAsia="Arial" w:cs="Arial"/>
      <w:sz w:val="40"/>
      <w:szCs w:val="40"/>
    </w:rPr>
  </w:style>
  <w:style w:type="character" w:styleId="639">
    <w:name w:val="Heading 1 Char"/>
    <w:link w:val="638"/>
    <w:uiPriority w:val="9"/>
    <w:rPr>
      <w:rFonts w:ascii="Arial" w:hAnsi="Arial" w:eastAsia="Arial" w:cs="Arial"/>
      <w:sz w:val="40"/>
      <w:szCs w:val="40"/>
    </w:rPr>
  </w:style>
  <w:style w:type="paragraph" w:styleId="640">
    <w:name w:val="Heading 2"/>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link w:val="640"/>
    <w:uiPriority w:val="9"/>
    <w:rPr>
      <w:rFonts w:ascii="Arial" w:hAnsi="Arial" w:eastAsia="Arial" w:cs="Arial"/>
      <w:sz w:val="34"/>
    </w:rPr>
  </w:style>
  <w:style w:type="paragraph" w:styleId="642">
    <w:name w:val="Heading 3"/>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link w:val="642"/>
    <w:uiPriority w:val="9"/>
    <w:rPr>
      <w:rFonts w:ascii="Arial" w:hAnsi="Arial" w:eastAsia="Arial" w:cs="Arial"/>
      <w:sz w:val="30"/>
      <w:szCs w:val="30"/>
    </w:rPr>
  </w:style>
  <w:style w:type="paragraph" w:styleId="644">
    <w:name w:val="Heading 4"/>
    <w:link w:val="645"/>
    <w:uiPriority w:val="9"/>
    <w:unhideWhenUsed/>
    <w:qFormat/>
    <w:pPr>
      <w:keepLines/>
      <w:keepNext/>
      <w:spacing w:before="320" w:after="200"/>
      <w:outlineLvl w:val="3"/>
    </w:pPr>
    <w:rPr>
      <w:rFonts w:ascii="Arial" w:hAnsi="Arial" w:eastAsia="Arial" w:cs="Arial"/>
      <w:b/>
      <w:bCs/>
      <w:sz w:val="26"/>
      <w:szCs w:val="26"/>
    </w:rPr>
  </w:style>
  <w:style w:type="character" w:styleId="645">
    <w:name w:val="Heading 4 Char"/>
    <w:link w:val="644"/>
    <w:uiPriority w:val="9"/>
    <w:rPr>
      <w:rFonts w:ascii="Arial" w:hAnsi="Arial" w:eastAsia="Arial" w:cs="Arial"/>
      <w:b/>
      <w:bCs/>
      <w:sz w:val="26"/>
      <w:szCs w:val="26"/>
    </w:rPr>
  </w:style>
  <w:style w:type="paragraph" w:styleId="646">
    <w:name w:val="Heading 5"/>
    <w:link w:val="647"/>
    <w:uiPriority w:val="9"/>
    <w:unhideWhenUsed/>
    <w:qFormat/>
    <w:pPr>
      <w:keepLines/>
      <w:keepNext/>
      <w:spacing w:before="320" w:after="200"/>
      <w:outlineLvl w:val="4"/>
    </w:pPr>
    <w:rPr>
      <w:rFonts w:ascii="Arial" w:hAnsi="Arial" w:eastAsia="Arial" w:cs="Arial"/>
      <w:b/>
      <w:bCs/>
      <w:sz w:val="24"/>
      <w:szCs w:val="24"/>
    </w:rPr>
  </w:style>
  <w:style w:type="character" w:styleId="647">
    <w:name w:val="Heading 5 Char"/>
    <w:link w:val="646"/>
    <w:uiPriority w:val="9"/>
    <w:rPr>
      <w:rFonts w:ascii="Arial" w:hAnsi="Arial" w:eastAsia="Arial" w:cs="Arial"/>
      <w:b/>
      <w:bCs/>
      <w:sz w:val="24"/>
      <w:szCs w:val="24"/>
    </w:rPr>
  </w:style>
  <w:style w:type="paragraph" w:styleId="648">
    <w:name w:val="Heading 6"/>
    <w:link w:val="649"/>
    <w:uiPriority w:val="9"/>
    <w:unhideWhenUsed/>
    <w:qFormat/>
    <w:pPr>
      <w:keepLines/>
      <w:keepNext/>
      <w:spacing w:before="320" w:after="200"/>
      <w:outlineLvl w:val="5"/>
    </w:pPr>
    <w:rPr>
      <w:rFonts w:ascii="Arial" w:hAnsi="Arial" w:eastAsia="Arial" w:cs="Arial"/>
      <w:b/>
      <w:bCs/>
      <w:sz w:val="22"/>
      <w:szCs w:val="22"/>
    </w:rPr>
  </w:style>
  <w:style w:type="character" w:styleId="649">
    <w:name w:val="Heading 6 Char"/>
    <w:link w:val="648"/>
    <w:uiPriority w:val="9"/>
    <w:rPr>
      <w:rFonts w:ascii="Arial" w:hAnsi="Arial" w:eastAsia="Arial" w:cs="Arial"/>
      <w:b/>
      <w:bCs/>
      <w:sz w:val="22"/>
      <w:szCs w:val="22"/>
    </w:rPr>
  </w:style>
  <w:style w:type="paragraph" w:styleId="650">
    <w:name w:val="Heading 7"/>
    <w:link w:val="651"/>
    <w:uiPriority w:val="9"/>
    <w:unhideWhenUsed/>
    <w:qFormat/>
    <w:pPr>
      <w:keepLines/>
      <w:keepNext/>
      <w:spacing w:before="320" w:after="200"/>
      <w:outlineLvl w:val="6"/>
    </w:pPr>
    <w:rPr>
      <w:rFonts w:ascii="Arial" w:hAnsi="Arial" w:eastAsia="Arial" w:cs="Arial"/>
      <w:b/>
      <w:bCs/>
      <w:i/>
      <w:iCs/>
      <w:sz w:val="22"/>
      <w:szCs w:val="22"/>
    </w:rPr>
  </w:style>
  <w:style w:type="character" w:styleId="651">
    <w:name w:val="Heading 7 Char"/>
    <w:link w:val="650"/>
    <w:uiPriority w:val="9"/>
    <w:rPr>
      <w:rFonts w:ascii="Arial" w:hAnsi="Arial" w:eastAsia="Arial" w:cs="Arial"/>
      <w:b/>
      <w:bCs/>
      <w:i/>
      <w:iCs/>
      <w:sz w:val="22"/>
      <w:szCs w:val="22"/>
    </w:rPr>
  </w:style>
  <w:style w:type="paragraph" w:styleId="652">
    <w:name w:val="Heading 8"/>
    <w:link w:val="653"/>
    <w:uiPriority w:val="9"/>
    <w:unhideWhenUsed/>
    <w:qFormat/>
    <w:pPr>
      <w:keepLines/>
      <w:keepNext/>
      <w:spacing w:before="320" w:after="200"/>
      <w:outlineLvl w:val="7"/>
    </w:pPr>
    <w:rPr>
      <w:rFonts w:ascii="Arial" w:hAnsi="Arial" w:eastAsia="Arial" w:cs="Arial"/>
      <w:i/>
      <w:iCs/>
      <w:sz w:val="22"/>
      <w:szCs w:val="22"/>
    </w:rPr>
  </w:style>
  <w:style w:type="character" w:styleId="653">
    <w:name w:val="Heading 8 Char"/>
    <w:link w:val="652"/>
    <w:uiPriority w:val="9"/>
    <w:rPr>
      <w:rFonts w:ascii="Arial" w:hAnsi="Arial" w:eastAsia="Arial" w:cs="Arial"/>
      <w:i/>
      <w:iCs/>
      <w:sz w:val="22"/>
      <w:szCs w:val="22"/>
    </w:rPr>
  </w:style>
  <w:style w:type="paragraph" w:styleId="654">
    <w:name w:val="Heading 9"/>
    <w:link w:val="655"/>
    <w:uiPriority w:val="9"/>
    <w:unhideWhenUsed/>
    <w:qFormat/>
    <w:pPr>
      <w:keepLines/>
      <w:keepNext/>
      <w:spacing w:before="320" w:after="200"/>
      <w:outlineLvl w:val="8"/>
    </w:pPr>
    <w:rPr>
      <w:rFonts w:ascii="Arial" w:hAnsi="Arial" w:eastAsia="Arial" w:cs="Arial"/>
      <w:i/>
      <w:iCs/>
      <w:sz w:val="21"/>
      <w:szCs w:val="21"/>
    </w:rPr>
  </w:style>
  <w:style w:type="character" w:styleId="655">
    <w:name w:val="Heading 9 Char"/>
    <w:link w:val="654"/>
    <w:uiPriority w:val="9"/>
    <w:rPr>
      <w:rFonts w:ascii="Arial" w:hAnsi="Arial" w:eastAsia="Arial" w:cs="Arial"/>
      <w:i/>
      <w:iCs/>
      <w:sz w:val="21"/>
      <w:szCs w:val="21"/>
    </w:rPr>
  </w:style>
  <w:style w:type="paragraph" w:styleId="656">
    <w:name w:val="List Paragraph"/>
    <w:uiPriority w:val="34"/>
    <w:qFormat/>
    <w:pPr>
      <w:contextualSpacing/>
      <w:ind w:left="720"/>
    </w:pPr>
  </w:style>
  <w:style w:type="paragraph" w:styleId="657">
    <w:name w:val="No Spacing"/>
    <w:uiPriority w:val="1"/>
    <w:qFormat/>
    <w:pPr>
      <w:spacing w:before="0" w:after="0" w:line="240" w:lineRule="auto"/>
    </w:pPr>
  </w:style>
  <w:style w:type="paragraph" w:styleId="658">
    <w:name w:val="Title"/>
    <w:link w:val="659"/>
    <w:uiPriority w:val="10"/>
    <w:qFormat/>
    <w:pPr>
      <w:contextualSpacing/>
      <w:spacing w:before="300" w:after="200"/>
    </w:pPr>
    <w:rPr>
      <w:sz w:val="48"/>
      <w:szCs w:val="48"/>
    </w:rPr>
  </w:style>
  <w:style w:type="character" w:styleId="659">
    <w:name w:val="Title Char"/>
    <w:link w:val="658"/>
    <w:uiPriority w:val="10"/>
    <w:rPr>
      <w:sz w:val="48"/>
      <w:szCs w:val="48"/>
    </w:rPr>
  </w:style>
  <w:style w:type="paragraph" w:styleId="660">
    <w:name w:val="Subtitle"/>
    <w:link w:val="661"/>
    <w:uiPriority w:val="11"/>
    <w:qFormat/>
    <w:pPr>
      <w:spacing w:before="200" w:after="200"/>
    </w:pPr>
    <w:rPr>
      <w:sz w:val="24"/>
      <w:szCs w:val="24"/>
    </w:rPr>
  </w:style>
  <w:style w:type="character" w:styleId="661">
    <w:name w:val="Subtitle Char"/>
    <w:link w:val="660"/>
    <w:uiPriority w:val="11"/>
    <w:rPr>
      <w:sz w:val="24"/>
      <w:szCs w:val="24"/>
    </w:rPr>
  </w:style>
  <w:style w:type="paragraph" w:styleId="662">
    <w:name w:val="Quote"/>
    <w:link w:val="663"/>
    <w:uiPriority w:val="29"/>
    <w:qFormat/>
    <w:pPr>
      <w:ind w:left="720" w:right="720"/>
    </w:pPr>
    <w:rPr>
      <w:i/>
    </w:rPr>
  </w:style>
  <w:style w:type="character" w:styleId="663">
    <w:name w:val="Quote Char"/>
    <w:link w:val="662"/>
    <w:uiPriority w:val="29"/>
    <w:rPr>
      <w:i/>
    </w:rPr>
  </w:style>
  <w:style w:type="paragraph" w:styleId="664">
    <w:name w:val="Intense Quote"/>
    <w:link w:val="6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5">
    <w:name w:val="Intense Quote Char"/>
    <w:link w:val="664"/>
    <w:uiPriority w:val="30"/>
    <w:rPr>
      <w:i/>
    </w:rPr>
  </w:style>
  <w:style w:type="paragraph" w:styleId="666">
    <w:name w:val="Header"/>
    <w:link w:val="667"/>
    <w:uiPriority w:val="99"/>
    <w:unhideWhenUsed/>
    <w:pPr>
      <w:spacing w:after="0" w:line="240" w:lineRule="auto"/>
      <w:tabs>
        <w:tab w:val="center" w:pos="7143" w:leader="none"/>
        <w:tab w:val="right" w:pos="14287" w:leader="none"/>
      </w:tabs>
    </w:pPr>
  </w:style>
  <w:style w:type="character" w:styleId="667">
    <w:name w:val="Header Char"/>
    <w:link w:val="666"/>
    <w:uiPriority w:val="99"/>
  </w:style>
  <w:style w:type="paragraph" w:styleId="668">
    <w:name w:val="Footer"/>
    <w:link w:val="671"/>
    <w:uiPriority w:val="99"/>
    <w:unhideWhenUsed/>
    <w:pPr>
      <w:spacing w:after="0" w:line="240" w:lineRule="auto"/>
      <w:tabs>
        <w:tab w:val="center" w:pos="7143" w:leader="none"/>
        <w:tab w:val="right" w:pos="14287" w:leader="none"/>
      </w:tabs>
    </w:pPr>
  </w:style>
  <w:style w:type="character" w:styleId="669">
    <w:name w:val="Footer Char"/>
    <w:link w:val="668"/>
    <w:uiPriority w:val="99"/>
  </w:style>
  <w:style w:type="paragraph" w:styleId="670">
    <w:name w:val="Caption"/>
    <w:uiPriority w:val="35"/>
    <w:semiHidden/>
    <w:unhideWhenUsed/>
    <w:qFormat/>
    <w:pPr>
      <w:spacing w:line="276" w:lineRule="auto"/>
    </w:pPr>
    <w:rPr>
      <w:b/>
      <w:bCs/>
      <w:color w:val="4f81bd" w:themeColor="accent1"/>
      <w:sz w:val="18"/>
      <w:szCs w:val="18"/>
    </w:rPr>
  </w:style>
  <w:style w:type="character" w:styleId="671">
    <w:name w:val="Caption Char"/>
    <w:basedOn w:val="670"/>
    <w:link w:val="668"/>
    <w:uiPriority w:val="99"/>
  </w:style>
  <w:style w:type="table" w:styleId="6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8">
    <w:name w:val="Hyperlink"/>
    <w:uiPriority w:val="99"/>
    <w:unhideWhenUsed/>
    <w:rPr>
      <w:color w:val="0000ff" w:themeColor="hyperlink"/>
      <w:u w:val="single"/>
    </w:rPr>
  </w:style>
  <w:style w:type="paragraph" w:styleId="799">
    <w:name w:val="footnote text"/>
    <w:link w:val="800"/>
    <w:uiPriority w:val="99"/>
    <w:semiHidden/>
    <w:unhideWhenUsed/>
    <w:pPr>
      <w:spacing w:after="40" w:line="240" w:lineRule="auto"/>
    </w:pPr>
    <w:rPr>
      <w:sz w:val="18"/>
    </w:rPr>
  </w:style>
  <w:style w:type="character" w:styleId="800">
    <w:name w:val="Footnote Text Char"/>
    <w:link w:val="799"/>
    <w:uiPriority w:val="99"/>
    <w:rPr>
      <w:sz w:val="18"/>
    </w:rPr>
  </w:style>
  <w:style w:type="character" w:styleId="801">
    <w:name w:val="footnote reference"/>
    <w:uiPriority w:val="99"/>
    <w:unhideWhenUsed/>
    <w:rPr>
      <w:vertAlign w:val="superscript"/>
    </w:rPr>
  </w:style>
  <w:style w:type="paragraph" w:styleId="802">
    <w:name w:val="endnote text"/>
    <w:link w:val="803"/>
    <w:uiPriority w:val="99"/>
    <w:semiHidden/>
    <w:unhideWhenUsed/>
    <w:pPr>
      <w:spacing w:after="0" w:line="240" w:lineRule="auto"/>
    </w:pPr>
    <w:rPr>
      <w:sz w:val="20"/>
    </w:rPr>
  </w:style>
  <w:style w:type="character" w:styleId="803">
    <w:name w:val="Endnote Text Char"/>
    <w:link w:val="802"/>
    <w:uiPriority w:val="99"/>
    <w:rPr>
      <w:sz w:val="20"/>
    </w:rPr>
  </w:style>
  <w:style w:type="character" w:styleId="804">
    <w:name w:val="endnote reference"/>
    <w:uiPriority w:val="99"/>
    <w:semiHidden/>
    <w:unhideWhenUsed/>
    <w:rPr>
      <w:vertAlign w:val="superscript"/>
    </w:rPr>
  </w:style>
  <w:style w:type="paragraph" w:styleId="805">
    <w:name w:val="toc 1"/>
    <w:uiPriority w:val="39"/>
    <w:unhideWhenUsed/>
    <w:pPr>
      <w:ind w:left="0" w:right="0" w:firstLine="0"/>
      <w:spacing w:after="57"/>
    </w:pPr>
  </w:style>
  <w:style w:type="paragraph" w:styleId="806">
    <w:name w:val="toc 2"/>
    <w:uiPriority w:val="39"/>
    <w:unhideWhenUsed/>
    <w:pPr>
      <w:ind w:left="283" w:right="0" w:firstLine="0"/>
      <w:spacing w:after="57"/>
    </w:pPr>
  </w:style>
  <w:style w:type="paragraph" w:styleId="807">
    <w:name w:val="toc 3"/>
    <w:uiPriority w:val="39"/>
    <w:unhideWhenUsed/>
    <w:pPr>
      <w:ind w:left="567" w:right="0" w:firstLine="0"/>
      <w:spacing w:after="57"/>
    </w:pPr>
  </w:style>
  <w:style w:type="paragraph" w:styleId="808">
    <w:name w:val="toc 4"/>
    <w:uiPriority w:val="39"/>
    <w:unhideWhenUsed/>
    <w:pPr>
      <w:ind w:left="850" w:right="0" w:firstLine="0"/>
      <w:spacing w:after="57"/>
    </w:pPr>
  </w:style>
  <w:style w:type="paragraph" w:styleId="809">
    <w:name w:val="toc 5"/>
    <w:uiPriority w:val="39"/>
    <w:unhideWhenUsed/>
    <w:pPr>
      <w:ind w:left="1134" w:right="0" w:firstLine="0"/>
      <w:spacing w:after="57"/>
    </w:pPr>
  </w:style>
  <w:style w:type="paragraph" w:styleId="810">
    <w:name w:val="toc 6"/>
    <w:uiPriority w:val="39"/>
    <w:unhideWhenUsed/>
    <w:pPr>
      <w:ind w:left="1417" w:right="0" w:firstLine="0"/>
      <w:spacing w:after="57"/>
    </w:pPr>
  </w:style>
  <w:style w:type="paragraph" w:styleId="811">
    <w:name w:val="toc 7"/>
    <w:uiPriority w:val="39"/>
    <w:unhideWhenUsed/>
    <w:pPr>
      <w:ind w:left="1701" w:right="0" w:firstLine="0"/>
      <w:spacing w:after="57"/>
    </w:pPr>
  </w:style>
  <w:style w:type="paragraph" w:styleId="812">
    <w:name w:val="toc 8"/>
    <w:uiPriority w:val="39"/>
    <w:unhideWhenUsed/>
    <w:pPr>
      <w:ind w:left="1984" w:right="0" w:firstLine="0"/>
      <w:spacing w:after="57"/>
    </w:pPr>
  </w:style>
  <w:style w:type="paragraph" w:styleId="813">
    <w:name w:val="toc 9"/>
    <w:uiPriority w:val="39"/>
    <w:unhideWhenUsed/>
    <w:pPr>
      <w:ind w:left="2268" w:right="0" w:firstLine="0"/>
      <w:spacing w:after="57"/>
    </w:pPr>
  </w:style>
  <w:style w:type="paragraph" w:styleId="814">
    <w:name w:val="TOC Heading"/>
    <w:uiPriority w:val="39"/>
    <w:unhideWhenUsed/>
  </w:style>
  <w:style w:type="paragraph" w:styleId="815">
    <w:name w:val="table of figures"/>
    <w:uiPriority w:val="99"/>
    <w:unhideWhenUsed/>
    <w:pPr>
      <w:spacing w:after="0" w:afterAutospacing="0"/>
    </w:pPr>
  </w:style>
  <w:style w:type="character" w:styleId="816" w:default="1">
    <w:name w:val="Default Paragraph Font"/>
    <w:uiPriority w:val="1"/>
    <w:semiHidden/>
    <w:unhideWhenUsed/>
  </w:style>
  <w:style w:type="numbering" w:styleId="817" w:default="1">
    <w:name w:val="No List"/>
    <w:uiPriority w:val="99"/>
    <w:semiHidden/>
    <w:unhideWhenUsed/>
  </w:style>
  <w:style w:type="paragraph" w:styleId="818" w:default="1">
    <w:name w:val="Normal"/>
    <w:qFormat/>
  </w:style>
  <w:style w:type="table" w:styleId="8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www.creditchina.gov.cn/" TargetMode="External"/><Relationship Id="rId10" Type="http://schemas.openxmlformats.org/officeDocument/2006/relationships/hyperlink" Target="http://www.ccgp.gov.cn/"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王春燕</cp:lastModifiedBy>
  <cp:revision>2</cp:revision>
  <dcterms:created xsi:type="dcterms:W3CDTF">2026-05-25T02:40:45Z</dcterms:created>
  <dcterms:modified xsi:type="dcterms:W3CDTF">2026-05-25T05:27:18Z</dcterms:modified>
</cp:coreProperties>
</file>