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97C12">
      <w:pPr>
        <w:jc w:val="center"/>
        <w:rPr>
          <w:b/>
          <w:bCs/>
          <w:sz w:val="40"/>
          <w:szCs w:val="32"/>
        </w:rPr>
      </w:pPr>
      <w:r>
        <w:rPr>
          <w:rFonts w:hint="eastAsia"/>
          <w:b/>
          <w:bCs/>
          <w:sz w:val="40"/>
          <w:szCs w:val="32"/>
          <w:lang w:val="en-US" w:eastAsia="zh-CN"/>
        </w:rPr>
        <w:t>清单</w:t>
      </w:r>
      <w:r>
        <w:rPr>
          <w:b/>
          <w:bCs/>
          <w:sz w:val="40"/>
          <w:szCs w:val="32"/>
        </w:rPr>
        <w:t>编制说明</w:t>
      </w:r>
    </w:p>
    <w:p w14:paraId="37674F32">
      <w:pPr>
        <w:rPr>
          <w:rFonts w:hint="eastAsia" w:eastAsiaTheme="minorEastAsia"/>
          <w:lang w:eastAsia="zh-CN"/>
        </w:rPr>
      </w:pPr>
      <w:r>
        <w:rPr>
          <w:rFonts w:hint="eastAsia"/>
        </w:rPr>
        <w:t>工程名称：</w:t>
      </w:r>
      <w:r>
        <w:rPr>
          <w:rFonts w:hint="eastAsia"/>
          <w:lang w:eastAsia="zh-CN"/>
        </w:rPr>
        <w:t>马鞍街道2025年度省级宜居宜业和美乡村建设项目</w:t>
      </w:r>
    </w:p>
    <w:tbl>
      <w:tblPr>
        <w:tblStyle w:val="5"/>
        <w:tblW w:w="9693" w:type="dxa"/>
        <w:tblInd w:w="-3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3"/>
      </w:tblGrid>
      <w:tr w14:paraId="5562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9" w:hRule="atLeast"/>
        </w:trPr>
        <w:tc>
          <w:tcPr>
            <w:tcW w:w="9693" w:type="dxa"/>
          </w:tcPr>
          <w:p w14:paraId="51798C9C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工程概况</w:t>
            </w:r>
          </w:p>
          <w:p w14:paraId="401AB16C"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工程概况：马鞍街道2025年度省级宜居宜业和美乡村建设项目</w:t>
            </w:r>
          </w:p>
          <w:p w14:paraId="06205A39"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工程取费类别：</w:t>
            </w:r>
            <w:r>
              <w:rPr>
                <w:rFonts w:hint="eastAsia"/>
                <w:lang w:val="en-US" w:eastAsia="zh-CN"/>
              </w:rPr>
              <w:t>市政</w:t>
            </w:r>
            <w:r>
              <w:rPr>
                <w:rFonts w:hint="eastAsia"/>
              </w:rPr>
              <w:t>工程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绿化工程</w:t>
            </w:r>
          </w:p>
          <w:p w14:paraId="01220DC3"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工程施工安全要求：满足行政主管部门的安全要求</w:t>
            </w:r>
          </w:p>
          <w:p w14:paraId="31996797"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环保要求：符合环保部门的要求</w:t>
            </w:r>
          </w:p>
          <w:p w14:paraId="343C9798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预算编制依据：</w:t>
            </w:r>
          </w:p>
          <w:p w14:paraId="17AF1577">
            <w:pPr>
              <w:pStyle w:val="7"/>
              <w:spacing w:line="360" w:lineRule="auto"/>
              <w:ind w:firstLine="630" w:firstLineChars="300"/>
            </w:pPr>
            <w:r>
              <w:rPr>
                <w:rFonts w:hint="eastAsia"/>
              </w:rPr>
              <w:t>《建设工程工程量清单计价规范》GB50500-2013、</w:t>
            </w:r>
          </w:p>
          <w:p w14:paraId="31047BFA">
            <w:pPr>
              <w:pStyle w:val="7"/>
              <w:spacing w:line="360" w:lineRule="auto"/>
              <w:ind w:left="420" w:firstLine="210" w:firstLineChars="100"/>
            </w:pPr>
            <w:r>
              <w:rPr>
                <w:rFonts w:hint="eastAsia"/>
              </w:rPr>
              <w:t>《江苏市政工程定额》2014版、</w:t>
            </w:r>
          </w:p>
          <w:p w14:paraId="29B3F07A">
            <w:pPr>
              <w:pStyle w:val="7"/>
              <w:spacing w:line="360" w:lineRule="auto"/>
              <w:ind w:left="420" w:firstLine="210" w:firstLineChars="100"/>
            </w:pPr>
            <w:r>
              <w:rPr>
                <w:rFonts w:hint="eastAsia"/>
              </w:rPr>
              <w:t>《江苏古建园林工程定额》2007版、</w:t>
            </w:r>
          </w:p>
          <w:p w14:paraId="29C05342">
            <w:pPr>
              <w:pStyle w:val="7"/>
              <w:spacing w:line="360" w:lineRule="auto"/>
              <w:ind w:left="420" w:firstLine="210" w:firstLineChars="100"/>
            </w:pPr>
            <w:r>
              <w:rPr>
                <w:rFonts w:hint="eastAsia"/>
              </w:rPr>
              <w:t>《江苏省建设工程费用定额》2014版（增值税版）等</w:t>
            </w:r>
          </w:p>
          <w:p w14:paraId="6241CC37">
            <w:pPr>
              <w:pStyle w:val="7"/>
              <w:spacing w:line="360" w:lineRule="auto"/>
              <w:ind w:left="420" w:firstLine="0" w:firstLineChars="0"/>
            </w:pPr>
            <w:r>
              <w:rPr>
                <w:rFonts w:hint="eastAsia"/>
              </w:rPr>
              <w:t>2、甲方提供的资料</w:t>
            </w:r>
          </w:p>
          <w:p w14:paraId="7D3C556A">
            <w:pPr>
              <w:pStyle w:val="7"/>
              <w:spacing w:line="360" w:lineRule="auto"/>
              <w:ind w:left="420" w:firstLine="0" w:firstLineChars="0"/>
            </w:pPr>
            <w:r>
              <w:rPr>
                <w:rFonts w:hint="eastAsia"/>
              </w:rPr>
              <w:t>3、工程施工规范、技术标准</w:t>
            </w:r>
          </w:p>
          <w:p w14:paraId="6DBD1EF6">
            <w:pPr>
              <w:pStyle w:val="7"/>
              <w:spacing w:line="360" w:lineRule="auto"/>
              <w:ind w:left="420" w:firstLine="0" w:firstLineChars="0"/>
            </w:pPr>
            <w:r>
              <w:rPr>
                <w:rFonts w:hint="eastAsia"/>
              </w:rPr>
              <w:t>4、相关标准图集以及现行相关文件</w:t>
            </w:r>
          </w:p>
          <w:p w14:paraId="3DAD9383">
            <w:pPr>
              <w:pStyle w:val="7"/>
              <w:spacing w:line="360" w:lineRule="auto"/>
              <w:ind w:left="420" w:firstLine="0" w:firstLineChars="0"/>
            </w:pPr>
            <w:r>
              <w:rPr>
                <w:rFonts w:hint="eastAsia"/>
              </w:rPr>
              <w:t>5、材料价格按202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年《南京工程造价管理》</w:t>
            </w:r>
            <w:r>
              <w:rPr>
                <w:rFonts w:hint="eastAsia"/>
                <w:lang w:val="en-US" w:eastAsia="zh-CN"/>
              </w:rPr>
              <w:t>7月</w:t>
            </w:r>
            <w:r>
              <w:rPr>
                <w:rFonts w:hint="eastAsia"/>
              </w:rPr>
              <w:t>信息指导价执行</w:t>
            </w:r>
          </w:p>
          <w:p w14:paraId="4A0D2B19">
            <w:pPr>
              <w:pStyle w:val="7"/>
              <w:spacing w:line="360" w:lineRule="auto"/>
              <w:ind w:left="420" w:firstLine="0" w:firstLineChars="0"/>
            </w:pPr>
            <w:r>
              <w:rPr>
                <w:rFonts w:hint="eastAsia"/>
              </w:rPr>
              <w:t>7、人工单价及机械人工按苏建函价（202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066</w:t>
            </w:r>
            <w:r>
              <w:rPr>
                <w:rFonts w:hint="eastAsia"/>
              </w:rPr>
              <w:t>号执行。</w:t>
            </w:r>
          </w:p>
          <w:p w14:paraId="4281EB81">
            <w:pPr>
              <w:pStyle w:val="7"/>
              <w:spacing w:line="360" w:lineRule="auto"/>
              <w:ind w:left="420" w:firstLine="0" w:firstLineChars="0"/>
            </w:pPr>
            <w:r>
              <w:rPr>
                <w:rFonts w:hint="eastAsia"/>
              </w:rPr>
              <w:t>8、不可竞争的费用计取执行2014年《江苏省建设工程费用定额》，具体标准如下：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5"/>
              <w:gridCol w:w="1063"/>
              <w:gridCol w:w="1709"/>
              <w:gridCol w:w="1424"/>
              <w:gridCol w:w="1048"/>
              <w:gridCol w:w="1064"/>
              <w:gridCol w:w="913"/>
              <w:gridCol w:w="781"/>
            </w:tblGrid>
            <w:tr w14:paraId="42D193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315" w:type="dxa"/>
                  <w:vMerge w:val="restart"/>
                  <w:vAlign w:val="center"/>
                </w:tcPr>
                <w:p w14:paraId="33747210">
                  <w:pPr>
                    <w:pStyle w:val="7"/>
                    <w:ind w:firstLine="0" w:firstLineChars="0"/>
                    <w:jc w:val="center"/>
                  </w:pPr>
                  <w:r>
                    <w:t>工程名称</w:t>
                  </w:r>
                </w:p>
              </w:tc>
              <w:tc>
                <w:tcPr>
                  <w:tcW w:w="2772" w:type="dxa"/>
                  <w:gridSpan w:val="2"/>
                  <w:vAlign w:val="center"/>
                </w:tcPr>
                <w:p w14:paraId="0A259443">
                  <w:pPr>
                    <w:pStyle w:val="7"/>
                    <w:ind w:firstLine="0" w:firstLineChars="0"/>
                    <w:jc w:val="center"/>
                  </w:pPr>
                  <w:r>
                    <w:t>现场安全文明施工费</w:t>
                  </w:r>
                </w:p>
              </w:tc>
              <w:tc>
                <w:tcPr>
                  <w:tcW w:w="1424" w:type="dxa"/>
                  <w:vMerge w:val="restart"/>
                  <w:vAlign w:val="center"/>
                </w:tcPr>
                <w:p w14:paraId="6485C314">
                  <w:pPr>
                    <w:pStyle w:val="7"/>
                    <w:ind w:firstLine="0" w:firstLineChars="0"/>
                    <w:jc w:val="center"/>
                  </w:pPr>
                  <w:r>
                    <w:rPr>
                      <w:rFonts w:hint="eastAsia"/>
                    </w:rPr>
                    <w:t>临时设施（%）</w:t>
                  </w:r>
                </w:p>
              </w:tc>
              <w:tc>
                <w:tcPr>
                  <w:tcW w:w="1048" w:type="dxa"/>
                  <w:vMerge w:val="restart"/>
                  <w:vAlign w:val="center"/>
                </w:tcPr>
                <w:p w14:paraId="7C3A46AA">
                  <w:pPr>
                    <w:pStyle w:val="7"/>
                    <w:ind w:firstLine="0" w:firstLineChars="0"/>
                    <w:jc w:val="center"/>
                  </w:pPr>
                  <w:r>
                    <w:t>社会保障费率</w:t>
                  </w:r>
                  <w:r>
                    <w:rPr>
                      <w:rFonts w:hint="eastAsia"/>
                    </w:rPr>
                    <w:t>（%）</w:t>
                  </w:r>
                </w:p>
              </w:tc>
              <w:tc>
                <w:tcPr>
                  <w:tcW w:w="1064" w:type="dxa"/>
                  <w:vMerge w:val="restart"/>
                  <w:vAlign w:val="center"/>
                </w:tcPr>
                <w:p w14:paraId="23812078">
                  <w:pPr>
                    <w:pStyle w:val="7"/>
                    <w:ind w:firstLine="0" w:firstLineChars="0"/>
                    <w:jc w:val="center"/>
                  </w:pPr>
                  <w:r>
                    <w:t>公积金</w:t>
                  </w:r>
                  <w:r>
                    <w:rPr>
                      <w:rFonts w:hint="eastAsia"/>
                    </w:rPr>
                    <w:t>率（%）</w:t>
                  </w:r>
                </w:p>
              </w:tc>
              <w:tc>
                <w:tcPr>
                  <w:tcW w:w="913" w:type="dxa"/>
                  <w:vMerge w:val="restart"/>
                  <w:vAlign w:val="center"/>
                </w:tcPr>
                <w:p w14:paraId="1FEE11CD">
                  <w:pPr>
                    <w:pStyle w:val="7"/>
                    <w:ind w:firstLine="0" w:firstLineChars="0"/>
                    <w:jc w:val="center"/>
                  </w:pPr>
                  <w:r>
                    <w:rPr>
                      <w:rFonts w:hint="eastAsia"/>
                    </w:rPr>
                    <w:t>环境保护税（%）</w:t>
                  </w:r>
                </w:p>
              </w:tc>
              <w:tc>
                <w:tcPr>
                  <w:tcW w:w="781" w:type="dxa"/>
                  <w:vMerge w:val="restart"/>
                  <w:vAlign w:val="center"/>
                </w:tcPr>
                <w:p w14:paraId="06E18599">
                  <w:pPr>
                    <w:pStyle w:val="7"/>
                    <w:ind w:firstLine="0" w:firstLineChars="0"/>
                    <w:jc w:val="center"/>
                  </w:pPr>
                  <w:r>
                    <w:t>税金</w:t>
                  </w:r>
                  <w:r>
                    <w:rPr>
                      <w:rFonts w:hint="eastAsia"/>
                    </w:rPr>
                    <w:t>（%）</w:t>
                  </w:r>
                </w:p>
              </w:tc>
            </w:tr>
            <w:tr w14:paraId="6A4203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</w:trPr>
              <w:tc>
                <w:tcPr>
                  <w:tcW w:w="1315" w:type="dxa"/>
                  <w:vMerge w:val="continue"/>
                  <w:vAlign w:val="center"/>
                </w:tcPr>
                <w:p w14:paraId="41D26B6D">
                  <w:pPr>
                    <w:pStyle w:val="7"/>
                    <w:ind w:firstLine="0" w:firstLineChars="0"/>
                    <w:jc w:val="center"/>
                  </w:pPr>
                </w:p>
              </w:tc>
              <w:tc>
                <w:tcPr>
                  <w:tcW w:w="1063" w:type="dxa"/>
                  <w:vAlign w:val="center"/>
                </w:tcPr>
                <w:p w14:paraId="0C8739E6">
                  <w:pPr>
                    <w:pStyle w:val="7"/>
                    <w:ind w:firstLine="0" w:firstLineChars="0"/>
                    <w:jc w:val="center"/>
                  </w:pPr>
                  <w:r>
                    <w:t>基本费</w:t>
                  </w:r>
                  <w:r>
                    <w:rPr>
                      <w:rFonts w:hint="eastAsia"/>
                    </w:rPr>
                    <w:t>（%）</w:t>
                  </w:r>
                </w:p>
              </w:tc>
              <w:tc>
                <w:tcPr>
                  <w:tcW w:w="1709" w:type="dxa"/>
                  <w:vAlign w:val="center"/>
                </w:tcPr>
                <w:p w14:paraId="285CCC82">
                  <w:pPr>
                    <w:pStyle w:val="7"/>
                    <w:ind w:firstLine="0" w:firstLineChars="0"/>
                    <w:jc w:val="center"/>
                  </w:pPr>
                  <w:r>
                    <w:t>扬尘污染防治增加费</w:t>
                  </w:r>
                  <w:r>
                    <w:rPr>
                      <w:rFonts w:hint="eastAsia"/>
                    </w:rPr>
                    <w:t>（%）</w:t>
                  </w:r>
                </w:p>
              </w:tc>
              <w:tc>
                <w:tcPr>
                  <w:tcW w:w="1424" w:type="dxa"/>
                  <w:vMerge w:val="continue"/>
                  <w:vAlign w:val="center"/>
                </w:tcPr>
                <w:p w14:paraId="426F8398">
                  <w:pPr>
                    <w:pStyle w:val="7"/>
                    <w:ind w:firstLine="0" w:firstLineChars="0"/>
                    <w:jc w:val="center"/>
                  </w:pPr>
                </w:p>
              </w:tc>
              <w:tc>
                <w:tcPr>
                  <w:tcW w:w="1048" w:type="dxa"/>
                  <w:vMerge w:val="continue"/>
                  <w:vAlign w:val="center"/>
                </w:tcPr>
                <w:p w14:paraId="36250C25">
                  <w:pPr>
                    <w:pStyle w:val="7"/>
                    <w:ind w:firstLine="0" w:firstLineChars="0"/>
                    <w:jc w:val="center"/>
                  </w:pPr>
                </w:p>
              </w:tc>
              <w:tc>
                <w:tcPr>
                  <w:tcW w:w="1064" w:type="dxa"/>
                  <w:vMerge w:val="continue"/>
                  <w:vAlign w:val="center"/>
                </w:tcPr>
                <w:p w14:paraId="6712DBFC">
                  <w:pPr>
                    <w:pStyle w:val="7"/>
                    <w:ind w:firstLine="0" w:firstLineChars="0"/>
                    <w:jc w:val="center"/>
                  </w:pPr>
                </w:p>
              </w:tc>
              <w:tc>
                <w:tcPr>
                  <w:tcW w:w="913" w:type="dxa"/>
                  <w:vMerge w:val="continue"/>
                  <w:vAlign w:val="center"/>
                </w:tcPr>
                <w:p w14:paraId="7543EDCC">
                  <w:pPr>
                    <w:pStyle w:val="7"/>
                    <w:ind w:firstLine="0" w:firstLineChars="0"/>
                    <w:jc w:val="center"/>
                  </w:pPr>
                </w:p>
              </w:tc>
              <w:tc>
                <w:tcPr>
                  <w:tcW w:w="781" w:type="dxa"/>
                  <w:vMerge w:val="continue"/>
                  <w:vAlign w:val="center"/>
                </w:tcPr>
                <w:p w14:paraId="2E87FAA8">
                  <w:pPr>
                    <w:pStyle w:val="7"/>
                    <w:ind w:firstLine="0" w:firstLineChars="0"/>
                    <w:jc w:val="center"/>
                  </w:pPr>
                </w:p>
              </w:tc>
            </w:tr>
            <w:tr w14:paraId="0FE3BA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315" w:type="dxa"/>
                  <w:vAlign w:val="center"/>
                </w:tcPr>
                <w:p w14:paraId="48CBE5CF">
                  <w:pPr>
                    <w:pStyle w:val="7"/>
                    <w:ind w:firstLine="0" w:firstLineChars="0"/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市政</w:t>
                  </w:r>
                  <w:r>
                    <w:rPr>
                      <w:rFonts w:hint="eastAsia"/>
                    </w:rPr>
                    <w:t>工程</w:t>
                  </w:r>
                </w:p>
              </w:tc>
              <w:tc>
                <w:tcPr>
                  <w:tcW w:w="1063" w:type="dxa"/>
                  <w:vAlign w:val="center"/>
                </w:tcPr>
                <w:p w14:paraId="7EFD8653">
                  <w:pPr>
                    <w:pStyle w:val="7"/>
                    <w:ind w:firstLine="0" w:firstLineChars="0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1.5</w:t>
                  </w:r>
                </w:p>
              </w:tc>
              <w:tc>
                <w:tcPr>
                  <w:tcW w:w="1709" w:type="dxa"/>
                  <w:vAlign w:val="center"/>
                </w:tcPr>
                <w:p w14:paraId="3B9E0811">
                  <w:pPr>
                    <w:pStyle w:val="7"/>
                    <w:ind w:firstLine="0" w:firstLineChars="0"/>
                    <w:jc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</w:rPr>
                    <w:t>0.</w:t>
                  </w:r>
                  <w:r>
                    <w:rPr>
                      <w:rFonts w:hint="eastAsia"/>
                      <w:lang w:val="en-US" w:eastAsia="zh-CN"/>
                    </w:rPr>
                    <w:t>31</w:t>
                  </w:r>
                </w:p>
              </w:tc>
              <w:tc>
                <w:tcPr>
                  <w:tcW w:w="1424" w:type="dxa"/>
                  <w:vAlign w:val="center"/>
                </w:tcPr>
                <w:p w14:paraId="37262DA1">
                  <w:pPr>
                    <w:pStyle w:val="7"/>
                    <w:ind w:firstLine="0" w:firstLineChars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1.65</w:t>
                  </w:r>
                </w:p>
              </w:tc>
              <w:tc>
                <w:tcPr>
                  <w:tcW w:w="1048" w:type="dxa"/>
                  <w:vAlign w:val="center"/>
                </w:tcPr>
                <w:p w14:paraId="2734E5A2">
                  <w:pPr>
                    <w:pStyle w:val="7"/>
                    <w:ind w:firstLine="0" w:firstLineChars="0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1064" w:type="dxa"/>
                  <w:vAlign w:val="center"/>
                </w:tcPr>
                <w:p w14:paraId="0C70AB91">
                  <w:pPr>
                    <w:pStyle w:val="7"/>
                    <w:ind w:firstLine="0" w:firstLineChars="0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0.</w:t>
                  </w:r>
                  <w:r>
                    <w:rPr>
                      <w:rFonts w:hint="eastAsia"/>
                      <w:lang w:val="en-US" w:eastAsia="zh-CN"/>
                    </w:rPr>
                    <w:t>34</w:t>
                  </w:r>
                </w:p>
              </w:tc>
              <w:tc>
                <w:tcPr>
                  <w:tcW w:w="913" w:type="dxa"/>
                  <w:vAlign w:val="center"/>
                </w:tcPr>
                <w:p w14:paraId="6CF21717">
                  <w:pPr>
                    <w:pStyle w:val="7"/>
                    <w:ind w:firstLine="0" w:firstLineChars="0"/>
                    <w:jc w:val="center"/>
                  </w:pPr>
                  <w:r>
                    <w:rPr>
                      <w:rFonts w:hint="eastAsia"/>
                    </w:rPr>
                    <w:t>0.1</w:t>
                  </w:r>
                </w:p>
              </w:tc>
              <w:tc>
                <w:tcPr>
                  <w:tcW w:w="781" w:type="dxa"/>
                  <w:vAlign w:val="center"/>
                </w:tcPr>
                <w:p w14:paraId="68215471">
                  <w:pPr>
                    <w:pStyle w:val="7"/>
                    <w:ind w:firstLine="0" w:firstLineChars="0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9</w:t>
                  </w:r>
                </w:p>
              </w:tc>
            </w:tr>
            <w:tr w14:paraId="464F01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" w:hRule="atLeast"/>
              </w:trPr>
              <w:tc>
                <w:tcPr>
                  <w:tcW w:w="1315" w:type="dxa"/>
                  <w:vAlign w:val="center"/>
                </w:tcPr>
                <w:p w14:paraId="1CB80375">
                  <w:pPr>
                    <w:pStyle w:val="7"/>
                    <w:ind w:firstLine="0" w:firstLineChars="0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绿化工程</w:t>
                  </w:r>
                </w:p>
              </w:tc>
              <w:tc>
                <w:tcPr>
                  <w:tcW w:w="1063" w:type="dxa"/>
                  <w:vAlign w:val="center"/>
                </w:tcPr>
                <w:p w14:paraId="268E0ED2">
                  <w:pPr>
                    <w:pStyle w:val="7"/>
                    <w:ind w:firstLine="0" w:firstLineChars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709" w:type="dxa"/>
                  <w:vAlign w:val="center"/>
                </w:tcPr>
                <w:p w14:paraId="72269876">
                  <w:pPr>
                    <w:pStyle w:val="7"/>
                    <w:ind w:firstLine="0" w:firstLineChars="0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0.21</w:t>
                  </w:r>
                </w:p>
              </w:tc>
              <w:tc>
                <w:tcPr>
                  <w:tcW w:w="1424" w:type="dxa"/>
                  <w:vAlign w:val="center"/>
                </w:tcPr>
                <w:p w14:paraId="75C0DA95">
                  <w:pPr>
                    <w:pStyle w:val="7"/>
                    <w:ind w:firstLine="0" w:firstLineChars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0.55</w:t>
                  </w:r>
                </w:p>
              </w:tc>
              <w:tc>
                <w:tcPr>
                  <w:tcW w:w="1048" w:type="dxa"/>
                  <w:vAlign w:val="center"/>
                </w:tcPr>
                <w:p w14:paraId="72C2C66B">
                  <w:pPr>
                    <w:pStyle w:val="7"/>
                    <w:ind w:firstLine="0" w:firstLineChars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3.3</w:t>
                  </w:r>
                </w:p>
              </w:tc>
              <w:tc>
                <w:tcPr>
                  <w:tcW w:w="1064" w:type="dxa"/>
                  <w:vAlign w:val="center"/>
                </w:tcPr>
                <w:p w14:paraId="4E419ACE">
                  <w:pPr>
                    <w:pStyle w:val="7"/>
                    <w:ind w:firstLine="0" w:firstLineChars="0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0.55</w:t>
                  </w:r>
                </w:p>
              </w:tc>
              <w:tc>
                <w:tcPr>
                  <w:tcW w:w="913" w:type="dxa"/>
                  <w:vAlign w:val="center"/>
                </w:tcPr>
                <w:p w14:paraId="61F03312">
                  <w:pPr>
                    <w:pStyle w:val="7"/>
                    <w:ind w:firstLine="0" w:firstLineChars="0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0.1</w:t>
                  </w:r>
                </w:p>
              </w:tc>
              <w:tc>
                <w:tcPr>
                  <w:tcW w:w="781" w:type="dxa"/>
                  <w:vAlign w:val="center"/>
                </w:tcPr>
                <w:p w14:paraId="427DDC59">
                  <w:pPr>
                    <w:pStyle w:val="7"/>
                    <w:ind w:firstLine="0" w:firstLineChars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9</w:t>
                  </w:r>
                </w:p>
              </w:tc>
            </w:tr>
          </w:tbl>
          <w:p w14:paraId="0E0F3769">
            <w:r>
              <w:rPr>
                <w:rFonts w:hint="eastAsia"/>
              </w:rPr>
              <w:t>三、暂列金：本工程</w:t>
            </w:r>
            <w:r>
              <w:rPr>
                <w:rFonts w:hint="eastAsia"/>
                <w:lang w:val="en-US" w:eastAsia="zh-CN"/>
              </w:rPr>
              <w:t>无</w:t>
            </w:r>
            <w:r>
              <w:rPr>
                <w:rFonts w:hint="eastAsia"/>
              </w:rPr>
              <w:t>暂列金。</w:t>
            </w:r>
          </w:p>
          <w:p w14:paraId="055CB744">
            <w:r>
              <w:rPr>
                <w:rFonts w:hint="eastAsia"/>
              </w:rPr>
              <w:t>四、补充说明：</w:t>
            </w:r>
          </w:p>
          <w:p w14:paraId="42F1287B"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1、本工程为</w:t>
            </w:r>
            <w:r>
              <w:rPr>
                <w:rFonts w:hint="eastAsia"/>
                <w:lang w:val="en-US" w:eastAsia="zh-CN"/>
              </w:rPr>
              <w:t>一般</w:t>
            </w:r>
            <w:r>
              <w:rPr>
                <w:rFonts w:hint="eastAsia"/>
              </w:rPr>
              <w:t>计税。</w:t>
            </w:r>
          </w:p>
          <w:p w14:paraId="2CDCE667">
            <w:pPr>
              <w:spacing w:line="360" w:lineRule="auto"/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2、本工程量清单应与投标须知、合同通用条款、合同专用条款、技术条件或规范一起使用，清单中未注明，</w:t>
            </w:r>
            <w:r>
              <w:rPr>
                <w:rFonts w:hint="eastAsia"/>
                <w:lang w:val="en-US" w:eastAsia="zh-CN"/>
              </w:rPr>
              <w:t>施工</w:t>
            </w:r>
            <w:r>
              <w:rPr>
                <w:rFonts w:hint="eastAsia"/>
              </w:rPr>
              <w:t>中包含的项目</w:t>
            </w:r>
            <w:r>
              <w:rPr>
                <w:rFonts w:hint="eastAsia"/>
                <w:lang w:val="en-US" w:eastAsia="zh-CN"/>
              </w:rPr>
              <w:t>在</w:t>
            </w:r>
            <w:r>
              <w:rPr>
                <w:rFonts w:hint="eastAsia"/>
              </w:rPr>
              <w:t>报价时包含在相关子目综合单价中，不另计取。</w:t>
            </w:r>
          </w:p>
          <w:p w14:paraId="7C92DAFB"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、弃土场地、取土场地、运输距离及消纳费等相关费用均由投标人自行考虑，结算时不再增加，费用总和考虑在报价中。</w:t>
            </w:r>
          </w:p>
          <w:p w14:paraId="4473EFD2"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、本项目的混凝土项目单价为全费用单价，含搅拌、运输、</w:t>
            </w:r>
            <w:r>
              <w:rPr>
                <w:rFonts w:hint="eastAsia"/>
                <w:lang w:val="en-US" w:eastAsia="zh-CN"/>
              </w:rPr>
              <w:t>模板、脚手架</w:t>
            </w:r>
            <w:r>
              <w:rPr>
                <w:rFonts w:hint="eastAsia"/>
              </w:rPr>
              <w:t>、止水及伸缩缝等一切费用，投标单位一经报出，结算按混凝土实际工程量调整工程量，综合单价不予调整。</w:t>
            </w:r>
          </w:p>
          <w:p w14:paraId="743C52E3"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、项目特征中描述不全、不清的技术参数、要求等最终以</w:t>
            </w:r>
            <w:r>
              <w:rPr>
                <w:rFonts w:hint="eastAsia"/>
                <w:lang w:val="en-US" w:eastAsia="zh-CN"/>
              </w:rPr>
              <w:t>建设单位</w:t>
            </w:r>
            <w:r>
              <w:rPr>
                <w:rFonts w:hint="eastAsia"/>
              </w:rPr>
              <w:t>要求为准，投标人应根据</w:t>
            </w:r>
            <w:r>
              <w:rPr>
                <w:rFonts w:hint="eastAsia"/>
                <w:lang w:val="en-US" w:eastAsia="zh-CN"/>
              </w:rPr>
              <w:t>现场实际情况</w:t>
            </w:r>
            <w:r>
              <w:rPr>
                <w:rFonts w:hint="eastAsia"/>
              </w:rPr>
              <w:t>在报价中充分考虑，结算时其综合单价不作调整。</w:t>
            </w:r>
          </w:p>
          <w:p w14:paraId="05B4C0DE"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、本工程建议采用商品砼。</w:t>
            </w:r>
          </w:p>
          <w:p w14:paraId="4EBD6785">
            <w:pPr>
              <w:spacing w:line="360" w:lineRule="auto"/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对于江苏省、南京市相关部门对工程施工要求所发的文件规定，特别是对于工程围挡、扬尘控制等的要求，请投标人在报价中充分考虑，结算时不得增加与此有关的费用。</w:t>
            </w:r>
          </w:p>
          <w:p w14:paraId="6CAE47D9"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、其它：</w:t>
            </w:r>
          </w:p>
          <w:p w14:paraId="59089B06"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.1 施工现场</w:t>
            </w:r>
            <w:r>
              <w:rPr>
                <w:rFonts w:hint="eastAsia"/>
                <w:lang w:val="en-US" w:eastAsia="zh-CN"/>
              </w:rPr>
              <w:t>应提防</w:t>
            </w:r>
            <w:r>
              <w:rPr>
                <w:rFonts w:hint="eastAsia"/>
              </w:rPr>
              <w:t>现场地理环境因素受限制，部分桥梁承载能力不足，以及现场场地狭小等，投标人应自行考虑施工受限带来的施工难度及产生的相关费用，均包含在投标报价中，后期不得向招标人提出索赔。</w:t>
            </w:r>
          </w:p>
          <w:p w14:paraId="4DE0FFB3"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.2 各投标人请充分考虑施工范围内（包括但不仅限于填土、绿化等原因）导致施工实施难度增加的情况，由此产生的费用请综合考虑在投标报价中，后期不得向招标人提出索赔。</w:t>
            </w:r>
          </w:p>
          <w:p w14:paraId="0EC88C24"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.3 本项目实施过程中涉及工程项目进展过程中多方协调，交叉作业等情况，由此产生的费用请综合考虑在投标报价中，后期不得向招标人提出索赔。</w:t>
            </w:r>
          </w:p>
          <w:p w14:paraId="3E873239">
            <w:pPr>
              <w:ind w:firstLine="210" w:firstLineChars="10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04E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E7126"/>
    <w:multiLevelType w:val="multilevel"/>
    <w:tmpl w:val="04CE712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D0826"/>
    <w:multiLevelType w:val="multilevel"/>
    <w:tmpl w:val="1ABD0826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1MTg0NTlmZDE3Mjk1NzE1OTZlZDBkYzBkOTc0ODgifQ=="/>
    <w:docVar w:name="KSO_WPS_MARK_KEY" w:val="07b7819d-aec7-4497-87c6-acfb30ff9586"/>
  </w:docVars>
  <w:rsids>
    <w:rsidRoot w:val="00363D36"/>
    <w:rsid w:val="00046591"/>
    <w:rsid w:val="000D3AFA"/>
    <w:rsid w:val="000D43E7"/>
    <w:rsid w:val="0018504E"/>
    <w:rsid w:val="001A246D"/>
    <w:rsid w:val="001A6408"/>
    <w:rsid w:val="001F1B92"/>
    <w:rsid w:val="001F61D4"/>
    <w:rsid w:val="00241622"/>
    <w:rsid w:val="002547CC"/>
    <w:rsid w:val="00270A37"/>
    <w:rsid w:val="002B00E8"/>
    <w:rsid w:val="002C5104"/>
    <w:rsid w:val="00317C50"/>
    <w:rsid w:val="00341446"/>
    <w:rsid w:val="00363D36"/>
    <w:rsid w:val="00365F08"/>
    <w:rsid w:val="003B0659"/>
    <w:rsid w:val="003E3850"/>
    <w:rsid w:val="0041560C"/>
    <w:rsid w:val="004A0398"/>
    <w:rsid w:val="004B6DA0"/>
    <w:rsid w:val="004D1DCC"/>
    <w:rsid w:val="004D5ECC"/>
    <w:rsid w:val="00526C3E"/>
    <w:rsid w:val="0055492E"/>
    <w:rsid w:val="005C1513"/>
    <w:rsid w:val="0061545F"/>
    <w:rsid w:val="00632FF3"/>
    <w:rsid w:val="00633429"/>
    <w:rsid w:val="006D211D"/>
    <w:rsid w:val="00700D57"/>
    <w:rsid w:val="00716518"/>
    <w:rsid w:val="00740F38"/>
    <w:rsid w:val="0078662D"/>
    <w:rsid w:val="007A6076"/>
    <w:rsid w:val="007D5E21"/>
    <w:rsid w:val="00804911"/>
    <w:rsid w:val="0083665A"/>
    <w:rsid w:val="00891D58"/>
    <w:rsid w:val="008A48AB"/>
    <w:rsid w:val="008E7ED0"/>
    <w:rsid w:val="00926E6B"/>
    <w:rsid w:val="00946A60"/>
    <w:rsid w:val="009B0EE8"/>
    <w:rsid w:val="009C63A2"/>
    <w:rsid w:val="00A22946"/>
    <w:rsid w:val="00A52016"/>
    <w:rsid w:val="00AC491B"/>
    <w:rsid w:val="00BF2856"/>
    <w:rsid w:val="00BF3221"/>
    <w:rsid w:val="00C23D6C"/>
    <w:rsid w:val="00C56D45"/>
    <w:rsid w:val="00C64BB1"/>
    <w:rsid w:val="00C917DC"/>
    <w:rsid w:val="00CA5379"/>
    <w:rsid w:val="00CB02B9"/>
    <w:rsid w:val="00D22E57"/>
    <w:rsid w:val="00D5708C"/>
    <w:rsid w:val="00E3275A"/>
    <w:rsid w:val="00E63F42"/>
    <w:rsid w:val="00EC6FD2"/>
    <w:rsid w:val="00EE3E22"/>
    <w:rsid w:val="00EE501D"/>
    <w:rsid w:val="00EF3D25"/>
    <w:rsid w:val="00F15A88"/>
    <w:rsid w:val="00F66589"/>
    <w:rsid w:val="00F72B0B"/>
    <w:rsid w:val="00F73DDB"/>
    <w:rsid w:val="04E377CC"/>
    <w:rsid w:val="054B3017"/>
    <w:rsid w:val="0587295E"/>
    <w:rsid w:val="07D72618"/>
    <w:rsid w:val="09C05539"/>
    <w:rsid w:val="09EF0671"/>
    <w:rsid w:val="0ECF5262"/>
    <w:rsid w:val="112B04DA"/>
    <w:rsid w:val="11371515"/>
    <w:rsid w:val="123C3186"/>
    <w:rsid w:val="12655821"/>
    <w:rsid w:val="13741F37"/>
    <w:rsid w:val="17B86DB2"/>
    <w:rsid w:val="18774C0A"/>
    <w:rsid w:val="19AB73E5"/>
    <w:rsid w:val="19DD0836"/>
    <w:rsid w:val="1C0B6D14"/>
    <w:rsid w:val="1E211544"/>
    <w:rsid w:val="1EEA78BF"/>
    <w:rsid w:val="229C32FC"/>
    <w:rsid w:val="25A00351"/>
    <w:rsid w:val="26E33204"/>
    <w:rsid w:val="2B6F55CF"/>
    <w:rsid w:val="2CBA57BA"/>
    <w:rsid w:val="2D1F53D6"/>
    <w:rsid w:val="34C41691"/>
    <w:rsid w:val="36F75F04"/>
    <w:rsid w:val="36FF1F7F"/>
    <w:rsid w:val="38DC37A1"/>
    <w:rsid w:val="3A223894"/>
    <w:rsid w:val="3B6138AA"/>
    <w:rsid w:val="3C7D772F"/>
    <w:rsid w:val="44C06092"/>
    <w:rsid w:val="46B55591"/>
    <w:rsid w:val="46C7044E"/>
    <w:rsid w:val="47715B17"/>
    <w:rsid w:val="47F90C05"/>
    <w:rsid w:val="49A334FA"/>
    <w:rsid w:val="4C84320B"/>
    <w:rsid w:val="4CB22410"/>
    <w:rsid w:val="4E8C4626"/>
    <w:rsid w:val="4F347AC7"/>
    <w:rsid w:val="4FBA2600"/>
    <w:rsid w:val="504608A3"/>
    <w:rsid w:val="52155B6B"/>
    <w:rsid w:val="5654037A"/>
    <w:rsid w:val="57781C8F"/>
    <w:rsid w:val="60E47090"/>
    <w:rsid w:val="64824725"/>
    <w:rsid w:val="648F0E01"/>
    <w:rsid w:val="651820A8"/>
    <w:rsid w:val="66B07E9C"/>
    <w:rsid w:val="685766BF"/>
    <w:rsid w:val="687E102A"/>
    <w:rsid w:val="6B005C39"/>
    <w:rsid w:val="6BA804D4"/>
    <w:rsid w:val="6CDD638A"/>
    <w:rsid w:val="6E2038A4"/>
    <w:rsid w:val="75A84326"/>
    <w:rsid w:val="75BB0228"/>
    <w:rsid w:val="75C32CA0"/>
    <w:rsid w:val="77511E37"/>
    <w:rsid w:val="793E398E"/>
    <w:rsid w:val="7A1B7E60"/>
    <w:rsid w:val="7A9F4E9E"/>
    <w:rsid w:val="7AD45FFA"/>
    <w:rsid w:val="7F02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1047</Words>
  <Characters>1116</Characters>
  <Lines>4</Lines>
  <Paragraphs>1</Paragraphs>
  <TotalTime>77</TotalTime>
  <ScaleCrop>false</ScaleCrop>
  <LinksUpToDate>false</LinksUpToDate>
  <CharactersWithSpaces>1119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2018-04-23T09:07:00Z</dcterms:created>
  <dc:creator>微软用户</dc:creator>
  <cp:lastModifiedBy>姚</cp:lastModifiedBy>
  <cp:lastPrinted>2025-04-22T02:54:00Z</cp:lastPrinted>
  <dcterms:modified xsi:type="dcterms:W3CDTF">2025-09-01T09:39:25Z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EE9E564EC4104A9C8B8F07B4529A17FE</vt:lpwstr>
  </property>
  <property fmtid="{D5CDD505-2E9C-101B-9397-08002B2CF9AE}" pid="4" name="KSOTemplateDocerSaveRecord">
    <vt:lpwstr>eyJoZGlkIjoiZTQxODhmNTY1MDAwNjM1ODgwMTU5YThlZDA5OTFiNmYiLCJ1c2VySWQiOiI1NjcxMjM2MTgifQ==</vt:lpwstr>
  </property>
</Properties>
</file>