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jc w:val="left"/>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sz w:val="32"/>
          <w:szCs w:val="24"/>
          <w:lang w:eastAsia="zh-CN"/>
        </w:rPr>
        <w:t xml:space="preserve">项目名</w:t>
      </w:r>
      <w:r>
        <w:rPr>
          <w:rFonts w:hint="eastAsia" w:ascii="Arial" w:hAnsi="Arial" w:eastAsia="宋体" w:cs="Times New Roman"/>
          <w:b/>
          <w:bCs/>
          <w:color w:val="000000"/>
          <w:sz w:val="32"/>
          <w:szCs w:val="24"/>
          <w:lang w:eastAsia="zh-CN"/>
        </w:rPr>
        <w:t xml:space="preserve">称：南京江北新区政务外网二平面建设项目</w:t>
      </w:r>
      <w:r/>
    </w:p>
    <w:p>
      <w:pPr>
        <w:ind w:firstLine="1606"/>
        <w:jc w:val="left"/>
        <w:spacing w:before="120" w:after="120" w:line="360" w:lineRule="auto"/>
        <w:rPr>
          <w:rFonts w:hint="default"/>
          <w:color w:val="000000"/>
          <w:lang w:val="en-US"/>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JSZC-320192-JZCG-C2026-0027</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49"/>
        <w:ind w:firstLine="0"/>
        <w:jc w:val="center"/>
        <w:rPr>
          <w:rFonts w:hint="eastAsia" w:ascii="Arial" w:hAnsi="Arial" w:eastAsia="宋体" w:cs="Times New Roman"/>
          <w:b/>
          <w:bCs/>
          <w:sz w:val="32"/>
          <w:lang w:eastAsia="zh-CN"/>
        </w:rPr>
      </w:pPr>
      <w:r>
        <w:rPr>
          <w:rFonts w:hint="eastAsia" w:cs="Times New Roman"/>
          <w:b/>
          <w:bCs/>
          <w:sz w:val="32"/>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ascii="Times New Roman" w:hAnsi="Times New Roman" w:eastAsia="宋体" w:cs="Times New Roman"/>
          <w:b/>
          <w:bCs w:val="0"/>
          <w:color w:val="000000"/>
          <w:sz w:val="32"/>
          <w:szCs w:val="32"/>
          <w:u w:val="none"/>
          <w:lang w:val="en-US" w:eastAsia="zh-CN"/>
        </w:rPr>
        <w:t xml:space="preserve">7月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479757206"/>
      <w:r/>
      <w:bookmarkStart w:id="1" w:name="_Toc513029200"/>
      <w:r/>
      <w:bookmarkStart w:id="2" w:name="_Toc523127445"/>
      <w:r/>
      <w:bookmarkStart w:id="3" w:name="_Toc16938516"/>
      <w:r/>
      <w:bookmarkStart w:id="4" w:name="_Toc120614210"/>
      <w:r/>
      <w:bookmarkStart w:id="5" w:name="_Toc20823272"/>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ascii="宋体" w:hAnsi="宋体" w:eastAsia="宋体" w:cs="宋体"/>
          <w:spacing w:val="2"/>
          <w:sz w:val="24"/>
          <w:szCs w:val="24"/>
          <w:u w:val="single"/>
          <w:lang w:eastAsia="zh-CN"/>
        </w:rPr>
        <w:t xml:space="preserve">南京江北新区城市数字治理中心</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u w:val="single"/>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宋体"/>
          <w:spacing w:val="2"/>
          <w:sz w:val="24"/>
          <w:szCs w:val="24"/>
          <w:u w:val="single"/>
          <w:lang w:eastAsia="zh-CN"/>
        </w:rPr>
        <w:t xml:space="preserve">南京江北新区政务外网二平面建设项目</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40" w:lineRule="auto"/>
        <w:widowControl w:val="off"/>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JSZC-320192-JZCG-C2026-00</w:t>
      </w:r>
      <w:r>
        <w:rPr>
          <w:rFonts w:hint="eastAsia" w:ascii="宋体" w:hAnsi="宋体" w:cs="Times New Roman"/>
          <w:color w:val="000000"/>
          <w:sz w:val="24"/>
          <w:szCs w:val="24"/>
          <w:lang w:val="en-US" w:eastAsia="zh-CN"/>
        </w:rPr>
        <w:t xml:space="preserve">27</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宋体"/>
          <w:spacing w:val="2"/>
          <w:sz w:val="24"/>
          <w:szCs w:val="24"/>
          <w:lang w:eastAsia="zh-CN"/>
        </w:rPr>
        <w:t xml:space="preserve">南京江北新区政务外网二平面建设项目</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310</w:t>
      </w:r>
      <w:r>
        <w:rPr>
          <w:rFonts w:hint="eastAsia" w:ascii="宋体" w:hAnsi="宋体" w:eastAsia="宋体" w:cs="宋体"/>
          <w:color w:val="000000"/>
          <w:sz w:val="24"/>
          <w:szCs w:val="24"/>
          <w:highlight w:val="none"/>
          <w:lang w:val="en-US" w:eastAsia="zh-CN"/>
        </w:rPr>
        <w:t xml:space="preserve">万元</w:t>
      </w:r>
      <w:r/>
    </w:p>
    <w:p>
      <w:pPr>
        <w:ind w:firstLine="480"/>
        <w:pageBreakBefore w:val="0"/>
        <w:spacing w:line="240" w:lineRule="auto"/>
        <w:widowControl w:val="off"/>
        <w:rPr>
          <w:rFonts w:hint="default" w:ascii="宋体" w:hAnsi="宋体" w:eastAsia="宋体" w:cs="宋体"/>
          <w:sz w:val="24"/>
          <w:szCs w:val="24"/>
          <w:highlight w:val="yellow"/>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lang w:val="en-US" w:eastAsia="zh-CN"/>
        </w:rPr>
        <w:t xml:space="preserve">310万元</w:t>
      </w:r>
      <w:r/>
    </w:p>
    <w:p>
      <w:pPr>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spacing w:val="2"/>
          <w:sz w:val="24"/>
          <w:szCs w:val="24"/>
          <w:lang w:eastAsia="zh-CN"/>
        </w:rPr>
        <w:t xml:space="preserve">通过采购政务外网二平面服务，</w:t>
      </w:r>
      <w:r>
        <w:rPr>
          <w:rFonts w:hint="eastAsia" w:ascii="宋体" w:hAnsi="宋体" w:eastAsia="宋体" w:cs="宋体"/>
          <w:spacing w:val="2"/>
          <w:sz w:val="24"/>
          <w:szCs w:val="24"/>
          <w:lang w:val="en-US" w:eastAsia="zh-CN"/>
        </w:rPr>
        <w:t xml:space="preserve">推进</w:t>
      </w:r>
      <w:r>
        <w:rPr>
          <w:rFonts w:hint="eastAsia" w:ascii="宋体" w:hAnsi="宋体" w:eastAsia="宋体" w:cs="宋体"/>
          <w:spacing w:val="2"/>
          <w:sz w:val="24"/>
          <w:szCs w:val="24"/>
          <w:lang w:eastAsia="zh-CN"/>
        </w:rPr>
        <w:t xml:space="preserve">江北新区电子政务外网升级迭代，同步嵌入纵深防御安全机制，对政务外网基础设施及承载的各类业务系统实施全方位安全加固</w:t>
      </w:r>
      <w:r>
        <w:rPr>
          <w:rFonts w:hint="eastAsia" w:ascii="宋体" w:hAnsi="宋体" w:cs="宋体"/>
          <w:spacing w:val="2"/>
          <w:sz w:val="24"/>
          <w:szCs w:val="24"/>
          <w:lang w:eastAsia="zh-CN"/>
        </w:rPr>
        <w:t xml:space="preserve">。</w:t>
      </w:r>
      <w:r>
        <w:rPr>
          <w:rFonts w:hint="eastAsia" w:ascii="宋体" w:hAnsi="宋体" w:cs="宋体"/>
          <w:sz w:val="24"/>
          <w:szCs w:val="24"/>
        </w:rPr>
        <w:t xml:space="preserve">（详见本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p>
    <w:p>
      <w:pPr>
        <w:ind w:firstLine="480"/>
        <w:keepLines w:val="0"/>
        <w:keepNext w:val="0"/>
        <w:pageBreakBefore w:val="0"/>
        <w:spacing w:line="264" w:lineRule="auto"/>
        <w:widowControl w:val="off"/>
        <w:rPr>
          <w:rFonts w:hint="default"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ascii="宋体" w:hAnsi="宋体" w:eastAsia="宋体" w:cs="宋体"/>
          <w:spacing w:val="2"/>
          <w:sz w:val="24"/>
          <w:szCs w:val="24"/>
          <w:lang w:eastAsia="zh-CN"/>
        </w:rPr>
        <w:t xml:space="preserve">自合同签订之日起，供应商须于90天内满足采购人</w:t>
      </w:r>
      <w:r>
        <w:rPr>
          <w:rFonts w:hint="eastAsia" w:ascii="宋体" w:hAnsi="宋体" w:eastAsia="宋体" w:cs="宋体"/>
          <w:spacing w:val="2"/>
          <w:sz w:val="24"/>
          <w:szCs w:val="24"/>
          <w:lang w:eastAsia="zh-CN"/>
        </w:rPr>
        <w:t xml:space="preserve">本项目相关</w:t>
      </w:r>
      <w:r>
        <w:rPr>
          <w:rFonts w:ascii="宋体" w:hAnsi="宋体" w:eastAsia="宋体" w:cs="宋体"/>
          <w:spacing w:val="2"/>
          <w:sz w:val="24"/>
          <w:szCs w:val="24"/>
          <w:lang w:eastAsia="zh-CN"/>
        </w:rPr>
        <w:t xml:space="preserve">上线运行的要求，并满足采购人要求的安全防护条件；105天内完成云管理平台的上线运行。</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p>
    <w:p>
      <w:pPr>
        <w:ind w:firstLine="480"/>
        <w:pageBreakBefore w:val="0"/>
        <w:spacing w:line="24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（二）本项目的特定资格要求</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无</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sz w:val="30"/>
          <w:szCs w:val="30"/>
        </w:rPr>
        <w:t xml:space="preserve">、开标时间和地点</w:t>
      </w:r>
      <w:r/>
    </w:p>
    <w:p>
      <w:pPr>
        <w:spacing w:line="240" w:lineRule="auto"/>
        <w:rPr>
          <w:rFonts w:hint="eastAsia" w:ascii="宋体" w:hAnsi="宋体" w:eastAsia="宋体"/>
          <w:b/>
          <w:bCs/>
          <w:color w:val="00000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bCs/>
          <w:color w:val="000000"/>
          <w:sz w:val="24"/>
          <w:szCs w:val="24"/>
          <w:u w:val="none"/>
          <w:lang w:val="en-US" w:eastAsia="zh-CN"/>
        </w:rPr>
        <w:t xml:space="preserve"> </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u w:val="none"/>
        </w:rPr>
        <w:t xml:space="preserve">年</w:t>
      </w:r>
      <w:r>
        <w:rPr>
          <w:rFonts w:hint="eastAsia" w:ascii="宋体" w:hAnsi="宋体" w:cs="宋体"/>
          <w:b/>
          <w:bCs/>
          <w:color w:val="000000"/>
          <w:sz w:val="24"/>
          <w:szCs w:val="24"/>
          <w:highlight w:val="none"/>
          <w:u w:val="none"/>
          <w:lang w:val="en-US" w:eastAsia="zh-CN"/>
        </w:rPr>
        <w:t xml:space="preserve">7</w:t>
      </w:r>
      <w:r>
        <w:rPr>
          <w:rFonts w:hint="eastAsia" w:ascii="宋体" w:hAnsi="宋体"/>
          <w:b/>
          <w:bCs/>
          <w:color w:val="000000"/>
          <w:sz w:val="24"/>
          <w:szCs w:val="24"/>
          <w:u w:val="none"/>
        </w:rPr>
        <w:t xml:space="preserve">月</w:t>
      </w:r>
      <w:r>
        <w:rPr>
          <w:rFonts w:hint="eastAsia" w:ascii="宋体" w:hAnsi="宋体"/>
          <w:b/>
          <w:bCs/>
          <w:color w:val="000000"/>
          <w:sz w:val="24"/>
          <w:szCs w:val="24"/>
          <w:u w:val="none"/>
          <w:lang w:val="en-US" w:eastAsia="zh-CN"/>
        </w:rPr>
        <w:t xml:space="preserve">14</w:t>
      </w:r>
      <w:r>
        <w:rPr>
          <w:rFonts w:hint="eastAsia" w:ascii="宋体" w:hAnsi="宋体"/>
          <w:b/>
          <w:bCs/>
          <w:color w:val="000000"/>
          <w:sz w:val="24"/>
          <w:szCs w:val="24"/>
          <w:u w:val="none"/>
        </w:rPr>
        <w:t xml:space="preserve">日</w:t>
      </w:r>
      <w:r>
        <w:rPr>
          <w:rFonts w:hint="eastAsia" w:ascii="宋体" w:hAnsi="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u w:val="none"/>
          <w:lang w:val="en-US" w:eastAsia="zh-CN"/>
        </w:rPr>
        <w:t xml:space="preserve">时</w:t>
      </w:r>
      <w:r>
        <w:rPr>
          <w:rFonts w:hint="eastAsia" w:cs="Times New Roman"/>
          <w:b/>
          <w:bCs/>
          <w:color w:val="000000"/>
          <w:sz w:val="24"/>
          <w:szCs w:val="24"/>
          <w:u w:val="none"/>
          <w:lang w:val="en-US" w:eastAsia="zh-CN"/>
        </w:rPr>
        <w:t xml:space="preserve">30</w:t>
      </w:r>
      <w:r>
        <w:rPr>
          <w:rFonts w:hint="eastAsia" w:ascii="宋体" w:hAnsi="宋体"/>
          <w:b/>
          <w:bCs/>
          <w:color w:val="000000"/>
          <w:sz w:val="24"/>
          <w:szCs w:val="24"/>
          <w:u w:val="none"/>
        </w:rPr>
        <w:t xml:space="preserve">分（</w:t>
      </w:r>
      <w:r>
        <w:rPr>
          <w:rFonts w:hint="eastAsia" w:ascii="宋体" w:hAnsi="宋体"/>
          <w:b/>
          <w:bCs/>
          <w:color w:val="000000"/>
          <w:sz w:val="24"/>
          <w:szCs w:val="24"/>
        </w:rPr>
        <w:t xml:space="preserve">北京时间）</w:t>
      </w:r>
      <w:r>
        <w:rPr>
          <w:rFonts w:hint="eastAsia" w:ascii="宋体" w:hAnsi="宋体"/>
          <w:b/>
          <w:bCs/>
          <w:color w:val="000000"/>
          <w:sz w:val="24"/>
          <w:szCs w:val="24"/>
          <w:lang w:eastAsia="zh-CN"/>
        </w:rPr>
        <w:t xml:space="preserve">。</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bookmarkStart w:id="42" w:name="_GoBack"/>
      <w:r/>
      <w:bookmarkEnd w:id="42"/>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left="7" w:firstLine="419"/>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w:t>
      </w:r>
      <w:r>
        <w:rPr>
          <w:rFonts w:hint="eastAsia" w:ascii="宋体" w:hAnsi="宋体" w:cs="宋体"/>
          <w:color w:val="000000"/>
          <w:sz w:val="24"/>
          <w:szCs w:val="24"/>
          <w:highlight w:val="none"/>
          <w:lang w:val="en-US" w:eastAsia="zh-CN"/>
        </w:rPr>
        <w:t xml:space="preserve">蒋工</w:t>
      </w:r>
      <w:r>
        <w:rPr>
          <w:rFonts w:hint="eastAsia" w:ascii="宋体" w:hAnsi="宋体" w:eastAsia="宋体" w:cs="宋体"/>
          <w:color w:val="000000"/>
          <w:sz w:val="24"/>
          <w:szCs w:val="24"/>
          <w:highlight w:val="none"/>
          <w:lang w:val="en-US" w:eastAsia="zh-CN"/>
        </w:rPr>
        <w:t xml:space="preserve">，收件地址：</w:t>
      </w:r>
      <w:r>
        <w:rPr>
          <w:rFonts w:hint="eastAsia" w:ascii="宋体" w:hAnsi="宋体" w:eastAsia="宋体" w:cs="宋体"/>
          <w:sz w:val="24"/>
          <w:szCs w:val="24"/>
          <w:highlight w:val="none"/>
          <w:lang w:val="en-US" w:eastAsia="zh-CN"/>
        </w:rPr>
        <w:t xml:space="preserve">南京市江北新区天浦路1号3</w:t>
      </w:r>
      <w:r>
        <w:rPr>
          <w:rFonts w:ascii="宋体" w:hAnsi="宋体" w:eastAsia="宋体" w:cs="宋体"/>
          <w:spacing w:val="2"/>
          <w:sz w:val="24"/>
          <w:szCs w:val="24"/>
          <w:lang w:eastAsia="zh-CN"/>
        </w:rPr>
        <w:t xml:space="preserve">号楼</w:t>
      </w:r>
      <w:r>
        <w:rPr>
          <w:rFonts w:hint="eastAsia" w:ascii="宋体" w:hAnsi="宋体" w:eastAsia="宋体" w:cs="宋体"/>
          <w:color w:val="000000"/>
          <w:sz w:val="24"/>
          <w:szCs w:val="24"/>
          <w:highlight w:val="none"/>
          <w:lang w:val="en-US" w:eastAsia="zh-CN"/>
        </w:rPr>
        <w:t xml:space="preserve">，联系电话：</w:t>
      </w:r>
      <w:r>
        <w:rPr>
          <w:rFonts w:ascii="宋体" w:hAnsi="宋体" w:eastAsia="宋体" w:cs="宋体"/>
          <w:spacing w:val="2"/>
          <w:sz w:val="24"/>
          <w:szCs w:val="24"/>
          <w:lang w:eastAsia="zh-CN"/>
        </w:rPr>
        <w:t xml:space="preserve">025-58696515</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交易中心《质疑函》收件人：业务受理窗口（快递运单上的收件人填写“业务受理窗口”即可），</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w:t>
      </w:r>
      <w:r>
        <w:rPr>
          <w:rFonts w:hint="eastAsia" w:ascii="宋体" w:hAnsi="宋体" w:eastAsia="宋体" w:cs="宋体"/>
          <w:sz w:val="24"/>
          <w:szCs w:val="24"/>
          <w:highlight w:val="none"/>
          <w:lang w:val="en-US" w:eastAsia="zh-CN"/>
        </w:rPr>
        <w:t xml:space="preserve">南京市江北新区天浦路1号5号楼一楼大厅</w:t>
      </w:r>
      <w:r>
        <w:rPr>
          <w:rFonts w:hint="eastAsia" w:ascii="宋体" w:hAnsi="宋体" w:eastAsia="宋体" w:cs="宋体"/>
          <w:sz w:val="24"/>
          <w:szCs w:val="24"/>
          <w:highlight w:val="none"/>
          <w:lang w:val="zh-CN" w:eastAsia="zh-CN"/>
        </w:rPr>
        <w:t xml:space="preserve">业务受理窗口，联系电话：025-</w:t>
      </w:r>
      <w:r>
        <w:rPr>
          <w:rFonts w:hint="eastAsia" w:ascii="宋体" w:hAnsi="宋体" w:eastAsia="宋体" w:cs="宋体"/>
          <w:sz w:val="24"/>
          <w:szCs w:val="24"/>
          <w:highlight w:val="none"/>
          <w:lang w:val="en-US" w:eastAsia="zh-CN"/>
        </w:rPr>
        <w:t xml:space="preserve">58150937。</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left="7" w:firstLine="419"/>
        <w:jc w:val="both"/>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w:t>
      </w:r>
      <w:r>
        <w:rPr>
          <w:rFonts w:ascii="宋体" w:hAnsi="宋体" w:eastAsia="宋体" w:cs="宋体"/>
          <w:spacing w:val="2"/>
          <w:sz w:val="24"/>
          <w:szCs w:val="24"/>
          <w:lang w:eastAsia="zh-CN"/>
        </w:rPr>
        <w:t xml:space="preserve">南京江北新区城市数字治理中心</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sz w:val="24"/>
          <w:szCs w:val="24"/>
          <w:highlight w:val="none"/>
          <w:lang w:val="en-US" w:eastAsia="zh-CN"/>
        </w:rPr>
        <w:t xml:space="preserve">南京市江北新区天浦路1号3</w:t>
      </w:r>
      <w:r>
        <w:rPr>
          <w:rFonts w:ascii="宋体" w:hAnsi="宋体" w:eastAsia="宋体" w:cs="宋体"/>
          <w:spacing w:val="2"/>
          <w:sz w:val="24"/>
          <w:szCs w:val="24"/>
          <w:lang w:eastAsia="zh-CN"/>
        </w:rPr>
        <w:t xml:space="preserve">号楼</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宋体"/>
          <w:color w:val="000000"/>
          <w:sz w:val="24"/>
          <w:szCs w:val="24"/>
          <w:highlight w:val="none"/>
          <w:lang w:val="en-US" w:eastAsia="zh-CN"/>
        </w:rPr>
        <w:t xml:space="preserve">蒋工</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ascii="宋体" w:hAnsi="宋体" w:eastAsia="宋体" w:cs="宋体"/>
          <w:spacing w:val="2"/>
          <w:sz w:val="24"/>
          <w:szCs w:val="24"/>
          <w:lang w:eastAsia="zh-CN"/>
        </w:rPr>
        <w:t xml:space="preserve">025-58696515</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bookmarkStart w:id="6" w:name="_Toc28359009"/>
      <w:r/>
      <w:bookmarkStart w:id="7" w:name="_Toc28359086"/>
      <w:r>
        <w:rPr>
          <w:rFonts w:hint="eastAsia" w:ascii="宋体" w:hAnsi="宋体" w:eastAsia="宋体" w:cs="Times New Roman"/>
          <w:sz w:val="24"/>
          <w:szCs w:val="24"/>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址：南京市江北新区天浦路1号5号楼二楼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班</w:t>
      </w:r>
      <w:r>
        <w:rPr>
          <w:rFonts w:hint="eastAsia" w:ascii="宋体" w:hAnsi="宋体" w:eastAsia="宋体" w:cs="Times New Roman"/>
          <w:sz w:val="24"/>
          <w:szCs w:val="24"/>
          <w:u w:val="none"/>
          <w:lang w:val="en-US" w:eastAsia="zh-CN"/>
        </w:rPr>
        <w:t xml:space="preserve">老师</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联系电话：025-581509</w:t>
      </w:r>
      <w:r>
        <w:rPr>
          <w:rFonts w:hint="eastAsia" w:ascii="宋体" w:hAnsi="宋体" w:cs="Times New Roman"/>
          <w:sz w:val="24"/>
          <w:szCs w:val="24"/>
          <w:u w:val="none"/>
          <w:lang w:val="en-US" w:eastAsia="zh-CN"/>
        </w:rPr>
        <w:t xml:space="preserve">60</w:t>
      </w:r>
      <w:r>
        <w:rPr>
          <w:rFonts w:hint="eastAsia" w:ascii="宋体" w:hAnsi="宋体" w:eastAsia="宋体" w:cs="Times New Roman"/>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20614214"/>
      <w:r/>
      <w:bookmarkStart w:id="9" w:name="_Toc20823275"/>
      <w:r/>
      <w:bookmarkStart w:id="10" w:name="_Toc513029203"/>
      <w:r/>
      <w:bookmarkStart w:id="11" w:name="_Toc16938519"/>
      <w:r>
        <w:rPr>
          <w:rFonts w:hint="eastAsia" w:ascii="方正黑体_GBK" w:hAnsi="方正黑体_GBK" w:eastAsia="方正黑体_GBK" w:cs="方正黑体_GBK"/>
          <w:b w:val="0"/>
          <w:bCs w:val="0"/>
          <w:color w:val="000000"/>
          <w:sz w:val="30"/>
          <w:szCs w:val="30"/>
        </w:rPr>
        <w:t xml:space="preserve">一、总则</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6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62"/>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8"/>
      <w:r/>
      <w:bookmarkEnd w:id="9"/>
      <w:r/>
      <w:bookmarkEnd w:id="10"/>
      <w:r/>
      <w:bookmarkEnd w:id="11"/>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62"/>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36"/>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97"/>
        <w:rPr>
          <w:rFonts w:hAnsi="宋体"/>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97"/>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合同签订且服务团队人员到位后，甲方支付合同总价款的40%作为预付款。</w:t>
      </w:r>
      <w:r/>
    </w:p>
    <w:p>
      <w:pPr>
        <w:pStyle w:val="89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系统开发完成并验收合格后，甲方支付合同总价款的60%。</w:t>
      </w:r>
      <w:r/>
    </w:p>
    <w:p>
      <w:pPr>
        <w:pStyle w:val="897"/>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p>
    <w:p>
      <w:pPr>
        <w:pStyle w:val="897"/>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rPr>
        <w:t xml:space="preserve">网络安全、</w:t>
      </w:r>
      <w:r>
        <w:rPr>
          <w:rFonts w:hint="eastAsia" w:ascii="宋体" w:hAnsi="宋体" w:eastAsia="宋体" w:cs="Courier New"/>
          <w:color w:val="000000"/>
          <w:sz w:val="24"/>
          <w:szCs w:val="24"/>
        </w:rPr>
        <w:t xml:space="preserve">市场准入</w:t>
      </w:r>
      <w:r>
        <w:rPr>
          <w:rFonts w:hint="eastAsia" w:ascii="宋体" w:hAnsi="宋体" w:eastAsia="宋体" w:cs="Courier New"/>
          <w:color w:val="000000"/>
          <w:sz w:val="24"/>
          <w:szCs w:val="24"/>
          <w:lang w:val="zh-CN"/>
        </w:rPr>
        <w:t xml:space="preserve">要求（</w:t>
      </w:r>
      <w:r>
        <w:rPr>
          <w:rFonts w:hint="eastAsia" w:ascii="宋体" w:hAnsi="宋体" w:eastAsia="宋体" w:cs="Courier New"/>
          <w:color w:val="000000"/>
          <w:sz w:val="24"/>
          <w:szCs w:val="24"/>
        </w:rPr>
        <w:t xml:space="preserve">如有</w:t>
      </w:r>
      <w:r>
        <w:rPr>
          <w:rFonts w:hint="eastAsia" w:ascii="宋体" w:hAnsi="宋体" w:eastAsia="宋体" w:cs="Courier New"/>
          <w:color w:val="000000"/>
          <w:sz w:val="24"/>
          <w:szCs w:val="24"/>
          <w:lang w:val="zh-CN"/>
        </w:rPr>
        <w:t xml:space="preserve">）：</w:t>
      </w:r>
      <w:r>
        <w:rPr>
          <w:rFonts w:hint="eastAsia" w:ascii="宋体" w:hAnsi="宋体" w:eastAsia="宋体" w:cs="Courier New"/>
          <w:color w:val="000000"/>
          <w:sz w:val="24"/>
          <w:szCs w:val="24"/>
          <w:lang w:val="en-US" w:eastAsia="zh-CN"/>
        </w:rPr>
        <w:t xml:space="preserve">乙方进场后需严格遵守甲方现场的网络安全和保密要求，如出现违规情况，甲方将追究相关责任和损失。</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7"/>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97"/>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7"/>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897"/>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97"/>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7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3" w:name="_Toc20823346"/>
      <w:r/>
      <w:bookmarkStart w:id="14" w:name="_Toc120614244"/>
      <w:r/>
      <w:bookmarkStart w:id="15" w:name="_Toc16938590"/>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一、项目属性</w:t>
      </w:r>
      <w:r/>
    </w:p>
    <w:p>
      <w:pPr>
        <w:ind w:firstLine="482"/>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宋体" w:hAnsi="宋体" w:eastAsia="宋体" w:cs="Times New Roman"/>
          <w:color w:val="000000"/>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lang w:eastAsia="zh-CN"/>
        </w:rPr>
        <w:t xml:space="preserve">南京江北新区电子政务外网2019年建设，覆盖范围为</w:t>
      </w:r>
      <w:bookmarkStart w:id="21" w:name="_Hlk196104886"/>
      <w:r>
        <w:rPr>
          <w:rFonts w:hint="eastAsia" w:ascii="宋体" w:hAnsi="宋体" w:eastAsia="宋体" w:cs="宋体"/>
          <w:spacing w:val="2"/>
          <w:sz w:val="24"/>
          <w:szCs w:val="24"/>
          <w:lang w:eastAsia="zh-CN"/>
        </w:rPr>
        <w:t xml:space="preserve">新区直属机关单位及下属分支机构、街道、园区、医疗卫生单位、教育单位等政务部门</w:t>
      </w:r>
      <w:bookmarkEnd w:id="21"/>
      <w:r>
        <w:rPr>
          <w:rFonts w:hint="eastAsia" w:ascii="宋体" w:hAnsi="宋体" w:eastAsia="宋体" w:cs="宋体"/>
          <w:spacing w:val="2"/>
          <w:sz w:val="24"/>
          <w:szCs w:val="24"/>
          <w:lang w:eastAsia="zh-CN"/>
        </w:rPr>
        <w:t xml:space="preserve">共计400多个接入点位，共计接入4200台左右终端，各部门的</w:t>
      </w:r>
      <w:r>
        <w:rPr>
          <w:rFonts w:hint="eastAsia" w:ascii="宋体" w:hAnsi="宋体" w:eastAsia="宋体" w:cs="宋体"/>
          <w:spacing w:val="2"/>
          <w:sz w:val="24"/>
          <w:szCs w:val="24"/>
          <w:highlight w:val="none"/>
          <w:lang w:eastAsia="zh-CN"/>
        </w:rPr>
        <w:t xml:space="preserve">众多非涉密业务专网以及政务外网和互联网已统一并入新区电子政务外网，政务外网是新区重要的信息技术基础设施，重点保障政务外网稳定运行和安全可靠。</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目前新区政务外网核心路由交换设备、网络安全设备等服役已经超过5年，设备存在硬件老化、稳定性降低、故障概率上升，同时政务外网接入点流量在汇聚层缺乏有效安全管控，接入点位攻击和木马等异常流量会在政务外网扩散，对政务外网骨干网和其他点位存在安全隐患，以及越来越多业务系统直接暴露在政务外网，容易遭到各种网络攻击如SQL注入、跨站脚本攻击（XSS）、文件包含漏洞攻击等。</w:t>
      </w:r>
      <w:r/>
    </w:p>
    <w:p>
      <w:pPr>
        <w:ind w:left="7" w:firstLine="419"/>
        <w:jc w:val="both"/>
        <w:rPr>
          <w:rFonts w:hint="eastAsia" w:ascii="宋体" w:hAnsi="宋体" w:eastAsia="宋体" w:cs="Times New Roman"/>
          <w:color w:val="000000"/>
          <w:sz w:val="24"/>
          <w:szCs w:val="24"/>
          <w:highlight w:val="none"/>
          <w:lang w:val="en-US" w:eastAsia="zh-CN"/>
        </w:rPr>
      </w:pPr>
      <w:r>
        <w:rPr>
          <w:rFonts w:hint="eastAsia" w:ascii="宋体" w:hAnsi="宋体" w:eastAsia="宋体" w:cs="宋体"/>
          <w:spacing w:val="2"/>
          <w:sz w:val="24"/>
          <w:szCs w:val="24"/>
          <w:highlight w:val="none"/>
          <w:lang w:eastAsia="zh-CN"/>
        </w:rPr>
        <w:t xml:space="preserve">通过采购政务外网二平面服务，</w:t>
      </w:r>
      <w:r>
        <w:rPr>
          <w:rFonts w:hint="eastAsia" w:ascii="宋体" w:hAnsi="宋体" w:eastAsia="宋体" w:cs="宋体"/>
          <w:spacing w:val="2"/>
          <w:sz w:val="24"/>
          <w:szCs w:val="24"/>
          <w:highlight w:val="none"/>
          <w:lang w:val="en-US" w:eastAsia="zh-CN"/>
        </w:rPr>
        <w:t xml:space="preserve">推进</w:t>
      </w:r>
      <w:r>
        <w:rPr>
          <w:rFonts w:hint="eastAsia" w:ascii="宋体" w:hAnsi="宋体" w:eastAsia="宋体" w:cs="宋体"/>
          <w:spacing w:val="2"/>
          <w:sz w:val="24"/>
          <w:szCs w:val="24"/>
          <w:highlight w:val="none"/>
          <w:lang w:eastAsia="zh-CN"/>
        </w:rPr>
        <w:t xml:space="preserve">江北新区电子政务外网升级迭代，在完成网络架构扩容、性能提升的基础上，同步嵌入纵深防御安全机制，对政务外网基础设施及承载的各类业务系统实施全方位安全加固，打造“高性能+高安全”的新一代政务网络支撑平台。</w:t>
      </w:r>
      <w:r>
        <w:rPr>
          <w:rFonts w:hint="eastAsia" w:ascii="宋体" w:hAnsi="宋体"/>
          <w:color w:val="000000"/>
          <w:sz w:val="24"/>
          <w:szCs w:val="24"/>
          <w:highlight w:val="none"/>
          <w:lang w:val="en-US" w:eastAsia="zh-CN"/>
        </w:rPr>
        <w:t xml:space="preserve">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中共中央和国务院发布的《国家信息化领导小组关于我国电子政务建设指导意见》（中发[2002]17号）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《国家电子政务工程建设项目管理暂行办法》（发改委令第55号）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《国家信息化领导小组关于我国电子政务建设指导意见》</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《国务院办公厅关于促进电子政务协调发展的指导意见》（国办发〔2014〕66号）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《信息安全技术信息系统安全等级保护体系框架》（GAT 708-2007）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《计算机信息系统安全等级保护划分准则》（GB 17859-1999）</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《信息安全技术信息系统安全管理要求》（GBT 20269-2006）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《信息安全技术信息系统通用安全技术要求》（GBT 20271-2006）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《信息安全技术操作系统安全技术要求》（GBT 20272-2006）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《信息安全技术网络和终端设备隔高部件安全技术要求》（GBT 20279-2006）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《信息安全技术信息系统安全工程管理要求》（GBT 20282-2006）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《信息安全技术信息安全风险评估规范》（GBT 20984-2007）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《信息安全技术信息系统灾难恢复规范》（GBT 20988-2007）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《信息安全技术信息系统安全等级保护基本要求》（GBT 22239-2008）</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《信息安全技术信息系统安全保护等级保护定级指南》（GBT 22240-2008）</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《信息安全技术信息系统安全等级保护实施指南》（GBT 25058-2010）</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《信息安全技术信息系统等级保护安全设计技术要求》（GBT 25070-2010）</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《信息安全技术数据库管理系统安全技术要求》（GBT_20273-2006）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《信息安全技术+信息安全事件分类分级指南》（GBZ 20986-2007）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《计算站场地安全要求》(GB9361-88)  </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《江苏省电子政务外网接入技术方案》</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《江苏省电子政务外网IPV4地址规划》</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《江苏省电子政务外网域名规划》</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（三）建设目标</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w:t>
      </w:r>
      <w:r>
        <w:rPr>
          <w:rFonts w:hint="eastAsia" w:ascii="宋体" w:hAnsi="宋体" w:eastAsia="宋体" w:cs="宋体"/>
          <w:spacing w:val="2"/>
          <w:sz w:val="24"/>
          <w:szCs w:val="24"/>
          <w:highlight w:val="none"/>
          <w:lang w:val="en-US" w:eastAsia="zh-CN"/>
        </w:rPr>
        <w:t xml:space="preserve">.采购</w:t>
      </w:r>
      <w:r>
        <w:rPr>
          <w:rFonts w:hint="eastAsia" w:ascii="宋体" w:hAnsi="宋体" w:eastAsia="宋体" w:cs="宋体"/>
          <w:spacing w:val="2"/>
          <w:sz w:val="24"/>
          <w:szCs w:val="24"/>
          <w:highlight w:val="none"/>
          <w:lang w:eastAsia="zh-CN"/>
        </w:rPr>
        <w:t xml:space="preserve">政务外网二平面</w:t>
      </w:r>
      <w:r>
        <w:rPr>
          <w:rFonts w:hint="eastAsia" w:ascii="宋体" w:hAnsi="宋体" w:eastAsia="宋体" w:cs="宋体"/>
          <w:spacing w:val="2"/>
          <w:sz w:val="24"/>
          <w:szCs w:val="24"/>
          <w:highlight w:val="none"/>
          <w:lang w:val="en-US" w:eastAsia="zh-CN"/>
        </w:rPr>
        <w:t xml:space="preserve">服务</w:t>
      </w:r>
      <w:r>
        <w:rPr>
          <w:rFonts w:hint="eastAsia" w:ascii="宋体" w:hAnsi="宋体" w:eastAsia="宋体" w:cs="宋体"/>
          <w:spacing w:val="2"/>
          <w:sz w:val="24"/>
          <w:szCs w:val="24"/>
          <w:highlight w:val="none"/>
          <w:lang w:eastAsia="zh-CN"/>
        </w:rPr>
        <w:t xml:space="preserve">，与原有网络架构组成一网双平面,双平面并行运行，业务在二平面运行稳定后，一平面设备逐步退网。</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val="en-US" w:eastAsia="zh-CN"/>
        </w:rPr>
        <w:t xml:space="preserve">2.</w:t>
      </w:r>
      <w:r>
        <w:rPr>
          <w:rFonts w:hint="eastAsia" w:ascii="宋体" w:hAnsi="宋体" w:eastAsia="宋体" w:cs="宋体"/>
          <w:spacing w:val="2"/>
          <w:sz w:val="24"/>
          <w:szCs w:val="24"/>
          <w:highlight w:val="none"/>
          <w:lang w:eastAsia="zh-CN"/>
        </w:rPr>
        <w:t xml:space="preserve">预留专网并网能力，满足未来5年业务可扩展和安全接入需求。</w:t>
      </w:r>
      <w:r/>
    </w:p>
    <w:p>
      <w:pPr>
        <w:ind w:left="7" w:firstLine="419"/>
        <w:jc w:val="both"/>
        <w:rPr>
          <w:rFonts w:hint="eastAsia"/>
          <w:highlight w:val="none"/>
          <w:lang w:eastAsia="zh-CN"/>
        </w:rPr>
      </w:pPr>
      <w:r>
        <w:rPr>
          <w:rFonts w:hint="eastAsia" w:ascii="宋体" w:hAnsi="宋体" w:eastAsia="宋体" w:cs="宋体"/>
          <w:spacing w:val="2"/>
          <w:sz w:val="24"/>
          <w:szCs w:val="24"/>
          <w:highlight w:val="none"/>
          <w:lang w:val="en-US" w:eastAsia="zh-CN"/>
        </w:rPr>
        <w:t xml:space="preserve">3.保障政务网络数据不外流的同时，充分应用设备资产。</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p>
    <w:tbl>
      <w:tblPr>
        <w:tblStyle w:val="975"/>
        <w:tblW w:w="93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2"/>
        <w:gridCol w:w="1437"/>
        <w:gridCol w:w="841"/>
        <w:gridCol w:w="834"/>
        <w:gridCol w:w="1350"/>
        <w:gridCol w:w="1050"/>
        <w:gridCol w:w="1116"/>
        <w:gridCol w:w="1109"/>
        <w:gridCol w:w="862"/>
      </w:tblGrid>
      <w:tr>
        <w:trPr>
          <w:jc w:val="center"/>
          <w:trHeight w:val="817"/>
        </w:trPr>
        <w:tc>
          <w:tcPr>
            <w:tcW w:w="742" w:type="dxa"/>
            <w:vAlign w:val="center"/>
            <w:textDirection w:val="lrTb"/>
            <w:noWrap w:val="false"/>
          </w:tcPr>
          <w:p>
            <w:pPr>
              <w:pStyle w:val="986"/>
              <w:ind w:left="128"/>
              <w:jc w:val="center"/>
              <w:rPr>
                <w:rFonts w:hint="eastAsia"/>
                <w:sz w:val="24"/>
                <w:szCs w:val="24"/>
                <w:highlight w:val="none"/>
              </w:rPr>
            </w:pPr>
            <w:r>
              <w:rPr>
                <w:spacing w:val="-2"/>
                <w:sz w:val="24"/>
                <w:szCs w:val="24"/>
                <w:highlight w:val="none"/>
              </w:rPr>
              <w:t xml:space="preserve">序号</w:t>
            </w:r>
            <w:r/>
          </w:p>
        </w:tc>
        <w:tc>
          <w:tcPr>
            <w:tcW w:w="1437" w:type="dxa"/>
            <w:vAlign w:val="center"/>
            <w:textDirection w:val="lrTb"/>
            <w:noWrap w:val="false"/>
          </w:tcPr>
          <w:p>
            <w:pPr>
              <w:pStyle w:val="986"/>
              <w:jc w:val="center"/>
              <w:rPr>
                <w:rFonts w:hint="eastAsia"/>
                <w:sz w:val="24"/>
                <w:szCs w:val="24"/>
                <w:highlight w:val="none"/>
              </w:rPr>
            </w:pPr>
            <w:r>
              <w:rPr>
                <w:spacing w:val="-3"/>
                <w:sz w:val="24"/>
                <w:szCs w:val="24"/>
                <w:highlight w:val="none"/>
              </w:rPr>
              <w:t xml:space="preserve">名称</w:t>
            </w:r>
            <w:r/>
          </w:p>
        </w:tc>
        <w:tc>
          <w:tcPr>
            <w:tcW w:w="841" w:type="dxa"/>
            <w:vAlign w:val="center"/>
            <w:textDirection w:val="lrTb"/>
            <w:noWrap w:val="false"/>
          </w:tcPr>
          <w:p>
            <w:pPr>
              <w:pStyle w:val="986"/>
              <w:ind w:firstLine="234"/>
              <w:jc w:val="both"/>
              <w:rPr>
                <w:rFonts w:hint="eastAsia"/>
                <w:sz w:val="24"/>
                <w:szCs w:val="24"/>
                <w:highlight w:val="none"/>
              </w:rPr>
            </w:pPr>
            <w:r>
              <w:rPr>
                <w:spacing w:val="-3"/>
                <w:sz w:val="24"/>
                <w:szCs w:val="24"/>
                <w:highlight w:val="none"/>
              </w:rPr>
              <w:t xml:space="preserve">数量</w:t>
            </w:r>
            <w:r/>
          </w:p>
        </w:tc>
        <w:tc>
          <w:tcPr>
            <w:tcW w:w="834" w:type="dxa"/>
            <w:vAlign w:val="center"/>
            <w:textDirection w:val="lrTb"/>
            <w:noWrap w:val="false"/>
          </w:tcPr>
          <w:p>
            <w:pPr>
              <w:pStyle w:val="986"/>
              <w:jc w:val="center"/>
              <w:rPr>
                <w:spacing w:val="-3"/>
                <w:sz w:val="24"/>
                <w:szCs w:val="24"/>
                <w:highlight w:val="none"/>
              </w:rPr>
            </w:pPr>
            <w:r>
              <w:rPr>
                <w:spacing w:val="-3"/>
                <w:sz w:val="24"/>
                <w:szCs w:val="24"/>
                <w:highlight w:val="none"/>
              </w:rPr>
              <w:t xml:space="preserve">单位</w:t>
            </w:r>
            <w:r/>
          </w:p>
        </w:tc>
        <w:tc>
          <w:tcPr>
            <w:tcW w:w="1350" w:type="dxa"/>
            <w:vAlign w:val="center"/>
            <w:textDirection w:val="lrTb"/>
            <w:noWrap w:val="false"/>
          </w:tcPr>
          <w:p>
            <w:pPr>
              <w:pStyle w:val="986"/>
              <w:jc w:val="center"/>
              <w:rPr>
                <w:spacing w:val="-3"/>
                <w:sz w:val="24"/>
                <w:szCs w:val="24"/>
                <w:highlight w:val="none"/>
              </w:rPr>
            </w:pPr>
            <w:r>
              <w:rPr>
                <w:spacing w:val="-3"/>
                <w:sz w:val="24"/>
                <w:szCs w:val="24"/>
                <w:highlight w:val="none"/>
              </w:rPr>
              <w:t xml:space="preserve">最高限价</w:t>
            </w:r>
            <w:r/>
          </w:p>
          <w:p>
            <w:pPr>
              <w:pStyle w:val="986"/>
              <w:jc w:val="center"/>
              <w:rPr>
                <w:rFonts w:hint="eastAsia" w:eastAsia="宋体"/>
                <w:sz w:val="24"/>
                <w:szCs w:val="24"/>
                <w:highlight w:val="none"/>
                <w:lang w:eastAsia="zh-CN"/>
              </w:rPr>
            </w:pPr>
            <w:r>
              <w:rPr>
                <w:rFonts w:hint="eastAsia"/>
                <w:spacing w:val="-3"/>
                <w:sz w:val="24"/>
                <w:szCs w:val="24"/>
                <w:highlight w:val="none"/>
                <w:lang w:eastAsia="zh-CN"/>
              </w:rPr>
              <w:t xml:space="preserve">（</w:t>
            </w:r>
            <w:r>
              <w:rPr>
                <w:rFonts w:hint="eastAsia"/>
                <w:spacing w:val="-3"/>
                <w:sz w:val="24"/>
                <w:szCs w:val="24"/>
                <w:highlight w:val="none"/>
                <w:lang w:val="en-US" w:eastAsia="zh-CN"/>
              </w:rPr>
              <w:t xml:space="preserve">元/套年</w:t>
            </w:r>
            <w:r>
              <w:rPr>
                <w:rFonts w:hint="eastAsia"/>
                <w:spacing w:val="-3"/>
                <w:sz w:val="24"/>
                <w:szCs w:val="24"/>
                <w:highlight w:val="none"/>
                <w:lang w:eastAsia="zh-CN"/>
              </w:rPr>
              <w:t xml:space="preserve">）</w:t>
            </w:r>
            <w:r/>
          </w:p>
        </w:tc>
        <w:tc>
          <w:tcPr>
            <w:tcW w:w="1050" w:type="dxa"/>
            <w:vAlign w:val="center"/>
            <w:textDirection w:val="lrTb"/>
            <w:noWrap w:val="false"/>
          </w:tcPr>
          <w:p>
            <w:pPr>
              <w:pStyle w:val="986"/>
              <w:ind w:left="165" w:right="147"/>
              <w:jc w:val="center"/>
              <w:rPr>
                <w:rFonts w:hint="eastAsia"/>
                <w:sz w:val="24"/>
                <w:szCs w:val="24"/>
                <w:highlight w:val="none"/>
              </w:rPr>
            </w:pPr>
            <w:r>
              <w:rPr>
                <w:spacing w:val="-5"/>
                <w:sz w:val="24"/>
                <w:szCs w:val="24"/>
                <w:highlight w:val="none"/>
              </w:rPr>
              <w:t xml:space="preserve">是否接</w:t>
            </w:r>
            <w:r>
              <w:rPr>
                <w:spacing w:val="1"/>
                <w:sz w:val="24"/>
                <w:szCs w:val="24"/>
                <w:highlight w:val="none"/>
              </w:rPr>
              <w:t xml:space="preserve"> </w:t>
            </w:r>
            <w:r>
              <w:rPr>
                <w:spacing w:val="-5"/>
                <w:sz w:val="24"/>
                <w:szCs w:val="24"/>
                <w:highlight w:val="none"/>
              </w:rPr>
              <w:t xml:space="preserve">受进口</w:t>
            </w:r>
            <w:r/>
          </w:p>
        </w:tc>
        <w:tc>
          <w:tcPr>
            <w:tcW w:w="1116" w:type="dxa"/>
            <w:vAlign w:val="center"/>
            <w:textDirection w:val="lrTb"/>
            <w:noWrap w:val="false"/>
          </w:tcPr>
          <w:p>
            <w:pPr>
              <w:pStyle w:val="986"/>
              <w:ind w:left="424" w:right="144" w:hanging="247"/>
              <w:jc w:val="center"/>
              <w:rPr>
                <w:rFonts w:hint="eastAsia"/>
                <w:sz w:val="24"/>
                <w:szCs w:val="24"/>
                <w:highlight w:val="none"/>
              </w:rPr>
            </w:pPr>
            <w:r>
              <w:rPr>
                <w:spacing w:val="-3"/>
                <w:sz w:val="24"/>
                <w:szCs w:val="24"/>
                <w:highlight w:val="none"/>
              </w:rPr>
              <w:t xml:space="preserve">产品类</w:t>
            </w:r>
            <w:r>
              <w:rPr>
                <w:sz w:val="24"/>
                <w:szCs w:val="24"/>
                <w:highlight w:val="none"/>
              </w:rPr>
              <w:t xml:space="preserve"> 型</w:t>
            </w:r>
            <w:r/>
          </w:p>
        </w:tc>
        <w:tc>
          <w:tcPr>
            <w:tcW w:w="1109" w:type="dxa"/>
            <w:vAlign w:val="center"/>
            <w:textDirection w:val="lrTb"/>
            <w:noWrap w:val="false"/>
          </w:tcPr>
          <w:p>
            <w:pPr>
              <w:pStyle w:val="986"/>
              <w:ind w:left="411" w:right="143" w:hanging="247"/>
              <w:jc w:val="center"/>
              <w:rPr>
                <w:rFonts w:hint="eastAsia"/>
                <w:sz w:val="24"/>
                <w:szCs w:val="24"/>
                <w:highlight w:val="none"/>
              </w:rPr>
            </w:pPr>
            <w:r>
              <w:rPr>
                <w:spacing w:val="-3"/>
                <w:sz w:val="24"/>
                <w:szCs w:val="24"/>
                <w:highlight w:val="none"/>
              </w:rPr>
              <w:t xml:space="preserve">所属类</w:t>
            </w:r>
            <w:r>
              <w:rPr>
                <w:sz w:val="24"/>
                <w:szCs w:val="24"/>
                <w:highlight w:val="none"/>
              </w:rPr>
              <w:t xml:space="preserve"> 型</w:t>
            </w:r>
            <w:r/>
          </w:p>
        </w:tc>
        <w:tc>
          <w:tcPr>
            <w:tcW w:w="862" w:type="dxa"/>
            <w:vAlign w:val="center"/>
            <w:textDirection w:val="lrTb"/>
            <w:noWrap w:val="false"/>
          </w:tcPr>
          <w:p>
            <w:pPr>
              <w:pStyle w:val="986"/>
              <w:jc w:val="center"/>
              <w:rPr>
                <w:rFonts w:hint="eastAsia"/>
                <w:sz w:val="24"/>
                <w:szCs w:val="24"/>
                <w:highlight w:val="none"/>
              </w:rPr>
            </w:pPr>
            <w:r>
              <w:rPr>
                <w:spacing w:val="-3"/>
                <w:sz w:val="24"/>
                <w:szCs w:val="24"/>
                <w:highlight w:val="none"/>
              </w:rPr>
              <w:t xml:space="preserve">类型</w:t>
            </w:r>
            <w:r/>
          </w:p>
        </w:tc>
      </w:tr>
      <w:tr>
        <w:trPr>
          <w:jc w:val="center"/>
          <w:trHeight w:val="844"/>
        </w:trPr>
        <w:tc>
          <w:tcPr>
            <w:tcW w:w="742" w:type="dxa"/>
            <w:vAlign w:val="center"/>
            <w:textDirection w:val="lrTb"/>
            <w:noWrap w:val="false"/>
          </w:tcPr>
          <w:p>
            <w:pPr>
              <w:pStyle w:val="986"/>
              <w:ind w:left="327"/>
              <w:jc w:val="center"/>
              <w:rPr>
                <w:rFonts w:hint="eastAsia"/>
                <w:highlight w:val="none"/>
                <w:lang w:eastAsia="zh-CN"/>
              </w:rPr>
            </w:pPr>
            <w:r>
              <w:rPr>
                <w:highlight w:val="none"/>
              </w:rPr>
              <w:t xml:space="preserve">1</w:t>
            </w:r>
            <w:r/>
          </w:p>
        </w:tc>
        <w:tc>
          <w:tcPr>
            <w:tcW w:w="1437" w:type="dxa"/>
            <w:vAlign w:val="center"/>
            <w:textDirection w:val="lrTb"/>
            <w:noWrap w:val="false"/>
          </w:tcPr>
          <w:p>
            <w:pPr>
              <w:pStyle w:val="986"/>
              <w:ind w:right="155"/>
              <w:jc w:val="center"/>
              <w:rPr>
                <w:rFonts w:hint="eastAsia"/>
                <w:highlight w:val="none"/>
                <w:lang w:eastAsia="zh-CN"/>
              </w:rPr>
            </w:pPr>
            <w:r>
              <w:rPr>
                <w:rFonts w:hint="eastAsia" w:ascii="Times New Roman" w:hAnsi="Times New Roman" w:eastAsia="仿宋" w:cs="Times New Roman"/>
                <w:color w:val="auto"/>
                <w:highlight w:val="none"/>
                <w:lang w:eastAsia="zh-CN" w:bidi="ar"/>
              </w:rPr>
              <w:t xml:space="preserve">骨干网基础能力服务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default"/>
                <w:highlight w:val="none"/>
                <w:lang w:val="en-US"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294</w:t>
            </w:r>
            <w:r>
              <w:rPr>
                <w:rFonts w:hint="eastAsia"/>
                <w:highlight w:val="none"/>
                <w:lang w:eastAsia="zh-CN"/>
              </w:rPr>
              <w:t xml:space="preserve">000</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949"/>
        </w:trPr>
        <w:tc>
          <w:tcPr>
            <w:tcW w:w="742" w:type="dxa"/>
            <w:vAlign w:val="center"/>
            <w:textDirection w:val="lrTb"/>
            <w:noWrap w:val="false"/>
          </w:tcPr>
          <w:p>
            <w:pPr>
              <w:pStyle w:val="986"/>
              <w:ind w:left="312"/>
              <w:jc w:val="center"/>
              <w:rPr>
                <w:rFonts w:hint="eastAsia"/>
                <w:highlight w:val="none"/>
              </w:rPr>
            </w:pPr>
            <w:r>
              <w:rPr>
                <w:highlight w:val="none"/>
              </w:rPr>
              <w:t xml:space="preserve">2</w:t>
            </w:r>
            <w:r/>
          </w:p>
        </w:tc>
        <w:tc>
          <w:tcPr>
            <w:tcW w:w="1437" w:type="dxa"/>
            <w:vAlign w:val="center"/>
            <w:textDirection w:val="lrTb"/>
            <w:noWrap w:val="false"/>
          </w:tcPr>
          <w:p>
            <w:pPr>
              <w:pStyle w:val="986"/>
              <w:ind w:right="154"/>
              <w:jc w:val="center"/>
              <w:rPr>
                <w:rFonts w:hint="eastAsia"/>
                <w:highlight w:val="none"/>
              </w:rPr>
            </w:pPr>
            <w:r>
              <w:rPr>
                <w:rFonts w:hint="eastAsia" w:ascii="Times New Roman" w:hAnsi="Times New Roman" w:eastAsia="仿宋" w:cs="Times New Roman"/>
                <w:color w:val="auto"/>
                <w:highlight w:val="none"/>
                <w:lang w:eastAsia="zh-CN" w:bidi="ar"/>
              </w:rPr>
              <w:t xml:space="preserve">边界安全能力服务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eastAsia="宋体"/>
                <w:highlight w:val="none"/>
                <w:lang w:val="en-US" w:eastAsia="zh-CN"/>
              </w:rPr>
            </w:pPr>
            <w:r>
              <w:rPr>
                <w:rFonts w:hint="eastAsia"/>
                <w:highlight w:val="none"/>
                <w:lang w:val="en-US" w:eastAsia="zh-CN"/>
              </w:rPr>
              <w:t xml:space="preserve">504</w:t>
            </w:r>
            <w:r>
              <w:rPr>
                <w:rFonts w:hint="eastAsia"/>
                <w:highlight w:val="none"/>
              </w:rPr>
              <w:t xml:space="preserve">33</w:t>
            </w:r>
            <w:r>
              <w:rPr>
                <w:rFonts w:hint="eastAsia"/>
                <w:highlight w:val="none"/>
                <w:lang w:val="en-US" w:eastAsia="zh-CN"/>
              </w:rPr>
              <w:t xml:space="preserve">4</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614"/>
        </w:trPr>
        <w:tc>
          <w:tcPr>
            <w:tcW w:w="742" w:type="dxa"/>
            <w:vAlign w:val="center"/>
            <w:textDirection w:val="lrTb"/>
            <w:noWrap w:val="false"/>
          </w:tcPr>
          <w:p>
            <w:pPr>
              <w:pStyle w:val="986"/>
              <w:ind w:left="312"/>
              <w:jc w:val="center"/>
              <w:rPr>
                <w:rFonts w:hint="eastAsia"/>
                <w:highlight w:val="none"/>
                <w:lang w:eastAsia="zh-CN"/>
              </w:rPr>
            </w:pPr>
            <w:r>
              <w:rPr>
                <w:rFonts w:hint="eastAsia"/>
                <w:highlight w:val="none"/>
                <w:lang w:eastAsia="zh-CN"/>
              </w:rPr>
              <w:t xml:space="preserve">3</w:t>
            </w:r>
            <w:r/>
          </w:p>
        </w:tc>
        <w:tc>
          <w:tcPr>
            <w:tcW w:w="1437" w:type="dxa"/>
            <w:vAlign w:val="center"/>
            <w:textDirection w:val="lrTb"/>
            <w:noWrap w:val="false"/>
          </w:tcPr>
          <w:p>
            <w:pPr>
              <w:pStyle w:val="986"/>
              <w:ind w:right="154"/>
              <w:jc w:val="center"/>
              <w:rPr>
                <w:rFonts w:ascii="Times New Roman" w:hAnsi="Times New Roman" w:eastAsia="仿宋" w:cs="Times New Roman"/>
                <w:color w:val="auto"/>
                <w:highlight w:val="none"/>
                <w:lang w:eastAsia="zh-CN" w:bidi="ar"/>
              </w:rPr>
            </w:pPr>
            <w:r>
              <w:rPr>
                <w:rFonts w:hint="eastAsia" w:ascii="Times New Roman" w:hAnsi="Times New Roman" w:eastAsia="仿宋" w:cs="Times New Roman"/>
                <w:color w:val="auto"/>
                <w:highlight w:val="none"/>
                <w:lang w:eastAsia="zh-CN" w:bidi="ar"/>
              </w:rPr>
              <w:t xml:space="preserve">核心应用能力服务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rPr>
            </w:pPr>
            <w:r>
              <w:rPr>
                <w:rFonts w:hint="eastAsia"/>
                <w:highlight w:val="none"/>
                <w:lang w:val="en-US" w:eastAsia="zh-CN"/>
              </w:rPr>
              <w:t xml:space="preserve">9</w:t>
            </w:r>
            <w:r>
              <w:rPr>
                <w:rFonts w:hint="eastAsia"/>
                <w:highlight w:val="none"/>
              </w:rPr>
              <w:t xml:space="preserve">5000</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949"/>
        </w:trPr>
        <w:tc>
          <w:tcPr>
            <w:tcW w:w="742" w:type="dxa"/>
            <w:vAlign w:val="center"/>
            <w:textDirection w:val="lrTb"/>
            <w:noWrap w:val="false"/>
          </w:tcPr>
          <w:p>
            <w:pPr>
              <w:pStyle w:val="986"/>
              <w:ind w:left="312"/>
              <w:jc w:val="center"/>
              <w:rPr>
                <w:rFonts w:hint="eastAsia"/>
                <w:highlight w:val="none"/>
                <w:lang w:eastAsia="zh-CN"/>
              </w:rPr>
            </w:pPr>
            <w:r>
              <w:rPr>
                <w:rFonts w:hint="eastAsia"/>
                <w:highlight w:val="none"/>
                <w:lang w:eastAsia="zh-CN"/>
              </w:rPr>
              <w:t xml:space="preserve">4</w:t>
            </w:r>
            <w:r/>
          </w:p>
        </w:tc>
        <w:tc>
          <w:tcPr>
            <w:tcW w:w="1437" w:type="dxa"/>
            <w:vAlign w:val="center"/>
            <w:textDirection w:val="lrTb"/>
            <w:noWrap w:val="false"/>
          </w:tcPr>
          <w:p>
            <w:pPr>
              <w:pStyle w:val="986"/>
              <w:ind w:right="154"/>
              <w:jc w:val="center"/>
              <w:rPr>
                <w:rFonts w:ascii="Times New Roman" w:hAnsi="Times New Roman" w:eastAsia="仿宋" w:cs="Times New Roman"/>
                <w:color w:val="auto"/>
                <w:highlight w:val="none"/>
                <w:lang w:eastAsia="zh-CN" w:bidi="ar"/>
              </w:rPr>
            </w:pPr>
            <w:r>
              <w:rPr>
                <w:rFonts w:hint="eastAsia" w:ascii="Times New Roman" w:hAnsi="Times New Roman" w:eastAsia="仿宋" w:cs="Times New Roman"/>
                <w:color w:val="auto"/>
                <w:highlight w:val="none"/>
                <w:lang w:eastAsia="zh-CN" w:bidi="ar"/>
              </w:rPr>
              <w:t xml:space="preserve">预留专网并网能力服务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rPr>
            </w:pPr>
            <w:r>
              <w:rPr>
                <w:rFonts w:hint="eastAsia"/>
                <w:highlight w:val="none"/>
              </w:rPr>
              <w:t xml:space="preserve">6666</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494"/>
        </w:trPr>
        <w:tc>
          <w:tcPr>
            <w:tcW w:w="742" w:type="dxa"/>
            <w:vAlign w:val="center"/>
            <w:textDirection w:val="lrTb"/>
            <w:noWrap w:val="false"/>
          </w:tcPr>
          <w:p>
            <w:pPr>
              <w:pStyle w:val="986"/>
              <w:ind w:left="310"/>
              <w:jc w:val="center"/>
              <w:rPr>
                <w:rFonts w:hint="eastAsia"/>
                <w:highlight w:val="none"/>
                <w:lang w:eastAsia="zh-CN"/>
              </w:rPr>
            </w:pPr>
            <w:r>
              <w:rPr>
                <w:rFonts w:hint="eastAsia"/>
                <w:highlight w:val="none"/>
                <w:lang w:eastAsia="zh-CN"/>
              </w:rPr>
              <w:t xml:space="preserve">5</w:t>
            </w:r>
            <w:r/>
          </w:p>
        </w:tc>
        <w:tc>
          <w:tcPr>
            <w:tcW w:w="1437" w:type="dxa"/>
            <w:vAlign w:val="center"/>
            <w:textDirection w:val="lrTb"/>
            <w:noWrap w:val="false"/>
          </w:tcPr>
          <w:p>
            <w:pPr>
              <w:pStyle w:val="986"/>
              <w:ind w:right="215"/>
              <w:jc w:val="center"/>
              <w:rPr>
                <w:rFonts w:hint="eastAsia"/>
                <w:highlight w:val="none"/>
              </w:rPr>
            </w:pPr>
            <w:r>
              <w:rPr>
                <w:rFonts w:hint="eastAsia" w:ascii="Times New Roman" w:hAnsi="Times New Roman" w:eastAsia="仿宋" w:cs="Times New Roman"/>
                <w:color w:val="auto"/>
                <w:highlight w:val="none"/>
                <w:lang w:val="en-US" w:eastAsia="zh-CN" w:bidi="ar"/>
              </w:rPr>
              <w:t xml:space="preserve">运维保障</w:t>
            </w:r>
            <w:r>
              <w:rPr>
                <w:rFonts w:hint="eastAsia" w:ascii="Times New Roman" w:hAnsi="Times New Roman" w:eastAsia="仿宋" w:cs="Times New Roman"/>
                <w:color w:val="auto"/>
                <w:highlight w:val="none"/>
                <w:lang w:eastAsia="zh-CN" w:bidi="ar"/>
              </w:rPr>
              <w:t xml:space="preserve">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2</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rPr>
            </w:pPr>
            <w:r>
              <w:rPr>
                <w:rFonts w:hint="eastAsia"/>
                <w:highlight w:val="none"/>
              </w:rPr>
              <w:t xml:space="preserve">200000</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bl>
    <w:p>
      <w:pPr>
        <w:rPr>
          <w:rFonts w:hint="eastAsia"/>
          <w:highlight w:val="none"/>
          <w:lang w:eastAsia="zh-CN"/>
        </w:rPr>
      </w:pPr>
      <w:r>
        <w:rPr>
          <w:rFonts w:hint="eastAsia"/>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22" w:name="_Toc120614281"/>
      <w:r>
        <w:rPr>
          <w:rFonts w:hint="eastAsia" w:ascii="宋体" w:hAnsi="宋体" w:eastAsia="宋体" w:cs="宋体"/>
          <w:bCs/>
          <w:color w:val="000000"/>
          <w:sz w:val="24"/>
          <w:szCs w:val="24"/>
          <w:highlight w:val="none"/>
        </w:rPr>
        <w:t xml:space="preserve">（一）技术要求</w:t>
      </w:r>
      <w:r/>
    </w:p>
    <w:p>
      <w:pPr>
        <w:pStyle w:val="680"/>
        <w:rPr>
          <w:rFonts w:hint="eastAsia"/>
          <w:highlight w:val="none"/>
          <w:lang w:eastAsia="zh-CN"/>
        </w:rPr>
      </w:pPr>
      <w:r>
        <w:rPr>
          <w:rFonts w:hint="eastAsia"/>
          <w:highlight w:val="none"/>
          <w:lang w:val="en-US" w:eastAsia="zh-CN"/>
        </w:rPr>
        <w:t xml:space="preserve">4.</w:t>
      </w:r>
      <w:r>
        <w:rPr>
          <w:highlight w:val="none"/>
          <w:lang w:eastAsia="zh-CN"/>
        </w:rPr>
        <w:t xml:space="preserve">1 </w:t>
      </w:r>
      <w:r>
        <w:rPr>
          <w:rFonts w:hint="eastAsia"/>
          <w:highlight w:val="none"/>
          <w:lang w:eastAsia="zh-CN"/>
        </w:rPr>
        <w:t xml:space="preserve">骨干网基础能力服务</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二平面骨干网通过部署核心层路由器、核心层交换机、汇聚层交换机、汇聚层防火墙构成，具体配置如下：</w:t>
      </w:r>
      <w:r/>
    </w:p>
    <w:p>
      <w:pPr>
        <w:pStyle w:val="681"/>
        <w:rPr>
          <w:rFonts w:hint="eastAsia"/>
          <w:highlight w:val="none"/>
          <w:lang w:eastAsia="zh-CN"/>
        </w:rPr>
      </w:pPr>
      <w:r>
        <w:rPr>
          <w:rFonts w:hint="eastAsia"/>
          <w:highlight w:val="none"/>
          <w:lang w:val="en-US" w:eastAsia="zh-CN"/>
        </w:rPr>
        <w:t xml:space="preserve">4.1</w:t>
      </w:r>
      <w:r>
        <w:rPr>
          <w:rFonts w:hint="eastAsia"/>
          <w:highlight w:val="none"/>
          <w:lang w:eastAsia="zh-CN"/>
        </w:rPr>
        <w:t xml:space="preserve">.1</w:t>
      </w:r>
      <w:r>
        <w:rPr>
          <w:highlight w:val="none"/>
          <w:lang w:eastAsia="zh-CN"/>
        </w:rPr>
        <w:t xml:space="preserve"> </w:t>
      </w:r>
      <w:r>
        <w:rPr>
          <w:rFonts w:hint="eastAsia"/>
          <w:highlight w:val="none"/>
          <w:lang w:eastAsia="zh-CN"/>
        </w:rPr>
        <w:t xml:space="preserve">骨干网基础能力服务-</w:t>
      </w:r>
      <w:r>
        <w:rPr>
          <w:rFonts w:hint="eastAsia"/>
          <w:highlight w:val="none"/>
          <w:lang w:val="en-US" w:eastAsia="zh-CN"/>
        </w:rPr>
        <w:t xml:space="preserve">2台</w:t>
      </w:r>
      <w:r>
        <w:rPr>
          <w:highlight w:val="none"/>
          <w:lang w:eastAsia="zh-CN"/>
        </w:rPr>
        <w:t xml:space="preserve">核心</w:t>
      </w:r>
      <w:r>
        <w:rPr>
          <w:rFonts w:hint="eastAsia"/>
          <w:highlight w:val="none"/>
          <w:lang w:eastAsia="zh-CN"/>
        </w:rPr>
        <w:t xml:space="preserve">路由器</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配置要求：交换容量≥</w:t>
            </w:r>
            <w:r>
              <w:rPr>
                <w:rFonts w:hint="eastAsia" w:ascii="Times New Roman" w:hAnsi="Times New Roman" w:eastAsia="仿宋" w:cs="Times New Roman"/>
                <w:color w:val="auto"/>
                <w:highlight w:val="none"/>
                <w:lang w:val="en-US" w:eastAsia="zh-CN"/>
              </w:rPr>
              <w:t xml:space="preserve">4</w:t>
            </w:r>
            <w:r>
              <w:rPr>
                <w:rFonts w:ascii="Times New Roman" w:hAnsi="Times New Roman" w:eastAsia="仿宋" w:cs="Times New Roman"/>
                <w:color w:val="auto"/>
                <w:highlight w:val="none"/>
                <w:lang w:eastAsia="zh-CN"/>
              </w:rPr>
              <w:t xml:space="preserve">00Tbps，转发性能≥</w:t>
            </w:r>
            <w:r>
              <w:rPr>
                <w:rFonts w:hint="eastAsia" w:ascii="Times New Roman" w:hAnsi="Times New Roman" w:eastAsia="仿宋" w:cs="Times New Roman"/>
                <w:color w:val="auto"/>
                <w:highlight w:val="none"/>
                <w:lang w:val="en-US" w:eastAsia="zh-CN"/>
              </w:rPr>
              <w:t xml:space="preserve">100</w:t>
            </w:r>
            <w:r>
              <w:rPr>
                <w:rFonts w:ascii="Times New Roman" w:hAnsi="Times New Roman" w:eastAsia="仿宋" w:cs="Times New Roman"/>
                <w:color w:val="auto"/>
                <w:highlight w:val="none"/>
                <w:lang w:eastAsia="zh-CN"/>
              </w:rPr>
              <w:t xml:space="preserve">000Mpps。</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b w:val="0"/>
                <w:bCs w:val="0"/>
                <w:color w:val="auto"/>
                <w:highlight w:val="none"/>
                <w:lang w:val="en-US" w:eastAsia="zh-CN"/>
              </w:rPr>
              <w:t xml:space="preserve">实配双主控，冗余电源，</w:t>
            </w:r>
            <w:r>
              <w:rPr>
                <w:rFonts w:ascii="Times New Roman" w:hAnsi="Times New Roman" w:eastAsia="仿宋" w:cs="Times New Roman"/>
                <w:color w:val="auto"/>
                <w:highlight w:val="none"/>
                <w:lang w:eastAsia="zh-CN"/>
              </w:rPr>
              <w:t xml:space="preserve">40GE接口数量≥2个、10GE接口数量≥20个、GE接口数量≥10个，实配本项目所需光</w:t>
            </w:r>
            <w:r>
              <w:rPr>
                <w:rFonts w:hint="eastAsia" w:ascii="Times New Roman" w:hAnsi="Times New Roman" w:eastAsia="仿宋" w:cs="Times New Roman"/>
                <w:color w:val="auto"/>
                <w:highlight w:val="none"/>
                <w:lang w:val="en-US" w:eastAsia="zh-CN"/>
              </w:rPr>
              <w:t xml:space="preserve">/电</w:t>
            </w:r>
            <w:r>
              <w:rPr>
                <w:rFonts w:ascii="Times New Roman" w:hAnsi="Times New Roman" w:eastAsia="仿宋" w:cs="Times New Roman"/>
                <w:color w:val="auto"/>
                <w:highlight w:val="none"/>
                <w:lang w:eastAsia="zh-CN"/>
              </w:rPr>
              <w:t xml:space="preserve">模块。</w:t>
            </w:r>
            <w:r>
              <w:rPr>
                <w:rFonts w:hint="eastAsia" w:ascii="Times New Roman" w:hAnsi="Times New Roman" w:eastAsia="仿宋" w:cs="Times New Roman"/>
                <w:color w:val="auto"/>
                <w:highlight w:val="none"/>
                <w:lang w:val="en-US" w:eastAsia="zh-CN"/>
              </w:rPr>
              <w:t xml:space="preserve">支持子母卡架构</w:t>
            </w:r>
            <w:r>
              <w:rPr>
                <w:rFonts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功能要求：实配RSVP-TE、MPLS-TE、VxLAN、L3VPN、EVPN、网络切片、Telemetry、随流检测等功能。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SDN：支持SDN相关协议，包括NETCONF、SNMP、SSH、Telemetry、PCEP、BGP-LS等。</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IPv6+能力：支持动态下发EVPN IPv4 L3VPN功能。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路由功能：支持策略路由、路由策略和路由负荷分担，支持静态路由、RIPv1/v2、RIPng、OSPFv2、OSPFv3、IS-ISv4、IS-ISv6、BGP、BGP4+协议。</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二层特性：支持IEEE 802.1q、IEEE 802.1p、IEEE 802.3ad和IEEE 802.1ab等协议；支持STP、RSTP、MSTP和VLAN；支持MPLS/BGP VPN。</w:t>
            </w:r>
            <w:r/>
          </w:p>
        </w:tc>
      </w:tr>
      <w:tr>
        <w:trPr>
          <w:trHeight w:val="326"/>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4.1.2 骨干网基础能力服务-2台核心交换机</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配置要求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lang w:eastAsia="zh-CN"/>
              </w:rPr>
              <w:t xml:space="preserve">交换容量</w:t>
            </w:r>
            <w:r>
              <w:rPr>
                <w:rFonts w:hint="eastAsia" w:ascii="Times New Roman" w:hAnsi="Times New Roman" w:eastAsia="仿宋" w:cs="Times New Roman"/>
                <w:color w:val="auto"/>
                <w:highlight w:val="none"/>
                <w:lang w:eastAsia="zh-CN"/>
              </w:rPr>
              <w:t xml:space="preserve">≥600</w:t>
            </w:r>
            <w:r>
              <w:rPr>
                <w:rFonts w:ascii="Times New Roman" w:hAnsi="Times New Roman" w:eastAsia="仿宋" w:cs="Times New Roman"/>
                <w:color w:val="auto"/>
                <w:highlight w:val="none"/>
                <w:lang w:eastAsia="zh-CN"/>
              </w:rPr>
              <w:t xml:space="preserve">Tbps，转发性能</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15</w:t>
            </w:r>
            <w:r>
              <w:rPr>
                <w:rFonts w:hint="eastAsia" w:ascii="Times New Roman" w:hAnsi="Times New Roman" w:eastAsia="仿宋" w:cs="Times New Roman"/>
                <w:color w:val="auto"/>
                <w:highlight w:val="none"/>
                <w:lang w:eastAsia="zh-CN"/>
              </w:rPr>
              <w:t xml:space="preserve">0</w:t>
            </w:r>
            <w:r>
              <w:rPr>
                <w:rFonts w:ascii="Times New Roman" w:hAnsi="Times New Roman" w:eastAsia="仿宋" w:cs="Times New Roman"/>
                <w:color w:val="auto"/>
                <w:highlight w:val="none"/>
                <w:lang w:eastAsia="zh-CN"/>
              </w:rPr>
              <w:t xml:space="preserve">000Mpps</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实配双主控，冗余电源；</w:t>
            </w:r>
            <w:r>
              <w:rPr>
                <w:rFonts w:hint="eastAsia" w:ascii="Times New Roman" w:hAnsi="Times New Roman" w:eastAsia="仿宋" w:cs="Times New Roman"/>
                <w:color w:val="auto"/>
                <w:sz w:val="22"/>
                <w:szCs w:val="22"/>
                <w:highlight w:val="none"/>
                <w:lang w:bidi="ar"/>
              </w:rPr>
              <w:t xml:space="preserve">10GE </w:t>
            </w:r>
            <w:r>
              <w:rPr>
                <w:rFonts w:hint="eastAsia" w:ascii="Times New Roman" w:hAnsi="Times New Roman" w:eastAsia="仿宋" w:cs="Times New Roman"/>
                <w:color w:val="auto"/>
                <w:sz w:val="22"/>
                <w:szCs w:val="22"/>
                <w:highlight w:val="none"/>
                <w:lang w:val="en-US" w:eastAsia="zh-CN" w:bidi="ar"/>
              </w:rPr>
              <w:t xml:space="preserve">/1GE自适应</w:t>
            </w:r>
            <w:r>
              <w:rPr>
                <w:rFonts w:hint="eastAsia" w:ascii="Times New Roman" w:hAnsi="Times New Roman" w:eastAsia="仿宋" w:cs="Times New Roman"/>
                <w:color w:val="auto"/>
                <w:sz w:val="22"/>
                <w:szCs w:val="22"/>
                <w:highlight w:val="none"/>
                <w:lang w:bidi="ar"/>
              </w:rPr>
              <w:t xml:space="preserve">光接口</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bidi="ar"/>
              </w:rPr>
              <w:t xml:space="preserve"> </w:t>
            </w:r>
            <w:r>
              <w:rPr>
                <w:rFonts w:hint="eastAsia" w:ascii="Times New Roman" w:hAnsi="Times New Roman" w:eastAsia="仿宋" w:cs="Times New Roman"/>
                <w:color w:val="auto"/>
                <w:sz w:val="22"/>
                <w:szCs w:val="22"/>
                <w:highlight w:val="none"/>
                <w:lang w:val="en-US" w:eastAsia="zh-CN" w:bidi="ar"/>
              </w:rPr>
              <w:t xml:space="preserve">48</w:t>
            </w:r>
            <w:r>
              <w:rPr>
                <w:rFonts w:hint="eastAsia" w:ascii="Times New Roman" w:hAnsi="Times New Roman" w:eastAsia="仿宋" w:cs="Times New Roman"/>
                <w:color w:val="auto"/>
                <w:sz w:val="22"/>
                <w:szCs w:val="22"/>
                <w:highlight w:val="none"/>
                <w:lang w:bidi="ar"/>
              </w:rPr>
              <w:t xml:space="preserve">个，</w:t>
            </w:r>
            <w:r>
              <w:rPr>
                <w:rFonts w:hint="eastAsia" w:ascii="Times New Roman" w:hAnsi="Times New Roman" w:eastAsia="仿宋" w:cs="Times New Roman"/>
                <w:color w:val="auto"/>
                <w:sz w:val="22"/>
                <w:szCs w:val="22"/>
                <w:highlight w:val="none"/>
                <w:lang w:val="en-US" w:eastAsia="zh-CN" w:bidi="ar"/>
              </w:rPr>
              <w:t xml:space="preserve">其中</w:t>
            </w:r>
            <w:r>
              <w:rPr>
                <w:rFonts w:hint="eastAsia" w:ascii="Times New Roman" w:hAnsi="Times New Roman" w:eastAsia="仿宋" w:cs="Times New Roman"/>
                <w:color w:val="auto"/>
                <w:sz w:val="22"/>
                <w:szCs w:val="22"/>
                <w:highlight w:val="none"/>
                <w:lang w:bidi="ar"/>
              </w:rPr>
              <w:t xml:space="preserve">万兆单模光模</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val="en-US" w:eastAsia="zh-CN" w:bidi="ar"/>
              </w:rPr>
              <w:t xml:space="preserve">24</w:t>
            </w:r>
            <w:r>
              <w:rPr>
                <w:rFonts w:hint="eastAsia" w:ascii="Times New Roman" w:hAnsi="Times New Roman" w:eastAsia="仿宋" w:cs="Times New Roman"/>
                <w:color w:val="auto"/>
                <w:sz w:val="22"/>
                <w:szCs w:val="22"/>
                <w:highlight w:val="none"/>
                <w:lang w:bidi="ar"/>
              </w:rPr>
              <w:t xml:space="preserve">个，万兆多模模块</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val="en-US" w:eastAsia="zh-CN" w:bidi="ar"/>
              </w:rPr>
              <w:t xml:space="preserve">24</w:t>
            </w:r>
            <w:r>
              <w:rPr>
                <w:rFonts w:hint="eastAsia" w:ascii="Times New Roman" w:hAnsi="Times New Roman" w:eastAsia="仿宋" w:cs="Times New Roman"/>
                <w:color w:val="auto"/>
                <w:sz w:val="22"/>
                <w:szCs w:val="22"/>
                <w:highlight w:val="none"/>
                <w:lang w:bidi="ar"/>
              </w:rPr>
              <w:t xml:space="preserve">个</w:t>
            </w:r>
            <w:r>
              <w:rPr>
                <w:rFonts w:hint="eastAsia" w:ascii="Times New Roman" w:hAnsi="Times New Roman" w:eastAsia="仿宋" w:cs="Times New Roman"/>
                <w:color w:val="auto"/>
                <w:sz w:val="22"/>
                <w:szCs w:val="22"/>
                <w:highlight w:val="none"/>
                <w:lang w:eastAsia="zh-CN" w:bidi="ar"/>
              </w:rPr>
              <w:t xml:space="preserve">。</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功能要求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实配L3VPN、IPV6等功能。</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硬件架构：</w:t>
            </w:r>
            <w:r>
              <w:rPr>
                <w:rFonts w:ascii="Times New Roman" w:hAnsi="Times New Roman" w:eastAsia="仿宋" w:cs="Times New Roman"/>
                <w:color w:val="auto"/>
                <w:highlight w:val="none"/>
                <w:lang w:eastAsia="zh-CN"/>
              </w:rPr>
              <w:t xml:space="preserve">整机支持接口卡槽位数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8</w:t>
            </w:r>
            <w:r>
              <w:rPr>
                <w:rFonts w:ascii="Times New Roman" w:hAnsi="Times New Roman" w:eastAsia="仿宋" w:cs="Times New Roman"/>
                <w:color w:val="auto"/>
                <w:highlight w:val="none"/>
                <w:lang w:eastAsia="zh-CN"/>
              </w:rPr>
              <w:t xml:space="preserve">个</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独立主控板槽位≥2，独立交换网板槽位≥2</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路由功能</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支持策略路由、路由策略和路由负荷分担，支持静态路由、RIPv1/v2、RIPng、OSPFv2、OSPFv3、IS-ISv4、IS-ISv6、BGP、BGP4+路由协议</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服务要求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lang w:eastAsia="zh-CN"/>
              </w:rPr>
              <w:t xml:space="preserve">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二层特性</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支持IEEE 802.1q、IEEE 802.1p、IEEE 802.3ad和IEEE 802.1ab等协议；支持STP、RSTP、MSTP和VLAN；支持MPLS/BGP VPN。</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4.1.3 骨干网基础能力服务-2台汇聚交换机</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90"/>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配置要求：交换容量≥300Tbps，转发性能≥50000Mpps。</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实配双主控，冗余电源；10GE/1G自适应光接口数量≥48个，其中万兆单模光模块数量≥24个，其中千兆单模模块≥24个，千兆电口数量≥24个。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功能要求：实配L3VPN、IPV6等功能。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硬件架构：</w:t>
            </w:r>
            <w:r>
              <w:rPr>
                <w:rFonts w:ascii="Times New Roman" w:hAnsi="Times New Roman" w:eastAsia="仿宋" w:cs="Times New Roman"/>
                <w:color w:val="auto"/>
                <w:highlight w:val="none"/>
                <w:lang w:eastAsia="zh-CN"/>
              </w:rPr>
              <w:t xml:space="preserve">整机接口卡槽位数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8</w:t>
            </w:r>
            <w:r>
              <w:rPr>
                <w:rFonts w:ascii="Times New Roman" w:hAnsi="Times New Roman" w:eastAsia="仿宋" w:cs="Times New Roman"/>
                <w:color w:val="auto"/>
                <w:highlight w:val="none"/>
                <w:lang w:eastAsia="zh-CN"/>
              </w:rPr>
              <w:t xml:space="preserve">个</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独立主控板槽位≥2，独立交换网板槽位≥2</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采用无阻塞信元交换，NP可编程架构。</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路由功能：支持策略路由、路由策略和路由负荷分担，支持静态路由、RIPv1/v2、RIPng、OSPFv2、OSPFv3、IS-ISv4、IS-ISv6、BGP、BGP4+路由协议。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二层特性</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支持IEEE 802.1q、IEEE 802.1p、IEEE 802.3ad和IEEE 802.1ab等协议；支持STP、RSTP、MSTP和VLAN；支持MPLS/BGP VPN。</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w:t>
            </w:r>
            <w:r>
              <w:rPr>
                <w:rFonts w:hint="eastAsia" w:eastAsia="仿宋" w:cs="Times New Roman"/>
                <w:color w:val="auto"/>
                <w:highlight w:val="none"/>
                <w:lang w:eastAsia="zh-CN"/>
              </w:rPr>
              <w:t xml:space="preserve">CMA</w:t>
            </w:r>
            <w:r>
              <w:rPr>
                <w:rFonts w:hint="eastAsia" w:ascii="Times New Roman" w:hAnsi="Times New Roman" w:eastAsia="仿宋" w:cs="Times New Roman"/>
                <w:color w:val="auto"/>
                <w:highlight w:val="none"/>
                <w:lang w:eastAsia="zh-CN"/>
              </w:rPr>
              <w:t xml:space="preserve">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4.1.4 骨干网基础能力服务-2台汇聚防火墙</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提供千兆光接口数量≥4个，千兆电口数量≥4个，万兆光口数量≥10个，冗余电源，防火墙吞吐≥35G，并发连接数≥2000万，每秒新建连接数≥50万，包含3年入侵防御、防病毒规则库升级授权，存储模块≥240G。</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病毒防护：基于病毒特征进行检测，支持病毒库手动和自动升级，报文流处理模式</w:t>
            </w:r>
            <w:r>
              <w:rPr>
                <w:rFonts w:hint="eastAsia" w:ascii="Times New Roman" w:hAnsi="Times New Roman" w:eastAsia="仿宋" w:cs="Times New Roman"/>
                <w:color w:val="auto"/>
                <w:highlight w:val="none"/>
                <w:lang w:val="en-US" w:eastAsia="zh-CN"/>
              </w:rPr>
              <w:t xml:space="preserve">;</w:t>
            </w:r>
            <w:r>
              <w:rPr>
                <w:rFonts w:hint="eastAsia" w:ascii="Times New Roman" w:hAnsi="Times New Roman" w:eastAsia="仿宋" w:cs="Times New Roman"/>
                <w:color w:val="auto"/>
                <w:highlight w:val="none"/>
                <w:lang w:eastAsia="zh-CN"/>
              </w:rPr>
              <w:t xml:space="preserve">支持病毒日志和报表。</w:t>
            </w:r>
            <w:r/>
          </w:p>
          <w:p>
            <w:pPr>
              <w:pStyle w:val="986"/>
              <w:ind w:left="114" w:right="146" w:firstLine="1"/>
              <w:jc w:val="both"/>
              <w:rPr>
                <w:rFonts w:hint="eastAsia" w:ascii="Times New Roman" w:hAnsi="Times New Roman" w:eastAsia="仿宋" w:cs="Times New Roman"/>
                <w:strike/>
                <w:color w:val="auto"/>
                <w:highlight w:val="none"/>
                <w:lang w:eastAsia="zh-CN"/>
              </w:rPr>
            </w:pPr>
            <w:r>
              <w:rPr>
                <w:rFonts w:hint="eastAsia" w:ascii="Times New Roman" w:hAnsi="Times New Roman" w:eastAsia="仿宋" w:cs="Times New Roman"/>
                <w:color w:val="auto"/>
                <w:highlight w:val="none"/>
                <w:lang w:eastAsia="zh-CN"/>
              </w:rPr>
              <w:t xml:space="preserve">支持HTTP、FTP、SMTP、POP3协议；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深度入侵防御：支持对黑客攻击、蠕虫/病毒、木马、恶意代码、DoS/DDoS等常见的攻击防御；支持攻击特征库的分类（根据攻击类型、目标机系统进行分类）、分级（分高、中、低、提示四级）；支持攻击特征库的手动和自动升级（TFTP和HTTP）；支持对BT等P2P/IM识别和控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安全防护：支持独立的入侵防护规则特征库；支持对HTTP/SMTP/POP3/FTP/IMAP/IM等协议进行病毒防御；支持对6级以上的压缩文件进行解压查杀</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0"/>
        <w:rPr>
          <w:rFonts w:hint="eastAsia" w:ascii="Arial" w:hAnsi="Arial" w:eastAsia="Arial"/>
          <w:color w:val="auto"/>
          <w:highlight w:val="none"/>
          <w:lang w:val="en-US" w:eastAsia="zh-CN"/>
        </w:rPr>
      </w:pPr>
      <w:r>
        <w:rPr>
          <w:rFonts w:hint="eastAsia" w:ascii="Arial" w:hAnsi="Arial" w:eastAsia="Arial"/>
          <w:color w:val="auto"/>
          <w:highlight w:val="none"/>
          <w:lang w:val="en-US" w:eastAsia="zh-CN"/>
        </w:rPr>
        <w:t xml:space="preserve">4.2 边界安全能力服务</w:t>
      </w:r>
      <w:r/>
    </w:p>
    <w:p>
      <w:pPr>
        <w:ind w:left="7" w:firstLine="419"/>
        <w:jc w:val="both"/>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 xml:space="preserve">二平面骨干网通过部署</w:t>
      </w:r>
      <w:r>
        <w:rPr>
          <w:rFonts w:hint="eastAsia" w:ascii="宋体" w:hAnsi="宋体" w:eastAsia="宋体" w:cs="宋体"/>
          <w:color w:val="auto"/>
          <w:spacing w:val="-2"/>
          <w:sz w:val="24"/>
          <w:szCs w:val="24"/>
          <w:highlight w:val="none"/>
          <w:lang w:eastAsia="zh-CN"/>
        </w:rPr>
        <w:t xml:space="preserve">互联网出口安全（出口负载均衡</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eastAsia="zh-CN"/>
        </w:rPr>
        <w:t xml:space="preserve">出口防火墙、出口上网行为管理）、专线出口安全、政务云边界安全（边界防火墙、WEB防火墙）、视频云边界安全构成。具体配置如下：</w:t>
      </w:r>
      <w:r/>
    </w:p>
    <w:p>
      <w:pPr>
        <w:pStyle w:val="681"/>
        <w:rPr>
          <w:rFonts w:hint="eastAsia" w:ascii="宋体" w:hAnsi="宋体" w:eastAsia="宋体" w:cs="宋体"/>
          <w:color w:val="auto"/>
          <w:spacing w:val="-2"/>
          <w:sz w:val="24"/>
          <w:szCs w:val="24"/>
          <w:highlight w:val="none"/>
          <w:lang w:eastAsia="zh-CN"/>
        </w:rPr>
      </w:pPr>
      <w:r>
        <w:rPr>
          <w:rFonts w:hint="eastAsia" w:ascii="Arial" w:hAnsi="Arial" w:eastAsia="Arial"/>
          <w:b w:val="0"/>
          <w:color w:val="auto"/>
          <w:highlight w:val="none"/>
          <w:lang w:val="en-US" w:eastAsia="zh-CN"/>
        </w:rPr>
        <w:t xml:space="preserve">4.2.1 边界安全能力服务-互联网出口</w:t>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4.2.1.1 边界安全能力服务-互联网出口-2台出口负载均衡</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硬件参数：</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接口：千兆电口数量≥6个，千兆光口≥8个，万兆光口SFP+≥4个，硬盘容量：≥480G</w:t>
            </w:r>
            <w:r>
              <w:rPr>
                <w:rFonts w:hint="eastAsia" w:ascii="Times New Roman" w:hAnsi="Times New Roman" w:eastAsia="仿宋" w:cs="Times New Roman"/>
                <w:color w:val="auto"/>
                <w:highlight w:val="none"/>
                <w:lang w:val="en-US" w:eastAsia="zh-CN"/>
              </w:rPr>
              <w:t xml:space="preserve"> SSD</w:t>
            </w:r>
            <w:r>
              <w:rPr>
                <w:rFonts w:hint="eastAsia" w:ascii="Times New Roman" w:hAnsi="Times New Roman" w:eastAsia="仿宋" w:cs="Times New Roman"/>
                <w:color w:val="auto"/>
                <w:highlight w:val="none"/>
                <w:lang w:eastAsia="zh-CN"/>
              </w:rPr>
              <w:t xml:space="preserve">，电源：冗余电源。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性能参数：4层吞吐量≥</w:t>
            </w:r>
            <w:r>
              <w:rPr>
                <w:rFonts w:hint="eastAsia" w:ascii="Times New Roman" w:hAnsi="Times New Roman" w:eastAsia="仿宋" w:cs="Times New Roman"/>
                <w:color w:val="auto"/>
                <w:highlight w:val="none"/>
                <w:lang w:val="en-US" w:eastAsia="zh-CN"/>
              </w:rPr>
              <w:t xml:space="preserve">5</w:t>
            </w:r>
            <w:r>
              <w:rPr>
                <w:rFonts w:hint="eastAsia" w:ascii="Times New Roman" w:hAnsi="Times New Roman" w:eastAsia="仿宋" w:cs="Times New Roman"/>
                <w:color w:val="auto"/>
                <w:highlight w:val="none"/>
                <w:lang w:eastAsia="zh-CN"/>
              </w:rPr>
              <w:t xml:space="preserve">0G，四层并发连接数≥800</w:t>
            </w:r>
            <w:r>
              <w:rPr>
                <w:rFonts w:hint="eastAsia" w:ascii="Times New Roman" w:hAnsi="Times New Roman" w:eastAsia="仿宋" w:cs="Times New Roman"/>
                <w:color w:val="auto"/>
                <w:highlight w:val="none"/>
                <w:lang w:val="en-US" w:eastAsia="zh-CN"/>
              </w:rPr>
              <w:t xml:space="preserve">万</w:t>
            </w:r>
            <w:r>
              <w:rPr>
                <w:rFonts w:hint="eastAsia" w:ascii="Times New Roman" w:hAnsi="Times New Roman" w:eastAsia="仿宋" w:cs="Times New Roman"/>
                <w:color w:val="auto"/>
                <w:highlight w:val="none"/>
                <w:lang w:eastAsia="zh-CN"/>
              </w:rPr>
              <w:t xml:space="preserve">，4层新建连接数 CPS≥21</w:t>
            </w:r>
            <w:r>
              <w:rPr>
                <w:rFonts w:hint="eastAsia" w:ascii="Times New Roman" w:hAnsi="Times New Roman" w:eastAsia="仿宋" w:cs="Times New Roman"/>
                <w:color w:val="auto"/>
                <w:highlight w:val="none"/>
                <w:lang w:val="en-US" w:eastAsia="zh-CN"/>
              </w:rPr>
              <w:t xml:space="preserve">万</w:t>
            </w:r>
            <w:r>
              <w:rPr>
                <w:rFonts w:hint="eastAsia" w:ascii="Times New Roman" w:hAnsi="Times New Roman" w:eastAsia="仿宋" w:cs="Times New Roman"/>
                <w:color w:val="auto"/>
                <w:highlight w:val="none"/>
                <w:lang w:eastAsia="zh-CN"/>
              </w:rPr>
              <w:t xml:space="preserve">，7层新建请求数 RPS≥35</w:t>
            </w:r>
            <w:r>
              <w:rPr>
                <w:rFonts w:hint="eastAsia" w:ascii="Times New Roman" w:hAnsi="Times New Roman" w:eastAsia="仿宋" w:cs="Times New Roman"/>
                <w:color w:val="auto"/>
                <w:highlight w:val="none"/>
                <w:lang w:val="en-US" w:eastAsia="zh-CN"/>
              </w:rPr>
              <w:t xml:space="preserve">万</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设备部署：支持串接部署方式和旁路部署方式，支持三角传输模式。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负载均衡算法：支持轮询、加权轮询、按主机加权轮询、加权最小连接、动态反馈、最快响应、加权最小流量、加权源IP哈希、带宽比例、哈希、首个可用、优先级等算法</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可编程流量控制</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通过某种编程语言（如lua）实现自定义的流量编排，对IP、TCP、HTTP和HTTPS等类型的流量进行分发、修改和统计等操作</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链路负载均衡：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支持静态IP和PPPOE两种线路接入方式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支持IPv4/IPv6双协议栈，实现同时处理IPv4和IPv6数据包。支持IPv6的链路负载均衡，支持基于IPv6的DNS透明代理和调度策略。</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支持基于应用协议的智能选路，能对网银、游戏、视频等流量进行调度</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支持基于域名的流量调度，针对特定网站选择指定的链路转发</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SLB能够通过健康检查来获取后端服务器状态，同时将服务可用性、设备CPU、新建并发吞吐等数据上报GSLB，设备之间的联动使得GSLB能根据链路和服务器两者的综合状态实现智能切换，为用户选择最优的数据中心和服务器分配方式。</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服务器负载均衡：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支持源IP、Cookie（插入/被动/改写）、HTTP-Passive、SSL Session ID等多种会话保持机制，支持跨虚拟服务的会话保持。</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支持cookie加密，提升cookie安全性。</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支持大数据输出功能，输出必须包括客户端IP、x-forwarded-For IP、访问时间、访问IP、访问URL、响应时间和资源大小。</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4.2.1.2边界安全能力服务-互联网出口安全能力-2台出口防火墙</w:t>
      </w:r>
      <w:r/>
    </w:p>
    <w:tbl>
      <w:tblPr>
        <w:tblStyle w:val="975"/>
        <w:tblW w:w="955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87"/>
        <w:gridCol w:w="7968"/>
      </w:tblGrid>
      <w:tr>
        <w:trPr>
          <w:trHeight w:val="502"/>
        </w:trPr>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968"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968"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产品规格：配置千兆电口≥4个，配置千兆光口≥4个，万兆光口≥6个,冗余电源,防火墙吞吐≥</w:t>
            </w:r>
            <w:r>
              <w:rPr>
                <w:rFonts w:hint="eastAsia" w:ascii="Times New Roman" w:hAnsi="Times New Roman" w:eastAsia="仿宋" w:cs="Times New Roman"/>
                <w:color w:val="auto"/>
                <w:highlight w:val="none"/>
                <w:lang w:val="en-US" w:eastAsia="zh-CN"/>
              </w:rPr>
              <w:t xml:space="preserve">50G</w:t>
            </w:r>
            <w:r>
              <w:rPr>
                <w:rFonts w:hint="eastAsia" w:ascii="Times New Roman" w:hAnsi="Times New Roman" w:eastAsia="仿宋" w:cs="Times New Roman"/>
                <w:color w:val="auto"/>
                <w:highlight w:val="none"/>
                <w:lang w:eastAsia="zh-CN"/>
              </w:rPr>
              <w:t xml:space="preserve">，并发连接≥1000万，每秒新建连接≥11万，默认包含应用识别功能。包含3年入侵防御、防病毒规则库升级授权。</w:t>
            </w:r>
            <w:r/>
          </w:p>
          <w:p>
            <w:pPr>
              <w:pStyle w:val="986"/>
              <w:ind w:left="114" w:right="146" w:firstLine="1"/>
              <w:jc w:val="both"/>
              <w:rPr>
                <w:rFonts w:hint="eastAsia" w:ascii="Times New Roman" w:hAnsi="Times New Roman" w:eastAsia="仿宋" w:cs="Times New Roman"/>
                <w:b/>
                <w:bCs/>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提供策略变更信息管理功能，支持查看变更策略、变更动作、变更时间、修改人、登陆IP，支持对变更前后的策略进行直观对比，并能一键还原配置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 </w:t>
            </w:r>
            <w:r/>
          </w:p>
          <w:p>
            <w:pPr>
              <w:pStyle w:val="986"/>
              <w:ind w:left="114" w:right="146" w:firstLine="1"/>
              <w:jc w:val="both"/>
              <w:rPr>
                <w:rFonts w:hint="eastAsia" w:ascii="Times New Roman" w:hAnsi="Times New Roman" w:eastAsia="仿宋" w:cs="Times New Roman"/>
                <w:strike/>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968"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1587" w:type="dxa"/>
            <w:textDirection w:val="lrTb"/>
            <w:noWrap w:val="false"/>
          </w:tcPr>
          <w:p>
            <w:pPr>
              <w:pStyle w:val="986"/>
              <w:ind w:left="1057"/>
              <w:rPr>
                <w:rFonts w:hint="eastAsia"/>
                <w:color w:val="auto"/>
                <w:sz w:val="24"/>
                <w:szCs w:val="24"/>
                <w:highlight w:val="none"/>
              </w:rPr>
            </w:pPr>
            <w:r>
              <w:rPr>
                <w:color w:val="auto"/>
                <w:spacing w:val="-2"/>
                <w:sz w:val="24"/>
                <w:szCs w:val="24"/>
                <w:highlight w:val="none"/>
              </w:rPr>
              <w:t xml:space="preserve">参考图片</w:t>
            </w:r>
            <w:r/>
          </w:p>
        </w:tc>
        <w:tc>
          <w:tcPr>
            <w:tcW w:w="7968"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4.2.1.3边界安全能力服务-互联网出口安全能力-2台出口上网行为管理</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性能指标：网络层吞吐量（大包）≥5</w:t>
            </w:r>
            <w:r>
              <w:rPr>
                <w:rFonts w:hint="eastAsia" w:ascii="Times New Roman" w:hAnsi="Times New Roman" w:eastAsia="仿宋" w:cs="Times New Roman"/>
                <w:color w:val="auto"/>
                <w:highlight w:val="none"/>
                <w:lang w:val="en-US" w:eastAsia="zh-CN"/>
              </w:rPr>
              <w:t xml:space="preserve">0</w:t>
            </w:r>
            <w:r>
              <w:rPr>
                <w:rFonts w:hint="eastAsia" w:ascii="Times New Roman" w:hAnsi="Times New Roman" w:eastAsia="仿宋" w:cs="Times New Roman"/>
                <w:color w:val="auto"/>
                <w:highlight w:val="none"/>
                <w:lang w:eastAsia="zh-CN"/>
              </w:rPr>
              <w:t xml:space="preserve">G，应用层吞吐量≥750M，支持用户数≥4000，包转发率≥90Kpps，每秒新建连接数≥35000，最大并发连接数≥700000。</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硬件参数：内存大小≥8G，硬盘容量≥</w:t>
            </w:r>
            <w:r>
              <w:rPr>
                <w:rFonts w:hint="eastAsia" w:ascii="Times New Roman" w:hAnsi="Times New Roman" w:eastAsia="仿宋" w:cs="Times New Roman"/>
                <w:color w:val="auto"/>
                <w:highlight w:val="none"/>
                <w:lang w:val="en-US" w:eastAsia="zh-CN"/>
              </w:rPr>
              <w:t xml:space="preserve">8</w:t>
            </w:r>
            <w:r>
              <w:rPr>
                <w:rFonts w:hint="eastAsia" w:ascii="Times New Roman" w:hAnsi="Times New Roman" w:eastAsia="仿宋" w:cs="Times New Roman"/>
                <w:color w:val="auto"/>
                <w:highlight w:val="none"/>
                <w:lang w:eastAsia="zh-CN"/>
              </w:rPr>
              <w:t xml:space="preserve">00G，电源：</w:t>
            </w:r>
            <w:r>
              <w:rPr>
                <w:rFonts w:hint="eastAsia" w:ascii="Times New Roman" w:hAnsi="Times New Roman" w:eastAsia="仿宋" w:cs="Times New Roman"/>
                <w:color w:val="auto"/>
                <w:highlight w:val="none"/>
                <w:lang w:val="en-US" w:eastAsia="zh-CN"/>
              </w:rPr>
              <w:t xml:space="preserve">双</w:t>
            </w:r>
            <w:r>
              <w:rPr>
                <w:rFonts w:hint="eastAsia" w:ascii="Times New Roman" w:hAnsi="Times New Roman" w:eastAsia="仿宋" w:cs="Times New Roman"/>
                <w:color w:val="auto"/>
                <w:highlight w:val="none"/>
                <w:lang w:eastAsia="zh-CN"/>
              </w:rPr>
              <w:t xml:space="preserve">电源，千兆光口接口≥6个，万兆光口SFP+≥4个。</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高可用：产品支持高可用支持主备、主主模式部署，同时持两台设备同时做主机的部署模式。</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违规翻墙行为：可识别常见VPN、翻墙工具的访问特征，对使用此类工具的行为进行告警和阻断，可对终端发起的境外违规网站访问请求直接拦截，留存访问日志满足审计溯源，可对异常流量特征进行检测，发现非合规信道的境外访问；</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支持用户名密码认证、IP/MAC认证、短信认证等本地认证方式，支持802.1x认证。</w:t>
            </w:r>
            <w:r/>
          </w:p>
          <w:p>
            <w:pPr>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网页访问审计：支持记录全部或者指定类别URL、网页标题、网页内容等信息，支持网页内容审计后的网页快照功能；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支持IPv4/IPv6双栈协议栈，安全与审计：包含IPv6环境下的攻击防护（如DDoS、ARP欺骗），内容审计需覆盖IPv6协议下的邮件、网页搜索等行为。</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网页过滤：支持根据访问的URL和网页关键字进行网页过滤，</w:t>
            </w:r>
            <w:r>
              <w:rPr>
                <w:rFonts w:hint="eastAsia" w:ascii="Times New Roman" w:hAnsi="Times New Roman" w:eastAsia="仿宋" w:cs="Times New Roman"/>
                <w:strike w:val="0"/>
                <w:color w:val="auto"/>
                <w:highlight w:val="none"/>
                <w:lang w:eastAsia="zh-CN"/>
              </w:rPr>
              <w:t xml:space="preserve">支持设置拒绝以IP访问网</w:t>
            </w:r>
            <w:r>
              <w:rPr>
                <w:rFonts w:hint="eastAsia" w:ascii="Times New Roman" w:hAnsi="Times New Roman" w:eastAsia="仿宋" w:cs="Times New Roman"/>
                <w:strike w:val="0"/>
                <w:color w:val="auto"/>
                <w:highlight w:val="none"/>
                <w:lang w:val="en-US" w:eastAsia="zh-CN"/>
              </w:rPr>
              <w:t xml:space="preserve">页、URL</w:t>
            </w:r>
            <w:r>
              <w:rPr>
                <w:rFonts w:hint="eastAsia" w:ascii="Times New Roman" w:hAnsi="Times New Roman" w:eastAsia="仿宋" w:cs="Times New Roman"/>
                <w:strike w:val="0"/>
                <w:color w:val="auto"/>
                <w:highlight w:val="none"/>
                <w:lang w:eastAsia="zh-CN"/>
              </w:rPr>
              <w:t xml:space="preserve">行为；</w:t>
            </w:r>
            <w:r>
              <w:rPr>
                <w:rFonts w:hint="eastAsia" w:ascii="Times New Roman" w:hAnsi="Times New Roman" w:eastAsia="仿宋" w:cs="Times New Roman"/>
                <w:color w:val="auto"/>
                <w:highlight w:val="none"/>
                <w:lang w:eastAsia="zh-CN"/>
              </w:rPr>
              <w:t xml:space="preserve">支持根据文件类型限制HTTP、FTP方式上传、下载行为；</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认证管理：产品支持协同办公认证，支持通过企业微信等第三方协同办公软件进行授权认证；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动态流量调整：支持在设置流量策略后，根据整体线路或者某流量通道内的空闲情况，自动启用和停止使用流量控制策略，以提升带宽的高使用率；空闲值可自定义；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流量可视：能够实时</w:t>
            </w:r>
            <w:r>
              <w:rPr>
                <w:rFonts w:hint="eastAsia" w:ascii="Times New Roman" w:hAnsi="Times New Roman" w:eastAsia="仿宋" w:cs="Times New Roman"/>
                <w:strike w:val="0"/>
                <w:color w:val="auto"/>
                <w:highlight w:val="none"/>
                <w:lang w:eastAsia="zh-CN"/>
              </w:rPr>
              <w:t xml:space="preserve">看到各级流控通道的状态：包括所属线路、瞬时速率、通道占用比例、用户数</w:t>
            </w:r>
            <w:r>
              <w:rPr>
                <w:rFonts w:hint="eastAsia" w:ascii="Times New Roman" w:hAnsi="Times New Roman" w:eastAsia="仿宋" w:cs="Times New Roman"/>
                <w:color w:val="auto"/>
                <w:highlight w:val="none"/>
                <w:lang w:eastAsia="zh-CN"/>
              </w:rPr>
              <w:t xml:space="preserve">、保证带宽、最大带宽，启用状态等；</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外联行为检查：支持Windows终端外联行为检查，包括：连接外网检查、PPPoE拨号检查、双网卡行为检查、无线网卡检查、链接非法WIFI检查（可设置合法WIFI白名单）、4G网卡检查、否使用非法网关（可设置合法网关白名单），对不满足检查要求的终端强制断网，支持向管理员告警，并弹窗提示用户；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应用控制策略：支持根据IP、端口、协议等自定义应用规则；支持根据端口设定用户不允许访问的目标IP组提供的服务；支持根据不同的应用类型或具体的某种应用设置允许或拒绝；</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应用识别规则库：设备内置应用识别规则库，支持超过9000种以上应用规则数；支持根据标签选择应用，并支持给每个应用自定义标签；支持根据标签选择一类应用做控制； </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default"/>
                <w:color w:val="auto"/>
                <w:sz w:val="24"/>
                <w:szCs w:val="24"/>
                <w:highlight w:val="none"/>
                <w:lang w:val="en-US"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1"/>
        <w:rPr>
          <w:rFonts w:hint="default"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4.2.2边界安全能力服务-2台专线出口防火墙</w:t>
      </w:r>
      <w:r/>
    </w:p>
    <w:p>
      <w:pPr>
        <w:ind w:left="7" w:firstLine="419"/>
        <w:jc w:val="both"/>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 xml:space="preserve">通过部署</w:t>
      </w:r>
      <w:r>
        <w:rPr>
          <w:rFonts w:hint="eastAsia" w:ascii="宋体" w:hAnsi="宋体" w:cs="宋体"/>
          <w:color w:val="auto"/>
          <w:spacing w:val="-2"/>
          <w:sz w:val="24"/>
          <w:szCs w:val="24"/>
          <w:highlight w:val="none"/>
          <w:lang w:val="en-US" w:eastAsia="zh-CN"/>
        </w:rPr>
        <w:t xml:space="preserve">2</w:t>
      </w:r>
      <w:r>
        <w:rPr>
          <w:rFonts w:ascii="宋体" w:hAnsi="宋体" w:eastAsia="宋体" w:cs="宋体"/>
          <w:color w:val="auto"/>
          <w:spacing w:val="-2"/>
          <w:sz w:val="24"/>
          <w:szCs w:val="24"/>
          <w:highlight w:val="none"/>
          <w:lang w:eastAsia="zh-CN"/>
        </w:rPr>
        <w:t xml:space="preserve">台防火墙分别对接市网三平面、市网四平面、视频</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、政务云网络、教育</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、医疗</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、水务</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、统计</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以及政务外网汇聚点对接和联调，同时在对接和联调过程中，要保障政务外网原有业务、服务稳定和可用。</w:t>
      </w:r>
      <w:r>
        <w:rPr>
          <w:rFonts w:hint="eastAsia" w:ascii="宋体" w:hAnsi="宋体" w:eastAsia="宋体" w:cs="宋体"/>
          <w:color w:val="auto"/>
          <w:spacing w:val="-2"/>
          <w:sz w:val="24"/>
          <w:szCs w:val="24"/>
          <w:highlight w:val="none"/>
          <w:lang w:eastAsia="zh-CN"/>
        </w:rPr>
        <w:t xml:space="preserve">具体配置如下：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产品规格：配置千兆电口≥4个，千兆光口≥4个，万兆光接口≥</w:t>
            </w:r>
            <w:r>
              <w:rPr>
                <w:rFonts w:hint="eastAsia" w:ascii="Times New Roman" w:hAnsi="Times New Roman" w:eastAsia="仿宋" w:cs="Times New Roman"/>
                <w:color w:val="auto"/>
                <w:highlight w:val="none"/>
                <w:lang w:val="en-US" w:eastAsia="zh-CN"/>
              </w:rPr>
              <w:t xml:space="preserve">8</w:t>
            </w:r>
            <w:r>
              <w:rPr>
                <w:rFonts w:hint="eastAsia" w:ascii="Times New Roman" w:hAnsi="Times New Roman" w:eastAsia="仿宋" w:cs="Times New Roman"/>
                <w:color w:val="auto"/>
                <w:highlight w:val="none"/>
                <w:lang w:eastAsia="zh-CN"/>
              </w:rPr>
              <w:t xml:space="preserve">个,冗余电源,防火墙吞吐≥22G，并发连接≥500万，每秒新建连接≥10万，默认包含应用识别功能。包含3年入侵防御、防病毒规则库升级授权。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邮件安全、数据过滤、文件过滤、僵木蠕防御、审计、数据库防护、防代理、APT等功能配置,简化用户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color w:val="auto"/>
                <w:spacing w:val="-3"/>
                <w:sz w:val="24"/>
                <w:szCs w:val="24"/>
                <w:highlight w:val="none"/>
              </w:rPr>
              <w:t xml:space="preserve">暂无内容</w:t>
            </w:r>
            <w:r/>
          </w:p>
        </w:tc>
      </w:tr>
    </w:tbl>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4.2.3边界安全能力服务-政务云边界</w:t>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4.2.3.1边界安全能力服务-政务云边界-2台边界防火墙</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产品规格：配置置千兆电口≥4个,千兆光口≥4个,万兆光口≥6个,冗余电源，防火墙吞吐≥</w:t>
            </w:r>
            <w:r>
              <w:rPr>
                <w:rFonts w:hint="eastAsia" w:ascii="Times New Roman" w:hAnsi="Times New Roman" w:eastAsia="仿宋" w:cs="Times New Roman"/>
                <w:color w:val="auto"/>
                <w:highlight w:val="none"/>
                <w:lang w:val="en-US" w:eastAsia="zh-CN"/>
              </w:rPr>
              <w:t xml:space="preserve">50</w:t>
            </w:r>
            <w:r>
              <w:rPr>
                <w:rFonts w:hint="eastAsia" w:ascii="Times New Roman" w:hAnsi="Times New Roman" w:eastAsia="仿宋" w:cs="Times New Roman"/>
                <w:color w:val="auto"/>
                <w:highlight w:val="none"/>
                <w:lang w:eastAsia="zh-CN"/>
              </w:rPr>
              <w:t xml:space="preserve">G，并发连接≥800万，每秒新建连接≥10万，包含3年入侵防御、防病毒规则库升级授权。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jc w:val="both"/>
              <w:rPr>
                <w:rFonts w:hint="eastAsia"/>
                <w:color w:val="auto"/>
                <w:sz w:val="24"/>
                <w:szCs w:val="24"/>
                <w:highlight w:val="none"/>
              </w:rPr>
            </w:pPr>
            <w:r>
              <w:rPr>
                <w:color w:val="auto"/>
                <w:spacing w:val="-3"/>
                <w:sz w:val="24"/>
                <w:szCs w:val="24"/>
                <w:highlight w:val="none"/>
              </w:rPr>
              <w:t xml:space="preserve">暂无内容</w:t>
            </w:r>
            <w:r/>
          </w:p>
        </w:tc>
      </w:tr>
    </w:tbl>
    <w:p>
      <w:pPr>
        <w:rPr>
          <w:color w:val="auto"/>
          <w:highlight w:val="none"/>
          <w:lang w:eastAsia="zh-CN"/>
        </w:rPr>
      </w:pPr>
      <w:r>
        <w:rPr>
          <w:color w:val="auto"/>
          <w:highlight w:val="none"/>
          <w:lang w:eastAsia="zh-CN"/>
        </w:rPr>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4.2.3.2边界安全能力服务-政务云边界-2台web 防火墙</w:t>
      </w:r>
      <w:r/>
    </w:p>
    <w:p>
      <w:pPr>
        <w:pStyle w:val="986"/>
        <w:ind w:left="114" w:right="146" w:firstLine="1"/>
        <w:jc w:val="both"/>
        <w:rPr>
          <w:rFonts w:hint="eastAsia" w:eastAsia="仿宋"/>
          <w:color w:val="auto"/>
          <w:spacing w:val="-2"/>
          <w:sz w:val="24"/>
          <w:szCs w:val="24"/>
          <w:highlight w:val="none"/>
          <w:lang w:eastAsia="zh-CN"/>
        </w:rPr>
      </w:pPr>
      <w:r>
        <w:rPr>
          <w:rFonts w:hint="eastAsia" w:eastAsia="仿宋"/>
          <w:color w:val="auto"/>
          <w:spacing w:val="-2"/>
          <w:sz w:val="24"/>
          <w:szCs w:val="24"/>
          <w:highlight w:val="none"/>
          <w:lang w:eastAsia="zh-CN"/>
        </w:rPr>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产品规格：千兆电口≥6个，万兆光口≥6个，冗余电源 ,网络层吞吐≥</w:t>
            </w:r>
            <w:r>
              <w:rPr>
                <w:rFonts w:hint="eastAsia" w:ascii="Times New Roman" w:hAnsi="Times New Roman" w:eastAsia="仿宋" w:cs="Times New Roman"/>
                <w:color w:val="auto"/>
                <w:highlight w:val="none"/>
                <w:lang w:val="en-US" w:eastAsia="zh-CN"/>
              </w:rPr>
              <w:t xml:space="preserve">5</w:t>
            </w:r>
            <w:r>
              <w:rPr>
                <w:rFonts w:hint="eastAsia" w:ascii="Times New Roman" w:hAnsi="Times New Roman" w:eastAsia="仿宋" w:cs="Times New Roman"/>
                <w:color w:val="auto"/>
                <w:highlight w:val="none"/>
                <w:lang w:eastAsia="zh-CN"/>
              </w:rPr>
              <w:t xml:space="preserve">0G，应用层吞吐≥4G，并发连接≥350万，新建连接≥21000，含3年特征库升级许可</w:t>
            </w:r>
            <w:r>
              <w:rPr>
                <w:rFonts w:hint="eastAsia" w:ascii="Times New Roman" w:hAnsi="Times New Roman" w:eastAsia="仿宋" w:cs="Times New Roman"/>
                <w:color w:val="auto"/>
                <w:highlight w:val="none"/>
                <w:lang w:val="en-US" w:eastAsia="zh-CN"/>
              </w:rPr>
              <w:t xml:space="preserve">;</w:t>
            </w:r>
            <w:r/>
          </w:p>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网络部署：支持无IP纯透明模式串联部署、负载均衡模式部署、反向代理模式部署、旁路监测模式部署</w:t>
            </w:r>
            <w:r>
              <w:rPr>
                <w:rFonts w:hint="eastAsia" w:ascii="Times New Roman" w:hAnsi="Times New Roman" w:eastAsia="仿宋" w:cs="Times New Roman"/>
                <w:color w:val="auto"/>
                <w:highlight w:val="none"/>
                <w:lang w:val="en-US" w:eastAsia="zh-CN"/>
              </w:rPr>
              <w:t xml:space="preserve">;</w:t>
            </w:r>
            <w:r>
              <w:rPr>
                <w:rFonts w:hint="eastAsia" w:ascii="Times New Roman" w:hAnsi="Times New Roman" w:eastAsia="仿宋" w:cs="Times New Roman"/>
                <w:color w:val="auto"/>
                <w:highlight w:val="none"/>
                <w:lang w:eastAsia="zh-CN"/>
              </w:rPr>
              <w:t xml:space="preserve">支持虚拟线接入，无论任何网络环境可强制数据从一个接口转发到另一个接口</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访问控制：支持网络层访问控制，支持基于源IP 地址、目的IP 地址、源端口、目的端口、协议类型及目的区域、地理区域等条件的访问控制。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支持应用层访问控制功能，针对 HTTP请求字段进行过滤，包括HTTP协议版本，请求方法，Cookie信息等。</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安全防护：能够识别和阻断跨站请求伪造(CSRF)攻击，支持HTTP token防护和referer匹配防护等多种防护方式。</w:t>
            </w:r>
            <w:r/>
          </w:p>
          <w:p>
            <w:pPr>
              <w:pStyle w:val="986"/>
              <w:ind w:left="114" w:right="146" w:firstLine="1"/>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具备WebShell攻击、文件包含漏洞利用、目录遍历等攻击的防护功能。</w:t>
            </w:r>
            <w:r/>
          </w:p>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支持双栈：支持IPV6功能；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能够识别和阻断SQL注入攻击、Cookie 注入攻击、命令注入攻击、跨站脚本(XSS)攻击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支持多种爬虫攻击防护：包括但不限于内置爬虫对象库，自定义爬虫对象，导入或者下载后端服务器robots.txt 等方式提供爬虫攻击防护</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DOS防护：支持基线学习，可以自动学习用户http正常流量阈值模型，并给出推荐阈值配置项。对DDoS流量支持检测清洗和强制防御两种模式，检测清洗根据是否到达阈值对流量进行清洗，强制清洗对所有流量直接进行流量清洗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sz w:val="21"/>
                <w:szCs w:val="22"/>
                <w:highlight w:val="none"/>
                <w:lang w:val="en-US" w:eastAsia="zh-CN" w:bidi="ar-SA"/>
              </w:rPr>
              <w:t xml:space="preserve">暂无内容</w:t>
            </w:r>
            <w:r/>
          </w:p>
        </w:tc>
      </w:tr>
    </w:tbl>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4.2.4 边界安全能力服务-视频云边界-2台防火墙</w:t>
      </w:r>
      <w:r/>
    </w:p>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部署视频云和政务外网边界2台防火墙，对视频云网之间互访流量进行管控。具体配置如下：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231"/>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 xml:space="preserve">配置千兆电口</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4</w:t>
            </w:r>
            <w:r>
              <w:rPr>
                <w:rFonts w:hint="eastAsia" w:ascii="Times New Roman" w:hAnsi="Times New Roman" w:eastAsia="仿宋" w:cs="Times New Roman"/>
                <w:color w:val="auto"/>
                <w:sz w:val="22"/>
                <w:szCs w:val="22"/>
                <w:highlight w:val="none"/>
              </w:rPr>
              <w:t xml:space="preserve">个，千兆</w:t>
            </w:r>
            <w:r>
              <w:rPr>
                <w:rFonts w:hint="eastAsia" w:ascii="Times New Roman" w:hAnsi="Times New Roman" w:eastAsia="仿宋" w:cs="Times New Roman"/>
                <w:color w:val="auto"/>
                <w:sz w:val="22"/>
                <w:szCs w:val="22"/>
                <w:highlight w:val="none"/>
                <w:lang w:val="en-US" w:eastAsia="zh-CN"/>
              </w:rPr>
              <w:t xml:space="preserve">光</w:t>
            </w:r>
            <w:r>
              <w:rPr>
                <w:rFonts w:hint="eastAsia" w:ascii="Times New Roman" w:hAnsi="Times New Roman" w:eastAsia="仿宋" w:cs="Times New Roman"/>
                <w:color w:val="auto"/>
                <w:sz w:val="22"/>
                <w:szCs w:val="22"/>
                <w:highlight w:val="none"/>
              </w:rPr>
              <w:t xml:space="preserve">口</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4</w:t>
            </w:r>
            <w:r>
              <w:rPr>
                <w:rFonts w:hint="eastAsia" w:ascii="Times New Roman" w:hAnsi="Times New Roman" w:eastAsia="仿宋" w:cs="Times New Roman"/>
                <w:color w:val="auto"/>
                <w:sz w:val="22"/>
                <w:szCs w:val="22"/>
                <w:highlight w:val="none"/>
              </w:rPr>
              <w:t xml:space="preserve">个</w:t>
            </w:r>
            <w:r>
              <w:rPr>
                <w:rFonts w:ascii="Times New Roman" w:hAnsi="Times New Roman" w:eastAsia="仿宋" w:cs="Times New Roman"/>
                <w:color w:val="auto"/>
                <w:sz w:val="22"/>
                <w:szCs w:val="22"/>
                <w:highlight w:val="none"/>
              </w:rPr>
              <w:t xml:space="preserve">，万兆</w:t>
            </w:r>
            <w:r>
              <w:rPr>
                <w:rFonts w:hint="eastAsia" w:ascii="Times New Roman" w:hAnsi="Times New Roman" w:eastAsia="仿宋" w:cs="Times New Roman"/>
                <w:color w:val="auto"/>
                <w:sz w:val="22"/>
                <w:szCs w:val="22"/>
                <w:highlight w:val="none"/>
              </w:rPr>
              <w:t xml:space="preserve">光口</w:t>
            </w:r>
            <w:r>
              <w:rPr>
                <w:rFonts w:hint="eastAsia" w:ascii="Times New Roman" w:hAnsi="Times New Roman" w:eastAsia="仿宋" w:cs="Times New Roman"/>
                <w:color w:val="auto"/>
                <w:sz w:val="22"/>
                <w:szCs w:val="22"/>
                <w:highlight w:val="none"/>
                <w:lang w:eastAsia="zh-CN"/>
              </w:rPr>
              <w:t xml:space="preserve">≥</w:t>
            </w:r>
            <w:r>
              <w:rPr>
                <w:rFonts w:ascii="Times New Roman" w:hAnsi="Times New Roman" w:eastAsia="仿宋" w:cs="Times New Roman"/>
                <w:color w:val="auto"/>
                <w:sz w:val="22"/>
                <w:szCs w:val="22"/>
                <w:highlight w:val="none"/>
              </w:rPr>
              <w:t xml:space="preserve">6个,冗余电源,防火墙吞吐</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50</w:t>
            </w:r>
            <w:r>
              <w:rPr>
                <w:rFonts w:ascii="Times New Roman" w:hAnsi="Times New Roman" w:eastAsia="仿宋" w:cs="Times New Roman"/>
                <w:color w:val="auto"/>
                <w:sz w:val="22"/>
                <w:szCs w:val="22"/>
                <w:highlight w:val="none"/>
              </w:rPr>
              <w:t xml:space="preserve">G，</w:t>
            </w:r>
            <w:r>
              <w:rPr>
                <w:rFonts w:hint="eastAsia" w:ascii="Times New Roman" w:hAnsi="Times New Roman" w:eastAsia="仿宋" w:cs="Times New Roman"/>
                <w:color w:val="auto"/>
                <w:highlight w:val="none"/>
                <w:lang w:eastAsia="zh-CN"/>
              </w:rPr>
              <w:t xml:space="preserve">，并发连接≥800万，每秒新建连接≥10万</w:t>
            </w:r>
            <w:r>
              <w:rPr>
                <w:rFonts w:ascii="Times New Roman" w:hAnsi="Times New Roman" w:eastAsia="仿宋" w:cs="Times New Roman"/>
                <w:color w:val="auto"/>
                <w:sz w:val="22"/>
                <w:szCs w:val="22"/>
                <w:highlight w:val="none"/>
              </w:rPr>
              <w:t xml:space="preserve">，包含3年入侵防御、防病毒规则库升级授权。</w:t>
            </w:r>
            <w:r/>
          </w:p>
          <w:p>
            <w:pPr>
              <w:pStyle w:val="986"/>
              <w:ind w:left="114" w:right="146" w:firstLine="1"/>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支持独立的入侵防护规则特征库；支持对HTTP/SMTP/POP3/FTP/IMAP/IM等协议进行病毒防御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rPr>
          <w:color w:val="auto"/>
          <w:highlight w:val="none"/>
          <w:lang w:eastAsia="zh-CN"/>
        </w:rPr>
      </w:pPr>
      <w:r>
        <w:rPr>
          <w:color w:val="auto"/>
          <w:highlight w:val="none"/>
          <w:lang w:eastAsia="zh-CN"/>
        </w:rPr>
      </w:r>
      <w:r/>
    </w:p>
    <w:p>
      <w:pPr>
        <w:pStyle w:val="680"/>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3 核心应用能力服务</w:t>
      </w:r>
      <w:r/>
    </w:p>
    <w:p>
      <w:pPr>
        <w:pStyle w:val="681"/>
        <w:rPr>
          <w:rFonts w:hint="default"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4.3.1 核心应用能力服务-1套智能DNS系统</w:t>
      </w:r>
      <w:r/>
    </w:p>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智能DNS系统，通过域名访问，支持HTTPS证书绑定，通过域名访问可以动态指向不同IP，便于服务器迁移和负载均衡。对暴露在政务外网云上业务系统提供域名访问、URL过滤、恶意域名过滤。支持自定义规则，防止DNS类攻击，恶意域名、URL过滤等，并且支持IPV6绑定。具体配置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硬件要求：规格要求：设备采用2U标准机架式尺寸，配置冗余电源；网络接口：千兆电口≥6个；企业级硬盘≥2TB; DNS QPS指标≥8万；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功能描述：基本功能：设备集成权威/递归/转发/缓存等多种角色DNS服务、智能DNS解析、应用服务器宕机检测、DNS流量调度、DNS安全加固、DNS数据分析、终端服务端口扫描审计、全面支持IPv6；</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管理功能：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双因子登录：支持双因子登录鉴别，支持动态令牌种子文件的导入，支持动态令牌+用户名/密码方式，防止密码重放性攻击</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CSRF防御：支持登录认证页面产生加密随机数，可以和Session会话进行对比分析，预防CSRF攻击</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权限控制：支持DNS分级授权管理。在新增用户时，可指定DNS管理组角色。通过分级管理员登录，只能管理所授权的ZONE和资源记录，支持动态加载更新</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支持设定系统的管理IP或IP范围，只允许通过管理IP访问管理系统界面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对系统进行管理提供登录用户自动注销功能，在规定时长内不做任何操作将自动注销</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管理审计：支持操作日志的完整记录与查询，包括登录日志、IP和DNS配置日志等</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自助申请：支持二级域名注册，支持管理员审核审批域名申请工单</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多网卡绑定：支持将网卡绑定为一个逻辑网卡，实现网卡的冗余，带宽扩容和负载均衡，支持七种绑定模式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告警管理：支持通过微信、邮件调向管理员发送告警通知消息，自带微信告警服务平台，只需关注即可使用，告警及时通知管理员</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远程管理：支持WEB远程管理，支持HTTPS访问，支持TELNET或SSH</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DNS基础服务：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DNS服务：支持包括：VIEW、ZONE、访问控制、AXFR/IXFR、IPv6，存根区、转发区、本地数据、资源记录排序等功能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资源记录：支持对NS、SOA、A、AAAA、MX、CNAME、DNAME、TXT、PTR、SRV、NAPTR、SPF、CAA等记录的解析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记录批量修改：支持跨区域一次配置相同前缀记录，实现跨视图记录的统一增、删修改</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视图管理：支持VIEW备注，支持多区多视图，支持资源记录的修改</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递归转发：支持DNS全局和区域转发；支持区域委派功能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DNS主从：支持DNS主从实时备份机制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TTL设置：更改资源记录的TTL值，以便DNS服务器提供更好的解析响应能力</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支持IPv6：DNS解析支持IPv6，支持DNS64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VRRP支持：支持配置虚拟VIP，对外发布DNS服务虚拟IP，支持配置抢占/非抢占模式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多级部署：支持域名服务系统分布式部署，各节点数据统一下发，并能保证数据一致性</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域/记录数量：DNS解析支持多个域，无限制；要求每个域下的地址记录，无限制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DNS实用工具：提供DNS实用工具，支持WHOIS查询，网站域名ICP备案查询，中文域名PUNYCODE编码转换、Ping/Traceroute/Dig等命令工具，方便管理员运维排错。</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DNS全局负载：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负载均衡算法：支持多种负载均衡算法，实现灵活动态的业务调度，包括就近性、全局可用性、轮询、主备等算法。支持多算法叠加。</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递归转发探测：支持转发服务器分组；支持对转发服务器健康状态进行监测，支持对异常服务器进行复检，保证异常服务器恢复后快速可用。</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智能解析：支持设定网通、电信、移动、教育、科技网等IP地址段，针对不同的地址段解析不同的IP，便于外部访问主页提高访问速度</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宕机检测：支持ICMP，TCP/端口，HTTP URL，HTTPS URL，SNMP，TCP SYN，TCP CONNECT，FTP，UDP SCAN，SNMP_LINK，SMTP，MYSQL，PostgreSQL、ORACLE等多种检测方式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支持DNS域名解析检测，通过设定预期结果进行解析比较，实现对重点域名进行检测</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代理功能：支持正向代理功能，支持反向代理功能。支持IPv4和IPv6双栈资源转换</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DNS安全防护：</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DNS防火墙：支持禁止DNS ANY类型请求，支持防止DDOS攻击和放大攻击，支持基于IP或域名进行请求限速，支持自定义防火墙规则</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透明代理：支持DNS设备配置为桥接模式，串接入网，实现DNS透明代理功能。DNS透明代理功能截获DNS请求报文时，使用出接口上绑定的DNS服务器地址替换报文的目的地址，实现DNS对来自终端DNS请求的分流</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黑名单：支持DNS黑名单，自定义待过滤黑名单IP，实时生效</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URL过滤：支持DNS域名过滤，自定义域名URL，实时生效</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恶意域名库：支持本地恶意域名库和威胁情报库联动两种方式，威胁情报库联动要支持微步、深信服等系统（需提供界面截图，加盖投标人公章）</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恶意域名过滤：支持DNS防火墙响应策略，支持恶意域名的识别和过滤，针对域名进行阻断，支持域名不存在/存在无响应/不启用策略/强制TCP/丢弃/域名劫持等操作</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恶意排名：支持显示和下载已定义恶意域名的访问命中率报表</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 TSIG：支持定义TSIG，确保Zone转换、Notify、动态升级更新、递归查询邮件等DNS消息的安全，预防DNS欺骗</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数据分析：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数据分析：具有丰富DNS解析日志及统计报告，所有节点DNS解析实时展示和统计，实时展现服务设备访问的并发数据，通过饼图、柱状图进行清晰展现，帮助网络管理员跟踪和快速解决与 DNS配置有关的问题。包括QPS、Top域名、Top IP、解析记录统计；支持中国和世界的DNS访问排名统计分析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联动：支持与微信、钉钉办公系统联动，实现实名认证；支持微信扫描授权登录，便于IP实名溯源；支持与钉钉办公系统联动。实现实名认证，支持读取部门信息；支持钉钉扫描授权登录和钉钉账号密码登录认证两种方式，便于IP实名溯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IPv6绑定：支持DHCP Option79参数，支持识别IPv6终端的真实MAC，通过MAC绑定IPv6地址进行用户实名。</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服务支持：</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售后服务：所供货DNS设备的投标人或生产厂商，应能提供不低于365 x 24的标准技术支持服务，应包括但不限于客户服务网站/MAIL/电话热线服务</w:t>
            </w:r>
            <w:r/>
          </w:p>
          <w:p>
            <w:pPr>
              <w:pStyle w:val="986"/>
              <w:ind w:left="114" w:right="146" w:firstLine="1"/>
              <w:jc w:val="both"/>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highlight w:val="none"/>
                <w:lang w:eastAsia="zh-CN"/>
              </w:rPr>
              <w:t xml:space="preserve">所供货DNS设备必须具有NBD服务，当硬件出现故障时，能够及时提供备品备件</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ind w:left="113" w:right="146" w:firstLine="7"/>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pStyle w:val="688"/>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4.3.2核心应用能力服务-1台政务外网堡垒机</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部署堡垒机，收缩开发单位运维入口，按需提供文件上传、下载，统一管理权限，防止权限交叉问题，针对堡垒机服务对应设备配置要求如下：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配置要求：硬件要求：架式硬件架构，双电源，内存≥8G，硬盘容量≥12T，配置以太网千兆电口≥6个。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性能要求：配置支持300个资产的管理能力。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浏览器兼容性：支持通过Google、IE、Firefox、Safrai浏览器对系统进行管理及访问操作</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应用发布：支持通过应用发布方式实现对B/S、C/S运维管理工具统一管理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操作审计：支持对用户操作进行详细记录，包含但不局限于记录用户操作时间、访问设备、设备IP、源IP、用户账号及系统账号等信息，可通过Web页面回放用户相应操作记录。</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报表功能：管理员可以自定义报表模版，并支持根据不同模版自动生成日报、周报、月报，报表内容自动发送给相关管理员。</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4" w:right="146" w:firstLine="1"/>
              <w:jc w:val="both"/>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ind w:left="114" w:right="146" w:firstLine="1"/>
              <w:jc w:val="both"/>
              <w:rPr>
                <w:rFonts w:hint="eastAsia" w:eastAsia="宋体"/>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暂无内容</w:t>
            </w:r>
            <w:r/>
          </w:p>
        </w:tc>
      </w:tr>
    </w:tbl>
    <w:p>
      <w:pPr>
        <w:pStyle w:val="688"/>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4.3.3 核心应用能力服务-1套统一运维管理平台</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部署统一运维管理平台，实现全网设备性能和告警实时监控，针对统一运维管理平台服务对应平台参数如下：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18"/>
        <w:gridCol w:w="7258"/>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18"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258"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18"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258"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拓扑展示：拓扑支持分层分级展现，用户可以选择不同层数来控制大规模的拓扑图的展现。</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整体管理：能在一个页面上提供系统总览、异常一览、报表一览。把系统的各个方面的情况及时反映。通过图形方式，实时展现查看哪些设备亚健康或哪些设备不可用，实时进行管理。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告警方式：支持多种告警方式，包括拓扑图图标颜色变化告警，声音告警，短信告警，微信告警，邮件告警，关闭网络端口告警、运维告警等方式。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智能巡检：支持按不同巡检内容和设备制定周期性的定点智能巡检，构建巡检规则，以模板规范标准值为依据,根据预设的要求进行数据采集,进行自主分析判断,进行定期巡检。</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工具模块：集成常用网络诊断和分析工具：Ping 、TraceRoute、链路延时、SNMP连接测试、Telnet&amp;ssh</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资产管理：至少支持Huawei、H3C等厂商的设备管理。要求具备自定义设备的管理能力（至少包括告警参数、性能指标），从而达到对新设备快速管理</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网元：配置500个网络节点管理license，含告警管理、性能管理等功能</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18"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258" w:type="dxa"/>
            <w:textDirection w:val="lrTb"/>
            <w:noWrap w:val="false"/>
          </w:tcPr>
          <w:p>
            <w:pPr>
              <w:pStyle w:val="986"/>
              <w:ind w:left="113" w:right="146" w:firstLine="7"/>
              <w:rPr>
                <w:rFonts w:hint="eastAsia"/>
                <w:color w:val="auto"/>
                <w:sz w:val="24"/>
                <w:szCs w:val="24"/>
                <w:highlight w:val="none"/>
                <w:lang w:eastAsia="zh-CN"/>
              </w:rPr>
            </w:pPr>
            <w:r>
              <w:rPr>
                <w:rFonts w:hint="eastAsia"/>
                <w:color w:val="auto"/>
                <w:sz w:val="24"/>
                <w:szCs w:val="24"/>
                <w:highlight w:val="none"/>
                <w:lang w:eastAsia="zh-CN"/>
              </w:rPr>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18"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258" w:type="dxa"/>
            <w:textDirection w:val="lrTb"/>
            <w:noWrap w:val="false"/>
          </w:tcPr>
          <w:p>
            <w:pPr>
              <w:pStyle w:val="986"/>
              <w:ind w:left="1834"/>
              <w:rPr>
                <w:rFonts w:hint="eastAsia"/>
                <w:color w:val="auto"/>
                <w:sz w:val="24"/>
                <w:szCs w:val="24"/>
                <w:highlight w:val="none"/>
              </w:rPr>
            </w:pPr>
            <w:r>
              <w:rPr>
                <w:color w:val="auto"/>
                <w:spacing w:val="-3"/>
                <w:sz w:val="24"/>
                <w:szCs w:val="24"/>
                <w:highlight w:val="none"/>
              </w:rPr>
              <w:t xml:space="preserve">暂无内容</w:t>
            </w:r>
            <w:r/>
          </w:p>
        </w:tc>
      </w:tr>
    </w:tbl>
    <w:p>
      <w:pPr>
        <w:pStyle w:val="688"/>
        <w:rPr>
          <w:color w:val="auto"/>
          <w:highlight w:val="none"/>
          <w:lang w:eastAsia="zh-CN"/>
        </w:rPr>
      </w:pPr>
      <w:r>
        <w:rPr>
          <w:color w:val="auto"/>
          <w:highlight w:val="none"/>
          <w:lang w:eastAsia="zh-CN"/>
        </w:rPr>
      </w:r>
      <w:r/>
    </w:p>
    <w:p>
      <w:pPr>
        <w:pStyle w:val="680"/>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4 预留专网并网能力服务—2台并网汇聚交换机</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通过增加并网汇聚层，并且部署2台并网汇聚交换机，预留后期专网并网能力。具体配置如下</w:t>
      </w:r>
      <w:r>
        <w:rPr>
          <w:rFonts w:hint="eastAsia" w:ascii="宋体" w:hAnsi="宋体" w:cs="宋体"/>
          <w:color w:val="auto"/>
          <w:spacing w:val="-2"/>
          <w:sz w:val="24"/>
          <w:szCs w:val="24"/>
          <w:highlight w:val="none"/>
          <w:lang w:eastAsia="zh-CN"/>
        </w:rPr>
        <w:t xml:space="preserve">：</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配置要求：交换容量≥1T，包转发率≥400Mpps，配置千兆SFP≥24个，万兆SFP+≥4个，支持双电源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功能要求：实配L3VPN、IPV6等功能。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路由功能：支持策略路由、路由策略和路由负荷分担，支持静态路由、RIPv1/v2、RIPng、OSPFv2、OSPFv3、IS-ISv4、IS-ISv6、BGP、BGP4+路由协议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VLAN</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支持Access、Trunk、Hybrid</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支持default VLAN</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支持QinQ</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二层特性：支持IEEE 802.1q、IEEE 802.1p、IEEE 802.3ad和IEEE 802.1ab等协议；支持STP、RSTP、MSTP和VLAN；支持MPLS/BGP VPN。</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pStyle w:val="688"/>
        <w:rPr>
          <w:color w:val="auto"/>
          <w:highlight w:val="none"/>
          <w:lang w:eastAsia="zh-CN"/>
        </w:rPr>
      </w:pPr>
      <w:r>
        <w:rPr>
          <w:color w:val="auto"/>
          <w:highlight w:val="none"/>
          <w:lang w:eastAsia="zh-CN"/>
        </w:rPr>
      </w:r>
      <w:r/>
    </w:p>
    <w:p>
      <w:pPr>
        <w:pStyle w:val="680"/>
        <w:rPr>
          <w:rFonts w:hint="eastAsia" w:ascii="Arial" w:hAnsi="Arial" w:eastAsia="Arial"/>
          <w:color w:val="auto"/>
          <w:highlight w:val="none"/>
          <w:lang w:val="en-US" w:eastAsia="zh-CN"/>
        </w:rPr>
      </w:pPr>
      <w:r>
        <w:rPr>
          <w:rFonts w:hint="eastAsia" w:ascii="Arial" w:hAnsi="Arial" w:eastAsia="Arial"/>
          <w:color w:val="auto"/>
          <w:highlight w:val="none"/>
          <w:lang w:val="en-US" w:eastAsia="zh-CN"/>
        </w:rPr>
        <w:t xml:space="preserve">4.5 运维保障服务</w:t>
      </w:r>
      <w:r/>
    </w:p>
    <w:p>
      <w:pPr>
        <w:ind w:firstLine="560"/>
        <w:keepLines w:val="0"/>
        <w:keepNext w:val="0"/>
        <w:pageBreakBefore w:val="0"/>
        <w:spacing w:line="240" w:lineRule="auto"/>
        <w:widowControl/>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鉴于电子政务外网相关设备在使用过程中所形成的信息留存安全，本次采购服务所落实的设备资产，服务期结束后，将统一移交数治中心。</w:t>
      </w:r>
      <w:r/>
    </w:p>
    <w:p>
      <w:pPr>
        <w:keepLines w:val="0"/>
        <w:keepNext w:val="0"/>
        <w:pageBreakBefore w:val="0"/>
        <w:spacing w:line="240" w:lineRule="auto"/>
        <w:widowControl/>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    结合资产管理要求，在本项目中采购</w:t>
      </w:r>
      <w:r>
        <w:rPr>
          <w:rFonts w:hint="eastAsia" w:eastAsia="仿宋" w:cs="Times New Roman"/>
          <w:color w:val="auto"/>
          <w:sz w:val="28"/>
          <w:szCs w:val="28"/>
          <w:highlight w:val="none"/>
          <w:lang w:val="en-US" w:eastAsia="zh-CN"/>
        </w:rPr>
        <w:t xml:space="preserve">资产移交后的</w:t>
      </w:r>
      <w:r>
        <w:rPr>
          <w:rFonts w:hint="eastAsia" w:ascii="Times New Roman" w:hAnsi="Times New Roman" w:eastAsia="仿宋" w:cs="Times New Roman"/>
          <w:color w:val="auto"/>
          <w:sz w:val="28"/>
          <w:szCs w:val="28"/>
          <w:highlight w:val="none"/>
          <w:lang w:eastAsia="zh-CN"/>
        </w:rPr>
        <w:t xml:space="preserve">运维保障服务</w:t>
      </w:r>
      <w:r>
        <w:rPr>
          <w:rFonts w:hint="eastAsia"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包含本项目中采购的骨干网基础能力服务、边界安全能力服务、核心应用能力服务、预留装网并网能力服务所涉及</w:t>
      </w:r>
      <w:r>
        <w:rPr>
          <w:rFonts w:hint="eastAsia" w:ascii="Times New Roman" w:hAnsi="Times New Roman" w:eastAsia="仿宋" w:cs="Times New Roman"/>
          <w:color w:val="auto"/>
          <w:sz w:val="28"/>
          <w:szCs w:val="28"/>
          <w:highlight w:val="none"/>
          <w:lang w:val="en-US" w:eastAsia="zh-CN"/>
        </w:rPr>
        <w:t xml:space="preserve">全套软件、硬件原厂质保服务，以及对应运维保障服务，运维保障服务按照对应条款响应考核</w:t>
      </w:r>
      <w:r>
        <w:rPr>
          <w:rFonts w:hint="eastAsia" w:ascii="Times New Roman" w:hAnsi="Times New Roman" w:eastAsia="仿宋" w:cs="Times New Roman"/>
          <w:color w:val="auto"/>
          <w:sz w:val="28"/>
          <w:szCs w:val="28"/>
          <w:highlight w:val="none"/>
          <w:lang w:eastAsia="zh-CN"/>
        </w:rPr>
        <w:t xml:space="preserve">。</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numPr>
                <w:ilvl w:val="0"/>
                <w:numId w:val="0"/>
              </w:numPr>
              <w:ind w:left="115" w:right="146"/>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一、质保服务要求：</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本项目中采购的骨干网基础能力服务、边界安全能力服务、核心应用能力服务、预留装网并网能力服务所涉及全套软件、硬件资产移交后，配套2年全体系原厂质保及安全设备许可服务，覆盖上述四类能力涉及的全部软硬件资产，提供硬件故障免费更换、原厂技术兜底支持，保障政务外网长期稳定运行。</w:t>
            </w:r>
            <w:r/>
          </w:p>
          <w:p>
            <w:pPr>
              <w:pStyle w:val="986"/>
              <w:numPr>
                <w:ilvl w:val="0"/>
                <w:numId w:val="0"/>
              </w:numPr>
              <w:ind w:left="115" w:right="146"/>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二、运维保障服务要求：</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1、7×24 小时实时监控服务</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设备状态监控：CPU、内存、端口、电源、风扇、板卡状态</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链路监控：带宽利用率、延迟、丢包、抖动、链路通断</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业务监控：路由状态、策略状态、会话数、解析成功率、调度健康度</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安全监控：攻击告警、异常访问、越权操作、策略冲突</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异常自动告警：短信 / 邮件 / 平台实时推送</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2. 配置管理与版本管理</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配置定期自动备份（每日 / 每周）</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配置变更审核、实施、回滚机制</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版本合规检查：固件 / 系统版本升级、补丁更新</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配置基线固化：防误改、防漏配、防冲突</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双机热备 / 集群配置一致性检查</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3. 故障排查与快速恢复</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设备宕机、端口 DOWN、链路中断快速定位</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路由不可达、策略不生效、NAT 异常处理</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负载均衡调度异常、节点摘除、会话异常处理</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智能 DNS 解析失败、劫持、调度错误处理</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堡垒机登录失败、权限异常、审计中断处置</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故障分级响应，提供快速恢复保障</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4. 安全运维与加固服务</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防火墙策略审计、冗余策略清理、最小权限优化</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入侵防御库、病毒库、特征库升级</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 DDoS、端口扫描、暴力破解防护</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设备账号密码安全、权限最小化管理</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关闭危险服务、禁用弱口令、日志安全审计</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安全漏洞扫描与加固建议</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5. 性能优化与健康保障</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网络拥塞分析、带宽瓶颈优化</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路由策略优化、负载均衡算法调优</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DNS 智能调度优化、运营商线路质量优化</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设备散热、环境、硬件状态巡检</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长期性能趋势分析，提前预警瓶颈</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6. 变更与演练服务</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设备升级、割接、扩容、迁移方案制定与实施</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双机热备切换演练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链路故障自动切换演练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DNS 智能调度切流演练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防火墙主备切换演练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变更后验证、测试、回滚保障</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7. 日志审计与合规保障</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设备运行日志、安全日志、访问日志留存</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堡垒机操作、指令审计、高危操作拦截</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运维操作可追溯、可审计、可复盘</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满足等保 / 监管要求的审计输出</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 周期性巡检服务</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每日巡检：设备状态、链路状态、告警处理</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每周巡检：配置备份、策略检查、性能趋势</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月度巡检：全面健康检查、安全风险评估</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季度 / 年度：深度优化、架构评估、扩容建议</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9. 应急响应服务</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网络中断应急处置</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安全攻击事件应急</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设备硬件故障应急</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业务大面积异常应急</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提供应急方案、处置记录、复盘报告</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10. 运维报告输出</w:t>
            </w:r>
            <w:r/>
          </w:p>
          <w:p>
            <w:pPr>
              <w:pStyle w:val="986"/>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日报：告警、故障、变更记录</w:t>
            </w:r>
            <w:r/>
          </w:p>
          <w:p>
            <w:pPr>
              <w:pStyle w:val="986"/>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周报：运行概况、问题统计</w:t>
            </w:r>
            <w:r/>
          </w:p>
          <w:p>
            <w:pPr>
              <w:pStyle w:val="986"/>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月报：性能分析、安全风险、优化建议、故障总结</w:t>
            </w:r>
            <w:r/>
          </w:p>
          <w:p>
            <w:pPr>
              <w:pStyle w:val="986"/>
              <w:numPr>
                <w:ilvl w:val="0"/>
                <w:numId w:val="14"/>
              </w:numPr>
              <w:ind w:left="0" w:right="146" w:firstLine="283"/>
              <w:jc w:val="both"/>
              <w:rPr>
                <w:rFonts w:hint="default" w:ascii="Times New Roman" w:hAnsi="Times New Roman" w:eastAsia="仿宋" w:cs="Times New Roman"/>
                <w:color w:val="auto"/>
                <w:sz w:val="28"/>
                <w:szCs w:val="28"/>
                <w:highlight w:val="none"/>
                <w:lang w:val="en-US" w:eastAsia="zh-CN"/>
              </w:rPr>
            </w:pPr>
            <w:r>
              <w:rPr>
                <w:rFonts w:hint="eastAsia" w:ascii="Times New Roman" w:hAnsi="Times New Roman" w:eastAsia="仿宋" w:cs="Times New Roman"/>
                <w:color w:val="auto"/>
                <w:highlight w:val="none"/>
                <w:lang w:val="en-US" w:eastAsia="zh-CN"/>
              </w:rPr>
              <w:t xml:space="preserve">专项报告：演练报告、安全评估报告、架构优化报告</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default"/>
                <w:color w:val="auto"/>
                <w:sz w:val="24"/>
                <w:szCs w:val="24"/>
                <w:highlight w:val="none"/>
                <w:lang w:val="en-US"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ind w:left="113" w:right="146" w:firstLine="7"/>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暂无内容</w:t>
            </w:r>
            <w:r/>
          </w:p>
        </w:tc>
      </w:tr>
    </w:tbl>
    <w:p>
      <w:pPr>
        <w:pStyle w:val="688"/>
        <w:rPr>
          <w:rFonts w:hint="eastAsia"/>
        </w:rPr>
      </w:pPr>
      <w:r>
        <w:rPr>
          <w:rFonts w:hint="eastAsia"/>
        </w:rPr>
      </w:r>
      <w:r/>
    </w:p>
    <w:p>
      <w:pPr>
        <w:ind w:firstLine="480"/>
        <w:keepLines w:val="0"/>
        <w:keepNext w:val="0"/>
        <w:pageBreakBefore w:val="0"/>
        <w:spacing w:line="264" w:lineRule="auto"/>
        <w:widowControl w:val="off"/>
        <w:rPr>
          <w:rFonts w:hint="eastAsia" w:ascii="宋体" w:hAnsi="宋体" w:eastAsia="宋体" w:cs="宋体"/>
          <w:b/>
          <w:bCs/>
          <w:color w:val="000000"/>
          <w:sz w:val="24"/>
          <w:szCs w:val="24"/>
        </w:rPr>
        <w:outlineLvl w:val="2"/>
      </w:pPr>
      <w:r>
        <w:rPr>
          <w:rFonts w:hint="eastAsia" w:ascii="黑体" w:hAnsi="黑体" w:eastAsia="黑体" w:cs="黑体"/>
          <w:b/>
          <w:bCs/>
          <w:color w:val="000000"/>
          <w:sz w:val="24"/>
          <w:szCs w:val="24"/>
          <w:lang w:val="en-US" w:eastAsia="zh-CN"/>
        </w:rPr>
        <w:t xml:space="preserve">★</w:t>
      </w:r>
      <w:r>
        <w:rPr>
          <w:rFonts w:hint="eastAsia" w:ascii="宋体" w:hAnsi="宋体" w:eastAsia="宋体" w:cs="宋体"/>
          <w:b/>
          <w:bCs/>
          <w:color w:val="000000"/>
          <w:sz w:val="24"/>
          <w:szCs w:val="24"/>
        </w:rPr>
        <w:t xml:space="preserve">（二）商务要求</w:t>
      </w:r>
      <w:r/>
    </w:p>
    <w:p>
      <w:pPr>
        <w:pStyle w:val="680"/>
        <w:rPr>
          <w:lang w:val="en-US" w:eastAsia="zh-CN"/>
        </w:rPr>
      </w:pPr>
      <w:r>
        <w:rPr>
          <w:rFonts w:hint="eastAsia"/>
          <w:lang w:val="en-US" w:eastAsia="zh-CN"/>
        </w:rPr>
        <w:t xml:space="preserve">1.</w:t>
      </w:r>
      <w:r>
        <w:rPr>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w:t>
      </w:r>
      <w:r>
        <w:rPr>
          <w:rFonts w:hint="eastAsia" w:ascii="宋体" w:hAnsi="宋体" w:eastAsia="宋体" w:cs="宋体"/>
          <w:sz w:val="24"/>
          <w:szCs w:val="24"/>
        </w:rPr>
        <w:t xml:space="preserve">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报价中包含该服务项目中所涉及的设备、系统网络对接、建设、开发、运行、维护、管理、技术支持费用，不含数据中心接入网络费用。不得填报有选择性报价方案。报价表必须每项填写，不接受零报价方式。</w:t>
      </w:r>
      <w:r>
        <w:rPr>
          <w:rFonts w:hint="eastAsia" w:ascii="宋体" w:hAnsi="宋体" w:eastAsia="宋体" w:cs="宋体"/>
          <w:b/>
          <w:bCs/>
          <w:sz w:val="24"/>
          <w:szCs w:val="24"/>
          <w:highlight w:val="none"/>
          <w:lang w:val="en-US" w:eastAsia="zh-CN"/>
        </w:rPr>
        <w:t xml:space="preserve">每项提供对应的分项报价</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见</w:t>
      </w:r>
      <w:r>
        <w:rPr>
          <w:rFonts w:hint="eastAsia" w:ascii="宋体" w:hAnsi="宋体" w:cs="宋体"/>
          <w:b/>
          <w:bCs/>
          <w:sz w:val="24"/>
          <w:szCs w:val="24"/>
          <w:highlight w:val="none"/>
          <w:lang w:val="en-US" w:eastAsia="zh-CN"/>
        </w:rPr>
        <w:t xml:space="preserve">响应文件格式-分项报价表。</w:t>
      </w:r>
      <w:r/>
    </w:p>
    <w:p>
      <w:pPr>
        <w:pStyle w:val="680"/>
        <w:rPr>
          <w:rFonts w:hint="eastAsia"/>
          <w:lang w:val="en-US" w:eastAsia="zh-CN"/>
        </w:rPr>
      </w:pPr>
      <w:r>
        <w:rPr>
          <w:rFonts w:hint="eastAsia"/>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供应商需针对本项目开发规范建立规范、完整的开发文档。主要包括需求分析、概要设计、详细设计、代码文档、测试文档、系统实施手册、管理员手册、使用手册等。开发过程中发生需求变更、设计调整等情况时，要有规范的、可回溯的记录文档。产品和所有技术文档要具有严格的一致性。</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鉴于一二平面的关系，</w:t>
      </w:r>
      <w:r>
        <w:rPr>
          <w:rFonts w:hint="eastAsia" w:ascii="宋体" w:hAnsi="宋体" w:eastAsia="宋体" w:cs="宋体"/>
          <w:color w:val="auto"/>
          <w:sz w:val="24"/>
          <w:szCs w:val="24"/>
          <w:highlight w:val="none"/>
          <w:lang w:val="en-US" w:eastAsia="zh-CN"/>
        </w:rPr>
        <w:t xml:space="preserve">以及新区电子政务外网链路汇聚情况，本次服务所对应设备需存放在新区电子政务外网机房，相关托管费用由数治中心另外支付，不在本项目采购费用范围内。</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p>
    <w:p>
      <w:pPr>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供应商需针对售后服务响应时效做出承诺。</w:t>
      </w:r>
      <w:r>
        <w:rPr>
          <w:rFonts w:hint="eastAsia" w:ascii="宋体" w:hAnsi="宋体"/>
          <w:color w:val="000000"/>
          <w:sz w:val="24"/>
          <w:szCs w:val="24"/>
        </w:rPr>
        <w:t xml:space="preserve">疑难问题（不危及运行）在 24小时内答复用户。重大问题（危及运行）在 2 小时内到现场处理或通过网络远程处理。特大问题（系统不能正常运行）在 2 小时内恢复系统运行，并在 24 小时内派技术人员到现场解决。</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①</w:t>
      </w:r>
      <w:r>
        <w:rPr>
          <w:rFonts w:hint="eastAsia" w:ascii="宋体" w:hAnsi="宋体" w:cs="Times New Roman"/>
          <w:color w:val="000000"/>
          <w:sz w:val="24"/>
          <w:szCs w:val="24"/>
          <w:lang w:val="en-US" w:eastAsia="zh-CN"/>
        </w:rPr>
        <w:t xml:space="preserve">相关软件、硬件设备</w:t>
      </w:r>
      <w:r>
        <w:rPr>
          <w:rFonts w:hint="eastAsia" w:ascii="宋体" w:hAnsi="宋体" w:eastAsia="宋体" w:cs="Times New Roman"/>
          <w:color w:val="000000"/>
          <w:sz w:val="24"/>
          <w:szCs w:val="24"/>
          <w:lang w:val="en-US" w:eastAsia="zh-CN"/>
        </w:rPr>
        <w:t xml:space="preserve">部署和调试后，</w:t>
      </w:r>
      <w:r>
        <w:rPr>
          <w:rFonts w:hint="eastAsia" w:ascii="宋体" w:hAnsi="宋体" w:eastAsia="宋体" w:cs="Times New Roman"/>
          <w:color w:val="000000"/>
          <w:sz w:val="24"/>
          <w:szCs w:val="24"/>
          <w:highlight w:val="none"/>
          <w:lang w:val="en-US" w:eastAsia="zh-CN"/>
        </w:rPr>
        <w:t xml:space="preserve">采购人将组织</w:t>
      </w:r>
      <w:r>
        <w:rPr>
          <w:rFonts w:hint="eastAsia" w:ascii="宋体" w:hAnsi="宋体" w:eastAsia="宋体" w:cs="宋体"/>
          <w:spacing w:val="2"/>
          <w:sz w:val="24"/>
          <w:szCs w:val="24"/>
          <w:highlight w:val="none"/>
          <w:lang w:eastAsia="zh-CN"/>
        </w:rPr>
        <w:t xml:space="preserve">服务交付能力验收</w:t>
      </w:r>
      <w:r>
        <w:rPr>
          <w:rFonts w:hint="eastAsia" w:ascii="宋体" w:hAnsi="宋体" w:eastAsia="宋体" w:cs="Times New Roman"/>
          <w:color w:val="000000"/>
          <w:sz w:val="24"/>
          <w:szCs w:val="24"/>
          <w:highlight w:val="none"/>
          <w:lang w:val="en-US" w:eastAsia="zh-CN"/>
        </w:rPr>
        <w:t xml:space="preserve">，以采购人验收报告为最终验收结果。验收时发现未完成安装部署的、未进行调试的，采购人有权要求供应商立即进行补充。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宋体"/>
          <w:spacing w:val="2"/>
          <w:sz w:val="24"/>
          <w:szCs w:val="24"/>
          <w:highlight w:val="none"/>
          <w:lang w:eastAsia="zh-CN"/>
        </w:rPr>
        <w:t xml:space="preserve">交付能力</w:t>
      </w:r>
      <w:r>
        <w:rPr>
          <w:rFonts w:hint="eastAsia" w:ascii="宋体" w:hAnsi="宋体" w:eastAsia="宋体" w:cs="Times New Roman"/>
          <w:color w:val="000000"/>
          <w:sz w:val="24"/>
          <w:szCs w:val="24"/>
          <w:highlight w:val="none"/>
          <w:lang w:val="en-US" w:eastAsia="zh-CN"/>
        </w:rPr>
        <w:t xml:space="preserve">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为验收依据。验收合格</w:t>
      </w:r>
      <w:r>
        <w:rPr>
          <w:rFonts w:hint="eastAsia" w:ascii="宋体" w:hAnsi="宋体" w:cs="Times New Roman"/>
          <w:bCs w:val="0"/>
          <w:color w:val="000000"/>
          <w:sz w:val="24"/>
          <w:szCs w:val="24"/>
          <w:highlight w:val="none"/>
          <w:lang w:val="en-US" w:eastAsia="zh-CN"/>
        </w:rPr>
        <w:t xml:space="preserve">之日起计算服务期</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cs="Times New Roman"/>
          <w:color w:val="000000"/>
          <w:sz w:val="24"/>
          <w:szCs w:val="24"/>
          <w:lang w:val="en-US" w:eastAsia="zh-CN"/>
        </w:rPr>
        <w:t xml:space="preserve">服务期内，每年基于服务考核结果做费用支付</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lang w:val="en-US" w:eastAsia="zh-CN"/>
        </w:rPr>
      </w:pPr>
      <w:r>
        <w:rPr>
          <w:rFonts w:hint="eastAsia" w:ascii="宋体" w:hAnsi="宋体" w:cs="Times New Roman"/>
          <w:color w:val="000000"/>
          <w:sz w:val="24"/>
          <w:szCs w:val="24"/>
          <w:lang w:val="en-US" w:eastAsia="zh-CN"/>
        </w:rPr>
        <w:t xml:space="preserve">④运维保障服务期内，每年按照相关服务要求落实考核，按照服务考核结果做费用支付</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（4）人员要求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①项目经理：1人，具有至少3年以上信息化项目管理工作经验。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②技术负责人：1人，具有至少3年以上信息化项目技术管理工作经验。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③实施人员：不少于3人，具有信息化工作经验，项目开发期间须至少1人驻</w:t>
      </w:r>
      <w:r>
        <w:rPr>
          <w:rFonts w:hint="eastAsia" w:ascii="宋体" w:hAnsi="宋体" w:cs="Times New Roman"/>
          <w:color w:val="000000"/>
          <w:sz w:val="24"/>
          <w:szCs w:val="24"/>
          <w:lang w:val="en-US" w:eastAsia="zh-CN"/>
        </w:rPr>
        <w:t xml:space="preserve">场</w:t>
      </w:r>
      <w:r>
        <w:rPr>
          <w:rFonts w:hint="eastAsia" w:ascii="宋体" w:hAnsi="宋体" w:eastAsia="宋体" w:cs="Times New Roman"/>
          <w:color w:val="000000"/>
          <w:sz w:val="24"/>
          <w:szCs w:val="24"/>
          <w:lang w:val="en-US" w:eastAsia="zh-CN"/>
        </w:rPr>
        <w:t xml:space="preserve">服务。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④运维服务人员：不少于1人，须提供驻</w:t>
      </w:r>
      <w:r>
        <w:rPr>
          <w:rFonts w:hint="eastAsia" w:ascii="宋体" w:hAnsi="宋体" w:cs="Times New Roman"/>
          <w:color w:val="000000"/>
          <w:sz w:val="24"/>
          <w:szCs w:val="24"/>
          <w:lang w:val="en-US" w:eastAsia="zh-CN"/>
        </w:rPr>
        <w:t xml:space="preserve">场</w:t>
      </w:r>
      <w:r>
        <w:rPr>
          <w:rFonts w:hint="eastAsia" w:ascii="宋体" w:hAnsi="宋体" w:eastAsia="宋体" w:cs="Times New Roman"/>
          <w:color w:val="000000"/>
          <w:sz w:val="24"/>
          <w:szCs w:val="24"/>
          <w:lang w:val="en-US" w:eastAsia="zh-CN"/>
        </w:rPr>
        <w:t xml:space="preserve">服务，具有信息化工作经验。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w:t>
      </w:r>
      <w:r>
        <w:rPr>
          <w:rFonts w:hint="eastAsia" w:ascii="宋体" w:hAnsi="宋体" w:cs="Times New Roman"/>
          <w:color w:val="000000"/>
          <w:sz w:val="24"/>
          <w:szCs w:val="24"/>
          <w:lang w:val="en-US" w:eastAsia="zh-CN"/>
        </w:rPr>
        <w:t xml:space="preserve">服务能力和软件平台</w:t>
      </w:r>
      <w:r>
        <w:rPr>
          <w:rFonts w:hint="eastAsia" w:ascii="宋体" w:hAnsi="宋体" w:eastAsia="宋体" w:cs="Times New Roman"/>
          <w:color w:val="000000"/>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信创适配要求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8</w:t>
      </w:r>
      <w:r>
        <w:rPr>
          <w:rFonts w:hint="eastAsia" w:ascii="宋体" w:hAnsi="宋体" w:eastAsia="宋体" w:cs="Times New Roman"/>
          <w:color w:val="000000"/>
          <w:sz w:val="24"/>
          <w:szCs w:val="24"/>
          <w:lang w:val="en-US" w:eastAsia="zh-CN"/>
        </w:rPr>
        <w:t xml:space="preserve">）网络安全等级保护测评要求</w:t>
      </w:r>
      <w:r/>
    </w:p>
    <w:p>
      <w:pPr>
        <w:pStyle w:val="688"/>
        <w:ind w:firstLine="476"/>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pacing w:val="-1"/>
          <w:sz w:val="24"/>
          <w:szCs w:val="24"/>
          <w:highlight w:val="none"/>
          <w:lang w:eastAsia="zh-CN"/>
        </w:rPr>
        <w:t xml:space="preserve">供应商若中标，在项目投入使用时，需提供政务外网核心网环境信息系统安全等级保护备案证书（公安机关颁发），要求为三级（含）以上。（注：针对上述内容供应商需提供承诺函加盖其公章后上传至投标系统）</w:t>
      </w:r>
      <w:r/>
    </w:p>
    <w:p>
      <w:pPr>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根据《南京江北新区政府投资信息化项目及资金管理办法实施细则（试行）》（宁新区信息化办发〔2024〕7号），合同约定付款比例原则上按以下规定执行：</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合同签订后，支付骨干网基础能力服务、边界安全能力服务、核心应用能力服务、预留装网并网能力服务共计4项服务总金额的20%作为预付款；</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服务交付能力验收通过后，开始计算服务时间，每年支付一次，支付金额为骨干网基础能力服务、边界安全能力服务、核心应用能力服务、预留装网并网能力服务共计4项服务总金额*80%/3*考核系</w:t>
      </w:r>
      <w:r>
        <w:rPr>
          <w:rFonts w:hint="eastAsia" w:ascii="宋体" w:hAnsi="宋体" w:eastAsia="宋体" w:cs="Times New Roman"/>
          <w:color w:val="000000"/>
          <w:sz w:val="24"/>
          <w:szCs w:val="24"/>
          <w:lang w:val="en-US" w:eastAsia="zh-CN"/>
        </w:rPr>
        <w:t xml:space="preserve">数；服务期结束后，相关设备资产移数治中心；</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自资产移交完成日起计算</w:t>
      </w:r>
      <w:r>
        <w:rPr>
          <w:rFonts w:hint="eastAsia" w:ascii="宋体" w:hAnsi="宋体" w:cs="Times New Roman"/>
          <w:color w:val="000000"/>
          <w:sz w:val="24"/>
          <w:szCs w:val="24"/>
          <w:lang w:val="en-US" w:eastAsia="zh-CN"/>
        </w:rPr>
        <w:t xml:space="preserve">运维保障</w:t>
      </w:r>
      <w:r>
        <w:rPr>
          <w:rFonts w:hint="eastAsia" w:ascii="宋体" w:hAnsi="宋体" w:eastAsia="宋体" w:cs="Times New Roman"/>
          <w:color w:val="000000"/>
          <w:sz w:val="24"/>
          <w:szCs w:val="24"/>
          <w:lang w:val="en-US" w:eastAsia="zh-CN"/>
        </w:rPr>
        <w:t xml:space="preserve">期，每年支付一次，支付金额为维保年度价格*考核系数；</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服务能力考核要求”得分，落实最终考核评分：考评得分90≤X≤100，结果为优秀，考核系数为1；考评得分80≤X＜90，结果为良好，考核系数为0.95；考评得分60≤X＜80，结果为合格，考核系数为0.9；考评得分X＜60，结果为不合格，不支付并追究违约责任。</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提示：根据工业和信息化部关于印发《保障中小企业款项支付投诉处理暂行办法》的通知（工信部企业〔2021〕224号），采购人未按合同约定支付款项的，供应商可以向有关部门投诉。</w:t>
      </w:r>
      <w:r/>
    </w:p>
    <w:p>
      <w:pPr>
        <w:numPr>
          <w:ilvl w:val="0"/>
          <w:numId w:val="0"/>
        </w:numPr>
        <w:ind w:firstLine="480"/>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整体服务按照100分制，</w:t>
      </w:r>
      <w:r>
        <w:rPr>
          <w:rFonts w:hint="eastAsia" w:ascii="宋体" w:hAnsi="宋体" w:cs="Times New Roman"/>
          <w:color w:val="000000"/>
          <w:sz w:val="24"/>
          <w:szCs w:val="24"/>
          <w:lang w:val="en-US" w:eastAsia="zh-CN"/>
        </w:rPr>
        <w:t xml:space="preserve">考核要求如下：</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服务工作要求：</w:t>
      </w:r>
      <w:r>
        <w:rPr>
          <w:rFonts w:hint="eastAsia" w:ascii="宋体" w:hAnsi="宋体" w:eastAsia="宋体" w:cs="Times New Roman"/>
          <w:color w:val="000000"/>
          <w:sz w:val="24"/>
          <w:szCs w:val="24"/>
          <w:lang w:val="en-US" w:eastAsia="zh-CN"/>
        </w:rPr>
        <w:t xml:space="preserve">提供 7*24 小时的不间断技术服务,按时完成规定的日常维护服务工作以及临时派发的其他工作任务。 每发生一次间断响应，扣1分；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请求响应时间：</w:t>
      </w:r>
      <w:r>
        <w:rPr>
          <w:rFonts w:hint="eastAsia" w:ascii="宋体" w:hAnsi="宋体" w:eastAsia="宋体" w:cs="Times New Roman"/>
          <w:color w:val="000000"/>
          <w:sz w:val="24"/>
          <w:szCs w:val="24"/>
          <w:lang w:val="en-US" w:eastAsia="zh-CN"/>
        </w:rPr>
        <w:t xml:space="preserve">（1）请求响应时间小于 5 分钟； （2）反馈时间小于 30 分钟； （3）所有影响汇聚及以上的业务故障，业务恢复时间小于4小时，单汇聚节点可用性≥99.999%，单汇聚层设备到核心层线路可用性≥99.9999%。（其中用于软硬件系统安装、调试的服务中断时间不计算在内）。  以上，每发生一次不及时响应，扣1分；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配置变更任务响应：</w:t>
      </w:r>
      <w:r>
        <w:rPr>
          <w:rFonts w:hint="eastAsia" w:ascii="宋体" w:hAnsi="宋体" w:eastAsia="宋体" w:cs="Times New Roman"/>
          <w:color w:val="000000"/>
          <w:sz w:val="24"/>
          <w:szCs w:val="24"/>
          <w:lang w:val="en-US" w:eastAsia="zh-CN"/>
        </w:rPr>
        <w:t xml:space="preserve">收到用户配置变更请求后，在 3 个工作日内完成网络配置变更任务。每发生一次不及时响应，扣1分；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项目管理：</w:t>
      </w:r>
      <w:r>
        <w:rPr>
          <w:rFonts w:hint="eastAsia" w:ascii="宋体" w:hAnsi="宋体" w:eastAsia="宋体" w:cs="Times New Roman"/>
          <w:color w:val="000000"/>
          <w:sz w:val="24"/>
          <w:szCs w:val="24"/>
          <w:lang w:val="en-US" w:eastAsia="zh-CN"/>
        </w:rPr>
        <w:t xml:space="preserve">包括外包服务运行过程中的新建项目和变更项目，需根据用户需求提供合理的基础设施建设、变更方案，以及方案实施的管理流程； 每发生一次非规建设，扣5分；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资料管理：</w:t>
      </w:r>
      <w:r>
        <w:rPr>
          <w:rFonts w:hint="eastAsia" w:ascii="宋体" w:hAnsi="宋体" w:eastAsia="宋体" w:cs="Times New Roman"/>
          <w:color w:val="000000"/>
          <w:sz w:val="24"/>
          <w:szCs w:val="24"/>
          <w:lang w:val="en-US" w:eastAsia="zh-CN"/>
        </w:rPr>
        <w:t xml:space="preserve">基础设施管理资料每季度更新一次、每月提供系统运行日志，故障分析报告、运行评估报告等相关内容，同时提供文档资料的管理流程； 每发生一次未按要求提供资料的情况，扣2分；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质量管理：</w:t>
      </w:r>
      <w:r>
        <w:rPr>
          <w:rFonts w:hint="eastAsia" w:ascii="宋体" w:hAnsi="宋体" w:eastAsia="宋体" w:cs="Times New Roman"/>
          <w:color w:val="000000"/>
          <w:sz w:val="24"/>
          <w:szCs w:val="24"/>
          <w:lang w:val="en-US" w:eastAsia="zh-CN"/>
        </w:rPr>
        <w:t xml:space="preserve">建立质量控制体系，包括了解业务应用需求，制定服务标准、计划和监控工具，每半年更新一次并生成质量评估报告，提出相应的质量管理流程。每发生一次不合格质量管理或不提供更新报告，扣2分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重大保障：</w:t>
      </w:r>
      <w:r>
        <w:rPr>
          <w:rFonts w:hint="eastAsia" w:ascii="宋体" w:hAnsi="宋体" w:eastAsia="宋体" w:cs="Times New Roman"/>
          <w:color w:val="000000"/>
          <w:sz w:val="24"/>
          <w:szCs w:val="24"/>
          <w:lang w:val="en-US" w:eastAsia="zh-CN"/>
        </w:rPr>
        <w:t xml:space="preserve">做好主要节假日、重大活动或重要通信的保障任务，制定具体的保障措施和应急预案，确保网络承载的重要业务万无一失。每发生一次不合格质量管理或不提供更新报告，扣2分；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确保相关设备许可完整性、可用性，</w:t>
      </w:r>
      <w:r>
        <w:rPr>
          <w:rFonts w:hint="eastAsia" w:ascii="宋体" w:hAnsi="宋体" w:eastAsia="宋体" w:cs="Times New Roman"/>
          <w:color w:val="000000"/>
          <w:sz w:val="24"/>
          <w:szCs w:val="24"/>
          <w:lang w:val="en-US" w:eastAsia="zh-CN"/>
        </w:rPr>
        <w:t xml:space="preserve">每发生一次服务期内无可用许可授权情况，扣1分。</w:t>
      </w:r>
      <w:r/>
    </w:p>
    <w:p>
      <w:pPr>
        <w:pStyle w:val="688"/>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注：具体执行考核项如有更新，以南京江北新区城市数字治理中心相关服务考核管理要求为准。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spacing w:val="2"/>
          <w:sz w:val="24"/>
          <w:szCs w:val="24"/>
          <w:lang w:eastAsia="zh-CN"/>
        </w:rPr>
        <w:t xml:space="preserve">自合同签订之日起，供应商须于90天内满足采购人</w:t>
      </w:r>
      <w:r>
        <w:rPr>
          <w:rFonts w:hint="eastAsia" w:ascii="宋体" w:hAnsi="宋体" w:eastAsia="宋体" w:cs="宋体"/>
          <w:spacing w:val="2"/>
          <w:sz w:val="24"/>
          <w:szCs w:val="24"/>
          <w:lang w:eastAsia="zh-CN"/>
        </w:rPr>
        <w:t xml:space="preserve">本项目相关</w:t>
      </w:r>
      <w:r>
        <w:rPr>
          <w:rFonts w:ascii="宋体" w:hAnsi="宋体" w:eastAsia="宋体" w:cs="宋体"/>
          <w:spacing w:val="2"/>
          <w:sz w:val="24"/>
          <w:szCs w:val="24"/>
          <w:lang w:eastAsia="zh-CN"/>
        </w:rPr>
        <w:t xml:space="preserve">上线运行的要求，并满足采购人要求的安全防护条件；105天内完成云管理平台的上线运行。</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3" w:name="OLE_LINK1"/>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.其他要求</w:t>
      </w:r>
      <w:bookmarkEnd w:id="23"/>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688"/>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br w:type="page" w:clear="all"/>
      </w:r>
      <w:r/>
    </w:p>
    <w:p>
      <w:pPr>
        <w:pStyle w:val="688"/>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rPr>
          <w:rFonts w:hint="eastAsia"/>
          <w:lang w:val="en-US" w:eastAsia="zh-CN"/>
        </w:rPr>
      </w:pPr>
      <w:r>
        <w:rPr>
          <w:rFonts w:hint="eastAsia"/>
          <w:lang w:val="en-US" w:eastAsia="zh-CN"/>
        </w:rPr>
      </w:r>
      <w:r/>
    </w:p>
    <w:p>
      <w:pPr>
        <w:pStyle w:val="97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s="宋体"/>
          <w:sz w:val="24"/>
          <w:szCs w:val="24"/>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tbl>
      <w:tblPr>
        <w:tblStyle w:val="687"/>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W w:w="6425"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W w:w="63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W w:w="852"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612" w:type="dxa"/>
            <w:vAlign w:val="top"/>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ascii="宋体" w:hAnsi="宋体" w:cs="宋体"/>
                <w:szCs w:val="21"/>
              </w:rPr>
            </w:pPr>
            <w:r>
              <w:rPr>
                <w:rFonts w:ascii="宋体" w:hAnsi="宋体" w:cs="宋体"/>
                <w:spacing w:val="-2"/>
                <w:szCs w:val="21"/>
              </w:rPr>
              <w:t xml:space="preserve">价格分</w:t>
            </w:r>
            <w:r/>
          </w:p>
        </w:tc>
        <w:tc>
          <w:tcPr>
            <w:tcW w:w="6425" w:type="dxa"/>
            <w:vAlign w:val="center"/>
            <w:textDirection w:val="lrTb"/>
            <w:noWrap w:val="false"/>
          </w:tcPr>
          <w:p>
            <w:pPr>
              <w:jc w:val="left"/>
              <w:spacing w:line="264" w:lineRule="auto"/>
              <w:rPr>
                <w:rFonts w:ascii="宋体" w:hAnsi="宋体" w:cs="宋体"/>
                <w:color w:val="000000"/>
                <w:szCs w:val="21"/>
              </w:rPr>
            </w:pPr>
            <w:r>
              <w:rPr>
                <w:rFonts w:ascii="宋体" w:hAnsi="宋体" w:cs="宋体"/>
                <w:color w:val="000000"/>
                <w:spacing w:val="1"/>
                <w:szCs w:val="21"/>
              </w:rPr>
              <w:t xml:space="preserve">采用低价优先</w:t>
            </w:r>
            <w:r>
              <w:rPr>
                <w:rFonts w:ascii="宋体" w:hAnsi="宋体" w:cs="宋体"/>
                <w:color w:val="000000"/>
                <w:szCs w:val="21"/>
              </w:rPr>
              <w:t xml:space="preserve">法计算</w:t>
            </w:r>
            <w:r>
              <w:rPr>
                <w:rFonts w:hint="eastAsia" w:ascii="宋体" w:hAnsi="宋体" w:cs="宋体"/>
                <w:color w:val="000000"/>
                <w:szCs w:val="21"/>
              </w:rPr>
              <w:t xml:space="preserve">，</w:t>
            </w:r>
            <w:r>
              <w:rPr>
                <w:rFonts w:ascii="宋体" w:hAnsi="宋体" w:cs="宋体"/>
                <w:color w:val="000000"/>
                <w:szCs w:val="21"/>
              </w:rPr>
              <w:t xml:space="preserve">即满足</w:t>
            </w:r>
            <w:r>
              <w:rPr>
                <w:rFonts w:hint="eastAsia" w:ascii="宋体" w:hAnsi="宋体" w:cs="宋体"/>
                <w:color w:val="000000"/>
                <w:szCs w:val="21"/>
              </w:rPr>
              <w:t xml:space="preserve">采购</w:t>
            </w:r>
            <w:r>
              <w:rPr>
                <w:rFonts w:ascii="宋体" w:hAnsi="宋体" w:cs="宋体"/>
                <w:color w:val="000000"/>
                <w:szCs w:val="21"/>
              </w:rPr>
              <w:t xml:space="preserve">文件要求且</w:t>
            </w:r>
            <w:r>
              <w:rPr>
                <w:rFonts w:hint="eastAsia" w:ascii="宋体" w:hAnsi="宋体" w:cs="宋体"/>
                <w:color w:val="000000"/>
                <w:szCs w:val="21"/>
              </w:rPr>
              <w:t xml:space="preserve">最终报价</w:t>
            </w:r>
            <w:r>
              <w:rPr>
                <w:rFonts w:ascii="宋体" w:hAnsi="宋体" w:cs="宋体"/>
                <w:color w:val="000000"/>
                <w:szCs w:val="21"/>
              </w:rPr>
              <w:t xml:space="preserve">最低的</w:t>
            </w:r>
            <w:r>
              <w:rPr>
                <w:rFonts w:hint="eastAsia" w:ascii="宋体" w:hAnsi="宋体" w:cs="宋体"/>
                <w:color w:val="000000"/>
                <w:szCs w:val="21"/>
              </w:rPr>
              <w:t xml:space="preserve">供应商</w:t>
            </w:r>
            <w:r>
              <w:rPr>
                <w:rFonts w:ascii="宋体" w:hAnsi="宋体" w:cs="宋体"/>
                <w:color w:val="000000"/>
                <w:spacing w:val="1"/>
                <w:szCs w:val="21"/>
              </w:rPr>
              <w:t xml:space="preserve">报价为评标基准</w:t>
            </w:r>
            <w:r>
              <w:rPr>
                <w:rFonts w:ascii="宋体" w:hAnsi="宋体" w:cs="宋体"/>
                <w:color w:val="000000"/>
                <w:szCs w:val="21"/>
              </w:rPr>
              <w:t xml:space="preserve">价</w:t>
            </w:r>
            <w:r>
              <w:rPr>
                <w:rFonts w:hint="eastAsia" w:ascii="宋体" w:hAnsi="宋体" w:cs="宋体"/>
                <w:color w:val="000000"/>
                <w:szCs w:val="21"/>
              </w:rPr>
              <w:t xml:space="preserve">，</w:t>
            </w:r>
            <w:r>
              <w:rPr>
                <w:rFonts w:ascii="宋体" w:hAnsi="宋体" w:cs="宋体"/>
                <w:color w:val="000000"/>
                <w:szCs w:val="21"/>
              </w:rPr>
              <w:t xml:space="preserve">其价格分为满分。其他</w:t>
            </w:r>
            <w:r>
              <w:rPr>
                <w:rFonts w:hint="eastAsia" w:ascii="宋体" w:hAnsi="宋体" w:cs="宋体"/>
                <w:color w:val="000000"/>
                <w:szCs w:val="21"/>
              </w:rPr>
              <w:t xml:space="preserve">供应商</w:t>
            </w:r>
            <w:r>
              <w:rPr>
                <w:rFonts w:ascii="宋体" w:hAnsi="宋体" w:cs="宋体"/>
                <w:color w:val="000000"/>
                <w:szCs w:val="21"/>
              </w:rPr>
              <w:t xml:space="preserve">的价格分统一按</w:t>
            </w:r>
            <w:r>
              <w:rPr>
                <w:rFonts w:ascii="宋体" w:hAnsi="宋体" w:cs="宋体"/>
                <w:color w:val="000000"/>
                <w:spacing w:val="-1"/>
                <w:szCs w:val="21"/>
              </w:rPr>
              <w:t xml:space="preserve">照下列公</w:t>
            </w:r>
            <w:r>
              <w:rPr>
                <w:rFonts w:ascii="宋体" w:hAnsi="宋体" w:cs="宋体"/>
                <w:color w:val="000000"/>
                <w:szCs w:val="21"/>
              </w:rPr>
              <w:t xml:space="preserve">式计算：报价得分=(评标基准价/</w:t>
            </w:r>
            <w:r>
              <w:rPr>
                <w:rFonts w:hint="eastAsia" w:ascii="宋体" w:hAnsi="宋体" w:cs="宋体"/>
                <w:color w:val="000000"/>
                <w:szCs w:val="21"/>
              </w:rPr>
              <w:t xml:space="preserve">最终</w:t>
            </w:r>
            <w:r>
              <w:rPr>
                <w:rFonts w:ascii="宋体" w:hAnsi="宋体" w:cs="宋体"/>
                <w:color w:val="000000"/>
                <w:szCs w:val="21"/>
              </w:rPr>
              <w:t xml:space="preserve">报价)×</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（小数点保留两位）</w:t>
            </w:r>
            <w:r/>
          </w:p>
        </w:tc>
        <w:tc>
          <w:tcPr>
            <w:tcW w:w="637" w:type="dxa"/>
            <w:vAlign w:val="center"/>
            <w:textDirection w:val="lrTb"/>
            <w:noWrap w:val="false"/>
          </w:tcPr>
          <w:p>
            <w:pPr>
              <w:jc w:val="center"/>
              <w:spacing w:before="68" w:line="264"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20</w:t>
            </w:r>
            <w:r/>
          </w:p>
        </w:tc>
        <w:tc>
          <w:tcPr>
            <w:tcW w:w="852"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价格分</w:t>
            </w:r>
            <w:r/>
          </w:p>
        </w:tc>
      </w:tr>
      <w:tr>
        <w:trPr>
          <w:jc w:val="center"/>
          <w:trHeight w:val="460"/>
        </w:trPr>
        <w:tc>
          <w:tcPr>
            <w:gridSpan w:val="5"/>
            <w:tcW w:w="9612" w:type="dxa"/>
            <w:vAlign w:val="top"/>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2.服务</w:t>
            </w:r>
            <w:r/>
          </w:p>
        </w:tc>
      </w:tr>
      <w:tr>
        <w:trPr>
          <w:jc w:val="center"/>
          <w:trHeight w:val="891"/>
        </w:trPr>
        <w:tc>
          <w:tcPr>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2.1</w:t>
            </w:r>
            <w:r/>
          </w:p>
        </w:tc>
        <w:tc>
          <w:tcPr>
            <w:tcW w:w="1179" w:type="dxa"/>
            <w:vAlign w:val="center"/>
            <w:textDirection w:val="lrTb"/>
            <w:noWrap w:val="false"/>
          </w:tcPr>
          <w:p>
            <w:pPr>
              <w:ind w:right="108"/>
              <w:jc w:val="left"/>
              <w:spacing w:before="68" w:line="264" w:lineRule="auto"/>
              <w:rPr>
                <w:rFonts w:ascii="宋体" w:hAnsi="宋体" w:cs="宋体"/>
                <w:spacing w:val="-2"/>
                <w:szCs w:val="21"/>
              </w:rPr>
            </w:pPr>
            <w:r>
              <w:rPr>
                <w:rFonts w:hint="eastAsia" w:ascii="宋体" w:hAnsi="宋体" w:cs="宋体"/>
                <w:spacing w:val="-2"/>
                <w:szCs w:val="21"/>
              </w:rPr>
              <w:t xml:space="preserve">产品功能、性能、配置要求</w:t>
            </w:r>
            <w:r/>
          </w:p>
        </w:tc>
        <w:tc>
          <w:tcPr>
            <w:tcW w:w="6425" w:type="dxa"/>
            <w:vAlign w:val="center"/>
            <w:textDirection w:val="lrTb"/>
            <w:noWrap w:val="false"/>
          </w:tcPr>
          <w:p>
            <w:pPr>
              <w:spacing w:line="264" w:lineRule="auto"/>
              <w:rPr>
                <w:rFonts w:ascii="宋体" w:hAnsi="宋体" w:cs="宋体"/>
                <w:spacing w:val="1"/>
                <w:szCs w:val="21"/>
              </w:rPr>
            </w:pPr>
            <w:r>
              <w:rPr>
                <w:rFonts w:hint="eastAsia" w:ascii="宋体" w:hAnsi="宋体" w:cs="宋体"/>
                <w:spacing w:val="1"/>
                <w:szCs w:val="21"/>
              </w:rPr>
              <w:t xml:space="preserve">技术参数全部满足招标要求的得满分1</w:t>
            </w:r>
            <w:r>
              <w:rPr>
                <w:rFonts w:hint="eastAsia" w:ascii="宋体" w:hAnsi="宋体" w:cs="宋体"/>
                <w:spacing w:val="1"/>
                <w:szCs w:val="21"/>
                <w:lang w:val="en-US" w:eastAsia="zh-CN"/>
              </w:rPr>
              <w:t xml:space="preserve">2</w:t>
            </w:r>
            <w:r>
              <w:rPr>
                <w:rFonts w:hint="eastAsia" w:ascii="宋体" w:hAnsi="宋体" w:cs="宋体"/>
                <w:spacing w:val="1"/>
                <w:szCs w:val="21"/>
              </w:rPr>
              <w:t xml:space="preserve">分；打★号指标为必须满足项，如有负偏离将作为无效投标；打▲号指标为重要指标，有一项负偏离扣 </w:t>
            </w:r>
            <w:r>
              <w:rPr>
                <w:rFonts w:hint="eastAsia" w:ascii="宋体" w:hAnsi="宋体" w:cs="宋体"/>
                <w:spacing w:val="1"/>
                <w:szCs w:val="21"/>
                <w:lang w:val="en-US" w:eastAsia="zh-CN"/>
              </w:rPr>
              <w:t xml:space="preserve">3</w:t>
            </w:r>
            <w:r>
              <w:rPr>
                <w:rFonts w:hint="eastAsia" w:ascii="宋体" w:hAnsi="宋体" w:cs="宋体"/>
                <w:spacing w:val="1"/>
                <w:szCs w:val="21"/>
              </w:rPr>
              <w:t xml:space="preserve">分</w:t>
            </w:r>
            <w:r>
              <w:rPr>
                <w:rFonts w:ascii="Arial" w:hAnsi="Arial" w:eastAsia="Arial" w:cs="Arial"/>
                <w:color w:val="000000"/>
                <w:sz w:val="22"/>
                <w:highlight w:val="none"/>
              </w:rPr>
              <w:t xml:space="preserve">；扣完为止</w:t>
            </w:r>
            <w:r>
              <w:rPr>
                <w:rFonts w:hint="eastAsia" w:ascii="宋体" w:hAnsi="宋体" w:cs="宋体"/>
                <w:spacing w:val="1"/>
                <w:szCs w:val="21"/>
              </w:rPr>
              <w:t xml:space="preserve">。严重负偏离影响产品性能的经半数以上评委认定，本项得零分。</w:t>
            </w:r>
            <w:r/>
          </w:p>
        </w:tc>
        <w:tc>
          <w:tcPr>
            <w:tcW w:w="637" w:type="dxa"/>
            <w:vAlign w:val="center"/>
            <w:textDirection w:val="lrTb"/>
            <w:noWrap w:val="false"/>
          </w:tcPr>
          <w:p>
            <w:pPr>
              <w:jc w:val="center"/>
              <w:spacing w:before="68" w:line="264"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161"/>
        </w:trPr>
        <w:tc>
          <w:tcPr>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W w:w="1179" w:type="dxa"/>
            <w:vAlign w:val="center"/>
            <w:textDirection w:val="lrTb"/>
            <w:noWrap w:val="false"/>
          </w:tcPr>
          <w:p>
            <w:pPr>
              <w:jc w:val="left"/>
              <w:spacing w:before="260" w:line="264" w:lineRule="auto"/>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总体</w:t>
            </w:r>
            <w:r>
              <w:rPr>
                <w:rFonts w:hint="eastAsia" w:ascii="宋体" w:hAnsi="宋体" w:cs="宋体"/>
                <w:spacing w:val="-2"/>
                <w:szCs w:val="21"/>
                <w:lang w:val="en-US" w:eastAsia="zh-CN"/>
              </w:rPr>
              <w:t xml:space="preserve">建设</w:t>
            </w:r>
            <w:r>
              <w:rPr>
                <w:rFonts w:hint="eastAsia" w:ascii="宋体" w:hAnsi="宋体" w:eastAsia="宋体" w:cs="宋体"/>
                <w:spacing w:val="-2"/>
                <w:szCs w:val="21"/>
                <w:lang w:val="en-US" w:eastAsia="zh-CN"/>
              </w:rPr>
              <w:t xml:space="preserve">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项目总体</w:t>
            </w:r>
            <w:r>
              <w:rPr>
                <w:rFonts w:hint="eastAsia" w:ascii="宋体" w:hAnsi="宋体" w:cs="宋体"/>
                <w:spacing w:val="1"/>
                <w:szCs w:val="21"/>
                <w:lang w:val="en-US" w:eastAsia="zh-CN"/>
              </w:rPr>
              <w:t xml:space="preserve">建设</w:t>
            </w:r>
            <w:r>
              <w:rPr>
                <w:rFonts w:hint="eastAsia" w:ascii="宋体" w:hAnsi="宋体" w:cs="宋体"/>
                <w:spacing w:val="1"/>
                <w:szCs w:val="21"/>
                <w:lang w:eastAsia="zh-CN"/>
              </w:rPr>
              <w:t xml:space="preserve">方案，内容包含但不限于①需求分析②现状分析③总体设计方案④系统总体架构，以上每项内容逐条阐述。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ascii="宋体" w:hAnsi="宋体" w:cs="宋体"/>
                <w:spacing w:val="1"/>
                <w:szCs w:val="21"/>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color w:val="ff0000"/>
                <w:szCs w:val="21"/>
                <w:lang w:val="en-US" w:eastAsia="zh-CN"/>
              </w:rPr>
            </w:pPr>
            <w:r>
              <w:rPr>
                <w:rFonts w:hint="eastAsia" w:ascii="宋体" w:hAnsi="宋体" w:cs="宋体"/>
                <w:color w:val="000000" w:themeColor="text1"/>
                <w:szCs w:val="21"/>
                <w:lang w:val="en-US" w:eastAsia="zh-CN"/>
                <w14:textFill>
                  <w14:solidFill>
                    <w14:schemeClr w14:val="tx1"/>
                  </w14:solidFill>
                </w14:textFill>
              </w:rPr>
              <w:t xml:space="preserve">8</w:t>
            </w:r>
            <w:r/>
          </w:p>
        </w:tc>
        <w:tc>
          <w:tcPr>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2.3</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eastAsia="宋体" w:cs="宋体"/>
                <w:spacing w:val="-2"/>
                <w:szCs w:val="21"/>
                <w:lang w:val="en-US" w:eastAsia="zh-CN"/>
              </w:rPr>
              <w:t xml:space="preserve">项目</w:t>
            </w:r>
            <w:r>
              <w:rPr>
                <w:rFonts w:hint="eastAsia" w:ascii="宋体" w:hAnsi="宋体" w:cs="宋体"/>
                <w:spacing w:val="-2"/>
                <w:szCs w:val="21"/>
                <w:lang w:val="en-US" w:eastAsia="zh-CN"/>
              </w:rPr>
              <w:t xml:space="preserve">实施</w:t>
            </w:r>
            <w:r>
              <w:rPr>
                <w:rFonts w:hint="eastAsia" w:ascii="宋体" w:hAnsi="宋体" w:eastAsia="宋体" w:cs="宋体"/>
                <w:spacing w:val="-2"/>
                <w:szCs w:val="21"/>
                <w:lang w:val="en-US" w:eastAsia="zh-CN"/>
              </w:rPr>
              <w:t xml:space="preserve">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项目</w:t>
            </w:r>
            <w:r>
              <w:rPr>
                <w:rFonts w:hint="eastAsia" w:ascii="宋体" w:hAnsi="宋体" w:cs="宋体"/>
                <w:spacing w:val="1"/>
                <w:szCs w:val="21"/>
                <w:lang w:val="en-US" w:eastAsia="zh-CN"/>
              </w:rPr>
              <w:t xml:space="preserve">实施</w:t>
            </w:r>
            <w:r>
              <w:rPr>
                <w:rFonts w:hint="eastAsia" w:ascii="宋体" w:hAnsi="宋体" w:cs="宋体"/>
                <w:spacing w:val="1"/>
                <w:szCs w:val="21"/>
                <w:lang w:eastAsia="zh-CN"/>
              </w:rPr>
              <w:t xml:space="preserve">方案，内容包含但不限于①进度安排②组织架构③进度控制④风险控制管理，以上每项内容逐条阐述。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2.4</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技术方案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编制技术</w:t>
            </w:r>
            <w:r>
              <w:rPr>
                <w:rFonts w:hint="eastAsia" w:ascii="宋体" w:hAnsi="宋体" w:cs="宋体"/>
                <w:spacing w:val="1"/>
                <w:szCs w:val="21"/>
                <w:lang w:eastAsia="zh-CN"/>
              </w:rPr>
              <w:t xml:space="preserve">方案，内容包含但不限于①进骨干网相关服务②边界安全相关服务③核心应用，以上每项内容逐条阐述。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6</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2.5</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网络安全方案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网络安全方案，内容包含但不限于①安全等级保护建设方案②密码应用③数据安全，以上每项内容逐条阐述。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6</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2.6</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售后服务方案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售后服务方案，内容包含但不限于①详细切实可行的服务人员安排②售后服务响应标准③质保期内巡检措施</w:t>
            </w:r>
            <w:r>
              <w:rPr>
                <w:rFonts w:hint="eastAsia" w:ascii="宋体" w:hAnsi="宋体" w:cs="宋体"/>
                <w:spacing w:val="1"/>
                <w:szCs w:val="21"/>
                <w:lang w:val="en-US" w:eastAsia="zh-CN"/>
              </w:rPr>
              <w:t xml:space="preserve">④</w:t>
            </w:r>
            <w:r>
              <w:rPr>
                <w:rFonts w:hint="eastAsia" w:ascii="宋体" w:hAnsi="宋体" w:cs="宋体"/>
                <w:spacing w:val="1"/>
                <w:szCs w:val="21"/>
                <w:lang w:eastAsia="zh-CN"/>
              </w:rPr>
              <w:t xml:space="preserve">故障解决方案，以上每项内容逐条阐述。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455"/>
        </w:trPr>
        <w:tc>
          <w:tcPr>
            <w:gridSpan w:val="5"/>
            <w:tcW w:w="9612" w:type="dxa"/>
            <w:vAlign w:val="center"/>
            <w:textDirection w:val="lrTb"/>
            <w:noWrap w:val="false"/>
          </w:tcPr>
          <w:p>
            <w:pPr>
              <w:spacing w:line="264" w:lineRule="auto"/>
              <w:rPr>
                <w:rFonts w:hint="eastAsia" w:ascii="宋体" w:hAnsi="宋体" w:eastAsia="宋体" w:cs="宋体"/>
                <w:szCs w:val="21"/>
                <w:highlight w:val="none"/>
                <w:lang w:val="en-US" w:eastAsia="zh-CN"/>
              </w:rPr>
            </w:pPr>
            <w:r>
              <w:rPr>
                <w:rFonts w:hint="eastAsia" w:ascii="宋体" w:hAnsi="宋体" w:cs="宋体"/>
                <w:b/>
                <w:bCs/>
                <w:spacing w:val="-3"/>
                <w:szCs w:val="21"/>
                <w:highlight w:val="none"/>
              </w:rPr>
              <w:t xml:space="preserve">3.</w:t>
            </w:r>
            <w:r>
              <w:rPr>
                <w:rFonts w:hint="eastAsia" w:ascii="宋体" w:hAnsi="宋体" w:cs="宋体"/>
                <w:b/>
                <w:bCs/>
                <w:spacing w:val="-3"/>
                <w:szCs w:val="21"/>
                <w:highlight w:val="none"/>
                <w:lang w:eastAsia="zh-CN"/>
              </w:rPr>
              <w:t xml:space="preserve">服务</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spacing w:val="-2"/>
                <w:szCs w:val="21"/>
                <w:highlight w:val="none"/>
              </w:rPr>
            </w:pPr>
            <w:r>
              <w:rPr>
                <w:rFonts w:ascii="宋体" w:hAnsi="宋体" w:cs="宋体"/>
                <w:spacing w:val="-2"/>
                <w:szCs w:val="21"/>
                <w:highlight w:val="none"/>
              </w:rPr>
              <w:t xml:space="preserve">3.1</w:t>
            </w:r>
            <w:r/>
          </w:p>
        </w:tc>
        <w:tc>
          <w:tcPr>
            <w:tcW w:w="1179" w:type="dxa"/>
            <w:vAlign w:val="center"/>
            <w:textDirection w:val="lrTb"/>
            <w:noWrap w:val="false"/>
          </w:tcPr>
          <w:p>
            <w:pPr>
              <w:spacing w:before="69" w:line="264" w:lineRule="auto"/>
              <w:rPr>
                <w:rFonts w:ascii="宋体" w:hAnsi="宋体" w:cs="宋体"/>
                <w:spacing w:val="-2"/>
                <w:szCs w:val="21"/>
                <w:highlight w:val="none"/>
              </w:rPr>
            </w:pPr>
            <w:r>
              <w:rPr>
                <w:rFonts w:hint="eastAsia" w:ascii="宋体" w:hAnsi="宋体" w:cs="宋体"/>
                <w:spacing w:val="-2"/>
                <w:szCs w:val="21"/>
                <w:highlight w:val="none"/>
                <w:lang w:eastAsia="zh-CN"/>
              </w:rPr>
              <w:t xml:space="preserve">项目团队人员要求</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供应商拟组织实施本项目团队成员响应实施要求中的团队结构，成员具有以下证书:</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项目团队成员（包含项目经理和项目技术负责人在内）具有高级工程师、系统集成项目管理工程师、信息系统项目管理师、ITSS-IT服务项目经理、信息安全保障人员证书、IT服务工程师(ITSS)证书、CISAW-CCRC-安全运维、网络安全技术CCSC，团队成员有一证得1.5分，多人一证不重复计分，一人多证可重复计分，最高得12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需提供团队成员身份证、资质证书复印件及投标人为其缴纳的 2025年</w:t>
            </w:r>
            <w:r/>
          </w:p>
          <w:p>
            <w:pPr>
              <w:spacing w:line="264" w:lineRule="auto"/>
              <w:rPr>
                <w:rFonts w:ascii="宋体" w:hAnsi="宋体" w:cs="宋体"/>
                <w:szCs w:val="21"/>
                <w:highlight w:val="none"/>
              </w:rPr>
            </w:pPr>
            <w:r>
              <w:rPr>
                <w:rFonts w:hint="eastAsia" w:ascii="宋体" w:hAnsi="宋体" w:cs="宋体"/>
                <w:spacing w:val="1"/>
                <w:szCs w:val="21"/>
                <w:lang w:eastAsia="zh-CN"/>
              </w:rPr>
              <w:t xml:space="preserve">1月以来任意一个月养老保险缴费证明材料并加盖社保中心章或社保中心参保缴费证明电子专用章并加盖投标人公章)。</w:t>
            </w:r>
            <w:r/>
          </w:p>
        </w:tc>
        <w:tc>
          <w:tcPr>
            <w:tcW w:w="637" w:type="dxa"/>
            <w:vAlign w:val="center"/>
            <w:textDirection w:val="lrTb"/>
            <w:noWrap w:val="false"/>
          </w:tcPr>
          <w:p>
            <w:pPr>
              <w:jc w:val="center"/>
              <w:spacing w:line="264" w:lineRule="auto"/>
              <w:rPr>
                <w:rFonts w:hint="default" w:ascii="宋体" w:hAnsi="宋体" w:eastAsia="宋体" w:cs="宋体"/>
                <w:color w:val="ff0000"/>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c>
          <w:tcPr>
            <w:tcW w:w="852"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532"/>
        </w:trPr>
        <w:tc>
          <w:tcPr>
            <w:gridSpan w:val="5"/>
            <w:tcW w:w="9612" w:type="dxa"/>
            <w:vAlign w:val="center"/>
            <w:textDirection w:val="lrTb"/>
            <w:noWrap w:val="false"/>
          </w:tcPr>
          <w:p>
            <w:pPr>
              <w:jc w:val="left"/>
              <w:spacing w:before="68" w:line="264" w:lineRule="auto"/>
              <w:tabs>
                <w:tab w:val="left" w:pos="315" w:leader="none"/>
              </w:tabs>
              <w:rPr>
                <w:rFonts w:hint="default" w:ascii="宋体" w:hAnsi="宋体" w:eastAsia="宋体" w:cs="宋体"/>
                <w:spacing w:val="-6"/>
                <w:szCs w:val="21"/>
                <w:highlight w:val="none"/>
                <w:lang w:val="en-US" w:eastAsia="zh-CN"/>
              </w:rPr>
            </w:pPr>
            <w:r>
              <w:rPr>
                <w:rFonts w:hint="eastAsia" w:ascii="宋体" w:hAnsi="宋体" w:cs="宋体"/>
                <w:b/>
                <w:bCs/>
                <w:spacing w:val="-3"/>
                <w:szCs w:val="21"/>
                <w:highlight w:val="none"/>
              </w:rPr>
              <w:t xml:space="preserve">4.</w:t>
            </w:r>
            <w:r>
              <w:rPr>
                <w:rFonts w:hint="eastAsia" w:ascii="宋体" w:hAnsi="宋体" w:cs="宋体"/>
                <w:b/>
                <w:bCs/>
                <w:spacing w:val="-3"/>
                <w:szCs w:val="21"/>
                <w:highlight w:val="none"/>
                <w:lang w:eastAsia="zh-CN"/>
              </w:rPr>
              <w:t xml:space="preserve">业绩</w:t>
            </w:r>
            <w:r/>
          </w:p>
        </w:tc>
      </w:tr>
      <w:tr>
        <w:trPr>
          <w:jc w:val="center"/>
          <w:trHeight w:val="1015"/>
        </w:trPr>
        <w:tc>
          <w:tcPr>
            <w:tcW w:w="519" w:type="dxa"/>
            <w:vAlign w:val="center"/>
            <w:textDirection w:val="lrTb"/>
            <w:noWrap w:val="false"/>
          </w:tcPr>
          <w:p>
            <w:pPr>
              <w:jc w:val="center"/>
              <w:spacing w:before="68" w:line="264" w:lineRule="auto"/>
              <w:rPr>
                <w:rFonts w:hint="default"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4.1</w:t>
            </w:r>
            <w:r/>
          </w:p>
        </w:tc>
        <w:tc>
          <w:tcPr>
            <w:tcW w:w="1179" w:type="dxa"/>
            <w:vAlign w:val="center"/>
            <w:textDirection w:val="lrTb"/>
            <w:noWrap w:val="false"/>
          </w:tcPr>
          <w:p>
            <w:pPr>
              <w:spacing w:before="69" w:line="264" w:lineRule="auto"/>
              <w:rPr>
                <w:rFonts w:hint="eastAsia" w:ascii="宋体" w:hAnsi="宋体" w:cs="宋体"/>
                <w:spacing w:val="-2"/>
                <w:szCs w:val="21"/>
                <w:highlight w:val="none"/>
                <w:lang w:eastAsia="zh-CN"/>
              </w:rPr>
            </w:pPr>
            <w:r>
              <w:rPr>
                <w:rFonts w:hint="eastAsia" w:ascii="宋体" w:hAnsi="宋体" w:cs="宋体"/>
                <w:spacing w:val="-2"/>
                <w:szCs w:val="21"/>
                <w:highlight w:val="none"/>
                <w:lang w:eastAsia="zh-CN"/>
              </w:rPr>
              <w:t xml:space="preserve">类似业绩</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供应商自202</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年</w:t>
            </w:r>
            <w:r>
              <w:rPr>
                <w:rFonts w:hint="eastAsia" w:ascii="宋体" w:hAnsi="宋体" w:cs="宋体"/>
                <w:spacing w:val="1"/>
                <w:szCs w:val="21"/>
                <w:lang w:val="en-US" w:eastAsia="zh-CN"/>
              </w:rPr>
              <w:t xml:space="preserve">6</w:t>
            </w:r>
            <w:r>
              <w:rPr>
                <w:rFonts w:hint="eastAsia" w:ascii="宋体" w:hAnsi="宋体" w:cs="宋体"/>
                <w:spacing w:val="1"/>
                <w:szCs w:val="21"/>
                <w:lang w:eastAsia="zh-CN"/>
              </w:rPr>
              <w:t xml:space="preserve">月1日（含）以来具有承接类似案例的政务网络建设或专网改造案例，每提供一个案例得2分，最高得8分。（时间以合同签订时间为准，提供有效合同，合同页须清晰可见相应内容，中标后原件备查）</w:t>
            </w:r>
            <w:r/>
          </w:p>
        </w:tc>
        <w:tc>
          <w:tcPr>
            <w:tcW w:w="637" w:type="dxa"/>
            <w:vAlign w:val="center"/>
            <w:textDirection w:val="lrTb"/>
            <w:noWrap w:val="false"/>
          </w:tcPr>
          <w:p>
            <w:pPr>
              <w:jc w:val="center"/>
              <w:spacing w:line="264" w:lineRule="auto"/>
              <w:rPr>
                <w:rFonts w:hint="default" w:ascii="宋体" w:hAnsi="宋体" w:cs="宋体"/>
                <w:color w:val="ff0000"/>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W w:w="852" w:type="dxa"/>
            <w:vAlign w:val="center"/>
            <w:textDirection w:val="lrTb"/>
            <w:noWrap w:val="false"/>
          </w:tcPr>
          <w:p>
            <w:pPr>
              <w:jc w:val="center"/>
              <w:spacing w:before="68" w:line="264" w:lineRule="auto"/>
              <w:rPr>
                <w:rFonts w:hint="eastAsia" w:ascii="宋体" w:hAnsi="宋体" w:eastAsia="宋体" w:cs="宋体"/>
                <w:spacing w:val="-6"/>
                <w:szCs w:val="21"/>
                <w:highlight w:val="none"/>
                <w:lang w:eastAsia="zh-CN"/>
              </w:rPr>
            </w:pPr>
            <w:r>
              <w:rPr>
                <w:rFonts w:hint="eastAsia" w:ascii="宋体" w:hAnsi="宋体" w:cs="宋体"/>
                <w:spacing w:val="-6"/>
                <w:szCs w:val="21"/>
                <w:highlight w:val="none"/>
                <w:lang w:eastAsia="zh-CN"/>
              </w:rPr>
              <w:t xml:space="preserve">客观分</w:t>
            </w:r>
            <w:r/>
          </w:p>
        </w:tc>
      </w:tr>
      <w:tr>
        <w:trPr>
          <w:jc w:val="center"/>
          <w:trHeight w:val="269"/>
        </w:trPr>
        <w:tc>
          <w:tcPr>
            <w:gridSpan w:val="5"/>
            <w:tcW w:w="9612" w:type="dxa"/>
            <w:vAlign w:val="top"/>
            <w:textDirection w:val="lrTb"/>
            <w:noWrap w:val="false"/>
          </w:tcPr>
          <w:p>
            <w:pPr>
              <w:jc w:val="left"/>
              <w:spacing w:before="68" w:line="264" w:lineRule="auto"/>
              <w:tabs>
                <w:tab w:val="left" w:pos="315" w:leader="none"/>
              </w:tabs>
              <w:rPr>
                <w:rFonts w:hint="default" w:ascii="宋体" w:hAnsi="宋体" w:eastAsia="宋体" w:cs="宋体"/>
                <w:szCs w:val="21"/>
                <w:highlight w:val="none"/>
                <w:lang w:val="en-US" w:eastAsia="zh-CN"/>
              </w:rPr>
            </w:pPr>
            <w:r>
              <w:rPr>
                <w:rFonts w:hint="eastAsia" w:ascii="宋体" w:hAnsi="宋体" w:cs="宋体"/>
                <w:b/>
                <w:bCs/>
                <w:spacing w:val="-3"/>
                <w:szCs w:val="21"/>
                <w:highlight w:val="none"/>
                <w:lang w:val="en-US" w:eastAsia="zh-CN"/>
              </w:rPr>
              <w:t xml:space="preserve">5.履约能力</w:t>
            </w:r>
            <w:r/>
          </w:p>
        </w:tc>
      </w:tr>
      <w:tr>
        <w:trPr>
          <w:jc w:val="center"/>
          <w:trHeight w:val="792"/>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5</w:t>
            </w:r>
            <w:r>
              <w:rPr>
                <w:rFonts w:ascii="宋体" w:hAnsi="宋体" w:cs="宋体"/>
                <w:color w:val="000000"/>
                <w:spacing w:val="-2"/>
                <w:szCs w:val="21"/>
                <w:highlight w:val="none"/>
              </w:rPr>
              <w:t xml:space="preserve">.1</w:t>
            </w:r>
            <w:r/>
          </w:p>
        </w:tc>
        <w:tc>
          <w:tcPr>
            <w:tcW w:w="1179" w:type="dxa"/>
            <w:vAlign w:val="center"/>
            <w:textDirection w:val="lrTb"/>
            <w:noWrap w:val="false"/>
          </w:tcPr>
          <w:p>
            <w:pPr>
              <w:spacing w:line="264" w:lineRule="auto"/>
              <w:rPr>
                <w:rFonts w:hint="eastAsia" w:ascii="宋体" w:hAnsi="宋体" w:eastAsia="宋体" w:cs="宋体"/>
                <w:spacing w:val="12"/>
                <w:highlight w:val="none"/>
              </w:rPr>
            </w:pPr>
            <w:r>
              <w:rPr>
                <w:rFonts w:hint="eastAsia" w:ascii="宋体" w:hAnsi="宋体" w:eastAsia="宋体" w:cs="宋体"/>
                <w:spacing w:val="12"/>
                <w:highlight w:val="none"/>
                <w:lang w:eastAsia="zh-CN"/>
              </w:rPr>
              <w:t xml:space="preserve">履约能力1</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1、供应商具有信息技术服务标准（ITSS)运维能力成熟度二级及以上的得 </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 分，三级及以下的得 1 分，不提供不得分。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2、供应商具有信息安全服务资质认证证书（CCRC）安全集成服务三级及以上得 </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 分，以下不得分，不提供不得分。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3、供应商具有信息系统建设和服务能力评估证书CS2及以上资质得2分，以下不得分，不提供不得分。</w:t>
            </w:r>
            <w:r/>
          </w:p>
          <w:p>
            <w:pPr>
              <w:spacing w:line="264" w:lineRule="auto"/>
              <w:rPr>
                <w:rFonts w:hint="eastAsia" w:ascii="宋体" w:hAnsi="宋体" w:eastAsia="宋体" w:cs="宋体"/>
                <w:spacing w:val="12"/>
                <w:highlight w:val="none"/>
              </w:rPr>
            </w:pPr>
            <w:r>
              <w:rPr>
                <w:rFonts w:hint="eastAsia" w:ascii="宋体" w:hAnsi="宋体" w:cs="宋体"/>
                <w:spacing w:val="1"/>
                <w:szCs w:val="21"/>
                <w:lang w:eastAsia="zh-CN"/>
              </w:rPr>
              <w:t xml:space="preserve">注：提供有效证书原件扫描上传至投标系统，否则不得分。</w:t>
            </w:r>
            <w:r/>
          </w:p>
        </w:tc>
        <w:tc>
          <w:tcPr>
            <w:tcW w:w="637" w:type="dxa"/>
            <w:vAlign w:val="center"/>
            <w:textDirection w:val="lrTb"/>
            <w:noWrap w:val="false"/>
          </w:tcPr>
          <w:p>
            <w:pPr>
              <w:jc w:val="center"/>
              <w:spacing w:before="68" w:line="264"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852" w:type="dxa"/>
            <w:vAlign w:val="center"/>
            <w:textDirection w:val="lrTb"/>
            <w:noWrap w:val="false"/>
          </w:tcPr>
          <w:p>
            <w:pPr>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344"/>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5</w:t>
            </w:r>
            <w:r>
              <w:rPr>
                <w:rFonts w:ascii="宋体" w:hAnsi="宋体" w:cs="宋体"/>
                <w:color w:val="000000"/>
                <w:spacing w:val="-2"/>
                <w:szCs w:val="21"/>
                <w:highlight w:val="none"/>
              </w:rPr>
              <w:t xml:space="preserve">.2</w:t>
            </w:r>
            <w:r/>
          </w:p>
        </w:tc>
        <w:tc>
          <w:tcPr>
            <w:tcW w:w="1179" w:type="dxa"/>
            <w:vAlign w:val="center"/>
            <w:textDirection w:val="lrTb"/>
            <w:noWrap w:val="false"/>
          </w:tcPr>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履约能力2 </w:t>
            </w:r>
            <w:r/>
          </w:p>
        </w:tc>
        <w:tc>
          <w:tcPr>
            <w:tcW w:w="6425" w:type="dxa"/>
            <w:vAlign w:val="center"/>
            <w:textDirection w:val="lrTb"/>
            <w:noWrap w:val="false"/>
          </w:tcPr>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需严格执行安全运维服务可用性要求，承诺认同如下处理得4分，不承诺或不认同得0分。</w:t>
            </w:r>
            <w:r/>
          </w:p>
          <w:p>
            <w:pPr>
              <w:numPr>
                <w:ilvl w:val="0"/>
                <w:numId w:val="15"/>
              </w:numPr>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建立7×24小时不间断应急响应通道，重大信息安全事件（核心网络</w:t>
            </w:r>
            <w:r>
              <w:rPr>
                <w:rFonts w:hint="eastAsia" w:ascii="宋体" w:hAnsi="宋体" w:cs="宋体"/>
                <w:spacing w:val="12"/>
                <w:highlight w:val="none"/>
                <w:lang w:val="en-US" w:eastAsia="zh-CN"/>
              </w:rPr>
              <w:t xml:space="preserve">安全设备</w:t>
            </w:r>
            <w:r>
              <w:rPr>
                <w:rFonts w:hint="eastAsia" w:ascii="宋体" w:hAnsi="宋体" w:eastAsia="宋体" w:cs="宋体"/>
                <w:spacing w:val="12"/>
                <w:highlight w:val="none"/>
                <w:lang w:val="en-US" w:eastAsia="zh-CN"/>
              </w:rPr>
              <w:t xml:space="preserve">、</w:t>
            </w:r>
            <w:r>
              <w:rPr>
                <w:rFonts w:hint="eastAsia" w:ascii="宋体" w:hAnsi="宋体" w:cs="宋体"/>
                <w:spacing w:val="12"/>
                <w:highlight w:val="none"/>
                <w:lang w:val="en-US" w:eastAsia="zh-CN"/>
              </w:rPr>
              <w:t xml:space="preserve">汇聚网络安全设备</w:t>
            </w:r>
            <w:r>
              <w:rPr>
                <w:rFonts w:hint="eastAsia" w:ascii="宋体" w:hAnsi="宋体" w:eastAsia="宋体" w:cs="宋体"/>
                <w:spacing w:val="12"/>
                <w:highlight w:val="none"/>
                <w:lang w:val="en-US" w:eastAsia="zh-CN"/>
              </w:rPr>
              <w:t xml:space="preserve">瘫痪）发生后，1小时内提交完整整改方案、完成初步遏制处置，1个工作日内完成全流程处置并输出正式事件报告。</w:t>
            </w:r>
            <w:r/>
          </w:p>
          <w:p>
            <w:pPr>
              <w:numPr>
                <w:ilvl w:val="0"/>
                <w:numId w:val="15"/>
              </w:numPr>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严格遵守《网络安全法》《数据安全法》《个人信息保护法》等相关法规</w:t>
            </w:r>
            <w:r>
              <w:rPr>
                <w:rFonts w:hint="eastAsia" w:ascii="宋体" w:hAnsi="宋体" w:cs="宋体"/>
                <w:spacing w:val="12"/>
                <w:highlight w:val="none"/>
                <w:lang w:val="en-US" w:eastAsia="zh-CN"/>
              </w:rPr>
              <w:t xml:space="preserve">，以及配合</w:t>
            </w:r>
            <w:r>
              <w:rPr>
                <w:rFonts w:hint="eastAsia" w:ascii="宋体" w:hAnsi="宋体" w:eastAsia="宋体" w:cs="宋体"/>
                <w:spacing w:val="12"/>
                <w:highlight w:val="none"/>
                <w:lang w:val="en-US" w:eastAsia="zh-CN"/>
              </w:rPr>
              <w:t xml:space="preserve">行业安全检查等相关工作，所有运维操作全程留痕可审计</w:t>
            </w:r>
            <w:r>
              <w:rPr>
                <w:rFonts w:hint="eastAsia" w:ascii="宋体" w:hAnsi="宋体" w:cs="宋体"/>
                <w:spacing w:val="12"/>
                <w:highlight w:val="none"/>
                <w:lang w:val="en-US" w:eastAsia="zh-CN"/>
              </w:rPr>
              <w:t xml:space="preserve">。</w:t>
            </w:r>
            <w:r/>
          </w:p>
          <w:p>
            <w:pPr>
              <w:numPr>
                <w:ilvl w:val="0"/>
                <w:numId w:val="15"/>
              </w:numPr>
              <w:spacing w:line="264" w:lineRule="auto"/>
              <w:rPr>
                <w:rFonts w:hint="default"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所有运维相关的配置文档、日志记录、事件报告均需留存不少于1</w:t>
            </w:r>
            <w:r>
              <w:rPr>
                <w:rFonts w:hint="eastAsia" w:ascii="宋体" w:hAnsi="宋体" w:cs="宋体"/>
                <w:spacing w:val="12"/>
                <w:highlight w:val="none"/>
                <w:lang w:val="en-US" w:eastAsia="zh-CN"/>
              </w:rPr>
              <w:t xml:space="preserve">2</w:t>
            </w:r>
            <w:r>
              <w:rPr>
                <w:rFonts w:hint="eastAsia" w:ascii="宋体" w:hAnsi="宋体" w:eastAsia="宋体" w:cs="宋体"/>
                <w:spacing w:val="12"/>
                <w:highlight w:val="none"/>
                <w:lang w:val="en-US" w:eastAsia="zh-CN"/>
              </w:rPr>
              <w:t xml:space="preserve">个月，满足合规审计的调阅要求</w:t>
            </w:r>
            <w:r>
              <w:rPr>
                <w:rFonts w:hint="eastAsia" w:ascii="宋体" w:hAnsi="宋体" w:cs="宋体"/>
                <w:spacing w:val="12"/>
                <w:highlight w:val="none"/>
                <w:lang w:val="en-US" w:eastAsia="zh-CN"/>
              </w:rPr>
              <w:t xml:space="preserve">。</w:t>
            </w:r>
            <w:r/>
          </w:p>
          <w:p>
            <w:pPr>
              <w:numPr>
                <w:ilvl w:val="0"/>
                <w:numId w:val="15"/>
              </w:numPr>
              <w:spacing w:line="264" w:lineRule="auto"/>
              <w:rPr>
                <w:rFonts w:hint="default"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不得以任何理由、任何形式将本项目的全部或部分安全运维工作对外分包转包，所有服务工作均由本单位认证的正式工程师完成</w:t>
            </w:r>
            <w:r>
              <w:rPr>
                <w:rFonts w:hint="eastAsia" w:ascii="宋体" w:hAnsi="宋体" w:cs="宋体"/>
                <w:spacing w:val="12"/>
                <w:highlight w:val="none"/>
                <w:lang w:val="en-US" w:eastAsia="zh-CN"/>
              </w:rPr>
              <w:t xml:space="preserve">。</w:t>
            </w:r>
            <w:r/>
          </w:p>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发生1项不满足要求，则发送通告至中标方同时当年度结算费用扣除1%；发生2项不满足要求，则发送通告至中标方同时当年度结算费用扣除3%；发生3项及以上不满足要求，则发送通告至中标方同时当年度结算费用扣除5%。</w:t>
            </w:r>
            <w:r/>
          </w:p>
        </w:tc>
        <w:tc>
          <w:tcPr>
            <w:tcW w:w="637" w:type="dxa"/>
            <w:vAlign w:val="center"/>
            <w:textDirection w:val="lrTb"/>
            <w:noWrap w:val="false"/>
          </w:tcPr>
          <w:p>
            <w:pPr>
              <w:jc w:val="center"/>
              <w:spacing w:before="68" w:line="264"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852" w:type="dxa"/>
            <w:vAlign w:val="center"/>
            <w:textDirection w:val="lrTb"/>
            <w:noWrap w:val="false"/>
          </w:tcPr>
          <w:p>
            <w:pPr>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464"/>
        </w:trPr>
        <w:tc>
          <w:tcPr>
            <w:tcW w:w="519" w:type="dxa"/>
            <w:vAlign w:val="center"/>
            <w:textDirection w:val="lrTb"/>
            <w:noWrap w:val="false"/>
          </w:tcPr>
          <w:p>
            <w:pPr>
              <w:jc w:val="center"/>
              <w:spacing w:line="264" w:lineRule="auto"/>
              <w:rPr>
                <w:color w:val="ff0000"/>
                <w:szCs w:val="21"/>
                <w:highlight w:val="none"/>
              </w:rPr>
            </w:pPr>
            <w:r>
              <w:rPr>
                <w:rFonts w:ascii="宋体" w:hAnsi="宋体" w:cs="宋体"/>
                <w:spacing w:val="-3"/>
                <w:szCs w:val="21"/>
                <w:highlight w:val="none"/>
              </w:rPr>
              <w:t xml:space="preserve">合</w:t>
            </w:r>
            <w:r>
              <w:rPr>
                <w:rFonts w:ascii="宋体" w:hAnsi="宋体" w:cs="宋体"/>
                <w:spacing w:val="-2"/>
                <w:szCs w:val="21"/>
                <w:highlight w:val="none"/>
              </w:rPr>
              <w:t xml:space="preserve">计</w:t>
            </w:r>
            <w:r/>
          </w:p>
        </w:tc>
        <w:tc>
          <w:tcPr>
            <w:gridSpan w:val="2"/>
            <w:tcW w:w="7604" w:type="dxa"/>
            <w:vAlign w:val="center"/>
            <w:textDirection w:val="lrTb"/>
            <w:noWrap w:val="false"/>
          </w:tcPr>
          <w:p>
            <w:pPr>
              <w:ind w:left="172"/>
              <w:jc w:val="center"/>
              <w:spacing w:before="123" w:line="264" w:lineRule="auto"/>
              <w:rPr>
                <w:rFonts w:ascii="宋体" w:hAnsi="宋体" w:cs="宋体"/>
                <w:color w:val="ff0000"/>
                <w:spacing w:val="-2"/>
                <w:szCs w:val="21"/>
                <w:highlight w:val="none"/>
              </w:rPr>
            </w:pPr>
            <w:r>
              <w:rPr>
                <w:rFonts w:ascii="宋体" w:hAnsi="宋体" w:cs="宋体"/>
                <w:color w:val="ff0000"/>
                <w:spacing w:val="-2"/>
                <w:szCs w:val="21"/>
                <w:highlight w:val="none"/>
              </w:rPr>
            </w:r>
            <w:r/>
          </w:p>
        </w:tc>
        <w:tc>
          <w:tcPr>
            <w:gridSpan w:val="2"/>
            <w:tcW w:w="1489" w:type="dxa"/>
            <w:vAlign w:val="center"/>
            <w:textDirection w:val="lrTb"/>
            <w:noWrap w:val="false"/>
          </w:tcPr>
          <w:p>
            <w:pPr>
              <w:jc w:val="center"/>
              <w:spacing w:line="264" w:lineRule="auto"/>
              <w:rPr>
                <w:szCs w:val="21"/>
                <w:highlight w:val="none"/>
              </w:rPr>
            </w:pPr>
            <w:r>
              <w:rPr>
                <w:rFonts w:ascii="宋体" w:hAnsi="宋体" w:cs="宋体"/>
                <w:spacing w:val="-11"/>
                <w:szCs w:val="21"/>
                <w:highlight w:val="none"/>
              </w:rPr>
              <w:t xml:space="preserve">100分</w:t>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2"/>
      <w:r>
        <w:rPr>
          <w:rFonts w:hint="eastAsia" w:ascii="方正小标宋简体" w:hAnsi="方正小标宋简体" w:eastAsia="方正小标宋简体" w:cs="方正小标宋简体"/>
          <w:color w:val="000000"/>
          <w:sz w:val="36"/>
          <w:szCs w:val="36"/>
          <w:lang w:val="en-US" w:eastAsia="zh-CN"/>
        </w:rPr>
        <w:t xml:space="preserve">响应文件格式</w:t>
      </w:r>
      <w:r/>
    </w:p>
    <w:p>
      <w:pPr>
        <w:jc w:val="center"/>
        <w:rPr>
          <w:rFonts w:hint="eastAsia" w:ascii="宋体" w:hAnsi="宋体"/>
          <w:b/>
          <w:sz w:val="72"/>
          <w:szCs w:val="21"/>
        </w:rPr>
      </w:pPr>
      <w:r/>
      <w:bookmarkStart w:id="24" w:name="_Hlt26671244"/>
      <w:r/>
      <w:bookmarkEnd w:id="24"/>
      <w:r/>
      <w:bookmarkStart w:id="25" w:name="_Hlt26955039"/>
      <w:r/>
      <w:bookmarkEnd w:id="25"/>
      <w:r/>
      <w:bookmarkStart w:id="26" w:name="_Toc49090576"/>
      <w:r/>
      <w:bookmarkStart w:id="27" w:name="_Toc26554094"/>
      <w:r/>
      <w:bookmarkStart w:id="28"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7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bookmarkEnd w:id="26"/>
      <w:bookmarkEnd w:id="27"/>
      <w:bookmarkEnd w:id="28"/>
      <w:r/>
    </w:p>
    <w:p>
      <w:pPr>
        <w:pStyle w:val="936"/>
        <w:rPr>
          <w:rFonts w:hint="eastAsia"/>
        </w:rPr>
      </w:pPr>
      <w:r>
        <w:rPr>
          <w:rFonts w:hint="eastAsia"/>
        </w:rPr>
      </w:r>
      <w:r/>
    </w:p>
    <w:p>
      <w:pPr>
        <w:rPr>
          <w:rFonts w:hint="eastAsia" w:ascii="黑体" w:hAnsi="黑体" w:eastAsia="黑体" w:cs="Times New Roman"/>
          <w:i w:val="0"/>
          <w:color w:val="000000"/>
          <w:sz w:val="32"/>
          <w:szCs w:val="32"/>
          <w:u w:val="none"/>
          <w:lang w:val="en-US" w:eastAsia="zh-CN"/>
        </w:rPr>
      </w:pPr>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w:t>
      </w:r>
      <w:r>
        <w:rPr>
          <w:rFonts w:hint="eastAsia" w:ascii="黑体" w:hAnsi="黑体" w:eastAsia="黑体"/>
          <w:color w:val="000000"/>
          <w:sz w:val="32"/>
          <w:szCs w:val="32"/>
          <w:highlight w:val="none"/>
        </w:rPr>
        <w:t xml:space="preserve">法人授权书及委托代理人的身份证扫描件</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47"/>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47"/>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47"/>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47"/>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47"/>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47"/>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47"/>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Hlt26955070"/>
      <w:r/>
      <w:bookmarkEnd w:id="30"/>
      <w:r/>
      <w:bookmarkStart w:id="31" w:name="_格式3__银行出具的资信证明"/>
      <w:r/>
      <w:bookmarkEnd w:id="31"/>
      <w:r/>
      <w:bookmarkStart w:id="32" w:name="_Hlt26671380"/>
      <w:r/>
      <w:bookmarkEnd w:id="32"/>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2"/>
        <w:tabs>
          <w:tab w:val="left" w:pos="360" w:leader="none"/>
        </w:tabs>
        <w:rPr>
          <w:rFonts w:hint="eastAsia" w:ascii="Times New Roman" w:hAnsi="Times New Roman"/>
          <w:sz w:val="24"/>
          <w:szCs w:val="24"/>
          <w:u w:val="single"/>
        </w:rPr>
      </w:pPr>
      <w:r>
        <w:rPr>
          <w:rFonts w:hint="eastAsia"/>
          <w:b/>
          <w:sz w:val="24"/>
          <w:szCs w:val="24"/>
          <w:highlight w:val="none"/>
        </w:rPr>
        <w:t xml:space="preserve">说明：提供法人授权书的同时须提供委托代理人的身份证扫描件。</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br w:type="page" w:clear="all"/>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南京市公共资源交易中心江北新区分中心</w:t>
      </w:r>
      <w:r/>
    </w:p>
    <w:p>
      <w:pPr>
        <w:pStyle w:val="94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p>
    <w:p>
      <w:pPr>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p>
    <w:p>
      <w:pPr>
        <w:pStyle w:val="94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4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4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687"/>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4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27"/>
        <w:ind w:firstLine="0"/>
        <w:rPr>
          <w:rFonts w:hint="eastAsia"/>
        </w:rPr>
      </w:pPr>
      <w:r>
        <w:rPr>
          <w:rFonts w:hint="eastAsia"/>
        </w:rPr>
      </w:r>
      <w:r/>
    </w:p>
    <w:p>
      <w:pPr>
        <w:pStyle w:val="936"/>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keepLines w:val="0"/>
        <w:keepNext w:val="0"/>
        <w:pageBreakBefore w:val="0"/>
        <w:spacing w:line="480" w:lineRule="auto"/>
        <w:widowControl w:val="off"/>
        <w:rPr>
          <w:rFonts w:hint="eastAsia"/>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68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2595"/>
        <w:gridCol w:w="2936"/>
        <w:gridCol w:w="2145"/>
        <w:gridCol w:w="1488"/>
      </w:tblGrid>
      <w:tr>
        <w:trPr>
          <w:trHeight w:val="640"/>
        </w:trPr>
        <w:tc>
          <w:tcPr>
            <w:shd w:val="clear" w:color="auto" w:fill="auto"/>
            <w:tcBorders>
              <w:top w:val="single" w:color="000000" w:sz="8"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03"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w:t>
            </w:r>
            <w:r/>
          </w:p>
        </w:tc>
        <w:tc>
          <w:tcPr>
            <w:shd w:val="clear" w:color="auto" w:fill="auto"/>
            <w:tcBorders>
              <w:top w:val="single" w:color="000000" w:sz="8" w:space="0"/>
              <w:left w:val="none" w:color="000000" w:sz="4" w:space="0"/>
              <w:bottom w:val="single" w:color="000000" w:sz="8" w:space="0"/>
              <w:right w:val="single" w:color="000000" w:sz="8" w:space="0"/>
            </w:tcBorders>
            <w:tcW w:w="1473"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涉及设备</w:t>
            </w:r>
            <w:r/>
          </w:p>
        </w:tc>
        <w:tc>
          <w:tcPr>
            <w:shd w:val="clear" w:color="auto" w:fill="auto"/>
            <w:tcBorders>
              <w:top w:val="single" w:color="000000" w:sz="8" w:space="0"/>
              <w:left w:val="none" w:color="000000" w:sz="4" w:space="0"/>
              <w:bottom w:val="single" w:color="000000" w:sz="8" w:space="0"/>
              <w:right w:val="single" w:color="000000" w:sz="8" w:space="0"/>
            </w:tcBorders>
            <w:tcW w:w="1077"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单位（套年）</w:t>
            </w:r>
            <w:r/>
          </w:p>
        </w:tc>
        <w:tc>
          <w:tcPr>
            <w:shd w:val="clear" w:color="auto" w:fill="auto"/>
            <w:tcBorders>
              <w:top w:val="single" w:color="000000" w:sz="8"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分项报价（元）</w:t>
            </w:r>
            <w:r/>
          </w:p>
        </w:tc>
      </w:tr>
      <w:tr>
        <w:trPr>
          <w:trHeight w:val="366"/>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骨干网基础能力服务</w:t>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核心路由器服务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3"/>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核心交换机服务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1"/>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汇聚防火墙服务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93"/>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边界安全能力服务</w:t>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负载均衡服务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互联网出口防火墙服务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71"/>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上网行为管理服务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2"/>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专线出口防火墙服务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7"/>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政务云和政务外网边界防火墙服务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2"/>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WEB防火墙服务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4"/>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视频云网边界防火墙服务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8"/>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核心应用能力服务</w:t>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智能DNS服务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5"/>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堡垒机服务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vMerge w:val="continue"/>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运维管理平台服务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10"/>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0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预留专网并网能力服务</w:t>
            </w:r>
            <w:r/>
          </w:p>
        </w:tc>
        <w:tc>
          <w:tcPr>
            <w:shd w:val="clear" w:color="auto" w:fill="auto"/>
            <w:tcBorders>
              <w:top w:val="none" w:color="000000" w:sz="4" w:space="0"/>
              <w:left w:val="none" w:color="000000" w:sz="4" w:space="0"/>
              <w:bottom w:val="single" w:color="000000" w:sz="8" w:space="0"/>
              <w:right w:val="single" w:color="000000" w:sz="8" w:space="0"/>
            </w:tcBorders>
            <w:tcW w:w="1473"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并网汇聚交换机</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W w:w="277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设备维保服务</w:t>
            </w:r>
            <w:r/>
          </w:p>
        </w:tc>
        <w:tc>
          <w:tcPr>
            <w:shd w:val="clear" w:color="auto" w:fill="auto"/>
            <w:tcBorders>
              <w:top w:val="none" w:color="000000" w:sz="4" w:space="0"/>
              <w:left w:val="none" w:color="000000" w:sz="4" w:space="0"/>
              <w:bottom w:val="single" w:color="000000" w:sz="8" w:space="0"/>
              <w:right w:val="single" w:color="000000" w:sz="8" w:space="0"/>
            </w:tcBorders>
            <w:tcW w:w="107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47" w:type="pct"/>
            <w:vAlign w:val="center"/>
            <w:textDirection w:val="lrTb"/>
            <w:noWrap/>
          </w:tcPr>
          <w:p>
            <w:pP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92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9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2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2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00"/>
          <w:sz w:val="32"/>
          <w:szCs w:val="32"/>
          <w:u w:val="none"/>
          <w:lang w:val="en-US" w:eastAsia="zh-CN"/>
        </w:rPr>
      </w:pPr>
      <w:r/>
      <w:bookmarkStart w:id="33" w:name="_Hlt26955054"/>
      <w:r/>
      <w:bookmarkEnd w:id="33"/>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4" w:name="_Hlt26955064"/>
            <w:r/>
            <w:bookmarkEnd w:id="34"/>
            <w:r/>
            <w:bookmarkStart w:id="35" w:name="_Hlt26955056"/>
            <w:r/>
            <w:bookmarkEnd w:id="35"/>
            <w:r/>
            <w:bookmarkStart w:id="36" w:name="_Hlt26671372"/>
            <w:r/>
            <w:bookmarkEnd w:id="36"/>
            <w:r/>
            <w:bookmarkStart w:id="37" w:name="_Hlt24879081"/>
            <w:r/>
            <w:bookmarkEnd w:id="37"/>
            <w:r/>
            <w:bookmarkStart w:id="38" w:name="_Hlt26609391"/>
            <w:r/>
            <w:bookmarkEnd w:id="38"/>
            <w:r/>
            <w:bookmarkStart w:id="39" w:name="_Hlt26782999"/>
            <w:r/>
            <w:bookmarkEnd w:id="39"/>
            <w:r/>
            <w:bookmarkStart w:id="40" w:name="_Hlt26580838"/>
            <w:r/>
            <w:bookmarkEnd w:id="40"/>
            <w:r/>
            <w:bookmarkStart w:id="41" w:name="_Hlt26671343"/>
            <w:r/>
            <w:bookmarkEnd w:id="41"/>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2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2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927"/>
      </w:pPr>
      <w:r/>
      <w:r/>
    </w:p>
    <w:p>
      <w:r/>
      <w:r/>
    </w:p>
    <w:p>
      <w:pPr>
        <w:pStyle w:val="927"/>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36"/>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lang w:val="en-US" w:eastAsia="zh-CN"/>
        </w:rPr>
        <w:t xml:space="preserve">XXXXXXXXXXXXXXXXXXXXXXXXX</w:t>
      </w:r>
      <w:r>
        <w:rPr>
          <w:rFonts w:hint="eastAsia" w:ascii="宋体" w:hAnsi="宋体"/>
          <w:sz w:val="24"/>
        </w:rPr>
        <w:t xml:space="preserve">（单位名称）采购编号为</w:t>
      </w:r>
      <w:r>
        <w:rPr>
          <w:rFonts w:hint="eastAsia" w:ascii="宋体" w:hAnsi="宋体"/>
          <w:sz w:val="24"/>
          <w:lang w:val="en-US" w:eastAsia="zh-CN"/>
        </w:rPr>
        <w:t xml:space="preserve">XXXXXXXXXXXXXXXXXXXXXXXXX</w:t>
      </w:r>
      <w:r>
        <w:rPr>
          <w:rFonts w:hint="eastAsia" w:ascii="宋体" w:hAnsi="宋体"/>
          <w:sz w:val="24"/>
          <w:lang w:eastAsia="zh-CN"/>
        </w:rPr>
        <w:t xml:space="preserve">项目</w:t>
      </w:r>
      <w:r>
        <w:rPr>
          <w:rFonts w:hint="eastAsia" w:ascii="宋体" w:hAnsi="宋体"/>
          <w:sz w:val="24"/>
        </w:rPr>
        <w:t xml:space="preserve">（</w:t>
      </w:r>
      <w:r>
        <w:rPr>
          <w:rFonts w:hint="eastAsia" w:ascii="宋体" w:hAnsi="宋体"/>
          <w:sz w:val="24"/>
          <w:lang w:eastAsia="zh-CN"/>
        </w:rPr>
        <w:t xml:space="preserve">采购包</w:t>
      </w:r>
      <w:r>
        <w:rPr>
          <w:rFonts w:hint="eastAsia" w:ascii="宋体" w:hAnsi="宋体"/>
          <w:sz w:val="24"/>
        </w:rPr>
        <w:t xml:space="preserve">号：</w:t>
      </w:r>
      <w:r>
        <w:rPr>
          <w:rFonts w:hint="eastAsia" w:ascii="宋体" w:hAnsi="宋体"/>
          <w:sz w:val="24"/>
          <w:lang w:val="en-US" w:eastAsia="zh-CN"/>
        </w:rPr>
        <w:t xml:space="preserve">XXX</w:t>
      </w:r>
      <w:r>
        <w:rPr>
          <w:rFonts w:hint="eastAsia" w:ascii="宋体" w:hAnsi="宋体"/>
          <w:sz w:val="24"/>
          <w:lang w:eastAsia="zh-CN"/>
        </w:rPr>
        <w:t xml:space="preserve">）</w:t>
      </w:r>
      <w:r>
        <w:rPr>
          <w:rFonts w:hint="eastAsia" w:ascii="宋体" w:hAnsi="宋体"/>
          <w:sz w:val="24"/>
        </w:rPr>
        <w:t xml:space="preserve">的采购活动</w:t>
      </w:r>
      <w:r>
        <w:rPr>
          <w:rFonts w:hint="eastAsia" w:ascii="宋体" w:hAnsi="宋体"/>
          <w:sz w:val="24"/>
          <w:lang w:eastAsia="zh-CN"/>
        </w:rPr>
        <w:t xml:space="preserve">，</w:t>
      </w:r>
      <w:r>
        <w:rPr>
          <w:rFonts w:hint="eastAsia" w:ascii="宋体" w:hAnsi="宋体"/>
          <w:sz w:val="24"/>
        </w:rPr>
        <w:t xml:space="preserve">服务全部由</w:t>
      </w:r>
      <w:r>
        <w:rPr>
          <w:rFonts w:hint="eastAsia" w:ascii="宋体" w:hAnsi="宋体"/>
          <w:sz w:val="24"/>
          <w:lang w:eastAsia="zh-CN"/>
        </w:rPr>
        <w:t xml:space="preserve">本单位提供</w:t>
      </w:r>
      <w:r>
        <w:rPr>
          <w:rFonts w:hint="eastAsia" w:ascii="宋体" w:hAnsi="宋体"/>
          <w:sz w:val="24"/>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36"/>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br w:type="page" w:clear="all"/>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2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rPr>
          <w:rFonts w:ascii="宋体" w:hAnsi="宋体"/>
          <w:sz w:val="24"/>
        </w:rPr>
      </w:pPr>
      <w:r>
        <w:rPr>
          <w:rFonts w:ascii="宋体" w:hAnsi="宋体"/>
          <w:sz w:val="24"/>
        </w:rPr>
        <w:br w:type="page" w:clear="all"/>
      </w:r>
      <w:r/>
    </w:p>
    <w:p>
      <w:pPr>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2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2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2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numPr>
          <w:ilvl w:val="0"/>
          <w:numId w:val="16"/>
        </w:numPr>
        <w:jc w:val="left"/>
        <w:spacing w:line="360" w:lineRule="auto"/>
        <w:rPr>
          <w:rFonts w:hint="eastAsia" w:ascii="黑体" w:hAnsi="黑体" w:eastAsia="黑体" w:cs="Times New Roman"/>
          <w:i w:val="0"/>
          <w:iCs w:val="0"/>
          <w:sz w:val="32"/>
          <w:szCs w:val="32"/>
          <w:u w:val="none"/>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关于符合本国产品标准的声明函</w:t>
      </w:r>
      <w:r/>
    </w:p>
    <w:p>
      <w:pPr>
        <w:numPr>
          <w:ilvl w:val="0"/>
          <w:numId w:val="0"/>
        </w:numPr>
        <w:jc w:val="center"/>
        <w:spacing w:line="360" w:lineRule="auto"/>
        <w:rPr>
          <w:rFonts w:hint="eastAsia" w:ascii="黑体" w:hAnsi="黑体" w:eastAsia="黑体" w:cs="Times New Roman"/>
          <w:i w:val="0"/>
          <w:iCs w:val="0"/>
          <w:sz w:val="24"/>
          <w:szCs w:val="24"/>
          <w:u w:val="none"/>
          <w:lang w:val="en-US" w:eastAsia="zh-CN"/>
        </w:rPr>
      </w:pPr>
      <w:r>
        <w:rPr>
          <w:rFonts w:hint="eastAsia" w:ascii="微软雅黑" w:hAnsi="微软雅黑" w:eastAsia="微软雅黑" w:cs="微软雅黑"/>
          <w:color w:val="000000"/>
          <w:sz w:val="24"/>
          <w:szCs w:val="24"/>
          <w:shd w:val="clear" w:color="auto" w:fill="ffffff"/>
        </w:rPr>
        <w:t xml:space="preserve">（</w:t>
      </w:r>
      <w:r>
        <w:rPr>
          <w:rFonts w:ascii="微软雅黑" w:hAnsi="微软雅黑" w:eastAsia="微软雅黑" w:cs="微软雅黑"/>
          <w:color w:val="000000"/>
          <w:sz w:val="24"/>
          <w:szCs w:val="24"/>
          <w:shd w:val="clear" w:color="auto" w:fill="ffffff"/>
        </w:rPr>
        <w:t xml:space="preserve">如有，可上传至“电子投标文件格式-企业报价折扣证明”）</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关于符合本国产品标准的声明函（采购包号：**）</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33"/>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33"/>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33"/>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33"/>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33"/>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33"/>
          <w:vertAlign w:val="superscript"/>
        </w:rPr>
        <w:t xml:space="preserve">6</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2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p>
    <w:p>
      <w:pPr>
        <w:pStyle w:val="92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921"/>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p>
    <w:p>
      <w:pPr>
        <w:pStyle w:val="921"/>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16"/>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质疑函范本</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688"/>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r>
      <w:r/>
    </w:p>
    <w:p>
      <w:pPr>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br w:type="page" w:clear="all"/>
      </w:r>
      <w:r/>
    </w:p>
    <w:p>
      <w:pPr>
        <w:pStyle w:val="688"/>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华文宋体">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３９</w:t>
    </w:r>
    <w:r>
      <w:rPr>
        <w:rFonts w:ascii="宋体" w:hAnsi="宋体"/>
      </w:rPr>
      <w:fldChar w:fldCharType="end"/>
    </w:r>
    <w:r/>
  </w:p>
  <w:p>
    <w:pPr>
      <w:pStyle w:val="90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4"/>
      <w:isLgl w:val="false"/>
      <w:suff w:val="nothing"/>
      <w:lvlText w:val=""/>
      <w:lvlJc w:val="left"/>
      <w:pPr>
        <w:ind w:left="0" w:firstLine="0"/>
      </w:pPr>
      <w:rPr>
        <w:rFonts w:hint="eastAsia"/>
      </w:rPr>
    </w:lvl>
    <w:lvl w:ilvl="6">
      <w:start w:val="1"/>
      <w:numFmt w:val="decimal"/>
      <w:pStyle w:val="865"/>
      <w:isLgl w:val="false"/>
      <w:suff w:val="nothing"/>
      <w:lvlText w:val=""/>
      <w:lvlJc w:val="left"/>
      <w:pPr>
        <w:ind w:left="0" w:firstLine="0"/>
      </w:pPr>
      <w:rPr>
        <w:rFonts w:hint="eastAsia"/>
      </w:rPr>
    </w:lvl>
    <w:lvl w:ilvl="7">
      <w:start w:val="1"/>
      <w:numFmt w:val="decimal"/>
      <w:pStyle w:val="866"/>
      <w:isLgl w:val="false"/>
      <w:suff w:val="nothing"/>
      <w:lvlText w:val=""/>
      <w:lvlJc w:val="left"/>
      <w:pPr>
        <w:ind w:left="0" w:firstLine="0"/>
      </w:pPr>
      <w:rPr>
        <w:rFonts w:hint="eastAsia"/>
      </w:rPr>
    </w:lvl>
    <w:lvl w:ilvl="8">
      <w:start w:val="1"/>
      <w:numFmt w:val="decimal"/>
      <w:pStyle w:val="86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9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7">
    <w:name w:val="Heading 1"/>
    <w:basedOn w:val="676"/>
    <w:next w:val="676"/>
    <w:link w:val="71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3"/>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4"/>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5"/>
    <w:uiPriority w:val="9"/>
    <w:unhideWhenUsed/>
    <w:qFormat/>
    <w:pPr>
      <w:keepLines/>
      <w:keepNext/>
      <w:outlineLvl w:val="3"/>
    </w:pPr>
    <w:rPr>
      <w:rFonts w:ascii="Arial" w:hAnsi="Arial" w:eastAsia="Arial" w:cs="Arial"/>
      <w:b/>
      <w:bCs/>
      <w:sz w:val="26"/>
      <w:szCs w:val="26"/>
    </w:rPr>
  </w:style>
  <w:style w:type="paragraph" w:styleId="681">
    <w:name w:val="Heading 5"/>
    <w:basedOn w:val="676"/>
    <w:next w:val="676"/>
    <w:link w:val="716"/>
    <w:uiPriority w:val="9"/>
    <w:unhideWhenUsed/>
    <w:qFormat/>
    <w:pPr>
      <w:keepLines/>
      <w:keepNext/>
      <w:outlineLvl w:val="4"/>
    </w:pPr>
    <w:rPr>
      <w:rFonts w:ascii="Arial" w:hAnsi="Arial" w:eastAsia="Arial" w:cs="Arial"/>
      <w:bCs/>
      <w:sz w:val="24"/>
      <w:szCs w:val="24"/>
    </w:rPr>
  </w:style>
  <w:style w:type="paragraph" w:styleId="682">
    <w:name w:val="Heading 6"/>
    <w:basedOn w:val="676"/>
    <w:next w:val="676"/>
    <w:link w:val="71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1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0"/>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Plain Text"/>
    <w:basedOn w:val="676"/>
    <w:uiPriority w:val="0"/>
    <w:qFormat/>
    <w:rPr>
      <w:rFonts w:ascii="宋体" w:hAnsi="Courier New" w:eastAsia="华文宋体"/>
      <w:sz w:val="28"/>
      <w:szCs w:val="20"/>
    </w:rPr>
  </w:style>
  <w:style w:type="paragraph" w:styleId="689">
    <w:name w:val="toc 7"/>
    <w:basedOn w:val="676"/>
    <w:next w:val="676"/>
    <w:uiPriority w:val="39"/>
    <w:unhideWhenUsed/>
    <w:qFormat/>
    <w:pPr>
      <w:ind w:left="1701" w:right="0" w:firstLine="0"/>
      <w:spacing w:after="57"/>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uiPriority w:val="99"/>
    <w:semiHidden/>
    <w:unhideWhenUsed/>
    <w:qFormat/>
    <w:pPr>
      <w:jc w:val="left"/>
    </w:pPr>
  </w:style>
  <w:style w:type="paragraph" w:styleId="692">
    <w:name w:val="toc 5"/>
    <w:basedOn w:val="676"/>
    <w:next w:val="676"/>
    <w:uiPriority w:val="39"/>
    <w:unhideWhenUsed/>
    <w:qFormat/>
    <w:pPr>
      <w:ind w:left="1134" w:right="0" w:firstLine="0"/>
      <w:spacing w:after="57"/>
    </w:pPr>
  </w:style>
  <w:style w:type="paragraph" w:styleId="693">
    <w:name w:val="toc 3"/>
    <w:basedOn w:val="676"/>
    <w:next w:val="676"/>
    <w:uiPriority w:val="39"/>
    <w:unhideWhenUsed/>
    <w:qFormat/>
    <w:pPr>
      <w:ind w:left="567" w:right="0" w:firstLine="0"/>
      <w:spacing w:after="57"/>
    </w:pPr>
  </w:style>
  <w:style w:type="paragraph" w:styleId="694">
    <w:name w:val="toc 8"/>
    <w:basedOn w:val="676"/>
    <w:next w:val="676"/>
    <w:uiPriority w:val="39"/>
    <w:unhideWhenUsed/>
    <w:qFormat/>
    <w:pPr>
      <w:ind w:left="1984" w:right="0" w:firstLine="0"/>
      <w:spacing w:after="57"/>
    </w:pPr>
  </w:style>
  <w:style w:type="paragraph" w:styleId="695">
    <w:name w:val="endnote text"/>
    <w:basedOn w:val="676"/>
    <w:link w:val="856"/>
    <w:uiPriority w:val="99"/>
    <w:semiHidden/>
    <w:unhideWhenUsed/>
    <w:qFormat/>
    <w:pPr>
      <w:spacing w:after="0" w:line="240" w:lineRule="auto"/>
    </w:pPr>
    <w:rPr>
      <w:sz w:val="20"/>
    </w:rPr>
  </w:style>
  <w:style w:type="paragraph" w:styleId="696">
    <w:name w:val="Footer"/>
    <w:basedOn w:val="676"/>
    <w:link w:val="729"/>
    <w:uiPriority w:val="99"/>
    <w:unhideWhenUsed/>
    <w:qFormat/>
    <w:pPr>
      <w:spacing w:after="0" w:line="240" w:lineRule="auto"/>
      <w:tabs>
        <w:tab w:val="center" w:pos="7143" w:leader="none"/>
        <w:tab w:val="right" w:pos="14287" w:leader="none"/>
      </w:tabs>
    </w:pPr>
  </w:style>
  <w:style w:type="paragraph" w:styleId="697">
    <w:name w:val="Header"/>
    <w:basedOn w:val="676"/>
    <w:link w:val="727"/>
    <w:uiPriority w:val="99"/>
    <w:unhideWhenUsed/>
    <w:qFormat/>
    <w:pPr>
      <w:spacing w:after="0" w:line="240" w:lineRule="auto"/>
      <w:tabs>
        <w:tab w:val="center" w:pos="7143" w:leader="none"/>
        <w:tab w:val="right" w:pos="14287" w:leader="none"/>
      </w:tabs>
    </w:pPr>
  </w:style>
  <w:style w:type="paragraph" w:styleId="698">
    <w:name w:val="toc 1"/>
    <w:basedOn w:val="676"/>
    <w:next w:val="676"/>
    <w:uiPriority w:val="39"/>
    <w:unhideWhenUsed/>
    <w:qFormat/>
    <w:pPr>
      <w:ind w:left="0" w:right="0" w:firstLine="0"/>
      <w:spacing w:after="57"/>
    </w:pPr>
  </w:style>
  <w:style w:type="paragraph" w:styleId="699">
    <w:name w:val="toc 4"/>
    <w:basedOn w:val="676"/>
    <w:next w:val="676"/>
    <w:uiPriority w:val="39"/>
    <w:unhideWhenUsed/>
    <w:qFormat/>
    <w:pPr>
      <w:ind w:left="850" w:right="0" w:firstLine="0"/>
      <w:spacing w:after="57"/>
    </w:pPr>
  </w:style>
  <w:style w:type="paragraph" w:styleId="700">
    <w:name w:val="Subtitle"/>
    <w:basedOn w:val="676"/>
    <w:next w:val="676"/>
    <w:link w:val="722"/>
    <w:uiPriority w:val="11"/>
    <w:qFormat/>
    <w:pPr>
      <w:spacing w:before="200" w:after="200"/>
    </w:pPr>
    <w:rPr>
      <w:sz w:val="24"/>
      <w:szCs w:val="24"/>
    </w:rPr>
  </w:style>
  <w:style w:type="paragraph" w:styleId="701">
    <w:name w:val="footnote text"/>
    <w:basedOn w:val="676"/>
    <w:link w:val="855"/>
    <w:uiPriority w:val="99"/>
    <w:semiHidden/>
    <w:unhideWhenUsed/>
    <w:qFormat/>
    <w:pPr>
      <w:spacing w:after="40" w:line="240" w:lineRule="auto"/>
    </w:pPr>
    <w:rPr>
      <w:sz w:val="18"/>
    </w:rPr>
  </w:style>
  <w:style w:type="paragraph" w:styleId="702">
    <w:name w:val="toc 6"/>
    <w:basedOn w:val="676"/>
    <w:next w:val="676"/>
    <w:uiPriority w:val="39"/>
    <w:unhideWhenUsed/>
    <w:qFormat/>
    <w:pPr>
      <w:ind w:left="1417" w:right="0" w:firstLine="0"/>
      <w:spacing w:after="57"/>
    </w:pPr>
  </w:style>
  <w:style w:type="paragraph" w:styleId="703">
    <w:name w:val="table of figures"/>
    <w:basedOn w:val="676"/>
    <w:next w:val="676"/>
    <w:uiPriority w:val="99"/>
    <w:unhideWhenUsed/>
    <w:qFormat/>
    <w:pPr>
      <w:spacing w:after="0" w:afterAutospacing="0"/>
    </w:pPr>
  </w:style>
  <w:style w:type="paragraph" w:styleId="704">
    <w:name w:val="toc 2"/>
    <w:basedOn w:val="676"/>
    <w:next w:val="676"/>
    <w:uiPriority w:val="39"/>
    <w:unhideWhenUsed/>
    <w:qFormat/>
    <w:pPr>
      <w:ind w:left="283" w:right="0" w:firstLine="0"/>
      <w:spacing w:after="57"/>
    </w:pPr>
  </w:style>
  <w:style w:type="paragraph" w:styleId="705">
    <w:name w:val="toc 9"/>
    <w:basedOn w:val="676"/>
    <w:next w:val="676"/>
    <w:uiPriority w:val="39"/>
    <w:unhideWhenUsed/>
    <w:qFormat/>
    <w:pPr>
      <w:ind w:left="2268" w:right="0" w:firstLine="0"/>
      <w:spacing w:after="57"/>
    </w:pPr>
  </w:style>
  <w:style w:type="paragraph" w:styleId="706">
    <w:name w:val="Title"/>
    <w:basedOn w:val="676"/>
    <w:next w:val="676"/>
    <w:link w:val="721"/>
    <w:uiPriority w:val="10"/>
    <w:qFormat/>
    <w:pPr>
      <w:contextualSpacing/>
      <w:spacing w:before="300" w:after="200"/>
    </w:pPr>
    <w:rPr>
      <w:sz w:val="48"/>
      <w:szCs w:val="48"/>
    </w:rPr>
  </w:style>
  <w:style w:type="table" w:styleId="7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86"/>
    <w:uiPriority w:val="22"/>
    <w:qFormat/>
    <w:rPr>
      <w:b/>
    </w:r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character" w:styleId="712" w:customStyle="1">
    <w:name w:val="Heading 1 Char"/>
    <w:link w:val="677"/>
    <w:uiPriority w:val="9"/>
    <w:qFormat/>
    <w:rPr>
      <w:rFonts w:ascii="Arial" w:hAnsi="Arial" w:eastAsia="Arial" w:cs="Arial"/>
      <w:sz w:val="40"/>
      <w:szCs w:val="40"/>
    </w:rPr>
  </w:style>
  <w:style w:type="character" w:styleId="713" w:customStyle="1">
    <w:name w:val="Heading 2 Char"/>
    <w:link w:val="678"/>
    <w:uiPriority w:val="9"/>
    <w:qFormat/>
    <w:rPr>
      <w:rFonts w:ascii="Arial" w:hAnsi="Arial" w:eastAsia="Arial" w:cs="Arial"/>
      <w:sz w:val="34"/>
    </w:rPr>
  </w:style>
  <w:style w:type="character" w:styleId="714" w:customStyle="1">
    <w:name w:val="Heading 3 Char"/>
    <w:link w:val="679"/>
    <w:uiPriority w:val="9"/>
    <w:qFormat/>
    <w:rPr>
      <w:rFonts w:ascii="Arial" w:hAnsi="Arial" w:eastAsia="Arial" w:cs="Arial"/>
      <w:sz w:val="30"/>
      <w:szCs w:val="30"/>
    </w:rPr>
  </w:style>
  <w:style w:type="character" w:styleId="715" w:customStyle="1">
    <w:name w:val="Heading 4 Char"/>
    <w:link w:val="680"/>
    <w:uiPriority w:val="9"/>
    <w:qFormat/>
    <w:rPr>
      <w:rFonts w:ascii="Arial" w:hAnsi="Arial" w:eastAsia="Arial" w:cs="Arial"/>
      <w:b/>
      <w:bCs/>
      <w:sz w:val="26"/>
      <w:szCs w:val="26"/>
    </w:rPr>
  </w:style>
  <w:style w:type="character" w:styleId="716" w:customStyle="1">
    <w:name w:val="Heading 5 Char"/>
    <w:link w:val="681"/>
    <w:uiPriority w:val="9"/>
    <w:qFormat/>
    <w:rPr>
      <w:rFonts w:ascii="Arial" w:hAnsi="Arial" w:eastAsia="Arial" w:cs="Arial"/>
      <w:bCs/>
      <w:sz w:val="24"/>
      <w:szCs w:val="24"/>
    </w:rPr>
  </w:style>
  <w:style w:type="character" w:styleId="717" w:customStyle="1">
    <w:name w:val="Heading 6 Char"/>
    <w:link w:val="682"/>
    <w:uiPriority w:val="9"/>
    <w:qFormat/>
    <w:rPr>
      <w:rFonts w:ascii="Arial" w:hAnsi="Arial" w:eastAsia="Arial" w:cs="Arial"/>
      <w:b/>
      <w:bCs/>
      <w:sz w:val="22"/>
      <w:szCs w:val="22"/>
    </w:rPr>
  </w:style>
  <w:style w:type="character" w:styleId="718" w:customStyle="1">
    <w:name w:val="Heading 7 Char"/>
    <w:link w:val="683"/>
    <w:uiPriority w:val="9"/>
    <w:qFormat/>
    <w:rPr>
      <w:rFonts w:ascii="Arial" w:hAnsi="Arial" w:eastAsia="Arial" w:cs="Arial"/>
      <w:b/>
      <w:bCs/>
      <w:i/>
      <w:iCs/>
      <w:sz w:val="22"/>
      <w:szCs w:val="22"/>
    </w:rPr>
  </w:style>
  <w:style w:type="character" w:styleId="719" w:customStyle="1">
    <w:name w:val="Heading 8 Char"/>
    <w:link w:val="684"/>
    <w:uiPriority w:val="9"/>
    <w:qFormat/>
    <w:rPr>
      <w:rFonts w:ascii="Arial" w:hAnsi="Arial" w:eastAsia="Arial" w:cs="Arial"/>
      <w:i/>
      <w:iCs/>
      <w:sz w:val="22"/>
      <w:szCs w:val="22"/>
    </w:rPr>
  </w:style>
  <w:style w:type="character" w:styleId="720" w:customStyle="1">
    <w:name w:val="Heading 9 Char"/>
    <w:link w:val="685"/>
    <w:uiPriority w:val="9"/>
    <w:qFormat/>
    <w:rPr>
      <w:rFonts w:ascii="Arial" w:hAnsi="Arial" w:eastAsia="Arial" w:cs="Arial"/>
      <w:i/>
      <w:iCs/>
      <w:sz w:val="21"/>
      <w:szCs w:val="21"/>
    </w:rPr>
  </w:style>
  <w:style w:type="character" w:styleId="721" w:customStyle="1">
    <w:name w:val="Title Char"/>
    <w:link w:val="706"/>
    <w:uiPriority w:val="10"/>
    <w:qFormat/>
    <w:rPr>
      <w:sz w:val="48"/>
      <w:szCs w:val="48"/>
    </w:rPr>
  </w:style>
  <w:style w:type="character" w:styleId="722" w:customStyle="1">
    <w:name w:val="Subtitle Char"/>
    <w:link w:val="700"/>
    <w:uiPriority w:val="11"/>
    <w:qFormat/>
    <w:rPr>
      <w:sz w:val="24"/>
      <w:szCs w:val="24"/>
    </w:rPr>
  </w:style>
  <w:style w:type="paragraph" w:styleId="723">
    <w:name w:val="Quote"/>
    <w:basedOn w:val="676"/>
    <w:next w:val="676"/>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76"/>
    <w:next w:val="676"/>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link w:val="697"/>
    <w:uiPriority w:val="99"/>
    <w:qFormat/>
  </w:style>
  <w:style w:type="character" w:styleId="728" w:customStyle="1">
    <w:name w:val="Footer Char"/>
    <w:link w:val="696"/>
    <w:uiPriority w:val="99"/>
    <w:qFormat/>
  </w:style>
  <w:style w:type="character" w:styleId="729" w:customStyle="1">
    <w:name w:val="Caption Char"/>
    <w:link w:val="696"/>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701"/>
    <w:uiPriority w:val="99"/>
    <w:qFormat/>
    <w:rPr>
      <w:sz w:val="18"/>
    </w:rPr>
  </w:style>
  <w:style w:type="character" w:styleId="856" w:customStyle="1">
    <w:name w:val="Endnote Text Char"/>
    <w:link w:val="695"/>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标题 11"/>
    <w:basedOn w:val="676"/>
    <w:next w:val="676"/>
    <w:link w:val="870"/>
    <w:uiPriority w:val="0"/>
    <w:qFormat/>
    <w:pPr>
      <w:jc w:val="center"/>
      <w:keepNext/>
      <w:outlineLvl w:val="0"/>
    </w:pPr>
    <w:rPr>
      <w:rFonts w:ascii="楷体_GB2312" w:hAnsi="Times New Roman" w:eastAsia="楷体_GB2312" w:cs="Times New Roman"/>
      <w:sz w:val="28"/>
      <w:szCs w:val="28"/>
    </w:rPr>
  </w:style>
  <w:style w:type="paragraph" w:styleId="859" w:customStyle="1">
    <w:name w:val="标题 21"/>
    <w:basedOn w:val="676"/>
    <w:next w:val="860"/>
    <w:link w:val="87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0" w:customStyle="1">
    <w:name w:val="正文缩进1"/>
    <w:basedOn w:val="676"/>
    <w:link w:val="872"/>
    <w:uiPriority w:val="0"/>
    <w:qFormat/>
    <w:pPr>
      <w:ind w:firstLine="420"/>
    </w:pPr>
    <w:rPr>
      <w:szCs w:val="21"/>
    </w:rPr>
  </w:style>
  <w:style w:type="paragraph" w:styleId="861" w:customStyle="1">
    <w:name w:val="标题 31"/>
    <w:basedOn w:val="676"/>
    <w:next w:val="860"/>
    <w:link w:val="87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2" w:customStyle="1">
    <w:name w:val="标题 41"/>
    <w:basedOn w:val="676"/>
    <w:next w:val="860"/>
    <w:link w:val="874"/>
    <w:uiPriority w:val="0"/>
    <w:qFormat/>
    <w:pPr>
      <w:keepLines/>
      <w:keepNext/>
      <w:spacing w:before="280" w:after="290" w:line="376" w:lineRule="auto"/>
      <w:outlineLvl w:val="3"/>
    </w:pPr>
    <w:rPr>
      <w:rFonts w:ascii="Arial" w:hAnsi="Arial" w:eastAsia="黑体" w:cs="Arial"/>
      <w:b/>
      <w:bCs/>
      <w:sz w:val="28"/>
      <w:szCs w:val="28"/>
    </w:rPr>
  </w:style>
  <w:style w:type="paragraph" w:styleId="863" w:customStyle="1">
    <w:name w:val="标题 51"/>
    <w:basedOn w:val="676"/>
    <w:next w:val="860"/>
    <w:link w:val="875"/>
    <w:uiPriority w:val="0"/>
    <w:qFormat/>
    <w:pPr>
      <w:keepNext/>
      <w:outlineLvl w:val="4"/>
    </w:pPr>
    <w:rPr>
      <w:rFonts w:ascii="宋体" w:hAnsi="Times New Roman" w:eastAsia="宋体" w:cs="Times New Roman"/>
      <w:color w:val="000000"/>
      <w:sz w:val="28"/>
      <w:szCs w:val="28"/>
    </w:rPr>
  </w:style>
  <w:style w:type="paragraph" w:styleId="864" w:customStyle="1">
    <w:name w:val="标题 61"/>
    <w:basedOn w:val="676"/>
    <w:next w:val="676"/>
    <w:link w:val="87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5" w:customStyle="1">
    <w:name w:val="标题 71"/>
    <w:basedOn w:val="676"/>
    <w:next w:val="676"/>
    <w:link w:val="87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6" w:customStyle="1">
    <w:name w:val="标题 81"/>
    <w:basedOn w:val="676"/>
    <w:next w:val="676"/>
    <w:link w:val="87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7" w:customStyle="1">
    <w:name w:val="标题 91"/>
    <w:basedOn w:val="676"/>
    <w:next w:val="676"/>
    <w:link w:val="87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8" w:customStyle="1">
    <w:name w:val="默认段落字体1"/>
    <w:link w:val="676"/>
    <w:uiPriority w:val="1"/>
    <w:unhideWhenUsed/>
    <w:qFormat/>
  </w:style>
  <w:style w:type="table" w:styleId="869" w:customStyle="1">
    <w:name w:val="普通表格11"/>
    <w:uiPriority w:val="99"/>
    <w:unhideWhenUsed/>
    <w:qFormat/>
    <w:tblPr/>
  </w:style>
  <w:style w:type="character" w:styleId="870" w:customStyle="1">
    <w:name w:val="标题 1 Char"/>
    <w:link w:val="858"/>
    <w:uiPriority w:val="0"/>
    <w:qFormat/>
    <w:rPr>
      <w:rFonts w:ascii="楷体_GB2312" w:hAnsi="Times New Roman" w:eastAsia="楷体_GB2312" w:cs="Times New Roman"/>
      <w:sz w:val="28"/>
      <w:szCs w:val="28"/>
    </w:rPr>
  </w:style>
  <w:style w:type="character" w:styleId="871" w:customStyle="1">
    <w:name w:val="标题 2 Char"/>
    <w:link w:val="859"/>
    <w:uiPriority w:val="0"/>
    <w:qFormat/>
    <w:rPr>
      <w:rFonts w:ascii="Arial" w:hAnsi="Arial" w:eastAsia="幼圆" w:cs="Arial"/>
      <w:b/>
      <w:bCs/>
      <w:sz w:val="44"/>
      <w:szCs w:val="44"/>
    </w:rPr>
  </w:style>
  <w:style w:type="character" w:styleId="872" w:customStyle="1">
    <w:name w:val="正文缩进 Char"/>
    <w:link w:val="860"/>
    <w:uiPriority w:val="0"/>
    <w:qFormat/>
    <w:rPr>
      <w:szCs w:val="21"/>
    </w:rPr>
  </w:style>
  <w:style w:type="character" w:styleId="873" w:customStyle="1">
    <w:name w:val="标题 3 Char"/>
    <w:link w:val="861"/>
    <w:uiPriority w:val="0"/>
    <w:qFormat/>
    <w:rPr>
      <w:rFonts w:ascii="Times New Roman" w:hAnsi="Times New Roman" w:eastAsia="宋体" w:cs="Times New Roman"/>
      <w:b/>
      <w:bCs/>
      <w:sz w:val="32"/>
      <w:szCs w:val="32"/>
    </w:rPr>
  </w:style>
  <w:style w:type="character" w:styleId="874" w:customStyle="1">
    <w:name w:val="标题 4 Char"/>
    <w:link w:val="862"/>
    <w:uiPriority w:val="0"/>
    <w:qFormat/>
    <w:rPr>
      <w:rFonts w:ascii="Arial" w:hAnsi="Arial" w:eastAsia="黑体" w:cs="Arial"/>
      <w:b/>
      <w:bCs/>
      <w:sz w:val="28"/>
      <w:szCs w:val="28"/>
    </w:rPr>
  </w:style>
  <w:style w:type="character" w:styleId="875" w:customStyle="1">
    <w:name w:val="标题 5 Char"/>
    <w:link w:val="863"/>
    <w:uiPriority w:val="0"/>
    <w:qFormat/>
    <w:rPr>
      <w:rFonts w:ascii="宋体" w:hAnsi="Times New Roman" w:eastAsia="宋体" w:cs="Times New Roman"/>
      <w:color w:val="000000"/>
      <w:sz w:val="28"/>
      <w:szCs w:val="28"/>
    </w:rPr>
  </w:style>
  <w:style w:type="character" w:styleId="876" w:customStyle="1">
    <w:name w:val="标题 6 Char"/>
    <w:link w:val="864"/>
    <w:uiPriority w:val="0"/>
    <w:qFormat/>
    <w:rPr>
      <w:rFonts w:ascii="Arial" w:hAnsi="Arial" w:eastAsia="黑体" w:cs="Times New Roman"/>
      <w:b/>
      <w:bCs/>
      <w:sz w:val="24"/>
      <w:szCs w:val="24"/>
    </w:rPr>
  </w:style>
  <w:style w:type="character" w:styleId="877" w:customStyle="1">
    <w:name w:val="标题 7 Char"/>
    <w:link w:val="865"/>
    <w:uiPriority w:val="0"/>
    <w:qFormat/>
    <w:rPr>
      <w:rFonts w:ascii="Times New Roman" w:hAnsi="Times New Roman" w:eastAsia="宋体" w:cs="Times New Roman"/>
      <w:b/>
      <w:bCs/>
      <w:sz w:val="24"/>
      <w:szCs w:val="24"/>
    </w:rPr>
  </w:style>
  <w:style w:type="character" w:styleId="878" w:customStyle="1">
    <w:name w:val="标题 8 Char"/>
    <w:link w:val="866"/>
    <w:uiPriority w:val="0"/>
    <w:qFormat/>
    <w:rPr>
      <w:rFonts w:ascii="Arial" w:hAnsi="Arial" w:eastAsia="黑体" w:cs="Times New Roman"/>
      <w:sz w:val="24"/>
      <w:szCs w:val="24"/>
    </w:rPr>
  </w:style>
  <w:style w:type="character" w:styleId="879" w:customStyle="1">
    <w:name w:val="标题 9 Char"/>
    <w:link w:val="867"/>
    <w:uiPriority w:val="0"/>
    <w:qFormat/>
    <w:rPr>
      <w:rFonts w:ascii="Arial" w:hAnsi="Arial" w:eastAsia="黑体" w:cs="Times New Roman"/>
      <w:szCs w:val="21"/>
    </w:rPr>
  </w:style>
  <w:style w:type="paragraph" w:styleId="880" w:customStyle="1">
    <w:name w:val="列表 31"/>
    <w:basedOn w:val="676"/>
    <w:uiPriority w:val="0"/>
    <w:qFormat/>
    <w:pPr>
      <w:ind w:left="100" w:hanging="200"/>
    </w:pPr>
    <w:rPr>
      <w:rFonts w:ascii="Times New Roman" w:hAnsi="Times New Roman" w:eastAsia="宋体" w:cs="Times New Roman"/>
      <w:szCs w:val="21"/>
    </w:rPr>
  </w:style>
  <w:style w:type="paragraph" w:styleId="881" w:customStyle="1">
    <w:name w:val="目录 71"/>
    <w:basedOn w:val="676"/>
    <w:next w:val="676"/>
    <w:uiPriority w:val="0"/>
    <w:semiHidden/>
    <w:qFormat/>
    <w:pPr>
      <w:ind w:left="1260"/>
      <w:jc w:val="left"/>
    </w:pPr>
    <w:rPr>
      <w:rFonts w:ascii="Times New Roman" w:hAnsi="Times New Roman" w:eastAsia="宋体" w:cs="Times New Roman"/>
      <w:szCs w:val="21"/>
    </w:rPr>
  </w:style>
  <w:style w:type="paragraph" w:styleId="882" w:customStyle="1">
    <w:name w:val="文档结构图1"/>
    <w:basedOn w:val="676"/>
    <w:link w:val="883"/>
    <w:uiPriority w:val="0"/>
    <w:semiHidden/>
    <w:qFormat/>
    <w:pPr>
      <w:shd w:val="clear" w:color="auto" w:fill="000080"/>
    </w:pPr>
    <w:rPr>
      <w:rFonts w:ascii="Times New Roman" w:hAnsi="Times New Roman" w:eastAsia="宋体" w:cs="Times New Roman"/>
      <w:szCs w:val="21"/>
    </w:rPr>
  </w:style>
  <w:style w:type="character" w:styleId="883" w:customStyle="1">
    <w:name w:val="文档结构图 Char"/>
    <w:link w:val="882"/>
    <w:uiPriority w:val="0"/>
    <w:semiHidden/>
    <w:qFormat/>
    <w:rPr>
      <w:rFonts w:ascii="Times New Roman" w:hAnsi="Times New Roman" w:eastAsia="宋体" w:cs="Times New Roman"/>
      <w:szCs w:val="21"/>
      <w:shd w:val="clear" w:color="auto" w:fill="000080"/>
    </w:rPr>
  </w:style>
  <w:style w:type="paragraph" w:styleId="884" w:customStyle="1">
    <w:name w:val="批注文字1"/>
    <w:basedOn w:val="676"/>
    <w:link w:val="885"/>
    <w:uiPriority w:val="0"/>
    <w:unhideWhenUsed/>
    <w:qFormat/>
    <w:pPr>
      <w:jc w:val="left"/>
    </w:pPr>
  </w:style>
  <w:style w:type="character" w:styleId="885" w:customStyle="1">
    <w:name w:val="批注文字 Char"/>
    <w:basedOn w:val="868"/>
    <w:link w:val="884"/>
    <w:uiPriority w:val="99"/>
    <w:semiHidden/>
    <w:qFormat/>
  </w:style>
  <w:style w:type="paragraph" w:styleId="886" w:customStyle="1">
    <w:name w:val="正文文本 31"/>
    <w:basedOn w:val="676"/>
    <w:link w:val="887"/>
    <w:uiPriority w:val="0"/>
    <w:qFormat/>
    <w:rPr>
      <w:rFonts w:ascii="仿宋_GB2312" w:hAnsi="Arial" w:eastAsia="仿宋_GB2312" w:cs="Times New Roman"/>
      <w:sz w:val="32"/>
      <w:szCs w:val="32"/>
    </w:rPr>
  </w:style>
  <w:style w:type="character" w:styleId="887" w:customStyle="1">
    <w:name w:val="正文文本 3 Char"/>
    <w:link w:val="886"/>
    <w:uiPriority w:val="0"/>
    <w:qFormat/>
    <w:rPr>
      <w:rFonts w:ascii="仿宋_GB2312" w:hAnsi="Arial" w:eastAsia="仿宋_GB2312" w:cs="Times New Roman"/>
      <w:sz w:val="32"/>
      <w:szCs w:val="32"/>
    </w:rPr>
  </w:style>
  <w:style w:type="paragraph" w:styleId="888" w:customStyle="1">
    <w:name w:val="正文文本11"/>
    <w:basedOn w:val="676"/>
    <w:link w:val="889"/>
    <w:uiPriority w:val="0"/>
    <w:qFormat/>
    <w:rPr>
      <w:rFonts w:ascii="楷体_GB2312" w:hAnsi="Arial" w:eastAsia="楷体_GB2312" w:cs="Times New Roman"/>
      <w:sz w:val="28"/>
      <w:szCs w:val="28"/>
    </w:rPr>
  </w:style>
  <w:style w:type="character" w:styleId="889" w:customStyle="1">
    <w:name w:val="正文文本 Char"/>
    <w:link w:val="888"/>
    <w:uiPriority w:val="0"/>
    <w:qFormat/>
    <w:rPr>
      <w:rFonts w:ascii="楷体_GB2312" w:hAnsi="Arial" w:eastAsia="楷体_GB2312" w:cs="Times New Roman"/>
      <w:sz w:val="28"/>
      <w:szCs w:val="28"/>
    </w:rPr>
  </w:style>
  <w:style w:type="paragraph" w:styleId="890" w:customStyle="1">
    <w:name w:val="正文文本缩进111"/>
    <w:basedOn w:val="676"/>
    <w:next w:val="891"/>
    <w:link w:val="892"/>
    <w:uiPriority w:val="0"/>
    <w:unhideWhenUsed/>
    <w:qFormat/>
    <w:pPr>
      <w:ind w:left="420"/>
      <w:spacing w:after="120"/>
    </w:pPr>
  </w:style>
  <w:style w:type="paragraph" w:styleId="891" w:customStyle="1">
    <w:name w:val="寄信人地址11"/>
    <w:basedOn w:val="676"/>
    <w:uiPriority w:val="0"/>
    <w:qFormat/>
    <w:rPr>
      <w:rFonts w:ascii="Arial" w:hAnsi="Arial" w:eastAsia="宋体" w:cs="宋体"/>
    </w:rPr>
  </w:style>
  <w:style w:type="character" w:styleId="892" w:customStyle="1">
    <w:name w:val="正文文本缩进 Char"/>
    <w:basedOn w:val="868"/>
    <w:link w:val="890"/>
    <w:uiPriority w:val="99"/>
    <w:semiHidden/>
    <w:qFormat/>
  </w:style>
  <w:style w:type="paragraph" w:styleId="893" w:customStyle="1">
    <w:name w:val="列表 21"/>
    <w:basedOn w:val="676"/>
    <w:uiPriority w:val="0"/>
    <w:qFormat/>
    <w:pPr>
      <w:ind w:left="100" w:hanging="200"/>
    </w:pPr>
    <w:rPr>
      <w:rFonts w:ascii="Times New Roman" w:hAnsi="Times New Roman" w:eastAsia="宋体" w:cs="Times New Roman"/>
      <w:szCs w:val="21"/>
    </w:rPr>
  </w:style>
  <w:style w:type="paragraph" w:styleId="894" w:customStyle="1">
    <w:name w:val="索引 411"/>
    <w:basedOn w:val="676"/>
    <w:next w:val="676"/>
    <w:uiPriority w:val="0"/>
    <w:semiHidden/>
    <w:qFormat/>
    <w:pPr>
      <w:ind w:left="1260"/>
    </w:pPr>
    <w:rPr>
      <w:rFonts w:ascii="Calibri" w:hAnsi="Calibri" w:eastAsia="Calibri" w:cs="宋体"/>
      <w:sz w:val="20"/>
      <w:lang w:val="zh-CN"/>
    </w:rPr>
  </w:style>
  <w:style w:type="paragraph" w:styleId="895" w:customStyle="1">
    <w:name w:val="目录 51"/>
    <w:basedOn w:val="676"/>
    <w:next w:val="676"/>
    <w:uiPriority w:val="0"/>
    <w:semiHidden/>
    <w:qFormat/>
    <w:pPr>
      <w:ind w:left="840"/>
      <w:jc w:val="left"/>
    </w:pPr>
    <w:rPr>
      <w:rFonts w:ascii="Times New Roman" w:hAnsi="Times New Roman" w:eastAsia="宋体" w:cs="Times New Roman"/>
      <w:szCs w:val="21"/>
    </w:rPr>
  </w:style>
  <w:style w:type="paragraph" w:styleId="896" w:customStyle="1">
    <w:name w:val="目录 31"/>
    <w:basedOn w:val="676"/>
    <w:next w:val="676"/>
    <w:uiPriority w:val="0"/>
    <w:semiHidden/>
    <w:qFormat/>
    <w:pPr>
      <w:ind w:left="420"/>
      <w:jc w:val="left"/>
    </w:pPr>
    <w:rPr>
      <w:rFonts w:ascii="Times New Roman" w:hAnsi="Times New Roman" w:eastAsia="宋体" w:cs="Times New Roman"/>
      <w:i/>
      <w:iCs/>
      <w:szCs w:val="24"/>
    </w:rPr>
  </w:style>
  <w:style w:type="paragraph" w:styleId="897" w:customStyle="1">
    <w:name w:val="纯文本11"/>
    <w:basedOn w:val="676"/>
    <w:link w:val="898"/>
    <w:uiPriority w:val="0"/>
    <w:qFormat/>
    <w:rPr>
      <w:rFonts w:ascii="宋体" w:hAnsi="Courier New" w:eastAsia="宋体" w:cs="Courier New"/>
      <w:szCs w:val="21"/>
    </w:rPr>
  </w:style>
  <w:style w:type="character" w:styleId="898" w:customStyle="1">
    <w:name w:val="纯文本 Char"/>
    <w:link w:val="897"/>
    <w:uiPriority w:val="0"/>
    <w:qFormat/>
    <w:rPr>
      <w:rFonts w:ascii="宋体" w:hAnsi="Courier New" w:eastAsia="宋体" w:cs="Courier New"/>
      <w:szCs w:val="21"/>
    </w:rPr>
  </w:style>
  <w:style w:type="paragraph" w:styleId="899" w:customStyle="1">
    <w:name w:val="目录 81"/>
    <w:basedOn w:val="676"/>
    <w:next w:val="676"/>
    <w:uiPriority w:val="0"/>
    <w:semiHidden/>
    <w:qFormat/>
    <w:pPr>
      <w:ind w:left="1470"/>
      <w:jc w:val="left"/>
    </w:pPr>
    <w:rPr>
      <w:rFonts w:ascii="Times New Roman" w:hAnsi="Times New Roman" w:eastAsia="宋体" w:cs="Times New Roman"/>
      <w:szCs w:val="21"/>
    </w:rPr>
  </w:style>
  <w:style w:type="paragraph" w:styleId="900" w:customStyle="1">
    <w:name w:val="日期1"/>
    <w:basedOn w:val="676"/>
    <w:next w:val="676"/>
    <w:link w:val="901"/>
    <w:uiPriority w:val="0"/>
    <w:qFormat/>
    <w:rPr>
      <w:rFonts w:ascii="Times New Roman" w:hAnsi="Times New Roman" w:eastAsia="宋体" w:cs="Times New Roman"/>
      <w:sz w:val="24"/>
      <w:szCs w:val="24"/>
    </w:rPr>
  </w:style>
  <w:style w:type="character" w:styleId="901" w:customStyle="1">
    <w:name w:val="日期 Char"/>
    <w:link w:val="900"/>
    <w:uiPriority w:val="0"/>
    <w:qFormat/>
    <w:rPr>
      <w:rFonts w:ascii="Times New Roman" w:hAnsi="Times New Roman" w:eastAsia="宋体" w:cs="Times New Roman"/>
      <w:sz w:val="24"/>
      <w:szCs w:val="24"/>
    </w:rPr>
  </w:style>
  <w:style w:type="paragraph" w:styleId="902" w:customStyle="1">
    <w:name w:val="正文文本缩进 21"/>
    <w:basedOn w:val="676"/>
    <w:link w:val="903"/>
    <w:uiPriority w:val="0"/>
    <w:qFormat/>
    <w:pPr>
      <w:ind w:left="630" w:firstLine="645"/>
    </w:pPr>
    <w:rPr>
      <w:rFonts w:ascii="Arial" w:hAnsi="Arial" w:eastAsia="仿宋_GB2312" w:cs="Arial"/>
      <w:sz w:val="32"/>
      <w:szCs w:val="32"/>
    </w:rPr>
  </w:style>
  <w:style w:type="character" w:styleId="903" w:customStyle="1">
    <w:name w:val="正文文本缩进 2 Char"/>
    <w:link w:val="902"/>
    <w:uiPriority w:val="0"/>
    <w:qFormat/>
    <w:rPr>
      <w:rFonts w:ascii="Arial" w:hAnsi="Arial" w:eastAsia="仿宋_GB2312" w:cs="Arial"/>
      <w:sz w:val="32"/>
      <w:szCs w:val="32"/>
    </w:rPr>
  </w:style>
  <w:style w:type="paragraph" w:styleId="904" w:customStyle="1">
    <w:name w:val="批注框文本1"/>
    <w:basedOn w:val="676"/>
    <w:link w:val="905"/>
    <w:uiPriority w:val="0"/>
    <w:semiHidden/>
    <w:qFormat/>
    <w:rPr>
      <w:rFonts w:ascii="Times New Roman" w:hAnsi="Times New Roman" w:eastAsia="宋体" w:cs="Times New Roman"/>
      <w:sz w:val="18"/>
      <w:szCs w:val="18"/>
    </w:rPr>
  </w:style>
  <w:style w:type="character" w:styleId="905" w:customStyle="1">
    <w:name w:val="批注框文本 Char"/>
    <w:link w:val="904"/>
    <w:uiPriority w:val="0"/>
    <w:semiHidden/>
    <w:qFormat/>
    <w:rPr>
      <w:rFonts w:ascii="Times New Roman" w:hAnsi="Times New Roman" w:eastAsia="宋体" w:cs="Times New Roman"/>
      <w:sz w:val="18"/>
      <w:szCs w:val="18"/>
    </w:rPr>
  </w:style>
  <w:style w:type="paragraph" w:styleId="906" w:customStyle="1">
    <w:name w:val="页脚1"/>
    <w:basedOn w:val="676"/>
    <w:link w:val="90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7" w:customStyle="1">
    <w:name w:val="页脚 Char"/>
    <w:link w:val="906"/>
    <w:uiPriority w:val="0"/>
    <w:qFormat/>
    <w:rPr>
      <w:rFonts w:ascii="Times New Roman" w:hAnsi="Times New Roman" w:eastAsia="宋体" w:cs="Times New Roman"/>
      <w:sz w:val="18"/>
      <w:szCs w:val="18"/>
    </w:rPr>
  </w:style>
  <w:style w:type="paragraph" w:styleId="908" w:customStyle="1">
    <w:name w:val="页眉1"/>
    <w:basedOn w:val="676"/>
    <w:link w:val="90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9" w:customStyle="1">
    <w:name w:val="页眉 Char"/>
    <w:link w:val="908"/>
    <w:uiPriority w:val="0"/>
    <w:qFormat/>
    <w:rPr>
      <w:rFonts w:ascii="Times New Roman" w:hAnsi="Times New Roman" w:eastAsia="宋体" w:cs="Times New Roman"/>
      <w:sz w:val="18"/>
      <w:szCs w:val="18"/>
    </w:rPr>
  </w:style>
  <w:style w:type="paragraph" w:styleId="910" w:customStyle="1">
    <w:name w:val="目录 11"/>
    <w:basedOn w:val="676"/>
    <w:next w:val="67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1" w:customStyle="1">
    <w:name w:val="目录 41"/>
    <w:basedOn w:val="676"/>
    <w:next w:val="676"/>
    <w:uiPriority w:val="0"/>
    <w:semiHidden/>
    <w:qFormat/>
    <w:pPr>
      <w:ind w:left="630"/>
      <w:jc w:val="left"/>
    </w:pPr>
    <w:rPr>
      <w:rFonts w:ascii="Times New Roman" w:hAnsi="Times New Roman" w:eastAsia="宋体" w:cs="Times New Roman"/>
      <w:szCs w:val="21"/>
    </w:rPr>
  </w:style>
  <w:style w:type="paragraph" w:styleId="912" w:customStyle="1">
    <w:name w:val="列表1"/>
    <w:basedOn w:val="676"/>
    <w:uiPriority w:val="0"/>
    <w:qFormat/>
    <w:pPr>
      <w:ind w:left="200" w:hanging="200"/>
    </w:pPr>
    <w:rPr>
      <w:rFonts w:ascii="Times New Roman" w:hAnsi="Times New Roman" w:eastAsia="宋体" w:cs="Times New Roman"/>
      <w:szCs w:val="21"/>
    </w:rPr>
  </w:style>
  <w:style w:type="paragraph" w:styleId="913" w:customStyle="1">
    <w:name w:val="目录 61"/>
    <w:basedOn w:val="676"/>
    <w:next w:val="676"/>
    <w:uiPriority w:val="0"/>
    <w:semiHidden/>
    <w:qFormat/>
    <w:pPr>
      <w:ind w:left="1050"/>
      <w:jc w:val="left"/>
    </w:pPr>
    <w:rPr>
      <w:rFonts w:ascii="Times New Roman" w:hAnsi="Times New Roman" w:eastAsia="宋体" w:cs="Times New Roman"/>
      <w:szCs w:val="21"/>
    </w:rPr>
  </w:style>
  <w:style w:type="paragraph" w:styleId="914" w:customStyle="1">
    <w:name w:val="正文文本缩进 31"/>
    <w:basedOn w:val="676"/>
    <w:link w:val="915"/>
    <w:uiPriority w:val="0"/>
    <w:qFormat/>
    <w:pPr>
      <w:ind w:left="645" w:firstLine="645"/>
    </w:pPr>
    <w:rPr>
      <w:rFonts w:ascii="Arial" w:hAnsi="Arial" w:eastAsia="仿宋_GB2312" w:cs="Arial"/>
      <w:color w:val="ffff00"/>
      <w:sz w:val="32"/>
      <w:szCs w:val="32"/>
    </w:rPr>
  </w:style>
  <w:style w:type="character" w:styleId="915" w:customStyle="1">
    <w:name w:val="正文文本缩进 3 Char"/>
    <w:link w:val="914"/>
    <w:uiPriority w:val="0"/>
    <w:qFormat/>
    <w:rPr>
      <w:rFonts w:ascii="Arial" w:hAnsi="Arial" w:eastAsia="仿宋_GB2312" w:cs="Arial"/>
      <w:color w:val="ffff00"/>
      <w:sz w:val="32"/>
      <w:szCs w:val="32"/>
    </w:rPr>
  </w:style>
  <w:style w:type="paragraph" w:styleId="916" w:customStyle="1">
    <w:name w:val="图表目录1"/>
    <w:basedOn w:val="676"/>
    <w:next w:val="676"/>
    <w:uiPriority w:val="0"/>
    <w:semiHidden/>
    <w:qFormat/>
    <w:pPr>
      <w:ind w:left="840" w:hanging="420"/>
    </w:pPr>
    <w:rPr>
      <w:rFonts w:ascii="Times New Roman" w:hAnsi="Times New Roman" w:eastAsia="宋体" w:cs="Times New Roman"/>
      <w:szCs w:val="21"/>
    </w:rPr>
  </w:style>
  <w:style w:type="paragraph" w:styleId="917" w:customStyle="1">
    <w:name w:val="目录 21"/>
    <w:basedOn w:val="676"/>
    <w:next w:val="676"/>
    <w:uiPriority w:val="0"/>
    <w:semiHidden/>
    <w:qFormat/>
    <w:pPr>
      <w:ind w:left="210"/>
      <w:jc w:val="left"/>
    </w:pPr>
    <w:rPr>
      <w:rFonts w:ascii="Times New Roman" w:hAnsi="Times New Roman" w:eastAsia="宋体" w:cs="Times New Roman"/>
      <w:smallCaps/>
      <w:szCs w:val="24"/>
    </w:rPr>
  </w:style>
  <w:style w:type="paragraph" w:styleId="918" w:customStyle="1">
    <w:name w:val="目录 91"/>
    <w:basedOn w:val="676"/>
    <w:next w:val="676"/>
    <w:uiPriority w:val="0"/>
    <w:semiHidden/>
    <w:qFormat/>
    <w:pPr>
      <w:ind w:left="1680"/>
      <w:jc w:val="left"/>
    </w:pPr>
    <w:rPr>
      <w:rFonts w:ascii="Times New Roman" w:hAnsi="Times New Roman" w:eastAsia="宋体" w:cs="Times New Roman"/>
      <w:szCs w:val="21"/>
    </w:rPr>
  </w:style>
  <w:style w:type="paragraph" w:styleId="919" w:customStyle="1">
    <w:name w:val="正文文本 21"/>
    <w:basedOn w:val="676"/>
    <w:link w:val="920"/>
    <w:uiPriority w:val="0"/>
    <w:qFormat/>
    <w:pPr>
      <w:jc w:val="center"/>
      <w:widowControl/>
    </w:pPr>
    <w:rPr>
      <w:rFonts w:ascii="楷体_GB2312" w:hAnsi="Times New Roman" w:eastAsia="楷体_GB2312" w:cs="Times New Roman"/>
      <w:sz w:val="28"/>
      <w:szCs w:val="28"/>
    </w:rPr>
  </w:style>
  <w:style w:type="character" w:styleId="920" w:customStyle="1">
    <w:name w:val="正文文本 2 Char"/>
    <w:link w:val="919"/>
    <w:uiPriority w:val="0"/>
    <w:qFormat/>
    <w:rPr>
      <w:rFonts w:ascii="楷体_GB2312" w:hAnsi="Times New Roman" w:eastAsia="楷体_GB2312" w:cs="Times New Roman"/>
      <w:sz w:val="28"/>
      <w:szCs w:val="28"/>
    </w:rPr>
  </w:style>
  <w:style w:type="paragraph" w:styleId="921" w:customStyle="1">
    <w:name w:val="普通(网站)1"/>
    <w:basedOn w:val="676"/>
    <w:uiPriority w:val="99"/>
    <w:qFormat/>
    <w:pPr>
      <w:jc w:val="left"/>
      <w:spacing w:before="100" w:beforeAutospacing="1" w:after="100" w:afterAutospacing="1"/>
      <w:widowControl/>
    </w:pPr>
    <w:rPr>
      <w:rFonts w:ascii="宋体" w:hAnsi="宋体" w:eastAsia="宋体" w:cs="宋体"/>
      <w:sz w:val="24"/>
      <w:szCs w:val="24"/>
    </w:rPr>
  </w:style>
  <w:style w:type="paragraph" w:styleId="922" w:customStyle="1">
    <w:name w:val="索引 11"/>
    <w:basedOn w:val="676"/>
    <w:next w:val="676"/>
    <w:uiPriority w:val="0"/>
    <w:semiHidden/>
    <w:qFormat/>
    <w:pPr>
      <w:spacing w:line="240" w:lineRule="atLeast"/>
    </w:pPr>
    <w:rPr>
      <w:rFonts w:ascii="Times New Roman" w:hAnsi="Times New Roman" w:eastAsia="宋体" w:cs="Times New Roman"/>
      <w:b/>
      <w:bCs/>
      <w:szCs w:val="21"/>
    </w:rPr>
  </w:style>
  <w:style w:type="paragraph" w:styleId="923" w:customStyle="1">
    <w:name w:val="批注主题1"/>
    <w:basedOn w:val="884"/>
    <w:next w:val="884"/>
    <w:link w:val="924"/>
    <w:uiPriority w:val="0"/>
    <w:semiHidden/>
    <w:qFormat/>
    <w:rPr>
      <w:rFonts w:ascii="Times New Roman" w:hAnsi="Times New Roman" w:eastAsia="宋体" w:cs="Times New Roman"/>
      <w:b/>
      <w:bCs/>
      <w:szCs w:val="21"/>
    </w:rPr>
  </w:style>
  <w:style w:type="character" w:styleId="924" w:customStyle="1">
    <w:name w:val="批注主题 Char"/>
    <w:link w:val="923"/>
    <w:uiPriority w:val="0"/>
    <w:semiHidden/>
    <w:qFormat/>
    <w:rPr>
      <w:rFonts w:ascii="Times New Roman" w:hAnsi="Times New Roman" w:eastAsia="宋体" w:cs="Times New Roman"/>
      <w:b/>
      <w:bCs/>
      <w:szCs w:val="21"/>
    </w:rPr>
  </w:style>
  <w:style w:type="paragraph" w:styleId="925" w:customStyle="1">
    <w:name w:val="正文首行缩进1"/>
    <w:basedOn w:val="676"/>
    <w:link w:val="926"/>
    <w:uiPriority w:val="0"/>
    <w:qFormat/>
    <w:pPr>
      <w:ind w:firstLine="200"/>
      <w:spacing w:line="360" w:lineRule="auto"/>
    </w:pPr>
    <w:rPr>
      <w:rFonts w:ascii="仿宋_GB2312" w:hAnsi="Times New Roman" w:eastAsia="仿宋_GB2312" w:cs="Times New Roman"/>
      <w:sz w:val="30"/>
      <w:szCs w:val="30"/>
    </w:rPr>
  </w:style>
  <w:style w:type="character" w:styleId="926" w:customStyle="1">
    <w:name w:val="正文首行缩进 Char"/>
    <w:link w:val="925"/>
    <w:uiPriority w:val="0"/>
    <w:qFormat/>
    <w:rPr>
      <w:rFonts w:ascii="仿宋_GB2312" w:hAnsi="Times New Roman" w:eastAsia="仿宋_GB2312" w:cs="Times New Roman"/>
      <w:sz w:val="30"/>
      <w:szCs w:val="30"/>
    </w:rPr>
  </w:style>
  <w:style w:type="paragraph" w:styleId="927" w:customStyle="1">
    <w:name w:val="正文首行缩进 21"/>
    <w:basedOn w:val="890"/>
    <w:next w:val="676"/>
    <w:link w:val="928"/>
    <w:uiPriority w:val="0"/>
    <w:qFormat/>
    <w:pPr>
      <w:ind w:left="0" w:firstLine="420"/>
      <w:spacing w:after="0" w:line="360" w:lineRule="auto"/>
    </w:pPr>
    <w:rPr>
      <w:rFonts w:ascii="宋体" w:hAnsi="宋体" w:eastAsia="宋体" w:cs="Times New Roman"/>
      <w:szCs w:val="20"/>
    </w:rPr>
  </w:style>
  <w:style w:type="character" w:styleId="928" w:customStyle="1">
    <w:name w:val="正文首行缩进 2 Char"/>
    <w:link w:val="927"/>
    <w:uiPriority w:val="0"/>
    <w:qFormat/>
    <w:rPr>
      <w:rFonts w:ascii="宋体" w:hAnsi="宋体" w:eastAsia="宋体" w:cs="Times New Roman"/>
      <w:szCs w:val="20"/>
    </w:rPr>
  </w:style>
  <w:style w:type="table" w:styleId="929" w:customStyle="1">
    <w:name w:val="网格型11"/>
    <w:basedOn w:val="869"/>
    <w:uiPriority w:val="0"/>
    <w:qFormat/>
    <w:pPr>
      <w:jc w:val="both"/>
      <w:widowControl w:val="off"/>
    </w:pPr>
    <w:rPr>
      <w:rFonts w:ascii="Times New Roman" w:hAnsi="Times New Roman" w:eastAsia="宋体" w:cs="Times New Roman"/>
      <w:sz w:val="20"/>
      <w:szCs w:val="20"/>
    </w:rPr>
    <w:tblPr/>
  </w:style>
  <w:style w:type="character" w:styleId="930" w:customStyle="1">
    <w:name w:val="要点1"/>
    <w:link w:val="676"/>
    <w:uiPriority w:val="0"/>
    <w:qFormat/>
    <w:rPr>
      <w:b/>
      <w:bCs/>
    </w:rPr>
  </w:style>
  <w:style w:type="character" w:styleId="931" w:customStyle="1">
    <w:name w:val="页码1"/>
    <w:link w:val="676"/>
    <w:uiPriority w:val="0"/>
    <w:qFormat/>
  </w:style>
  <w:style w:type="character" w:styleId="932" w:customStyle="1">
    <w:name w:val="已访问的超链接1"/>
    <w:link w:val="676"/>
    <w:uiPriority w:val="0"/>
    <w:qFormat/>
    <w:rPr>
      <w:color w:val="800080"/>
      <w:u w:val="single"/>
    </w:rPr>
  </w:style>
  <w:style w:type="character" w:styleId="933" w:customStyle="1">
    <w:name w:val="强调1"/>
    <w:link w:val="676"/>
    <w:uiPriority w:val="0"/>
    <w:qFormat/>
    <w:rPr>
      <w:i/>
    </w:rPr>
  </w:style>
  <w:style w:type="character" w:styleId="934" w:customStyle="1">
    <w:name w:val="超链接1"/>
    <w:link w:val="676"/>
    <w:uiPriority w:val="0"/>
    <w:qFormat/>
    <w:rPr>
      <w:color w:val="0000ff"/>
      <w:u w:val="single"/>
    </w:rPr>
  </w:style>
  <w:style w:type="character" w:styleId="935" w:customStyle="1">
    <w:name w:val="批注引用1"/>
    <w:link w:val="676"/>
    <w:uiPriority w:val="0"/>
    <w:semiHidden/>
    <w:qFormat/>
    <w:rPr>
      <w:sz w:val="21"/>
      <w:szCs w:val="21"/>
    </w:rPr>
  </w:style>
  <w:style w:type="paragraph" w:styleId="936" w:customStyle="1">
    <w:name w:val="索引 41"/>
    <w:basedOn w:val="676"/>
    <w:next w:val="676"/>
    <w:uiPriority w:val="0"/>
    <w:semiHidden/>
    <w:qFormat/>
    <w:pPr>
      <w:ind w:left="1260"/>
    </w:pPr>
    <w:rPr>
      <w:rFonts w:ascii="Calibri" w:hAnsi="Calibri" w:eastAsia="Calibri" w:cs="宋体"/>
      <w:sz w:val="20"/>
      <w:lang w:val="zh-CN"/>
    </w:rPr>
  </w:style>
  <w:style w:type="paragraph" w:styleId="937" w:customStyle="1">
    <w:name w:val="正文文本缩进1"/>
    <w:basedOn w:val="676"/>
    <w:next w:val="938"/>
    <w:uiPriority w:val="0"/>
    <w:unhideWhenUsed/>
    <w:qFormat/>
    <w:pPr>
      <w:ind w:left="420"/>
      <w:spacing w:after="120"/>
    </w:pPr>
  </w:style>
  <w:style w:type="paragraph" w:styleId="938" w:customStyle="1">
    <w:name w:val="正文文本首行缩进 2"/>
    <w:basedOn w:val="937"/>
    <w:uiPriority w:val="0"/>
    <w:qFormat/>
    <w:pPr>
      <w:ind w:left="0" w:firstLine="420"/>
      <w:spacing w:after="0" w:line="360" w:lineRule="auto"/>
    </w:pPr>
    <w:rPr>
      <w:rFonts w:ascii="宋体" w:hAnsi="宋体"/>
      <w:sz w:val="20"/>
      <w:szCs w:val="20"/>
      <w:lang w:val="en-US" w:eastAsia="en-US"/>
    </w:rPr>
  </w:style>
  <w:style w:type="character" w:styleId="939" w:customStyle="1">
    <w:name w:val="font5 Char"/>
    <w:link w:val="676"/>
    <w:uiPriority w:val="0"/>
    <w:qFormat/>
    <w:rPr>
      <w:rFonts w:ascii="宋体" w:hAnsi="宋体" w:eastAsia="宋体"/>
      <w:sz w:val="28"/>
      <w:szCs w:val="28"/>
      <w:lang w:val="en-US" w:eastAsia="zh-CN" w:bidi="ar-SA"/>
    </w:rPr>
  </w:style>
  <w:style w:type="character" w:styleId="940" w:customStyle="1">
    <w:name w:val="二级目录 Char"/>
    <w:link w:val="941"/>
    <w:uiPriority w:val="0"/>
    <w:qFormat/>
    <w:rPr>
      <w:b/>
      <w:sz w:val="30"/>
      <w:szCs w:val="28"/>
    </w:rPr>
  </w:style>
  <w:style w:type="paragraph" w:styleId="941" w:customStyle="1">
    <w:name w:val="二级目录"/>
    <w:next w:val="676"/>
    <w:link w:val="94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2" w:customStyle="1">
    <w:name w:val="列出段落 Char"/>
    <w:link w:val="943"/>
    <w:uiPriority w:val="0"/>
    <w:qFormat/>
    <w:rPr>
      <w:rFonts w:ascii="Calibri" w:hAnsi="Calibri"/>
      <w:sz w:val="24"/>
      <w:szCs w:val="24"/>
      <w:lang w:eastAsia="en-US" w:bidi="en-US"/>
    </w:rPr>
  </w:style>
  <w:style w:type="paragraph" w:styleId="943" w:customStyle="1">
    <w:name w:val="列出段落1"/>
    <w:basedOn w:val="676"/>
    <w:link w:val="942"/>
    <w:uiPriority w:val="0"/>
    <w:qFormat/>
    <w:pPr>
      <w:contextualSpacing/>
      <w:ind w:left="720"/>
      <w:jc w:val="left"/>
      <w:widowControl/>
    </w:pPr>
    <w:rPr>
      <w:rFonts w:ascii="Calibri" w:hAnsi="Calibri"/>
      <w:sz w:val="24"/>
      <w:szCs w:val="24"/>
      <w:lang w:eastAsia="en-US" w:bidi="en-US"/>
    </w:rPr>
  </w:style>
  <w:style w:type="paragraph" w:styleId="944" w:customStyle="1">
    <w:name w:val="Body Text(ch)"/>
    <w:basedOn w:val="676"/>
    <w:next w:val="888"/>
    <w:uiPriority w:val="0"/>
    <w:qFormat/>
    <w:pPr>
      <w:spacing w:after="120"/>
    </w:pPr>
    <w:rPr>
      <w:rFonts w:ascii="宋体" w:hAnsi="Arial" w:eastAsia="宋体" w:cs="Times New Roman"/>
      <w:bCs/>
      <w:iCs/>
      <w:szCs w:val="24"/>
    </w:rPr>
  </w:style>
  <w:style w:type="paragraph" w:styleId="945" w:customStyle="1">
    <w:name w:val="xl27"/>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6" w:customStyle="1">
    <w:name w:val="xl2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customStyle="1">
    <w:name w:val="Char"/>
    <w:basedOn w:val="676"/>
    <w:uiPriority w:val="0"/>
    <w:qFormat/>
    <w:pPr>
      <w:ind w:firstLine="200"/>
      <w:tabs>
        <w:tab w:val="left" w:pos="360" w:leader="none"/>
      </w:tabs>
    </w:pPr>
    <w:rPr>
      <w:rFonts w:ascii="Times New Roman" w:hAnsi="Times New Roman" w:eastAsia="宋体" w:cs="Times New Roman"/>
      <w:sz w:val="28"/>
      <w:szCs w:val="30"/>
    </w:rPr>
  </w:style>
  <w:style w:type="paragraph" w:styleId="948" w:customStyle="1">
    <w:name w:val=" Char"/>
    <w:basedOn w:val="882"/>
    <w:uiPriority w:val="0"/>
    <w:qFormat/>
    <w:rPr>
      <w:rFonts w:ascii="Tahoma" w:hAnsi="Tahoma"/>
      <w:sz w:val="24"/>
      <w:szCs w:val="24"/>
    </w:rPr>
  </w:style>
  <w:style w:type="paragraph" w:styleId="949" w:customStyle="1">
    <w:name w:val="普通正文"/>
    <w:basedOn w:val="676"/>
    <w:uiPriority w:val="0"/>
    <w:qFormat/>
    <w:pPr>
      <w:ind w:firstLine="480"/>
      <w:jc w:val="left"/>
      <w:spacing w:before="120" w:after="120" w:line="360" w:lineRule="auto"/>
    </w:pPr>
    <w:rPr>
      <w:rFonts w:ascii="Arial" w:hAnsi="Arial" w:eastAsia="宋体" w:cs="Times New Roman"/>
      <w:sz w:val="24"/>
      <w:szCs w:val="24"/>
    </w:rPr>
  </w:style>
  <w:style w:type="paragraph" w:styleId="950" w:customStyle="1">
    <w:name w:val="table_lines"/>
    <w:basedOn w:val="676"/>
    <w:uiPriority w:val="0"/>
    <w:qFormat/>
    <w:pPr>
      <w:jc w:val="left"/>
      <w:widowControl/>
    </w:pPr>
    <w:rPr>
      <w:rFonts w:ascii="Times New Roman" w:hAnsi="Times New Roman" w:eastAsia="宋体" w:cs="Times New Roman"/>
      <w:sz w:val="20"/>
      <w:szCs w:val="20"/>
      <w:lang w:val="de-DE" w:eastAsia="de-DE"/>
    </w:rPr>
  </w:style>
  <w:style w:type="paragraph" w:styleId="95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2" w:customStyle="1">
    <w:name w:val="font7"/>
    <w:basedOn w:val="67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3" w:customStyle="1">
    <w:name w:val=" Char Char Char Char"/>
    <w:basedOn w:val="882"/>
    <w:uiPriority w:val="0"/>
    <w:qFormat/>
    <w:pPr>
      <w:spacing w:line="360" w:lineRule="auto"/>
    </w:pPr>
    <w:rPr>
      <w:rFonts w:ascii="Tahoma" w:hAnsi="Tahoma"/>
      <w:sz w:val="24"/>
      <w:szCs w:val="24"/>
    </w:rPr>
  </w:style>
  <w:style w:type="paragraph" w:styleId="954">
    <w:name w:val="List Paragraph"/>
    <w:basedOn w:val="676"/>
    <w:uiPriority w:val="0"/>
    <w:qFormat/>
    <w:pPr>
      <w:contextualSpacing/>
      <w:ind w:left="720"/>
      <w:jc w:val="left"/>
      <w:widowControl/>
    </w:pPr>
    <w:rPr>
      <w:rFonts w:ascii="Calibri" w:hAnsi="Calibri" w:eastAsia="宋体" w:cs="Times New Roman"/>
      <w:sz w:val="24"/>
      <w:szCs w:val="24"/>
      <w:lang w:eastAsia="en-US" w:bidi="en-US"/>
    </w:rPr>
  </w:style>
  <w:style w:type="paragraph" w:styleId="955" w:customStyle="1">
    <w:name w:val="4"/>
    <w:basedOn w:val="676"/>
    <w:next w:val="914"/>
    <w:uiPriority w:val="0"/>
    <w:qFormat/>
    <w:pPr>
      <w:ind w:firstLine="420"/>
      <w:spacing w:line="360" w:lineRule="auto"/>
    </w:pPr>
    <w:rPr>
      <w:rFonts w:ascii="Times New Roman" w:hAnsi="Times New Roman" w:eastAsia="宋体" w:cs="Times New Roman"/>
      <w:color w:val="ff0000"/>
      <w:sz w:val="24"/>
      <w:szCs w:val="24"/>
    </w:rPr>
  </w:style>
  <w:style w:type="paragraph" w:styleId="956" w:customStyle="1">
    <w:name w:val="普通 (Web)"/>
    <w:basedOn w:val="676"/>
    <w:uiPriority w:val="0"/>
    <w:qFormat/>
    <w:pPr>
      <w:jc w:val="left"/>
      <w:spacing w:before="100" w:beforeAutospacing="1" w:after="100" w:afterAutospacing="1"/>
      <w:widowControl/>
    </w:pPr>
    <w:rPr>
      <w:rFonts w:ascii="宋体" w:hAnsi="宋体" w:eastAsia="宋体" w:cs="Times New Roman"/>
      <w:sz w:val="24"/>
      <w:szCs w:val="24"/>
    </w:rPr>
  </w:style>
  <w:style w:type="paragraph" w:styleId="957" w:customStyle="1">
    <w:name w:val=" Char Char Char Char Char Char Char Char Char Char"/>
    <w:basedOn w:val="676"/>
    <w:uiPriority w:val="0"/>
    <w:qFormat/>
    <w:pPr>
      <w:spacing w:line="360" w:lineRule="auto"/>
    </w:pPr>
    <w:rPr>
      <w:rFonts w:ascii="Times New Roman" w:hAnsi="Times New Roman" w:eastAsia="宋体" w:cs="Times New Roman"/>
      <w:sz w:val="24"/>
      <w:szCs w:val="20"/>
    </w:rPr>
  </w:style>
  <w:style w:type="paragraph" w:styleId="958" w:customStyle="1">
    <w:name w:val="样式1"/>
    <w:basedOn w:val="676"/>
    <w:uiPriority w:val="0"/>
    <w:qFormat/>
    <w:pPr>
      <w:numPr>
        <w:ilvl w:val="0"/>
        <w:numId w:val="3"/>
      </w:numPr>
    </w:pPr>
    <w:rPr>
      <w:rFonts w:ascii="宋体" w:hAnsi="宋体" w:eastAsia="宋体" w:cs="Times New Roman"/>
      <w:szCs w:val="21"/>
    </w:rPr>
  </w:style>
  <w:style w:type="paragraph" w:styleId="959" w:customStyle="1">
    <w:name w:val="font6"/>
    <w:basedOn w:val="67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2" w:customStyle="1">
    <w:name w:val="标题3"/>
    <w:basedOn w:val="676"/>
    <w:next w:val="676"/>
    <w:uiPriority w:val="0"/>
    <w:qFormat/>
    <w:pPr>
      <w:ind w:firstLine="624"/>
      <w:spacing w:line="590" w:lineRule="atLeast"/>
    </w:pPr>
    <w:rPr>
      <w:rFonts w:ascii="方正黑体_GBK" w:hAnsi="Times New Roman" w:eastAsia="方正黑体_GBK" w:cs="Times New Roman"/>
      <w:sz w:val="32"/>
      <w:szCs w:val="32"/>
    </w:rPr>
  </w:style>
  <w:style w:type="paragraph" w:styleId="963" w:customStyle="1">
    <w:name w:val="xl24"/>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9"/>
    <w:basedOn w:val="67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5" w:customStyle="1">
    <w:name w:val="Char Char Char Char Char Char Char Char"/>
    <w:basedOn w:val="676"/>
    <w:uiPriority w:val="0"/>
    <w:qFormat/>
    <w:pPr>
      <w:jc w:val="left"/>
      <w:spacing w:after="160" w:line="240" w:lineRule="exact"/>
      <w:widowControl/>
    </w:pPr>
    <w:rPr>
      <w:rFonts w:ascii="Verdana" w:hAnsi="Verdana" w:eastAsia="宋体" w:cs="Times New Roman"/>
      <w:sz w:val="20"/>
      <w:szCs w:val="20"/>
      <w:lang w:eastAsia="en-US"/>
    </w:rPr>
  </w:style>
  <w:style w:type="paragraph" w:styleId="966" w:customStyle="1">
    <w:name w:val="xl2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7" w:customStyle="1">
    <w:name w:val=" Char Char Char Char Char Char Char Char"/>
    <w:basedOn w:val="676"/>
    <w:uiPriority w:val="0"/>
    <w:qFormat/>
    <w:pPr>
      <w:jc w:val="left"/>
      <w:spacing w:after="160" w:line="240" w:lineRule="exact"/>
      <w:widowControl/>
    </w:pPr>
    <w:rPr>
      <w:rFonts w:ascii="Verdana" w:hAnsi="Verdana" w:eastAsia="宋体" w:cs="Times New Roman"/>
      <w:sz w:val="20"/>
      <w:szCs w:val="20"/>
      <w:lang w:eastAsia="en-US"/>
    </w:rPr>
  </w:style>
  <w:style w:type="paragraph" w:styleId="968" w:customStyle="1">
    <w:name w:val="xl30"/>
    <w:basedOn w:val="67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9" w:customStyle="1">
    <w:name w:val="Char Char Char Char"/>
    <w:basedOn w:val="882"/>
    <w:uiPriority w:val="0"/>
    <w:qFormat/>
    <w:pPr>
      <w:spacing w:line="360" w:lineRule="auto"/>
    </w:pPr>
    <w:rPr>
      <w:rFonts w:ascii="Tahoma" w:hAnsi="Tahoma"/>
      <w:sz w:val="24"/>
      <w:szCs w:val="24"/>
    </w:rPr>
  </w:style>
  <w:style w:type="paragraph" w:styleId="970" w:customStyle="1">
    <w:name w:val="table_1stline"/>
    <w:basedOn w:val="676"/>
    <w:uiPriority w:val="0"/>
    <w:qFormat/>
    <w:pPr>
      <w:jc w:val="left"/>
      <w:spacing w:before="120"/>
      <w:widowControl/>
    </w:pPr>
    <w:rPr>
      <w:rFonts w:ascii="Times New Roman" w:hAnsi="Times New Roman" w:eastAsia="宋体" w:cs="Times New Roman"/>
      <w:bCs/>
      <w:sz w:val="20"/>
      <w:szCs w:val="20"/>
      <w:lang w:val="de-DE" w:eastAsia="de-DE"/>
    </w:rPr>
  </w:style>
  <w:style w:type="paragraph" w:styleId="971" w:customStyle="1">
    <w:name w:val="font5"/>
    <w:basedOn w:val="67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2" w:customStyle="1">
    <w:name w:val="标题1"/>
    <w:basedOn w:val="676"/>
    <w:next w:val="67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3"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7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75" w:customStyle="1">
    <w:name w:val="Table Normal"/>
    <w:uiPriority w:val="0"/>
    <w:qFormat/>
    <w:tblPr/>
  </w:style>
  <w:style w:type="paragraph" w:styleId="976" w:customStyle="1">
    <w:name w:val="正文文本 211"/>
    <w:basedOn w:val="676"/>
    <w:uiPriority w:val="99"/>
    <w:qFormat/>
    <w:pPr>
      <w:jc w:val="center"/>
    </w:pPr>
    <w:rPr>
      <w:b/>
      <w:bCs/>
      <w:sz w:val="20"/>
      <w:szCs w:val="20"/>
    </w:rPr>
  </w:style>
  <w:style w:type="paragraph" w:styleId="977" w:customStyle="1">
    <w:name w:val="正文文本1"/>
    <w:basedOn w:val="676"/>
    <w:next w:val="676"/>
    <w:uiPriority w:val="0"/>
    <w:semiHidden/>
    <w:qFormat/>
    <w:rPr>
      <w:rFonts w:ascii="Arial" w:hAnsi="Arial" w:eastAsia="Arial" w:cs="Arial"/>
      <w:sz w:val="21"/>
      <w:szCs w:val="21"/>
      <w:lang w:val="en-US" w:eastAsia="en-US" w:bidi="ar-SA"/>
    </w:rPr>
  </w:style>
  <w:style w:type="paragraph" w:styleId="978" w:customStyle="1">
    <w:name w:val="正文文本12"/>
    <w:basedOn w:val="676"/>
    <w:uiPriority w:val="1"/>
    <w:qFormat/>
    <w:pPr>
      <w:ind w:left="120"/>
    </w:pPr>
    <w:rPr>
      <w:rFonts w:ascii="宋体" w:hAnsi="宋体" w:eastAsia="宋体" w:cs="宋体"/>
      <w:sz w:val="21"/>
      <w:szCs w:val="21"/>
      <w:lang w:val="zh-CN" w:eastAsia="zh-CN" w:bidi="zh-CN"/>
    </w:rPr>
  </w:style>
  <w:style w:type="paragraph" w:styleId="979" w:customStyle="1">
    <w:name w:val="纯文本1"/>
    <w:basedOn w:val="676"/>
    <w:uiPriority w:val="0"/>
    <w:qFormat/>
    <w:rPr>
      <w:rFonts w:ascii="宋体" w:hAnsi="Courier New" w:cs="Courier New"/>
    </w:rPr>
  </w:style>
  <w:style w:type="table" w:styleId="980" w:customStyle="1">
    <w:name w:val="网格型1"/>
    <w:basedOn w:val="981"/>
    <w:uiPriority w:val="0"/>
    <w:qFormat/>
    <w:pPr>
      <w:jc w:val="both"/>
      <w:widowControl w:val="off"/>
    </w:pPr>
    <w:tblPr/>
  </w:style>
  <w:style w:type="table" w:styleId="981" w:customStyle="1">
    <w:name w:val="普通表格1"/>
    <w:uiPriority w:val="99"/>
    <w:unhideWhenUsed/>
    <w:qFormat/>
    <w:tblPr/>
  </w:style>
  <w:style w:type="paragraph" w:styleId="982" w:customStyle="1">
    <w:name w:val="正文首行缩进 211"/>
    <w:basedOn w:val="983"/>
    <w:next w:val="676"/>
    <w:uiPriority w:val="0"/>
    <w:qFormat/>
    <w:pPr>
      <w:ind w:left="0" w:firstLine="420"/>
      <w:spacing w:after="0" w:line="360" w:lineRule="auto"/>
    </w:pPr>
    <w:rPr>
      <w:rFonts w:ascii="宋体" w:hAnsi="宋体" w:eastAsia="宋体" w:cs="Times New Roman"/>
      <w:szCs w:val="20"/>
    </w:rPr>
  </w:style>
  <w:style w:type="paragraph" w:styleId="983" w:customStyle="1">
    <w:name w:val="正文文本缩进11"/>
    <w:basedOn w:val="676"/>
    <w:next w:val="984"/>
    <w:uiPriority w:val="0"/>
    <w:unhideWhenUsed/>
    <w:qFormat/>
    <w:pPr>
      <w:ind w:left="420"/>
      <w:spacing w:after="120"/>
    </w:pPr>
  </w:style>
  <w:style w:type="paragraph" w:styleId="984" w:customStyle="1">
    <w:name w:val="寄信人地址1"/>
    <w:basedOn w:val="676"/>
    <w:uiPriority w:val="0"/>
    <w:qFormat/>
    <w:rPr>
      <w:rFonts w:ascii="Arial" w:hAnsi="Arial" w:eastAsia="宋体" w:cs="宋体"/>
    </w:rPr>
  </w:style>
  <w:style w:type="paragraph" w:styleId="985"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986" w:customStyle="1">
    <w:name w:val="Table Text"/>
    <w:basedOn w:val="676"/>
    <w:uiPriority w:val="0"/>
    <w:semiHidden/>
    <w:qFormat/>
    <w:rPr>
      <w:rFonts w:ascii="宋体" w:hAnsi="宋体" w:eastAsia="宋体" w:cs="宋体"/>
    </w:rPr>
  </w:style>
  <w:style w:type="character" w:styleId="987" w:customStyle="1">
    <w:name w:val="font21"/>
    <w:basedOn w:val="686"/>
    <w:uiPriority w:val="0"/>
    <w:qFormat/>
    <w:rPr>
      <w:rFonts w:hint="default" w:ascii="Times New Roman" w:hAnsi="Times New Roman" w:cs="Times New Roman"/>
      <w:color w:val="000000"/>
      <w:sz w:val="22"/>
      <w:szCs w:val="22"/>
      <w:u w:val="none"/>
    </w:rPr>
  </w:style>
  <w:style w:type="character" w:styleId="988" w:customStyle="1">
    <w:name w:val="font31"/>
    <w:basedOn w:val="686"/>
    <w:uiPriority w:val="0"/>
    <w:qFormat/>
    <w:rPr>
      <w:rFonts w:hint="eastAsia" w:ascii="仿宋" w:hAnsi="仿宋" w:eastAsia="仿宋" w:cs="仿宋"/>
      <w:color w:val="000000"/>
      <w:sz w:val="22"/>
      <w:szCs w:val="22"/>
      <w:u w:val="none"/>
    </w:rPr>
  </w:style>
  <w:style w:type="numbering" w:styleId="12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班潇文</cp:lastModifiedBy>
  <cp:revision>7</cp:revision>
  <dcterms:created xsi:type="dcterms:W3CDTF">2023-03-27T07:28:00Z</dcterms:created>
  <dcterms:modified xsi:type="dcterms:W3CDTF">2026-07-03T08:10:26Z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2052-12.1.0.26895</vt:lpwstr>
  </property>
  <property fmtid="{D5CDD505-2E9C-101B-9397-08002B2CF9AE}" pid="4" name="ICV">
    <vt:lpwstr>736505A0813247C1B248968E2F05EFAC_13</vt:lpwstr>
  </property>
</Properties>
</file>