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22"/>
      </w:pPr>
      <w:r/>
      <w:r/>
    </w:p>
    <w:p>
      <w:pPr>
        <w:pStyle w:val="921"/>
        <w:jc w:val="center"/>
        <w:rPr>
          <w:rFonts w:eastAsia="黑体"/>
          <w:b/>
          <w:bCs/>
          <w:color w:val="000000"/>
          <w:sz w:val="84"/>
        </w:rPr>
      </w:pPr>
      <w:r>
        <w:rPr>
          <w:rFonts w:hint="eastAsia" w:eastAsia="黑体"/>
          <w:b/>
          <w:bCs/>
          <w:color w:val="000000"/>
          <w:sz w:val="84"/>
        </w:rPr>
        <w:t xml:space="preserve">招　标　文　件</w:t>
      </w:r>
      <w:r/>
    </w:p>
    <w:p>
      <w:pPr>
        <w:ind w:firstLine="1506"/>
        <w:rPr>
          <w:rFonts w:hint="default" w:eastAsia="宋体"/>
          <w:b/>
          <w:color w:val="0000ff"/>
          <w:sz w:val="32"/>
          <w:szCs w:val="32"/>
          <w:highlight w:val="yellow"/>
          <w:lang w:val="en-US" w:eastAsia="zh-CN"/>
        </w:rPr>
      </w:pPr>
      <w:r>
        <w:rPr>
          <w:rFonts w:hint="eastAsia"/>
          <w:b/>
          <w:color w:val="000000"/>
          <w:sz w:val="30"/>
          <w:szCs w:val="30"/>
        </w:rPr>
        <w:t xml:space="preserve">项目名称：</w:t>
      </w:r>
      <w:r>
        <w:rPr>
          <w:rFonts w:hint="eastAsia"/>
          <w:b/>
          <w:color w:val="000000"/>
          <w:sz w:val="30"/>
          <w:szCs w:val="30"/>
          <w:lang w:val="en-US" w:eastAsia="zh-CN"/>
        </w:rPr>
        <w:t xml:space="preserve">江宁区龙都初级中学等校教学设备</w:t>
      </w:r>
      <w:r/>
    </w:p>
    <w:p>
      <w:pPr>
        <w:ind w:firstLine="1506"/>
        <w:rPr>
          <w:rFonts w:hint="default"/>
          <w:b/>
          <w:color w:val="000000"/>
          <w:sz w:val="30"/>
          <w:szCs w:val="30"/>
          <w:lang w:val="en-US" w:eastAsia="zh-CN"/>
        </w:rPr>
      </w:pPr>
      <w:r>
        <w:rPr>
          <w:rFonts w:hint="eastAsia"/>
          <w:b/>
          <w:color w:val="000000"/>
          <w:sz w:val="30"/>
          <w:szCs w:val="30"/>
        </w:rPr>
        <w:t xml:space="preserve">项目编号：</w:t>
      </w:r>
      <w:r>
        <w:rPr>
          <w:rFonts w:hint="eastAsia"/>
          <w:b/>
          <w:color w:val="000000"/>
          <w:sz w:val="30"/>
          <w:szCs w:val="30"/>
          <w:highlight w:val="none"/>
          <w:lang w:val="en-US" w:eastAsia="zh-CN"/>
        </w:rPr>
        <w:t xml:space="preserve">JSZC-320115-JZCG-G2025-0096    </w:t>
      </w:r>
      <w:r/>
    </w:p>
    <w:p>
      <w:pPr>
        <w:ind w:firstLine="1506"/>
        <w:rPr>
          <w:rFonts w:hint="eastAsia"/>
          <w:b/>
          <w:color w:val="000000"/>
          <w:sz w:val="30"/>
          <w:szCs w:val="30"/>
          <w:lang w:val="en-US" w:eastAsia="zh-CN"/>
        </w:rPr>
      </w:pPr>
      <w:r>
        <w:rPr>
          <w:rFonts w:hint="eastAsia"/>
          <w:b/>
          <w:color w:val="000000"/>
          <w:sz w:val="30"/>
          <w:szCs w:val="30"/>
          <w:lang w:val="en-US" w:eastAsia="zh-CN"/>
        </w:rPr>
      </w:r>
      <w:r/>
    </w:p>
    <w:p>
      <w:pPr>
        <w:jc w:val="center"/>
        <w:rPr>
          <w:b/>
          <w:color w:val="000000"/>
          <w:sz w:val="30"/>
          <w:szCs w:val="30"/>
        </w:rPr>
      </w:pPr>
      <w:r>
        <w:rPr>
          <w:rFonts w:hint="eastAsia"/>
          <w:b/>
          <w:color w:val="000000"/>
          <w:sz w:val="30"/>
          <w:szCs w:val="30"/>
        </w:rPr>
        <w:t xml:space="preserve">（</w:t>
      </w:r>
      <w:r>
        <w:rPr>
          <w:rFonts w:hint="eastAsia" w:ascii="Times New Roman" w:hAnsi="Times New Roman" w:cs="Times New Roman"/>
          <w:b/>
          <w:color w:val="000000"/>
          <w:sz w:val="30"/>
          <w:szCs w:val="30"/>
        </w:rPr>
        <w:t xml:space="preserve">非专门面</w:t>
      </w:r>
      <w:r>
        <w:rPr>
          <w:rFonts w:hint="eastAsia"/>
          <w:b/>
          <w:color w:val="000000"/>
          <w:sz w:val="30"/>
          <w:szCs w:val="30"/>
        </w:rPr>
        <w:t xml:space="preserve">向中小企业）</w:t>
      </w:r>
      <w:r/>
    </w:p>
    <w:p>
      <w:pPr>
        <w:jc w:val="left"/>
        <w:spacing w:line="360" w:lineRule="auto"/>
        <w:tabs>
          <w:tab w:val="left" w:pos="6180" w:leader="none"/>
        </w:tabs>
        <w:rPr>
          <w:rFonts w:ascii="宋体" w:hAnsi="宋体"/>
          <w:color w:val="000000"/>
          <w:sz w:val="24"/>
          <w:szCs w:val="24"/>
        </w:rPr>
      </w:pPr>
      <w:r>
        <w:rPr>
          <w:rFonts w:ascii="宋体" w:hAnsi="宋体"/>
          <w:color w:val="000000"/>
          <w:sz w:val="24"/>
          <w:szCs w:val="24"/>
        </w:rPr>
        <w:tab/>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21"/>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w:t>
      </w:r>
      <w:r>
        <w:rPr>
          <w:rFonts w:hint="eastAsia" w:ascii="Arial" w:hAnsi="Arial"/>
          <w:b/>
          <w:bCs/>
          <w:sz w:val="32"/>
          <w:szCs w:val="24"/>
          <w:lang w:val="en-US" w:eastAsia="zh-CN"/>
        </w:rPr>
        <w:t xml:space="preserve">6</w:t>
      </w:r>
      <w:r>
        <w:rPr>
          <w:rFonts w:hint="eastAsia" w:ascii="Arial" w:hAnsi="Arial"/>
          <w:b/>
          <w:bCs/>
          <w:sz w:val="32"/>
          <w:szCs w:val="24"/>
        </w:rPr>
        <w:t xml:space="preserve">年</w:t>
      </w:r>
      <w:r>
        <w:rPr>
          <w:rFonts w:hint="eastAsia" w:ascii="Arial" w:hAnsi="Arial"/>
          <w:b/>
          <w:bCs/>
          <w:sz w:val="32"/>
          <w:szCs w:val="24"/>
          <w:highlight w:val="none"/>
          <w:lang w:val="en-US" w:eastAsia="zh-CN"/>
        </w:rPr>
        <w:t xml:space="preserve">01</w:t>
      </w:r>
      <w:r>
        <w:rPr>
          <w:rFonts w:hint="eastAsia" w:ascii="Arial" w:hAnsi="Arial"/>
          <w:b/>
          <w:bCs/>
          <w:sz w:val="32"/>
          <w:szCs w:val="24"/>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投标邀请…………………………………… </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投标人须知………………………………… </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合同文本……………………………………</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评标方法与评标标准………………………</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投标文件格式………………………………</w:t>
      </w:r>
      <w:r/>
    </w:p>
    <w:p>
      <w:pPr>
        <w:rPr>
          <w:color w:val="000000"/>
          <w:szCs w:val="21"/>
        </w:rPr>
      </w:pPr>
      <w:r>
        <w:rPr>
          <w:color w:val="000000"/>
          <w:szCs w:val="21"/>
        </w:rPr>
      </w:r>
      <w:bookmarkEnd w:id="0"/>
      <w:r/>
    </w:p>
    <w:p>
      <w:pPr>
        <w:pStyle w:val="667"/>
      </w:p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bookmarkStart w:id="6" w:name="_Toc28359002"/>
      <w:r/>
      <w:bookmarkStart w:id="7" w:name="_Toc28359079"/>
      <w:r/>
      <w:bookmarkStart w:id="8" w:name="_Hlk24379207"/>
      <w:r/>
      <w:bookmarkStart w:id="9" w:name="_Toc35393621"/>
      <w:r/>
      <w:bookmarkStart w:id="10" w:name="_Toc38985263"/>
      <w:r/>
      <w:bookmarkStart w:id="11" w:name="_Toc35393790"/>
      <w:r>
        <w:rPr>
          <w:rFonts w:hint="eastAsia" w:ascii="宋体" w:hAnsi="宋体"/>
          <w:sz w:val="24"/>
          <w:szCs w:val="24"/>
        </w:rPr>
        <w:t xml:space="preserve">受</w:t>
      </w:r>
      <w:r>
        <w:rPr>
          <w:rFonts w:hint="eastAsia" w:ascii="宋体" w:hAnsi="宋体"/>
          <w:color w:val="000000"/>
          <w:sz w:val="24"/>
          <w:szCs w:val="24"/>
        </w:rPr>
        <w:t xml:space="preserve">南京市</w:t>
      </w:r>
      <w:r>
        <w:rPr>
          <w:rFonts w:hint="eastAsia" w:ascii="宋体" w:hAnsi="宋体"/>
          <w:sz w:val="24"/>
          <w:szCs w:val="24"/>
        </w:rPr>
        <w:t xml:space="preserve">江宁区教育技术装备中心（采购单位）委托，南京市公共资源交易中心江宁分中心（以下简称“交易中心”）就</w:t>
      </w:r>
      <w:r>
        <w:rPr>
          <w:rFonts w:hint="eastAsia" w:ascii="宋体" w:hAnsi="宋体"/>
          <w:sz w:val="24"/>
          <w:szCs w:val="24"/>
          <w:highlight w:val="none"/>
          <w:lang w:eastAsia="zh-CN"/>
        </w:rPr>
        <w:t xml:space="preserve">江宁区龙都初级中学等校教学设备</w:t>
      </w:r>
      <w:r>
        <w:rPr>
          <w:rFonts w:hint="eastAsia" w:ascii="宋体" w:hAnsi="宋体"/>
          <w:sz w:val="24"/>
          <w:szCs w:val="24"/>
        </w:rPr>
        <w:t xml:space="preserve">（项目名称）进行公开招标采购，欢迎符合条件的供应商投标。</w:t>
      </w:r>
      <w:r/>
    </w:p>
    <w:p>
      <w:pPr>
        <w:pStyle w:val="657"/>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default" w:ascii="宋体" w:hAnsi="宋体" w:eastAsia="宋体"/>
          <w:sz w:val="24"/>
          <w:szCs w:val="24"/>
          <w:highlight w:val="yellow"/>
          <w:lang w:val="en-US" w:eastAsia="zh-CN"/>
        </w:rPr>
      </w:pPr>
      <w:r/>
      <w:bookmarkStart w:id="12" w:name="_Toc28359003"/>
      <w:r/>
      <w:bookmarkStart w:id="13" w:name="_Toc35393791"/>
      <w:r/>
      <w:bookmarkStart w:id="14" w:name="_Toc28359080"/>
      <w:r/>
      <w:bookmarkStart w:id="15" w:name="_Toc38985264"/>
      <w:r/>
      <w:bookmarkStart w:id="16" w:name="_Toc35393622"/>
      <w:r>
        <w:rPr>
          <w:rFonts w:hint="eastAsia" w:ascii="宋体" w:hAnsi="宋体"/>
          <w:sz w:val="24"/>
          <w:szCs w:val="24"/>
        </w:rPr>
        <w:t xml:space="preserve">1.项目编号：</w:t>
      </w:r>
      <w:r>
        <w:rPr>
          <w:rFonts w:hint="eastAsia" w:ascii="宋体" w:hAnsi="宋体"/>
          <w:sz w:val="24"/>
          <w:szCs w:val="24"/>
          <w:highlight w:val="none"/>
        </w:rPr>
        <w:t xml:space="preserve">JSZC-320115-JZCG-G2025-0096</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highlight w:val="none"/>
          <w:lang w:val="en-US" w:eastAsia="zh-CN"/>
        </w:rPr>
        <w:t xml:space="preserve">江宁区龙都初级中学等校教学设备</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3.预算金额：</w:t>
      </w:r>
      <w:r>
        <w:rPr>
          <w:rFonts w:hint="eastAsia" w:ascii="宋体" w:hAnsi="宋体"/>
          <w:sz w:val="24"/>
          <w:szCs w:val="24"/>
          <w:lang w:val="en-US" w:eastAsia="zh-CN"/>
        </w:rPr>
        <w:t xml:space="preserve">120</w:t>
      </w:r>
      <w:r>
        <w:rPr>
          <w:rFonts w:hint="eastAsia" w:ascii="宋体" w:hAnsi="宋体"/>
          <w:sz w:val="24"/>
          <w:szCs w:val="24"/>
        </w:rPr>
        <w:t xml:space="preserve">万元</w:t>
      </w:r>
      <w:r/>
    </w:p>
    <w:p>
      <w:pPr>
        <w:ind w:firstLine="480"/>
        <w:spacing w:line="264" w:lineRule="auto"/>
        <w:rPr>
          <w:rFonts w:ascii="宋体" w:hAnsi="宋体"/>
          <w:sz w:val="24"/>
          <w:szCs w:val="24"/>
        </w:rPr>
      </w:pPr>
      <w:r>
        <w:rPr>
          <w:rFonts w:hint="eastAsia" w:ascii="宋体" w:hAnsi="宋体"/>
          <w:sz w:val="24"/>
          <w:szCs w:val="24"/>
        </w:rPr>
        <w:t xml:space="preserve">4.最高限价：本项目不设最高限价,但投标人投标报价不得超过预算金额。</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5.采购需求（简介）：根据学校需求配置</w:t>
      </w:r>
      <w:r>
        <w:rPr>
          <w:rFonts w:hint="eastAsia" w:ascii="宋体" w:hAnsi="宋体"/>
          <w:sz w:val="24"/>
          <w:szCs w:val="24"/>
          <w:lang w:val="en-US" w:eastAsia="zh-CN"/>
        </w:rPr>
        <w:t xml:space="preserve">智能交互黑板</w:t>
      </w:r>
      <w:r>
        <w:rPr>
          <w:rFonts w:hint="eastAsia" w:ascii="宋体" w:hAnsi="宋体"/>
          <w:sz w:val="24"/>
          <w:szCs w:val="24"/>
        </w:rPr>
        <w:t xml:space="preserve">、数字互联模块、视频展台、阵列式音箱、</w:t>
      </w:r>
      <w:r>
        <w:rPr>
          <w:rFonts w:hint="eastAsia" w:ascii="宋体" w:hAnsi="宋体"/>
          <w:sz w:val="24"/>
          <w:szCs w:val="24"/>
          <w:lang w:val="en-US" w:eastAsia="zh-CN"/>
        </w:rPr>
        <w:t xml:space="preserve">OPS设备</w:t>
      </w:r>
      <w:r>
        <w:rPr>
          <w:rFonts w:hint="eastAsia" w:ascii="宋体" w:hAnsi="宋体"/>
          <w:sz w:val="24"/>
          <w:szCs w:val="24"/>
        </w:rPr>
        <w:t xml:space="preserve">等教学设备，满足学校的教学需要。（详细内容见本招标文件第四章）</w:t>
      </w:r>
      <w:r/>
    </w:p>
    <w:p>
      <w:pPr>
        <w:ind w:firstLine="480"/>
        <w:spacing w:line="264" w:lineRule="auto"/>
        <w:rPr>
          <w:rFonts w:hint="eastAsia" w:ascii="宋体" w:hAnsi="宋体"/>
          <w:sz w:val="24"/>
          <w:szCs w:val="24"/>
          <w:highlight w:val="none"/>
          <w:lang w:eastAsia="zh-CN"/>
        </w:rPr>
      </w:pPr>
      <w:r>
        <w:rPr>
          <w:rFonts w:hint="eastAsia" w:ascii="宋体" w:hAnsi="宋体"/>
          <w:sz w:val="24"/>
          <w:szCs w:val="24"/>
        </w:rPr>
        <w:t xml:space="preserve">6.合同履行期限：中标后30</w:t>
      </w:r>
      <w:r>
        <w:rPr>
          <w:rFonts w:hint="eastAsia" w:ascii="宋体" w:hAnsi="宋体"/>
          <w:sz w:val="24"/>
          <w:szCs w:val="24"/>
          <w:highlight w:val="none"/>
          <w:lang w:eastAsia="zh-CN"/>
        </w:rPr>
        <w:t xml:space="preserve">个日历</w:t>
      </w:r>
      <w:r>
        <w:rPr>
          <w:rFonts w:hint="eastAsia" w:ascii="宋体" w:hAnsi="宋体"/>
          <w:sz w:val="24"/>
          <w:szCs w:val="24"/>
        </w:rPr>
        <w:t xml:space="preserve">日内签订合同，合同签订后30</w:t>
      </w:r>
      <w:r>
        <w:rPr>
          <w:rFonts w:hint="eastAsia" w:ascii="宋体" w:hAnsi="宋体"/>
          <w:sz w:val="24"/>
          <w:szCs w:val="24"/>
          <w:highlight w:val="none"/>
          <w:lang w:eastAsia="zh-CN"/>
        </w:rPr>
        <w:t xml:space="preserve">个日历</w:t>
      </w:r>
      <w:r>
        <w:rPr>
          <w:rFonts w:hint="eastAsia" w:ascii="宋体" w:hAnsi="宋体"/>
          <w:sz w:val="24"/>
          <w:szCs w:val="24"/>
        </w:rPr>
        <w:t xml:space="preserve">日内交货，质保期不得低于六年（自验收报告签字确认日起开始进入质保期</w:t>
      </w:r>
      <w:r>
        <w:rPr>
          <w:rFonts w:hint="eastAsia" w:ascii="宋体" w:hAnsi="宋体"/>
          <w:sz w:val="24"/>
          <w:szCs w:val="24"/>
          <w:lang w:eastAsia="zh-CN"/>
        </w:rPr>
        <w:t xml:space="preserve">，</w:t>
      </w:r>
      <w:r>
        <w:rPr>
          <w:rFonts w:hint="eastAsia" w:ascii="宋体" w:hAnsi="宋体"/>
          <w:color w:val="auto"/>
          <w:sz w:val="24"/>
          <w:szCs w:val="24"/>
          <w:highlight w:val="none"/>
          <w:lang w:val="en-US" w:eastAsia="zh-CN"/>
        </w:rPr>
        <w:t xml:space="preserve">质保期不包含在合同履行期限中</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w:t>
      </w:r>
      <w:r/>
    </w:p>
    <w:p>
      <w:pPr>
        <w:ind w:firstLine="480"/>
        <w:spacing w:line="264" w:lineRule="auto"/>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.本项目不接受联合</w:t>
      </w:r>
      <w:r>
        <w:rPr>
          <w:rFonts w:hint="eastAsia" w:ascii="宋体" w:hAnsi="宋体" w:cs="宋体"/>
          <w:sz w:val="24"/>
          <w:szCs w:val="24"/>
          <w:highlight w:val="none"/>
        </w:rPr>
        <w:t xml:space="preserve">体投标。</w:t>
      </w:r>
      <w:r/>
    </w:p>
    <w:p>
      <w:pPr>
        <w:ind w:firstLine="480"/>
        <w:spacing w:line="264" w:lineRule="auto"/>
        <w:rPr>
          <w:rFonts w:ascii="宋体" w:hAnsi="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.本项目不接受进口产品投标。</w:t>
      </w:r>
      <w:r/>
    </w:p>
    <w:p>
      <w:pPr>
        <w:pStyle w:val="657"/>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35393623"/>
      <w:r/>
      <w:bookmarkStart w:id="18" w:name="_Toc35393792"/>
      <w:r/>
      <w:bookmarkStart w:id="19" w:name="_Toc28359081"/>
      <w:r/>
      <w:bookmarkStart w:id="20" w:name="_Toc38985265"/>
      <w:r/>
      <w:bookmarkStart w:id="21" w:name="_Toc28359004"/>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eastAsia="宋体"/>
          <w:color w:val="0000ff"/>
          <w:sz w:val="24"/>
          <w:szCs w:val="24"/>
          <w:lang w:eastAsia="zh-CN"/>
        </w:rPr>
      </w:pPr>
      <w:r>
        <w:rPr>
          <w:rFonts w:hint="eastAsia" w:ascii="宋体" w:hAnsi="宋体"/>
          <w:sz w:val="24"/>
          <w:szCs w:val="24"/>
        </w:rPr>
        <w:t xml:space="preserve">2.落实政府采购政策需满足的资格要求：无</w:t>
      </w:r>
      <w:r/>
    </w:p>
    <w:p>
      <w:pPr>
        <w:ind w:firstLine="480"/>
        <w:spacing w:line="264" w:lineRule="auto"/>
        <w:rPr>
          <w:rFonts w:hint="eastAsia" w:ascii="宋体" w:hAnsi="宋体" w:eastAsia="宋体"/>
          <w:color w:val="0000ff"/>
          <w:sz w:val="24"/>
          <w:szCs w:val="24"/>
          <w:lang w:eastAsia="zh-CN"/>
        </w:rPr>
      </w:pPr>
      <w:r>
        <w:rPr>
          <w:rFonts w:hint="eastAsia" w:ascii="宋体" w:hAnsi="宋体"/>
          <w:sz w:val="24"/>
          <w:szCs w:val="24"/>
          <w:lang w:val="en-US" w:eastAsia="zh-CN"/>
        </w:rPr>
        <w:t xml:space="preserve">2.1</w:t>
      </w:r>
      <w:r>
        <w:rPr>
          <w:rFonts w:hint="eastAsia" w:ascii="宋体" w:hAnsi="宋体"/>
          <w:sz w:val="24"/>
          <w:szCs w:val="24"/>
          <w:lang w:val="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eastAsia="宋体"/>
          <w:color w:val="0000ff"/>
          <w:sz w:val="24"/>
          <w:szCs w:val="24"/>
          <w:lang w:val="en-US" w:eastAsia="zh-CN"/>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ind w:firstLine="480"/>
        <w:spacing w:line="264" w:lineRule="auto"/>
        <w:rPr>
          <w:rFonts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57"/>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8985267"/>
      <w:r/>
      <w:bookmarkStart w:id="28" w:name="_Toc35393794"/>
      <w:r/>
      <w:bookmarkStart w:id="29" w:name="_Toc28359007"/>
      <w:r/>
      <w:bookmarkStart w:id="30" w:name="_Toc35393625"/>
      <w:r/>
      <w:bookmarkStart w:id="31" w:name="_Toc28359084"/>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时</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分</w:t>
      </w:r>
      <w:r>
        <w:rPr>
          <w:rFonts w:hint="eastAsia" w:ascii="宋体" w:hAnsi="宋体"/>
          <w:bCs/>
          <w:sz w:val="24"/>
          <w:szCs w:val="24"/>
          <w:highlight w:val="none"/>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657"/>
        <w:ind w:firstLine="498"/>
        <w:spacing w:before="145" w:after="145"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35393796"/>
      <w:r/>
      <w:bookmarkStart w:id="36" w:name="_Toc28359085"/>
      <w:r/>
      <w:bookmarkStart w:id="37" w:name="_Toc28359008"/>
      <w:r/>
      <w:bookmarkStart w:id="38" w:name="_Toc35393627"/>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color w:val="0000ff"/>
          <w:sz w:val="24"/>
          <w:szCs w:val="24"/>
          <w:highlight w:val="none"/>
        </w:rPr>
      </w:pPr>
      <w:r>
        <w:rPr>
          <w:rFonts w:hint="eastAsia" w:ascii="宋体" w:hAnsi="宋体"/>
          <w:sz w:val="24"/>
          <w:szCs w:val="24"/>
        </w:rPr>
        <w:t xml:space="preserve">2.</w:t>
      </w:r>
      <w:r>
        <w:rPr>
          <w:rFonts w:hint="eastAsia" w:ascii="宋体" w:hAnsi="宋体" w:cs="宋体"/>
          <w:color w:val="000000"/>
          <w:sz w:val="24"/>
          <w:szCs w:val="24"/>
        </w:rPr>
        <w:t xml:space="preserve">本项目组织集中勘察及答疑，供应商代表携带加盖单位公章的营业执照复印件、法定代表人授权委托书、身份证参加。签到时间：</w:t>
      </w:r>
      <w:r>
        <w:rPr>
          <w:rFonts w:hint="eastAsia" w:ascii="宋体" w:hAnsi="宋体" w:cs="宋体"/>
          <w:color w:val="000000"/>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日</w:t>
      </w:r>
      <w:r>
        <w:rPr>
          <w:rFonts w:hint="eastAsia" w:ascii="宋体" w:hAnsi="宋体" w:cs="宋体"/>
          <w:color w:val="000000"/>
          <w:sz w:val="24"/>
          <w:szCs w:val="24"/>
          <w:highlight w:val="none"/>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30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lang w:eastAsia="zh-CN"/>
        </w:rPr>
        <w:t xml:space="preserve">至</w:t>
      </w:r>
      <w:r>
        <w:rPr>
          <w:rFonts w:hint="eastAsia" w:ascii="宋体" w:hAnsi="宋体" w:cs="宋体"/>
          <w:color w:val="000000"/>
          <w:sz w:val="24"/>
          <w:szCs w:val="24"/>
          <w:highlight w:val="none"/>
        </w:rPr>
        <w:t xml:space="preserve">10</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00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南京市</w:t>
      </w:r>
      <w:r>
        <w:rPr>
          <w:rFonts w:hint="eastAsia" w:ascii="宋体" w:hAnsi="宋体" w:cs="宋体"/>
          <w:sz w:val="24"/>
          <w:szCs w:val="24"/>
          <w:highlight w:val="none"/>
          <w:lang w:val="en-US" w:eastAsia="zh-CN"/>
        </w:rPr>
        <w:t xml:space="preserve">江宁区竹山小学</w:t>
      </w:r>
      <w:r>
        <w:rPr>
          <w:rFonts w:hint="eastAsia" w:ascii="宋体" w:hAnsi="宋体" w:cs="宋体"/>
          <w:bCs/>
          <w:sz w:val="24"/>
          <w:szCs w:val="24"/>
          <w:highlight w:val="none"/>
          <w:lang w:val="en-US" w:eastAsia="zh-CN"/>
        </w:rPr>
        <w:t xml:space="preserve">（江宁区竹新路68号）</w:t>
      </w: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张迎春</w:t>
      </w:r>
      <w:r>
        <w:rPr>
          <w:rFonts w:hint="eastAsia" w:ascii="宋体" w:hAnsi="宋体" w:cs="宋体"/>
          <w:color w:val="000000"/>
          <w:sz w:val="24"/>
          <w:szCs w:val="24"/>
          <w:highlight w:val="none"/>
        </w:rPr>
        <w:t xml:space="preserve">，联系电话：</w:t>
      </w:r>
      <w:r>
        <w:rPr>
          <w:rFonts w:ascii="宋体" w:hAnsi="宋体" w:eastAsia="宋体" w:cs="宋体"/>
          <w:sz w:val="24"/>
          <w:szCs w:val="24"/>
          <w:highlight w:val="none"/>
        </w:rPr>
        <w:t xml:space="preserve">18751836076</w:t>
      </w:r>
      <w:r>
        <w:rPr>
          <w:rFonts w:hint="eastAsia" w:ascii="宋体" w:hAnsi="宋体" w:cs="宋体"/>
          <w:color w:val="000000"/>
          <w:sz w:val="24"/>
          <w:szCs w:val="24"/>
          <w:highlight w:val="none"/>
        </w:rPr>
        <w:t xml:space="preserve">。 </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ascii="宋体" w:hAnsi="宋体"/>
          <w:b/>
          <w:bCs/>
          <w:color w:val="auto"/>
          <w:sz w:val="24"/>
          <w:highlight w:val="none"/>
          <w:lang w:val="zh-CN"/>
        </w:rPr>
      </w:pPr>
      <w:r>
        <w:rPr>
          <w:rFonts w:hint="eastAsia" w:ascii="宋体" w:hAnsi="宋体" w:cs="宋体"/>
          <w:b/>
          <w:bCs/>
          <w:color w:val="auto"/>
          <w:sz w:val="24"/>
          <w:szCs w:val="24"/>
          <w:highlight w:val="none"/>
        </w:rPr>
        <w:t xml:space="preserve">5.供应商（含潜在供应商）对采购方式、采购需求、供应商资格条件</w:t>
      </w:r>
      <w:r>
        <w:rPr>
          <w:rFonts w:hint="eastAsia" w:ascii="宋体" w:hAnsi="宋体" w:cs="宋体"/>
          <w:b/>
          <w:bCs/>
          <w:color w:val="auto"/>
          <w:sz w:val="24"/>
          <w:szCs w:val="24"/>
          <w:highlight w:val="none"/>
          <w:lang w:eastAsia="zh-CN"/>
        </w:rPr>
        <w:t xml:space="preserve">及审查结果</w:t>
      </w:r>
      <w:r>
        <w:rPr>
          <w:rFonts w:hint="eastAsia" w:ascii="宋体" w:hAnsi="宋体" w:cs="宋体"/>
          <w:b/>
          <w:bCs/>
          <w:color w:val="auto"/>
          <w:sz w:val="24"/>
          <w:szCs w:val="24"/>
          <w:highlight w:val="none"/>
        </w:rPr>
        <w:t xml:space="preserve">、评标方法和评标标准、合同文本的询问</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质疑向采购人提出，由采购人负责答复。</w:t>
      </w:r>
      <w:r>
        <w:rPr>
          <w:rFonts w:hint="eastAsia" w:ascii="宋体" w:hAnsi="宋体"/>
          <w:b/>
          <w:bCs/>
          <w:color w:val="auto"/>
          <w:sz w:val="24"/>
          <w:highlight w:val="none"/>
          <w:lang w:val="zh-CN"/>
        </w:rPr>
        <w:t xml:space="preserve">供应商对除上述事项以外其他事项的询问、质疑向交易中心提出，由交易中心负责答复。</w:t>
      </w:r>
      <w:r/>
    </w:p>
    <w:p>
      <w:pPr>
        <w:ind w:firstLine="480"/>
        <w:spacing w:line="264"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供应商提出质疑函应提交《质疑函》原件，且尽可能通过邮寄方式送达，交易中心和采购人不接受无运单快件。</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址：南京市江宁区东新北路16号</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联系电话：025-84930376</w:t>
      </w:r>
      <w:bookmarkStart w:id="40" w:name="_Toc28359009"/>
      <w:r/>
      <w:bookmarkStart w:id="41" w:name="_Toc28359086"/>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bookmarkEnd w:id="40"/>
      <w:r/>
      <w:bookmarkEnd w:id="41"/>
      <w:r>
        <w:rPr>
          <w:rFonts w:hint="eastAsia" w:ascii="宋体" w:hAnsi="宋体"/>
          <w:color w:val="000000"/>
          <w:sz w:val="24"/>
          <w:szCs w:val="24"/>
        </w:rPr>
        <w:t xml:space="preserve"> 南京市公共资源交易中心江宁分中心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eastAsia="zh-CN"/>
        </w:rPr>
        <w:t xml:space="preserve">黄后乐</w:t>
      </w:r>
      <w:r/>
    </w:p>
    <w:p>
      <w:pPr>
        <w:ind w:firstLine="480"/>
        <w:spacing w:line="264" w:lineRule="auto"/>
        <w:rPr>
          <w:rFonts w:hint="default" w:ascii="宋体" w:hAnsi="宋体" w:eastAsia="宋体"/>
          <w:color w:val="000000"/>
          <w:sz w:val="24"/>
          <w:szCs w:val="24"/>
          <w:lang w:val="en-US" w:eastAsia="zh-CN"/>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69613983</w:t>
      </w:r>
      <w:r/>
    </w:p>
    <w:p>
      <w:pPr>
        <w:ind w:firstLine="480"/>
        <w:spacing w:line="264" w:lineRule="auto"/>
        <w:rPr>
          <w:rFonts w:hint="default" w:ascii="宋体" w:hAnsi="宋体" w:eastAsia="宋体"/>
          <w:color w:val="000000"/>
          <w:sz w:val="24"/>
          <w:szCs w:val="24"/>
          <w:lang w:val="en-US" w:eastAsia="zh-CN"/>
        </w:rPr>
      </w:pPr>
      <w:r>
        <w:rPr>
          <w:rFonts w:hint="default" w:ascii="宋体" w:hAnsi="宋体" w:eastAsia="宋体"/>
          <w:color w:val="000000"/>
          <w:sz w:val="24"/>
          <w:szCs w:val="24"/>
          <w:lang w:val="en-US" w:eastAsia="zh-CN"/>
        </w:rPr>
      </w:r>
      <w:bookmarkEnd w:id="1"/>
      <w:bookmarkEnd w:id="2"/>
      <w:bookmarkEnd w:id="3"/>
      <w:bookmarkEnd w:id="4"/>
      <w:bookmarkEnd w:id="5"/>
      <w:r/>
    </w:p>
    <w:p>
      <w:pPr>
        <w:ind w:firstLine="480"/>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color w:val="000000"/>
          <w:sz w:val="36"/>
          <w:szCs w:val="36"/>
        </w:rPr>
      </w:pPr>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513029203"/>
      <w:r/>
      <w:bookmarkStart w:id="50" w:name="_Toc20823275"/>
      <w:r/>
      <w:bookmarkStart w:id="51" w:name="_Toc16938558"/>
      <w:r/>
      <w:bookmarkStart w:id="52" w:name="_Toc120614221"/>
      <w:r/>
      <w:bookmarkStart w:id="53" w:name="_Toc513029242"/>
      <w:r/>
      <w:bookmarkStart w:id="54" w:name="_Toc479757207"/>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658"/>
        <w:ind w:firstLine="420"/>
        <w:spacing w:before="0" w:after="0" w:line="240" w:lineRule="auto"/>
        <w:rPr>
          <w:rFonts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color w:val="000000"/>
          <w:sz w:val="24"/>
        </w:rPr>
      </w:pPr>
      <w:r>
        <w:rPr>
          <w:rFonts w:hint="eastAsia" w:ascii="宋体" w:hAnsi="宋体"/>
          <w:color w:val="000000"/>
          <w:sz w:val="24"/>
        </w:rPr>
        <w:t xml:space="preserve">1.1本次招标采取公开招标方式，本文件仅适用于招标公告中所述项目。</w:t>
      </w:r>
      <w:r/>
    </w:p>
    <w:p>
      <w:pPr>
        <w:pStyle w:val="658"/>
        <w:ind w:firstLine="420"/>
        <w:spacing w:before="0" w:after="0" w:line="240" w:lineRule="auto"/>
        <w:rPr>
          <w:rFonts w:ascii="方正楷体_GBK" w:hAnsi="方正楷体_GBK" w:eastAsia="方正楷体_GBK" w:cs="方正楷体_GBK"/>
        </w:rPr>
      </w:pPr>
      <w:r/>
      <w:bookmarkStart w:id="61" w:name="_Toc20823277"/>
      <w:r/>
      <w:bookmarkStart w:id="62" w:name="_Toc513029205"/>
      <w:r/>
      <w:bookmarkStart w:id="63" w:name="_Toc16938521"/>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color w:val="000000"/>
          <w:sz w:val="24"/>
        </w:rPr>
      </w:pPr>
      <w:r>
        <w:rPr>
          <w:rFonts w:hint="eastAsia" w:ascii="宋体" w:hAnsi="宋体"/>
          <w:color w:val="000000"/>
          <w:sz w:val="24"/>
        </w:rPr>
        <w:t xml:space="preserve">2.1满足招标公告对供应商资格要求的规定。</w:t>
      </w:r>
      <w:r/>
    </w:p>
    <w:p>
      <w:pPr>
        <w:ind w:firstLine="420"/>
        <w:rPr>
          <w:rFonts w:ascii="宋体" w:hAnsi="宋体"/>
          <w:color w:val="000000"/>
          <w:sz w:val="24"/>
        </w:rPr>
      </w:pPr>
      <w:r>
        <w:rPr>
          <w:rFonts w:hint="eastAsia" w:ascii="宋体" w:hAnsi="宋体"/>
          <w:color w:val="000000"/>
          <w:sz w:val="24"/>
        </w:rPr>
        <w:t xml:space="preserve">2.2满足招标文件规定的实质性要求和条件。</w:t>
      </w:r>
      <w:r/>
    </w:p>
    <w:p>
      <w:pPr>
        <w:pStyle w:val="658"/>
        <w:ind w:firstLine="420"/>
        <w:spacing w:before="0" w:after="0" w:line="240" w:lineRule="auto"/>
        <w:rPr>
          <w:rFonts w:ascii="方正楷体_GBK" w:hAnsi="方正楷体_GBK" w:eastAsia="方正楷体_GBK" w:cs="方正楷体_GBK"/>
        </w:rPr>
      </w:pPr>
      <w:r/>
      <w:bookmarkStart w:id="64" w:name="_Toc16938522"/>
      <w:r/>
      <w:bookmarkStart w:id="65" w:name="_Toc20823278"/>
      <w:r/>
      <w:bookmarkStart w:id="66" w:name="_Toc513029206"/>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p>
    <w:p>
      <w:pPr>
        <w:pStyle w:val="658"/>
        <w:ind w:firstLine="420"/>
        <w:spacing w:before="0" w:after="0" w:line="240" w:lineRule="auto"/>
        <w:rPr>
          <w:rFonts w:ascii="方正楷体_GBK" w:hAnsi="方正楷体_GBK" w:eastAsia="方正楷体_GBK" w:cs="方正楷体_GBK"/>
        </w:rPr>
      </w:pPr>
      <w:r/>
      <w:bookmarkStart w:id="67" w:name="_Toc16938523"/>
      <w:r/>
      <w:bookmarkStart w:id="68" w:name="_Toc513029207"/>
      <w:r/>
      <w:bookmarkStart w:id="69" w:name="_Toc462564067"/>
      <w:r/>
      <w:bookmarkStart w:id="70" w:name="_Toc20823279"/>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color w:val="000000"/>
          <w:sz w:val="24"/>
        </w:rPr>
      </w:pPr>
      <w:r>
        <w:rPr>
          <w:rFonts w:hint="eastAsia" w:ascii="宋体" w:hAnsi="宋体"/>
          <w:color w:val="000000"/>
          <w:sz w:val="24"/>
        </w:rPr>
        <w:t xml:space="preserve">4.1投标人应自行承担所有与参加投标有关的费用，无论投标过程中的做法和结果如何，</w:t>
      </w:r>
      <w:r>
        <w:rPr>
          <w:rFonts w:hint="eastAsia" w:ascii="宋体" w:hAnsi="宋体"/>
          <w:color w:val="000000"/>
          <w:sz w:val="24"/>
          <w:lang w:val="en-US" w:eastAsia="zh-CN"/>
        </w:rPr>
        <w:tab/>
      </w:r>
      <w:r>
        <w:rPr>
          <w:rFonts w:hint="eastAsia" w:ascii="宋体" w:hAnsi="宋体"/>
          <w:color w:val="000000"/>
          <w:sz w:val="24"/>
        </w:rPr>
        <w:t xml:space="preserve">交易中心在任何情况下均无义务和责任承担这些费用。</w:t>
      </w:r>
      <w:r/>
    </w:p>
    <w:p>
      <w:pPr>
        <w:ind w:firstLine="420"/>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color w:val="000000"/>
          <w:sz w:val="24"/>
        </w:rPr>
      </w:pPr>
      <w:r>
        <w:rPr>
          <w:rFonts w:hint="eastAsia" w:ascii="宋体" w:hAnsi="宋体"/>
          <w:color w:val="000000"/>
          <w:sz w:val="24"/>
        </w:rPr>
        <w:t xml:space="preserve">5.1投标人一旦参加本项目采购活动，即被认为接受了本文件的规定和约束。</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bookmarkStart w:id="71" w:name="_Toc16938525"/>
      <w:r/>
      <w:bookmarkStart w:id="72" w:name="_Toc513029209"/>
      <w:r/>
      <w:bookmarkStart w:id="73" w:name="_Toc20823281"/>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658"/>
        <w:ind w:firstLine="420"/>
        <w:spacing w:before="0" w:after="0" w:line="240" w:lineRule="auto"/>
        <w:rPr>
          <w:rFonts w:ascii="方正楷体_GBK" w:hAnsi="方正楷体_GBK" w:eastAsia="方正楷体_GBK" w:cs="方正楷体_GBK"/>
        </w:rPr>
      </w:pPr>
      <w:r/>
      <w:bookmarkStart w:id="75" w:name="_Toc16938526"/>
      <w:r/>
      <w:bookmarkStart w:id="76" w:name="_Toc513029210"/>
      <w:r/>
      <w:bookmarkStart w:id="77" w:name="_Toc20823282"/>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color w:val="000000"/>
          <w:sz w:val="24"/>
        </w:rPr>
      </w:pPr>
      <w:r>
        <w:rPr>
          <w:rFonts w:hint="eastAsia" w:ascii="宋体" w:hAnsi="宋体"/>
          <w:color w:val="000000"/>
          <w:sz w:val="24"/>
        </w:rPr>
        <w:t xml:space="preserve">6.1招标文件由以下部分组成：</w:t>
      </w:r>
      <w:r/>
    </w:p>
    <w:p>
      <w:pPr>
        <w:ind w:firstLine="420"/>
        <w:rPr>
          <w:rFonts w:ascii="宋体" w:hAnsi="宋体"/>
          <w:color w:val="000000"/>
          <w:sz w:val="24"/>
        </w:rPr>
      </w:pPr>
      <w:r>
        <w:rPr>
          <w:rFonts w:hint="eastAsia" w:ascii="宋体" w:hAnsi="宋体"/>
          <w:color w:val="000000"/>
          <w:sz w:val="24"/>
        </w:rPr>
        <w:t xml:space="preserve">（1）投标邀请</w:t>
      </w:r>
      <w:r/>
    </w:p>
    <w:p>
      <w:pPr>
        <w:ind w:firstLine="420"/>
        <w:rPr>
          <w:rFonts w:ascii="宋体" w:hAnsi="宋体"/>
          <w:color w:val="000000"/>
          <w:sz w:val="24"/>
        </w:rPr>
      </w:pPr>
      <w:r>
        <w:rPr>
          <w:rFonts w:hint="eastAsia" w:ascii="宋体" w:hAnsi="宋体"/>
          <w:color w:val="000000"/>
          <w:sz w:val="24"/>
        </w:rPr>
        <w:t xml:space="preserve">（2）投标人须知</w:t>
      </w:r>
      <w:r/>
    </w:p>
    <w:p>
      <w:pPr>
        <w:ind w:firstLine="420"/>
        <w:rPr>
          <w:rFonts w:ascii="宋体" w:hAnsi="宋体"/>
          <w:color w:val="000000"/>
          <w:sz w:val="24"/>
        </w:rPr>
      </w:pPr>
      <w:r>
        <w:rPr>
          <w:rFonts w:hint="eastAsia" w:ascii="宋体" w:hAnsi="宋体"/>
          <w:color w:val="000000"/>
          <w:sz w:val="24"/>
        </w:rPr>
        <w:t xml:space="preserve">（3）合同文本</w:t>
      </w:r>
      <w:r/>
    </w:p>
    <w:p>
      <w:pPr>
        <w:ind w:firstLine="420"/>
        <w:rPr>
          <w:rFonts w:ascii="宋体" w:hAnsi="宋体"/>
          <w:color w:val="000000"/>
          <w:sz w:val="24"/>
        </w:rPr>
      </w:pPr>
      <w:r>
        <w:rPr>
          <w:rFonts w:hint="eastAsia" w:ascii="宋体" w:hAnsi="宋体"/>
          <w:color w:val="000000"/>
          <w:sz w:val="24"/>
        </w:rPr>
        <w:t xml:space="preserve">（4）采购需求</w:t>
      </w:r>
      <w:r/>
    </w:p>
    <w:p>
      <w:pPr>
        <w:ind w:firstLine="420"/>
        <w:rPr>
          <w:rFonts w:ascii="宋体" w:hAnsi="宋体"/>
          <w:color w:val="000000"/>
          <w:sz w:val="24"/>
        </w:rPr>
      </w:pPr>
      <w:r>
        <w:rPr>
          <w:rFonts w:hint="eastAsia" w:ascii="宋体" w:hAnsi="宋体"/>
          <w:color w:val="000000"/>
          <w:sz w:val="24"/>
        </w:rPr>
        <w:t xml:space="preserve">（5）评标方法与评标标准</w:t>
      </w:r>
      <w:r/>
    </w:p>
    <w:p>
      <w:pPr>
        <w:ind w:firstLine="420"/>
        <w:rPr>
          <w:rFonts w:ascii="宋体" w:hAnsi="宋体"/>
          <w:color w:val="000000"/>
          <w:sz w:val="24"/>
        </w:rPr>
      </w:pPr>
      <w:r>
        <w:rPr>
          <w:rFonts w:hint="eastAsia" w:ascii="宋体" w:hAnsi="宋体"/>
          <w:color w:val="000000"/>
          <w:sz w:val="24"/>
        </w:rPr>
        <w:t xml:space="preserve">（6）投标文件格式</w:t>
      </w:r>
      <w:r/>
    </w:p>
    <w:p>
      <w:pPr>
        <w:ind w:firstLine="420"/>
        <w:rPr>
          <w:rFonts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8"/>
        <w:ind w:firstLine="420"/>
        <w:spacing w:before="0" w:after="0" w:line="240" w:lineRule="auto"/>
        <w:rPr>
          <w:rFonts w:ascii="方正楷体_GBK" w:hAnsi="方正楷体_GBK" w:eastAsia="方正楷体_GBK" w:cs="方正楷体_GBK"/>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ascii="宋体" w:hAnsi="宋体"/>
          <w:color w:val="000000"/>
          <w:sz w:val="24"/>
        </w:rPr>
      </w:pPr>
      <w:r>
        <w:rPr>
          <w:rFonts w:hint="eastAsia" w:ascii="宋体" w:hAnsi="宋体"/>
          <w:color w:val="000000"/>
          <w:sz w:val="24"/>
        </w:rPr>
        <w:t xml:space="preserve">7.1任何要求对招标文件进行澄清的投标人，应在投标截止期十日前按招标公告中的通讯地址，以书面形式通知交易中心。</w:t>
      </w:r>
      <w:r/>
    </w:p>
    <w:p>
      <w:pPr>
        <w:pStyle w:val="658"/>
        <w:ind w:firstLine="420"/>
        <w:spacing w:before="0" w:after="0" w:line="240" w:lineRule="auto"/>
        <w:rPr>
          <w:rFonts w:ascii="方正楷体_GBK" w:hAnsi="方正楷体_GBK" w:eastAsia="方正楷体_GBK" w:cs="方正楷体_GBK"/>
        </w:rPr>
      </w:pPr>
      <w:r/>
      <w:bookmarkStart w:id="82" w:name="_Toc513029212"/>
      <w:r/>
      <w:bookmarkStart w:id="83" w:name="_Toc16938528"/>
      <w:r/>
      <w:bookmarkStart w:id="84" w:name="_Toc462564071"/>
      <w:r/>
      <w:bookmarkStart w:id="85" w:name="_Toc20823284"/>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ascii="宋体" w:hAnsi="宋体"/>
          <w:color w:val="000000"/>
          <w:sz w:val="24"/>
        </w:rPr>
      </w:pPr>
      <w:r/>
      <w:bookmarkStart w:id="86" w:name="_Toc120614216"/>
      <w:r/>
      <w:bookmarkStart w:id="87" w:name="_Toc462564072"/>
      <w:r/>
      <w:bookmarkStart w:id="88" w:name="_Toc16938529"/>
      <w:r/>
      <w:bookmarkStart w:id="89" w:name="_Toc20823285"/>
      <w:r/>
      <w:bookmarkStart w:id="90" w:name="_Toc513029213"/>
      <w:r>
        <w:rPr>
          <w:rFonts w:hint="eastAsia" w:ascii="宋体" w:hAnsi="宋体"/>
          <w:color w:val="000000"/>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000000"/>
          <w:sz w:val="24"/>
        </w:rPr>
      </w:pPr>
      <w:r>
        <w:rPr>
          <w:rFonts w:hint="eastAsia" w:ascii="宋体" w:hAnsi="宋体"/>
          <w:color w:val="000000"/>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000000"/>
          <w:sz w:val="24"/>
        </w:rPr>
      </w:pPr>
      <w:r>
        <w:rPr>
          <w:rFonts w:hint="eastAsia" w:ascii="宋体" w:hAnsi="宋体"/>
          <w:color w:val="000000"/>
          <w:sz w:val="24"/>
        </w:rPr>
        <w:t xml:space="preserve">8.3交易中心有权按照法定的要求推迟投标截止日期和开标日期，并在原公告媒体发布更正公告。</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658"/>
        <w:ind w:firstLine="420"/>
        <w:spacing w:before="0" w:after="0" w:line="240" w:lineRule="auto"/>
        <w:rPr>
          <w:rFonts w:ascii="方正楷体_GBK" w:hAnsi="方正楷体_GBK" w:eastAsia="方正楷体_GBK" w:cs="方正楷体_GBK"/>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hint="eastAsia" w:ascii="宋体" w:hAnsi="宋体"/>
          <w:color w:val="000000"/>
          <w:sz w:val="24"/>
        </w:rPr>
      </w:pPr>
      <w:r>
        <w:rPr>
          <w:rFonts w:hint="eastAsia" w:ascii="宋体" w:hAnsi="宋体"/>
          <w:color w:val="000000"/>
          <w:sz w:val="24"/>
        </w:rPr>
        <w:t xml:space="preserve">9.1投标人提交的投标文件以及投标人与交易中心就有关投标的所有来往通知、函件和文件均应使用简体中文。</w:t>
      </w:r>
      <w:r/>
    </w:p>
    <w:p>
      <w:pPr>
        <w:ind w:firstLine="420"/>
        <w:rPr>
          <w:rFonts w:hint="eastAsia" w:ascii="宋体" w:hAnsi="宋体"/>
          <w:color w:val="000000"/>
          <w:sz w:val="24"/>
        </w:rPr>
      </w:pPr>
      <w:r>
        <w:rPr>
          <w:rFonts w:hint="eastAsia" w:ascii="宋体" w:hAnsi="宋体"/>
          <w:color w:val="000000"/>
          <w:sz w:val="24"/>
        </w:rPr>
        <w:t xml:space="preserve">9.2除技术性能另有规定外，投标文件所使用的度量衡单位，均须采用国家法定计量单位。</w:t>
      </w:r>
      <w:r/>
    </w:p>
    <w:p>
      <w:pPr>
        <w:pStyle w:val="658"/>
        <w:ind w:firstLine="420"/>
        <w:spacing w:before="0" w:after="0" w:line="240" w:lineRule="auto"/>
        <w:rPr>
          <w:rFonts w:ascii="方正楷体_GBK" w:hAnsi="方正楷体_GBK" w:eastAsia="方正楷体_GBK" w:cs="方正楷体_GBK"/>
        </w:rPr>
      </w:pPr>
      <w:r/>
      <w:bookmarkStart w:id="95" w:name="_Toc513029215"/>
      <w:r/>
      <w:bookmarkStart w:id="96" w:name="_Toc462564074"/>
      <w:r/>
      <w:bookmarkStart w:id="97" w:name="_Toc16938531"/>
      <w:r/>
      <w:bookmarkStart w:id="98" w:name="_Toc20823287"/>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ascii="宋体" w:hAnsi="宋体"/>
          <w:color w:val="000000"/>
          <w:sz w:val="24"/>
        </w:rPr>
      </w:pPr>
      <w:r>
        <w:rPr>
          <w:rFonts w:hint="eastAsia" w:ascii="宋体" w:hAnsi="宋体"/>
          <w:color w:val="000000"/>
          <w:sz w:val="24"/>
        </w:rPr>
        <w:t xml:space="preserve">10.1投标人编写的投标文件应包括资格证明文件、符合性证明文件、投标分项报价表、响应及偏离表、其他证明文件、投标函、开标一览表等部分。</w:t>
      </w:r>
      <w:r/>
    </w:p>
    <w:p>
      <w:pPr>
        <w:ind w:firstLine="420"/>
        <w:rPr>
          <w:rFonts w:ascii="宋体" w:hAnsi="宋体"/>
          <w:color w:val="000000"/>
          <w:sz w:val="24"/>
        </w:rPr>
      </w:pPr>
      <w:r>
        <w:rPr>
          <w:rFonts w:hint="eastAsia" w:ascii="宋体" w:hAnsi="宋体"/>
          <w:color w:val="000000"/>
          <w:sz w:val="24"/>
        </w:rPr>
        <w:t xml:space="preserve">10.2如标书制作工具中格式和内容与“江苏政府采购网”发布的招标文件不一致，以“江苏政府采购网”发布的招标文件为准。</w:t>
      </w:r>
      <w:r/>
    </w:p>
    <w:p>
      <w:pPr>
        <w:pStyle w:val="658"/>
        <w:ind w:firstLine="420"/>
        <w:spacing w:before="0" w:after="0" w:line="240" w:lineRule="auto"/>
        <w:rPr>
          <w:rFonts w:ascii="方正楷体_GBK" w:hAnsi="方正楷体_GBK" w:eastAsia="方正楷体_GBK" w:cs="方正楷体_GBK"/>
        </w:rPr>
      </w:pPr>
      <w:r/>
      <w:bookmarkStart w:id="99" w:name="_Hlt26954838"/>
      <w:r/>
      <w:bookmarkEnd w:id="99"/>
      <w:r/>
      <w:bookmarkStart w:id="100" w:name="_Hlt26670360"/>
      <w:r/>
      <w:bookmarkEnd w:id="100"/>
      <w:r/>
      <w:bookmarkStart w:id="101" w:name="_Hlt26668975"/>
      <w:r/>
      <w:bookmarkEnd w:id="101"/>
      <w:r/>
      <w:bookmarkStart w:id="102" w:name="_Toc513029216"/>
      <w:r/>
      <w:bookmarkStart w:id="103" w:name="_Toc14577354"/>
      <w:r/>
      <w:bookmarkStart w:id="104" w:name="_Toc14577357"/>
      <w:r/>
      <w:bookmarkStart w:id="105" w:name="_Toc49090507"/>
      <w:r/>
      <w:bookmarkStart w:id="106" w:name="_Toc513029219"/>
      <w:r/>
      <w:bookmarkStart w:id="107" w:name="_Toc49090509"/>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color w:val="000000"/>
          <w:sz w:val="24"/>
        </w:rPr>
      </w:pPr>
      <w:r/>
      <w:bookmarkStart w:id="108" w:name="_Toc14577355"/>
      <w:r/>
      <w:bookmarkStart w:id="109" w:name="_Toc49090508"/>
      <w:r>
        <w:rPr>
          <w:rFonts w:hint="eastAsia" w:ascii="宋体" w:hAnsi="宋体"/>
          <w:color w:val="000000"/>
          <w:sz w:val="24"/>
        </w:rPr>
        <w:t xml:space="preserve">11.1投标人应按照法律、法规、规章和规范性文件以及招标文件要求提交证明文件，证明其投标标的符合招标文件规定。</w:t>
      </w:r>
      <w:r/>
    </w:p>
    <w:p>
      <w:pPr>
        <w:ind w:firstLine="420"/>
        <w:rPr>
          <w:rFonts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pStyle w:val="658"/>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
    </w:p>
    <w:p>
      <w:pPr>
        <w:ind w:firstLine="420"/>
        <w:rPr>
          <w:rFonts w:ascii="宋体" w:hAnsi="宋体"/>
          <w:color w:val="000000"/>
          <w:sz w:val="24"/>
        </w:rPr>
      </w:pPr>
      <w:r>
        <w:rPr>
          <w:rFonts w:hint="eastAsia" w:ascii="宋体" w:hAnsi="宋体"/>
          <w:color w:val="000000"/>
          <w:sz w:val="24"/>
        </w:rPr>
        <w:t xml:space="preserve">12.1投</w:t>
      </w:r>
      <w:bookmarkStart w:id="111" w:name="_Hlt26954840"/>
      <w:r/>
      <w:bookmarkEnd w:id="111"/>
      <w:r>
        <w:rPr>
          <w:rFonts w:hint="eastAsia" w:ascii="宋体" w:hAnsi="宋体"/>
          <w:color w:val="000000"/>
          <w:sz w:val="24"/>
        </w:rPr>
        <w:t xml:space="preserve">标人应按照招标文件规定格式填报投标分项报价表</w:t>
      </w:r>
      <w:bookmarkStart w:id="112" w:name="_Hlt26670399"/>
      <w:r/>
      <w:bookmarkEnd w:id="112"/>
      <w:r>
        <w:rPr>
          <w:rFonts w:hint="eastAsia" w:ascii="宋体" w:hAnsi="宋体"/>
          <w:color w:val="000000"/>
          <w:sz w:val="24"/>
        </w:rPr>
        <w:t xml:space="preserve">。</w:t>
      </w:r>
      <w:r/>
    </w:p>
    <w:p>
      <w:pPr>
        <w:ind w:firstLine="420"/>
        <w:rPr>
          <w:rFonts w:ascii="宋体" w:hAnsi="宋体"/>
          <w:color w:val="000000"/>
          <w:sz w:val="24"/>
        </w:rPr>
      </w:pPr>
      <w:r>
        <w:rPr>
          <w:rFonts w:hint="eastAsia" w:ascii="宋体" w:hAnsi="宋体"/>
          <w:color w:val="000000"/>
          <w:sz w:val="24"/>
        </w:rPr>
        <w:t xml:space="preserve">12.2投标文件中的单价和总价无特殊规定的采用人民币报价，以元为单位标注。招标文件另有规定的按规定执行。</w:t>
      </w:r>
      <w:r/>
    </w:p>
    <w:p>
      <w:pPr>
        <w:pStyle w:val="658"/>
        <w:ind w:firstLine="420"/>
        <w:spacing w:before="0" w:after="0" w:line="240" w:lineRule="auto"/>
        <w:rPr>
          <w:rFonts w:ascii="方正楷体_GBK" w:hAnsi="方正楷体_GBK" w:eastAsia="方正楷体_GBK" w:cs="方正楷体_GBK"/>
        </w:rPr>
      </w:pPr>
      <w:r/>
      <w:bookmarkStart w:id="113" w:name="_Hlt26954844"/>
      <w:r/>
      <w:bookmarkEnd w:id="113"/>
      <w:r/>
      <w:bookmarkStart w:id="114" w:name="_Hlt26668983"/>
      <w:r/>
      <w:bookmarkEnd w:id="114"/>
      <w:r/>
      <w:bookmarkStart w:id="115" w:name="_Hlt26670486"/>
      <w:r/>
      <w:bookmarkEnd w:id="115"/>
      <w:r/>
      <w:bookmarkStart w:id="116" w:name="_Hlt26670403"/>
      <w:r/>
      <w:bookmarkEnd w:id="116"/>
      <w:r/>
      <w:bookmarkStart w:id="117" w:name="_Hlt26670425"/>
      <w:r/>
      <w:bookmarkEnd w:id="117"/>
      <w:r/>
      <w:bookmarkStart w:id="118" w:name="_Hlt26670482"/>
      <w:r/>
      <w:bookmarkEnd w:id="118"/>
      <w:r/>
      <w:bookmarkStart w:id="119" w:name="_Hlt26954731"/>
      <w:r/>
      <w:bookmarkEnd w:id="119"/>
      <w:r/>
      <w:bookmarkStart w:id="120" w:name="_Hlt26954842"/>
      <w:r/>
      <w:bookmarkEnd w:id="120"/>
      <w:r/>
      <w:bookmarkStart w:id="121" w:name="_Hlt26954848"/>
      <w:r/>
      <w:bookmarkEnd w:id="121"/>
      <w:r/>
      <w:bookmarkStart w:id="122" w:name="_Hlt26954846"/>
      <w:r/>
      <w:bookmarkEnd w:id="122"/>
      <w:r>
        <w:rPr>
          <w:rFonts w:hint="eastAsia" w:ascii="方正楷体_GBK" w:hAnsi="方正楷体_GBK" w:eastAsia="方正楷体_GBK" w:cs="方正楷体_GBK"/>
        </w:rPr>
        <w:t xml:space="preserve">13.响应及偏离表</w:t>
      </w:r>
      <w:r/>
    </w:p>
    <w:p>
      <w:pPr>
        <w:ind w:firstLine="420"/>
        <w:rPr>
          <w:rFonts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color w:val="000000"/>
          <w:sz w:val="24"/>
          <w:lang w:val="zh-CN"/>
        </w:rPr>
        <w:t xml:space="preserve">13.2 投标人可以在投标文件中提供认为需要的其他技术文件或说明。</w:t>
      </w:r>
      <w:r/>
    </w:p>
    <w:p>
      <w:pPr>
        <w:pStyle w:val="658"/>
        <w:ind w:firstLine="420"/>
        <w:spacing w:before="0" w:after="0" w:line="240" w:lineRule="auto"/>
        <w:rPr>
          <w:rFonts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投标人应按照招标文件规定格式完整、正确填报投标函、开标一览表及核心产品品牌一览表。</w:t>
      </w:r>
      <w:r/>
    </w:p>
    <w:p>
      <w:pPr>
        <w:ind w:firstLine="420"/>
        <w:rPr>
          <w:rFonts w:ascii="宋体" w:hAnsi="宋体"/>
          <w:color w:val="000000"/>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color w:val="000000"/>
          <w:sz w:val="24"/>
          <w:lang w:val="zh-CN"/>
        </w:rPr>
      </w:pPr>
      <w:r>
        <w:rPr>
          <w:rFonts w:hint="eastAsia" w:ascii="宋体" w:hAnsi="宋体"/>
          <w:color w:val="000000"/>
          <w:sz w:val="24"/>
          <w:lang w:val="zh-CN"/>
        </w:rPr>
        <w:t xml:space="preserve">14.3 核心产品品牌一览表中所投核心产品品牌缺项的将视为无效投标。</w:t>
      </w:r>
      <w:bookmarkEnd w:id="123"/>
      <w:r/>
      <w:bookmarkEnd w:id="124"/>
      <w:r/>
      <w:r/>
    </w:p>
    <w:p>
      <w:pPr>
        <w:pStyle w:val="658"/>
        <w:ind w:firstLine="420"/>
        <w:spacing w:before="0" w:after="0" w:line="240" w:lineRule="auto"/>
        <w:rPr>
          <w:rFonts w:ascii="方正楷体_GBK" w:hAnsi="方正楷体_GBK" w:eastAsia="方正楷体_GBK" w:cs="方正楷体_GBK"/>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rPr>
        <w:t xml:space="preserve">15.投标有效期</w:t>
      </w:r>
      <w:bookmarkEnd w:id="128"/>
      <w:r/>
      <w:bookmarkEnd w:id="129"/>
      <w:r/>
      <w:r/>
    </w:p>
    <w:p>
      <w:pPr>
        <w:ind w:firstLine="420"/>
        <w:rPr>
          <w:rFonts w:ascii="宋体" w:hAnsi="宋体"/>
          <w:color w:val="000000"/>
          <w:sz w:val="24"/>
          <w:lang w:val="zh-CN"/>
        </w:rPr>
      </w:pPr>
      <w:r>
        <w:rPr>
          <w:rFonts w:hint="eastAsia" w:ascii="宋体" w:hAnsi="宋体"/>
          <w:color w:val="000000"/>
          <w:sz w:val="24"/>
          <w:lang w:val="zh-CN"/>
        </w:rPr>
        <w:t xml:space="preserve">15.1 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20823296"/>
      <w:r/>
      <w:bookmarkStart w:id="133" w:name="_Toc16938540"/>
      <w:r/>
      <w:bookmarkStart w:id="134" w:name="_Toc120614217"/>
      <w:r/>
      <w:bookmarkStart w:id="135" w:name="_Toc513029224"/>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
    </w:p>
    <w:p>
      <w:pPr>
        <w:pStyle w:val="658"/>
        <w:ind w:firstLine="420"/>
        <w:spacing w:before="0" w:after="0" w:line="240" w:lineRule="auto"/>
        <w:rPr>
          <w:rFonts w:ascii="方正楷体_GBK" w:hAnsi="方正楷体_GBK" w:eastAsia="方正楷体_GBK" w:cs="方正楷体_GBK"/>
        </w:rPr>
      </w:pPr>
      <w:r/>
      <w:bookmarkStart w:id="136" w:name="_Toc462564084"/>
      <w:r/>
      <w:bookmarkStart w:id="137" w:name="_Toc20823297"/>
      <w:r/>
      <w:bookmarkStart w:id="138" w:name="_Toc513029225"/>
      <w:r/>
      <w:bookmarkStart w:id="139" w:name="_Toc16938541"/>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0" w:name="_Toc16938542"/>
      <w:r/>
      <w:bookmarkEnd w:id="140"/>
      <w:r/>
      <w:bookmarkStart w:id="141" w:name="_Toc513029226"/>
      <w:r/>
      <w:bookmarkEnd w:id="141"/>
      <w:r/>
      <w:bookmarkStart w:id="142" w:name="_Toc20823298"/>
      <w:r/>
      <w:bookmarkEnd w:id="142"/>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交易中心可以按照规定，通过修改招标文件酌情延长投标截止时间，在此情况下，投标人的所有权利和义务均以延长后新的截止时间为准。</w:t>
      </w:r>
      <w:r/>
    </w:p>
    <w:p>
      <w:pPr>
        <w:pStyle w:val="658"/>
        <w:ind w:firstLine="420"/>
        <w:spacing w:before="0" w:after="0" w:line="240" w:lineRule="auto"/>
        <w:rPr>
          <w:rFonts w:ascii="方正楷体_GBK" w:hAnsi="方正楷体_GBK" w:eastAsia="方正楷体_GBK" w:cs="方正楷体_GBK"/>
        </w:rPr>
      </w:pPr>
      <w:r/>
      <w:bookmarkStart w:id="143" w:name="_Toc20823299"/>
      <w:r/>
      <w:bookmarkStart w:id="144" w:name="_Toc513029227"/>
      <w:r/>
      <w:bookmarkStart w:id="145" w:name="_Toc16938543"/>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.1投标截止时间后上传的任何投标文件</w:t>
      </w:r>
      <w:r>
        <w:rPr>
          <w:rFonts w:hint="eastAsia" w:ascii="宋体" w:hAnsi="宋体"/>
          <w:color w:val="000000"/>
          <w:sz w:val="24"/>
        </w:rPr>
        <w:t xml:space="preserve">将被</w:t>
      </w:r>
      <w:r>
        <w:rPr>
          <w:rFonts w:hint="eastAsia" w:ascii="宋体" w:hAnsi="宋体"/>
          <w:color w:val="000000"/>
          <w:sz w:val="24"/>
          <w:lang w:val="zh-CN"/>
        </w:rPr>
        <w:t xml:space="preserve">拒绝。</w:t>
      </w:r>
      <w:r/>
    </w:p>
    <w:p>
      <w:pPr>
        <w:pStyle w:val="658"/>
        <w:ind w:firstLine="420"/>
        <w:spacing w:before="0" w:after="0" w:line="240" w:lineRule="auto"/>
        <w:rPr>
          <w:rFonts w:ascii="方正楷体_GBK" w:hAnsi="方正楷体_GBK" w:eastAsia="方正楷体_GBK" w:cs="方正楷体_GBK"/>
        </w:rPr>
      </w:pPr>
      <w:r/>
      <w:bookmarkStart w:id="146" w:name="_Toc513029228"/>
      <w:r/>
      <w:bookmarkStart w:id="147" w:name="_Toc20823300"/>
      <w:r/>
      <w:bookmarkStart w:id="148" w:name="_Toc16938544"/>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.1.1投标人可在投标截止时间前撤回其电子投标文件，具体操作方法见《操作手册》。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.1.2投标人撤回电子投标文件，则认为其不再参与本项目投标活动。</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.2.1投标人可在投标截止时间前对其电子投标文件进行修改，具体操作方法见《操作手册》。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.2.2投标截止时间之后，投标人不得对其电子投标文件作任何修改。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49" w:name="_Toc20823301"/>
      <w:r/>
      <w:bookmarkStart w:id="150" w:name="_Toc120614218"/>
      <w:r/>
      <w:bookmarkStart w:id="151" w:name="_Toc513029229"/>
      <w:r/>
      <w:bookmarkStart w:id="152" w:name="_Toc16938545"/>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
    </w:p>
    <w:p>
      <w:pPr>
        <w:pStyle w:val="658"/>
        <w:ind w:firstLine="420"/>
        <w:spacing w:before="0" w:after="0" w:line="240" w:lineRule="auto"/>
        <w:rPr>
          <w:rFonts w:ascii="方正楷体_GBK" w:hAnsi="方正楷体_GBK" w:eastAsia="方正楷体_GBK" w:cs="方正楷体_GBK"/>
        </w:rPr>
      </w:pPr>
      <w:r/>
      <w:bookmarkStart w:id="153" w:name="_Toc20823302"/>
      <w:r/>
      <w:bookmarkStart w:id="154" w:name="_Toc513029230"/>
      <w:r/>
      <w:bookmarkStart w:id="155" w:name="_Toc16938546"/>
      <w:r>
        <w:rPr>
          <w:rFonts w:hint="eastAsia" w:ascii="方正楷体_GBK" w:hAnsi="方正楷体_GBK" w:eastAsia="方正楷体_GBK" w:cs="方正楷体_GBK"/>
        </w:rPr>
        <w:t xml:space="preserve">20.开标</w:t>
      </w:r>
      <w:bookmarkEnd w:id="153"/>
      <w:r/>
      <w:bookmarkEnd w:id="154"/>
      <w:r/>
      <w:bookmarkEnd w:id="155"/>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p>
    <w:p>
      <w:pPr>
        <w:pStyle w:val="658"/>
        <w:ind w:firstLine="420"/>
        <w:spacing w:before="0" w:after="0" w:line="240" w:lineRule="auto"/>
        <w:rPr>
          <w:rFonts w:ascii="方正楷体_GBK" w:hAnsi="方正楷体_GBK" w:eastAsia="方正楷体_GBK" w:cs="方正楷体_GBK"/>
        </w:rPr>
      </w:pPr>
      <w:r/>
      <w:bookmarkStart w:id="156" w:name="_Toc16938547"/>
      <w:r/>
      <w:bookmarkStart w:id="157" w:name="_Toc513029231"/>
      <w:r/>
      <w:bookmarkStart w:id="158" w:name="_Toc20823303"/>
      <w:r>
        <w:rPr>
          <w:rFonts w:hint="eastAsia" w:ascii="方正楷体_GBK" w:hAnsi="方正楷体_GBK" w:eastAsia="方正楷体_GBK" w:cs="方正楷体_GBK"/>
        </w:rPr>
        <w:t xml:space="preserve">21.评标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w:t>
      </w:r>
      <w:r>
        <w:rPr>
          <w:rFonts w:hint="eastAsia" w:ascii="宋体" w:hAnsi="宋体"/>
          <w:sz w:val="24"/>
          <w:lang w:val="zh-CN"/>
        </w:rPr>
        <w:t xml:space="preserve">评委会由采购人代表和有关方面专家组成，人员构成符合政府采购有关规定。</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658"/>
        <w:ind w:firstLine="420"/>
        <w:spacing w:before="0" w:after="0" w:line="240" w:lineRule="auto"/>
        <w:rPr>
          <w:rFonts w:ascii="方正楷体_GBK" w:hAnsi="方正楷体_GBK" w:eastAsia="方正楷体_GBK" w:cs="方正楷体_GBK"/>
        </w:rPr>
      </w:pPr>
      <w:r/>
      <w:bookmarkStart w:id="159" w:name="_Toc513029232"/>
      <w:r/>
      <w:bookmarkStart w:id="160" w:name="_Toc16938548"/>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658"/>
        <w:ind w:firstLine="420"/>
        <w:spacing w:before="0" w:after="0" w:line="240" w:lineRule="auto"/>
        <w:rPr>
          <w:rFonts w:ascii="方正楷体_GBK" w:hAnsi="方正楷体_GBK" w:eastAsia="方正楷体_GBK" w:cs="方正楷体_GBK"/>
        </w:rPr>
      </w:pPr>
      <w:r/>
      <w:bookmarkStart w:id="162" w:name="_Toc513029233"/>
      <w:r/>
      <w:bookmarkStart w:id="163" w:name="_Toc16938549"/>
      <w:r/>
      <w:bookmarkStart w:id="164" w:name="_Toc20823305"/>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.1投标文件审查分为资格审查和符合性审查。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.1.3未通过资格审查或符合性审查的投标人，交易中心将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000000"/>
          <w:sz w:val="24"/>
          <w:lang w:val="zh-CN"/>
        </w:rPr>
      </w:pPr>
      <w:r/>
      <w:bookmarkStart w:id="165" w:name="_Toc513029234"/>
      <w:r/>
      <w:bookmarkStart w:id="166" w:name="_Toc16938550"/>
      <w:r/>
      <w:bookmarkStart w:id="167" w:name="_Toc20823306"/>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.6投标人在开、评标全过程中应保持通讯畅通，及时登录苏采云系统查阅、答复相关信息，并安排专人与交易中心及评委会联系。</w:t>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ascii="宋体" w:hAnsi="宋体"/>
          <w:color w:val="000000"/>
          <w:sz w:val="24"/>
          <w:lang w:val="zh-CN"/>
        </w:rPr>
      </w:pPr>
      <w:r/>
      <w:bookmarkStart w:id="168" w:name="_Toc513029235"/>
      <w:r/>
      <w:bookmarkStart w:id="169" w:name="_Toc20823307"/>
      <w:r/>
      <w:bookmarkStart w:id="170" w:name="_Toc16938551"/>
      <w:r/>
      <w:bookmarkStart w:id="171" w:name="_Toc120614219"/>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.1无效投标情形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.1.1投标人在苏采云系统规定的时间内未成功解密电子投标文件。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.1.2投标人未按照招标文件要求上传电子投标文件。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.1.3同一投标人提交两个（含两个）以上不同的投标报价</w:t>
      </w:r>
      <w:r>
        <w:rPr>
          <w:rFonts w:hint="eastAsia" w:ascii="宋体" w:hAnsi="宋体"/>
          <w:sz w:val="24"/>
        </w:rPr>
        <w:t xml:space="preserve">或单价上限</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.1.4投标人不具备招标文件中规定资格要求。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.1.5投标人的报价超过了采购预算、最高限价或单价上限。</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.1.6未通过符合性审查。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.1.9投标文件含有采购人不能接受的附加条件。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投标文件未按照招标文件要求加盖电子公章。</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.2废标情形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.2.1符合资格条件的供应商或者对招标文件作实质响应的供应商不足三家。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.2.2出现影响采购公正的违法、违规行为。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.2.3因重大变故采购任务取消。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.2.4评委会认定招标文件存在歧义、重大缺陷导致评审工作无法进行。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.2.5因苏采云系统故障造成开标不成功。</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p>
    <w:p>
      <w:pPr>
        <w:ind w:firstLine="420"/>
        <w:rPr>
          <w:lang w:val="zh-CN"/>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
    </w:p>
    <w:p>
      <w:pPr>
        <w:pStyle w:val="658"/>
        <w:ind w:firstLine="420"/>
        <w:spacing w:before="0" w:after="0" w:line="240" w:lineRule="auto"/>
        <w:rPr>
          <w:rFonts w:ascii="方正楷体_GBK" w:hAnsi="方正楷体_GBK" w:eastAsia="方正楷体_GBK" w:cs="方正楷体_GBK"/>
        </w:rPr>
      </w:pPr>
      <w:r/>
      <w:bookmarkStart w:id="172" w:name="_Toc513029238"/>
      <w:r/>
      <w:bookmarkStart w:id="173" w:name="_Toc16938554"/>
      <w:r/>
      <w:bookmarkStart w:id="174" w:name="_Toc20823310"/>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p>
    <w:p>
      <w:pPr>
        <w:ind w:firstLine="420"/>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ascii="宋体" w:hAnsi="宋体"/>
          <w:color w:val="000000"/>
          <w:sz w:val="24"/>
          <w:lang w:val="zh-CN"/>
        </w:rPr>
      </w:pPr>
      <w:r>
        <w:rPr>
          <w:rFonts w:hint="eastAsia" w:ascii="宋体" w:hAnsi="宋体"/>
          <w:color w:val="000000"/>
          <w:sz w:val="24"/>
          <w:lang w:val="zh-CN"/>
        </w:rPr>
        <w:t xml:space="preserve">26.4.1提供虚假材料谋取中标。</w:t>
      </w:r>
      <w:r/>
    </w:p>
    <w:p>
      <w:pPr>
        <w:ind w:firstLine="420"/>
        <w:rPr>
          <w:rFonts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p>
    <w:p>
      <w:pPr>
        <w:ind w:firstLine="420"/>
        <w:rPr>
          <w:rFonts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p>
    <w:p>
      <w:pPr>
        <w:ind w:firstLine="420"/>
        <w:rPr>
          <w:rFonts w:ascii="宋体" w:hAnsi="宋体"/>
          <w:color w:val="000000"/>
          <w:sz w:val="24"/>
          <w:lang w:val="zh-CN"/>
        </w:rPr>
      </w:pPr>
      <w:r>
        <w:rPr>
          <w:rFonts w:hint="eastAsia" w:ascii="宋体" w:hAnsi="宋体"/>
          <w:color w:val="000000"/>
          <w:sz w:val="24"/>
          <w:lang w:val="zh-CN"/>
        </w:rPr>
        <w:t xml:space="preserve">26.4.4属于本文件规定的无效投标情形，但在评标过程中未被评委会发现。</w:t>
      </w:r>
      <w:r/>
    </w:p>
    <w:p>
      <w:pPr>
        <w:ind w:firstLine="420"/>
        <w:rPr>
          <w:rFonts w:ascii="宋体" w:hAnsi="宋体"/>
          <w:color w:val="000000"/>
          <w:sz w:val="24"/>
          <w:lang w:val="zh-CN"/>
        </w:rPr>
      </w:pPr>
      <w:r>
        <w:rPr>
          <w:rFonts w:hint="eastAsia" w:ascii="宋体" w:hAnsi="宋体"/>
          <w:color w:val="000000"/>
          <w:sz w:val="24"/>
          <w:lang w:val="zh-CN"/>
        </w:rPr>
        <w:t xml:space="preserve">26.4.5采取不正当手段诋毁、排挤其他供应商。</w:t>
      </w:r>
      <w:r/>
    </w:p>
    <w:p>
      <w:pPr>
        <w:ind w:firstLine="420"/>
        <w:rPr>
          <w:rFonts w:ascii="宋体" w:hAnsi="宋体"/>
          <w:b/>
          <w:bCs/>
          <w:color w:val="000000"/>
          <w:sz w:val="24"/>
          <w:lang w:val="zh-CN"/>
        </w:rPr>
      </w:pPr>
      <w:r/>
      <w:bookmarkStart w:id="175"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b/>
          <w:bCs/>
          <w:color w:val="000000"/>
          <w:sz w:val="24"/>
          <w:lang w:val="zh-CN"/>
        </w:rPr>
        <w:t xml:space="preserve">有下列情形之一的视为投标人串通投标，投标无效：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.5.1不同投标人的投标文件由同一单位或者个人编制。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.5.2不同投标人委托同一单位或者个人办理投标事宜。</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.5.3不同投标人的投标文件载明的项目管理成员或者联系人员为同一人。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.5.4不同投标人的投标文件异常一致或者投标报价呈规律性差异。</w:t>
      </w:r>
      <w:bookmarkEnd w:id="175"/>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bookmarkStart w:id="176" w:name="_Toc120614220"/>
      <w:r/>
      <w:bookmarkStart w:id="177" w:name="_Toc16938552"/>
      <w:r/>
      <w:bookmarkStart w:id="178" w:name="_Toc20823308"/>
      <w:r/>
      <w:bookmarkStart w:id="179" w:name="_Toc513029236"/>
      <w:r>
        <w:rPr>
          <w:rFonts w:hint="eastAsia" w:ascii="方正黑体_GBK" w:hAnsi="方正黑体_GBK" w:eastAsia="方正黑体_GBK" w:cs="方正黑体_GBK"/>
          <w:b w:val="0"/>
          <w:bCs w:val="0"/>
          <w:color w:val="000000"/>
          <w:sz w:val="30"/>
          <w:szCs w:val="30"/>
        </w:rPr>
        <w:t xml:space="preserve">七、授予合同</w:t>
      </w:r>
      <w:bookmarkEnd w:id="176"/>
      <w:r/>
      <w:bookmarkEnd w:id="177"/>
      <w:r/>
      <w:bookmarkEnd w:id="178"/>
      <w:r/>
      <w:bookmarkEnd w:id="179"/>
      <w:r/>
      <w:r/>
    </w:p>
    <w:p>
      <w:pPr>
        <w:pStyle w:val="658"/>
        <w:ind w:firstLine="420"/>
        <w:spacing w:before="0" w:after="0" w:line="240" w:lineRule="auto"/>
        <w:rPr>
          <w:rFonts w:ascii="方正楷体_GBK" w:hAnsi="方正楷体_GBK" w:eastAsia="方正楷体_GBK" w:cs="方正楷体_GBK"/>
        </w:rPr>
      </w:pPr>
      <w:r/>
      <w:bookmarkStart w:id="180" w:name="_Toc16938553"/>
      <w:r/>
      <w:bookmarkStart w:id="181" w:name="_Toc513029237"/>
      <w:r/>
      <w:bookmarkStart w:id="182" w:name="_Toc20823309"/>
      <w:r>
        <w:rPr>
          <w:rFonts w:hint="eastAsia" w:ascii="方正楷体_GBK" w:hAnsi="方正楷体_GBK" w:eastAsia="方正楷体_GBK" w:cs="方正楷体_GBK"/>
        </w:rPr>
        <w:t xml:space="preserve">28.签订合同</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180"/>
      <w:r/>
      <w:bookmarkEnd w:id="181"/>
      <w:r/>
      <w:bookmarkEnd w:id="182"/>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color w:val="000000"/>
          <w:sz w:val="24"/>
          <w:lang w:val="zh-CN"/>
        </w:rPr>
      </w:pPr>
      <w:r>
        <w:rPr>
          <w:rFonts w:hint="eastAsia" w:ascii="宋体" w:hAnsi="宋体"/>
          <w:color w:val="000000"/>
          <w:sz w:val="24"/>
        </w:rPr>
        <w:t xml:space="preserve">30.1</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南京市公共资源交易平台网站“小企业融资平台”，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lang w:val="zh-CN"/>
        </w:rPr>
      </w:pPr>
      <w:r>
        <w:rPr>
          <w:rFonts w:hint="eastAsia" w:ascii="宋体" w:hAnsi="宋体"/>
          <w:color w:val="000000"/>
          <w:sz w:val="24"/>
        </w:rPr>
        <w:t xml:space="preserve">30.2依据《关于在全省政府采购领域推行电子履约保函（保险）的通知》（苏财购</w:t>
      </w:r>
      <w:r>
        <w:rPr>
          <w:rFonts w:hint="eastAsia" w:ascii="宋体" w:hAnsi="宋体" w:cs="宋体"/>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ind w:firstLine="420"/>
        <w:rPr>
          <w:rFonts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p>
    <w:p>
      <w:pPr>
        <w:ind w:firstLine="420"/>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w:t>
      </w:r>
      <w:r>
        <w:rPr>
          <w:rFonts w:ascii="宋体" w:hAnsi="宋体"/>
          <w:color w:val="000000"/>
          <w:sz w:val="24"/>
        </w:rPr>
        <w:t xml:space="preserve">且</w:t>
      </w:r>
      <w:r>
        <w:rPr>
          <w:rFonts w:hint="eastAsia" w:ascii="宋体" w:hAnsi="宋体"/>
          <w:color w:val="000000"/>
          <w:sz w:val="24"/>
          <w:lang w:val="zh-CN"/>
        </w:rPr>
        <w:t xml:space="preserve">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p>
    <w:p>
      <w:pPr>
        <w:ind w:firstLine="420"/>
        <w:rPr>
          <w:rFonts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20"/>
        <w:rPr>
          <w:rFonts w:ascii="宋体" w:hAnsi="宋体"/>
          <w:b w:val="0"/>
          <w:bCs w:val="0"/>
          <w:color w:val="000000"/>
          <w:sz w:val="24"/>
          <w:lang w:val="zh-CN"/>
        </w:rPr>
      </w:pPr>
      <w:r>
        <w:rPr>
          <w:rFonts w:hint="eastAsia" w:ascii="宋体" w:hAnsi="宋体"/>
          <w:color w:val="000000"/>
          <w:sz w:val="24"/>
        </w:rPr>
        <w:t xml:space="preserve">35.</w:t>
      </w:r>
      <w:r>
        <w:rPr>
          <w:rFonts w:hint="eastAsia" w:ascii="宋体" w:hAnsi="宋体"/>
          <w:b/>
          <w:bCs/>
          <w:sz w:val="24"/>
          <w:highlight w:val="none"/>
          <w:lang w:val="zh-CN"/>
        </w:rPr>
        <w:t xml:space="preserve">供应商（含潜在供应商）对采购方式、采购需求、供应商资格条件及审查结果、评标方法和评标标准、合同文本的</w:t>
      </w:r>
      <w:r>
        <w:rPr>
          <w:rFonts w:hint="eastAsia" w:ascii="宋体" w:hAnsi="宋体"/>
          <w:b/>
          <w:bCs/>
          <w:sz w:val="24"/>
          <w:highlight w:val="none"/>
        </w:rPr>
        <w:t xml:space="preserve">询问</w:t>
      </w:r>
      <w:r>
        <w:rPr>
          <w:rFonts w:hint="eastAsia" w:ascii="宋体" w:hAnsi="宋体"/>
          <w:b/>
          <w:bCs/>
          <w:sz w:val="24"/>
          <w:highlight w:val="none"/>
          <w:lang w:eastAsia="zh-CN"/>
        </w:rPr>
        <w:t xml:space="preserve">、</w:t>
      </w:r>
      <w:r>
        <w:rPr>
          <w:rFonts w:hint="eastAsia" w:ascii="宋体" w:hAnsi="宋体"/>
          <w:b/>
          <w:bCs/>
          <w:sz w:val="24"/>
          <w:highlight w:val="none"/>
          <w:lang w:val="zh-CN"/>
        </w:rPr>
        <w:t xml:space="preserve">质疑向采购人提出，由采购人负责答复。</w:t>
      </w:r>
      <w:r>
        <w:rPr>
          <w:rFonts w:hint="eastAsia" w:ascii="宋体" w:hAnsi="宋体"/>
          <w:b w:val="0"/>
          <w:bCs w:val="0"/>
          <w:sz w:val="24"/>
          <w:highlight w:val="none"/>
          <w:lang w:val="zh-CN"/>
        </w:rPr>
        <w:t xml:space="preserve">供应商</w:t>
      </w:r>
      <w:r>
        <w:rPr>
          <w:rFonts w:hint="eastAsia" w:ascii="宋体" w:hAnsi="宋体"/>
          <w:b w:val="0"/>
          <w:bCs w:val="0"/>
          <w:sz w:val="24"/>
          <w:lang w:val="zh-CN"/>
        </w:rPr>
        <w:t xml:space="preserve">对除上述事项以外其他事项的询问、质疑向交易中心提出，由交易中心负责答复。</w:t>
      </w:r>
      <w:r/>
    </w:p>
    <w:p>
      <w:pPr>
        <w:ind w:firstLine="422"/>
        <w:rPr>
          <w:rFonts w:ascii="宋体" w:hAnsi="宋体"/>
          <w:b/>
          <w:bCs/>
          <w:color w:val="000000"/>
          <w:sz w:val="24"/>
          <w:lang w:val="zh-CN"/>
        </w:rPr>
      </w:pPr>
      <w:r>
        <w:rPr>
          <w:rFonts w:hint="eastAsia" w:ascii="宋体" w:hAnsi="宋体"/>
          <w:b/>
          <w:bCs/>
          <w:color w:val="000000"/>
          <w:sz w:val="24"/>
          <w:lang w:val="zh-CN"/>
        </w:rPr>
        <w:t xml:space="preserve">采购人《质疑函》接收人及联系方式为南京市江宁区教育技术装备中心，联系地址：南京市江宁区东新北路16号503，联系人：宗建丰，联系电话：025-84930376。</w:t>
      </w:r>
      <w:r/>
    </w:p>
    <w:p>
      <w:pPr>
        <w:ind w:firstLine="420"/>
        <w:rPr>
          <w:rFonts w:ascii="宋体" w:hAnsi="宋体"/>
          <w:color w:val="000000"/>
          <w:sz w:val="24"/>
          <w:lang w:val="zh-CN"/>
        </w:rPr>
      </w:pPr>
      <w:r>
        <w:rPr>
          <w:rFonts w:hint="eastAsia" w:ascii="宋体" w:hAnsi="宋体"/>
          <w:color w:val="000000"/>
          <w:sz w:val="24"/>
          <w:lang w:val="zh-CN"/>
        </w:rPr>
        <w:t xml:space="preserve">交易中心质疑接收部门为业务受理科（快递运单上的收件人填写“业务受理科”即可），联系地址：南京市江宁区杨家圩路2号市民中心 A区3楼南京市公共资源交易中心江宁分中心A314业务受理科，联系电话：025-69634313。</w:t>
      </w:r>
      <w:r/>
    </w:p>
    <w:p>
      <w:pPr>
        <w:ind w:firstLine="422"/>
        <w:rPr>
          <w:rFonts w:ascii="宋体" w:hAnsi="宋体"/>
          <w:b/>
          <w:bCs/>
          <w:color w:val="000000"/>
          <w:sz w:val="24"/>
          <w:lang w:val="zh-CN"/>
        </w:rPr>
      </w:pPr>
      <w:r>
        <w:rPr>
          <w:rFonts w:hint="eastAsia" w:ascii="宋体" w:hAnsi="宋体"/>
          <w:b/>
          <w:bCs/>
          <w:color w:val="000000"/>
          <w:sz w:val="24"/>
          <w:lang w:val="zh-CN"/>
        </w:rPr>
        <w:t xml:space="preserve">由采购人负责答复的质疑，采购人将《质疑答复函》抄送交易中心。</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内容不符合《政府采购质疑和投诉办法》第十二条规定的质疑。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超出政府采购法定期限的质疑。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以传真、电子邮件等方式递交的非原件形式的质疑。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6.4 未参加</w:t>
      </w:r>
      <w:r>
        <w:rPr>
          <w:rFonts w:hint="eastAsia" w:ascii="宋体" w:hAnsi="宋体"/>
          <w:color w:val="000000"/>
          <w:sz w:val="24"/>
        </w:rPr>
        <w:t xml:space="preserve">采购</w:t>
      </w:r>
      <w:r>
        <w:rPr>
          <w:rFonts w:hint="eastAsia" w:ascii="宋体" w:hAnsi="宋体"/>
          <w:color w:val="000000"/>
          <w:sz w:val="24"/>
          <w:lang w:val="zh-CN"/>
        </w:rPr>
        <w:t xml:space="preserve">活动或在</w:t>
      </w:r>
      <w:r>
        <w:rPr>
          <w:rFonts w:hint="eastAsia" w:ascii="宋体" w:hAnsi="宋体"/>
          <w:color w:val="000000"/>
          <w:sz w:val="24"/>
        </w:rPr>
        <w:t xml:space="preserve">采购</w:t>
      </w:r>
      <w:r>
        <w:rPr>
          <w:rFonts w:hint="eastAsia" w:ascii="宋体" w:hAnsi="宋体"/>
          <w:color w:val="000000"/>
          <w:sz w:val="24"/>
          <w:lang w:val="zh-CN"/>
        </w:rPr>
        <w:t xml:space="preserve">活动中自身权益未受到损害的供应商所提出的质疑。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6.5供应商组成联合体参加采购活动，联合体中任何一方或多方未按要求签字</w:t>
      </w:r>
      <w:r>
        <w:rPr>
          <w:rFonts w:hint="eastAsia" w:ascii="宋体" w:hAnsi="宋体"/>
          <w:color w:val="000000"/>
          <w:sz w:val="24"/>
        </w:rPr>
        <w:t xml:space="preserve">或签章</w:t>
      </w:r>
      <w:r>
        <w:rPr>
          <w:rFonts w:hint="eastAsia" w:ascii="宋体" w:hAnsi="宋体"/>
          <w:color w:val="000000"/>
          <w:sz w:val="24"/>
          <w:lang w:val="zh-CN"/>
        </w:rPr>
        <w:t xml:space="preserve">、加盖公章的质疑。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658"/>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38.促进中小企业发展</w:t>
      </w:r>
      <w:r/>
    </w:p>
    <w:p>
      <w:pPr>
        <w:ind w:firstLine="420"/>
        <w:rPr>
          <w:rFonts w:ascii="宋体" w:hAnsi="宋体"/>
          <w:color w:val="000000"/>
          <w:sz w:val="24"/>
          <w:lang w:val="zh-CN"/>
        </w:rPr>
      </w:pPr>
      <w:r>
        <w:rPr>
          <w:rFonts w:hint="eastAsia" w:ascii="宋体" w:hAnsi="宋体"/>
          <w:color w:val="000000"/>
          <w:sz w:val="24"/>
        </w:rPr>
        <w:t xml:space="preserve">38.1 </w:t>
      </w:r>
      <w:r>
        <w:rPr>
          <w:rFonts w:hint="eastAsia" w:ascii="宋体" w:hAnsi="宋体"/>
          <w:color w:val="000000"/>
          <w:sz w:val="24"/>
          <w:lang w:val="zh-CN"/>
        </w:rPr>
        <w:t xml:space="preserve">本项目中的货物全部由中小企业制造的，投标供应商享受中小企业扶持政策。</w:t>
      </w:r>
      <w:r/>
    </w:p>
    <w:p>
      <w:pPr>
        <w:ind w:firstLine="420"/>
        <w:rPr>
          <w:rFonts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rPr>
          <w:rFonts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属于政府强制采购节能产品的，供应商应当选择依据国家能效标准中二级能效（水效）指标认证的节能产品投标，提供国家确定的认证机构出具的、处于有效期之内的节能产品认证证书。 </w:t>
      </w:r>
      <w:r/>
    </w:p>
    <w:p>
      <w:pPr>
        <w:ind w:firstLine="420"/>
        <w:rPr>
          <w:rFonts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color w:val="000000"/>
          <w:sz w:val="24"/>
        </w:rPr>
      </w:pPr>
      <w:r>
        <w:rPr>
          <w:rFonts w:hint="eastAsia" w:ascii="宋体" w:hAnsi="宋体"/>
          <w:color w:val="000000"/>
          <w:sz w:val="24"/>
        </w:rPr>
        <w:t xml:space="preserve">40.1 采购产品</w:t>
      </w:r>
      <w:r>
        <w:rPr>
          <w:rFonts w:hint="eastAsia" w:ascii="宋体"/>
          <w:bCs/>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p>
    <w:p>
      <w:pPr>
        <w:pStyle w:val="65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color w:val="000000"/>
          <w:sz w:val="24"/>
          <w:lang w:val="zh-CN"/>
        </w:rPr>
      </w:pPr>
      <w:r>
        <w:rPr>
          <w:rFonts w:hint="eastAsia" w:ascii="宋体" w:hAnsi="宋体"/>
          <w:color w:val="000000"/>
          <w:sz w:val="24"/>
        </w:rPr>
        <w:t xml:space="preserve">42.1</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eastAsia="宋体" w:cs="Times New Roman"/>
          <w:color w:val="000000"/>
          <w:sz w:val="24"/>
          <w:highlight w:val="yellow"/>
        </w:rPr>
      </w:pPr>
      <w:r>
        <w:rPr>
          <w:rFonts w:hint="eastAsia" w:ascii="宋体" w:hAnsi="宋体"/>
          <w:color w:val="000000"/>
          <w:sz w:val="24"/>
        </w:rPr>
        <w:t xml:space="preserve">42.2</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8"/>
        <w:ind w:firstLine="420"/>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43.</w:t>
      </w:r>
      <w:r>
        <w:rPr>
          <w:rFonts w:hint="eastAsia" w:ascii="方正楷体_GBK" w:hAnsi="方正楷体_GBK" w:eastAsia="方正楷体_GBK" w:cs="方正楷体_GBK"/>
          <w:bCs/>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43.</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Times New Roman"/>
          <w:color w:val="auto"/>
          <w:sz w:val="24"/>
          <w:highlight w:val="none"/>
          <w:lang w:val="en-US" w:eastAsia="zh-CN"/>
        </w:rPr>
        <w:t xml:space="preserve">采</w:t>
      </w:r>
      <w:r>
        <w:rPr>
          <w:rFonts w:hint="eastAsia" w:ascii="宋体" w:hAnsi="宋体" w:eastAsia="宋体" w:cs="Times New Roman"/>
          <w:color w:val="auto"/>
          <w:sz w:val="24"/>
          <w:highlight w:val="none"/>
          <w:lang w:val="en-US" w:eastAsia="zh-CN"/>
        </w:rPr>
        <w:t xml:space="preserve">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43.2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43.3本国产品标准的适用范围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43.4对本国产品的支持政策</w:t>
      </w:r>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rPr>
          <w:rFonts w:ascii="宋体" w:hAnsi="宋体"/>
          <w:color w:val="000000"/>
          <w:sz w:val="24"/>
          <w:highlight w:val="none"/>
          <w:lang w:val="zh-CN"/>
        </w:rPr>
      </w:pPr>
      <w:r>
        <w:rPr>
          <w:rFonts w:ascii="宋体" w:hAnsi="宋体"/>
          <w:color w:val="000000"/>
          <w:sz w:val="24"/>
          <w:highlight w:val="none"/>
          <w:lang w:val="zh-CN"/>
        </w:rPr>
      </w:r>
      <w:r/>
    </w:p>
    <w:p>
      <w:pPr>
        <w:pStyle w:val="722"/>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rPr>
          <w:rFonts w:ascii="宋体" w:hAnsi="宋体"/>
          <w:color w:val="000000"/>
          <w:sz w:val="24"/>
          <w:highlight w:val="none"/>
          <w:lang w:val="zh-CN"/>
        </w:rPr>
      </w:pPr>
      <w:r>
        <w:rPr>
          <w:rFonts w:ascii="宋体" w:hAnsi="宋体"/>
          <w:color w:val="000000"/>
          <w:sz w:val="24"/>
          <w:highlight w:val="none"/>
          <w:lang w:val="zh-CN"/>
        </w:rPr>
      </w:r>
      <w:r/>
    </w:p>
    <w:p>
      <w:pPr>
        <w:pStyle w:val="722"/>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rPr>
          <w:rFonts w:ascii="宋体" w:hAnsi="宋体"/>
          <w:color w:val="000000"/>
          <w:sz w:val="24"/>
          <w:highlight w:val="none"/>
          <w:lang w:val="zh-CN"/>
        </w:rPr>
      </w:pPr>
      <w:r>
        <w:rPr>
          <w:rFonts w:ascii="宋体" w:hAnsi="宋体"/>
          <w:color w:val="000000"/>
          <w:sz w:val="24"/>
          <w:highlight w:val="none"/>
          <w:lang w:val="zh-CN"/>
        </w:rPr>
      </w:r>
      <w:r/>
    </w:p>
    <w:p>
      <w:pPr>
        <w:pStyle w:val="722"/>
        <w:ind w:left="0"/>
        <w:jc w:val="center"/>
        <w:rPr>
          <w:rFonts w:ascii="黑体" w:hAnsi="Times New Roman" w:eastAsia="黑体" w:cs="Times New Roman"/>
          <w:color w:val="000000"/>
          <w:sz w:val="44"/>
          <w:szCs w:val="44"/>
        </w:rPr>
      </w:pPr>
      <w:r>
        <w:rPr>
          <w:rFonts w:hint="eastAsia"/>
          <w:highlight w:val="none"/>
        </w:rPr>
        <w:br w:type="page" w:clear="all"/>
      </w:r>
      <w:r>
        <w:rPr>
          <w:rFonts w:hint="eastAsia" w:ascii="方正小标宋简体" w:hAnsi="方正小标宋简体" w:eastAsia="方正小标宋简体" w:cs="方正小标宋简体"/>
          <w:b/>
          <w:bCs/>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b/>
          <w:bCs/>
          <w:color w:val="000000"/>
          <w:sz w:val="36"/>
          <w:szCs w:val="36"/>
          <w:lang w:val="en-US"/>
        </w:rPr>
        <w:t xml:space="preserve">文本</w:t>
      </w:r>
      <w:r/>
    </w:p>
    <w:p>
      <w:pPr>
        <w:ind w:firstLine="480"/>
        <w:spacing w:line="264" w:lineRule="auto"/>
        <w:rPr>
          <w:rFonts w:ascii="宋体" w:hAnsi="宋体"/>
          <w:bCs/>
          <w:color w:val="000000"/>
          <w:sz w:val="24"/>
          <w:szCs w:val="21"/>
        </w:rPr>
      </w:pPr>
      <w:r/>
      <w:bookmarkStart w:id="183" w:name="_Toc20823315"/>
      <w:r/>
      <w:bookmarkStart w:id="184" w:name="_Toc513029243"/>
      <w:r/>
      <w:bookmarkStart w:id="185" w:name="_Toc16938559"/>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
          <w:bCs w:val="0"/>
          <w:color w:val="000000"/>
          <w:sz w:val="32"/>
          <w:szCs w:val="32"/>
        </w:rPr>
        <w:outlineLvl w:val="0"/>
      </w:pPr>
      <w:r>
        <w:rPr>
          <w:rFonts w:hint="eastAsia" w:ascii="方正小标宋简体" w:hAnsi="方正小标宋简体" w:eastAsia="方正小标宋简体" w:cs="方正小标宋简体"/>
          <w:b/>
          <w:bCs w:val="0"/>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lang w:val="en-US" w:eastAsia="zh-CN"/>
        </w:rPr>
        <w:t xml:space="preserve"> </w:t>
      </w:r>
      <w:r>
        <w:rPr>
          <w:rFonts w:hint="eastAsia" w:ascii="宋体" w:hAnsi="宋体"/>
          <w:sz w:val="24"/>
          <w:szCs w:val="24"/>
          <w:highlight w:val="none"/>
          <w:u w:val="single"/>
          <w:lang w:val="en-US" w:eastAsia="zh-CN"/>
        </w:rPr>
        <w:t xml:space="preserve">江宁区龙都初级中学等校教学设备 </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u w:val="none"/>
        </w:rPr>
      </w:pPr>
      <w:r>
        <w:rPr>
          <w:rFonts w:hint="eastAsia" w:ascii="宋体" w:hAnsi="宋体" w:cs="Courier New"/>
          <w:color w:val="000000"/>
          <w:sz w:val="24"/>
          <w:szCs w:val="24"/>
        </w:rPr>
        <w:t xml:space="preserve">1.1 标的名称：</w:t>
      </w:r>
      <w:r>
        <w:rPr>
          <w:rFonts w:hint="eastAsia" w:ascii="宋体" w:hAnsi="宋体"/>
          <w:sz w:val="24"/>
          <w:szCs w:val="24"/>
          <w:highlight w:val="none"/>
          <w:u w:val="none"/>
          <w:lang w:val="en-US" w:eastAsia="zh-CN"/>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履行时间（期限）：合同签订后30个日历日</w:t>
      </w:r>
      <w:r>
        <w:rPr>
          <w:rFonts w:hint="eastAsia" w:ascii="宋体" w:hAnsi="宋体" w:cs="宋体"/>
          <w:color w:val="000000"/>
          <w:sz w:val="24"/>
          <w:szCs w:val="24"/>
        </w:rPr>
        <w:t xml:space="preserve">完成交货</w:t>
      </w:r>
      <w:r>
        <w:rPr>
          <w:rFonts w:hint="eastAsia" w:ascii="宋体" w:hAnsi="宋体" w:cs="Courier New"/>
          <w:color w:val="000000"/>
          <w:sz w:val="24"/>
          <w:szCs w:val="24"/>
        </w:rPr>
        <w:t xml:space="preserve">，投标人所投产品质保期限不低于六年（自验收报告签字确认日起开始进入质保期）</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79"/>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w:t>
      </w:r>
      <w:r>
        <w:rPr>
          <w:rFonts w:hint="eastAsia" w:ascii="宋体" w:hAnsi="宋体" w:cs="Courier New"/>
          <w:color w:val="000000"/>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sz w:val="24"/>
          <w:szCs w:val="24"/>
        </w:rPr>
        <w:t xml:space="preserve">10.5质保期为自交货验收合格</w:t>
      </w:r>
      <w:r>
        <w:rPr>
          <w:rFonts w:hint="eastAsia" w:ascii="宋体" w:hAnsi="宋体" w:cs="Courier New"/>
          <w:sz w:val="24"/>
          <w:szCs w:val="24"/>
          <w:highlight w:val="none"/>
        </w:rPr>
        <w:t xml:space="preserve">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6 </w:t>
      </w:r>
      <w:r>
        <w:rPr>
          <w:rFonts w:hint="eastAsia" w:ascii="宋体" w:hAnsi="宋体" w:cs="Courier New"/>
          <w:color w:val="000000"/>
          <w:sz w:val="24"/>
          <w:szCs w:val="24"/>
          <w:highlight w:val="none"/>
          <w:u w:val="single"/>
        </w:rPr>
        <w:t xml:space="preserve"> </w:t>
      </w:r>
      <w:r>
        <w:rPr>
          <w:rFonts w:hint="eastAsia" w:ascii="宋体" w:hAnsi="宋体" w:cs="Courier New"/>
          <w:sz w:val="24"/>
          <w:szCs w:val="24"/>
          <w:highlight w:val="none"/>
        </w:rPr>
        <w:t xml:space="preserve">年，</w:t>
      </w:r>
      <w:r>
        <w:rPr>
          <w:rFonts w:hint="eastAsia" w:ascii="宋体" w:hAnsi="宋体" w:cs="Courier New"/>
          <w:sz w:val="24"/>
          <w:szCs w:val="24"/>
        </w:rPr>
        <w:t xml:space="preserve">因人为因素出现的故障不</w:t>
      </w:r>
      <w:r>
        <w:rPr>
          <w:rFonts w:hint="eastAsia" w:ascii="宋体" w:hAnsi="宋体" w:cs="Courier New"/>
          <w:color w:val="000000"/>
          <w:sz w:val="24"/>
          <w:szCs w:val="24"/>
        </w:rPr>
        <w:t xml:space="preserve">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w:t>
      </w:r>
      <w:r>
        <w:rPr>
          <w:rFonts w:hint="eastAsia" w:ascii="宋体" w:hAnsi="宋体" w:cs="Courier New"/>
          <w:color w:val="000000"/>
          <w:sz w:val="24"/>
          <w:szCs w:val="24"/>
        </w:rPr>
        <w:t xml:space="preserve">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3"/>
      <w:r/>
      <w:bookmarkEnd w:id="184"/>
      <w:r/>
      <w:bookmarkEnd w:id="185"/>
      <w:r/>
      <w:r/>
    </w:p>
    <w:p>
      <w:pPr>
        <w:pStyle w:val="679"/>
        <w:spacing w:before="120" w:after="120" w:line="264" w:lineRule="auto"/>
        <w:rPr>
          <w:rFonts w:hAnsi="宋体"/>
          <w:sz w:val="24"/>
          <w:szCs w:val="24"/>
        </w:rPr>
      </w:pPr>
      <w:r/>
      <w:bookmarkStart w:id="192" w:name="_Hlt16619369"/>
      <w:r/>
      <w:bookmarkEnd w:id="192"/>
      <w:r/>
      <w:r/>
    </w:p>
    <w:p>
      <w:pPr>
        <w:pStyle w:val="679"/>
        <w:spacing w:before="120" w:after="120" w:line="264" w:lineRule="auto"/>
        <w:rPr>
          <w:rFonts w:hAnsi="宋体"/>
          <w:sz w:val="24"/>
          <w:szCs w:val="24"/>
        </w:rPr>
      </w:pPr>
      <w:r>
        <w:rPr>
          <w:rFonts w:hint="eastAsia" w:hAnsi="宋体"/>
          <w:sz w:val="24"/>
          <w:szCs w:val="24"/>
        </w:rPr>
        <w:t xml:space="preserve">甲方：（公章）                乙方：（公章）</w:t>
      </w:r>
      <w:r/>
    </w:p>
    <w:p>
      <w:pPr>
        <w:pStyle w:val="679"/>
        <w:spacing w:before="120" w:after="120" w:line="264" w:lineRule="auto"/>
        <w:rPr>
          <w:rFonts w:hAnsi="宋体"/>
          <w:sz w:val="24"/>
          <w:szCs w:val="24"/>
        </w:rPr>
      </w:pPr>
      <w:r>
        <w:rPr>
          <w:rFonts w:hint="eastAsia" w:hAnsi="宋体"/>
          <w:sz w:val="24"/>
          <w:szCs w:val="24"/>
        </w:rPr>
        <w:t xml:space="preserve">地址：                        地址： </w:t>
      </w:r>
      <w:r/>
    </w:p>
    <w:p>
      <w:pPr>
        <w:pStyle w:val="679"/>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679"/>
        <w:spacing w:before="120" w:after="120" w:line="264" w:lineRule="auto"/>
        <w:rPr>
          <w:rFonts w:hAnsi="宋体"/>
          <w:sz w:val="24"/>
          <w:szCs w:val="24"/>
        </w:rPr>
      </w:pPr>
      <w:r>
        <w:rPr>
          <w:rFonts w:hint="eastAsia" w:hAnsi="宋体"/>
          <w:sz w:val="24"/>
          <w:szCs w:val="24"/>
        </w:rPr>
        <w:t xml:space="preserve">联系电话：                    联系电话：          </w:t>
      </w:r>
      <w:r/>
    </w:p>
    <w:p>
      <w:pPr>
        <w:pStyle w:val="679"/>
        <w:spacing w:before="120" w:after="120" w:line="264" w:lineRule="auto"/>
        <w:rPr>
          <w:rFonts w:hAnsi="宋体"/>
          <w:sz w:val="24"/>
          <w:szCs w:val="24"/>
        </w:rPr>
      </w:pPr>
      <w:r>
        <w:rPr>
          <w:rFonts w:hAnsi="宋体"/>
          <w:sz w:val="24"/>
          <w:szCs w:val="24"/>
        </w:rPr>
      </w:r>
      <w:r/>
    </w:p>
    <w:p>
      <w:pPr>
        <w:pStyle w:val="679"/>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679"/>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
    </w:p>
    <w:p>
      <w:pPr>
        <w:ind w:firstLine="480"/>
        <w:spacing w:line="264" w:lineRule="auto"/>
        <w:rPr>
          <w:rFonts w:ascii="黑体" w:hAnsi="黑体" w:eastAsia="黑体" w:cs="黑体"/>
          <w:color w:val="000000"/>
          <w:sz w:val="24"/>
          <w:szCs w:val="24"/>
        </w:rPr>
      </w:pPr>
      <w:r/>
      <w:bookmarkStart w:id="193" w:name="_Toc49090575"/>
      <w:r/>
      <w:bookmarkStart w:id="194"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南京市江宁区教育技术装备中心拟采购一批各学校教学设备，决定对</w:t>
      </w:r>
      <w:r>
        <w:rPr>
          <w:rFonts w:hint="eastAsia" w:ascii="宋体" w:hAnsi="宋体"/>
          <w:sz w:val="24"/>
          <w:szCs w:val="24"/>
          <w:highlight w:val="none"/>
          <w:lang w:val="en-US" w:eastAsia="zh-CN"/>
        </w:rPr>
        <w:t xml:space="preserve">江宁区龙都初级中学等校教学设备</w:t>
      </w:r>
      <w:r>
        <w:rPr>
          <w:rFonts w:hint="eastAsia" w:ascii="宋体" w:hAnsi="宋体"/>
          <w:sz w:val="24"/>
          <w:szCs w:val="24"/>
        </w:rPr>
        <w:t xml:space="preserve">项目进行公开招标。供应商应负责设备的供应、安装、调试及售后。</w:t>
      </w:r>
      <w:r/>
    </w:p>
    <w:p>
      <w:pPr>
        <w:ind w:firstLine="480"/>
        <w:spacing w:line="264" w:lineRule="auto"/>
        <w:rPr>
          <w:rFonts w:ascii="宋体" w:hAnsi="宋体" w:cs="宋体"/>
          <w:sz w:val="24"/>
          <w:szCs w:val="28"/>
        </w:rPr>
      </w:pPr>
      <w:r>
        <w:rPr>
          <w:rFonts w:hint="eastAsia" w:ascii="宋体" w:hAnsi="宋体" w:cs="宋体"/>
          <w:bCs/>
          <w:sz w:val="24"/>
          <w:szCs w:val="24"/>
        </w:rPr>
        <w:t xml:space="preserve">本项目为班级多媒体设备采购，主要用于学校的班级教室的教学及展示使用。包含：</w:t>
      </w:r>
      <w:r/>
    </w:p>
    <w:p>
      <w:pPr>
        <w:ind w:firstLine="480"/>
        <w:spacing w:line="264"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1、南京市江宁区谷里中心小学</w:t>
      </w:r>
      <w:r>
        <w:rPr>
          <w:rFonts w:hint="eastAsia" w:ascii="宋体" w:hAnsi="宋体" w:eastAsia="宋体" w:cs="宋体"/>
          <w:bCs/>
          <w:sz w:val="24"/>
          <w:szCs w:val="24"/>
          <w:lang w:val="en-US" w:eastAsia="zh-CN" w:bidi="ar-SA"/>
        </w:rPr>
        <w:t xml:space="preserve">教学</w:t>
      </w:r>
      <w:r>
        <w:rPr>
          <w:rFonts w:hint="eastAsia" w:ascii="宋体" w:hAnsi="宋体" w:cs="宋体"/>
          <w:bCs/>
          <w:sz w:val="24"/>
          <w:szCs w:val="24"/>
          <w:lang w:val="en-US" w:eastAsia="zh-CN"/>
        </w:rPr>
        <w:t xml:space="preserve">设备：含智能交互黑板24套，OPS设备24套，数字互联模块24套，集控管理平台46台，课程云盒24台，智能电子笔24支，视频展台24台，阵列式音箱24套，指令拾音器（含充电仓）24套，智能教学书写本6台，USB蓝牙适配器6台，微课制作软件6套，多媒体讲台24套，无线键鼠套装24套，多媒体线材及相关配件24套，原教学设备拆除服务费24套，多媒体设备线路铺设及设备安装调试24套。</w:t>
      </w:r>
      <w:r/>
    </w:p>
    <w:p>
      <w:pPr>
        <w:ind w:firstLine="480"/>
        <w:spacing w:line="264"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2、南京市竹山小学教学设备：</w:t>
      </w:r>
      <w:r>
        <w:rPr>
          <w:rFonts w:hint="eastAsia" w:ascii="宋体" w:hAnsi="宋体" w:cs="宋体"/>
          <w:bCs/>
          <w:sz w:val="24"/>
          <w:szCs w:val="24"/>
          <w:lang w:val="en-US" w:eastAsia="zh-CN"/>
        </w:rPr>
        <w:t xml:space="preserve">含智能交互黑板16套，OPS设备16套，数字互联模块16套，集控管理平台16台，课程云盒16台，智能电子笔16支，视频展台16台，阵列式音箱16套，指令拾音器（含充电仓）16套，智能教学书写本6台，USB蓝牙适配器6台，微课制作软件6套，无线键鼠套装16套，多媒体线材及相关配件16套，原教学设备拆除服务费16套，多媒体设备线路铺设及设备安装调试16套。</w:t>
      </w:r>
      <w:r/>
    </w:p>
    <w:p>
      <w:pPr>
        <w:ind w:firstLine="480"/>
        <w:spacing w:line="264"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highlight w:val="none"/>
          <w:lang w:val="en-US" w:eastAsia="zh-CN" w:bidi="ar-SA"/>
        </w:rPr>
        <w:t xml:space="preserve">3、</w:t>
      </w:r>
      <w:r>
        <w:rPr>
          <w:rFonts w:hint="eastAsia" w:ascii="宋体" w:hAnsi="宋体" w:cs="宋体"/>
          <w:bCs/>
          <w:sz w:val="24"/>
          <w:szCs w:val="24"/>
          <w:highlight w:val="none"/>
          <w:lang w:val="en-US" w:eastAsia="zh-CN" w:bidi="ar-SA"/>
        </w:rPr>
        <w:t xml:space="preserve">其他</w:t>
      </w:r>
      <w:r>
        <w:rPr>
          <w:rFonts w:hint="eastAsia" w:ascii="宋体" w:hAnsi="宋体" w:eastAsia="宋体" w:cs="宋体"/>
          <w:bCs/>
          <w:sz w:val="24"/>
          <w:szCs w:val="24"/>
          <w:highlight w:val="none"/>
          <w:lang w:val="en-US" w:eastAsia="zh-CN" w:bidi="ar-SA"/>
        </w:rPr>
        <w:t xml:space="preserve">教学设备：</w:t>
      </w:r>
      <w:r>
        <w:rPr>
          <w:rFonts w:hint="eastAsia" w:ascii="宋体" w:hAnsi="宋体" w:cs="宋体"/>
          <w:bCs/>
          <w:sz w:val="24"/>
          <w:szCs w:val="24"/>
          <w:lang w:val="en-US" w:eastAsia="zh-CN"/>
        </w:rPr>
        <w:t xml:space="preserve">含智能交互黑板1套，OPS设备1套，数字互联模块1套，集控管理平台1台，课程云盒1台，智能电子笔1支，视频展台1台，阵列式音箱1套，指令拾音器（含充电仓）1套，多媒体讲台1套，无线键鼠套装1套，多媒体线材及相关配件1套，原教学设备拆除服务费1套，多媒体设备线路铺设及设备安装调试1套。</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w:t>
      </w:r>
      <w:r>
        <w:rPr>
          <w:rFonts w:hint="eastAsia" w:ascii="宋体" w:hAnsi="宋体" w:cs="宋体"/>
          <w:bCs/>
          <w:sz w:val="24"/>
          <w:szCs w:val="24"/>
          <w:lang w:eastAsia="zh-CN"/>
        </w:rPr>
        <w:t xml:space="preserve">、</w:t>
      </w:r>
      <w:r>
        <w:rPr>
          <w:rFonts w:hint="eastAsia" w:ascii="宋体" w:hAnsi="宋体" w:cs="宋体"/>
          <w:bCs/>
          <w:sz w:val="24"/>
          <w:szCs w:val="24"/>
        </w:rPr>
        <w:t xml:space="preserve">《关于印发南京市中小学通用资产配置标准的通知》</w:t>
      </w:r>
      <w:r>
        <w:rPr>
          <w:rFonts w:hint="eastAsia" w:ascii="宋体" w:hAnsi="宋体" w:cs="宋体"/>
          <w:bCs/>
          <w:sz w:val="24"/>
          <w:szCs w:val="24"/>
          <w:lang w:eastAsia="zh-CN"/>
        </w:rPr>
        <w:t xml:space="preserve">、</w:t>
      </w:r>
      <w:r>
        <w:rPr>
          <w:rFonts w:hint="eastAsia" w:ascii="宋体" w:hAnsi="宋体" w:cs="宋体"/>
          <w:bCs/>
          <w:sz w:val="24"/>
          <w:szCs w:val="24"/>
        </w:rPr>
        <w:t xml:space="preserve">《关于印发〈江宁区区级行政事业单位资产配置标准〉、〈江宁区区级行政事业单位资产使用年限标准〉（2016年修订版）的通知》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ascii="宋体" w:hAnsi="宋体" w:cs="宋体"/>
          <w:bCs/>
          <w:sz w:val="24"/>
          <w:szCs w:val="24"/>
        </w:rPr>
      </w:pPr>
      <w:r>
        <w:rPr>
          <w:rFonts w:hint="eastAsia" w:ascii="黑体" w:hAnsi="黑体" w:eastAsia="黑体" w:cs="黑体"/>
          <w:color w:val="000000"/>
          <w:sz w:val="24"/>
          <w:szCs w:val="24"/>
        </w:rPr>
        <w:t xml:space="preserve">三、</w:t>
      </w:r>
      <w:r>
        <w:rPr>
          <w:rFonts w:hint="eastAsia" w:ascii="黑体" w:hAnsi="黑体" w:eastAsia="黑体" w:cs="黑体"/>
          <w:color w:val="000000"/>
          <w:sz w:val="24"/>
          <w:szCs w:val="24"/>
          <w:lang w:val="en-US" w:eastAsia="zh-CN"/>
        </w:rPr>
        <w:t xml:space="preserve">项目清单</w:t>
      </w:r>
      <w:r/>
    </w:p>
    <w:tbl>
      <w:tblPr>
        <w:tblStyle w:val="665"/>
        <w:tblW w:w="10227" w:type="dxa"/>
        <w:tblInd w:w="-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2"/>
        <w:gridCol w:w="1868"/>
        <w:gridCol w:w="736"/>
        <w:gridCol w:w="682"/>
        <w:gridCol w:w="1186"/>
        <w:gridCol w:w="1596"/>
        <w:gridCol w:w="1418"/>
        <w:gridCol w:w="695"/>
        <w:gridCol w:w="136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政府强制采购节能产品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智能交互黑板</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OPS设备</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数字互联模块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课程云盒</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智能电子笔</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阵列式音箱</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指令拾音器（含充电仓）</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智能教学书写本</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USB蓝牙适配器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微课制作软件</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多媒体线材及相关配件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原教学设备拆除服务费</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73"/>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多媒体设备线路铺设及设备安装调试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spacing w:line="264" w:lineRule="auto"/>
        <w:rPr>
          <w:rFonts w:hint="eastAsia" w:ascii="宋体" w:hAnsi="宋体" w:eastAsia="黑体" w:cs="宋体"/>
          <w:b/>
          <w:color w:val="000000"/>
          <w:sz w:val="24"/>
          <w:szCs w:val="24"/>
          <w:lang w:eastAsia="zh-CN"/>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665"/>
        <w:tblW w:w="1019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2"/>
        <w:gridCol w:w="1438"/>
        <w:gridCol w:w="8109"/>
      </w:tblGrid>
      <w:tr>
        <w:trPr>
          <w:trHeight w:val="404"/>
        </w:trPr>
        <w:tc>
          <w:tcPr>
            <w:shd w:val="clear" w:color="auto" w:fill="auto"/>
            <w:tcW w:w="6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W w:w="81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功能、性能、配置要求不低于以下要求</w:t>
            </w:r>
            <w:r/>
          </w:p>
        </w:tc>
      </w:tr>
      <w:tr>
        <w:trPr>
          <w:trHeight w:val="17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智能交互黑板</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1、显示尺寸≥86英寸，分辨率：3840*2160 ，支持40点触控及40点书写划线，背光系统支持DC调光方式，多级亮度调节，拍摄时画面无条纹闪烁，光源稳定无频闪，蓝光危害为RG0豁免级，智能交互黑板具备屏体温度实时监控、高温预警及断电保护等功能；</w:t>
            </w:r>
            <w:r/>
          </w:p>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2、接口具备中文标识，至少具有1路HDMI接口（非转接），2路USB3.0接口，1路Type-C接口；无需打开智能交互黑板背板，前置接口面板支持单独前拆维护，后置非转接 HDMI输入≥2路，HDMI输出≥1路；</w:t>
            </w:r>
            <w:r/>
          </w:p>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3、采用≥12核驱动芯片，</w:t>
            </w:r>
            <w:r>
              <w:rPr>
                <w:rFonts w:hint="eastAsia" w:ascii="宋体" w:hAnsi="宋体" w:cs="宋体"/>
                <w:b w:val="0"/>
                <w:bCs w:val="0"/>
                <w:i w:val="0"/>
                <w:iCs w:val="0"/>
                <w:color w:val="000000"/>
                <w:sz w:val="22"/>
                <w:szCs w:val="22"/>
                <w:highlight w:val="none"/>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8核CPU、4核GPU。内存≥4G，存储≥32G，内置一体化超高清5K摄像头，单颗摄像头有效像素≥1900W，可输出图片与视频，支持搭配AI软件实现自动点名点数功能，支持远程巡课功能，具备指示灯工作状态提示，智能交互黑板内置8阵列麦克风，拾音角度≥180°；</w:t>
            </w:r>
            <w:r/>
          </w:p>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4、采用针孔阵列发声设计，2.2声道，具有≥6个发声单元，最大功率≥80W, 扬声器在100%音量下，1米处声压级≥90dB，10米处声压级≥80dB；最低谐振频率不高于100Hz；</w:t>
            </w:r>
            <w:r/>
          </w:p>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5、具备无线（包括Wi-Fi和Bluetooth蓝牙）独立模块，支持单独拆卸，内置Wi-Fi6无线网卡，支持2.4G、5G双频，内置蓝牙Bluetooth 5.4模块，支持连接外部蓝牙音箱播放音频，≥12M无遮挡正常连接；</w:t>
            </w:r>
            <w:r/>
          </w:p>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6、无PC状态下，白板支持通过二维码分享内容，可选择全部或部分页面进行分享，格式涵盖PNG、JPEG、PDF等多种选项，支持加密分享功能，确保信息安全；支持快速将内容保存到外接U盘；</w:t>
            </w:r>
            <w:r/>
          </w:p>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7、教学资源条目数不少于4000条，总播出时长不少于300小时；精品资源具有学科关联性，适用于多学科教学所需，需明确标明关联课程，视频在线播放时可方便教师备课时直接剪切并下载保存于本地；支持打开本机文件、U盘文件等本地文件；不需导入，可直接打开本地视频、音频、图片、离线教学课件等文件；支持不少于20个文件窗口同屏播放显示，满足多素材授课需求；</w:t>
            </w:r>
            <w:r/>
          </w:p>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8、具有：研活动、听评课、评优课三大功能，支持发布课例听评课、直播听评课、现场听评课三种类型的活动，且支持活动内容的编辑、删除；</w:t>
            </w:r>
            <w:r/>
          </w:p>
          <w:p>
            <w:pPr>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9、老师个人账号无需完成特定任务，绿板状态支持显示文件、工具和应用的便捷入口，当开始批注且绿板上有笔迹时，自动隐藏便捷入口，清除笔迹时，自动恢复显示便捷入口；</w:t>
            </w:r>
            <w:r/>
          </w:p>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10、智能交互黑板内置软件：可添加常用教学互动AI小组件，包括百里挑一、击鼓传花、自动点名等；班级内成员可通过移动端进行面容录入，用于课堂 AI 互动与智能云考勤使用。</w:t>
            </w:r>
            <w:r/>
          </w:p>
        </w:tc>
      </w:tr>
      <w:tr>
        <w:trPr>
          <w:trHeight w:val="197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OPS设备</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★1、CPU采用性能不低于</w:t>
            </w:r>
            <w:r>
              <w:rPr>
                <w:rFonts w:hint="eastAsia" w:ascii="宋体" w:hAnsi="宋体" w:cs="宋体"/>
                <w:b/>
                <w:bCs/>
                <w:i w:val="0"/>
                <w:iCs w:val="0"/>
                <w:color w:val="000000" w:themeColor="text1"/>
                <w:sz w:val="22"/>
                <w:szCs w:val="22"/>
                <w:u w:val="none"/>
                <w:lang w:val="en-US" w:eastAsia="zh-CN" w:bidi="ar"/>
                <w14:textFill>
                  <w14:solidFill>
                    <w14:schemeClr w14:val="tx1"/>
                  </w14:solidFill>
                </w14:textFill>
              </w:rPr>
              <w:t xml:space="preserve">8核12线程、主频2.0GHz，</w:t>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内存不低于16GB DDR4，硬盘不低于500GB固态硬盘；（提供相关证明材料上传至系统，未提供作无效投标处理）</w:t>
            </w:r>
            <w:r>
              <w:rPr>
                <w:rStyle w:val="954"/>
                <w:color w:val="000000" w:themeColor="text1"/>
                <w:lang w:val="en-US" w:eastAsia="zh-CN" w:bidi="ar"/>
                <w14:textFill>
                  <w14:solidFill>
                    <w14:schemeClr w14:val="tx1"/>
                  </w14:solidFill>
                </w14:textFill>
              </w:rPr>
              <w:br/>
            </w:r>
            <w:r>
              <w:rPr>
                <w:rStyle w:val="954"/>
                <w:lang w:val="en-US" w:eastAsia="zh-CN" w:bidi="ar"/>
              </w:rPr>
              <w:t xml:space="preserve">2、OPS具备独立复位按键，采用80pin Intel通用标准接口,即插即用，按压式卡扣设计；</w:t>
            </w:r>
            <w:r>
              <w:rPr>
                <w:rStyle w:val="954"/>
                <w:lang w:val="en-US" w:eastAsia="zh-CN" w:bidi="ar"/>
              </w:rPr>
              <w:br/>
            </w:r>
            <w:r>
              <w:rPr>
                <w:rStyle w:val="954"/>
                <w:lang w:val="en-US" w:eastAsia="zh-CN" w:bidi="ar"/>
              </w:rPr>
              <w:t xml:space="preserve">3、接口：整机非外扩展具备≥6个USB接口；具有独立非外扩展的输出接口：≥1路HDMI等；具有3.5mm圆孔接口；具有2路LED状态指示灯；line out≥1路；RJ45≥1路。</w:t>
            </w:r>
            <w:r/>
          </w:p>
        </w:tc>
      </w:tr>
      <w:tr>
        <w:trPr>
          <w:trHeight w:val="197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数字互联模块</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1、板面</w:t>
            </w:r>
            <w:r>
              <w:rPr>
                <w:rFonts w:hint="eastAsia" w:ascii="宋体" w:hAnsi="宋体" w:cs="宋体"/>
                <w:i w:val="0"/>
                <w:iCs w:val="0"/>
                <w:color w:val="000000"/>
                <w:sz w:val="22"/>
                <w:szCs w:val="22"/>
                <w:u w:val="none"/>
                <w:lang w:val="en-US" w:eastAsia="zh-CN" w:bidi="ar"/>
              </w:rPr>
              <w:t xml:space="preserve">莫氏</w:t>
            </w:r>
            <w:r>
              <w:rPr>
                <w:rFonts w:hint="eastAsia" w:ascii="宋体" w:hAnsi="宋体" w:eastAsia="宋体" w:cs="宋体"/>
                <w:i w:val="0"/>
                <w:iCs w:val="0"/>
                <w:color w:val="000000"/>
                <w:sz w:val="22"/>
                <w:szCs w:val="22"/>
                <w:u w:val="none"/>
                <w:lang w:val="en-US" w:eastAsia="zh-CN" w:bidi="ar"/>
              </w:rPr>
              <w:t xml:space="preserve">硬度不低于9H，支持磁性材质教具吸附，背板采用镀锌钢板材质，支持10点触控及书写划线；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2、支持板书记忆功能，支持各类书写笔，可将侧板上的笔迹实时同步至智能交互设备显示区域，并可保存至本地或进行二维码分享；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3、可开启或关闭书写同步功能，可通过侧板擦除主屏上电子化记录的字迹，也可在主屏上进行擦除操作，在主屏上</w:t>
            </w:r>
            <w:r>
              <w:rPr>
                <w:rFonts w:hint="eastAsia" w:ascii="宋体" w:hAnsi="宋体" w:cs="宋体"/>
                <w:i w:val="0"/>
                <w:iCs w:val="0"/>
                <w:color w:val="000000"/>
                <w:sz w:val="22"/>
                <w:szCs w:val="22"/>
                <w:u w:val="none"/>
                <w:lang w:val="en-US" w:eastAsia="zh-CN" w:bidi="ar"/>
              </w:rPr>
              <w:t xml:space="preserve">可设置多</w:t>
            </w:r>
            <w:r>
              <w:rPr>
                <w:rFonts w:hint="eastAsia" w:ascii="宋体" w:hAnsi="宋体" w:eastAsia="宋体" w:cs="宋体"/>
                <w:i w:val="0"/>
                <w:iCs w:val="0"/>
                <w:color w:val="000000"/>
                <w:sz w:val="22"/>
                <w:szCs w:val="22"/>
                <w:u w:val="none"/>
                <w:lang w:val="en-US" w:eastAsia="zh-CN" w:bidi="ar"/>
              </w:rPr>
              <w:t xml:space="preserve">手指</w:t>
            </w:r>
            <w:r>
              <w:rPr>
                <w:rFonts w:hint="eastAsia" w:ascii="宋体" w:hAnsi="宋体" w:cs="宋体"/>
                <w:i w:val="0"/>
                <w:iCs w:val="0"/>
                <w:color w:val="000000"/>
                <w:sz w:val="22"/>
                <w:szCs w:val="22"/>
                <w:u w:val="none"/>
                <w:lang w:val="en-US" w:eastAsia="zh-CN" w:bidi="ar"/>
              </w:rPr>
              <w:t xml:space="preserve">滑动</w:t>
            </w:r>
            <w:r>
              <w:rPr>
                <w:rFonts w:hint="eastAsia" w:ascii="宋体" w:hAnsi="宋体" w:eastAsia="宋体" w:cs="宋体"/>
                <w:i w:val="0"/>
                <w:iCs w:val="0"/>
                <w:color w:val="000000"/>
                <w:sz w:val="22"/>
                <w:szCs w:val="22"/>
                <w:u w:val="none"/>
                <w:lang w:val="en-US" w:eastAsia="zh-CN" w:bidi="ar"/>
              </w:rPr>
              <w:t xml:space="preserve">进行前翻页，左滑后翻页，实现板书内容一键清除</w:t>
            </w:r>
            <w:r>
              <w:rPr>
                <w:rFonts w:hint="eastAsia" w:ascii="宋体" w:hAnsi="宋体" w:cs="宋体"/>
                <w:i w:val="0"/>
                <w:iCs w:val="0"/>
                <w:color w:val="000000"/>
                <w:sz w:val="22"/>
                <w:szCs w:val="22"/>
                <w:u w:val="none"/>
                <w:lang w:val="en-US" w:eastAsia="zh-CN" w:bidi="ar"/>
              </w:rPr>
              <w:t xml:space="preserve">等功能</w:t>
            </w:r>
            <w:r>
              <w:rPr>
                <w:rFonts w:hint="eastAsia" w:ascii="宋体" w:hAnsi="宋体" w:eastAsia="宋体" w:cs="宋体"/>
                <w:i w:val="0"/>
                <w:iCs w:val="0"/>
                <w:color w:val="000000"/>
                <w:sz w:val="22"/>
                <w:szCs w:val="22"/>
                <w:u w:val="none"/>
                <w:lang w:val="en-US" w:eastAsia="zh-CN" w:bidi="ar"/>
              </w:rPr>
              <w:t xml:space="preserve">。</w:t>
            </w:r>
            <w:r/>
          </w:p>
        </w:tc>
      </w:tr>
      <w:tr>
        <w:trPr>
          <w:trHeight w:val="233"/>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集控管理平台</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1、兼容不同品牌智能交互黑板设备，后台控制端采用 B/S 架构设计，可在多种不同的操作系统上通过网页浏览器登录进行操作；</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设备详情：查看校园内所有设备的状态，包括在线、离线状态，教室名称、内存使用率、CPU使用率、C盘使用率；支持即时操作控制和定时操作控制，支持查看控制列表，查看立即控制、定时计划、信息发布等内容；</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、冰点管控：可按场地、设备状态、设备名称对冰点管控设备进行重启、批量冻结、批量解冻，可对单台设备或多台设备进行批量设置，可冻结单个盘符或多个盘符，统计开启冰点设备总数；</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发布信息：可即时向任意选定的设备发布纯文本信息，软件管理：支持一键下发安装包到终端进行静默安装，远程巡课：默认查看当前屏幕画面，实时监控当前设备桌面，支持同时查看设备不少于80台；可切换摄像头画面，支持学生画面、教师画面同步教室声音；无需部署本地巡课服务器，支持添加巡课水印，防止画面恶意传播；</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、支持查看摄像头直播画面，6路视频流显示画面，支持每30S进行轮巡，支持在巡课时进行巡课喊话、巡课备注和教学评价，并可在巡课记录中查看巡课备注以及教学评价的相关信息；</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、设备告警：显示软硬件相关的异常状态，以及修复情况，支持双侧快捷键、触摸框、无线网卡驱动、显卡驱动、消息中心、屏幕温度高、第三方OPS等；</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t xml:space="preserve">、可进行学校信息设置、分组设置、设备设置、用户设置、综合设置、登录日志等；</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、部署简单，设备连通互联网，输入对应学校编码，自动识别终端设备类型，完成部署，系统依据学校名称自动生成学校编码，支持扫描二维码查询学校编码；一键查看设备连接信息，包含</w:t>
            </w:r>
            <w:r>
              <w:rPr>
                <w:rFonts w:hint="eastAsia" w:ascii="宋体" w:hAnsi="宋体" w:cs="宋体"/>
                <w:i w:val="0"/>
                <w:iCs w:val="0"/>
                <w:color w:val="000000"/>
                <w:sz w:val="22"/>
                <w:szCs w:val="22"/>
                <w:u w:val="none"/>
                <w:lang w:val="en-US" w:eastAsia="zh-CN" w:bidi="ar"/>
              </w:rPr>
              <w:t xml:space="preserve">操作系统和办公软件</w:t>
            </w:r>
            <w:r>
              <w:rPr>
                <w:rFonts w:hint="eastAsia" w:ascii="宋体" w:hAnsi="宋体" w:eastAsia="宋体" w:cs="宋体"/>
                <w:i w:val="0"/>
                <w:iCs w:val="0"/>
                <w:color w:val="000000"/>
                <w:sz w:val="22"/>
                <w:szCs w:val="22"/>
                <w:u w:val="none"/>
                <w:lang w:val="en-US" w:eastAsia="zh-CN" w:bidi="ar"/>
              </w:rPr>
              <w:t xml:space="preserve">版本，硬盘、CPU、蓝牙状态、内存、网络状态、OPS S/N号、固件版本号</w:t>
            </w:r>
            <w:r>
              <w:rPr>
                <w:rFonts w:hint="eastAsia" w:ascii="宋体" w:hAnsi="宋体" w:cs="宋体"/>
                <w:i w:val="0"/>
                <w:iCs w:val="0"/>
                <w:color w:val="000000"/>
                <w:sz w:val="22"/>
                <w:szCs w:val="22"/>
                <w:u w:val="none"/>
                <w:lang w:val="en-US" w:eastAsia="zh-CN" w:bidi="ar"/>
              </w:rPr>
              <w:t xml:space="preserve">。</w:t>
            </w:r>
            <w:r/>
          </w:p>
        </w:tc>
      </w:tr>
      <w:tr>
        <w:trPr>
          <w:trHeight w:val="52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课程云盒</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1、软硬一体化设计，支持壁挂式安装，GPU采用双核ARM图像处理器，内存：LPDDR4 2GB，存储：不少于64GB，支持TF卡扩展</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整机接口：1*USB2.0 HOST for TOUCH、1*USB2.0、1*USB3.0、1*HDMI2.0 OUT 支持4K60HZ、1*LINE OUT 3.5mm 音频接口；</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、采用 B/S 架构设计，可在多种不同的操作系统上通过网页浏览器登录进行操作；支持集控平台对接，进行统一管理控制，设备具备物联网能力，支持对选定的受控设备进行休眠、唤醒、重启；</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提供体系化素质类课程，课程体系可按授课内容展开，包括音视频、图片、文本等各类型资源；课程设计按照学生心理发展特点，采用交互式体验学习来提升课堂教学效果，在课件中使用互动式课堂活动；课程播放软件支持实时屏幕批注及批注清除；</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、提供不少</w:t>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类包含数独、互动绘本、趣味思维、非遗手工实践等不少于260课时体系化的非学科类课程；</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、首次开机运行后，支持通过手机扫描二维码进行设备注册，支持绑定学校，支持更改注册信息；</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、支持将课程下载到本地，为教师提供备课平台，支持在线观看课程，每门课程都提供相应的备课指导资料。</w:t>
            </w:r>
            <w:r/>
          </w:p>
        </w:tc>
      </w:tr>
      <w:tr>
        <w:trPr>
          <w:trHeight w:val="2258"/>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智能电子笔</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1、笔身支持多段自由伸缩，整支笔最大长度不少于170mm，支持金属及侧边黑板吸附，笔身采用Type-c接口充电，具有自动休眠节电功能；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2、笔身不低于4个功能按键，包括鼠标左键、上翻页键、下翻页键、语音键等功能，按键具有图形标识，单个按键具备功能复用；笔身内置陀螺仪，可以通过飞鼠、语音多种方式快速打开指定应用程序；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3、采用无线通信技术，支持一个</w:t>
            </w:r>
            <w:r>
              <w:rPr>
                <w:rFonts w:hint="eastAsia" w:ascii="宋体" w:hAnsi="宋体" w:cs="宋体"/>
                <w:i w:val="0"/>
                <w:iCs w:val="0"/>
                <w:color w:val="000000"/>
                <w:sz w:val="22"/>
                <w:szCs w:val="22"/>
                <w:u w:val="none"/>
                <w:lang w:val="en-US" w:eastAsia="zh-CN" w:bidi="ar"/>
              </w:rPr>
              <w:t xml:space="preserve">接收器</w:t>
            </w:r>
            <w:r>
              <w:rPr>
                <w:rFonts w:hint="eastAsia" w:ascii="宋体" w:hAnsi="宋体" w:eastAsia="宋体" w:cs="宋体"/>
                <w:i w:val="0"/>
                <w:iCs w:val="0"/>
                <w:color w:val="000000"/>
                <w:sz w:val="22"/>
                <w:szCs w:val="22"/>
                <w:u w:val="none"/>
                <w:lang w:val="en-US" w:eastAsia="zh-CN" w:bidi="ar"/>
              </w:rPr>
              <w:t xml:space="preserve">可搭配多支AI语音笔切换使用，对码方式只需同时按下组合按键2-3秒完成对码，有效传输距离不低于15米；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w:t>
            </w:r>
            <w:r>
              <w:rPr>
                <w:rFonts w:hint="eastAsia" w:ascii="宋体" w:hAnsi="宋体" w:cs="宋体"/>
                <w:i w:val="0"/>
                <w:iCs w:val="0"/>
                <w:color w:val="000000"/>
                <w:sz w:val="22"/>
                <w:szCs w:val="22"/>
                <w:u w:val="none"/>
                <w:lang w:val="en-US" w:eastAsia="zh-CN" w:bidi="ar"/>
              </w:rPr>
              <w:t xml:space="preserve">多</w:t>
            </w:r>
            <w:r>
              <w:rPr>
                <w:rFonts w:hint="eastAsia" w:ascii="宋体" w:hAnsi="宋体" w:eastAsia="宋体" w:cs="宋体"/>
                <w:i w:val="0"/>
                <w:iCs w:val="0"/>
                <w:color w:val="000000"/>
                <w:sz w:val="22"/>
                <w:szCs w:val="22"/>
                <w:u w:val="none"/>
                <w:lang w:val="en-US" w:eastAsia="zh-CN" w:bidi="ar"/>
              </w:rPr>
              <w:t xml:space="preserve">功能指令，覆盖从基础操作到复杂任务的全场景交互需求，用户可通过语音指令完成设备控制、文件管理、应用操作等任务；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5、在整机运行环境下，通过语音指令可以在交互设备中快速切换不同的操作工具,支持的工具类型包括智能笔、图章笔、公式识别笔等；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6、通过语音指令，支持中英文口语识别评测，能识别中英文的字、词、句；支持AI语音对话，支持语音资源检索，并可一键将获取的文本内容、图片、视频等资源插入白板，提高教学效率；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7、可通过手动唤醒和语音唤醒两种方式唤醒悬浮窗AI助教的功能，支持通过语音控制设备，例如音量、亮度、信号源设置等，可通过语音一键进入备课界面、资源界面、课程设计界面、我的资源界面。</w:t>
            </w:r>
            <w:r/>
          </w:p>
        </w:tc>
      </w:tr>
      <w:tr>
        <w:trPr>
          <w:trHeight w:val="444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视频展台</w:t>
            </w:r>
            <w:r/>
          </w:p>
        </w:tc>
        <w:tc>
          <w:tcPr>
            <w:shd w:val="clear" w:color="auto" w:fill="auto"/>
            <w:tcW w:w="8109"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整机采用USB方式供电，支持壁挂和桌面两种安装方式，托板边角采用圆弧倒角设计，整机具有安全锁，LED三级光源补偿；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2、整机采用双高清摄像头设计，双摄像头均采用不小于1400万像素定焦镜头，解析度到达1800TV线，使画面展示更加清晰，支持≥4倍接力变焦，≥12倍数字变焦；</w:t>
            </w:r>
            <w:r/>
          </w:p>
          <w:p>
            <w:pPr>
              <w:numPr>
                <w:ilvl w:val="0"/>
                <w:numId w:val="0"/>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3、输出最大分辨率4320*3240px，图像色彩：24位及以上，输出格式：图片JPG，文档PDF，视频MJPG，拍摄幅面：A4及以上；</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、根据教学语言环境可设置中、英文切换，软件启动后自动弹出手势操作提醒，并在一段时间后自动关闭；使用过程中可</w:t>
            </w:r>
            <w:r>
              <w:rPr>
                <w:rFonts w:hint="eastAsia" w:ascii="宋体" w:hAnsi="宋体" w:cs="宋体"/>
                <w:i w:val="0"/>
                <w:iCs w:val="0"/>
                <w:color w:val="000000"/>
                <w:sz w:val="22"/>
                <w:szCs w:val="22"/>
                <w:u w:val="none"/>
                <w:lang w:val="en-US" w:eastAsia="zh-CN" w:bidi="ar"/>
              </w:rPr>
              <w:t xml:space="preserve">设置手势</w:t>
            </w:r>
            <w:r>
              <w:rPr>
                <w:rFonts w:hint="eastAsia" w:ascii="宋体" w:hAnsi="宋体" w:eastAsia="宋体" w:cs="宋体"/>
                <w:i w:val="0"/>
                <w:iCs w:val="0"/>
                <w:color w:val="000000"/>
                <w:sz w:val="22"/>
                <w:szCs w:val="22"/>
                <w:u w:val="none"/>
                <w:lang w:val="en-US" w:eastAsia="zh-CN" w:bidi="ar"/>
              </w:rPr>
              <w:t xml:space="preserve">进行缩放，移动画面，</w:t>
            </w:r>
            <w:r>
              <w:rPr>
                <w:rFonts w:hint="eastAsia" w:ascii="宋体" w:hAnsi="宋体" w:cs="宋体"/>
                <w:i w:val="0"/>
                <w:iCs w:val="0"/>
                <w:color w:val="000000"/>
                <w:sz w:val="22"/>
                <w:szCs w:val="22"/>
                <w:u w:val="none"/>
                <w:lang w:val="en-US" w:eastAsia="zh-CN" w:bidi="ar"/>
              </w:rPr>
              <w:t xml:space="preserve">批注</w:t>
            </w:r>
            <w:r>
              <w:rPr>
                <w:rFonts w:hint="eastAsia" w:ascii="宋体" w:hAnsi="宋体" w:eastAsia="宋体" w:cs="宋体"/>
                <w:i w:val="0"/>
                <w:iCs w:val="0"/>
                <w:color w:val="000000"/>
                <w:sz w:val="22"/>
                <w:szCs w:val="22"/>
                <w:u w:val="none"/>
                <w:lang w:val="en-US" w:eastAsia="zh-CN" w:bidi="ar"/>
              </w:rPr>
              <w:t xml:space="preserve">擦除</w:t>
            </w:r>
            <w:r>
              <w:rPr>
                <w:rFonts w:hint="eastAsia" w:ascii="宋体" w:hAnsi="宋体" w:cs="宋体"/>
                <w:i w:val="0"/>
                <w:iCs w:val="0"/>
                <w:color w:val="000000"/>
                <w:sz w:val="22"/>
                <w:szCs w:val="22"/>
                <w:u w:val="none"/>
                <w:lang w:val="en-US" w:eastAsia="zh-CN" w:bidi="ar"/>
              </w:rPr>
              <w:t xml:space="preserve">等功能</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、支持对比联动功能，选择对比图片中的任意一张进行旋转、移动、放大其余图片也同时完成该操作；</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、可通过屏幕左下画面缩略图，在展示画面放大的情况下，快速移动到达画面任意位置，实现鸟瞰功能；可对展台性能进行检测，包含但不限于硬件连接情况与摄像头占用情况。</w:t>
            </w:r>
            <w:r/>
          </w:p>
        </w:tc>
      </w:tr>
      <w:tr>
        <w:trPr>
          <w:trHeight w:val="450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阵列式音箱</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1、采用单体机型双声道曲面式设计，对频成功有中文语音提示，LED数字动态屏显示；频率响应：30Hz-18KHz，信噪比：≥80dB，功率：≥2×80W；</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内置蓝牙接收模块，蓝牙支持密码模式，连接成功有中文语音提示；1路莲花电脑音频输入、1路莲花录音输出、1路3.5立体声音频输入；3路校园广播输入，1路6.5毫米话筒输入接口；2路USB接口，实现PPT翻页、设置时钟，USB调音，音频录制，外置USB话筒；≥6个单元设计，双低音≥4寸，高音≥2寸；</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、阵列式喇叭均衡扩声，100平方以内教室各学生座位测量点的稳态声压级最大值与最小值差值范围为3dB之内，距离音箱15米处声压级达到78dB；具有LED时钟显示屏功能；</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配置独立音频数字信号处理芯片，支持啸叫抑制功能；内置软件支持调制降噪、均衡、音箱机身音量音效锁定、高音、低音、混响、话筒频道调节、音箱机身三种状态显示、开机运行、掉线检测等麦克风及音箱参数；</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、可显示时钟，具有显示开关、功能切换、时间设置、频道设置、音量调节、高音低调节、混响调节等电容按键，教学过程中与音箱机身时钟对时校准功能；</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、支持密码管理登录模式，防止师生误操作，密码登录后可解锁音箱机身触摸按键，可通过软件调制音量、均衡、频道、显示窗口等麦克风和音箱参数</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t xml:space="preserve">、内置软件支持音量音效调节、啸叫抑制、倒计时，支持一键启动录音机软件，教学过程中软件同步音箱机身时钟答题倒计时功能等功能。</w:t>
            </w:r>
            <w:r/>
          </w:p>
        </w:tc>
      </w:tr>
      <w:tr>
        <w:trPr>
          <w:trHeight w:val="7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指令拾音器（含充电仓）</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1、麦克风采用可拆卸模块化穿戴式设计方案，可一体化设计呈现领夹式、耳戴式、挂脖式；采用胸挂配件时，使用时上下调节阻力绳达到最佳拾音效果；</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、麦克风与接收器无遮挡时有效通信距离≥20米，发射功率距离3阶可调；</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、屏幕显示问候语、对频方式、充电、发射信号、电池电量、音量大小等工作状态；</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、支持2.4G近距离双向、记忆、智能红外对码，可实现与音箱对码时间≤1.5S，对频信号距离3阶可调，具备可调定时关机功能，采用不少于USB与磁吸2种快速充电方式，充电10分钟，实现≥70分钟续航；</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、内置无线扩声采集及遥控键盘设置软件，佩戴时可上下调节阻力绳进行拾音扩声采集效果设置，采用正面两个触控按键可遥控键盘设置数值及PPT翻页；</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、每套设备配套1台充电仓、2台指令拾音器，指令拾音器与充电仓均可桌面式充电。</w:t>
            </w:r>
            <w:r/>
          </w:p>
        </w:tc>
      </w:tr>
      <w:tr>
        <w:trPr>
          <w:trHeight w:val="2258"/>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智能教学书写本</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1、应用技术:无缘无线电磁压感笔技术；压感级别:2048级压感；连接：Bluetooth 4.0 USB；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2、使用纸张:任意普通纸张均可使用（最大支持A4尺寸）；储存:可存储多达20页的书写内容；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3、电池使用时间:存储/实时模式连续不间断书写时间约15小时；电池容量：可充电锂聚合物电池1000mAh；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4、充电时间: 2.5个小时；待机时间：1个月以上。</w:t>
            </w:r>
            <w:r/>
          </w:p>
        </w:tc>
      </w:tr>
      <w:tr>
        <w:trPr>
          <w:trHeight w:val="572"/>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USB蓝牙适配器</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1、采用USB连接，可实现蓝牙4.0，即插即用；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2、传输距离可达30米。</w:t>
            </w:r>
            <w:r/>
          </w:p>
        </w:tc>
      </w:tr>
      <w:tr>
        <w:trPr>
          <w:trHeight w:val="2258"/>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微课制作软件</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1、纸笔书写板书，真实的纸笔书写感受，原笔迹的数字化呈现；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2、微课录制同时提供了多场景，多模式的微课录制，包括手写讲解、作业讲解、PPT讲解等；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3、老师在电脑</w:t>
            </w:r>
            <w:r>
              <w:rPr>
                <w:rFonts w:hint="eastAsia" w:ascii="宋体" w:hAnsi="宋体" w:cs="宋体"/>
                <w:i w:val="0"/>
                <w:iCs w:val="0"/>
                <w:color w:val="000000"/>
                <w:sz w:val="22"/>
                <w:szCs w:val="22"/>
                <w:u w:val="none"/>
                <w:lang w:val="en-US" w:eastAsia="zh-CN" w:bidi="ar"/>
              </w:rPr>
              <w:t xml:space="preserve">上</w:t>
            </w:r>
            <w:r>
              <w:rPr>
                <w:rFonts w:hint="eastAsia" w:ascii="宋体" w:hAnsi="宋体" w:eastAsia="宋体" w:cs="宋体"/>
                <w:i w:val="0"/>
                <w:iCs w:val="0"/>
                <w:color w:val="000000"/>
                <w:sz w:val="22"/>
                <w:szCs w:val="22"/>
                <w:u w:val="none"/>
                <w:lang w:val="en-US" w:eastAsia="zh-CN" w:bidi="ar"/>
              </w:rPr>
              <w:t xml:space="preserve">进行录制</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手写设备上的书写文字等都会实时传输到软件端进行录制；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4、支持使用鼠标或触控设备在屏幕或多媒体触控屏上直接书写；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5、打开微课软件，使用A4智能书写本手写笔迹，加上语音讲解，就可以完成微课录制。</w:t>
            </w:r>
            <w:r/>
          </w:p>
        </w:tc>
      </w:tr>
      <w:tr>
        <w:trPr>
          <w:trHeight w:val="1696"/>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多媒体讲台</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1、讲台整体采用分体式结构，长≥1100mm、宽≥630mm、高≥990mm</w:t>
            </w:r>
            <w:r>
              <w:rPr>
                <w:rFonts w:hint="eastAsia" w:ascii="宋体" w:hAnsi="宋体" w:cs="宋体"/>
                <w:i w:val="0"/>
                <w:iCs w:val="0"/>
                <w:color w:val="000000"/>
                <w:sz w:val="22"/>
                <w:szCs w:val="22"/>
                <w:u w:val="none"/>
                <w:lang w:val="en-US" w:eastAsia="zh-CN" w:bidi="ar"/>
              </w:rPr>
              <w:t xml:space="preserve">（±10mm）</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2、左右撑板均采用ABS工程塑料一次注塑成型（壁厚≥5mm）,台面、后板及隔层板采用耐磨木板，前板采用1.2mm厚度冷轧钢板，结构牢固，不变形；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3、采用全封闭半包围结构，锁好讲桌后，整体具无任何可拆卸塑部件。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4、设备自带扶手、柜门、门锁、桌面具备过线孔等。</w:t>
            </w:r>
            <w:r/>
          </w:p>
        </w:tc>
      </w:tr>
      <w:tr>
        <w:trPr>
          <w:trHeight w:val="1134"/>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无线键鼠套装</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1、2.4GHz无线连接技术，可避免干扰和掉帧；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2、无线连接距离≥10米；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3、鼠标灵敏度≥1000DPI；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4、配套鼠标垫、电池、USB延长线及接收器固定材料。</w:t>
            </w:r>
            <w:r/>
          </w:p>
        </w:tc>
      </w:tr>
      <w:tr>
        <w:trPr>
          <w:trHeight w:val="1134"/>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多媒体线材及相关配件</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1、智能交互黑板供电及网络采用教室内原有强弱电点位，将原有点位移位至智能交互黑板处安装，配套所需强弱电线材、管材、相关接插件及配件；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2、阵列式音箱、视频展台与智能交互黑板连接所需成品连接线、配件、管材；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3、含线路铺设及设备安装所需各类螺丝、膨胀管、机打标识、胶布、过渡盒、缠绕管、水晶头、各类音频头等。</w:t>
            </w:r>
            <w:r/>
          </w:p>
        </w:tc>
      </w:tr>
      <w:tr>
        <w:trPr>
          <w:trHeight w:val="852"/>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原教学设备拆除服务费</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b/>
                <w:bCs/>
                <w:color w:val="000000"/>
                <w:sz w:val="22"/>
              </w:rPr>
              <w:t xml:space="preserve">★</w:t>
            </w:r>
            <w:r>
              <w:rPr>
                <w:rFonts w:hint="eastAsia" w:ascii="宋体" w:hAnsi="宋体" w:eastAsia="宋体" w:cs="宋体"/>
                <w:b/>
                <w:bCs/>
                <w:i w:val="0"/>
                <w:iCs w:val="0"/>
                <w:color w:val="000000"/>
                <w:sz w:val="22"/>
                <w:szCs w:val="22"/>
                <w:u w:val="none"/>
                <w:lang w:val="en-US" w:eastAsia="zh-CN" w:bidi="ar"/>
              </w:rPr>
              <w:t xml:space="preserve">1、教室内原有多媒体设备包括黑板、白板、投影机、讲台、电脑等整体拆除，搬运至校内指定地点并摆放整齐；对墙面及讲台内强弱电管线拆除进行相关成品保护。</w:t>
            </w:r>
            <w:r/>
          </w:p>
        </w:tc>
      </w:tr>
      <w:tr>
        <w:trPr>
          <w:trHeight w:val="131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多媒体设备线路铺设及设备安装调试</w:t>
            </w:r>
            <w:r/>
          </w:p>
        </w:tc>
        <w:tc>
          <w:tcPr>
            <w:shd w:val="clear" w:color="auto" w:fill="auto"/>
            <w:tcW w:w="81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b/>
                <w:bCs/>
                <w:color w:val="000000"/>
                <w:sz w:val="22"/>
              </w:rPr>
              <w:t xml:space="preserve">★</w:t>
            </w:r>
            <w:r>
              <w:rPr>
                <w:rFonts w:hint="eastAsia" w:ascii="宋体" w:hAnsi="宋体" w:eastAsia="宋体" w:cs="宋体"/>
                <w:b/>
                <w:bCs/>
                <w:i w:val="0"/>
                <w:iCs w:val="0"/>
                <w:color w:val="000000"/>
                <w:sz w:val="22"/>
                <w:szCs w:val="22"/>
                <w:u w:val="none"/>
                <w:lang w:val="en-US" w:eastAsia="zh-CN" w:bidi="ar"/>
              </w:rPr>
              <w:t xml:space="preserve">1、墙裙高度及宽度小于智能交互黑板安装尺寸的教室进行墙裙瓷砖切割，切割材料清运，破损边缘进行修复；智能交互黑板、视频展台、阵列式AI音箱强弱电线路及管道铺设，线路集成，对应贴标，线路美观整理；整体调试及上门服务费。</w:t>
            </w:r>
            <w:r/>
          </w:p>
        </w:tc>
      </w:tr>
    </w:tbl>
    <w:p>
      <w:pPr>
        <w:pStyle w:val="910"/>
        <w:ind w:firstLine="0"/>
        <w:rPr>
          <w:lang w:eastAsia="zh-CN"/>
        </w:rPr>
      </w:pPr>
      <w:r>
        <w:rPr>
          <w:lang w:eastAsia="zh-CN"/>
        </w:rPr>
      </w:r>
      <w:r/>
    </w:p>
    <w:p>
      <w:pPr>
        <w:ind w:firstLine="480"/>
        <w:spacing w:line="264" w:lineRule="auto"/>
        <w:rPr>
          <w:rFonts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bookmarkStart w:id="195" w:name="_Toc120614281"/>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sz w:val="24"/>
          <w:szCs w:val="24"/>
        </w:rPr>
        <w:t xml:space="preserve">供应商中标后</w:t>
      </w:r>
      <w:r>
        <w:rPr>
          <w:rFonts w:hint="eastAsia" w:ascii="宋体" w:hAnsi="宋体" w:cs="宋体"/>
          <w:sz w:val="24"/>
          <w:szCs w:val="24"/>
          <w:lang w:val="en-US" w:eastAsia="zh-CN"/>
        </w:rPr>
        <w:t xml:space="preserve">签订合同时</w:t>
      </w:r>
      <w:r>
        <w:rPr>
          <w:rFonts w:hint="eastAsia" w:ascii="宋体" w:hAnsi="宋体" w:cs="宋体"/>
          <w:sz w:val="24"/>
          <w:szCs w:val="24"/>
        </w:rPr>
        <w:t xml:space="preserve">需提供设备安装日程计划。 </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中标供应商在合同履约过程中，必须通过“南京市教育装备项目管理平台”申请验收。装备中心组织专家依据采购文件上的项目需求要求、</w:t>
      </w:r>
      <w:r>
        <w:rPr>
          <w:rFonts w:hint="eastAsia" w:ascii="宋体" w:hAnsi="宋体" w:cs="宋体"/>
          <w:color w:val="auto"/>
          <w:sz w:val="24"/>
          <w:szCs w:val="24"/>
          <w:lang w:val="en-US" w:eastAsia="zh-CN"/>
        </w:rPr>
        <w:t xml:space="preserve">中标供应商</w:t>
      </w:r>
      <w:r>
        <w:rPr>
          <w:rFonts w:hint="eastAsia" w:ascii="宋体" w:hAnsi="宋体" w:cs="宋体"/>
          <w:sz w:val="24"/>
          <w:szCs w:val="24"/>
        </w:rPr>
        <w:t xml:space="preserve">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w:t>
      </w:r>
      <w:r>
        <w:rPr>
          <w:rFonts w:hint="eastAsia" w:ascii="宋体" w:hAnsi="宋体" w:cs="宋体"/>
          <w:sz w:val="24"/>
          <w:szCs w:val="24"/>
          <w:highlight w:val="none"/>
        </w:rPr>
        <w:t xml:space="preserve">保期限</w:t>
      </w:r>
      <w:r>
        <w:rPr>
          <w:rFonts w:hint="eastAsia" w:ascii="宋体" w:hAnsi="宋体" w:cs="宋体"/>
          <w:color w:val="auto"/>
          <w:sz w:val="24"/>
          <w:szCs w:val="24"/>
          <w:lang w:val="en-US" w:eastAsia="zh-CN"/>
        </w:rPr>
        <w:t xml:space="preserve">不得低于</w:t>
      </w:r>
      <w:r>
        <w:rPr>
          <w:rFonts w:hint="eastAsia" w:ascii="宋体" w:hAnsi="宋体" w:cs="宋体"/>
          <w:sz w:val="24"/>
          <w:szCs w:val="24"/>
          <w:highlight w:val="none"/>
        </w:rPr>
        <w:t xml:space="preserve">六年（</w:t>
      </w:r>
      <w:r>
        <w:rPr>
          <w:rFonts w:hint="eastAsia" w:ascii="宋体" w:hAnsi="宋体" w:cs="宋体"/>
          <w:sz w:val="24"/>
          <w:szCs w:val="24"/>
        </w:rPr>
        <w:t xml:space="preserve">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①中标供应商必须接受“南京市教育装备项目管理平台”的信息化过程管理，在“南京市教育装备云服务平台”中公开投标文件、合同与合同清单，接受南京市教育、财政、审计等行政部门的网络在线监督。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②中标供应商必须在履约过程中，严格按照“南京市教育装备项目管理平台”的技术与管理规范，在规定的时间节点，提供相应的合同履约资料，包括照片。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中标供应商在合同履约过程中，必须通过“南京市教育装备项目管理平台”申请验收。验收不合格即记录在平台中，整改后验收仍不合格的，采购人有权依据法律 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中标供应商必须对所有进入固定资产的设备，按南京市的统一要求，通过“南京市教育装备项目管理平台”(南京市教育装备项目管理平台网址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中标供应商必须通过“南京市教育装备项目管理平台”提供售后维护维保服务。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 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sz w:val="24"/>
          <w:szCs w:val="24"/>
        </w:rPr>
      </w:pPr>
      <w:r>
        <w:rPr>
          <w:rFonts w:hint="eastAsia" w:ascii="宋体" w:hAnsi="宋体" w:cs="宋体"/>
          <w:sz w:val="24"/>
          <w:szCs w:val="24"/>
        </w:rPr>
        <w:t xml:space="preserve">③江苏友信智能科技有限公司参与本项目技术咨询服务，参照相关法规执行。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196" w:name="OLE_LINK1"/>
      <w:r>
        <w:rPr>
          <w:rFonts w:hint="eastAsia" w:ascii="宋体" w:hAnsi="宋体" w:cs="宋体"/>
          <w:sz w:val="24"/>
          <w:szCs w:val="24"/>
        </w:rPr>
        <w:t xml:space="preserve">6.其他要求</w:t>
      </w:r>
      <w:bookmarkEnd w:id="196"/>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投标时提供证明材料的，供应商应按要求在投标文件中提供相应证明材料。要求合同签订时提供证明材料的，签订合同时供应商应按招标文件要求和投标文件响应内容提供相应证明材料原件供采购人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hint="eastAsia" w:ascii="宋体" w:hAnsi="宋体" w:cs="宋体"/>
          <w:sz w:val="24"/>
          <w:szCs w:val="24"/>
          <w:lang w:eastAsia="zh-CN"/>
        </w:rPr>
      </w:pPr>
      <w:r>
        <w:rPr>
          <w:rFonts w:hint="eastAsia" w:ascii="宋体" w:hAnsi="宋体" w:cs="宋体"/>
          <w:sz w:val="24"/>
          <w:szCs w:val="24"/>
          <w:lang w:val="en-US" w:eastAsia="zh-CN"/>
        </w:rPr>
        <w:t xml:space="preserve">1</w:t>
      </w:r>
      <w:r>
        <w:rPr>
          <w:rFonts w:hint="eastAsia" w:ascii="宋体" w:hAnsi="宋体" w:cs="宋体"/>
          <w:sz w:val="24"/>
          <w:szCs w:val="24"/>
        </w:rPr>
        <w:t xml:space="preserve">.视频演示</w:t>
      </w:r>
      <w:r>
        <w:rPr>
          <w:rFonts w:hint="eastAsia" w:ascii="宋体" w:hAnsi="宋体" w:cs="宋体"/>
          <w:sz w:val="24"/>
          <w:szCs w:val="24"/>
          <w:lang w:eastAsia="zh-CN"/>
        </w:rPr>
        <w:t xml:space="preserve">：</w:t>
      </w:r>
      <w:r/>
    </w:p>
    <w:p>
      <w:pPr>
        <w:ind w:firstLine="480"/>
        <w:spacing w:line="36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视</w:t>
      </w:r>
      <w:r>
        <w:rPr>
          <w:rFonts w:hint="eastAsia" w:ascii="宋体" w:hAnsi="宋体" w:cs="宋体"/>
          <w:sz w:val="24"/>
          <w:szCs w:val="24"/>
        </w:rPr>
        <w:t xml:space="preserve">频文件的格式为*.mp4或*.avi，供应商须将视频文件分段压缩为*.zip文件上传（单个文件不得大于50M，所有文件合计不得大于300M）。文件上传方式见《操作手册》，上传的演示视频将作为投标文件的组成部分。视频时长总计不超过</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sz w:val="24"/>
          <w:szCs w:val="24"/>
        </w:rPr>
        <w:t xml:space="preserve">分钟。</w:t>
      </w:r>
      <w:r/>
    </w:p>
    <w:p>
      <w:pPr>
        <w:ind w:firstLine="480"/>
        <w:spacing w:line="360" w:lineRule="exact"/>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演示</w:t>
      </w:r>
      <w:r>
        <w:rPr>
          <w:rFonts w:hint="eastAsia" w:ascii="宋体" w:hAnsi="宋体" w:cs="宋体"/>
          <w:sz w:val="24"/>
          <w:szCs w:val="24"/>
        </w:rPr>
        <w:t xml:space="preserve">内容详见“第五章 评标方法与评标标准”。</w:t>
      </w:r>
      <w:r/>
    </w:p>
    <w:p>
      <w:pPr>
        <w:pStyle w:val="675"/>
        <w:rPr>
          <w:rFonts w:hint="eastAsia"/>
        </w:rPr>
      </w:pPr>
      <w:r>
        <w:rPr>
          <w:rFonts w:hint="eastAsia"/>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firstLine="480"/>
        <w:jc w:val="center"/>
        <w:spacing w:line="360" w:lineRule="exac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w:t>
      </w:r>
      <w:r>
        <w:rPr>
          <w:rFonts w:hint="eastAsia" w:ascii="宋体" w:hAnsi="宋体" w:cs="宋体"/>
          <w:color w:val="000000"/>
          <w:sz w:val="24"/>
          <w:szCs w:val="24"/>
          <w:highlight w:val="none"/>
        </w:rPr>
        <w:t xml:space="preserve">按“评标标准2.1-2.</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项”</w:t>
      </w:r>
      <w:r>
        <w:rPr>
          <w:rFonts w:hint="eastAsia" w:ascii="宋体" w:hAnsi="宋体" w:cs="宋体"/>
          <w:color w:val="000000"/>
          <w:sz w:val="24"/>
          <w:szCs w:val="24"/>
        </w:rPr>
        <w:t xml:space="preserve">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p>
    <w:p>
      <w:pPr>
        <w:ind w:firstLine="480"/>
        <w:spacing w:line="264" w:lineRule="auto"/>
        <w:rPr>
          <w:rFonts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根据项目预算选择</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的扣除，用扣除后的价格参与评审。</w:t>
      </w:r>
      <w:r/>
    </w:p>
    <w:p>
      <w:pPr>
        <w:ind w:firstLine="480"/>
        <w:spacing w:line="264" w:lineRule="auto"/>
        <w:rPr>
          <w:rFonts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665"/>
        <w:tblW w:w="10062" w:type="dxa"/>
        <w:tblInd w:w="-127" w:type="dxa"/>
        <w:tblLayout w:type="fixed"/>
        <w:tblCellMar>
          <w:left w:w="108" w:type="dxa"/>
          <w:top w:w="0" w:type="dxa"/>
          <w:right w:w="108" w:type="dxa"/>
          <w:bottom w:w="0" w:type="dxa"/>
        </w:tblCellMar>
        <w:tblLook w:val="04A0" w:firstRow="1" w:lastRow="0" w:firstColumn="1" w:lastColumn="0" w:noHBand="0" w:noVBand="1"/>
      </w:tblPr>
      <w:tblGrid>
        <w:gridCol w:w="683"/>
        <w:gridCol w:w="1072"/>
        <w:gridCol w:w="6629"/>
        <w:gridCol w:w="682"/>
        <w:gridCol w:w="996"/>
      </w:tblGrid>
      <w:tr>
        <w:trPr>
          <w:trHeight w:val="5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3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3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center"/>
              <w:spacing w:line="3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评审细则</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3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3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类型</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062" w:type="dxa"/>
            <w:textDirection w:val="lrTb"/>
            <w:noWrap/>
          </w:tcPr>
          <w:p>
            <w:pPr>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1.价格</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价格分</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价格分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062" w:type="dxa"/>
            <w:textDirection w:val="lrTb"/>
            <w:noWrap/>
          </w:tcPr>
          <w:p>
            <w:pPr>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2.技术</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产品技术参数</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sz w:val="24"/>
                <w:szCs w:val="24"/>
              </w:rPr>
            </w:pPr>
            <w:r>
              <w:rPr>
                <w:rFonts w:hint="eastAsia" w:ascii="宋体" w:hAnsi="宋体" w:cs="宋体"/>
                <w:sz w:val="24"/>
                <w:szCs w:val="24"/>
              </w:rPr>
              <w:t xml:space="preserve">评委根据供应商所投产品对产品技术参数的响应程度进行评分：</w:t>
            </w:r>
            <w:r/>
          </w:p>
          <w:p>
            <w:pPr>
              <w:jc w:val="left"/>
              <w:spacing w:line="400" w:lineRule="exact"/>
              <w:rPr>
                <w:rFonts w:ascii="宋体" w:hAnsi="宋体" w:cs="宋体"/>
                <w:color w:val="000000"/>
                <w:sz w:val="24"/>
                <w:szCs w:val="24"/>
              </w:rPr>
            </w:pPr>
            <w:r>
              <w:rPr>
                <w:rFonts w:hint="eastAsia" w:ascii="宋体" w:hAnsi="宋体" w:cs="宋体"/>
                <w:sz w:val="24"/>
                <w:szCs w:val="24"/>
              </w:rPr>
              <w:t xml:space="preserve">产品技术参数全部满足招标要求的得满分，打★指标为必须满足项，如有负偏离将作为无效投标，其余指标有1项负偏离扣1分，扣完为止。</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客观分</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产品技术要求</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所投智能交互黑板（</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rPr>
              <w:t xml:space="preserve">清单</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）板面支持色漆和清漆漆膜的划格试验，脱漆面积不明显大于5%，达到0级标准</w:t>
            </w:r>
            <w:r>
              <w:rPr>
                <w:rFonts w:hint="eastAsia" w:ascii="宋体" w:hAnsi="宋体" w:cs="宋体"/>
                <w:color w:val="000000"/>
                <w:sz w:val="24"/>
                <w:szCs w:val="24"/>
                <w:lang w:val="en-US" w:eastAsia="zh-CN"/>
              </w:rPr>
              <w:t xml:space="preserve">的</w:t>
            </w:r>
            <w:r>
              <w:rPr>
                <w:rFonts w:hint="eastAsia" w:ascii="宋体" w:hAnsi="宋体" w:eastAsia="宋体" w:cs="宋体"/>
                <w:color w:val="000000"/>
                <w:sz w:val="24"/>
                <w:szCs w:val="24"/>
              </w:rPr>
              <w:t xml:space="preserve">得1分，提供不全或未提供不得分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color w:val="000000"/>
                <w:sz w:val="24"/>
                <w:szCs w:val="24"/>
              </w:rPr>
              <w:t xml:space="preserve">提供具有CMA标识的检测报告，检测依据：GB/T9286-2021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色漆和清漆</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划格试验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jc w:val="left"/>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所投数字互联模块（</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rPr>
              <w:t xml:space="preserve">清单</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）板面甲醛释放量达到ENF级</w:t>
            </w:r>
            <w:r>
              <w:rPr>
                <w:rFonts w:hint="eastAsia" w:ascii="宋体" w:hAnsi="宋体" w:cs="宋体"/>
                <w:color w:val="000000"/>
                <w:sz w:val="24"/>
                <w:szCs w:val="24"/>
                <w:lang w:val="en-US" w:eastAsia="zh-CN"/>
              </w:rPr>
              <w:t xml:space="preserve">的</w:t>
            </w:r>
            <w:r>
              <w:rPr>
                <w:rFonts w:hint="eastAsia" w:ascii="宋体" w:hAnsi="宋体" w:eastAsia="宋体" w:cs="宋体"/>
                <w:color w:val="000000"/>
                <w:sz w:val="24"/>
                <w:szCs w:val="24"/>
              </w:rPr>
              <w:t xml:space="preserve">得1分，提供不全或未提供不得分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投标文件中提</w:t>
            </w:r>
            <w:r>
              <w:rPr>
                <w:rFonts w:hint="eastAsia" w:ascii="宋体" w:hAnsi="宋体" w:eastAsia="宋体" w:cs="宋体"/>
                <w:color w:val="000000"/>
                <w:sz w:val="24"/>
                <w:szCs w:val="24"/>
              </w:rPr>
              <w:t xml:space="preserve">供具有CMA标识的检测报告，检测依据：GB/T17657-2022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人造板及饰面人造板理化性能试验方法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GB/T 39600-2021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人造板及其制品甲醛释放量分级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jc w:val="left"/>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所投集控管理平台（</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rPr>
              <w:t xml:space="preserve">清单4）</w:t>
            </w:r>
            <w:bookmarkStart w:id="205" w:name="_GoBack"/>
            <w:r/>
            <w:bookmarkEnd w:id="205"/>
            <w:r>
              <w:rPr>
                <w:rFonts w:hint="eastAsia" w:ascii="宋体" w:hAnsi="宋体" w:eastAsia="宋体" w:cs="宋体"/>
                <w:color w:val="000000"/>
                <w:sz w:val="24"/>
                <w:szCs w:val="24"/>
              </w:rPr>
              <w:t xml:space="preserve">具备首次登录、切换环境登录，通过手机验证码验证功能，满足且提供检测报告的得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分，提供不全或未提供不得分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color w:val="000000"/>
                <w:sz w:val="24"/>
                <w:szCs w:val="24"/>
              </w:rPr>
              <w:t xml:space="preserve">提供具有CMA标识的检测报告，检测依据：GB/T 25000.51-2016《系统与软件工程 系统与软件质量要求和评价（SQuaRE） 第51部分：就绪可用软件产品（RUSP）的质量要求和测试细则》)</w:t>
            </w:r>
            <w:r/>
          </w:p>
          <w:p>
            <w:pPr>
              <w:jc w:val="left"/>
              <w:spacing w:line="400" w:lineRule="exact"/>
              <w:widowControl/>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4、所投智能电子笔</w:t>
            </w:r>
            <w:r>
              <w:rPr>
                <w:rFonts w:hint="eastAsia" w:ascii="宋体" w:hAnsi="宋体" w:eastAsia="宋体" w:cs="宋体"/>
                <w:color w:val="000000"/>
                <w:sz w:val="24"/>
                <w:szCs w:val="24"/>
              </w:rPr>
              <w:t xml:space="preserve">（</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rPr>
              <w:t xml:space="preserve">清单</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cs="宋体"/>
                <w:color w:val="000000"/>
                <w:sz w:val="24"/>
                <w:szCs w:val="24"/>
                <w:highlight w:val="none"/>
                <w:lang w:val="en-US" w:eastAsia="zh-CN"/>
              </w:rPr>
              <w:t xml:space="preserve">具备AI口语对练功能模块，支持跟读训练、场景对话、自由对话等不少于3种口语对练方式的得1分，</w:t>
            </w:r>
            <w:r>
              <w:rPr>
                <w:rFonts w:hint="eastAsia" w:ascii="宋体" w:hAnsi="宋体" w:eastAsia="宋体" w:cs="宋体"/>
                <w:color w:val="000000"/>
                <w:sz w:val="24"/>
                <w:szCs w:val="24"/>
              </w:rPr>
              <w:t xml:space="preserve">提供不全或未提供不得分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color w:val="000000"/>
                <w:sz w:val="24"/>
                <w:szCs w:val="24"/>
              </w:rPr>
              <w:t xml:space="preserve">提供</w:t>
            </w:r>
            <w:r>
              <w:rPr>
                <w:rFonts w:hint="eastAsia" w:ascii="宋体" w:hAnsi="宋体" w:cs="宋体"/>
                <w:color w:val="000000"/>
                <w:sz w:val="24"/>
                <w:szCs w:val="24"/>
                <w:lang w:val="en-US" w:eastAsia="zh-CN"/>
              </w:rPr>
              <w:t xml:space="preserve">产品功能截图</w:t>
            </w:r>
            <w:r>
              <w:rPr>
                <w:rFonts w:hint="eastAsia" w:ascii="宋体" w:hAnsi="宋体" w:eastAsia="宋体" w:cs="宋体"/>
                <w:color w:val="000000"/>
                <w:sz w:val="24"/>
                <w:szCs w:val="24"/>
              </w:rPr>
              <w:t xml:space="preserve">，否则不予认可)</w:t>
            </w:r>
            <w:r/>
          </w:p>
          <w:p>
            <w:pPr>
              <w:jc w:val="left"/>
              <w:spacing w:line="400" w:lineRule="exact"/>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5、所投视频展台</w:t>
            </w:r>
            <w:r>
              <w:rPr>
                <w:rFonts w:hint="eastAsia" w:ascii="宋体" w:hAnsi="宋体" w:eastAsia="宋体" w:cs="宋体"/>
                <w:color w:val="000000"/>
                <w:sz w:val="24"/>
                <w:szCs w:val="24"/>
              </w:rPr>
              <w:t xml:space="preserve">（</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rPr>
              <w:t xml:space="preserve">清单</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支持六张图片及以上同屏对比，每张图片独立批注，并可对单张图片进行旋转、全屏、缩放、删除等操作的</w:t>
            </w:r>
            <w:r>
              <w:rPr>
                <w:rFonts w:hint="eastAsia" w:ascii="宋体" w:hAnsi="宋体" w:cs="宋体"/>
                <w:color w:val="000000"/>
                <w:sz w:val="24"/>
                <w:szCs w:val="24"/>
                <w:highlight w:val="none"/>
                <w:lang w:val="en-US" w:eastAsia="zh-CN"/>
              </w:rPr>
              <w:t xml:space="preserve">得1分，</w:t>
            </w:r>
            <w:r>
              <w:rPr>
                <w:rFonts w:hint="eastAsia" w:ascii="宋体" w:hAnsi="宋体" w:eastAsia="宋体" w:cs="宋体"/>
                <w:color w:val="000000"/>
                <w:sz w:val="24"/>
                <w:szCs w:val="24"/>
              </w:rPr>
              <w:t xml:space="preserve">提供不全或未提供不得分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color w:val="000000"/>
                <w:sz w:val="24"/>
                <w:szCs w:val="24"/>
              </w:rPr>
              <w:t xml:space="preserve">提供</w:t>
            </w:r>
            <w:r>
              <w:rPr>
                <w:rFonts w:hint="eastAsia" w:ascii="宋体" w:hAnsi="宋体" w:cs="宋体"/>
                <w:color w:val="000000"/>
                <w:sz w:val="24"/>
                <w:szCs w:val="24"/>
                <w:lang w:val="en-US" w:eastAsia="zh-CN"/>
              </w:rPr>
              <w:t xml:space="preserve">产品功能截图</w:t>
            </w:r>
            <w:r>
              <w:rPr>
                <w:rFonts w:hint="eastAsia" w:ascii="宋体" w:hAnsi="宋体" w:eastAsia="宋体" w:cs="宋体"/>
                <w:color w:val="000000"/>
                <w:sz w:val="24"/>
                <w:szCs w:val="24"/>
              </w:rPr>
              <w:t xml:space="preserve">，否则不予认可)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客观分</w:t>
            </w:r>
            <w:r/>
          </w:p>
        </w:tc>
      </w:tr>
      <w:tr>
        <w:trPr>
          <w:trHeight w:val="188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产品性能</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1.所投智能交互黑板（</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清单1）产品具有可靠性检验MTBF≥15万小时证书的得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分，未提供不得分（提供MTBF证书上传至投标系统）；</w:t>
            </w:r>
            <w:r/>
          </w:p>
          <w:p>
            <w:pPr>
              <w:pStyle w:val="909"/>
              <w:ind w:firstLine="0"/>
              <w:spacing w:line="400" w:lineRule="exact"/>
              <w:rPr>
                <w:rFonts w:cs="宋体"/>
                <w:color w:val="000000"/>
                <w:sz w:val="24"/>
                <w:szCs w:val="24"/>
                <w:highlight w:val="yellow"/>
                <w:lang w:eastAsia="zh-CN"/>
              </w:rPr>
            </w:pPr>
            <w:r>
              <w:rPr>
                <w:rFonts w:hint="eastAsia" w:cs="宋体"/>
                <w:color w:val="000000"/>
                <w:sz w:val="24"/>
                <w:szCs w:val="24"/>
                <w:highlight w:val="none"/>
                <w:lang w:eastAsia="zh-CN"/>
              </w:rPr>
              <w:t xml:space="preserve">2.所投</w:t>
            </w:r>
            <w:r>
              <w:rPr>
                <w:rFonts w:hint="eastAsia" w:cs="宋体"/>
                <w:color w:val="000000"/>
                <w:spacing w:val="-6"/>
                <w:sz w:val="24"/>
                <w:szCs w:val="24"/>
                <w:highlight w:val="none"/>
                <w:lang w:eastAsia="zh-CN"/>
              </w:rPr>
              <w:t xml:space="preserve">OPS设备</w:t>
            </w:r>
            <w:r>
              <w:rPr>
                <w:rFonts w:cs="宋体"/>
                <w:color w:val="000000"/>
                <w:spacing w:val="-6"/>
                <w:sz w:val="24"/>
                <w:szCs w:val="24"/>
                <w:highlight w:val="none"/>
                <w:lang w:eastAsia="zh-CN"/>
              </w:rPr>
              <w:t xml:space="preserve">(</w:t>
            </w:r>
            <w:r>
              <w:rPr>
                <w:rFonts w:hint="eastAsia" w:ascii="宋体" w:hAnsi="宋体" w:cs="宋体"/>
                <w:color w:val="000000"/>
                <w:sz w:val="24"/>
                <w:szCs w:val="24"/>
                <w:highlight w:val="none"/>
                <w:lang w:val="en-US" w:eastAsia="zh-CN"/>
              </w:rPr>
              <w:t xml:space="preserve">项目</w:t>
            </w:r>
            <w:r>
              <w:rPr>
                <w:rFonts w:hint="eastAsia" w:cs="宋体"/>
                <w:color w:val="000000"/>
                <w:spacing w:val="-6"/>
                <w:sz w:val="24"/>
                <w:szCs w:val="24"/>
                <w:highlight w:val="none"/>
                <w:lang w:eastAsia="zh-CN"/>
              </w:rPr>
              <w:t xml:space="preserve">清单2</w:t>
            </w:r>
            <w:r>
              <w:rPr>
                <w:rFonts w:cs="宋体"/>
                <w:color w:val="000000"/>
                <w:spacing w:val="-6"/>
                <w:sz w:val="24"/>
                <w:szCs w:val="24"/>
                <w:highlight w:val="none"/>
                <w:lang w:eastAsia="zh-CN"/>
              </w:rPr>
              <w:t xml:space="preserve">)</w:t>
            </w:r>
            <w:r>
              <w:rPr>
                <w:rFonts w:hint="eastAsia" w:cs="宋体"/>
                <w:color w:val="000000"/>
                <w:spacing w:val="-6"/>
                <w:sz w:val="24"/>
                <w:szCs w:val="24"/>
                <w:highlight w:val="none"/>
                <w:lang w:eastAsia="zh-CN"/>
              </w:rPr>
              <w:t xml:space="preserve">产品平均无故障达到MTBF≥10万小时</w:t>
            </w:r>
            <w:r>
              <w:rPr>
                <w:rFonts w:hint="eastAsia" w:cs="宋体"/>
                <w:color w:val="000000"/>
                <w:sz w:val="24"/>
                <w:szCs w:val="24"/>
                <w:highlight w:val="none"/>
                <w:lang w:eastAsia="zh-CN"/>
              </w:rPr>
              <w:t xml:space="preserve">的得</w:t>
            </w:r>
            <w:r>
              <w:rPr>
                <w:rFonts w:hint="eastAsia" w:cs="宋体"/>
                <w:color w:val="000000"/>
                <w:sz w:val="24"/>
                <w:szCs w:val="24"/>
                <w:highlight w:val="none"/>
                <w:lang w:val="en-US" w:eastAsia="zh-CN"/>
              </w:rPr>
              <w:t xml:space="preserve">1</w:t>
            </w:r>
            <w:r>
              <w:rPr>
                <w:rFonts w:hint="eastAsia" w:cs="宋体"/>
                <w:color w:val="000000"/>
                <w:sz w:val="24"/>
                <w:szCs w:val="24"/>
                <w:highlight w:val="none"/>
                <w:lang w:eastAsia="zh-CN"/>
              </w:rPr>
              <w:t xml:space="preserve">分，未提供不得分（提供MTBF证书上传至投标系统）；</w:t>
            </w:r>
            <w:r/>
          </w:p>
          <w:p>
            <w:pPr>
              <w:spacing w:line="400" w:lineRule="exact"/>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.所投视频展台（</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清单</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）产品具有可靠性检验MTBF≥10万小时证书的得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分，未提供不得分（提供MTBF证书上传至投标系统）。</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客观分</w:t>
            </w:r>
            <w:r/>
          </w:p>
        </w:tc>
      </w:tr>
      <w:tr>
        <w:trPr>
          <w:trHeight w:val="8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视频演示</w:t>
            </w:r>
            <w:r>
              <w:rPr>
                <w:rFonts w:hint="eastAsia" w:ascii="宋体" w:hAnsi="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评委根据投标人提供智能交互黑板（</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清单1）</w:t>
            </w:r>
            <w:r>
              <w:rPr>
                <w:rFonts w:hint="eastAsia" w:ascii="宋体" w:hAnsi="宋体" w:eastAsia="宋体" w:cs="宋体"/>
                <w:color w:val="000000"/>
                <w:sz w:val="24"/>
                <w:szCs w:val="24"/>
                <w:highlight w:val="none"/>
                <w:lang w:eastAsia="zh-CN"/>
              </w:rPr>
              <w:t xml:space="preserve">、数字互联模块（</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、课程云盒（</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清单</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演示视频进行综合评分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演示时间不超过</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分钟</w:t>
            </w:r>
            <w:r>
              <w:rPr>
                <w:rFonts w:hint="eastAsia" w:ascii="宋体" w:hAnsi="宋体" w:cs="宋体"/>
                <w:color w:val="000000"/>
                <w:sz w:val="24"/>
                <w:szCs w:val="24"/>
                <w:highlight w:val="none"/>
                <w:lang w:eastAsia="zh-CN"/>
              </w:rPr>
              <w:t xml:space="preserve">）：</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（1）演示“智能交互黑板”配套白板软件支持班务管理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可</w:t>
            </w:r>
            <w:r>
              <w:rPr>
                <w:rFonts w:hint="eastAsia" w:ascii="宋体" w:hAnsi="宋体" w:eastAsia="宋体" w:cs="宋体"/>
                <w:color w:val="000000" w:themeColor="text1"/>
                <w:sz w:val="24"/>
                <w:szCs w:val="24"/>
                <w:highlight w:val="none"/>
                <w14:textFill>
                  <w14:solidFill>
                    <w14:schemeClr w14:val="tx1"/>
                  </w14:solidFill>
                </w14:textFill>
              </w:rPr>
              <w:t xml:space="preserve">实现座位管理，无需导入座位表模板，直接根据实际情况拖拽调整学生座位，支持单独学生拖拽和整列拖拽2种方式调整座位，可对学生进行考勤记录，考勤类别至少具备正常、请假、迟到、旷课四种模式，完全满足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分，其他及无演示不得分；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演示“智能交互黑板”配套教学软件具备绿板教学模式，绿板状态支持显示文件、工具和应用的便捷入口，当开始批注且绿板上有笔迹时，自动隐藏便捷入口，清除笔迹时，自动恢复显示便捷入口，完全满足要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分，其他及无演示不得分；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演示</w:t>
            </w:r>
            <w:r>
              <w:rPr>
                <w:rFonts w:hint="eastAsia" w:ascii="宋体" w:hAnsi="宋体" w:eastAsia="宋体" w:cs="宋体"/>
                <w:color w:val="000000"/>
                <w:sz w:val="24"/>
                <w:szCs w:val="24"/>
                <w:highlight w:val="none"/>
              </w:rPr>
              <w:t xml:space="preserve">“智能交互黑板”</w:t>
            </w:r>
            <w:r>
              <w:rPr>
                <w:rFonts w:hint="eastAsia" w:ascii="宋体" w:hAnsi="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lang w:val="en-US" w:eastAsia="zh-CN"/>
              </w:rPr>
              <w:t xml:space="preserve">根据</w:t>
            </w:r>
            <w:r>
              <w:rPr>
                <w:rFonts w:hint="eastAsia" w:ascii="宋体" w:hAnsi="宋体" w:cs="宋体"/>
                <w:color w:val="000000"/>
                <w:sz w:val="24"/>
                <w:szCs w:val="24"/>
                <w:highlight w:val="none"/>
                <w:lang w:val="en-US" w:eastAsia="zh-CN"/>
              </w:rPr>
              <w:t xml:space="preserve">老师</w:t>
            </w:r>
            <w:r>
              <w:rPr>
                <w:rFonts w:hint="eastAsia" w:ascii="宋体" w:hAnsi="宋体" w:eastAsia="宋体" w:cs="宋体"/>
                <w:color w:val="000000"/>
                <w:sz w:val="24"/>
                <w:szCs w:val="24"/>
                <w:highlight w:val="none"/>
                <w:lang w:val="en-US" w:eastAsia="zh-CN"/>
              </w:rPr>
              <w:t xml:space="preserve">教学需求设置快捷键显示和隐藏、经典模式和极简模式，教学过程中可拖拽进行高低调节，通过快捷键可一键启动多屏互动、白板软件、显示桌面、关闭窗口及窗口下移等快捷操作</w:t>
            </w:r>
            <w:r>
              <w:rPr>
                <w:rFonts w:hint="eastAsia" w:ascii="宋体" w:hAnsi="宋体" w:eastAsia="宋体" w:cs="宋体"/>
                <w:color w:val="000000"/>
                <w:sz w:val="24"/>
                <w:szCs w:val="24"/>
                <w:highlight w:val="none"/>
              </w:rPr>
              <w:t xml:space="preserve">，完全满足要求得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分，其他及无演示不得分；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（4）演示“数字互联</w:t>
            </w:r>
            <w:r>
              <w:rPr>
                <w:rFonts w:hint="eastAsia" w:ascii="宋体" w:hAnsi="宋体" w:eastAsia="宋体" w:cs="宋体"/>
                <w:color w:val="000000"/>
                <w:sz w:val="24"/>
                <w:szCs w:val="24"/>
                <w:highlight w:val="none"/>
                <w:lang w:val="en-US" w:eastAsia="zh-CN"/>
              </w:rPr>
              <w:t xml:space="preserve">模块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能够智能区分手指关节与粉笔对板面的操作，在手指关节连续敲击书写板面时，可快速启动板书记忆软件的功能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完全满足要求得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分，其他及无演示不得分；</w:t>
            </w:r>
            <w:r/>
          </w:p>
          <w:p>
            <w:pPr>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）演示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“课程云盒”：</w:t>
            </w:r>
            <w:r>
              <w:rPr>
                <w:rFonts w:hint="eastAsia" w:ascii="宋体" w:hAnsi="宋体" w:eastAsia="宋体" w:cs="宋体"/>
                <w:color w:val="000000" w:themeColor="text1"/>
                <w:sz w:val="24"/>
                <w:szCs w:val="24"/>
                <w:highlight w:val="none"/>
                <w14:textFill>
                  <w14:solidFill>
                    <w14:schemeClr w14:val="tx1"/>
                  </w14:solidFill>
                </w14:textFill>
              </w:rPr>
              <w:t xml:space="preserve">非学科类课程备课平台，支持在线观看课程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提供相应的备课指导资料，支持将课程下载到本地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w:t>
            </w:r>
            <w:r>
              <w:rPr>
                <w:rFonts w:hint="eastAsia" w:ascii="宋体" w:hAnsi="宋体" w:eastAsia="宋体" w:cs="宋体"/>
                <w:color w:val="000000" w:themeColor="text1"/>
                <w:sz w:val="24"/>
                <w:szCs w:val="24"/>
                <w:highlight w:val="none"/>
                <w14:textFill>
                  <w14:solidFill>
                    <w14:schemeClr w14:val="tx1"/>
                  </w14:solidFill>
                </w14:textFill>
              </w:rPr>
              <w:t xml:space="preserve">访问，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支持课程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添加、删除，课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程内容</w:t>
            </w:r>
            <w:r>
              <w:rPr>
                <w:rFonts w:hint="eastAsia" w:ascii="宋体" w:hAnsi="宋体" w:eastAsia="宋体" w:cs="宋体"/>
                <w:color w:val="000000" w:themeColor="text1"/>
                <w:sz w:val="24"/>
                <w:szCs w:val="24"/>
                <w:highlight w:val="none"/>
                <w14:textFill>
                  <w14:solidFill>
                    <w14:schemeClr w14:val="tx1"/>
                  </w14:solidFill>
                </w14:textFill>
              </w:rPr>
              <w:t xml:space="preserve">包含但不限于：在线教学课件1份、电子版学生操作单1份等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完全满足要求得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分，其他及无演示不得分；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客观分</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视频演示</w:t>
            </w:r>
            <w:r>
              <w:rPr>
                <w:rFonts w:hint="eastAsia" w:ascii="宋体" w:hAnsi="宋体" w:cs="宋体"/>
                <w:color w:val="000000"/>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评委根据投标人提供智能教学书写本（</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、USB蓝牙适配器（</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）、微课制作软件（</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的演示视频进行综合评分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演示时间不超过</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分钟</w:t>
            </w:r>
            <w:r>
              <w:rPr>
                <w:rFonts w:hint="eastAsia" w:ascii="宋体" w:hAnsi="宋体" w:cs="宋体"/>
                <w:color w:val="000000"/>
                <w:sz w:val="24"/>
                <w:szCs w:val="24"/>
                <w:highlight w:val="none"/>
                <w:lang w:eastAsia="zh-CN"/>
              </w:rPr>
              <w:t xml:space="preserve">）：</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演示书写介质为普通纸张，不能是特定的专用的纸张；纸张上留下笔迹，保持原有手写习惯；笔芯可更换</w:t>
            </w:r>
            <w:r>
              <w:rPr>
                <w:rFonts w:hint="eastAsia" w:ascii="宋体" w:hAnsi="宋体" w:eastAsia="宋体" w:cs="宋体"/>
                <w:color w:val="000000"/>
                <w:sz w:val="24"/>
                <w:szCs w:val="24"/>
                <w:highlight w:val="none"/>
              </w:rPr>
              <w:t xml:space="preserve">，完全满足要求得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分，其他及无演示不得分；</w:t>
            </w:r>
            <w:r/>
          </w:p>
          <w:p>
            <w:pPr>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演示设备电磁笔可以当书写笔使用，亦可以模拟鼠标使用，提供多功能快捷键，不需要操作电脑，即可通过电磁笔笔调整画笔颜色和粗细、擦除、翻页等功能实现微课的制作</w:t>
            </w:r>
            <w:r>
              <w:rPr>
                <w:rFonts w:hint="eastAsia" w:ascii="宋体" w:hAnsi="宋体" w:eastAsia="宋体" w:cs="宋体"/>
                <w:color w:val="000000"/>
                <w:sz w:val="24"/>
                <w:szCs w:val="24"/>
                <w:highlight w:val="none"/>
              </w:rPr>
              <w:t xml:space="preserve">，完全满足要求得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分，其他及无演示不得分；</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演示引用教学资源录课方式，将已经制作好的ppt 、word、pdf、图片等文档导入到微课录制界面，使用电磁笔在纸上进行批注书写</w:t>
            </w:r>
            <w:r>
              <w:rPr>
                <w:rFonts w:hint="eastAsia" w:ascii="宋体" w:hAnsi="宋体" w:eastAsia="宋体" w:cs="宋体"/>
                <w:color w:val="000000"/>
                <w:sz w:val="24"/>
                <w:szCs w:val="24"/>
                <w:highlight w:val="none"/>
              </w:rPr>
              <w:t xml:space="preserve">，完全满足要求得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分，其他及无演示不得分；</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演示附加书写白板。在讲解PPT等文档操作时，软件菜单栏可点击增加提供额外的书写白板</w:t>
            </w:r>
            <w:r>
              <w:rPr>
                <w:rFonts w:hint="eastAsia" w:ascii="宋体" w:hAnsi="宋体" w:eastAsia="宋体" w:cs="宋体"/>
                <w:color w:val="000000"/>
                <w:sz w:val="24"/>
                <w:szCs w:val="24"/>
                <w:highlight w:val="none"/>
              </w:rPr>
              <w:t xml:space="preserve">，完全满足要求得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分，其他及无演示不得分；</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演示微课录制完成后，并且可以实现微课的回放和预览，便于教师查看微课录制效果，支持本地以MP4格式导出微课视频</w:t>
            </w:r>
            <w:r>
              <w:rPr>
                <w:rFonts w:hint="eastAsia" w:ascii="宋体" w:hAnsi="宋体" w:eastAsia="宋体" w:cs="宋体"/>
                <w:color w:val="000000"/>
                <w:sz w:val="24"/>
                <w:szCs w:val="24"/>
                <w:highlight w:val="none"/>
              </w:rPr>
              <w:t xml:space="preserve">，完全满足要求得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分，其他及无演示不得分；</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演示成品微课，通用的流媒体格式文件，系统采用矢量笔迹轨迹的记录方式</w:t>
            </w:r>
            <w:r>
              <w:rPr>
                <w:rFonts w:hint="eastAsia" w:ascii="宋体" w:hAnsi="宋体" w:eastAsia="宋体" w:cs="宋体"/>
                <w:color w:val="000000"/>
                <w:sz w:val="24"/>
                <w:szCs w:val="24"/>
                <w:highlight w:val="none"/>
              </w:rPr>
              <w:t xml:space="preserve">，完全满足要求得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分，其他及无演示不得分；</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cs="宋体"/>
                <w:color w:val="000000"/>
                <w:sz w:val="24"/>
                <w:szCs w:val="24"/>
              </w:rPr>
              <w:t xml:space="preserve">客观分</w:t>
            </w:r>
            <w:r/>
          </w:p>
        </w:tc>
      </w:tr>
      <w:tr>
        <w:trPr>
          <w:trHeight w:val="736"/>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 w:val="24"/>
                <w:szCs w:val="24"/>
              </w:rPr>
            </w:pPr>
            <w:r>
              <w:rPr>
                <w:rFonts w:hint="eastAsia"/>
                <w:sz w:val="24"/>
                <w:szCs w:val="24"/>
              </w:rPr>
              <w:t xml:space="preserve">设计方案及图纸</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评委根据投标人提供的江宁区竹山小学教学楼2楼五年级1班多媒体教室现场情况的设计方案图纸进行综合评分【包括项目清单1智能交互黑板、项目清单2 OPS设备、项目清单3数字互联模块、项目清单7视频展台、项目清单8阵列式音箱、项目清单13多媒体讲台及相关配件，以上各1套】，包含：1.布局及线路图（布局图需标注尺寸）、2.系统连接图、3.效果图：</w:t>
            </w:r>
            <w:r/>
          </w:p>
          <w:p>
            <w:pPr>
              <w:jc w:val="left"/>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1）、上述每有一项内容规范性强、完整度高、系统结构先进合理，该项得2分；</w:t>
            </w:r>
            <w:r>
              <w:rPr>
                <w:rFonts w:hint="eastAsia" w:ascii="宋体" w:hAnsi="宋体" w:cs="宋体"/>
                <w:color w:val="000000"/>
                <w:sz w:val="24"/>
                <w:szCs w:val="24"/>
                <w:highlight w:val="none"/>
                <w:lang w:val="en-US" w:eastAsia="zh-CN"/>
              </w:rPr>
              <w:br/>
            </w:r>
            <w:r>
              <w:rPr>
                <w:rFonts w:hint="eastAsia" w:ascii="宋体" w:hAnsi="宋体" w:cs="宋体"/>
                <w:color w:val="000000"/>
                <w:sz w:val="24"/>
                <w:szCs w:val="24"/>
                <w:highlight w:val="none"/>
                <w:lang w:val="en-US" w:eastAsia="zh-CN"/>
              </w:rPr>
              <w:t xml:space="preserve">2）、上述每有一项内容规范性较强、完整度较高、系统结构较合理，该项得1分；</w:t>
            </w:r>
            <w:r>
              <w:rPr>
                <w:rFonts w:hint="eastAsia" w:ascii="宋体" w:hAnsi="宋体" w:cs="宋体"/>
                <w:color w:val="000000"/>
                <w:sz w:val="24"/>
                <w:szCs w:val="24"/>
                <w:highlight w:val="none"/>
                <w:lang w:val="en-US" w:eastAsia="zh-CN"/>
              </w:rPr>
              <w:br/>
            </w:r>
            <w:r>
              <w:rPr>
                <w:rFonts w:hint="eastAsia" w:ascii="宋体" w:hAnsi="宋体" w:cs="宋体"/>
                <w:color w:val="000000"/>
                <w:sz w:val="24"/>
                <w:szCs w:val="24"/>
                <w:highlight w:val="none"/>
                <w:lang w:val="en-US" w:eastAsia="zh-CN"/>
              </w:rPr>
              <w:t xml:space="preserve">3）、上述每有一项内容规范性、完整度、系统结构基本合理，该项得0.5分；</w:t>
            </w:r>
            <w:r>
              <w:rPr>
                <w:rFonts w:hint="eastAsia" w:ascii="宋体" w:hAnsi="宋体" w:cs="宋体"/>
                <w:color w:val="000000"/>
                <w:sz w:val="24"/>
                <w:szCs w:val="24"/>
                <w:highlight w:val="none"/>
                <w:lang w:val="en-US" w:eastAsia="zh-CN"/>
              </w:rPr>
              <w:br/>
            </w:r>
            <w:r>
              <w:rPr>
                <w:rFonts w:hint="eastAsia" w:ascii="宋体" w:hAnsi="宋体" w:cs="宋体"/>
                <w:color w:val="000000"/>
                <w:sz w:val="24"/>
                <w:szCs w:val="24"/>
                <w:highlight w:val="none"/>
                <w:lang w:val="en-US" w:eastAsia="zh-CN"/>
              </w:rPr>
              <w:t xml:space="preserve">4）、上述每有一项内容规范度，完整度、系统结构不合理或未提供该项不得分。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主观分</w:t>
            </w:r>
            <w:r/>
          </w:p>
        </w:tc>
      </w:tr>
      <w:tr>
        <w:trPr>
          <w:trHeight w:val="6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软件著作权</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1.所投产品：智能交互黑板（</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sz w:val="24"/>
                <w:szCs w:val="24"/>
                <w:lang w:val="en-US" w:eastAsia="zh-CN"/>
              </w:rPr>
              <w:t xml:space="preserve">清单1）</w:t>
            </w:r>
            <w:r>
              <w:rPr>
                <w:rFonts w:hint="eastAsia" w:ascii="宋体" w:hAnsi="宋体" w:cs="宋体"/>
                <w:sz w:val="24"/>
                <w:szCs w:val="24"/>
                <w:lang w:val="en-US" w:eastAsia="zh-CN"/>
              </w:rPr>
              <w:t xml:space="preserve">产品内置软件</w:t>
            </w:r>
            <w:r>
              <w:rPr>
                <w:rFonts w:hint="eastAsia" w:ascii="宋体" w:hAnsi="宋体" w:eastAsia="宋体" w:cs="宋体"/>
                <w:sz w:val="24"/>
                <w:szCs w:val="24"/>
                <w:lang w:val="en-US" w:eastAsia="zh-CN"/>
              </w:rPr>
              <w:t xml:space="preserve">具有</w:t>
            </w:r>
            <w:r>
              <w:rPr>
                <w:rFonts w:hint="eastAsia" w:ascii="Times New Roman" w:eastAsia="宋体"/>
                <w:sz w:val="24"/>
                <w:szCs w:val="24"/>
                <w:lang w:val="en-US" w:eastAsia="zh-CN"/>
              </w:rPr>
              <w:t xml:space="preserve">“</w:t>
            </w:r>
            <w:r>
              <w:rPr>
                <w:rFonts w:hint="eastAsia" w:ascii="宋体" w:hAnsi="宋体" w:cs="宋体"/>
                <w:color w:val="000000"/>
                <w:spacing w:val="-6"/>
                <w:sz w:val="24"/>
                <w:szCs w:val="24"/>
              </w:rPr>
              <w:t xml:space="preserve">自动点名</w:t>
            </w:r>
            <w:r>
              <w:rPr>
                <w:rFonts w:hint="eastAsia" w:ascii="宋体" w:hAnsi="宋体" w:cs="宋体"/>
                <w:color w:val="000000"/>
                <w:spacing w:val="-6"/>
                <w:sz w:val="24"/>
                <w:szCs w:val="24"/>
                <w:lang w:eastAsia="zh-CN"/>
              </w:rPr>
              <w:t xml:space="preserve">”</w:t>
            </w:r>
            <w:r>
              <w:rPr>
                <w:rFonts w:hint="eastAsia" w:ascii="Times New Roman" w:eastAsia="宋体"/>
                <w:sz w:val="24"/>
                <w:szCs w:val="24"/>
                <w:lang w:val="en-US" w:eastAsia="zh-CN"/>
              </w:rPr>
              <w:t xml:space="preserve">或</w:t>
            </w:r>
            <w:r>
              <w:rPr>
                <w:rFonts w:hint="eastAsia"/>
                <w:sz w:val="24"/>
                <w:szCs w:val="24"/>
                <w:highlight w:val="none"/>
                <w:lang w:val="en-US" w:eastAsia="zh-CN"/>
              </w:rPr>
              <w:t xml:space="preserve">“</w:t>
            </w:r>
            <w:r>
              <w:rPr>
                <w:rFonts w:hint="eastAsia" w:ascii="宋体" w:hAnsi="宋体" w:cs="宋体"/>
                <w:color w:val="000000"/>
                <w:spacing w:val="-6"/>
                <w:sz w:val="24"/>
                <w:szCs w:val="24"/>
                <w:highlight w:val="none"/>
              </w:rPr>
              <w:t xml:space="preserve">AI人脸签到</w:t>
            </w:r>
            <w:r>
              <w:rPr>
                <w:rFonts w:hint="default" w:ascii="宋体" w:hAnsi="宋体" w:cs="宋体"/>
                <w:color w:val="000000"/>
                <w:spacing w:val="-6"/>
                <w:sz w:val="24"/>
                <w:szCs w:val="24"/>
                <w:highlight w:val="none"/>
                <w:lang w:val="en-US" w:eastAsia="zh-CN"/>
              </w:rPr>
              <w:t xml:space="preserve">”</w:t>
            </w:r>
            <w:r>
              <w:rPr>
                <w:rFonts w:hint="eastAsia" w:ascii="Times New Roman" w:eastAsia="宋体"/>
                <w:sz w:val="24"/>
                <w:szCs w:val="24"/>
                <w:highlight w:val="none"/>
                <w:lang w:val="en-US" w:eastAsia="zh-CN"/>
              </w:rPr>
              <w:t xml:space="preserve">或</w:t>
            </w:r>
            <w:r>
              <w:rPr>
                <w:rFonts w:hint="eastAsia"/>
                <w:sz w:val="24"/>
                <w:szCs w:val="24"/>
                <w:highlight w:val="none"/>
                <w:lang w:val="en-US" w:eastAsia="zh-CN"/>
              </w:rPr>
              <w:t xml:space="preserve">“</w:t>
            </w:r>
            <w:r>
              <w:rPr>
                <w:rFonts w:hint="eastAsia" w:ascii="宋体" w:hAnsi="宋体" w:cs="宋体"/>
                <w:color w:val="000000"/>
                <w:spacing w:val="-6"/>
                <w:sz w:val="24"/>
                <w:szCs w:val="24"/>
                <w:highlight w:val="none"/>
              </w:rPr>
              <w:t xml:space="preserve">云考勤平台</w:t>
            </w:r>
            <w:r>
              <w:rPr>
                <w:rFonts w:hint="eastAsia" w:ascii="Times New Roman" w:eastAsia="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lang w:val="en-US" w:eastAsia="zh-CN"/>
              </w:rPr>
              <w:t xml:space="preserve">相关关键字的《计算机软件著作权登记证书》，提供得2分，未提供不得分；</w:t>
            </w:r>
            <w:r/>
          </w:p>
          <w:p>
            <w:pPr>
              <w:jc w:val="left"/>
              <w:spacing w:line="400" w:lineRule="exact"/>
              <w:rPr>
                <w:rFonts w:hint="eastAsia" w:ascii="宋体" w:hAnsi="宋体" w:eastAsia="宋体" w:cs="宋体"/>
                <w:sz w:val="24"/>
                <w:szCs w:val="24"/>
                <w:highlight w:val="none"/>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所投产品：</w:t>
            </w:r>
            <w:r>
              <w:rPr>
                <w:rFonts w:hint="eastAsia" w:ascii="宋体" w:hAnsi="宋体" w:eastAsia="宋体" w:cs="宋体"/>
                <w:sz w:val="24"/>
                <w:szCs w:val="24"/>
                <w:highlight w:val="none"/>
              </w:rPr>
              <w:t xml:space="preserve">阵列式音箱</w:t>
            </w:r>
            <w:r>
              <w:rPr>
                <w:rFonts w:hint="eastAsia" w:ascii="宋体" w:hAnsi="宋体" w:eastAsia="宋体" w:cs="宋体"/>
                <w:sz w:val="24"/>
                <w:szCs w:val="24"/>
              </w:rPr>
              <w:t xml:space="preserve">（</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sz w:val="24"/>
                <w:szCs w:val="24"/>
              </w:rPr>
              <w:t xml:space="preserve">清单</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产品内置软件</w:t>
            </w:r>
            <w:r>
              <w:rPr>
                <w:rFonts w:hint="eastAsia" w:ascii="宋体" w:hAnsi="宋体" w:eastAsia="宋体" w:cs="宋体"/>
                <w:sz w:val="24"/>
                <w:szCs w:val="24"/>
              </w:rPr>
              <w:t xml:space="preserve">具有</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声场均衡”或“声学均衡</w:t>
            </w:r>
            <w:r>
              <w:rPr>
                <w:rFonts w:hint="default" w:ascii="宋体" w:hAnsi="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或“声场校准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等相关关键词的《计算机软件著作权登记证书》，</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得2分，未提供不得分；</w:t>
            </w:r>
            <w:r/>
          </w:p>
          <w:p>
            <w:pPr>
              <w:jc w:val="left"/>
              <w:spacing w:line="400" w:lineRule="exact"/>
              <w:rPr>
                <w:rFonts w:hint="eastAsia" w:ascii="宋体" w:hAnsi="宋体" w:eastAsia="宋体" w:cs="宋体"/>
                <w:sz w:val="24"/>
                <w:szCs w:val="24"/>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.所投产品：指令拾音器（含充电仓）（</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sz w:val="24"/>
                <w:szCs w:val="24"/>
                <w:highlight w:val="none"/>
              </w:rPr>
              <w:t xml:space="preserve">清单</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产品内置软件</w:t>
            </w:r>
            <w:r>
              <w:rPr>
                <w:rFonts w:hint="eastAsia" w:ascii="宋体" w:hAnsi="宋体" w:eastAsia="宋体" w:cs="宋体"/>
                <w:sz w:val="24"/>
                <w:szCs w:val="24"/>
                <w:highlight w:val="none"/>
              </w:rPr>
              <w:t xml:space="preserve">具有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扩声采集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声场采集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音频拾音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等相关关键词的《计算机软件著作权登记证书》，</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得2分，未提供不得分。</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.所投产品：微课制作软件（</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清单12）具有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智写微课</w:t>
            </w:r>
            <w:r>
              <w:rPr>
                <w:rFonts w:hint="eastAsia" w:ascii="宋体" w:hAnsi="宋体" w:cs="宋体"/>
                <w:sz w:val="24"/>
                <w:szCs w:val="24"/>
                <w:highlight w:val="none"/>
                <w:lang w:val="en-US" w:eastAsia="zh-CN"/>
              </w:rPr>
              <w:t xml:space="preserve">”或“智录</w:t>
            </w:r>
            <w:r>
              <w:rPr>
                <w:rFonts w:hint="eastAsia" w:ascii="宋体" w:hAnsi="宋体" w:eastAsia="宋体" w:cs="宋体"/>
                <w:sz w:val="24"/>
                <w:szCs w:val="24"/>
                <w:highlight w:val="none"/>
                <w:lang w:val="en-US" w:eastAsia="zh-CN"/>
              </w:rPr>
              <w:t xml:space="preserve">微课</w:t>
            </w:r>
            <w:r>
              <w:rPr>
                <w:rFonts w:hint="default" w:ascii="宋体" w:hAnsi="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或“智能微课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等相关关键字的《计算机软件著作权登记证书》，提供得2分，未提供不得分</w:t>
            </w:r>
            <w:r>
              <w:rPr>
                <w:rFonts w:hint="eastAsia" w:ascii="宋体" w:hAnsi="宋体" w:eastAsia="宋体" w:cs="宋体"/>
                <w:sz w:val="24"/>
                <w:szCs w:val="24"/>
                <w:lang w:val="en-US" w:eastAsia="zh-CN"/>
              </w:rPr>
              <w:t xml:space="preserve">；</w:t>
            </w:r>
            <w:r/>
          </w:p>
          <w:p>
            <w:pPr>
              <w:jc w:val="left"/>
              <w:spacing w:line="400" w:lineRule="exact"/>
              <w:rPr>
                <w:rFonts w:ascii="宋体" w:hAnsi="宋体" w:cs="宋体"/>
                <w:color w:val="000000"/>
                <w:sz w:val="24"/>
                <w:szCs w:val="24"/>
              </w:rPr>
            </w:pPr>
            <w:r>
              <w:rPr>
                <w:rFonts w:hint="eastAsia" w:ascii="宋体" w:hAnsi="宋体" w:eastAsia="宋体" w:cs="宋体"/>
                <w:sz w:val="24"/>
                <w:szCs w:val="24"/>
              </w:rPr>
              <w:t xml:space="preserve">（以上须提供相关证书的扫描件，上传至投标系统，未提供的不得分。）注：证书登记注册的软件名称无需完全一致，但内容(功能)需相同，所提供著作权名称与评分要求不同时，应提供功能说明及包含的关键信息，相应系统功能应符合上述要求，否则不予认可。</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客观分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062" w:type="dxa"/>
            <w:vAlign w:val="center"/>
            <w:textDirection w:val="lrTb"/>
            <w:noWrap/>
          </w:tcPr>
          <w:p>
            <w:pPr>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3.服务</w:t>
            </w:r>
            <w:r/>
          </w:p>
        </w:tc>
      </w:tr>
      <w:tr>
        <w:trPr>
          <w:trHeight w:val="281"/>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实施方案</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spacing w:line="400" w:lineRule="exact"/>
              <w:rPr>
                <w:rFonts w:hint="eastAsia" w:ascii="宋体" w:hAnsi="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评委根据投标人提供的本项目整体实施方案进行综合评分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包含（每项内容逐条阐述）</w:t>
            </w:r>
            <w:r>
              <w:rPr>
                <w:rFonts w:hint="eastAsia" w:ascii="宋体" w:hAnsi="宋体" w:cs="宋体"/>
                <w:color w:val="000000"/>
                <w:sz w:val="24"/>
                <w:szCs w:val="24"/>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提高安装调试速度的具体措施</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在管理过程中的创新措施、</w:t>
            </w:r>
            <w:r>
              <w:rPr>
                <w:rFonts w:hint="eastAsia" w:ascii="宋体" w:hAnsi="宋体" w:cs="宋体"/>
                <w:color w:val="000000"/>
                <w:sz w:val="24"/>
                <w:szCs w:val="24"/>
                <w:highlight w:val="none"/>
                <w:lang w:val="en-US" w:eastAsia="zh-CN"/>
              </w:rPr>
              <w:t xml:space="preserve">3.在此次项目中的</w:t>
            </w:r>
            <w:r>
              <w:rPr>
                <w:rFonts w:hint="eastAsia" w:ascii="宋体" w:hAnsi="宋体" w:cs="宋体"/>
                <w:color w:val="000000"/>
                <w:sz w:val="24"/>
                <w:szCs w:val="24"/>
                <w:highlight w:val="none"/>
              </w:rPr>
              <w:t xml:space="preserve">安全管理措施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4.在此次项目中的风险管控</w:t>
            </w:r>
            <w:r>
              <w:rPr>
                <w:rFonts w:hint="eastAsia" w:ascii="宋体" w:hAnsi="宋体" w:cs="宋体"/>
                <w:color w:val="000000"/>
                <w:sz w:val="24"/>
                <w:szCs w:val="24"/>
                <w:highlight w:val="none"/>
              </w:rPr>
              <w:t xml:space="preserve">措施：</w:t>
            </w:r>
            <w:r/>
          </w:p>
          <w:p>
            <w:pPr>
              <w:spacing w:line="4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上述每</w:t>
            </w:r>
            <w:r>
              <w:rPr>
                <w:rFonts w:hint="eastAsia" w:ascii="宋体" w:hAnsi="宋体" w:cs="宋体"/>
                <w:color w:val="000000"/>
                <w:sz w:val="24"/>
                <w:szCs w:val="24"/>
                <w:lang w:val="en-US" w:eastAsia="zh-CN"/>
              </w:rPr>
              <w:t xml:space="preserve">有一</w:t>
            </w:r>
            <w:r>
              <w:rPr>
                <w:rFonts w:hint="eastAsia" w:ascii="宋体" w:hAnsi="宋体" w:cs="宋体"/>
                <w:color w:val="000000"/>
                <w:sz w:val="24"/>
                <w:szCs w:val="24"/>
              </w:rPr>
              <w:t xml:space="preserve">项内容全面、针对性强、可操作性强的，</w:t>
            </w:r>
            <w:r>
              <w:rPr>
                <w:rFonts w:hint="eastAsia" w:ascii="宋体" w:hAnsi="宋体" w:cs="宋体"/>
                <w:color w:val="000000"/>
                <w:sz w:val="24"/>
                <w:szCs w:val="24"/>
                <w:lang w:val="en-US" w:eastAsia="zh-CN"/>
              </w:rPr>
              <w:t xml:space="preserve">该项</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w:t>
            </w:r>
            <w:r/>
          </w:p>
          <w:p>
            <w:pPr>
              <w:spacing w:line="4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上述每</w:t>
            </w:r>
            <w:r>
              <w:rPr>
                <w:rFonts w:hint="eastAsia" w:ascii="宋体" w:hAnsi="宋体" w:cs="宋体"/>
                <w:color w:val="000000"/>
                <w:sz w:val="24"/>
                <w:szCs w:val="24"/>
                <w:lang w:val="en-US" w:eastAsia="zh-CN"/>
              </w:rPr>
              <w:t xml:space="preserve">有一</w:t>
            </w:r>
            <w:r>
              <w:rPr>
                <w:rFonts w:hint="eastAsia" w:ascii="宋体" w:hAnsi="宋体" w:cs="宋体"/>
                <w:color w:val="000000"/>
                <w:sz w:val="24"/>
                <w:szCs w:val="24"/>
              </w:rPr>
              <w:t xml:space="preserve">项内容较全面、针对性较强、可操作性较强的，</w:t>
            </w:r>
            <w:r>
              <w:rPr>
                <w:rFonts w:hint="eastAsia" w:ascii="宋体" w:hAnsi="宋体" w:cs="宋体"/>
                <w:color w:val="000000"/>
                <w:sz w:val="24"/>
                <w:szCs w:val="24"/>
                <w:lang w:val="en-US" w:eastAsia="zh-CN"/>
              </w:rPr>
              <w:t xml:space="preserve">该项</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w:t>
            </w:r>
            <w:r/>
          </w:p>
          <w:p>
            <w:pPr>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上述每</w:t>
            </w:r>
            <w:r>
              <w:rPr>
                <w:rFonts w:hint="eastAsia" w:ascii="宋体" w:hAnsi="宋体" w:cs="宋体"/>
                <w:color w:val="000000"/>
                <w:sz w:val="24"/>
                <w:szCs w:val="24"/>
                <w:lang w:val="en-US" w:eastAsia="zh-CN"/>
              </w:rPr>
              <w:t xml:space="preserve">有一</w:t>
            </w:r>
            <w:r>
              <w:rPr>
                <w:rFonts w:hint="eastAsia" w:ascii="宋体" w:hAnsi="宋体" w:cs="宋体"/>
                <w:color w:val="000000"/>
                <w:sz w:val="24"/>
                <w:szCs w:val="24"/>
              </w:rPr>
              <w:t xml:space="preserve">项内容不可行或未提供方案的</w:t>
            </w:r>
            <w:r>
              <w:rPr>
                <w:rFonts w:hint="eastAsia" w:ascii="宋体" w:hAnsi="宋体" w:cs="宋体"/>
                <w:color w:val="000000"/>
                <w:sz w:val="24"/>
                <w:szCs w:val="24"/>
                <w:lang w:val="en-US" w:eastAsia="zh-CN"/>
              </w:rPr>
              <w:t xml:space="preserve">该项</w:t>
            </w:r>
            <w:r>
              <w:rPr>
                <w:rFonts w:hint="eastAsia" w:ascii="宋体" w:hAnsi="宋体" w:cs="宋体"/>
                <w:color w:val="000000"/>
                <w:sz w:val="24"/>
                <w:szCs w:val="24"/>
              </w:rPr>
              <w:t xml:space="preserve">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lang w:eastAsia="zh-CN"/>
              </w:rPr>
            </w:pPr>
            <w:r>
              <w:rPr>
                <w:rFonts w:hint="eastAsia" w:ascii="宋体" w:hAnsi="宋体" w:cs="宋体"/>
                <w:color w:val="0000ff"/>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主观分</w:t>
            </w:r>
            <w:r/>
          </w:p>
        </w:tc>
      </w:tr>
      <w:tr>
        <w:trPr>
          <w:trHeight w:val="185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售后服务方案</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spacing w:line="40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评委根据投标人提供的项</w:t>
            </w:r>
            <w:r>
              <w:rPr>
                <w:rFonts w:hint="eastAsia" w:ascii="宋体" w:hAnsi="宋体" w:cs="宋体"/>
                <w:color w:val="000000"/>
                <w:sz w:val="24"/>
                <w:szCs w:val="24"/>
                <w:highlight w:val="none"/>
              </w:rPr>
              <w:t xml:space="preserve">目售后服务方案进行综合评分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包含（每项内容逐条阐述）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rPr>
              <w:t xml:space="preserve">服务体系及内容；2.故障解决方案；3.排障响应</w:t>
            </w:r>
            <w:r>
              <w:rPr>
                <w:rFonts w:hint="eastAsia" w:ascii="宋体" w:hAnsi="宋体" w:cs="宋体"/>
                <w:color w:val="000000"/>
                <w:sz w:val="24"/>
                <w:szCs w:val="24"/>
                <w:highlight w:val="none"/>
                <w:lang w:val="en-US" w:eastAsia="zh-CN"/>
              </w:rPr>
              <w:t xml:space="preserve">：</w:t>
            </w:r>
            <w:r/>
          </w:p>
          <w:p>
            <w:pPr>
              <w:spacing w:line="4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上述每</w:t>
            </w:r>
            <w:r>
              <w:rPr>
                <w:rFonts w:hint="eastAsia" w:ascii="宋体" w:hAnsi="宋体" w:cs="宋体"/>
                <w:color w:val="000000"/>
                <w:sz w:val="24"/>
                <w:szCs w:val="24"/>
                <w:lang w:val="en-US" w:eastAsia="zh-CN"/>
              </w:rPr>
              <w:t xml:space="preserve">有一</w:t>
            </w:r>
            <w:r>
              <w:rPr>
                <w:rFonts w:hint="eastAsia" w:ascii="宋体" w:hAnsi="宋体" w:cs="宋体"/>
                <w:color w:val="000000"/>
                <w:sz w:val="24"/>
                <w:szCs w:val="24"/>
              </w:rPr>
              <w:t xml:space="preserve">项内容全面、针对性强、可操作性强的，</w:t>
            </w:r>
            <w:r>
              <w:rPr>
                <w:rFonts w:hint="eastAsia" w:ascii="宋体" w:hAnsi="宋体" w:cs="宋体"/>
                <w:color w:val="000000"/>
                <w:sz w:val="24"/>
                <w:szCs w:val="24"/>
                <w:lang w:val="en-US" w:eastAsia="zh-CN"/>
              </w:rPr>
              <w:t xml:space="preserve">该项</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w:t>
            </w:r>
            <w:r/>
          </w:p>
          <w:p>
            <w:pPr>
              <w:spacing w:line="4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上述每</w:t>
            </w:r>
            <w:r>
              <w:rPr>
                <w:rFonts w:hint="eastAsia" w:ascii="宋体" w:hAnsi="宋体" w:cs="宋体"/>
                <w:color w:val="000000"/>
                <w:sz w:val="24"/>
                <w:szCs w:val="24"/>
                <w:lang w:val="en-US" w:eastAsia="zh-CN"/>
              </w:rPr>
              <w:t xml:space="preserve">有一</w:t>
            </w:r>
            <w:r>
              <w:rPr>
                <w:rFonts w:hint="eastAsia" w:ascii="宋体" w:hAnsi="宋体" w:cs="宋体"/>
                <w:color w:val="000000"/>
                <w:sz w:val="24"/>
                <w:szCs w:val="24"/>
              </w:rPr>
              <w:t xml:space="preserve">项内容较全面、针对性较强、可操作性较强的，</w:t>
            </w:r>
            <w:r>
              <w:rPr>
                <w:rFonts w:hint="eastAsia" w:ascii="宋体" w:hAnsi="宋体" w:cs="宋体"/>
                <w:color w:val="000000"/>
                <w:sz w:val="24"/>
                <w:szCs w:val="24"/>
                <w:lang w:val="en-US" w:eastAsia="zh-CN"/>
              </w:rPr>
              <w:t xml:space="preserve">该项</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w:t>
            </w:r>
            <w:r/>
          </w:p>
          <w:p>
            <w:pPr>
              <w:jc w:val="left"/>
              <w:spacing w:line="40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上述每</w:t>
            </w:r>
            <w:r>
              <w:rPr>
                <w:rFonts w:hint="eastAsia" w:ascii="宋体" w:hAnsi="宋体" w:cs="宋体"/>
                <w:color w:val="000000"/>
                <w:sz w:val="24"/>
                <w:szCs w:val="24"/>
                <w:lang w:val="en-US" w:eastAsia="zh-CN"/>
              </w:rPr>
              <w:t xml:space="preserve">有一</w:t>
            </w:r>
            <w:r>
              <w:rPr>
                <w:rFonts w:hint="eastAsia" w:ascii="宋体" w:hAnsi="宋体" w:cs="宋体"/>
                <w:color w:val="000000"/>
                <w:sz w:val="24"/>
                <w:szCs w:val="24"/>
              </w:rPr>
              <w:t xml:space="preserve">项内容不可行或未提供方案的</w:t>
            </w:r>
            <w:r>
              <w:rPr>
                <w:rFonts w:hint="eastAsia" w:ascii="宋体" w:hAnsi="宋体" w:cs="宋体"/>
                <w:color w:val="000000"/>
                <w:sz w:val="24"/>
                <w:szCs w:val="24"/>
                <w:lang w:val="en-US" w:eastAsia="zh-CN"/>
              </w:rPr>
              <w:t xml:space="preserve">该项</w:t>
            </w:r>
            <w:r>
              <w:rPr>
                <w:rFonts w:hint="eastAsia" w:ascii="宋体" w:hAnsi="宋体" w:cs="宋体"/>
                <w:color w:val="000000"/>
                <w:sz w:val="24"/>
                <w:szCs w:val="24"/>
              </w:rPr>
              <w:t xml:space="preserve">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主观分</w:t>
            </w:r>
            <w:r/>
          </w:p>
        </w:tc>
      </w:tr>
      <w:tr>
        <w:trPr>
          <w:trHeight w:val="287"/>
        </w:trPr>
        <w:tc>
          <w:tcPr>
            <w:gridSpan w:val="5"/>
            <w:tcBorders>
              <w:top w:val="single" w:color="000000" w:sz="4" w:space="0"/>
              <w:left w:val="single" w:color="000000" w:sz="4" w:space="0"/>
              <w:bottom w:val="single" w:color="000000" w:sz="4" w:space="0"/>
              <w:right w:val="single" w:color="000000" w:sz="4" w:space="0"/>
            </w:tcBorders>
            <w:tcW w:w="10062" w:type="dxa"/>
            <w:vAlign w:val="center"/>
            <w:textDirection w:val="lrTb"/>
            <w:noWrap/>
          </w:tcPr>
          <w:p>
            <w:pPr>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4.业绩</w:t>
            </w:r>
            <w:r/>
          </w:p>
        </w:tc>
      </w:tr>
      <w:tr>
        <w:trPr>
          <w:trHeight w:val="79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投标人业绩</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投标人提供202</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年1月1日（以签订合同为准）以来，类似的集成项目案例（非厂家产品销售合同）</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每个项目同时提供合同、</w:t>
            </w:r>
            <w:r>
              <w:rPr>
                <w:rFonts w:hint="eastAsia" w:ascii="宋体" w:hAnsi="宋体" w:cs="宋体"/>
                <w:color w:val="000000"/>
                <w:sz w:val="24"/>
                <w:szCs w:val="24"/>
                <w:lang w:val="en-US" w:eastAsia="zh-CN"/>
              </w:rPr>
              <w:t xml:space="preserve">验收材料</w:t>
            </w:r>
            <w:r>
              <w:rPr>
                <w:rFonts w:hint="eastAsia" w:ascii="宋体" w:hAnsi="宋体" w:cs="宋体"/>
                <w:color w:val="000000"/>
                <w:sz w:val="24"/>
                <w:szCs w:val="24"/>
              </w:rPr>
              <w:t xml:space="preserve">，缺一不可，每提供1个得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分，最高得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未提供或提供不全不得分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（上传证明文件扫描件）。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客观分</w:t>
            </w:r>
            <w:r/>
          </w:p>
        </w:tc>
      </w:tr>
      <w:tr>
        <w:trPr>
          <w:trHeight w:val="313"/>
        </w:trPr>
        <w:tc>
          <w:tcPr>
            <w:gridSpan w:val="5"/>
            <w:tcBorders>
              <w:top w:val="single" w:color="000000" w:sz="4" w:space="0"/>
              <w:left w:val="single" w:color="000000" w:sz="4" w:space="0"/>
              <w:bottom w:val="single" w:color="000000" w:sz="4" w:space="0"/>
              <w:right w:val="single" w:color="000000" w:sz="4" w:space="0"/>
            </w:tcBorders>
            <w:tcW w:w="10062" w:type="dxa"/>
            <w:vAlign w:val="center"/>
            <w:textDirection w:val="lrTb"/>
            <w:noWrap/>
          </w:tcPr>
          <w:p>
            <w:pPr>
              <w:jc w:val="left"/>
              <w:spacing w:line="400" w:lineRule="exact"/>
              <w:widowControl/>
              <w:rPr>
                <w:rFonts w:ascii="宋体" w:hAnsi="宋体" w:cs="宋体"/>
                <w:color w:val="000000"/>
                <w:sz w:val="24"/>
                <w:szCs w:val="24"/>
              </w:rPr>
            </w:pPr>
            <w:r>
              <w:rPr>
                <w:rFonts w:hint="eastAsia" w:ascii="宋体" w:hAnsi="宋体" w:cs="宋体"/>
                <w:b/>
                <w:bCs/>
                <w:color w:val="000000"/>
                <w:sz w:val="24"/>
                <w:szCs w:val="24"/>
              </w:rPr>
              <w:t xml:space="preserve">5.节能环保</w:t>
            </w:r>
            <w:r/>
          </w:p>
        </w:tc>
      </w:tr>
      <w:tr>
        <w:trPr>
          <w:trHeight w:val="1089"/>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节能环保</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投标产品属于政府强制采购节能产品或已在实质性要求中要求提供节能产品认证证书的，本项不得分。（上传证明文件扫描件）</w:t>
            </w:r>
            <w:r>
              <w:rPr>
                <w:rFonts w:hint="eastAsia" w:ascii="宋体" w:hAnsi="宋体" w:cs="宋体"/>
                <w:color w:val="000000"/>
                <w:sz w:val="24"/>
                <w:szCs w:val="24"/>
                <w:highlight w:val="none"/>
                <w:lang w:eastAsia="zh-CN"/>
              </w:rPr>
              <w:t xml:space="preserve">；</w:t>
            </w:r>
            <w:r/>
          </w:p>
          <w:p>
            <w:pPr>
              <w:jc w:val="left"/>
              <w:spacing w:line="400" w:lineRule="exact"/>
              <w:widowControl/>
              <w:rPr>
                <w:rFonts w:ascii="宋体" w:hAnsi="宋体" w:cs="宋体"/>
                <w:color w:val="000000"/>
                <w:sz w:val="24"/>
                <w:szCs w:val="24"/>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投标产品属于财政部、生态环境部公布的《环境标志产品品目清单》（财库〔2019〕18号）范围内的，投标人提供国家确定的认证机构出具的、处于有效期内的该环保产品认证证书的，有1个得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分（上传证明文件扫描件）</w:t>
            </w:r>
            <w:r>
              <w:rPr>
                <w:rFonts w:hint="eastAsia" w:ascii="宋体" w:hAnsi="宋体" w:cs="宋体"/>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客观分</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合计</w:t>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tcPr>
          <w:p>
            <w:pPr>
              <w:jc w:val="center"/>
              <w:spacing w:line="400" w:lineRule="exact"/>
              <w:rPr>
                <w:rFonts w:ascii="宋体" w:hAnsi="宋体" w:cs="宋体"/>
                <w:color w:val="ff0000"/>
                <w:sz w:val="24"/>
                <w:szCs w:val="24"/>
              </w:rPr>
            </w:pPr>
            <w:r>
              <w:rPr>
                <w:rFonts w:ascii="宋体" w:hAnsi="宋体" w:cs="宋体"/>
                <w:color w:val="ff0000"/>
                <w:sz w:val="24"/>
                <w:szCs w:val="24"/>
              </w:rPr>
            </w:r>
            <w:r/>
          </w:p>
        </w:tc>
        <w:tc>
          <w:tcPr>
            <w:gridSpan w:val="2"/>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100</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pStyle w:val="66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jc w:val="left"/>
        <w:spacing w:line="264" w:lineRule="auto"/>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12"/>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12"/>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bookmarkEnd w:id="190"/>
      <w:bookmarkEnd w:id="191"/>
      <w:bookmarkEnd w:id="193"/>
      <w:bookmarkEnd w:id="194"/>
      <w:bookmarkEnd w:id="195"/>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hint="eastAsia" w:ascii="宋体" w:hAnsi="宋体"/>
          <w:b/>
          <w:color w:val="000000"/>
          <w:sz w:val="72"/>
          <w:szCs w:val="21"/>
        </w:rPr>
      </w:pPr>
      <w:r/>
      <w:bookmarkStart w:id="197" w:name="_Hlt26671244"/>
      <w:r/>
      <w:bookmarkEnd w:id="197"/>
      <w:r/>
      <w:bookmarkStart w:id="198" w:name="_Hlt26955039"/>
      <w:r/>
      <w:bookmarkEnd w:id="198"/>
      <w:r/>
      <w:bookmarkStart w:id="199" w:name="_Toc49090576"/>
      <w:r/>
      <w:bookmarkStart w:id="200" w:name="_Toc120614282"/>
      <w:r/>
      <w:bookmarkStart w:id="201"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default"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9"/>
      <w:r/>
      <w:bookmarkEnd w:id="200"/>
      <w:r/>
      <w:bookmarkEnd w:id="201"/>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十三、关于符合本国产品标准的声明函（如有）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45"/>
        <w:rPr>
          <w:rFonts w:ascii="宋体" w:hAnsi="宋体"/>
          <w:sz w:val="24"/>
        </w:rPr>
      </w:pPr>
      <w:r>
        <w:rPr>
          <w:rFonts w:ascii="宋体" w:hAnsi="宋体"/>
          <w:sz w:val="24"/>
        </w:rPr>
      </w:r>
      <w:r/>
    </w:p>
    <w:p>
      <w:pPr>
        <w:pStyle w:val="945"/>
        <w:rPr>
          <w:rFonts w:ascii="宋体" w:hAnsi="宋体"/>
          <w:sz w:val="24"/>
        </w:rPr>
      </w:pPr>
      <w:r>
        <w:rPr>
          <w:rFonts w:ascii="宋体" w:hAnsi="宋体"/>
          <w:sz w:val="24"/>
        </w:rPr>
      </w:r>
      <w:r/>
    </w:p>
    <w:p>
      <w:pPr>
        <w:pStyle w:val="945"/>
        <w:rPr>
          <w:rFonts w:ascii="宋体" w:hAnsi="宋体"/>
          <w:sz w:val="24"/>
        </w:rPr>
      </w:pPr>
      <w:r>
        <w:rPr>
          <w:rFonts w:ascii="宋体" w:hAnsi="宋体"/>
          <w:sz w:val="24"/>
        </w:rPr>
      </w:r>
      <w:r/>
    </w:p>
    <w:p>
      <w:pPr>
        <w:pStyle w:val="945"/>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6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66"/>
        <w:rPr>
          <w:rFonts w:hint="eastAsia"/>
          <w:lang w:val="en-US" w:eastAsia="zh-CN"/>
        </w:rPr>
      </w:pPr>
      <w:r>
        <w:rPr>
          <w:rFonts w:hint="eastAsia"/>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color w:val="000000"/>
          <w:sz w:val="24"/>
          <w:szCs w:val="24"/>
        </w:rPr>
        <w:t xml:space="preserve">江宁分中心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4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auto"/>
          <w:sz w:val="32"/>
          <w:szCs w:val="32"/>
          <w:u w:val="single"/>
          <w:lang w:eastAsia="zh-CN"/>
        </w:rPr>
      </w:pPr>
      <w:r>
        <w:rPr>
          <w:rFonts w:hint="eastAsia" w:ascii="黑体" w:hAnsi="黑体" w:eastAsia="黑体" w:cs="Times New Roman"/>
          <w:i/>
          <w:color w:val="auto"/>
          <w:sz w:val="32"/>
          <w:szCs w:val="32"/>
          <w:u w:val="single"/>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19"/>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47"/>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19"/>
        <w:ind w:firstLine="480"/>
        <w:spacing w:line="420" w:lineRule="exact"/>
        <w:rPr>
          <w:rFonts w:hint="eastAsia"/>
          <w:sz w:val="24"/>
          <w:szCs w:val="24"/>
        </w:rPr>
      </w:pPr>
      <w:r>
        <w:rPr>
          <w:rFonts w:hint="eastAsia"/>
          <w:sz w:val="24"/>
          <w:szCs w:val="24"/>
        </w:rPr>
      </w:r>
      <w:r/>
    </w:p>
    <w:p>
      <w:pPr>
        <w:pStyle w:val="919"/>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19"/>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19"/>
        <w:ind w:firstLine="480"/>
        <w:spacing w:line="480" w:lineRule="exact"/>
        <w:rPr>
          <w:rFonts w:hint="eastAsia"/>
          <w:sz w:val="24"/>
          <w:szCs w:val="24"/>
        </w:rPr>
      </w:pPr>
      <w:r>
        <w:rPr>
          <w:rFonts w:hint="eastAsia"/>
          <w:sz w:val="24"/>
          <w:szCs w:val="24"/>
        </w:rPr>
        <w:t xml:space="preserve">被授权人身份证号码：</w:t>
      </w:r>
      <w:r/>
    </w:p>
    <w:p>
      <w:pPr>
        <w:pStyle w:val="919"/>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19"/>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19"/>
        <w:ind w:firstLine="480"/>
        <w:spacing w:line="480" w:lineRule="exact"/>
        <w:rPr>
          <w:rFonts w:hint="eastAsia"/>
          <w:sz w:val="24"/>
          <w:szCs w:val="24"/>
          <w:u w:val="single"/>
        </w:rPr>
      </w:pPr>
      <w:r>
        <w:rPr>
          <w:rFonts w:hint="eastAsia"/>
          <w:sz w:val="24"/>
          <w:szCs w:val="24"/>
        </w:rPr>
        <w:t xml:space="preserve">单位地址：</w:t>
      </w:r>
      <w:r/>
    </w:p>
    <w:p>
      <w:pPr>
        <w:pStyle w:val="919"/>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Hlt26955070"/>
      <w:r/>
      <w:bookmarkEnd w:id="202"/>
      <w:r/>
      <w:bookmarkStart w:id="203" w:name="_Hlt26671380"/>
      <w:r/>
      <w:bookmarkEnd w:id="203"/>
      <w:r/>
      <w:bookmarkStart w:id="204" w:name="_格式3__银行出具的资信证明"/>
      <w:r/>
      <w:bookmarkEnd w:id="204"/>
      <w:r/>
      <w:r/>
    </w:p>
    <w:p>
      <w:pPr>
        <w:pStyle w:val="669"/>
        <w:rPr>
          <w:rFonts w:hint="eastAsia"/>
          <w:i/>
          <w:sz w:val="24"/>
          <w:szCs w:val="24"/>
          <w:u w:val="single"/>
        </w:rPr>
      </w:pPr>
      <w:r>
        <w:rPr>
          <w:rFonts w:hint="eastAsia"/>
          <w:i/>
          <w:sz w:val="24"/>
          <w:szCs w:val="24"/>
          <w:u w:val="single"/>
        </w:rPr>
      </w:r>
      <w:r/>
    </w:p>
    <w:p>
      <w:pPr>
        <w:pStyle w:val="669"/>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666"/>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pStyle w:val="666"/>
        <w:rPr>
          <w:rFonts w:hint="eastAsia" w:ascii="宋体" w:hAnsi="宋体"/>
          <w:bCs/>
          <w:sz w:val="24"/>
        </w:rPr>
      </w:pPr>
      <w:r>
        <w:rPr>
          <w:rFonts w:hint="eastAsia" w:ascii="宋体" w:hAnsi="宋体"/>
          <w:bCs/>
          <w:sz w:val="24"/>
        </w:rPr>
      </w:r>
      <w:r/>
    </w:p>
    <w:p>
      <w:pPr>
        <w:rPr>
          <w:rFonts w:hint="eastAsia"/>
        </w:rPr>
      </w:pPr>
      <w:r>
        <w:rPr>
          <w:rFonts w:hint="eastAsia"/>
        </w:rPr>
      </w:r>
      <w:r/>
    </w:p>
    <w:p>
      <w:pPr>
        <w:pStyle w:val="945"/>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2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color w:val="000000"/>
          <w:sz w:val="24"/>
          <w:szCs w:val="24"/>
        </w:rPr>
        <w:t xml:space="preserve">江宁分中心</w:t>
      </w:r>
      <w:r/>
    </w:p>
    <w:p>
      <w:pPr>
        <w:pStyle w:val="92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21"/>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2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2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92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92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92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21"/>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21"/>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2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2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2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2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2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21"/>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65"/>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21"/>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auto"/>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。投标人</w:t>
      </w:r>
      <w:r>
        <w:rPr>
          <w:rFonts w:hint="eastAsia" w:ascii="宋体" w:hAnsi="宋体" w:eastAsia="宋体" w:cs="Times New Roman"/>
          <w:b/>
          <w:bCs/>
          <w:color w:val="auto"/>
          <w:sz w:val="24"/>
          <w:szCs w:val="24"/>
          <w:lang w:val="en-US" w:eastAsia="zh-CN"/>
        </w:rPr>
        <w:t xml:space="preserve">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不能证明其报价合理性的，将作为无效投标处理。</w:t>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6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665"/>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default" w:ascii="宋体" w:hAnsi="宋体" w:eastAsia="宋体" w:cs="宋体"/>
                <w:sz w:val="21"/>
                <w:szCs w:val="21"/>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66"/>
        <w:rPr>
          <w:rFonts w:hint="eastAsia"/>
          <w:lang w:val="en-US" w:eastAsia="zh-CN"/>
        </w:rPr>
      </w:pPr>
      <w:r>
        <w:rPr>
          <w:rFonts w:hint="eastAsia"/>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65"/>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69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69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698"/>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2.《投标分项报价表》中“投标总价”应当与《开标一览表》中“投标总报价”一致。</w:t>
      </w:r>
      <w:r/>
    </w:p>
    <w:p>
      <w:pPr>
        <w:pStyle w:val="698"/>
        <w:ind w:firstLine="482"/>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3.供应商所投产品须与“第四章-项目清单”中的产品一一对应，如有缺项、漏项或者超出单价上限，视为无效投标。</w:t>
      </w:r>
      <w:r/>
    </w:p>
    <w:p>
      <w:pPr>
        <w:pStyle w:val="69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hint="default" w:ascii="宋体" w:hAnsi="宋体"/>
          <w:sz w:val="24"/>
          <w:szCs w:val="24"/>
          <w:highlight w:val="none"/>
          <w:lang w:eastAsia="zh-CN"/>
        </w:rPr>
      </w:pPr>
      <w:r>
        <w:rPr>
          <w:rFonts w:hint="default" w:ascii="宋体" w:hAnsi="宋体"/>
          <w:sz w:val="24"/>
          <w:szCs w:val="24"/>
          <w:highlight w:val="none"/>
          <w:lang w:eastAsia="zh-CN"/>
        </w:rPr>
      </w:r>
      <w:r/>
    </w:p>
    <w:p>
      <w:pPr>
        <w:rPr>
          <w:rFonts w:hint="default" w:ascii="宋体" w:hAnsi="宋体"/>
          <w:sz w:val="24"/>
          <w:szCs w:val="24"/>
          <w:highlight w:val="none"/>
          <w:lang w:eastAsia="zh-CN"/>
        </w:rPr>
      </w:pPr>
      <w:r>
        <w:rPr>
          <w:rFonts w:hint="default" w:ascii="宋体" w:hAnsi="宋体"/>
          <w:sz w:val="24"/>
          <w:szCs w:val="24"/>
          <w:highlight w:val="none"/>
          <w:lang w:eastAsia="zh-CN"/>
        </w:rPr>
      </w:r>
      <w:r/>
    </w:p>
    <w:p>
      <w:pPr>
        <w:rPr>
          <w:rFonts w:hint="default" w:ascii="宋体" w:hAnsi="宋体"/>
          <w:sz w:val="24"/>
          <w:szCs w:val="24"/>
          <w:highlight w:val="none"/>
          <w:lang w:eastAsia="zh-CN"/>
        </w:rPr>
      </w:pPr>
      <w:r>
        <w:rPr>
          <w:rFonts w:hint="default"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6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698"/>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98"/>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698"/>
        <w:ind w:firstLine="480"/>
        <w:jc w:val="both"/>
        <w:spacing w:before="0" w:beforeAutospacing="0" w:after="0" w:afterAutospacing="0" w:line="360" w:lineRule="auto"/>
      </w:pPr>
      <w:r>
        <w:rPr>
          <w:rFonts w:hint="eastAsia"/>
        </w:rPr>
        <w:t xml:space="preserve">1.供应商应当对招标文件技术要求作出明确响应。</w:t>
      </w:r>
      <w:r/>
    </w:p>
    <w:p>
      <w:pPr>
        <w:pStyle w:val="698"/>
        <w:ind w:firstLine="480"/>
        <w:jc w:val="both"/>
        <w:spacing w:before="0" w:beforeAutospacing="0" w:after="0" w:afterAutospacing="0" w:line="312" w:lineRule="auto"/>
        <w:rPr>
          <w:color w:val="000000"/>
        </w:rPr>
      </w:pPr>
      <w:r>
        <w:rPr>
          <w:rFonts w:hint="eastAsia"/>
          <w:color w:val="000000"/>
        </w:rPr>
        <w:t xml:space="preserve">2.技术要求中</w:t>
      </w:r>
      <w:r>
        <w:rPr>
          <w:color w:val="000000"/>
        </w:rPr>
        <w:t xml:space="preserve">采购文件要求</w:t>
      </w:r>
      <w:r>
        <w:rPr>
          <w:rFonts w:hint="eastAsia"/>
          <w:color w:val="000000"/>
        </w:rPr>
        <w:t xml:space="preserve">投标时</w:t>
      </w:r>
      <w:r>
        <w:rPr>
          <w:color w:val="000000"/>
        </w:rPr>
        <w:t xml:space="preserve">提供证明材料</w:t>
      </w:r>
      <w:r>
        <w:rPr>
          <w:rFonts w:hint="eastAsia"/>
          <w:color w:val="000000"/>
        </w:rPr>
        <w:t xml:space="preserve">的</w:t>
      </w:r>
      <w:r>
        <w:rPr>
          <w:color w:val="000000"/>
        </w:rPr>
        <w:t xml:space="preserve">，供应商</w:t>
      </w:r>
      <w:r>
        <w:rPr>
          <w:rFonts w:hint="eastAsia"/>
          <w:color w:val="000000"/>
        </w:rPr>
        <w:t xml:space="preserve">应按要求在此表下方提供。要求签订合同时提供</w:t>
      </w:r>
      <w:r>
        <w:rPr>
          <w:color w:val="000000"/>
        </w:rPr>
        <w:t xml:space="preserve">证明材料</w:t>
      </w:r>
      <w:r>
        <w:rPr>
          <w:rFonts w:hint="eastAsia"/>
          <w:color w:val="000000"/>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698"/>
        <w:ind w:firstLine="482"/>
        <w:jc w:val="both"/>
        <w:spacing w:before="0" w:beforeAutospacing="0" w:after="0" w:afterAutospacing="0" w:line="312" w:lineRule="auto"/>
        <w:rPr>
          <w:rFonts w:hint="eastAsia"/>
          <w:lang w:eastAsia="zh-CN"/>
        </w:rPr>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p>
    <w:p>
      <w:pPr>
        <w:pStyle w:val="698"/>
        <w:ind w:firstLine="480"/>
        <w:jc w:val="both"/>
        <w:spacing w:before="0" w:beforeAutospacing="0" w:after="0" w:afterAutospacing="0" w:line="360" w:lineRule="auto"/>
        <w:rPr>
          <w:color w:val="000000"/>
        </w:rPr>
      </w:pPr>
      <w:r>
        <w:rPr>
          <w:rFonts w:hint="eastAsia"/>
          <w:color w:val="000000"/>
          <w:lang w:val="en-US" w:eastAsia="zh-CN"/>
        </w:rPr>
        <w:t xml:space="preserve">4</w:t>
      </w:r>
      <w:r>
        <w:rPr>
          <w:rFonts w:hint="eastAsia"/>
          <w:color w:val="000000"/>
        </w:rPr>
        <w:t xml:space="preserve">.行数不够，可自行添加。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6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6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9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698"/>
        <w:ind w:firstLine="482"/>
        <w:jc w:val="both"/>
        <w:spacing w:before="0" w:beforeAutospacing="0" w:after="0" w:afterAutospacing="0" w:line="360" w:lineRule="auto"/>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 xml:space="preserve">1.供应商须对招标文件商务要求中的实质性要求（斜体下划线内容或打“★”内容）做出明确响应，否则视为无效投标。</w:t>
      </w:r>
      <w:r/>
    </w:p>
    <w:p>
      <w:pPr>
        <w:pStyle w:val="69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66"/>
        <w:rPr>
          <w:rFonts w:hint="eastAsia"/>
          <w:lang w:val="en-US" w:eastAsia="zh-CN"/>
        </w:rPr>
      </w:pPr>
      <w:r>
        <w:rPr>
          <w:rFonts w:hint="eastAsia"/>
          <w:lang w:val="en-US" w:eastAsia="zh-CN"/>
        </w:rPr>
      </w:r>
      <w:r/>
    </w:p>
    <w:p>
      <w:pPr>
        <w:pStyle w:val="722"/>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722"/>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lang w:eastAsia="zh-CN"/>
        </w:rPr>
        <w:t xml:space="preserve">清单中列示的所有货物，投标人须在声明函中逐项列示并明确制造商的企业类型，如有缺失将按“不提供声明函”处理。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722"/>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45"/>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rPr>
          <w:rFonts w:hint="eastAsia"/>
        </w:rPr>
      </w:pPr>
      <w:r>
        <w:rPr>
          <w:rFonts w:hint="eastAsia"/>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708"/>
          <w:rFonts w:hint="eastAsia" w:ascii="宋体" w:hAnsi="宋体" w:eastAsia="宋体" w:cs="宋体"/>
          <w:i w:val="0"/>
          <w:iCs w:val="0"/>
          <w:caps w:val="0"/>
          <w:color w:val="auto"/>
          <w:spacing w:val="0"/>
          <w:sz w:val="24"/>
          <w:szCs w:val="24"/>
          <w:u w:val="single"/>
          <w:shd w:val="clear" w:color="auto" w:fill="ffffff"/>
          <w:vertAlign w:val="baseline"/>
        </w:rPr>
        <w:t xml:space="preserve">（产品名称1）</w:t>
      </w:r>
      <w:r>
        <w:rPr>
          <w:rStyle w:val="708"/>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u w:val="single"/>
          <w:shd w:val="clear" w:color="auto" w:fill="ffffff"/>
          <w:vertAlign w:val="baseline"/>
        </w:rPr>
        <w:t xml:space="preserve">生产厂为</w:t>
      </w:r>
      <w:r>
        <w:rPr>
          <w:rStyle w:val="708"/>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Style w:val="708"/>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708"/>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Style w:val="708"/>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Style w:val="708"/>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Style w:val="708"/>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708"/>
          <w:rFonts w:hint="eastAsia" w:ascii="宋体" w:hAnsi="宋体" w:eastAsia="宋体" w:cs="宋体"/>
          <w:i w:val="0"/>
          <w:iCs w:val="0"/>
          <w:caps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708"/>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708"/>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08"/>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w:t>
      </w:r>
      <w:r>
        <w:rPr>
          <w:rStyle w:val="708"/>
          <w:vertAlign w:val="superscript"/>
        </w:rPr>
        <w:t xml:space="preserve">6</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698"/>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698"/>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698"/>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4.该产品的关键组件要求实施前，“关键组件”栏可不填。</w:t>
      </w:r>
      <w:r/>
    </w:p>
    <w:p>
      <w:pPr>
        <w:pStyle w:val="69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5.该产品的关键工序要求实施前，“关键工序”栏可不填。</w:t>
      </w:r>
      <w:r/>
    </w:p>
    <w:p>
      <w:pPr>
        <w:pStyle w:val="698"/>
        <w:ind w:left="0" w:righ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b w:val="0"/>
          <w:bCs w:val="0"/>
          <w:sz w:val="32"/>
          <w:szCs w:val="32"/>
        </w:rPr>
      </w:pPr>
      <w: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706"/>
        <w:rFonts w:ascii="宋体" w:hAnsi="宋体"/>
      </w:rPr>
      <w:framePr w:wrap="around" w:vAnchor="text" w:hAnchor="margin" w:xAlign="center" w:y="1"/>
    </w:pPr>
    <w:r>
      <w:rPr>
        <w:rFonts w:ascii="宋体" w:hAnsi="宋体"/>
      </w:rPr>
      <w:fldChar w:fldCharType="begin"/>
    </w:r>
    <w:r>
      <w:rPr>
        <w:rStyle w:val="706"/>
        <w:rFonts w:ascii="宋体" w:hAnsi="宋体"/>
      </w:rPr>
      <w:instrText xml:space="preserve">PAGE  </w:instrText>
    </w:r>
    <w:r>
      <w:rPr>
        <w:rFonts w:ascii="宋体" w:hAnsi="宋体"/>
      </w:rPr>
      <w:fldChar w:fldCharType="separate"/>
    </w:r>
    <w:r>
      <w:rPr>
        <w:rStyle w:val="706"/>
        <w:rFonts w:ascii="宋体" w:hAnsi="宋体"/>
      </w:rPr>
      <w:t xml:space="preserve">23</w:t>
    </w:r>
    <w:r>
      <w:rPr>
        <w:rFonts w:ascii="宋体" w:hAnsi="宋体"/>
      </w:rPr>
      <w:fldChar w:fldCharType="end"/>
    </w:r>
    <w:r/>
  </w:p>
  <w:p>
    <w:pPr>
      <w:pStyle w:val="68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706"/>
      </w:rPr>
      <w:framePr w:wrap="around" w:vAnchor="text" w:hAnchor="margin" w:xAlign="center" w:y="1"/>
    </w:pPr>
    <w:r>
      <w:fldChar w:fldCharType="begin"/>
    </w:r>
    <w:r>
      <w:rPr>
        <w:rStyle w:val="706"/>
      </w:rPr>
      <w:instrText xml:space="preserve">PAGE  </w:instrText>
    </w:r>
    <w:r>
      <w:fldChar w:fldCharType="separate"/>
    </w:r>
    <w:r>
      <w:rPr>
        <w:rStyle w:val="706"/>
      </w:rPr>
      <w:t xml:space="preserve">1</w:t>
    </w:r>
    <w: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660"/>
      <w:isLgl w:val="false"/>
      <w:suff w:val="nothing"/>
      <w:lvlText w:val=""/>
      <w:lvlJc w:val="left"/>
      <w:pPr>
        <w:ind w:left="0" w:firstLine="0"/>
      </w:pPr>
      <w:rPr>
        <w:rFonts w:hint="eastAsia"/>
      </w:rPr>
    </w:lvl>
    <w:lvl w:ilvl="6">
      <w:start w:val="1"/>
      <w:numFmt w:val="decimal"/>
      <w:pStyle w:val="661"/>
      <w:isLgl w:val="false"/>
      <w:suff w:val="nothing"/>
      <w:lvlText w:val=""/>
      <w:lvlJc w:val="left"/>
      <w:pPr>
        <w:ind w:left="0" w:firstLine="0"/>
      </w:pPr>
      <w:rPr>
        <w:rFonts w:hint="eastAsia"/>
      </w:rPr>
    </w:lvl>
    <w:lvl w:ilvl="7">
      <w:start w:val="1"/>
      <w:numFmt w:val="decimal"/>
      <w:pStyle w:val="662"/>
      <w:isLgl w:val="false"/>
      <w:suff w:val="nothing"/>
      <w:lvlText w:val=""/>
      <w:lvlJc w:val="left"/>
      <w:pPr>
        <w:ind w:left="0" w:firstLine="0"/>
      </w:pPr>
      <w:rPr>
        <w:rFonts w:hint="eastAsia"/>
      </w:rPr>
    </w:lvl>
    <w:lvl w:ilvl="8">
      <w:start w:val="1"/>
      <w:numFmt w:val="decimal"/>
      <w:pStyle w:val="663"/>
      <w:isLgl w:val="false"/>
      <w:suff w:val="nothing"/>
      <w:lvlText w:val=""/>
      <w:lvlJc w:val="left"/>
      <w:pPr>
        <w:ind w:left="0" w:firstLine="0"/>
      </w:pPr>
      <w:rPr>
        <w:rFonts w:hint="eastAsia"/>
      </w:rPr>
    </w:lvl>
  </w:abstractNum>
  <w:abstractNum w:abstractNumId="4">
    <w:multiLevelType w:val="hybridMultilevel"/>
    <w:lvl w:ilvl="0">
      <w:start w:val="1"/>
      <w:numFmt w:val="decimal"/>
      <w:pStyle w:val="714"/>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5">
    <w:name w:val="Heading 1"/>
    <w:basedOn w:val="654"/>
    <w:next w:val="654"/>
    <w:link w:val="883"/>
    <w:uiPriority w:val="0"/>
    <w:qFormat/>
    <w:pPr>
      <w:jc w:val="center"/>
      <w:keepNext/>
      <w:outlineLvl w:val="0"/>
    </w:pPr>
    <w:rPr>
      <w:rFonts w:ascii="楷体_GB2312" w:eastAsia="楷体_GB2312"/>
      <w:sz w:val="28"/>
      <w:szCs w:val="28"/>
    </w:rPr>
  </w:style>
  <w:style w:type="paragraph" w:styleId="656">
    <w:name w:val="Heading 2"/>
    <w:basedOn w:val="654"/>
    <w:next w:val="654"/>
    <w:link w:val="7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7">
    <w:name w:val="Heading 3"/>
    <w:basedOn w:val="654"/>
    <w:next w:val="669"/>
    <w:link w:val="884"/>
    <w:uiPriority w:val="0"/>
    <w:qFormat/>
    <w:pPr>
      <w:keepLines/>
      <w:keepNext/>
      <w:spacing w:before="260" w:after="260" w:line="416" w:lineRule="auto"/>
      <w:outlineLvl w:val="2"/>
    </w:pPr>
    <w:rPr>
      <w:b/>
      <w:bCs/>
      <w:sz w:val="32"/>
      <w:szCs w:val="32"/>
    </w:rPr>
  </w:style>
  <w:style w:type="paragraph" w:styleId="658">
    <w:name w:val="Heading 4"/>
    <w:basedOn w:val="654"/>
    <w:next w:val="669"/>
    <w:link w:val="886"/>
    <w:uiPriority w:val="0"/>
    <w:qFormat/>
    <w:pPr>
      <w:keepLines/>
      <w:keepNext/>
      <w:spacing w:before="280" w:after="290" w:line="376" w:lineRule="auto"/>
      <w:outlineLvl w:val="3"/>
    </w:pPr>
    <w:rPr>
      <w:rFonts w:ascii="Arial" w:hAnsi="Arial" w:eastAsia="黑体" w:cs="Arial"/>
      <w:b/>
      <w:bCs/>
      <w:sz w:val="28"/>
      <w:szCs w:val="28"/>
    </w:rPr>
  </w:style>
  <w:style w:type="paragraph" w:styleId="659">
    <w:name w:val="Heading 5"/>
    <w:basedOn w:val="654"/>
    <w:next w:val="669"/>
    <w:link w:val="887"/>
    <w:uiPriority w:val="0"/>
    <w:qFormat/>
    <w:pPr>
      <w:keepNext/>
      <w:outlineLvl w:val="4"/>
    </w:pPr>
    <w:rPr>
      <w:rFonts w:ascii="宋体"/>
      <w:color w:val="000000"/>
      <w:sz w:val="28"/>
      <w:szCs w:val="28"/>
    </w:rPr>
  </w:style>
  <w:style w:type="paragraph" w:styleId="660">
    <w:name w:val="Heading 6"/>
    <w:basedOn w:val="654"/>
    <w:next w:val="654"/>
    <w:link w:val="88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1">
    <w:name w:val="Heading 7"/>
    <w:basedOn w:val="654"/>
    <w:next w:val="654"/>
    <w:link w:val="889"/>
    <w:uiPriority w:val="0"/>
    <w:qFormat/>
    <w:pPr>
      <w:numPr>
        <w:ilvl w:val="6"/>
        <w:numId w:val="1"/>
      </w:numPr>
      <w:keepLines/>
      <w:keepNext/>
      <w:spacing w:before="240" w:after="64" w:line="320" w:lineRule="auto"/>
      <w:outlineLvl w:val="6"/>
    </w:pPr>
    <w:rPr>
      <w:b/>
      <w:bCs/>
      <w:sz w:val="24"/>
      <w:szCs w:val="24"/>
    </w:rPr>
  </w:style>
  <w:style w:type="paragraph" w:styleId="662">
    <w:name w:val="Heading 8"/>
    <w:basedOn w:val="654"/>
    <w:next w:val="654"/>
    <w:link w:val="89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3">
    <w:name w:val="Heading 9"/>
    <w:basedOn w:val="654"/>
    <w:next w:val="654"/>
    <w:link w:val="891"/>
    <w:uiPriority w:val="0"/>
    <w:qFormat/>
    <w:pPr>
      <w:numPr>
        <w:ilvl w:val="8"/>
        <w:numId w:val="1"/>
      </w:numPr>
      <w:keepLines/>
      <w:keepNext/>
      <w:spacing w:before="240" w:after="64" w:line="320" w:lineRule="auto"/>
      <w:outlineLvl w:val="8"/>
    </w:pPr>
    <w:rPr>
      <w:rFonts w:ascii="Arial" w:hAnsi="Arial" w:eastAsia="黑体"/>
      <w:szCs w:val="21"/>
    </w:rPr>
  </w:style>
  <w:style w:type="character" w:styleId="664" w:default="1">
    <w:name w:val="Default Paragraph Font"/>
    <w:uiPriority w:val="1"/>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Body Text First Indent 2"/>
    <w:basedOn w:val="667"/>
    <w:next w:val="654"/>
    <w:link w:val="897"/>
    <w:uiPriority w:val="0"/>
    <w:qFormat/>
    <w:pPr>
      <w:ind w:left="0" w:firstLine="420"/>
      <w:spacing w:after="0" w:line="360" w:lineRule="auto"/>
    </w:pPr>
    <w:rPr>
      <w:rFonts w:ascii="宋体" w:hAnsi="宋体"/>
      <w:szCs w:val="20"/>
    </w:rPr>
  </w:style>
  <w:style w:type="paragraph" w:styleId="667">
    <w:name w:val="Body Text Indent"/>
    <w:basedOn w:val="654"/>
    <w:next w:val="668"/>
    <w:link w:val="896"/>
    <w:uiPriority w:val="0"/>
    <w:unhideWhenUsed/>
    <w:qFormat/>
    <w:pPr>
      <w:ind w:left="420"/>
      <w:spacing w:after="120"/>
    </w:pPr>
  </w:style>
  <w:style w:type="paragraph" w:styleId="668">
    <w:name w:val="envelope return"/>
    <w:basedOn w:val="654"/>
    <w:uiPriority w:val="0"/>
    <w:qFormat/>
    <w:rPr>
      <w:rFonts w:ascii="Arial" w:hAnsi="Arial" w:cs="宋体"/>
    </w:rPr>
  </w:style>
  <w:style w:type="paragraph" w:styleId="669">
    <w:name w:val="Normal Indent"/>
    <w:basedOn w:val="654"/>
    <w:link w:val="885"/>
    <w:uiPriority w:val="0"/>
    <w:qFormat/>
    <w:pPr>
      <w:ind w:firstLine="420"/>
    </w:pPr>
    <w:rPr>
      <w:szCs w:val="21"/>
    </w:rPr>
  </w:style>
  <w:style w:type="paragraph" w:styleId="670">
    <w:name w:val="List 3"/>
    <w:basedOn w:val="654"/>
    <w:uiPriority w:val="0"/>
    <w:qFormat/>
    <w:pPr>
      <w:ind w:left="100" w:hanging="200"/>
    </w:pPr>
    <w:rPr>
      <w:szCs w:val="21"/>
    </w:rPr>
  </w:style>
  <w:style w:type="paragraph" w:styleId="671">
    <w:name w:val="toc 7"/>
    <w:basedOn w:val="654"/>
    <w:next w:val="654"/>
    <w:uiPriority w:val="0"/>
    <w:semiHidden/>
    <w:qFormat/>
    <w:pPr>
      <w:ind w:left="1260"/>
      <w:jc w:val="left"/>
    </w:pPr>
    <w:rPr>
      <w:szCs w:val="21"/>
    </w:rPr>
  </w:style>
  <w:style w:type="paragraph" w:styleId="672">
    <w:name w:val="Document Map"/>
    <w:basedOn w:val="654"/>
    <w:link w:val="892"/>
    <w:uiPriority w:val="0"/>
    <w:semiHidden/>
    <w:qFormat/>
    <w:pPr>
      <w:shd w:val="clear" w:color="auto" w:fill="000080"/>
    </w:pPr>
    <w:rPr>
      <w:szCs w:val="21"/>
    </w:rPr>
  </w:style>
  <w:style w:type="paragraph" w:styleId="673">
    <w:name w:val="annotation text"/>
    <w:basedOn w:val="654"/>
    <w:link w:val="893"/>
    <w:uiPriority w:val="0"/>
    <w:unhideWhenUsed/>
    <w:qFormat/>
    <w:pPr>
      <w:jc w:val="left"/>
    </w:pPr>
  </w:style>
  <w:style w:type="paragraph" w:styleId="674">
    <w:name w:val="Body Text 3"/>
    <w:basedOn w:val="654"/>
    <w:link w:val="894"/>
    <w:uiPriority w:val="0"/>
    <w:qFormat/>
    <w:rPr>
      <w:rFonts w:ascii="仿宋_GB2312" w:hAnsi="Arial" w:eastAsia="仿宋_GB2312"/>
      <w:sz w:val="32"/>
      <w:szCs w:val="32"/>
    </w:rPr>
  </w:style>
  <w:style w:type="paragraph" w:styleId="675">
    <w:name w:val="Body Text"/>
    <w:basedOn w:val="654"/>
    <w:next w:val="654"/>
    <w:link w:val="895"/>
    <w:uiPriority w:val="0"/>
    <w:qFormat/>
    <w:rPr>
      <w:rFonts w:ascii="楷体_GB2312" w:hAnsi="Arial" w:eastAsia="楷体_GB2312"/>
      <w:sz w:val="28"/>
      <w:szCs w:val="28"/>
    </w:rPr>
  </w:style>
  <w:style w:type="paragraph" w:styleId="676">
    <w:name w:val="List 2"/>
    <w:basedOn w:val="654"/>
    <w:uiPriority w:val="0"/>
    <w:qFormat/>
    <w:pPr>
      <w:ind w:left="100" w:hanging="200"/>
    </w:pPr>
    <w:rPr>
      <w:szCs w:val="21"/>
    </w:rPr>
  </w:style>
  <w:style w:type="paragraph" w:styleId="677">
    <w:name w:val="toc 5"/>
    <w:basedOn w:val="654"/>
    <w:next w:val="654"/>
    <w:uiPriority w:val="0"/>
    <w:semiHidden/>
    <w:qFormat/>
    <w:pPr>
      <w:ind w:left="840"/>
      <w:jc w:val="left"/>
    </w:pPr>
    <w:rPr>
      <w:szCs w:val="21"/>
    </w:rPr>
  </w:style>
  <w:style w:type="paragraph" w:styleId="678">
    <w:name w:val="toc 3"/>
    <w:basedOn w:val="654"/>
    <w:next w:val="654"/>
    <w:uiPriority w:val="0"/>
    <w:semiHidden/>
    <w:qFormat/>
    <w:pPr>
      <w:ind w:left="420"/>
      <w:jc w:val="left"/>
    </w:pPr>
    <w:rPr>
      <w:i/>
      <w:iCs/>
      <w:szCs w:val="24"/>
    </w:rPr>
  </w:style>
  <w:style w:type="paragraph" w:styleId="679">
    <w:name w:val="Plain Text"/>
    <w:basedOn w:val="654"/>
    <w:link w:val="898"/>
    <w:uiPriority w:val="0"/>
    <w:qFormat/>
    <w:rPr>
      <w:rFonts w:ascii="宋体" w:hAnsi="Courier New" w:cs="Courier New"/>
      <w:szCs w:val="21"/>
    </w:rPr>
  </w:style>
  <w:style w:type="paragraph" w:styleId="680">
    <w:name w:val="toc 8"/>
    <w:basedOn w:val="654"/>
    <w:next w:val="654"/>
    <w:uiPriority w:val="0"/>
    <w:semiHidden/>
    <w:qFormat/>
    <w:pPr>
      <w:ind w:left="1470"/>
      <w:jc w:val="left"/>
    </w:pPr>
    <w:rPr>
      <w:szCs w:val="21"/>
    </w:rPr>
  </w:style>
  <w:style w:type="paragraph" w:styleId="681">
    <w:name w:val="Date"/>
    <w:basedOn w:val="654"/>
    <w:next w:val="654"/>
    <w:link w:val="899"/>
    <w:uiPriority w:val="0"/>
    <w:qFormat/>
    <w:rPr>
      <w:sz w:val="24"/>
      <w:szCs w:val="24"/>
    </w:rPr>
  </w:style>
  <w:style w:type="paragraph" w:styleId="682">
    <w:name w:val="Body Text Indent 2"/>
    <w:basedOn w:val="654"/>
    <w:link w:val="900"/>
    <w:uiPriority w:val="0"/>
    <w:qFormat/>
    <w:pPr>
      <w:ind w:left="630" w:firstLine="645"/>
    </w:pPr>
    <w:rPr>
      <w:rFonts w:ascii="Arial" w:hAnsi="Arial" w:eastAsia="仿宋_GB2312" w:cs="Arial"/>
      <w:sz w:val="32"/>
      <w:szCs w:val="32"/>
    </w:rPr>
  </w:style>
  <w:style w:type="paragraph" w:styleId="683">
    <w:name w:val="endnote text"/>
    <w:basedOn w:val="654"/>
    <w:link w:val="881"/>
    <w:uiPriority w:val="99"/>
    <w:semiHidden/>
    <w:unhideWhenUsed/>
    <w:qFormat/>
    <w:rPr>
      <w:sz w:val="20"/>
    </w:rPr>
  </w:style>
  <w:style w:type="paragraph" w:styleId="684">
    <w:name w:val="Balloon Text"/>
    <w:basedOn w:val="654"/>
    <w:link w:val="901"/>
    <w:uiPriority w:val="0"/>
    <w:semiHidden/>
    <w:qFormat/>
    <w:rPr>
      <w:sz w:val="18"/>
      <w:szCs w:val="18"/>
    </w:rPr>
  </w:style>
  <w:style w:type="paragraph" w:styleId="685">
    <w:name w:val="Footer"/>
    <w:basedOn w:val="654"/>
    <w:link w:val="902"/>
    <w:uiPriority w:val="0"/>
    <w:qFormat/>
    <w:pPr>
      <w:jc w:val="left"/>
      <w:tabs>
        <w:tab w:val="center" w:pos="4153" w:leader="none"/>
        <w:tab w:val="right" w:pos="8306" w:leader="none"/>
      </w:tabs>
    </w:pPr>
    <w:rPr>
      <w:sz w:val="18"/>
      <w:szCs w:val="18"/>
    </w:rPr>
  </w:style>
  <w:style w:type="paragraph" w:styleId="686">
    <w:name w:val="Header"/>
    <w:basedOn w:val="654"/>
    <w:link w:val="903"/>
    <w:uiPriority w:val="0"/>
    <w:qFormat/>
    <w:pPr>
      <w:jc w:val="center"/>
      <w:tabs>
        <w:tab w:val="center" w:pos="4153" w:leader="none"/>
        <w:tab w:val="right" w:pos="8306" w:leader="none"/>
      </w:tabs>
      <w:pBdr>
        <w:bottom w:val="single" w:color="000000" w:sz="6" w:space="1"/>
      </w:pBdr>
    </w:pPr>
    <w:rPr>
      <w:sz w:val="18"/>
      <w:szCs w:val="18"/>
    </w:rPr>
  </w:style>
  <w:style w:type="paragraph" w:styleId="687">
    <w:name w:val="toc 1"/>
    <w:basedOn w:val="654"/>
    <w:next w:val="654"/>
    <w:uiPriority w:val="0"/>
    <w:semiHidden/>
    <w:qFormat/>
    <w:pPr>
      <w:jc w:val="left"/>
      <w:spacing w:before="120" w:after="120" w:line="400" w:lineRule="exact"/>
      <w:tabs>
        <w:tab w:val="right" w:pos="8720" w:leader="dot"/>
      </w:tabs>
    </w:pPr>
    <w:rPr>
      <w:rFonts w:ascii="宋体" w:hAnsi="宋体"/>
      <w:caps/>
      <w:sz w:val="24"/>
      <w:szCs w:val="24"/>
    </w:rPr>
  </w:style>
  <w:style w:type="paragraph" w:styleId="688">
    <w:name w:val="toc 4"/>
    <w:basedOn w:val="654"/>
    <w:next w:val="654"/>
    <w:uiPriority w:val="0"/>
    <w:semiHidden/>
    <w:qFormat/>
    <w:pPr>
      <w:ind w:left="630"/>
      <w:jc w:val="left"/>
    </w:pPr>
    <w:rPr>
      <w:szCs w:val="21"/>
    </w:rPr>
  </w:style>
  <w:style w:type="paragraph" w:styleId="689">
    <w:name w:val="Subtitle"/>
    <w:basedOn w:val="654"/>
    <w:next w:val="654"/>
    <w:link w:val="744"/>
    <w:uiPriority w:val="11"/>
    <w:qFormat/>
    <w:pPr>
      <w:spacing w:before="200" w:after="200"/>
    </w:pPr>
    <w:rPr>
      <w:sz w:val="24"/>
      <w:szCs w:val="24"/>
    </w:rPr>
  </w:style>
  <w:style w:type="paragraph" w:styleId="690">
    <w:name w:val="List"/>
    <w:basedOn w:val="654"/>
    <w:uiPriority w:val="0"/>
    <w:qFormat/>
    <w:pPr>
      <w:ind w:left="200" w:hanging="200"/>
    </w:pPr>
    <w:rPr>
      <w:szCs w:val="21"/>
    </w:rPr>
  </w:style>
  <w:style w:type="paragraph" w:styleId="691">
    <w:name w:val="footnote text"/>
    <w:basedOn w:val="654"/>
    <w:link w:val="880"/>
    <w:uiPriority w:val="99"/>
    <w:semiHidden/>
    <w:unhideWhenUsed/>
    <w:qFormat/>
    <w:pPr>
      <w:spacing w:after="40"/>
    </w:pPr>
    <w:rPr>
      <w:sz w:val="18"/>
    </w:rPr>
  </w:style>
  <w:style w:type="paragraph" w:styleId="692">
    <w:name w:val="toc 6"/>
    <w:basedOn w:val="654"/>
    <w:next w:val="654"/>
    <w:uiPriority w:val="0"/>
    <w:semiHidden/>
    <w:qFormat/>
    <w:pPr>
      <w:ind w:left="1050"/>
      <w:jc w:val="left"/>
    </w:pPr>
    <w:rPr>
      <w:szCs w:val="21"/>
    </w:rPr>
  </w:style>
  <w:style w:type="paragraph" w:styleId="693">
    <w:name w:val="Body Text Indent 3"/>
    <w:basedOn w:val="654"/>
    <w:link w:val="904"/>
    <w:uiPriority w:val="0"/>
    <w:qFormat/>
    <w:pPr>
      <w:ind w:left="645" w:firstLine="645"/>
    </w:pPr>
    <w:rPr>
      <w:rFonts w:ascii="Arial" w:hAnsi="Arial" w:eastAsia="仿宋_GB2312" w:cs="Arial"/>
      <w:color w:val="ffff00"/>
      <w:sz w:val="32"/>
      <w:szCs w:val="32"/>
    </w:rPr>
  </w:style>
  <w:style w:type="paragraph" w:styleId="694">
    <w:name w:val="table of figures"/>
    <w:basedOn w:val="654"/>
    <w:next w:val="654"/>
    <w:uiPriority w:val="0"/>
    <w:semiHidden/>
    <w:qFormat/>
    <w:pPr>
      <w:ind w:left="840" w:hanging="420"/>
    </w:pPr>
    <w:rPr>
      <w:szCs w:val="21"/>
    </w:rPr>
  </w:style>
  <w:style w:type="paragraph" w:styleId="695">
    <w:name w:val="toc 2"/>
    <w:basedOn w:val="654"/>
    <w:next w:val="654"/>
    <w:uiPriority w:val="0"/>
    <w:semiHidden/>
    <w:qFormat/>
    <w:pPr>
      <w:ind w:left="210"/>
      <w:jc w:val="left"/>
    </w:pPr>
    <w:rPr>
      <w:smallCaps/>
      <w:szCs w:val="24"/>
    </w:rPr>
  </w:style>
  <w:style w:type="paragraph" w:styleId="696">
    <w:name w:val="toc 9"/>
    <w:basedOn w:val="654"/>
    <w:next w:val="654"/>
    <w:uiPriority w:val="0"/>
    <w:semiHidden/>
    <w:qFormat/>
    <w:pPr>
      <w:ind w:left="1680"/>
      <w:jc w:val="left"/>
    </w:pPr>
    <w:rPr>
      <w:szCs w:val="21"/>
    </w:rPr>
  </w:style>
  <w:style w:type="paragraph" w:styleId="697">
    <w:name w:val="Body Text 2"/>
    <w:basedOn w:val="654"/>
    <w:link w:val="905"/>
    <w:uiPriority w:val="0"/>
    <w:qFormat/>
    <w:pPr>
      <w:jc w:val="center"/>
      <w:widowControl/>
    </w:pPr>
    <w:rPr>
      <w:rFonts w:ascii="楷体_GB2312" w:eastAsia="楷体_GB2312"/>
      <w:sz w:val="28"/>
      <w:szCs w:val="28"/>
    </w:rPr>
  </w:style>
  <w:style w:type="paragraph" w:styleId="698">
    <w:name w:val="Normal (Web)"/>
    <w:basedOn w:val="654"/>
    <w:uiPriority w:val="99"/>
    <w:qFormat/>
    <w:pPr>
      <w:jc w:val="left"/>
      <w:spacing w:before="100" w:beforeAutospacing="1" w:after="100" w:afterAutospacing="1"/>
      <w:widowControl/>
    </w:pPr>
    <w:rPr>
      <w:rFonts w:ascii="宋体" w:hAnsi="宋体" w:cs="宋体"/>
      <w:sz w:val="24"/>
      <w:szCs w:val="24"/>
    </w:rPr>
  </w:style>
  <w:style w:type="paragraph" w:styleId="699">
    <w:name w:val="index 1"/>
    <w:basedOn w:val="654"/>
    <w:next w:val="654"/>
    <w:uiPriority w:val="0"/>
    <w:semiHidden/>
    <w:qFormat/>
    <w:pPr>
      <w:spacing w:line="240" w:lineRule="atLeast"/>
    </w:pPr>
    <w:rPr>
      <w:b/>
      <w:bCs/>
      <w:szCs w:val="21"/>
    </w:rPr>
  </w:style>
  <w:style w:type="paragraph" w:styleId="700">
    <w:name w:val="Title"/>
    <w:basedOn w:val="654"/>
    <w:next w:val="654"/>
    <w:link w:val="743"/>
    <w:uiPriority w:val="10"/>
    <w:qFormat/>
    <w:pPr>
      <w:contextualSpacing/>
      <w:spacing w:before="300" w:after="200"/>
    </w:pPr>
    <w:rPr>
      <w:sz w:val="48"/>
      <w:szCs w:val="48"/>
    </w:rPr>
  </w:style>
  <w:style w:type="paragraph" w:styleId="701">
    <w:name w:val="annotation subject"/>
    <w:basedOn w:val="673"/>
    <w:next w:val="673"/>
    <w:link w:val="906"/>
    <w:uiPriority w:val="0"/>
    <w:semiHidden/>
    <w:qFormat/>
    <w:rPr>
      <w:b/>
      <w:bCs/>
      <w:szCs w:val="21"/>
    </w:rPr>
  </w:style>
  <w:style w:type="paragraph" w:styleId="702">
    <w:name w:val="Body Text First Indent"/>
    <w:basedOn w:val="654"/>
    <w:link w:val="907"/>
    <w:uiPriority w:val="0"/>
    <w:qFormat/>
    <w:pPr>
      <w:ind w:firstLine="200"/>
      <w:spacing w:line="360" w:lineRule="auto"/>
    </w:pPr>
    <w:rPr>
      <w:rFonts w:ascii="仿宋_GB2312" w:eastAsia="仿宋_GB2312"/>
      <w:sz w:val="30"/>
      <w:szCs w:val="30"/>
    </w:rPr>
  </w:style>
  <w:style w:type="table" w:styleId="703">
    <w:name w:val="Table Grid"/>
    <w:basedOn w:val="665"/>
    <w:uiPriority w:val="0"/>
    <w:qFormat/>
    <w:pPr>
      <w:jc w:val="both"/>
      <w:widowControl w:val="off"/>
    </w:pPr>
    <w:tblPr>
      <w:tblCellMar>
        <w:left w:w="108" w:type="dxa"/>
        <w:top w:w="0" w:type="dxa"/>
        <w:right w:w="108" w:type="dxa"/>
        <w:bottom w:w="0" w:type="dxa"/>
      </w:tblCellMar>
    </w:tblPr>
  </w:style>
  <w:style w:type="character" w:styleId="704">
    <w:name w:val="Strong"/>
    <w:uiPriority w:val="0"/>
    <w:qFormat/>
    <w:rPr>
      <w:b/>
      <w:bCs/>
    </w:rPr>
  </w:style>
  <w:style w:type="character" w:styleId="705">
    <w:name w:val="endnote reference"/>
    <w:uiPriority w:val="99"/>
    <w:semiHidden/>
    <w:unhideWhenUsed/>
    <w:qFormat/>
    <w:rPr>
      <w:vertAlign w:val="superscript"/>
    </w:rPr>
  </w:style>
  <w:style w:type="character" w:styleId="706">
    <w:name w:val="page number"/>
    <w:uiPriority w:val="0"/>
    <w:qFormat/>
  </w:style>
  <w:style w:type="character" w:styleId="707">
    <w:name w:val="FollowedHyperlink"/>
    <w:uiPriority w:val="0"/>
    <w:qFormat/>
    <w:rPr>
      <w:color w:val="800080"/>
      <w:u w:val="single"/>
    </w:rPr>
  </w:style>
  <w:style w:type="character" w:styleId="708">
    <w:name w:val="Emphasis"/>
    <w:uiPriority w:val="0"/>
    <w:qFormat/>
    <w:rPr>
      <w:i/>
    </w:rPr>
  </w:style>
  <w:style w:type="character" w:styleId="709">
    <w:name w:val="Hyperlink"/>
    <w:uiPriority w:val="0"/>
    <w:qFormat/>
    <w:rPr>
      <w:color w:val="0000ff"/>
      <w:u w:val="single"/>
    </w:rPr>
  </w:style>
  <w:style w:type="character" w:styleId="710">
    <w:name w:val="annotation reference"/>
    <w:uiPriority w:val="0"/>
    <w:semiHidden/>
    <w:qFormat/>
    <w:rPr>
      <w:sz w:val="21"/>
      <w:szCs w:val="21"/>
    </w:rPr>
  </w:style>
  <w:style w:type="character" w:styleId="711">
    <w:name w:val="footnote reference"/>
    <w:uiPriority w:val="99"/>
    <w:unhideWhenUsed/>
    <w:qFormat/>
    <w:rPr>
      <w:vertAlign w:val="superscript"/>
    </w:rPr>
  </w:style>
  <w:style w:type="paragraph" w:styleId="712" w:customStyle="1">
    <w:name w:val="纯文本1"/>
    <w:basedOn w:val="654"/>
    <w:uiPriority w:val="99"/>
    <w:qFormat/>
    <w:rPr>
      <w:rFonts w:ascii="宋体" w:hAnsi="Courier New" w:eastAsia="等线"/>
      <w:szCs w:val="21"/>
    </w:rPr>
  </w:style>
  <w:style w:type="character" w:styleId="713" w:customStyle="1">
    <w:name w:val="标题 2 Char"/>
    <w:link w:val="656"/>
    <w:uiPriority w:val="0"/>
    <w:qFormat/>
    <w:rPr>
      <w:rFonts w:ascii="Arial" w:hAnsi="Arial" w:eastAsia="幼圆" w:cs="Arial"/>
      <w:b/>
      <w:bCs/>
      <w:sz w:val="44"/>
      <w:szCs w:val="44"/>
    </w:rPr>
  </w:style>
  <w:style w:type="paragraph" w:styleId="714" w:customStyle="1">
    <w:name w:val="样式1"/>
    <w:basedOn w:val="654"/>
    <w:uiPriority w:val="0"/>
    <w:qFormat/>
    <w:pPr>
      <w:numPr>
        <w:ilvl w:val="0"/>
        <w:numId w:val="2"/>
      </w:numPr>
    </w:pPr>
    <w:rPr>
      <w:rFonts w:ascii="宋体" w:hAnsi="宋体"/>
      <w:szCs w:val="21"/>
    </w:rPr>
  </w:style>
  <w:style w:type="character" w:styleId="715" w:customStyle="1">
    <w:name w:val="Title Char"/>
    <w:basedOn w:val="664"/>
    <w:uiPriority w:val="10"/>
    <w:qFormat/>
    <w:rPr>
      <w:sz w:val="48"/>
      <w:szCs w:val="48"/>
    </w:rPr>
  </w:style>
  <w:style w:type="character" w:styleId="716" w:customStyle="1">
    <w:name w:val="Subtitle Char"/>
    <w:basedOn w:val="664"/>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Footnote Text Char"/>
    <w:uiPriority w:val="99"/>
    <w:qFormat/>
    <w:rPr>
      <w:sz w:val="18"/>
    </w:rPr>
  </w:style>
  <w:style w:type="character" w:styleId="720" w:customStyle="1">
    <w:name w:val="Endnote Text Char"/>
    <w:uiPriority w:val="99"/>
    <w:qFormat/>
    <w:rPr>
      <w:sz w:val="20"/>
    </w:rPr>
  </w:style>
  <w:style w:type="paragraph" w:styleId="721" w:customStyle="1">
    <w:name w:val="TOC Heading"/>
    <w:uiPriority w:val="39"/>
    <w:unhideWhenUsed/>
    <w:qFormat/>
    <w:rPr>
      <w:rFonts w:hint="default" w:ascii="Times New Roman" w:hAnsi="Times New Roman" w:eastAsia="宋体" w:cs="Times New Roman"/>
    </w:rPr>
  </w:style>
  <w:style w:type="paragraph" w:styleId="722" w:customStyle="1">
    <w:name w:val="索引 41"/>
    <w:basedOn w:val="654"/>
    <w:next w:val="654"/>
    <w:uiPriority w:val="0"/>
    <w:semiHidden/>
    <w:qFormat/>
    <w:pPr>
      <w:ind w:left="1260"/>
    </w:pPr>
    <w:rPr>
      <w:rFonts w:ascii="Calibri" w:hAnsi="Calibri" w:eastAsia="Calibri" w:cs="宋体"/>
      <w:sz w:val="20"/>
      <w:lang w:val="zh-CN"/>
    </w:rPr>
  </w:style>
  <w:style w:type="paragraph" w:styleId="723" w:customStyle="1">
    <w:name w:val="Heading 1"/>
    <w:basedOn w:val="654"/>
    <w:next w:val="654"/>
    <w:link w:val="724"/>
    <w:uiPriority w:val="9"/>
    <w:qFormat/>
    <w:pPr>
      <w:keepLines/>
      <w:keepNext/>
      <w:spacing w:before="480" w:after="200"/>
      <w:outlineLvl w:val="0"/>
    </w:pPr>
    <w:rPr>
      <w:rFonts w:ascii="Arial" w:hAnsi="Arial" w:eastAsia="Arial" w:cs="Arial"/>
      <w:sz w:val="40"/>
      <w:szCs w:val="40"/>
    </w:rPr>
  </w:style>
  <w:style w:type="character" w:styleId="724" w:customStyle="1">
    <w:name w:val="Heading 1 Char"/>
    <w:link w:val="723"/>
    <w:uiPriority w:val="9"/>
    <w:qFormat/>
    <w:rPr>
      <w:rFonts w:ascii="Arial" w:hAnsi="Arial" w:eastAsia="Arial" w:cs="Arial"/>
      <w:sz w:val="40"/>
      <w:szCs w:val="40"/>
    </w:rPr>
  </w:style>
  <w:style w:type="paragraph" w:styleId="725" w:customStyle="1">
    <w:name w:val="Heading 2"/>
    <w:basedOn w:val="654"/>
    <w:next w:val="654"/>
    <w:link w:val="726"/>
    <w:uiPriority w:val="9"/>
    <w:unhideWhenUsed/>
    <w:qFormat/>
    <w:pPr>
      <w:keepLines/>
      <w:keepNext/>
      <w:spacing w:before="360" w:after="200"/>
      <w:outlineLvl w:val="1"/>
    </w:pPr>
    <w:rPr>
      <w:rFonts w:ascii="Arial" w:hAnsi="Arial" w:eastAsia="Arial" w:cs="Arial"/>
      <w:sz w:val="34"/>
    </w:rPr>
  </w:style>
  <w:style w:type="character" w:styleId="726" w:customStyle="1">
    <w:name w:val="Heading 2 Char"/>
    <w:link w:val="725"/>
    <w:uiPriority w:val="9"/>
    <w:qFormat/>
    <w:rPr>
      <w:rFonts w:ascii="Arial" w:hAnsi="Arial" w:eastAsia="Arial" w:cs="Arial"/>
      <w:sz w:val="34"/>
    </w:rPr>
  </w:style>
  <w:style w:type="paragraph" w:styleId="727" w:customStyle="1">
    <w:name w:val="Heading 3"/>
    <w:basedOn w:val="654"/>
    <w:next w:val="654"/>
    <w:link w:val="728"/>
    <w:uiPriority w:val="9"/>
    <w:unhideWhenUsed/>
    <w:qFormat/>
    <w:pPr>
      <w:keepLines/>
      <w:keepNext/>
      <w:spacing w:before="320" w:after="200"/>
      <w:outlineLvl w:val="2"/>
    </w:pPr>
    <w:rPr>
      <w:rFonts w:ascii="Arial" w:hAnsi="Arial" w:eastAsia="Arial" w:cs="Arial"/>
      <w:sz w:val="30"/>
      <w:szCs w:val="30"/>
    </w:rPr>
  </w:style>
  <w:style w:type="character" w:styleId="728" w:customStyle="1">
    <w:name w:val="Heading 3 Char"/>
    <w:link w:val="727"/>
    <w:uiPriority w:val="9"/>
    <w:qFormat/>
    <w:rPr>
      <w:rFonts w:ascii="Arial" w:hAnsi="Arial" w:eastAsia="Arial" w:cs="Arial"/>
      <w:sz w:val="30"/>
      <w:szCs w:val="30"/>
    </w:rPr>
  </w:style>
  <w:style w:type="paragraph" w:styleId="729" w:customStyle="1">
    <w:name w:val="Heading 4"/>
    <w:basedOn w:val="654"/>
    <w:next w:val="654"/>
    <w:link w:val="730"/>
    <w:uiPriority w:val="9"/>
    <w:unhideWhenUsed/>
    <w:qFormat/>
    <w:pPr>
      <w:keepLines/>
      <w:keepNext/>
      <w:spacing w:before="320" w:after="200"/>
      <w:outlineLvl w:val="3"/>
    </w:pPr>
    <w:rPr>
      <w:rFonts w:ascii="Arial" w:hAnsi="Arial" w:eastAsia="Arial" w:cs="Arial"/>
      <w:b/>
      <w:bCs/>
      <w:sz w:val="26"/>
      <w:szCs w:val="26"/>
    </w:rPr>
  </w:style>
  <w:style w:type="character" w:styleId="730" w:customStyle="1">
    <w:name w:val="Heading 4 Char"/>
    <w:link w:val="729"/>
    <w:uiPriority w:val="9"/>
    <w:qFormat/>
    <w:rPr>
      <w:rFonts w:ascii="Arial" w:hAnsi="Arial" w:eastAsia="Arial" w:cs="Arial"/>
      <w:b/>
      <w:bCs/>
      <w:sz w:val="26"/>
      <w:szCs w:val="26"/>
    </w:rPr>
  </w:style>
  <w:style w:type="paragraph" w:styleId="731" w:customStyle="1">
    <w:name w:val="Heading 5"/>
    <w:basedOn w:val="654"/>
    <w:next w:val="654"/>
    <w:link w:val="732"/>
    <w:uiPriority w:val="9"/>
    <w:unhideWhenUsed/>
    <w:qFormat/>
    <w:pPr>
      <w:keepLines/>
      <w:keepNext/>
      <w:spacing w:before="320" w:after="200"/>
      <w:outlineLvl w:val="4"/>
    </w:pPr>
    <w:rPr>
      <w:rFonts w:ascii="Arial" w:hAnsi="Arial" w:eastAsia="Arial" w:cs="Arial"/>
      <w:b/>
      <w:bCs/>
      <w:sz w:val="24"/>
      <w:szCs w:val="24"/>
    </w:rPr>
  </w:style>
  <w:style w:type="character" w:styleId="732" w:customStyle="1">
    <w:name w:val="Heading 5 Char"/>
    <w:link w:val="731"/>
    <w:uiPriority w:val="9"/>
    <w:qFormat/>
    <w:rPr>
      <w:rFonts w:ascii="Arial" w:hAnsi="Arial" w:eastAsia="Arial" w:cs="Arial"/>
      <w:b/>
      <w:bCs/>
      <w:sz w:val="24"/>
      <w:szCs w:val="24"/>
    </w:rPr>
  </w:style>
  <w:style w:type="paragraph" w:styleId="733" w:customStyle="1">
    <w:name w:val="Heading 6"/>
    <w:basedOn w:val="654"/>
    <w:next w:val="654"/>
    <w:link w:val="734"/>
    <w:uiPriority w:val="9"/>
    <w:unhideWhenUsed/>
    <w:qFormat/>
    <w:pPr>
      <w:keepLines/>
      <w:keepNext/>
      <w:spacing w:before="320" w:after="200"/>
      <w:outlineLvl w:val="5"/>
    </w:pPr>
    <w:rPr>
      <w:rFonts w:ascii="Arial" w:hAnsi="Arial" w:eastAsia="Arial" w:cs="Arial"/>
      <w:b/>
      <w:bCs/>
      <w:sz w:val="22"/>
    </w:rPr>
  </w:style>
  <w:style w:type="character" w:styleId="734" w:customStyle="1">
    <w:name w:val="Heading 6 Char"/>
    <w:link w:val="733"/>
    <w:uiPriority w:val="9"/>
    <w:qFormat/>
    <w:rPr>
      <w:rFonts w:ascii="Arial" w:hAnsi="Arial" w:eastAsia="Arial" w:cs="Arial"/>
      <w:b/>
      <w:bCs/>
      <w:sz w:val="22"/>
      <w:szCs w:val="22"/>
    </w:rPr>
  </w:style>
  <w:style w:type="paragraph" w:styleId="735" w:customStyle="1">
    <w:name w:val="Heading 7"/>
    <w:basedOn w:val="654"/>
    <w:next w:val="654"/>
    <w:link w:val="736"/>
    <w:uiPriority w:val="9"/>
    <w:unhideWhenUsed/>
    <w:qFormat/>
    <w:pPr>
      <w:keepLines/>
      <w:keepNext/>
      <w:spacing w:before="320" w:after="200"/>
      <w:outlineLvl w:val="6"/>
    </w:pPr>
    <w:rPr>
      <w:rFonts w:ascii="Arial" w:hAnsi="Arial" w:eastAsia="Arial" w:cs="Arial"/>
      <w:b/>
      <w:bCs/>
      <w:i/>
      <w:iCs/>
      <w:sz w:val="22"/>
    </w:rPr>
  </w:style>
  <w:style w:type="character" w:styleId="736" w:customStyle="1">
    <w:name w:val="Heading 7 Char"/>
    <w:link w:val="735"/>
    <w:uiPriority w:val="9"/>
    <w:qFormat/>
    <w:rPr>
      <w:rFonts w:ascii="Arial" w:hAnsi="Arial" w:eastAsia="Arial" w:cs="Arial"/>
      <w:b/>
      <w:bCs/>
      <w:i/>
      <w:iCs/>
      <w:sz w:val="22"/>
      <w:szCs w:val="22"/>
    </w:rPr>
  </w:style>
  <w:style w:type="paragraph" w:styleId="737" w:customStyle="1">
    <w:name w:val="Heading 8"/>
    <w:basedOn w:val="654"/>
    <w:next w:val="654"/>
    <w:link w:val="738"/>
    <w:uiPriority w:val="9"/>
    <w:unhideWhenUsed/>
    <w:qFormat/>
    <w:pPr>
      <w:keepLines/>
      <w:keepNext/>
      <w:spacing w:before="320" w:after="200"/>
      <w:outlineLvl w:val="7"/>
    </w:pPr>
    <w:rPr>
      <w:rFonts w:ascii="Arial" w:hAnsi="Arial" w:eastAsia="Arial" w:cs="Arial"/>
      <w:i/>
      <w:iCs/>
      <w:sz w:val="22"/>
    </w:rPr>
  </w:style>
  <w:style w:type="character" w:styleId="738" w:customStyle="1">
    <w:name w:val="Heading 8 Char"/>
    <w:link w:val="737"/>
    <w:uiPriority w:val="9"/>
    <w:qFormat/>
    <w:rPr>
      <w:rFonts w:ascii="Arial" w:hAnsi="Arial" w:eastAsia="Arial" w:cs="Arial"/>
      <w:i/>
      <w:iCs/>
      <w:sz w:val="22"/>
      <w:szCs w:val="22"/>
    </w:rPr>
  </w:style>
  <w:style w:type="paragraph" w:styleId="739" w:customStyle="1">
    <w:name w:val="Heading 9"/>
    <w:basedOn w:val="654"/>
    <w:next w:val="654"/>
    <w:link w:val="740"/>
    <w:uiPriority w:val="9"/>
    <w:unhideWhenUsed/>
    <w:qFormat/>
    <w:pPr>
      <w:keepLines/>
      <w:keepNext/>
      <w:spacing w:before="320" w:after="200"/>
      <w:outlineLvl w:val="8"/>
    </w:pPr>
    <w:rPr>
      <w:rFonts w:ascii="Arial" w:hAnsi="Arial" w:eastAsia="Arial" w:cs="Arial"/>
      <w:i/>
      <w:iCs/>
      <w:szCs w:val="21"/>
    </w:rPr>
  </w:style>
  <w:style w:type="character" w:styleId="740" w:customStyle="1">
    <w:name w:val="Heading 9 Char"/>
    <w:link w:val="739"/>
    <w:uiPriority w:val="9"/>
    <w:qFormat/>
    <w:rPr>
      <w:rFonts w:ascii="Arial" w:hAnsi="Arial" w:eastAsia="Arial" w:cs="Arial"/>
      <w:i/>
      <w:iCs/>
      <w:sz w:val="21"/>
      <w:szCs w:val="21"/>
    </w:rPr>
  </w:style>
  <w:style w:type="paragraph" w:styleId="741">
    <w:name w:val="List Paragraph"/>
    <w:basedOn w:val="654"/>
    <w:uiPriority w:val="0"/>
    <w:qFormat/>
    <w:pPr>
      <w:contextualSpacing/>
      <w:ind w:left="720"/>
      <w:jc w:val="left"/>
      <w:widowControl/>
    </w:pPr>
    <w:rPr>
      <w:rFonts w:ascii="Calibri" w:hAnsi="Calibri"/>
      <w:sz w:val="24"/>
      <w:szCs w:val="24"/>
      <w:lang w:eastAsia="en-US" w:bidi="en-US"/>
    </w:rPr>
  </w:style>
  <w:style w:type="paragraph" w:styleId="74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43" w:customStyle="1">
    <w:name w:val="标题 Char"/>
    <w:link w:val="700"/>
    <w:uiPriority w:val="10"/>
    <w:qFormat/>
    <w:rPr>
      <w:sz w:val="48"/>
      <w:szCs w:val="48"/>
    </w:rPr>
  </w:style>
  <w:style w:type="character" w:styleId="744" w:customStyle="1">
    <w:name w:val="副标题 Char"/>
    <w:link w:val="689"/>
    <w:uiPriority w:val="11"/>
    <w:qFormat/>
    <w:rPr>
      <w:sz w:val="24"/>
      <w:szCs w:val="24"/>
    </w:rPr>
  </w:style>
  <w:style w:type="paragraph" w:styleId="745">
    <w:name w:val="Quote"/>
    <w:basedOn w:val="654"/>
    <w:next w:val="654"/>
    <w:link w:val="746"/>
    <w:uiPriority w:val="29"/>
    <w:qFormat/>
    <w:pPr>
      <w:ind w:left="720" w:right="720"/>
    </w:pPr>
    <w:rPr>
      <w:i/>
    </w:rPr>
  </w:style>
  <w:style w:type="character" w:styleId="746" w:customStyle="1">
    <w:name w:val="引用 Char"/>
    <w:link w:val="745"/>
    <w:uiPriority w:val="29"/>
    <w:qFormat/>
    <w:rPr>
      <w:i/>
    </w:rPr>
  </w:style>
  <w:style w:type="paragraph" w:styleId="747">
    <w:name w:val="Intense Quote"/>
    <w:basedOn w:val="654"/>
    <w:next w:val="654"/>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Char"/>
    <w:link w:val="747"/>
    <w:uiPriority w:val="30"/>
    <w:qFormat/>
    <w:rPr>
      <w:i/>
    </w:rPr>
  </w:style>
  <w:style w:type="paragraph" w:styleId="749" w:customStyle="1">
    <w:name w:val="Header"/>
    <w:basedOn w:val="654"/>
    <w:link w:val="750"/>
    <w:uiPriority w:val="99"/>
    <w:unhideWhenUsed/>
    <w:qFormat/>
    <w:pPr>
      <w:tabs>
        <w:tab w:val="center" w:pos="7143" w:leader="none"/>
        <w:tab w:val="right" w:pos="14287" w:leader="none"/>
      </w:tabs>
    </w:pPr>
  </w:style>
  <w:style w:type="character" w:styleId="750" w:customStyle="1">
    <w:name w:val="Header Char"/>
    <w:link w:val="749"/>
    <w:uiPriority w:val="99"/>
    <w:qFormat/>
  </w:style>
  <w:style w:type="paragraph" w:styleId="751" w:customStyle="1">
    <w:name w:val="Footer"/>
    <w:basedOn w:val="654"/>
    <w:link w:val="754"/>
    <w:uiPriority w:val="99"/>
    <w:unhideWhenUsed/>
    <w:qFormat/>
    <w:pPr>
      <w:tabs>
        <w:tab w:val="center" w:pos="7143" w:leader="none"/>
        <w:tab w:val="right" w:pos="14287" w:leader="none"/>
      </w:tabs>
    </w:pPr>
  </w:style>
  <w:style w:type="character" w:styleId="752" w:customStyle="1">
    <w:name w:val="Footer Char"/>
    <w:link w:val="751"/>
    <w:uiPriority w:val="99"/>
    <w:qFormat/>
  </w:style>
  <w:style w:type="paragraph" w:styleId="753" w:customStyle="1">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54" w:customStyle="1">
    <w:name w:val="Caption Char"/>
    <w:link w:val="751"/>
    <w:uiPriority w:val="99"/>
    <w:qFormat/>
  </w:style>
  <w:style w:type="table" w:styleId="7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脚注文本 Char"/>
    <w:link w:val="691"/>
    <w:uiPriority w:val="99"/>
    <w:qFormat/>
    <w:rPr>
      <w:sz w:val="18"/>
    </w:rPr>
  </w:style>
  <w:style w:type="character" w:styleId="881" w:customStyle="1">
    <w:name w:val="尾注文本 Char"/>
    <w:link w:val="683"/>
    <w:uiPriority w:val="99"/>
    <w:qFormat/>
    <w:rPr>
      <w:sz w:val="20"/>
    </w:rPr>
  </w:style>
  <w:style w:type="paragraph" w:styleId="882" w:customStyle="1">
    <w:name w:val="TOC 标题1"/>
    <w:uiPriority w:val="39"/>
    <w:unhideWhenUsed/>
    <w:qFormat/>
    <w:rPr>
      <w:rFonts w:hint="default" w:ascii="Times New Roman" w:hAnsi="Times New Roman" w:eastAsia="宋体" w:cs="Times New Roman"/>
      <w:lang w:val="en-US" w:eastAsia="zh-CN" w:bidi="ar-SA"/>
    </w:rPr>
  </w:style>
  <w:style w:type="character" w:styleId="883" w:customStyle="1">
    <w:name w:val="标题 1 Char"/>
    <w:link w:val="655"/>
    <w:uiPriority w:val="0"/>
    <w:qFormat/>
    <w:rPr>
      <w:rFonts w:ascii="楷体_GB2312" w:hAnsi="Times New Roman" w:eastAsia="楷体_GB2312" w:cs="Times New Roman"/>
      <w:sz w:val="28"/>
      <w:szCs w:val="28"/>
    </w:rPr>
  </w:style>
  <w:style w:type="character" w:styleId="884" w:customStyle="1">
    <w:name w:val="标题 3 Char"/>
    <w:link w:val="657"/>
    <w:uiPriority w:val="0"/>
    <w:qFormat/>
    <w:rPr>
      <w:rFonts w:ascii="Times New Roman" w:hAnsi="Times New Roman" w:eastAsia="宋体" w:cs="Times New Roman"/>
      <w:b/>
      <w:bCs/>
      <w:sz w:val="32"/>
      <w:szCs w:val="32"/>
    </w:rPr>
  </w:style>
  <w:style w:type="character" w:styleId="885" w:customStyle="1">
    <w:name w:val="正文缩进 Char"/>
    <w:link w:val="669"/>
    <w:uiPriority w:val="0"/>
    <w:qFormat/>
    <w:rPr>
      <w:szCs w:val="21"/>
    </w:rPr>
  </w:style>
  <w:style w:type="character" w:styleId="886" w:customStyle="1">
    <w:name w:val="标题 4 Char"/>
    <w:link w:val="658"/>
    <w:uiPriority w:val="0"/>
    <w:qFormat/>
    <w:rPr>
      <w:rFonts w:ascii="Arial" w:hAnsi="Arial" w:eastAsia="黑体" w:cs="Arial"/>
      <w:b/>
      <w:bCs/>
      <w:sz w:val="28"/>
      <w:szCs w:val="28"/>
    </w:rPr>
  </w:style>
  <w:style w:type="character" w:styleId="887" w:customStyle="1">
    <w:name w:val="标题 5 Char"/>
    <w:link w:val="659"/>
    <w:uiPriority w:val="0"/>
    <w:qFormat/>
    <w:rPr>
      <w:rFonts w:ascii="宋体" w:hAnsi="Times New Roman" w:eastAsia="宋体" w:cs="Times New Roman"/>
      <w:color w:val="000000"/>
      <w:sz w:val="28"/>
      <w:szCs w:val="28"/>
    </w:rPr>
  </w:style>
  <w:style w:type="character" w:styleId="888" w:customStyle="1">
    <w:name w:val="标题 6 Char"/>
    <w:link w:val="660"/>
    <w:uiPriority w:val="0"/>
    <w:qFormat/>
    <w:rPr>
      <w:rFonts w:ascii="Arial" w:hAnsi="Arial" w:eastAsia="黑体" w:cs="Times New Roman"/>
      <w:b/>
      <w:bCs/>
      <w:sz w:val="24"/>
      <w:szCs w:val="24"/>
    </w:rPr>
  </w:style>
  <w:style w:type="character" w:styleId="889" w:customStyle="1">
    <w:name w:val="标题 7 Char"/>
    <w:link w:val="661"/>
    <w:uiPriority w:val="0"/>
    <w:qFormat/>
    <w:rPr>
      <w:rFonts w:ascii="Times New Roman" w:hAnsi="Times New Roman" w:eastAsia="宋体" w:cs="Times New Roman"/>
      <w:b/>
      <w:bCs/>
      <w:sz w:val="24"/>
      <w:szCs w:val="24"/>
    </w:rPr>
  </w:style>
  <w:style w:type="character" w:styleId="890" w:customStyle="1">
    <w:name w:val="标题 8 Char"/>
    <w:link w:val="662"/>
    <w:uiPriority w:val="0"/>
    <w:qFormat/>
    <w:rPr>
      <w:rFonts w:ascii="Arial" w:hAnsi="Arial" w:eastAsia="黑体" w:cs="Times New Roman"/>
      <w:sz w:val="24"/>
      <w:szCs w:val="24"/>
    </w:rPr>
  </w:style>
  <w:style w:type="character" w:styleId="891" w:customStyle="1">
    <w:name w:val="标题 9 Char"/>
    <w:link w:val="663"/>
    <w:uiPriority w:val="0"/>
    <w:qFormat/>
    <w:rPr>
      <w:rFonts w:ascii="Arial" w:hAnsi="Arial" w:eastAsia="黑体" w:cs="Times New Roman"/>
      <w:szCs w:val="21"/>
    </w:rPr>
  </w:style>
  <w:style w:type="character" w:styleId="892" w:customStyle="1">
    <w:name w:val="文档结构图 Char"/>
    <w:link w:val="672"/>
    <w:uiPriority w:val="0"/>
    <w:semiHidden/>
    <w:qFormat/>
    <w:rPr>
      <w:rFonts w:ascii="Times New Roman" w:hAnsi="Times New Roman" w:eastAsia="宋体" w:cs="Times New Roman"/>
      <w:szCs w:val="21"/>
      <w:shd w:val="clear" w:color="auto" w:fill="000080"/>
    </w:rPr>
  </w:style>
  <w:style w:type="character" w:styleId="893" w:customStyle="1">
    <w:name w:val="批注文字 Char"/>
    <w:basedOn w:val="664"/>
    <w:link w:val="673"/>
    <w:uiPriority w:val="99"/>
    <w:semiHidden/>
    <w:qFormat/>
  </w:style>
  <w:style w:type="character" w:styleId="894" w:customStyle="1">
    <w:name w:val="正文文本 3 Char"/>
    <w:link w:val="674"/>
    <w:uiPriority w:val="0"/>
    <w:qFormat/>
    <w:rPr>
      <w:rFonts w:ascii="仿宋_GB2312" w:hAnsi="Arial" w:eastAsia="仿宋_GB2312" w:cs="Times New Roman"/>
      <w:sz w:val="32"/>
      <w:szCs w:val="32"/>
    </w:rPr>
  </w:style>
  <w:style w:type="character" w:styleId="895" w:customStyle="1">
    <w:name w:val="正文文本 Char"/>
    <w:link w:val="675"/>
    <w:uiPriority w:val="0"/>
    <w:qFormat/>
    <w:rPr>
      <w:rFonts w:ascii="楷体_GB2312" w:hAnsi="Arial" w:eastAsia="楷体_GB2312" w:cs="Times New Roman"/>
      <w:sz w:val="28"/>
      <w:szCs w:val="28"/>
    </w:rPr>
  </w:style>
  <w:style w:type="character" w:styleId="896" w:customStyle="1">
    <w:name w:val="正文文本缩进 Char"/>
    <w:basedOn w:val="664"/>
    <w:link w:val="667"/>
    <w:uiPriority w:val="99"/>
    <w:semiHidden/>
    <w:qFormat/>
  </w:style>
  <w:style w:type="character" w:styleId="897" w:customStyle="1">
    <w:name w:val="正文首行缩进 2 Char"/>
    <w:link w:val="666"/>
    <w:uiPriority w:val="0"/>
    <w:qFormat/>
    <w:rPr>
      <w:rFonts w:ascii="宋体" w:hAnsi="宋体" w:eastAsia="宋体" w:cs="Times New Roman"/>
      <w:szCs w:val="20"/>
    </w:rPr>
  </w:style>
  <w:style w:type="character" w:styleId="898" w:customStyle="1">
    <w:name w:val="纯文本 Char"/>
    <w:link w:val="679"/>
    <w:uiPriority w:val="0"/>
    <w:qFormat/>
    <w:rPr>
      <w:rFonts w:ascii="宋体" w:hAnsi="Courier New" w:eastAsia="宋体" w:cs="Courier New"/>
      <w:szCs w:val="21"/>
    </w:rPr>
  </w:style>
  <w:style w:type="character" w:styleId="899" w:customStyle="1">
    <w:name w:val="日期 Char"/>
    <w:link w:val="681"/>
    <w:uiPriority w:val="0"/>
    <w:qFormat/>
    <w:rPr>
      <w:rFonts w:ascii="Times New Roman" w:hAnsi="Times New Roman" w:eastAsia="宋体" w:cs="Times New Roman"/>
      <w:sz w:val="24"/>
      <w:szCs w:val="24"/>
    </w:rPr>
  </w:style>
  <w:style w:type="character" w:styleId="900" w:customStyle="1">
    <w:name w:val="正文文本缩进 2 Char"/>
    <w:link w:val="682"/>
    <w:uiPriority w:val="0"/>
    <w:qFormat/>
    <w:rPr>
      <w:rFonts w:ascii="Arial" w:hAnsi="Arial" w:eastAsia="仿宋_GB2312" w:cs="Arial"/>
      <w:sz w:val="32"/>
      <w:szCs w:val="32"/>
    </w:rPr>
  </w:style>
  <w:style w:type="character" w:styleId="901" w:customStyle="1">
    <w:name w:val="批注框文本 Char"/>
    <w:link w:val="684"/>
    <w:uiPriority w:val="0"/>
    <w:semiHidden/>
    <w:qFormat/>
    <w:rPr>
      <w:rFonts w:ascii="Times New Roman" w:hAnsi="Times New Roman" w:eastAsia="宋体" w:cs="Times New Roman"/>
      <w:sz w:val="18"/>
      <w:szCs w:val="18"/>
    </w:rPr>
  </w:style>
  <w:style w:type="character" w:styleId="902" w:customStyle="1">
    <w:name w:val="页脚 Char"/>
    <w:link w:val="685"/>
    <w:uiPriority w:val="0"/>
    <w:qFormat/>
    <w:rPr>
      <w:rFonts w:ascii="Times New Roman" w:hAnsi="Times New Roman" w:eastAsia="宋体" w:cs="Times New Roman"/>
      <w:sz w:val="18"/>
      <w:szCs w:val="18"/>
    </w:rPr>
  </w:style>
  <w:style w:type="character" w:styleId="903" w:customStyle="1">
    <w:name w:val="页眉 Char"/>
    <w:link w:val="686"/>
    <w:uiPriority w:val="0"/>
    <w:qFormat/>
    <w:rPr>
      <w:rFonts w:ascii="Times New Roman" w:hAnsi="Times New Roman" w:eastAsia="宋体" w:cs="Times New Roman"/>
      <w:sz w:val="18"/>
      <w:szCs w:val="18"/>
    </w:rPr>
  </w:style>
  <w:style w:type="character" w:styleId="904" w:customStyle="1">
    <w:name w:val="正文文本缩进 3 Char"/>
    <w:link w:val="693"/>
    <w:uiPriority w:val="0"/>
    <w:qFormat/>
    <w:rPr>
      <w:rFonts w:ascii="Arial" w:hAnsi="Arial" w:eastAsia="仿宋_GB2312" w:cs="Arial"/>
      <w:color w:val="ffff00"/>
      <w:sz w:val="32"/>
      <w:szCs w:val="32"/>
    </w:rPr>
  </w:style>
  <w:style w:type="character" w:styleId="905" w:customStyle="1">
    <w:name w:val="正文文本 2 Char"/>
    <w:link w:val="697"/>
    <w:uiPriority w:val="0"/>
    <w:qFormat/>
    <w:rPr>
      <w:rFonts w:ascii="楷体_GB2312" w:hAnsi="Times New Roman" w:eastAsia="楷体_GB2312" w:cs="Times New Roman"/>
      <w:sz w:val="28"/>
      <w:szCs w:val="28"/>
    </w:rPr>
  </w:style>
  <w:style w:type="character" w:styleId="906" w:customStyle="1">
    <w:name w:val="批注主题 Char"/>
    <w:link w:val="701"/>
    <w:uiPriority w:val="0"/>
    <w:semiHidden/>
    <w:qFormat/>
    <w:rPr>
      <w:rFonts w:ascii="Times New Roman" w:hAnsi="Times New Roman" w:eastAsia="宋体" w:cs="Times New Roman"/>
      <w:b/>
      <w:bCs/>
      <w:szCs w:val="21"/>
    </w:rPr>
  </w:style>
  <w:style w:type="character" w:styleId="907" w:customStyle="1">
    <w:name w:val="正文首行缩进 Char"/>
    <w:link w:val="702"/>
    <w:uiPriority w:val="0"/>
    <w:qFormat/>
    <w:rPr>
      <w:rFonts w:ascii="仿宋_GB2312" w:hAnsi="Times New Roman" w:eastAsia="仿宋_GB2312" w:cs="Times New Roman"/>
      <w:sz w:val="30"/>
      <w:szCs w:val="30"/>
    </w:rPr>
  </w:style>
  <w:style w:type="paragraph" w:styleId="908" w:customStyle="1">
    <w:name w:val="正文文本缩进1"/>
    <w:basedOn w:val="654"/>
    <w:next w:val="909"/>
    <w:uiPriority w:val="0"/>
    <w:unhideWhenUsed/>
    <w:qFormat/>
    <w:pPr>
      <w:ind w:left="420"/>
      <w:spacing w:after="120"/>
    </w:pPr>
  </w:style>
  <w:style w:type="paragraph" w:styleId="909" w:customStyle="1">
    <w:name w:val="正文文本首行缩进 2"/>
    <w:basedOn w:val="908"/>
    <w:uiPriority w:val="0"/>
    <w:qFormat/>
    <w:pPr>
      <w:ind w:left="0" w:firstLine="420"/>
      <w:spacing w:after="0" w:line="360" w:lineRule="auto"/>
    </w:pPr>
    <w:rPr>
      <w:rFonts w:ascii="宋体" w:hAnsi="宋体"/>
      <w:sz w:val="20"/>
      <w:szCs w:val="20"/>
      <w:lang w:eastAsia="en-US"/>
    </w:rPr>
  </w:style>
  <w:style w:type="paragraph" w:styleId="910" w:customStyle="1">
    <w:name w:val="正文文本首行缩进 21"/>
    <w:basedOn w:val="908"/>
    <w:uiPriority w:val="0"/>
    <w:qFormat/>
    <w:pPr>
      <w:ind w:left="0" w:firstLine="420"/>
      <w:spacing w:after="0" w:line="360" w:lineRule="auto"/>
    </w:pPr>
    <w:rPr>
      <w:rFonts w:ascii="宋体" w:hAnsi="宋体"/>
      <w:sz w:val="20"/>
      <w:szCs w:val="20"/>
      <w:lang w:eastAsia="en-US"/>
    </w:rPr>
  </w:style>
  <w:style w:type="character" w:styleId="911" w:customStyle="1">
    <w:name w:val="font5 Char"/>
    <w:uiPriority w:val="0"/>
    <w:qFormat/>
    <w:rPr>
      <w:rFonts w:ascii="宋体" w:hAnsi="宋体" w:eastAsia="宋体"/>
      <w:sz w:val="28"/>
      <w:szCs w:val="28"/>
      <w:lang w:val="en-US" w:eastAsia="zh-CN" w:bidi="ar-SA"/>
    </w:rPr>
  </w:style>
  <w:style w:type="character" w:styleId="912" w:customStyle="1">
    <w:name w:val="二级目录 Char"/>
    <w:link w:val="913"/>
    <w:uiPriority w:val="0"/>
    <w:qFormat/>
    <w:rPr>
      <w:b/>
      <w:sz w:val="30"/>
      <w:szCs w:val="28"/>
    </w:rPr>
  </w:style>
  <w:style w:type="paragraph" w:styleId="913" w:customStyle="1">
    <w:name w:val="二级目录"/>
    <w:next w:val="654"/>
    <w:link w:val="912"/>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4" w:customStyle="1">
    <w:name w:val="列出段落 Char"/>
    <w:link w:val="915"/>
    <w:uiPriority w:val="0"/>
    <w:qFormat/>
    <w:rPr>
      <w:rFonts w:ascii="Calibri" w:hAnsi="Calibri"/>
      <w:sz w:val="24"/>
      <w:szCs w:val="24"/>
      <w:lang w:eastAsia="en-US" w:bidi="en-US"/>
    </w:rPr>
  </w:style>
  <w:style w:type="paragraph" w:styleId="915" w:customStyle="1">
    <w:name w:val="列出段落1"/>
    <w:basedOn w:val="654"/>
    <w:link w:val="914"/>
    <w:uiPriority w:val="0"/>
    <w:qFormat/>
    <w:pPr>
      <w:contextualSpacing/>
      <w:ind w:left="720"/>
      <w:jc w:val="left"/>
      <w:widowControl/>
    </w:pPr>
    <w:rPr>
      <w:rFonts w:ascii="Calibri" w:hAnsi="Calibri"/>
      <w:sz w:val="24"/>
      <w:szCs w:val="24"/>
      <w:lang w:eastAsia="en-US" w:bidi="en-US"/>
    </w:rPr>
  </w:style>
  <w:style w:type="paragraph" w:styleId="916" w:customStyle="1">
    <w:name w:val="Body Text(ch)"/>
    <w:basedOn w:val="654"/>
    <w:next w:val="675"/>
    <w:uiPriority w:val="0"/>
    <w:qFormat/>
    <w:pPr>
      <w:spacing w:after="120"/>
    </w:pPr>
    <w:rPr>
      <w:rFonts w:ascii="宋体" w:hAnsi="Arial"/>
      <w:bCs/>
      <w:iCs/>
      <w:szCs w:val="24"/>
    </w:rPr>
  </w:style>
  <w:style w:type="paragraph" w:styleId="917"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8"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9" w:customStyle="1">
    <w:name w:val="Char"/>
    <w:basedOn w:val="654"/>
    <w:uiPriority w:val="0"/>
    <w:qFormat/>
    <w:pPr>
      <w:ind w:firstLine="200"/>
      <w:tabs>
        <w:tab w:val="left" w:pos="360" w:leader="none"/>
      </w:tabs>
    </w:pPr>
    <w:rPr>
      <w:sz w:val="28"/>
      <w:szCs w:val="30"/>
    </w:rPr>
  </w:style>
  <w:style w:type="paragraph" w:styleId="920" w:customStyle="1">
    <w:name w:val="Char1"/>
    <w:basedOn w:val="672"/>
    <w:uiPriority w:val="0"/>
    <w:qFormat/>
    <w:rPr>
      <w:rFonts w:ascii="Tahoma" w:hAnsi="Tahoma"/>
      <w:sz w:val="24"/>
      <w:szCs w:val="24"/>
    </w:rPr>
  </w:style>
  <w:style w:type="paragraph" w:styleId="921" w:customStyle="1">
    <w:name w:val="普通正文"/>
    <w:basedOn w:val="654"/>
    <w:uiPriority w:val="0"/>
    <w:qFormat/>
    <w:pPr>
      <w:ind w:firstLine="480"/>
      <w:jc w:val="left"/>
      <w:spacing w:before="120" w:after="120" w:line="360" w:lineRule="auto"/>
    </w:pPr>
    <w:rPr>
      <w:rFonts w:ascii="Arial" w:hAnsi="Arial"/>
      <w:sz w:val="24"/>
      <w:szCs w:val="24"/>
    </w:rPr>
  </w:style>
  <w:style w:type="paragraph" w:styleId="922" w:customStyle="1">
    <w:name w:val="table_lines"/>
    <w:basedOn w:val="654"/>
    <w:uiPriority w:val="0"/>
    <w:qFormat/>
    <w:pPr>
      <w:jc w:val="left"/>
      <w:widowControl/>
    </w:pPr>
    <w:rPr>
      <w:sz w:val="20"/>
      <w:szCs w:val="20"/>
      <w:lang w:val="de-DE" w:eastAsia="de-DE"/>
    </w:rPr>
  </w:style>
  <w:style w:type="paragraph" w:styleId="92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24" w:customStyle="1">
    <w:name w:val="font7"/>
    <w:basedOn w:val="654"/>
    <w:uiPriority w:val="0"/>
    <w:qFormat/>
    <w:pPr>
      <w:jc w:val="left"/>
      <w:spacing w:before="100" w:beforeAutospacing="1" w:after="100" w:afterAutospacing="1"/>
      <w:widowControl/>
    </w:pPr>
    <w:rPr>
      <w:rFonts w:hint="eastAsia" w:ascii="宋体" w:hAnsi="宋体"/>
      <w:sz w:val="18"/>
      <w:szCs w:val="18"/>
    </w:rPr>
  </w:style>
  <w:style w:type="paragraph" w:styleId="925" w:customStyle="1">
    <w:name w:val="Char Char Char Char"/>
    <w:basedOn w:val="672"/>
    <w:uiPriority w:val="0"/>
    <w:qFormat/>
    <w:pPr>
      <w:spacing w:line="360" w:lineRule="auto"/>
    </w:pPr>
    <w:rPr>
      <w:rFonts w:ascii="Tahoma" w:hAnsi="Tahoma"/>
      <w:sz w:val="24"/>
      <w:szCs w:val="24"/>
    </w:rPr>
  </w:style>
  <w:style w:type="paragraph" w:styleId="926" w:customStyle="1">
    <w:name w:val="4"/>
    <w:basedOn w:val="654"/>
    <w:next w:val="693"/>
    <w:uiPriority w:val="0"/>
    <w:qFormat/>
    <w:pPr>
      <w:ind w:firstLine="420"/>
      <w:spacing w:line="360" w:lineRule="auto"/>
    </w:pPr>
    <w:rPr>
      <w:color w:val="ff0000"/>
      <w:sz w:val="24"/>
      <w:szCs w:val="24"/>
    </w:rPr>
  </w:style>
  <w:style w:type="paragraph" w:styleId="927" w:customStyle="1">
    <w:name w:val="普通 (Web)"/>
    <w:basedOn w:val="654"/>
    <w:uiPriority w:val="0"/>
    <w:qFormat/>
    <w:pPr>
      <w:jc w:val="left"/>
      <w:spacing w:before="100" w:beforeAutospacing="1" w:after="100" w:afterAutospacing="1"/>
      <w:widowControl/>
    </w:pPr>
    <w:rPr>
      <w:rFonts w:ascii="宋体" w:hAnsi="宋体"/>
      <w:sz w:val="24"/>
      <w:szCs w:val="24"/>
    </w:rPr>
  </w:style>
  <w:style w:type="paragraph" w:styleId="928" w:customStyle="1">
    <w:name w:val="Char Char Char Char Char Char Char Char Char Char"/>
    <w:basedOn w:val="654"/>
    <w:uiPriority w:val="0"/>
    <w:qFormat/>
    <w:pPr>
      <w:spacing w:line="360" w:lineRule="auto"/>
    </w:pPr>
    <w:rPr>
      <w:sz w:val="24"/>
      <w:szCs w:val="20"/>
    </w:rPr>
  </w:style>
  <w:style w:type="paragraph" w:styleId="929" w:customStyle="1">
    <w:name w:val="font6"/>
    <w:basedOn w:val="654"/>
    <w:uiPriority w:val="0"/>
    <w:qFormat/>
    <w:pPr>
      <w:jc w:val="left"/>
      <w:spacing w:before="100" w:beforeAutospacing="1" w:after="100" w:afterAutospacing="1"/>
      <w:widowControl/>
    </w:pPr>
    <w:rPr>
      <w:rFonts w:hint="eastAsia" w:ascii="宋体" w:hAnsi="宋体"/>
      <w:sz w:val="28"/>
      <w:szCs w:val="28"/>
      <w:u w:val="single"/>
    </w:rPr>
  </w:style>
  <w:style w:type="paragraph" w:styleId="930"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1"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2" w:customStyle="1">
    <w:name w:val="标题3"/>
    <w:basedOn w:val="654"/>
    <w:next w:val="654"/>
    <w:uiPriority w:val="0"/>
    <w:qFormat/>
    <w:pPr>
      <w:ind w:firstLine="624"/>
      <w:spacing w:line="590" w:lineRule="atLeast"/>
    </w:pPr>
    <w:rPr>
      <w:rFonts w:ascii="方正黑体_GBK" w:eastAsia="方正黑体_GBK"/>
      <w:sz w:val="32"/>
      <w:szCs w:val="32"/>
    </w:rPr>
  </w:style>
  <w:style w:type="paragraph" w:styleId="933"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4"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5" w:customStyle="1">
    <w:name w:val="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936"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7" w:customStyle="1">
    <w:name w:val="Char Char Char Char Char Char Char Char1"/>
    <w:basedOn w:val="654"/>
    <w:uiPriority w:val="0"/>
    <w:qFormat/>
    <w:pPr>
      <w:jc w:val="left"/>
      <w:spacing w:after="160" w:line="240" w:lineRule="exact"/>
      <w:widowControl/>
    </w:pPr>
    <w:rPr>
      <w:rFonts w:ascii="Verdana" w:hAnsi="Verdana"/>
      <w:sz w:val="20"/>
      <w:szCs w:val="20"/>
      <w:lang w:eastAsia="en-US"/>
    </w:rPr>
  </w:style>
  <w:style w:type="paragraph" w:styleId="938" w:customStyle="1">
    <w:name w:val="xl30"/>
    <w:basedOn w:val="654"/>
    <w:uiPriority w:val="0"/>
    <w:qFormat/>
    <w:pPr>
      <w:jc w:val="center"/>
      <w:spacing w:before="100" w:beforeAutospacing="1" w:after="100" w:afterAutospacing="1"/>
      <w:widowControl/>
    </w:pPr>
    <w:rPr>
      <w:rFonts w:ascii="宋体" w:hAnsi="宋体"/>
      <w:b/>
      <w:bCs/>
      <w:sz w:val="36"/>
      <w:szCs w:val="36"/>
    </w:rPr>
  </w:style>
  <w:style w:type="paragraph" w:styleId="939" w:customStyle="1">
    <w:name w:val="Char Char Char Char1"/>
    <w:basedOn w:val="672"/>
    <w:uiPriority w:val="0"/>
    <w:qFormat/>
    <w:pPr>
      <w:spacing w:line="360" w:lineRule="auto"/>
    </w:pPr>
    <w:rPr>
      <w:rFonts w:ascii="Tahoma" w:hAnsi="Tahoma"/>
      <w:sz w:val="24"/>
      <w:szCs w:val="24"/>
    </w:rPr>
  </w:style>
  <w:style w:type="paragraph" w:styleId="940" w:customStyle="1">
    <w:name w:val="table_1stline"/>
    <w:basedOn w:val="654"/>
    <w:uiPriority w:val="0"/>
    <w:qFormat/>
    <w:pPr>
      <w:jc w:val="left"/>
      <w:spacing w:before="120"/>
      <w:widowControl/>
    </w:pPr>
    <w:rPr>
      <w:bCs/>
      <w:sz w:val="20"/>
      <w:szCs w:val="20"/>
      <w:lang w:val="de-DE" w:eastAsia="de-DE"/>
    </w:rPr>
  </w:style>
  <w:style w:type="paragraph" w:styleId="941" w:customStyle="1">
    <w:name w:val="font5"/>
    <w:basedOn w:val="654"/>
    <w:uiPriority w:val="0"/>
    <w:qFormat/>
    <w:pPr>
      <w:jc w:val="left"/>
      <w:spacing w:before="100" w:beforeAutospacing="1" w:after="100" w:afterAutospacing="1"/>
      <w:widowControl/>
    </w:pPr>
    <w:rPr>
      <w:rFonts w:hint="eastAsia" w:ascii="宋体" w:hAnsi="宋体"/>
      <w:sz w:val="28"/>
      <w:szCs w:val="28"/>
    </w:rPr>
  </w:style>
  <w:style w:type="paragraph" w:styleId="942" w:customStyle="1">
    <w:name w:val="标题1"/>
    <w:basedOn w:val="654"/>
    <w:next w:val="6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3" w:customStyle="1">
    <w:name w:val="修订1"/>
    <w:uiPriority w:val="99"/>
    <w:semiHidden/>
    <w:qFormat/>
    <w:rPr>
      <w:rFonts w:hint="default" w:ascii="Times New Roman" w:hAnsi="Times New Roman" w:eastAsia="宋体" w:cs="Times New Roman"/>
      <w:sz w:val="21"/>
      <w:szCs w:val="21"/>
      <w:lang w:val="en-US" w:eastAsia="zh-CN" w:bidi="ar-SA"/>
    </w:rPr>
  </w:style>
  <w:style w:type="table" w:styleId="944" w:customStyle="1">
    <w:name w:val="Table Normal"/>
    <w:uiPriority w:val="0"/>
    <w:qFormat/>
    <w:tblPr>
      <w:tblCellMar>
        <w:left w:w="0" w:type="dxa"/>
        <w:top w:w="0" w:type="dxa"/>
        <w:right w:w="0" w:type="dxa"/>
        <w:bottom w:w="0" w:type="dxa"/>
      </w:tblCellMar>
    </w:tblPr>
  </w:style>
  <w:style w:type="paragraph" w:styleId="945" w:customStyle="1">
    <w:name w:val="正文文本12"/>
    <w:basedOn w:val="654"/>
    <w:uiPriority w:val="1"/>
    <w:qFormat/>
    <w:pPr>
      <w:ind w:left="120"/>
    </w:pPr>
    <w:rPr>
      <w:rFonts w:ascii="宋体" w:hAnsi="宋体" w:cs="宋体"/>
      <w:szCs w:val="21"/>
      <w:lang w:val="zh-CN" w:bidi="zh-CN"/>
    </w:rPr>
  </w:style>
  <w:style w:type="paragraph" w:styleId="946" w:customStyle="1">
    <w:name w:val="正文文本 211"/>
    <w:basedOn w:val="654"/>
    <w:uiPriority w:val="99"/>
    <w:qFormat/>
    <w:pPr>
      <w:jc w:val="center"/>
    </w:pPr>
    <w:rPr>
      <w:b/>
      <w:bCs/>
      <w:sz w:val="20"/>
      <w:szCs w:val="20"/>
    </w:rPr>
  </w:style>
  <w:style w:type="paragraph" w:styleId="947" w:customStyle="1">
    <w:name w:val="正文文本1"/>
    <w:basedOn w:val="654"/>
    <w:next w:val="654"/>
    <w:uiPriority w:val="0"/>
    <w:semiHidden/>
    <w:qFormat/>
    <w:rPr>
      <w:rFonts w:ascii="Arial" w:hAnsi="Arial" w:eastAsia="Arial" w:cs="Arial"/>
      <w:szCs w:val="21"/>
      <w:lang w:eastAsia="en-US"/>
    </w:rPr>
  </w:style>
  <w:style w:type="paragraph" w:styleId="948" w:customStyle="1">
    <w:name w:val="Table Paragraph"/>
    <w:basedOn w:val="654"/>
    <w:uiPriority w:val="1"/>
    <w:qFormat/>
    <w:pPr>
      <w:jc w:val="left"/>
    </w:pPr>
    <w:rPr>
      <w:rFonts w:ascii="宋体" w:hAnsi="宋体" w:cs="宋体"/>
      <w:sz w:val="22"/>
      <w:lang w:val="zh-CN" w:bidi="zh-CN"/>
    </w:rPr>
  </w:style>
  <w:style w:type="table" w:styleId="949" w:customStyle="1">
    <w:name w:val="网格型1"/>
    <w:basedOn w:val="950"/>
    <w:uiPriority w:val="0"/>
    <w:qFormat/>
    <w:pPr>
      <w:jc w:val="both"/>
      <w:widowControl w:val="off"/>
    </w:pPr>
    <w:tblPr>
      <w:tblCellMar>
        <w:left w:w="0" w:type="dxa"/>
        <w:top w:w="0" w:type="dxa"/>
        <w:right w:w="0" w:type="dxa"/>
        <w:bottom w:w="0" w:type="dxa"/>
      </w:tblCellMar>
    </w:tblPr>
  </w:style>
  <w:style w:type="table" w:styleId="950" w:customStyle="1">
    <w:name w:val="普通表格1"/>
    <w:uiPriority w:val="99"/>
    <w:unhideWhenUsed/>
    <w:qFormat/>
    <w:tblPr>
      <w:tblCellMar>
        <w:left w:w="0" w:type="dxa"/>
        <w:top w:w="0" w:type="dxa"/>
        <w:right w:w="0" w:type="dxa"/>
        <w:bottom w:w="0" w:type="dxa"/>
      </w:tblCellMar>
    </w:tblPr>
  </w:style>
  <w:style w:type="character" w:styleId="951" w:customStyle="1">
    <w:name w:val="font21"/>
    <w:basedOn w:val="664"/>
    <w:uiPriority w:val="0"/>
    <w:qFormat/>
    <w:rPr>
      <w:rFonts w:hint="eastAsia" w:ascii="宋体" w:hAnsi="宋体" w:eastAsia="宋体" w:cs="宋体"/>
      <w:b/>
      <w:bCs/>
      <w:color w:val="000000"/>
      <w:sz w:val="20"/>
      <w:szCs w:val="20"/>
      <w:u w:val="none"/>
    </w:rPr>
  </w:style>
  <w:style w:type="character" w:styleId="952" w:customStyle="1">
    <w:name w:val="font31"/>
    <w:basedOn w:val="953"/>
    <w:uiPriority w:val="0"/>
    <w:qFormat/>
    <w:rPr>
      <w:rFonts w:ascii="Times New Roman" w:hAnsi="Times New Roman" w:eastAsia="宋体" w:cs="Times New Roman"/>
      <w:sz w:val="21"/>
      <w:szCs w:val="22"/>
      <w:lang w:val="en-US" w:eastAsia="zh-CN" w:bidi="ar-SA"/>
    </w:rPr>
  </w:style>
  <w:style w:type="character" w:styleId="953" w:customStyle="1">
    <w:name w:val="默认段落字体1"/>
    <w:uiPriority w:val="1"/>
    <w:unhideWhenUsed/>
    <w:qFormat/>
  </w:style>
  <w:style w:type="character" w:styleId="954" w:customStyle="1">
    <w:name w:val="font41"/>
    <w:basedOn w:val="664"/>
    <w:uiPriority w:val="0"/>
    <w:qFormat/>
    <w:rPr>
      <w:rFonts w:hint="eastAsia" w:ascii="宋体" w:hAnsi="宋体" w:eastAsia="宋体" w:cs="宋体"/>
      <w:color w:val="000000"/>
      <w:sz w:val="22"/>
      <w:szCs w:val="22"/>
      <w:u w:val="none"/>
    </w:rPr>
  </w:style>
  <w:style w:type="paragraph" w:styleId="955" w:customStyle="1">
    <w:name w:val="页眉1"/>
    <w:basedOn w:val="654"/>
    <w:uiPriority w:val="0"/>
    <w:qFormat/>
    <w:pPr>
      <w:jc w:val="center"/>
      <w:tabs>
        <w:tab w:val="center" w:pos="4153" w:leader="none"/>
        <w:tab w:val="right" w:pos="8306" w:leader="none"/>
      </w:tabs>
      <w:pBdr>
        <w:bottom w:val="single" w:color="000000" w:sz="6" w:space="1"/>
      </w:pBdr>
    </w:pPr>
    <w:rPr>
      <w:sz w:val="18"/>
      <w:szCs w:val="18"/>
    </w:rPr>
  </w:style>
  <w:style w:type="paragraph" w:styleId="956" w:customStyle="1">
    <w:name w:val="页脚1"/>
    <w:basedOn w:val="654"/>
    <w:uiPriority w:val="0"/>
    <w:qFormat/>
    <w:pPr>
      <w:jc w:val="left"/>
      <w:tabs>
        <w:tab w:val="center" w:pos="4153" w:leader="none"/>
        <w:tab w:val="right" w:pos="8306" w:leader="none"/>
      </w:tabs>
    </w:pPr>
    <w:rPr>
      <w:sz w:val="18"/>
      <w:szCs w:val="18"/>
    </w:rPr>
  </w:style>
  <w:style w:type="character" w:styleId="957" w:customStyle="1">
    <w:name w:val="页码1"/>
    <w:uiPriority w:val="0"/>
    <w:qFormat/>
  </w:style>
  <w:style w:type="paragraph" w:styleId="958" w:customStyle="1">
    <w:name w:val="Default"/>
    <w:uiPriority w:val="99"/>
    <w:unhideWhenUsed/>
    <w:qFormat/>
    <w:pPr>
      <w:widowControl w:val="off"/>
    </w:pPr>
    <w:rPr>
      <w:rFonts w:hint="eastAsia" w:ascii="宋体" w:hAnsi="宋体" w:eastAsia="宋体" w:cs="Times New Roman"/>
      <w:color w:val="000000"/>
      <w:sz w:val="24"/>
      <w:szCs w:val="24"/>
    </w:rPr>
  </w:style>
  <w:style w:type="numbering" w:styleId="1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高嘉佳</cp:lastModifiedBy>
  <cp:revision>29</cp:revision>
  <dcterms:created xsi:type="dcterms:W3CDTF">2025-07-02T01:28:00Z</dcterms:created>
  <dcterms:modified xsi:type="dcterms:W3CDTF">2026-01-09T01:20:06Z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4887C08C0C2242568E884FA844F86B8F_13</vt:lpwstr>
  </property>
</Properties>
</file>