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5"/>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w:t>
      </w:r>
      <w:r>
        <w:rPr>
          <w:rFonts w:hint="eastAsia" w:ascii="Arial" w:hAnsi="Arial" w:eastAsia="黑体" w:cs="Times New Roman"/>
          <w:b/>
          <w:bCs/>
          <w:color w:val="000000"/>
          <w:sz w:val="84"/>
          <w:lang w:eastAsia="zh-CN"/>
        </w:rPr>
        <w:t xml:space="preserve">谈判</w:t>
      </w:r>
      <w:r>
        <w:rPr>
          <w:rFonts w:hint="eastAsia" w:ascii="Arial" w:hAnsi="Arial" w:eastAsia="黑体" w:cs="Times New Roman"/>
          <w:b/>
          <w:bCs/>
          <w:color w:val="000000"/>
          <w:sz w:val="84"/>
        </w:rPr>
        <w:t xml:space="preserve">文件</w:t>
      </w:r>
      <w:r/>
    </w:p>
    <w:p>
      <w:pPr>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项目名称：紫金山实验室软件漏洞测试与恶意软件行为分析项目</w:t>
      </w:r>
      <w:r/>
    </w:p>
    <w:p>
      <w:pPr>
        <w:ind w:firstLine="1606"/>
        <w:jc w:val="left"/>
        <w:spacing w:before="120" w:after="120" w:line="360" w:lineRule="auto"/>
        <w:rPr>
          <w:rFonts w:hint="default"/>
          <w:color w:val="000000"/>
          <w:lang w:val="en-US"/>
        </w:rPr>
      </w:pPr>
      <w:r>
        <w:rPr>
          <w:rFonts w:hint="eastAsia" w:ascii="Arial" w:hAnsi="Arial" w:eastAsia="宋体" w:cs="Times New Roman"/>
          <w:b/>
          <w:bCs/>
          <w:color w:val="000000"/>
          <w:sz w:val="32"/>
          <w:szCs w:val="24"/>
          <w:lang w:eastAsia="zh-CN"/>
        </w:rPr>
        <w:t xml:space="preserve">项目编号：</w:t>
      </w:r>
      <w:r>
        <w:rPr>
          <w:rFonts w:hint="eastAsia" w:cs="Times New Roman"/>
          <w:b/>
          <w:bCs w:val="0"/>
          <w:color w:val="000000"/>
          <w:sz w:val="32"/>
          <w:szCs w:val="32"/>
          <w:u w:val="none"/>
          <w:lang w:val="en-US" w:eastAsia="zh-CN"/>
        </w:rPr>
        <w:t xml:space="preserve">JSZC-320100-JZCG-T2026-0050</w:t>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5"/>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w:t>
      </w:r>
      <w:r>
        <w:rPr>
          <w:rFonts w:hint="eastAsia" w:cs="Times New Roman"/>
          <w:b/>
          <w:bCs w:val="0"/>
          <w:color w:val="000000"/>
          <w:sz w:val="32"/>
          <w:szCs w:val="32"/>
          <w:u w:val="none"/>
          <w:lang w:val="en-US" w:eastAsia="zh-CN"/>
        </w:rPr>
        <w:t xml:space="preserve">2</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jc w:val="center"/>
        <w:spacing w:line="480" w:lineRule="auto"/>
        <w:rPr>
          <w:rFonts w:ascii="Times New Roman" w:hAnsi="Times New Roman"/>
          <w:color w:val="000000"/>
          <w:szCs w:val="21"/>
        </w:rPr>
        <w:outlineLvl w:val="0"/>
      </w:pPr>
      <w:r>
        <w:rPr>
          <w:rFonts w:ascii="Times New Roman" w:hAnsi="Times New Roman"/>
          <w:color w:val="000000"/>
          <w:szCs w:val="21"/>
        </w:rPr>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谈判邀请……………………………………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供应商须知………………………………… 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合同文本……………………………………14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采购需求……………………………………18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成交标准……………………………………21</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响应文件格式………………………………22</w:t>
      </w:r>
      <w:r/>
    </w:p>
    <w:p>
      <w:pPr>
        <w:keepLines w:val="0"/>
        <w:keepNext w:val="0"/>
        <w:pageBreakBefore w:val="0"/>
        <w:spacing w:line="480" w:lineRule="auto"/>
        <w:widowControl w:val="off"/>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谈判邀请</w:t>
      </w:r>
      <w:r/>
    </w:p>
    <w:p>
      <w:pPr>
        <w:ind w:firstLine="480"/>
        <w:pageBreakBefore w:val="0"/>
        <w:spacing w:line="276" w:lineRule="auto"/>
        <w:widowControl w:val="off"/>
        <w:rPr>
          <w:rFonts w:hint="eastAsia" w:ascii="宋体" w:hAnsi="宋体"/>
          <w:sz w:val="24"/>
          <w:szCs w:val="24"/>
        </w:rPr>
      </w:pPr>
      <w:r/>
      <w:bookmarkStart w:id="6" w:name="_Toc35393790"/>
      <w:r/>
      <w:bookmarkStart w:id="7" w:name="_Toc28359002"/>
      <w:r/>
      <w:bookmarkStart w:id="8" w:name="_Toc28359079"/>
      <w:r/>
      <w:bookmarkStart w:id="9" w:name="_Toc38985263"/>
      <w:r/>
      <w:bookmarkStart w:id="10" w:name="_Toc35393621"/>
      <w:r/>
      <w:bookmarkStart w:id="11" w:name="_Hlk24379207"/>
      <w:r/>
      <w:bookmarkStart w:id="12" w:name="_Toc28359080"/>
      <w:r/>
      <w:bookmarkStart w:id="13" w:name="_Toc38985264"/>
      <w:r/>
      <w:bookmarkStart w:id="14" w:name="_Toc35393622"/>
      <w:r/>
      <w:bookmarkStart w:id="15" w:name="_Toc35393791"/>
      <w:r/>
      <w:bookmarkStart w:id="16" w:name="_Toc28359003"/>
      <w:r/>
      <w:r/>
    </w:p>
    <w:p>
      <w:pPr>
        <w:ind w:firstLine="480"/>
        <w:pageBreakBefore w:val="0"/>
        <w:spacing w:line="276"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eastAsia="zh-CN"/>
        </w:rPr>
        <w:t xml:space="preserve">受紫金山实验室（</w:t>
      </w:r>
      <w:r>
        <w:rPr>
          <w:rFonts w:hint="eastAsia" w:ascii="宋体" w:hAnsi="宋体" w:eastAsia="宋体" w:cs="Times New Roman"/>
          <w:b w:val="0"/>
          <w:bCs w:val="0"/>
          <w:color w:val="000000"/>
          <w:sz w:val="24"/>
          <w:szCs w:val="24"/>
          <w:lang w:val="en-US" w:eastAsia="zh-CN"/>
        </w:rPr>
        <w:t xml:space="preserve">采购</w:t>
      </w:r>
      <w:r>
        <w:rPr>
          <w:rFonts w:hint="eastAsia" w:ascii="宋体" w:hAnsi="宋体" w:eastAsia="宋体" w:cs="Times New Roman"/>
          <w:b w:val="0"/>
          <w:bCs w:val="0"/>
          <w:color w:val="000000"/>
          <w:sz w:val="24"/>
          <w:szCs w:val="24"/>
          <w:lang w:eastAsia="zh-CN"/>
        </w:rPr>
        <w:t xml:space="preserve">单位）委托，南京市公共资源交易中心（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）就紫金山实验室软件漏洞测试与恶意软件行为分析项目</w:t>
      </w:r>
      <w:r>
        <w:rPr>
          <w:rFonts w:hint="eastAsia" w:ascii="宋体" w:hAnsi="宋体" w:eastAsia="宋体" w:cs="Times New Roman"/>
          <w:b w:val="0"/>
          <w:bCs w:val="0"/>
          <w:color w:val="000000"/>
          <w:sz w:val="24"/>
          <w:szCs w:val="24"/>
          <w:lang w:val="en-US" w:eastAsia="zh-CN"/>
        </w:rPr>
        <w:t xml:space="preserve">（</w:t>
      </w:r>
      <w:r>
        <w:rPr>
          <w:rFonts w:hint="eastAsia" w:ascii="宋体" w:hAnsi="宋体" w:eastAsia="宋体" w:cs="Times New Roman"/>
          <w:b w:val="0"/>
          <w:bCs w:val="0"/>
          <w:color w:val="000000"/>
          <w:sz w:val="24"/>
          <w:szCs w:val="24"/>
          <w:lang w:eastAsia="zh-CN"/>
        </w:rPr>
        <w:t xml:space="preserve">项目名称</w:t>
      </w:r>
      <w:r>
        <w:rPr>
          <w:rFonts w:hint="eastAsia" w:ascii="宋体" w:hAnsi="宋体" w:eastAsia="宋体" w:cs="Times New Roman"/>
          <w:b w:val="0"/>
          <w:bCs w:val="0"/>
          <w:color w:val="000000"/>
          <w:sz w:val="24"/>
          <w:szCs w:val="24"/>
          <w:lang w:val="en-US" w:eastAsia="zh-CN"/>
        </w:rPr>
        <w:t xml:space="preserve">）</w:t>
      </w:r>
      <w:r>
        <w:rPr>
          <w:rFonts w:hint="eastAsia" w:ascii="宋体" w:hAnsi="宋体" w:eastAsia="宋体" w:cs="Times New Roman"/>
          <w:b w:val="0"/>
          <w:bCs w:val="0"/>
          <w:color w:val="000000"/>
          <w:sz w:val="24"/>
          <w:szCs w:val="24"/>
          <w:lang w:eastAsia="zh-CN"/>
        </w:rPr>
        <w:t xml:space="preserve">进行</w:t>
      </w:r>
      <w:r>
        <w:rPr>
          <w:rFonts w:hint="eastAsia" w:ascii="宋体" w:hAnsi="宋体" w:eastAsia="宋体" w:cs="Times New Roman"/>
          <w:b w:val="0"/>
          <w:bCs w:val="0"/>
          <w:color w:val="000000"/>
          <w:sz w:val="24"/>
          <w:szCs w:val="24"/>
          <w:lang w:val="en-US" w:eastAsia="zh-CN"/>
        </w:rPr>
        <w:t xml:space="preserve">竞争性谈判采购，欢迎符合条件的供应商参加谈判。</w:t>
      </w:r>
      <w:r/>
    </w:p>
    <w:p>
      <w:pPr>
        <w:pStyle w:val="880"/>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
    </w:p>
    <w:p>
      <w:pPr>
        <w:ind w:firstLine="480"/>
        <w:pageBreakBefore w:val="0"/>
        <w:spacing w:line="276"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1.项目编号：</w:t>
      </w:r>
      <w:r>
        <w:rPr>
          <w:rFonts w:hint="eastAsia" w:ascii="宋体" w:hAnsi="宋体" w:cs="Times New Roman"/>
          <w:color w:val="000000"/>
          <w:sz w:val="24"/>
          <w:szCs w:val="24"/>
          <w:lang w:val="en-US" w:eastAsia="zh-CN"/>
        </w:rPr>
        <w:t xml:space="preserve">JSZC-320100-JZCG-T2026-0050</w:t>
      </w:r>
      <w:r/>
    </w:p>
    <w:p>
      <w:pPr>
        <w:ind w:firstLine="480"/>
        <w:pageBreakBefore w:val="0"/>
        <w:spacing w:line="276"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2.项目名称：紫金山实验室软件漏洞测试与恶意软件行为分析项目</w:t>
      </w:r>
      <w:bookmarkEnd w:id="11"/>
      <w:r/>
      <w:r/>
    </w:p>
    <w:p>
      <w:pPr>
        <w:ind w:firstLine="480"/>
        <w:pageBreakBefore w:val="0"/>
        <w:spacing w:line="276"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3.预算金额：12万元</w:t>
      </w:r>
      <w:r/>
    </w:p>
    <w:p>
      <w:pPr>
        <w:ind w:firstLine="480"/>
        <w:pageBreakBefore w:val="0"/>
        <w:spacing w:line="276"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4.最高限价：12万元</w:t>
      </w:r>
      <w:r/>
    </w:p>
    <w:p>
      <w:pPr>
        <w:ind w:firstLine="480"/>
        <w:pageBreakBefore w:val="0"/>
        <w:spacing w:line="276"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5.采购需求（简介）</w:t>
      </w:r>
      <w:bookmarkStart w:id="176" w:name="_GoBack"/>
      <w:r/>
      <w:bookmarkEnd w:id="176"/>
      <w:r>
        <w:rPr>
          <w:rFonts w:hint="eastAsia" w:ascii="宋体" w:hAnsi="宋体" w:eastAsia="宋体" w:cs="Times New Roman"/>
          <w:color w:val="000000"/>
          <w:sz w:val="24"/>
          <w:szCs w:val="24"/>
          <w:lang w:val="en-US" w:eastAsia="zh-CN"/>
        </w:rPr>
        <w:t xml:space="preserve">：本项目旨在采购一套软件安全漏洞与利用技术测试平台和一套勒索软件行为分析与安全防护验证平台，以支持安全测试、漏洞验证、勒索软件分析相关工作，确保测试环境稳定、覆盖主流漏洞类型和利用手段，并提供完整的测试样本、分析报告及开发程序。（详细内容见本谈判文件第四章） </w:t>
      </w:r>
      <w:r/>
    </w:p>
    <w:p>
      <w:pPr>
        <w:ind w:firstLine="480"/>
        <w:pageBreakBefore w:val="0"/>
        <w:spacing w:line="276"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6.合同履行期限：60天。</w:t>
      </w:r>
      <w:r/>
    </w:p>
    <w:p>
      <w:pPr>
        <w:ind w:firstLine="480"/>
        <w:pageBreakBefore w:val="0"/>
        <w:spacing w:line="276"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t xml:space="preserve">7.本项目</w:t>
      </w:r>
      <w:r>
        <w:rPr>
          <w:rFonts w:hint="eastAsia" w:ascii="宋体" w:hAnsi="宋体" w:eastAsia="宋体" w:cs="Times New Roman"/>
          <w:b/>
          <w:bCs/>
          <w:color w:val="000000"/>
          <w:sz w:val="24"/>
          <w:szCs w:val="24"/>
          <w:lang w:val="en-US" w:eastAsia="zh-CN"/>
        </w:rPr>
        <w:t xml:space="preserve">不接受联合体参加谈判</w:t>
      </w:r>
      <w:r>
        <w:rPr>
          <w:rFonts w:hint="eastAsia" w:ascii="宋体" w:hAnsi="宋体" w:eastAsia="宋体" w:cs="Times New Roman"/>
          <w:b w:val="0"/>
          <w:bCs w:val="0"/>
          <w:color w:val="000000"/>
          <w:sz w:val="24"/>
          <w:szCs w:val="24"/>
          <w:lang w:val="en-US" w:eastAsia="zh-CN"/>
        </w:rPr>
        <w:t xml:space="preserve">。</w:t>
      </w:r>
      <w:r>
        <w:rPr>
          <w:rFonts w:hint="eastAsia" w:ascii="宋体" w:hAnsi="宋体" w:eastAsia="宋体" w:cs="Times New Roman"/>
          <w:b w:val="0"/>
          <w:bCs w:val="0"/>
          <w:color w:val="000000"/>
          <w:sz w:val="24"/>
          <w:szCs w:val="24"/>
          <w:lang w:val="en-US" w:eastAsia="zh-CN"/>
        </w:rPr>
      </w:r>
      <w:r/>
    </w:p>
    <w:p>
      <w:pPr>
        <w:ind w:firstLine="480"/>
        <w:pageBreakBefore w:val="0"/>
        <w:spacing w:line="276" w:lineRule="auto"/>
        <w:widowControl w:val="off"/>
        <w:rPr>
          <w:rFonts w:hint="eastAsia" w:ascii="宋体" w:hAnsi="宋体" w:eastAsia="宋体" w:cs="Times New Roman"/>
          <w:b w:val="0"/>
          <w:bCs w:val="0"/>
          <w:color w:val="000000"/>
          <w:sz w:val="24"/>
          <w:szCs w:val="24"/>
          <w:lang w:val="en-US" w:eastAsia="zh-CN"/>
        </w:rPr>
      </w:pPr>
      <w:r>
        <w:rPr>
          <w:rFonts w:hint="eastAsia" w:ascii="宋体" w:hAnsi="宋体" w:eastAsia="宋体" w:cs="Times New Roman"/>
          <w:b w:val="0"/>
          <w:bCs w:val="0"/>
          <w:color w:val="000000"/>
          <w:sz w:val="24"/>
          <w:szCs w:val="24"/>
          <w:lang w:val="en-US" w:eastAsia="zh-CN"/>
        </w:rPr>
      </w:r>
      <w:r>
        <w:rPr>
          <w:rFonts w:hint="eastAsia" w:ascii="宋体" w:hAnsi="宋体" w:eastAsia="宋体" w:cs="Times New Roman"/>
          <w:b w:val="0"/>
          <w:bCs w:val="0"/>
          <w:color w:val="000000"/>
          <w:sz w:val="24"/>
          <w:szCs w:val="24"/>
          <w:lang w:val="en-US" w:eastAsia="zh-CN"/>
        </w:rPr>
        <w:t xml:space="preserve">8.本项目</w:t>
      </w:r>
      <w:r>
        <w:rPr>
          <w:rFonts w:hint="eastAsia" w:ascii="宋体" w:hAnsi="宋体" w:eastAsia="宋体" w:cs="Times New Roman"/>
          <w:b/>
          <w:bCs/>
          <w:color w:val="000000"/>
          <w:sz w:val="24"/>
          <w:szCs w:val="24"/>
          <w:lang w:val="en-US" w:eastAsia="zh-CN"/>
        </w:rPr>
        <w:t xml:space="preserve">不接受进口产品</w:t>
      </w:r>
      <w:r>
        <w:rPr>
          <w:rFonts w:hint="eastAsia" w:ascii="宋体" w:hAnsi="宋体" w:eastAsia="宋体" w:cs="Times New Roman"/>
          <w:b w:val="0"/>
          <w:bCs w:val="0"/>
          <w:color w:val="000000"/>
          <w:sz w:val="24"/>
          <w:szCs w:val="24"/>
          <w:lang w:val="en-US" w:eastAsia="zh-CN"/>
        </w:rPr>
        <w:t xml:space="preserve">。</w:t>
      </w:r>
      <w:bookmarkEnd w:id="12"/>
      <w:r/>
      <w:bookmarkEnd w:id="13"/>
      <w:r/>
      <w:bookmarkEnd w:id="14"/>
      <w:r/>
      <w:bookmarkEnd w:id="15"/>
      <w:r/>
      <w:bookmarkEnd w:id="16"/>
      <w:r>
        <w:rPr>
          <w:rFonts w:hint="eastAsia" w:ascii="宋体" w:hAnsi="宋体" w:eastAsia="宋体" w:cs="Times New Roman"/>
          <w:b w:val="0"/>
          <w:bCs w:val="0"/>
          <w:color w:val="000000"/>
          <w:sz w:val="24"/>
          <w:szCs w:val="24"/>
          <w:lang w:val="en-US" w:eastAsia="zh-CN"/>
        </w:rPr>
      </w:r>
      <w:r/>
    </w:p>
    <w:p>
      <w:pPr>
        <w:pStyle w:val="880"/>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bookmarkStart w:id="17" w:name="_Toc28359081"/>
      <w:r/>
      <w:bookmarkStart w:id="18" w:name="_Toc38985265"/>
      <w:r/>
      <w:bookmarkStart w:id="19" w:name="_Toc35393623"/>
      <w:r/>
      <w:bookmarkStart w:id="20" w:name="_Toc35393792"/>
      <w:r/>
      <w:bookmarkStart w:id="21" w:name="_Toc28359004"/>
      <w:r>
        <w:rPr>
          <w:rFonts w:hint="eastAsia" w:ascii="方正黑体_GBK" w:hAnsi="方正黑体_GBK" w:eastAsia="方正黑体_GBK" w:cs="方正黑体_GBK"/>
          <w:b w:val="0"/>
          <w:bCs w:val="0"/>
          <w:color w:val="000000"/>
          <w:sz w:val="30"/>
          <w:szCs w:val="30"/>
        </w:rPr>
        <w:t xml:space="preserve">二、申请人的资格要求</w:t>
      </w:r>
      <w:r/>
    </w:p>
    <w:p>
      <w:pPr>
        <w:ind w:firstLine="480"/>
        <w:pageBreakBefore w:val="0"/>
        <w:spacing w:line="276"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76"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p>
    <w:p>
      <w:pPr>
        <w:ind w:firstLine="480"/>
        <w:pageBreakBefore w:val="0"/>
        <w:spacing w:line="276"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p>
    <w:p>
      <w:pPr>
        <w:ind w:firstLine="480"/>
        <w:pageBreakBefore w:val="0"/>
        <w:spacing w:line="276"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zh-CN" w:eastAsia="zh-CN"/>
        </w:rPr>
        <w:t xml:space="preserve">无</w:t>
      </w:r>
      <w:r/>
    </w:p>
    <w:p>
      <w:pPr>
        <w:ind w:firstLine="480"/>
        <w:pageBreakBefore w:val="0"/>
        <w:spacing w:line="276" w:lineRule="auto"/>
        <w:widowControl w:val="off"/>
        <w:rPr>
          <w:rFonts w:ascii="宋体" w:hAnsi="宋体" w:eastAsia="宋体" w:cs="Times New Roman"/>
          <w:b w:val="0"/>
          <w:bCs w:val="0"/>
          <w:color w:val="000000"/>
          <w:sz w:val="24"/>
          <w:szCs w:val="24"/>
          <w:highlight w:val="none"/>
          <w:lang w:val="en-US"/>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软件和信息技术服务业</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w:t>
      </w:r>
      <w:r/>
    </w:p>
    <w:p>
      <w:pPr>
        <w:ind w:firstLine="480"/>
        <w:pageBreakBefore w:val="0"/>
        <w:spacing w:line="276"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p>
    <w:p>
      <w:pPr>
        <w:ind w:firstLine="480"/>
        <w:pageBreakBefore w:val="0"/>
        <w:spacing w:line="276"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p>
    <w:p>
      <w:pPr>
        <w:ind w:firstLine="480"/>
        <w:pageBreakBefore w:val="0"/>
        <w:spacing w:line="27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7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7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880"/>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谈判文件</w:t>
      </w:r>
      <w:r/>
    </w:p>
    <w:p>
      <w:pPr>
        <w:ind w:firstLine="480"/>
        <w:pageBreakBefore w:val="0"/>
        <w:spacing w:line="276" w:lineRule="auto"/>
        <w:widowControl w:val="off"/>
        <w:rPr>
          <w:rFonts w:hint="eastAsia" w:ascii="宋体" w:hAnsi="宋体" w:eastAsia="宋体" w:cs="Times New Roman"/>
          <w:color w:val="000000"/>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eastAsia="宋体" w:cs="Times New Roman"/>
          <w:color w:val="000000"/>
          <w:sz w:val="24"/>
          <w:szCs w:val="24"/>
        </w:rPr>
        <w:t xml:space="preserve">1.时间：自谈判文件公告发布之日起。</w:t>
      </w:r>
      <w:r/>
    </w:p>
    <w:p>
      <w:pPr>
        <w:ind w:firstLine="480"/>
        <w:pageBreakBefore w:val="0"/>
        <w:spacing w:line="276"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2.方式：在“江苏政府采购网”免费下载。</w:t>
      </w:r>
      <w:r/>
    </w:p>
    <w:p>
      <w:pPr>
        <w:pStyle w:val="880"/>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
    </w:p>
    <w:p>
      <w:pPr>
        <w:ind w:firstLine="480"/>
        <w:pageBreakBefore w:val="0"/>
        <w:spacing w:line="276" w:lineRule="auto"/>
        <w:widowControl w:val="off"/>
        <w:rPr>
          <w:rFonts w:hint="eastAsia" w:ascii="宋体" w:hAnsi="宋体" w:eastAsia="宋体" w:cs="Times New Roman"/>
          <w:b w:val="0"/>
          <w:bCs w:val="0"/>
          <w:color w:val="000000"/>
          <w:sz w:val="24"/>
          <w:szCs w:val="24"/>
          <w:lang w:eastAsia="zh-CN"/>
        </w:rPr>
        <w:outlineLvl w:val="9"/>
      </w:pPr>
      <w:r/>
      <w:bookmarkStart w:id="27" w:name="_Toc28359084"/>
      <w:r/>
      <w:bookmarkStart w:id="28" w:name="_Toc35393625"/>
      <w:r/>
      <w:bookmarkStart w:id="29" w:name="_Toc38985267"/>
      <w:r/>
      <w:bookmarkStart w:id="30" w:name="_Toc35393794"/>
      <w:r/>
      <w:bookmarkStart w:id="31" w:name="_Toc28359007"/>
      <w:r>
        <w:rPr>
          <w:rFonts w:hint="eastAsia" w:ascii="宋体" w:hAnsi="宋体" w:eastAsia="宋体" w:cs="Times New Roman"/>
          <w:b w:val="0"/>
          <w:bCs w:val="0"/>
          <w:color w:val="000000"/>
          <w:sz w:val="24"/>
          <w:szCs w:val="24"/>
          <w:u w:val="none"/>
          <w:lang w:val="en-US" w:eastAsia="zh-CN"/>
        </w:rPr>
        <w:t xml:space="preserve">20</w:t>
      </w:r>
      <w:r>
        <w:rPr>
          <w:rFonts w:hint="eastAsia" w:ascii="宋体" w:hAnsi="宋体" w:eastAsia="宋体" w:cs="Times New Roman"/>
          <w:b w:val="0"/>
          <w:bCs w:val="0"/>
          <w:color w:val="000000"/>
          <w:sz w:val="24"/>
          <w:szCs w:val="24"/>
          <w:highlight w:val="none"/>
          <w:u w:val="none"/>
          <w:lang w:val="en-US" w:eastAsia="zh-CN"/>
        </w:rPr>
        <w:t xml:space="preserve">26</w:t>
      </w:r>
      <w:r>
        <w:rPr>
          <w:rFonts w:hint="eastAsia" w:ascii="宋体" w:hAnsi="宋体" w:eastAsia="宋体" w:cs="Times New Roman"/>
          <w:b w:val="0"/>
          <w:bCs w:val="0"/>
          <w:color w:val="000000"/>
          <w:sz w:val="24"/>
          <w:szCs w:val="24"/>
          <w:u w:val="none"/>
        </w:rPr>
        <w:t xml:space="preserve">年</w:t>
      </w:r>
      <w:r>
        <w:rPr>
          <w:rFonts w:hint="eastAsia" w:ascii="宋体" w:hAnsi="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u w:val="none"/>
        </w:rPr>
        <w:t xml:space="preserve">月</w:t>
      </w:r>
      <w:r>
        <w:rPr>
          <w:rFonts w:hint="eastAsia" w:ascii="宋体" w:hAnsi="宋体" w:cs="Times New Roman"/>
          <w:b w:val="0"/>
          <w:bCs w:val="0"/>
          <w:color w:val="000000"/>
          <w:sz w:val="24"/>
          <w:szCs w:val="24"/>
          <w:u w:val="none"/>
          <w:lang w:val="en-US" w:eastAsia="zh-CN"/>
        </w:rPr>
        <w:t xml:space="preserve">9</w:t>
      </w:r>
      <w:r>
        <w:rPr>
          <w:rFonts w:hint="eastAsia" w:ascii="宋体" w:hAnsi="宋体" w:eastAsia="宋体" w:cs="Times New Roman"/>
          <w:b w:val="0"/>
          <w:bCs w:val="0"/>
          <w:color w:val="000000"/>
          <w:sz w:val="24"/>
          <w:szCs w:val="24"/>
          <w:u w:val="none"/>
        </w:rPr>
        <w:t xml:space="preserve">日</w:t>
      </w:r>
      <w:r>
        <w:rPr>
          <w:rFonts w:hint="eastAsia" w:ascii="宋体" w:hAnsi="宋体" w:eastAsia="宋体" w:cs="Times New Roman"/>
          <w:b w:val="0"/>
          <w:bCs w:val="0"/>
          <w:color w:val="000000"/>
          <w:sz w:val="24"/>
          <w:szCs w:val="24"/>
          <w:highlight w:val="none"/>
          <w:u w:val="none"/>
          <w:lang w:val="en-US" w:eastAsia="zh-CN"/>
        </w:rPr>
        <w:t xml:space="preserve">14</w:t>
      </w:r>
      <w:r>
        <w:rPr>
          <w:rFonts w:hint="eastAsia" w:ascii="宋体" w:hAnsi="宋体" w:eastAsia="宋体" w:cs="Times New Roman"/>
          <w:b w:val="0"/>
          <w:bCs w:val="0"/>
          <w:color w:val="000000"/>
          <w:sz w:val="24"/>
          <w:szCs w:val="24"/>
          <w:u w:val="none"/>
          <w:lang w:val="en-US" w:eastAsia="zh-CN"/>
        </w:rPr>
        <w:t xml:space="preserve">时</w:t>
      </w:r>
      <w:r>
        <w:rPr>
          <w:rFonts w:hint="eastAsia" w:ascii="宋体" w:hAnsi="宋体" w:eastAsia="宋体" w:cs="Times New Roman"/>
          <w:b w:val="0"/>
          <w:bCs w:val="0"/>
          <w:color w:val="000000"/>
          <w:sz w:val="24"/>
          <w:szCs w:val="24"/>
          <w:u w:val="none"/>
        </w:rPr>
        <w:t xml:space="preserve">（</w:t>
      </w:r>
      <w:r>
        <w:rPr>
          <w:rFonts w:hint="eastAsia" w:ascii="宋体" w:hAnsi="宋体" w:eastAsia="宋体" w:cs="Times New Roman"/>
          <w:b w:val="0"/>
          <w:bCs w:val="0"/>
          <w:color w:val="000000"/>
          <w:sz w:val="24"/>
          <w:szCs w:val="24"/>
        </w:rPr>
        <w:t xml:space="preserve">北京时间）</w:t>
      </w:r>
      <w:r>
        <w:rPr>
          <w:rFonts w:hint="eastAsia" w:ascii="宋体" w:hAnsi="宋体" w:eastAsia="宋体" w:cs="Times New Roman"/>
          <w:b w:val="0"/>
          <w:bCs w:val="0"/>
          <w:color w:val="000000"/>
          <w:sz w:val="24"/>
          <w:szCs w:val="24"/>
          <w:lang w:eastAsia="zh-CN"/>
        </w:rPr>
        <w:t xml:space="preserve">。</w:t>
      </w:r>
      <w:r/>
    </w:p>
    <w:p>
      <w:pPr>
        <w:pStyle w:val="880"/>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76" w:lineRule="auto"/>
        <w:widowControl w:val="off"/>
        <w:rPr>
          <w:rFonts w:hint="eastAsia" w:ascii="宋体" w:hAnsi="宋体" w:eastAsia="宋体" w:cs="Times New Roman"/>
          <w:color w:val="000000"/>
          <w:sz w:val="24"/>
          <w:szCs w:val="24"/>
        </w:rPr>
      </w:pPr>
      <w:r/>
      <w:bookmarkStart w:id="32" w:name="_Toc35393795"/>
      <w:r/>
      <w:bookmarkStart w:id="33" w:name="_Toc35393626"/>
      <w:r/>
      <w:bookmarkStart w:id="34" w:name="_Toc38985268"/>
      <w:r>
        <w:rPr>
          <w:rFonts w:hint="eastAsia" w:ascii="宋体" w:hAnsi="宋体" w:eastAsia="宋体" w:cs="Times New Roman"/>
          <w:color w:val="000000"/>
          <w:sz w:val="24"/>
          <w:szCs w:val="24"/>
        </w:rPr>
        <w:t xml:space="preserve">公告期限为自本公告发布之日起3个工作日。</w:t>
      </w:r>
      <w:r/>
    </w:p>
    <w:p>
      <w:pPr>
        <w:pStyle w:val="880"/>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六、其他补充事宜</w:t>
      </w:r>
      <w:bookmarkEnd w:id="32"/>
      <w:r/>
      <w:bookmarkEnd w:id="33"/>
      <w:r/>
      <w:bookmarkEnd w:id="34"/>
      <w:r/>
      <w:r/>
    </w:p>
    <w:p>
      <w:pPr>
        <w:ind w:firstLine="480"/>
        <w:pageBreakBefore w:val="0"/>
        <w:spacing w:line="276" w:lineRule="auto"/>
        <w:widowControl w:val="off"/>
        <w:tabs>
          <w:tab w:val="left" w:pos="900" w:leader="none"/>
        </w:tabs>
        <w:rPr>
          <w:rFonts w:hint="eastAsia" w:ascii="宋体" w:hAnsi="宋体" w:eastAsia="宋体" w:cs="Times New Roman"/>
          <w:color w:val="000000"/>
          <w:sz w:val="24"/>
          <w:szCs w:val="24"/>
          <w:lang w:val="en-US" w:eastAsia="zh-CN"/>
        </w:rPr>
      </w:pPr>
      <w:r/>
      <w:bookmarkStart w:id="35" w:name="_Toc28359085"/>
      <w:r/>
      <w:bookmarkStart w:id="36" w:name="_Toc28359008"/>
      <w:r/>
      <w:bookmarkStart w:id="37" w:name="_Toc35393796"/>
      <w:r/>
      <w:bookmarkStart w:id="38" w:name="_Toc38985269"/>
      <w:r/>
      <w:bookmarkStart w:id="39" w:name="_Toc35393627"/>
      <w:r>
        <w:rPr>
          <w:rFonts w:hint="eastAsia" w:ascii="宋体" w:hAnsi="宋体" w:eastAsia="宋体" w:cs="Times New Roman"/>
          <w:color w:val="000000"/>
          <w:sz w:val="24"/>
          <w:szCs w:val="24"/>
          <w:lang w:val="en-US" w:eastAsia="zh-CN"/>
        </w:rPr>
        <w:t xml:space="preserve">1.本次谈判不收取谈判保证金。</w:t>
      </w:r>
      <w:r/>
    </w:p>
    <w:p>
      <w:pPr>
        <w:ind w:firstLine="480"/>
        <w:pageBreakBefore w:val="0"/>
        <w:spacing w:line="276" w:lineRule="auto"/>
        <w:widowControl w:val="off"/>
        <w:tabs>
          <w:tab w:val="left" w:pos="90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p>
    <w:p>
      <w:pPr>
        <w:ind w:firstLine="480"/>
        <w:pageBreakBefore w:val="0"/>
        <w:spacing w:line="276" w:lineRule="auto"/>
        <w:widowControl w:val="off"/>
        <w:tabs>
          <w:tab w:val="left" w:pos="90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pageBreakBefore w:val="0"/>
        <w:spacing w:line="276" w:lineRule="auto"/>
        <w:widowControl w:val="off"/>
        <w:tabs>
          <w:tab w:val="left" w:pos="90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4.有关本次谈判的事项若存在变动或修改，请及时关注“江苏政府采购网”（www.ccgp-jiangsu.gov.cn）更正公告。</w:t>
      </w:r>
      <w:r/>
    </w:p>
    <w:p>
      <w:pPr>
        <w:ind w:firstLine="480"/>
        <w:pageBreakBefore w:val="0"/>
        <w:spacing w:line="276" w:lineRule="auto"/>
        <w:widowControl w:val="off"/>
        <w:tabs>
          <w:tab w:val="left" w:pos="900" w:leader="none"/>
        </w:tabs>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b/>
          <w:bCs/>
          <w:color w:val="000000"/>
          <w:sz w:val="24"/>
          <w:szCs w:val="24"/>
          <w:lang w:val="zh-CN" w:eastAsia="zh-CN"/>
        </w:rPr>
        <w:t xml:space="preserve">供应商（含潜在供应商）对采购方式、采购需求、供应商资格条件、</w:t>
      </w:r>
      <w:r>
        <w:rPr>
          <w:rFonts w:hint="eastAsia" w:ascii="宋体" w:hAnsi="宋体" w:eastAsia="宋体" w:cs="Times New Roman"/>
          <w:b/>
          <w:bCs/>
          <w:color w:val="000000"/>
          <w:sz w:val="24"/>
          <w:szCs w:val="24"/>
          <w:lang w:val="en-US" w:eastAsia="zh-CN"/>
        </w:rPr>
        <w:t xml:space="preserve">成交</w:t>
      </w:r>
      <w:r>
        <w:rPr>
          <w:rFonts w:hint="eastAsia" w:ascii="宋体" w:hAnsi="宋体" w:eastAsia="宋体" w:cs="Times New Roman"/>
          <w:b/>
          <w:bCs/>
          <w:color w:val="000000"/>
          <w:sz w:val="24"/>
          <w:szCs w:val="24"/>
          <w:lang w:val="zh-CN" w:eastAsia="zh-CN"/>
        </w:rPr>
        <w:t xml:space="preserve">标准、合同文本的询问</w:t>
      </w:r>
      <w:r>
        <w:rPr>
          <w:rFonts w:hint="eastAsia" w:ascii="宋体" w:hAnsi="宋体" w:eastAsia="宋体" w:cs="Times New Roman"/>
          <w:b/>
          <w:bCs/>
          <w:color w:val="000000"/>
          <w:sz w:val="24"/>
          <w:szCs w:val="24"/>
          <w:lang w:val="en-US" w:eastAsia="zh-CN"/>
        </w:rPr>
        <w:t xml:space="preserve">或</w:t>
      </w:r>
      <w:r>
        <w:rPr>
          <w:rFonts w:hint="eastAsia" w:ascii="宋体" w:hAnsi="宋体" w:eastAsia="宋体" w:cs="Times New Roman"/>
          <w:b/>
          <w:bCs/>
          <w:color w:val="000000"/>
          <w:sz w:val="24"/>
          <w:szCs w:val="24"/>
          <w:lang w:val="zh-CN" w:eastAsia="zh-CN"/>
        </w:rPr>
        <w:t xml:space="preserve">质疑向采购人提出，由采购人负责答复。</w:t>
      </w:r>
      <w:r>
        <w:rPr>
          <w:rFonts w:hint="eastAsia" w:ascii="宋体" w:hAnsi="宋体" w:eastAsia="宋体" w:cs="Times New Roman"/>
          <w:b/>
          <w:bCs/>
          <w:color w:val="000000"/>
          <w:sz w:val="24"/>
          <w:szCs w:val="24"/>
          <w:lang w:val="en-US" w:eastAsia="zh-CN"/>
        </w:rPr>
        <w:t xml:space="preserve">供应商对上述事项以外</w:t>
      </w:r>
      <w:r>
        <w:rPr>
          <w:rFonts w:hint="eastAsia" w:ascii="宋体" w:hAnsi="宋体" w:eastAsia="宋体" w:cs="Times New Roman"/>
          <w:b/>
          <w:bCs/>
          <w:color w:val="000000"/>
          <w:sz w:val="24"/>
          <w:szCs w:val="24"/>
          <w:lang w:val="zh-CN" w:eastAsia="zh-CN"/>
        </w:rPr>
        <w:t xml:space="preserve">的询问</w:t>
      </w:r>
      <w:r>
        <w:rPr>
          <w:rFonts w:hint="eastAsia" w:ascii="宋体" w:hAnsi="宋体" w:eastAsia="宋体" w:cs="Times New Roman"/>
          <w:b/>
          <w:bCs/>
          <w:color w:val="000000"/>
          <w:sz w:val="24"/>
          <w:szCs w:val="24"/>
          <w:lang w:val="en-US" w:eastAsia="zh-CN"/>
        </w:rPr>
        <w:t xml:space="preserve">或</w:t>
      </w:r>
      <w:r>
        <w:rPr>
          <w:rFonts w:hint="eastAsia" w:ascii="宋体" w:hAnsi="宋体" w:eastAsia="宋体" w:cs="Times New Roman"/>
          <w:b/>
          <w:bCs/>
          <w:color w:val="000000"/>
          <w:sz w:val="24"/>
          <w:szCs w:val="24"/>
          <w:lang w:val="zh-CN" w:eastAsia="zh-CN"/>
        </w:rPr>
        <w:t xml:space="preserve">质疑向交易中心提出，由交易中心负责答复。</w:t>
      </w:r>
      <w:r/>
    </w:p>
    <w:p>
      <w:pPr>
        <w:ind w:firstLine="480"/>
        <w:pageBreakBefore w:val="0"/>
        <w:spacing w:line="276" w:lineRule="auto"/>
        <w:widowControl w:val="off"/>
        <w:tabs>
          <w:tab w:val="left" w:pos="900" w:leader="none"/>
        </w:tabs>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采购人《质疑函》收件人：</w:t>
      </w:r>
      <w:r>
        <w:rPr>
          <w:rFonts w:hint="eastAsia" w:ascii="宋体" w:hAnsi="宋体" w:eastAsia="宋体" w:cs="Times New Roman"/>
          <w:color w:val="000000"/>
          <w:sz w:val="24"/>
          <w:szCs w:val="24"/>
          <w:u w:val="none"/>
          <w:lang w:val="en-US" w:eastAsia="zh-CN"/>
        </w:rPr>
        <w:t xml:space="preserve">宋先生</w:t>
      </w:r>
      <w:r>
        <w:rPr>
          <w:rFonts w:hint="eastAsia" w:ascii="宋体" w:hAnsi="宋体" w:eastAsia="宋体" w:cs="Times New Roman"/>
          <w:color w:val="000000"/>
          <w:sz w:val="24"/>
          <w:szCs w:val="24"/>
          <w:lang w:val="en-US" w:eastAsia="zh-CN"/>
        </w:rPr>
        <w:t xml:space="preserve">，收件地址：</w:t>
      </w:r>
      <w:r>
        <w:rPr>
          <w:rFonts w:hint="eastAsia" w:ascii="宋体" w:hAnsi="宋体" w:eastAsia="宋体" w:cs="Times New Roman"/>
          <w:color w:val="000000"/>
          <w:sz w:val="24"/>
          <w:szCs w:val="24"/>
        </w:rPr>
        <w:t xml:space="preserve">南京市江宁区秣周东路9号B1栋</w:t>
      </w:r>
      <w:r>
        <w:rPr>
          <w:rFonts w:hint="eastAsia" w:ascii="宋体" w:hAnsi="宋体" w:eastAsia="宋体" w:cs="Times New Roman"/>
          <w:color w:val="000000"/>
          <w:sz w:val="24"/>
          <w:szCs w:val="24"/>
          <w:lang w:val="en-US" w:eastAsia="zh-CN"/>
        </w:rPr>
        <w:t xml:space="preserve">，联系电话：</w:t>
      </w:r>
      <w:r>
        <w:rPr>
          <w:rFonts w:hint="eastAsia" w:ascii="宋体" w:hAnsi="宋体" w:eastAsia="宋体" w:cs="Times New Roman"/>
          <w:color w:val="000000"/>
          <w:sz w:val="24"/>
          <w:szCs w:val="24"/>
          <w:u w:val="none"/>
          <w:lang w:val="en-US" w:eastAsia="zh-CN"/>
        </w:rPr>
        <w:t xml:space="preserve">19951683616</w:t>
      </w:r>
      <w:r>
        <w:rPr>
          <w:rFonts w:hint="eastAsia" w:ascii="宋体" w:hAnsi="宋体" w:eastAsia="宋体" w:cs="Times New Roman"/>
          <w:color w:val="000000"/>
          <w:sz w:val="24"/>
          <w:szCs w:val="24"/>
          <w:lang w:val="en-US" w:eastAsia="zh-CN"/>
        </w:rPr>
        <w:t xml:space="preserve">。</w:t>
      </w:r>
      <w:r/>
    </w:p>
    <w:p>
      <w:pPr>
        <w:ind w:firstLine="480"/>
        <w:pageBreakBefore w:val="0"/>
        <w:spacing w:line="276" w:lineRule="auto"/>
        <w:widowControl w:val="off"/>
        <w:tabs>
          <w:tab w:val="left" w:pos="90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交易中心《质疑函》收件人：南京市公共资源交易中心政府</w:t>
      </w:r>
      <w:r>
        <w:rPr>
          <w:rFonts w:hint="eastAsia" w:ascii="宋体" w:hAnsi="宋体" w:eastAsia="宋体" w:cs="Times New Roman"/>
          <w:color w:val="000000"/>
          <w:sz w:val="24"/>
          <w:szCs w:val="24"/>
          <w:lang w:val="en-US" w:eastAsia="zh-CN"/>
        </w:rPr>
        <w:t xml:space="preserve">集中</w:t>
      </w:r>
      <w:r>
        <w:rPr>
          <w:rFonts w:hint="eastAsia" w:ascii="宋体" w:hAnsi="宋体" w:eastAsia="宋体" w:cs="Times New Roman"/>
          <w:color w:val="000000"/>
          <w:sz w:val="24"/>
          <w:szCs w:val="24"/>
          <w:lang w:val="zh-CN" w:eastAsia="zh-CN"/>
        </w:rPr>
        <w:t xml:space="preserve">采购</w:t>
      </w:r>
      <w:r>
        <w:rPr>
          <w:rFonts w:hint="eastAsia" w:ascii="宋体" w:hAnsi="宋体" w:eastAsia="宋体" w:cs="Times New Roman"/>
          <w:color w:val="000000"/>
          <w:sz w:val="24"/>
          <w:szCs w:val="24"/>
          <w:lang w:val="en-US" w:eastAsia="zh-CN"/>
        </w:rPr>
        <w:t xml:space="preserve">处</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收件</w:t>
      </w:r>
      <w:r>
        <w:rPr>
          <w:rFonts w:hint="eastAsia" w:ascii="宋体" w:hAnsi="宋体" w:eastAsia="宋体" w:cs="Times New Roman"/>
          <w:color w:val="000000"/>
          <w:sz w:val="24"/>
          <w:szCs w:val="24"/>
          <w:lang w:val="zh-CN" w:eastAsia="zh-CN"/>
        </w:rPr>
        <w:t xml:space="preserve">地址：南京市江东中路265号南京市公共资源交易中心北门，联系电话：025-68505926。</w:t>
      </w:r>
      <w:r/>
    </w:p>
    <w:p>
      <w:pPr>
        <w:pStyle w:val="880"/>
        <w:ind w:firstLine="465"/>
        <w:pageBreakBefore w:val="0"/>
        <w:spacing w:before="145" w:after="145" w:line="276"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七、本次谈判联系方式</w:t>
      </w:r>
      <w:bookmarkEnd w:id="35"/>
      <w:r/>
      <w:bookmarkEnd w:id="36"/>
      <w:r/>
      <w:bookmarkEnd w:id="37"/>
      <w:r/>
      <w:bookmarkEnd w:id="38"/>
      <w:r/>
      <w:bookmarkEnd w:id="39"/>
      <w:r/>
      <w:r/>
    </w:p>
    <w:p>
      <w:pPr>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p>
    <w:p>
      <w:pPr>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w:t>
      </w:r>
      <w:r>
        <w:rPr>
          <w:rFonts w:hint="eastAsia" w:ascii="宋体" w:hAnsi="宋体" w:eastAsia="宋体" w:cs="Times New Roman"/>
          <w:color w:val="000000"/>
          <w:sz w:val="24"/>
          <w:szCs w:val="24"/>
        </w:rPr>
        <w:t xml:space="preserve">紫金山实验室</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rPr>
        <w:t xml:space="preserve">南京市江宁区秣周东路9号B1栋</w:t>
      </w:r>
      <w:r/>
    </w:p>
    <w:p>
      <w:pPr>
        <w:ind w:firstLine="480"/>
        <w:pageBreakBefore w:val="0"/>
        <w:spacing w:line="276"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联系人：宋先生</w:t>
      </w:r>
      <w:r/>
    </w:p>
    <w:p>
      <w:pPr>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19951683616</w:t>
      </w:r>
      <w:r/>
    </w:p>
    <w:p>
      <w:pPr>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
    </w:p>
    <w:p>
      <w:pPr>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76"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p>
    <w:p>
      <w:pPr>
        <w:ind w:firstLine="480"/>
        <w:pageBreakBefore w:val="0"/>
        <w:spacing w:line="276"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w:t>
      </w:r>
      <w:r/>
    </w:p>
    <w:p>
      <w:pPr>
        <w:ind w:firstLine="480"/>
        <w:pageBreakBefore w:val="0"/>
        <w:spacing w:line="252" w:lineRule="auto"/>
        <w:widowControl w:val="off"/>
        <w:rPr>
          <w:rFonts w:hint="eastAsia" w:ascii="宋体" w:hAnsi="宋体" w:eastAsia="宋体" w:cs="Times New Roman"/>
          <w:color w:val="0000ff"/>
          <w:sz w:val="24"/>
          <w:szCs w:val="24"/>
          <w:highlight w:val="none"/>
          <w:u w:val="none"/>
          <w:lang w:val="en-US" w:eastAsia="zh-CN"/>
        </w:rPr>
      </w:pPr>
      <w:r>
        <w:rPr>
          <w:rFonts w:hint="eastAsia" w:ascii="宋体" w:hAnsi="宋体" w:eastAsia="宋体" w:cs="Times New Roman"/>
          <w:color w:val="0000ff"/>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color w:val="0000ff"/>
          <w:sz w:val="24"/>
          <w:szCs w:val="24"/>
          <w:u w:val="none"/>
          <w:lang w:val="en-US" w:eastAsia="zh-CN"/>
        </w:rPr>
      </w:r>
      <w:r>
        <w:rPr>
          <w:rFonts w:hint="eastAsia" w:ascii="宋体" w:hAnsi="宋体" w:eastAsia="宋体" w:cs="Times New Roman"/>
          <w:color w:val="0000ff"/>
          <w:sz w:val="24"/>
          <w:szCs w:val="24"/>
          <w:u w:val="none"/>
          <w:lang w:val="en-US" w:eastAsia="zh-CN"/>
        </w:rPr>
      </w:r>
      <w:r/>
    </w:p>
    <w:p>
      <w:pPr>
        <w:ind w:firstLine="480"/>
        <w:pageBreakBefore w:val="0"/>
        <w:spacing w:line="252"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color w:val="0000ff"/>
          <w:sz w:val="24"/>
          <w:szCs w:val="24"/>
          <w:u w:val="none"/>
          <w:lang w:val="en-US" w:eastAsia="zh-CN"/>
        </w:rPr>
      </w:r>
      <w:r>
        <w:rPr>
          <w:rFonts w:hint="eastAsia" w:ascii="宋体" w:hAnsi="宋体" w:eastAsia="宋体" w:cs="Times New Roman"/>
          <w:color w:val="0000ff"/>
          <w:sz w:val="24"/>
          <w:szCs w:val="24"/>
          <w:u w:val="none"/>
          <w:lang w:val="en-US" w:eastAsia="zh-CN"/>
        </w:rPr>
      </w:r>
      <w:r/>
    </w:p>
    <w:p>
      <w:pPr>
        <w:ind w:firstLine="480"/>
        <w:pageBreakBefore w:val="0"/>
        <w:spacing w:line="252"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color w:val="0000ff"/>
          <w:sz w:val="24"/>
          <w:szCs w:val="24"/>
          <w:highlight w:val="none"/>
          <w:u w:val="none"/>
          <w:lang w:val="en-US" w:eastAsia="zh-CN"/>
        </w:rPr>
      </w:r>
      <w:r>
        <w:rPr>
          <w:rFonts w:hint="eastAsia" w:ascii="宋体" w:hAnsi="宋体" w:eastAsia="宋体" w:cs="Times New Roman"/>
          <w:color w:val="0000ff"/>
          <w:sz w:val="24"/>
          <w:szCs w:val="24"/>
          <w:highlight w:val="none"/>
          <w:u w:val="none"/>
          <w:lang w:val="en-US" w:eastAsia="zh-CN"/>
        </w:rPr>
      </w:r>
      <w:r/>
    </w:p>
    <w:p>
      <w:pPr>
        <w:pStyle w:val="890"/>
        <w:rPr>
          <w:rFonts w:hint="eastAsia" w:ascii="宋体" w:hAnsi="宋体" w:eastAsia="宋体" w:cs="Times New Roman"/>
          <w:color w:val="0000ff"/>
          <w:sz w:val="24"/>
          <w:szCs w:val="24"/>
          <w:u w:val="none"/>
          <w:lang w:val="en-US" w:eastAsia="zh-CN"/>
        </w:rPr>
      </w:pPr>
      <w:r>
        <w:rPr>
          <w:rFonts w:hint="eastAsia" w:ascii="宋体" w:hAnsi="宋体" w:eastAsia="宋体" w:cs="Times New Roman"/>
          <w:color w:val="0000ff"/>
          <w:sz w:val="24"/>
          <w:szCs w:val="24"/>
          <w:u w:val="none"/>
          <w:lang w:val="en-US" w:eastAsia="zh-CN"/>
        </w:rPr>
      </w:r>
      <w:r/>
    </w:p>
    <w:p>
      <w:pPr>
        <w:ind w:right="840"/>
        <w:jc w:val="center"/>
        <w:rPr>
          <w:rFonts w:hint="eastAsia" w:ascii="方正小标宋简体" w:hAnsi="方正小标宋简体" w:eastAsia="方正小标宋简体" w:cs="方正小标宋简体"/>
          <w:color w:val="000000"/>
          <w:sz w:val="36"/>
          <w:szCs w:val="36"/>
        </w:rPr>
        <w:outlineLvl w:val="0"/>
      </w:pPr>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rPr>
        <w:t xml:space="preserve">供应商须知</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3" w:name="_Toc513029203"/>
      <w:r/>
      <w:bookmarkStart w:id="44" w:name="_Toc120614214"/>
      <w:r/>
      <w:bookmarkStart w:id="45" w:name="_Toc20823275"/>
      <w:r/>
      <w:bookmarkStart w:id="46" w:name="_Toc16938519"/>
      <w:r>
        <w:rPr>
          <w:rFonts w:hint="eastAsia" w:ascii="方正黑体_GBK" w:hAnsi="方正黑体_GBK" w:eastAsia="方正黑体_GBK" w:cs="方正黑体_GBK"/>
          <w:b w:val="0"/>
          <w:bCs w:val="0"/>
          <w:color w:val="000000"/>
          <w:sz w:val="30"/>
          <w:szCs w:val="30"/>
        </w:rPr>
        <w:t xml:space="preserve">一、总则</w:t>
      </w:r>
      <w:bookmarkEnd w:id="43"/>
      <w:r/>
      <w:bookmarkEnd w:id="44"/>
      <w:r/>
      <w:bookmarkEnd w:id="45"/>
      <w:r/>
      <w:bookmarkEnd w:id="46"/>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47" w:name="_Hlt16619475"/>
      <w:r/>
      <w:bookmarkEnd w:id="47"/>
      <w:r/>
      <w:bookmarkStart w:id="48" w:name="_Toc458694821"/>
      <w:r/>
      <w:bookmarkStart w:id="49" w:name="_Toc16938520"/>
      <w:r/>
      <w:bookmarkStart w:id="50" w:name="_Toc20823276"/>
      <w:r/>
      <w:bookmarkStart w:id="51" w:name="_Toc513029204"/>
      <w:r>
        <w:rPr>
          <w:rFonts w:hint="eastAsia" w:ascii="方正楷体_GBK" w:hAnsi="方正楷体_GBK" w:eastAsia="方正楷体_GBK" w:cs="方正楷体_GBK"/>
          <w:b/>
          <w:bCs/>
        </w:rPr>
        <w:t xml:space="preserve">1</w:t>
      </w:r>
      <w:bookmarkEnd w:id="48"/>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采购方式</w:t>
      </w:r>
      <w:bookmarkEnd w:id="49"/>
      <w:r/>
      <w:bookmarkEnd w:id="50"/>
      <w:r/>
      <w:bookmarkEnd w:id="51"/>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1.1 本次政府采购活动采取竞争性谈判</w:t>
      </w:r>
      <w:r>
        <w:rPr>
          <w:rFonts w:hint="eastAsia" w:ascii="宋体" w:hAnsi="宋体" w:eastAsia="宋体" w:cs="Times New Roman"/>
          <w:color w:val="000000"/>
          <w:sz w:val="24"/>
          <w:szCs w:val="21"/>
        </w:rPr>
        <w:t xml:space="preserve">(以下简称</w:t>
      </w:r>
      <w:r>
        <w:rPr>
          <w:rFonts w:hint="eastAsia" w:ascii="宋体" w:hAnsi="宋体" w:eastAsia="宋体" w:cs="Times New Roman"/>
          <w:color w:val="000000"/>
          <w:sz w:val="24"/>
          <w:szCs w:val="21"/>
          <w:lang w:eastAsia="zh-CN"/>
        </w:rPr>
        <w:t xml:space="preserve">“谈判”</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lang w:eastAsia="zh-CN"/>
        </w:rPr>
        <w:t xml:space="preserve">方式，本文件仅适用于</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公告中所述项目。</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52" w:name="_Toc16938521"/>
      <w:r/>
      <w:bookmarkStart w:id="53" w:name="_Toc20823277"/>
      <w:r/>
      <w:bookmarkStart w:id="54"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w:t>
      </w:r>
      <w:bookmarkEnd w:id="52"/>
      <w:r/>
      <w:bookmarkEnd w:id="53"/>
      <w:r/>
      <w:bookmarkEnd w:id="54"/>
      <w:r>
        <w:rPr>
          <w:rFonts w:hint="eastAsia" w:ascii="方正楷体_GBK" w:hAnsi="方正楷体_GBK" w:eastAsia="方正楷体_GBK" w:cs="方正楷体_GBK"/>
          <w:b/>
          <w:bCs/>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满足</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公告对供应商资格要求的规定。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2.2 满足谈判文件规定的实质性要求和条件。</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55" w:name="_Toc20823278"/>
      <w:r/>
      <w:bookmarkStart w:id="56" w:name="_Toc16938522"/>
      <w:r/>
      <w:bookmarkStart w:id="57"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55"/>
      <w:r/>
      <w:bookmarkEnd w:id="56"/>
      <w:r/>
      <w:bookmarkEnd w:id="57"/>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3.1 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及由此产生的合同受中华人民共和国有关的法律法规制约和保护。</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58" w:name="_Toc462564067"/>
      <w:r/>
      <w:bookmarkStart w:id="59" w:name="_Toc20823279"/>
      <w:r/>
      <w:bookmarkStart w:id="60" w:name="_Toc513029207"/>
      <w:r/>
      <w:bookmarkStart w:id="61" w:name="_Toc16938523"/>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谈判费用</w:t>
      </w:r>
      <w:bookmarkEnd w:id="58"/>
      <w:r/>
      <w:bookmarkEnd w:id="59"/>
      <w:r/>
      <w:bookmarkEnd w:id="60"/>
      <w:r/>
      <w:bookmarkEnd w:id="61"/>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供应商应自行承担所有与参加本次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有关的费用，无论</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过程中的做法和结果如何，交易中心在任何情况下均无义务和责任承担这些费用。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交易中心和采购人不收取谈判文件工本费与成交服务费。</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供应商一旦参加本项目采购活动，即被认为接受了本文件的规定和约束。</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2" w:name="_Toc513029209"/>
      <w:r/>
      <w:bookmarkStart w:id="63" w:name="_Toc20823281"/>
      <w:r/>
      <w:bookmarkStart w:id="64" w:name="_Toc16938525"/>
      <w:r/>
      <w:bookmarkStart w:id="65" w:name="_Toc120614215"/>
      <w:r>
        <w:rPr>
          <w:rFonts w:hint="eastAsia" w:ascii="方正黑体_GBK" w:hAnsi="方正黑体_GBK" w:eastAsia="方正黑体_GBK" w:cs="方正黑体_GBK"/>
          <w:b w:val="0"/>
          <w:bCs w:val="0"/>
          <w:color w:val="000000"/>
          <w:sz w:val="30"/>
          <w:szCs w:val="30"/>
        </w:rPr>
        <w:t xml:space="preserve">二、</w:t>
      </w:r>
      <w:bookmarkEnd w:id="62"/>
      <w:r/>
      <w:bookmarkEnd w:id="63"/>
      <w:r/>
      <w:bookmarkEnd w:id="64"/>
      <w:r/>
      <w:bookmarkEnd w:id="65"/>
      <w:r>
        <w:rPr>
          <w:rFonts w:hint="eastAsia" w:ascii="方正黑体_GBK" w:hAnsi="方正黑体_GBK" w:eastAsia="方正黑体_GBK" w:cs="方正黑体_GBK"/>
          <w:b w:val="0"/>
          <w:bCs w:val="0"/>
          <w:color w:val="000000"/>
          <w:sz w:val="30"/>
          <w:szCs w:val="30"/>
        </w:rPr>
        <w:t xml:space="preserve">谈判文件</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66" w:name="_Toc513029210"/>
      <w:r/>
      <w:bookmarkStart w:id="67" w:name="_Toc20823282"/>
      <w:r/>
      <w:bookmarkStart w:id="68"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谈判文件构成</w:t>
      </w:r>
      <w:bookmarkEnd w:id="66"/>
      <w:r/>
      <w:bookmarkEnd w:id="67"/>
      <w:r/>
      <w:bookmarkEnd w:id="68"/>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谈判文件由以下部分组成：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（1）谈判邀请</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（5）成交标准</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供应商应仔细检查谈判文件是否齐全，如有缺漏请立即与交易中心联系解决。</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69" w:name="_Toc16938527"/>
      <w:r/>
      <w:bookmarkStart w:id="70" w:name="_Toc20823283"/>
      <w:r/>
      <w:bookmarkStart w:id="71" w:name="_Toc462564070"/>
      <w:r/>
      <w:bookmarkStart w:id="72"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谈判文件的澄清</w:t>
      </w:r>
      <w:bookmarkEnd w:id="69"/>
      <w:r/>
      <w:bookmarkEnd w:id="70"/>
      <w:r/>
      <w:bookmarkEnd w:id="71"/>
      <w:r/>
      <w:bookmarkEnd w:id="72"/>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任何要求对谈判文件进行澄清的供应商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应在谈判截止期</w:t>
      </w:r>
      <w:r>
        <w:rPr>
          <w:rFonts w:hint="eastAsia" w:ascii="宋体" w:hAnsi="宋体" w:eastAsia="宋体" w:cs="Times New Roman"/>
          <w:color w:val="000000"/>
          <w:sz w:val="24"/>
          <w:lang w:eastAsia="zh-CN"/>
        </w:rPr>
        <w:t xml:space="preserve">五</w:t>
      </w:r>
      <w:r>
        <w:rPr>
          <w:rFonts w:hint="eastAsia" w:ascii="宋体" w:hAnsi="宋体" w:eastAsia="宋体" w:cs="Times New Roman"/>
          <w:color w:val="000000"/>
          <w:sz w:val="24"/>
        </w:rPr>
        <w:t xml:space="preserve">日前按</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rPr>
        <w:t xml:space="preserve">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73" w:name="_Toc513029212"/>
      <w:r/>
      <w:bookmarkStart w:id="74" w:name="_Toc16938528"/>
      <w:r/>
      <w:bookmarkStart w:id="75" w:name="_Toc462564071"/>
      <w:r/>
      <w:bookmarkStart w:id="76" w:name="_Toc20823284"/>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谈判文件的修改</w:t>
      </w:r>
      <w:bookmarkEnd w:id="73"/>
      <w:r/>
      <w:bookmarkEnd w:id="74"/>
      <w:r/>
      <w:bookmarkEnd w:id="75"/>
      <w:r/>
      <w:bookmarkEnd w:id="76"/>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bookmarkStart w:id="77" w:name="_Toc120614216"/>
      <w:r/>
      <w:bookmarkStart w:id="78" w:name="_Toc513029213"/>
      <w:r/>
      <w:bookmarkStart w:id="79" w:name="_Toc462564072"/>
      <w:r/>
      <w:bookmarkStart w:id="80" w:name="_Toc16938529"/>
      <w:r/>
      <w:bookmarkStart w:id="81" w:name="_Toc20823285"/>
      <w:r>
        <w:rPr>
          <w:rFonts w:hint="eastAsia" w:ascii="宋体" w:hAnsi="宋体" w:eastAsia="宋体" w:cs="Times New Roman"/>
          <w:color w:val="000000"/>
          <w:sz w:val="24"/>
          <w:lang w:eastAsia="zh-CN"/>
        </w:rPr>
        <w:t xml:space="preserve">8.1 在响应文件提交截止时间前，交易中心可以对谈判文件进行修改。谈判文件的修改将在原公告媒体发布更正公告，更正内容将作为谈判文件的组成部分，并对供应商具有约束力。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供应商应在提交响应文件截止时间前，关注原公告媒体有关本项目的更正公告，根据更正公告内容自行决定是否需要重新制作和提交响应文件，并承担由此产生的相应责任。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交易中心有权按照法定要求推迟提交响应文件截止时间，并在原公告媒体发布更正公告。</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77"/>
      <w:r/>
      <w:bookmarkEnd w:id="78"/>
      <w:r/>
      <w:bookmarkEnd w:id="79"/>
      <w:r/>
      <w:bookmarkEnd w:id="80"/>
      <w:r/>
      <w:bookmarkEnd w:id="81"/>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20823286"/>
      <w:r/>
      <w:bookmarkStart w:id="83" w:name="_Toc16938530"/>
      <w:r/>
      <w:bookmarkStart w:id="84" w:name="_Toc462564073"/>
      <w:r/>
      <w:bookmarkStart w:id="85"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响应文件的语言及度量衡单位</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供应商提交的响应文件以及供应商与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就有关谈判的所有来往通知、函件和文件均应使用简体中文。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响应文件所使用的度量衡单位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86" w:name="_Toc20823287"/>
      <w:r/>
      <w:bookmarkStart w:id="87" w:name="_Toc513029215"/>
      <w:r/>
      <w:bookmarkStart w:id="88" w:name="_Toc16938531"/>
      <w:r/>
      <w:bookmarkStart w:id="89"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响应文件构成</w:t>
      </w:r>
      <w:bookmarkEnd w:id="86"/>
      <w:r/>
      <w:bookmarkEnd w:id="87"/>
      <w:r/>
      <w:bookmarkEnd w:id="88"/>
      <w:r/>
      <w:bookmarkEnd w:id="89"/>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供应商编写的响应文件应包括资格证明文件、符合性证明文件、分项报价表、响应及偏离表、其他证明文件、谈判响应函等部分。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如标书制作工具中格式和内容与“江苏政府采购网”发布的谈判文件不一致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以“江苏政府采购网”发布的谈判文件为准。</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90" w:name="_Hlt26670360"/>
      <w:r/>
      <w:bookmarkEnd w:id="90"/>
      <w:r/>
      <w:bookmarkStart w:id="91" w:name="_Hlt26668975"/>
      <w:r/>
      <w:bookmarkEnd w:id="91"/>
      <w:r/>
      <w:bookmarkStart w:id="92" w:name="_Hlt26954838"/>
      <w:r/>
      <w:bookmarkEnd w:id="92"/>
      <w:r/>
      <w:bookmarkStart w:id="93" w:name="_Toc513029219"/>
      <w:r/>
      <w:bookmarkStart w:id="94" w:name="_Toc49090509"/>
      <w:r/>
      <w:bookmarkStart w:id="95" w:name="_Toc14577357"/>
      <w:r/>
      <w:bookmarkStart w:id="96" w:name="_Toc49090507"/>
      <w:r/>
      <w:bookmarkStart w:id="97" w:name="_Toc513029216"/>
      <w:r/>
      <w:bookmarkStart w:id="98" w:name="_Toc14577354"/>
      <w:r/>
      <w:bookmarkStart w:id="99" w:name="_Toc49090508"/>
      <w:r/>
      <w:bookmarkStart w:id="100" w:name="_Toc14577355"/>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证明谈判响应标的符合谈判文件规定的文件</w:t>
      </w:r>
      <w:bookmarkEnd w:id="93"/>
      <w:r/>
      <w:bookmarkEnd w:id="94"/>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供应商应按照法律、法规、规章和规范性文件以及谈判</w:t>
      </w:r>
      <w:r>
        <w:rPr>
          <w:rFonts w:hint="eastAsia" w:ascii="宋体" w:hAnsi="宋体" w:eastAsia="宋体" w:cs="Times New Roman"/>
          <w:color w:val="000000"/>
          <w:sz w:val="24"/>
          <w:lang w:eastAsia="zh-CN"/>
        </w:rPr>
        <w:t xml:space="preserve">文件</w:t>
      </w:r>
      <w:r>
        <w:rPr>
          <w:rFonts w:hint="eastAsia" w:ascii="宋体" w:hAnsi="宋体" w:eastAsia="宋体" w:cs="Times New Roman"/>
          <w:color w:val="000000"/>
          <w:sz w:val="24"/>
        </w:rPr>
        <w:t xml:space="preserve">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证明其响应标的符合</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谈判文件对证明文件无明确形式要求的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bookmarkEnd w:id="99"/>
      <w:r/>
      <w:bookmarkEnd w:id="100"/>
      <w:r/>
      <w:r/>
    </w:p>
    <w:p>
      <w:pPr>
        <w:pStyle w:val="882"/>
        <w:ind w:firstLine="422"/>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分项报价表</w:t>
      </w:r>
      <w:r>
        <w:rPr>
          <w:rFonts w:hint="eastAsia" w:ascii="方正楷体_GBK" w:hAnsi="方正楷体_GBK" w:eastAsia="方正楷体_GBK" w:cs="方正楷体_GBK"/>
          <w:b/>
          <w:bCs/>
          <w:color w:val="000000"/>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供应商应按照谈判文件规定格式填报分项报价表。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响应文件中的单价和总价无特殊规定的采用人民币报价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以元为单位标注。谈判文件另有规定的按规定执行。</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01" w:name="_Hlt26670482"/>
      <w:r/>
      <w:bookmarkEnd w:id="101"/>
      <w:r/>
      <w:bookmarkStart w:id="102" w:name="_Hlt26954848"/>
      <w:r/>
      <w:bookmarkEnd w:id="102"/>
      <w:r/>
      <w:bookmarkStart w:id="103" w:name="_Hlt26670486"/>
      <w:r/>
      <w:bookmarkEnd w:id="103"/>
      <w:r/>
      <w:bookmarkStart w:id="104" w:name="_Hlt26954846"/>
      <w:r/>
      <w:bookmarkEnd w:id="104"/>
      <w:r/>
      <w:bookmarkStart w:id="105" w:name="_Hlt26954731"/>
      <w:r/>
      <w:bookmarkEnd w:id="105"/>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供应商需对谈判文件中的技术要求与商务要求逐项作出响应或偏离说明。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供应商可在响应文件中提供认为需要的其他技术文件或说明。</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06" w:name="_Toc49090510"/>
      <w:r/>
      <w:bookmarkStart w:id="107" w:name="_Toc1457735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谈判响应函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供应商应按照谈判文件规定格式完整、正确填报谈判响应函。</w:t>
      </w:r>
      <w:bookmarkEnd w:id="106"/>
      <w:r/>
      <w:bookmarkEnd w:id="107"/>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08" w:name="_Toc14577360"/>
      <w:r/>
      <w:bookmarkStart w:id="109" w:name="_Toc49090511"/>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谈判有效期</w:t>
      </w:r>
      <w:bookmarkEnd w:id="108"/>
      <w:r/>
      <w:bookmarkEnd w:id="109"/>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谈判有效期为</w:t>
      </w:r>
      <w:r>
        <w:rPr>
          <w:rFonts w:hint="eastAsia" w:ascii="宋体" w:hAnsi="宋体" w:eastAsia="宋体" w:cs="Times New Roman"/>
          <w:color w:val="000000"/>
          <w:sz w:val="24"/>
          <w:lang w:val="zh-CN" w:eastAsia="zh-CN"/>
        </w:rPr>
        <w:t xml:space="preserve">谈判公告</w:t>
      </w:r>
      <w:r>
        <w:rPr>
          <w:rFonts w:hint="eastAsia" w:ascii="宋体" w:hAnsi="宋体" w:eastAsia="宋体" w:cs="Times New Roman"/>
          <w:color w:val="000000"/>
          <w:sz w:val="24"/>
          <w:lang w:val="zh-CN"/>
        </w:rPr>
        <w:t xml:space="preserve">规定的提交响应文件截止之日</w:t>
      </w:r>
      <w:r>
        <w:rPr>
          <w:rFonts w:hint="eastAsia" w:ascii="宋体" w:hAnsi="宋体" w:eastAsia="宋体" w:cs="Times New Roman"/>
          <w:color w:val="000000"/>
          <w:sz w:val="24"/>
          <w:lang w:val="zh-CN" w:eastAsia="zh-CN"/>
        </w:rPr>
        <w:t xml:space="preserve">起</w:t>
      </w:r>
      <w:r>
        <w:rPr>
          <w:rFonts w:hint="eastAsia" w:ascii="宋体" w:hAnsi="宋体" w:eastAsia="宋体" w:cs="Times New Roman"/>
          <w:color w:val="000000"/>
          <w:sz w:val="24"/>
          <w:lang w:val="zh-CN"/>
        </w:rPr>
        <w:t xml:space="preserve">六十天。谈判有效期比规定短的将被视为未实质性响应谈判文件而被拒绝。</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6.</w:t>
      </w:r>
      <w:r>
        <w:rPr>
          <w:rFonts w:hint="eastAsia" w:ascii="方正楷体_GBK" w:hAnsi="方正楷体_GBK" w:eastAsia="方正楷体_GBK" w:cs="方正楷体_GBK"/>
          <w:b/>
          <w:bCs/>
        </w:rPr>
        <w:t xml:space="preserve">谈判有效期的延长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的这一要求而放弃谈判</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t xml:space="preserve">同意延长谈判有效期的供应商既不能要求也不允许修改其响应文件</w:t>
      </w:r>
      <w:r>
        <w:rPr>
          <w:rFonts w:hint="eastAsia" w:ascii="宋体" w:hAnsi="宋体" w:eastAsia="宋体" w:cs="Times New Roman"/>
          <w:color w:val="000000"/>
          <w:sz w:val="24"/>
          <w:lang w:val="zh-CN" w:eastAsia="zh-CN"/>
        </w:rPr>
        <w:t xml:space="preserve">，同时</w:t>
      </w:r>
      <w:r>
        <w:rPr>
          <w:rFonts w:hint="eastAsia" w:ascii="宋体" w:hAnsi="宋体" w:eastAsia="宋体" w:cs="Times New Roman"/>
          <w:color w:val="000000"/>
          <w:sz w:val="24"/>
          <w:lang w:val="zh-CN"/>
        </w:rPr>
        <w:t xml:space="preserve">受谈判有效期约束的所有权利与义务均延长至新的有效期</w:t>
      </w:r>
      <w:r>
        <w:rPr>
          <w:rFonts w:hint="eastAsia" w:ascii="宋体" w:hAnsi="宋体" w:eastAsia="宋体" w:cs="Times New Roman"/>
          <w:color w:val="000000"/>
          <w:sz w:val="24"/>
          <w:lang w:val="zh-CN" w:eastAsia="zh-CN"/>
        </w:rPr>
        <w:t xml:space="preserve">满</w:t>
      </w:r>
      <w:r>
        <w:rPr>
          <w:rFonts w:hint="eastAsia" w:ascii="宋体" w:hAnsi="宋体" w:eastAsia="宋体" w:cs="Times New Roman"/>
          <w:color w:val="000000"/>
          <w:sz w:val="24"/>
          <w:lang w:val="zh-CN"/>
        </w:rPr>
        <w:t xml:space="preserve">。</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10" w:name="_Hlt26954852"/>
      <w:r/>
      <w:bookmarkEnd w:id="110"/>
      <w:r/>
      <w:bookmarkStart w:id="111" w:name="_Hlt26954739"/>
      <w:r/>
      <w:bookmarkEnd w:id="111"/>
      <w:r/>
      <w:bookmarkStart w:id="112" w:name="_Toc513029224"/>
      <w:r/>
      <w:bookmarkStart w:id="113" w:name="_Toc120614217"/>
      <w:r/>
      <w:bookmarkStart w:id="114" w:name="_Toc20823296"/>
      <w:r/>
      <w:bookmarkStart w:id="115" w:name="_Toc16938540"/>
      <w:r>
        <w:rPr>
          <w:rFonts w:hint="eastAsia" w:ascii="方正黑体_GBK" w:hAnsi="方正黑体_GBK" w:eastAsia="方正黑体_GBK" w:cs="方正黑体_GBK"/>
          <w:b w:val="0"/>
          <w:bCs w:val="0"/>
          <w:color w:val="000000"/>
          <w:sz w:val="30"/>
          <w:szCs w:val="30"/>
        </w:rPr>
        <w:t xml:space="preserve">四、响应文件的递交</w:t>
      </w:r>
      <w:bookmarkEnd w:id="112"/>
      <w:r/>
      <w:bookmarkEnd w:id="113"/>
      <w:r/>
      <w:bookmarkEnd w:id="114"/>
      <w:r/>
      <w:bookmarkEnd w:id="115"/>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16" w:name="_Toc513029225"/>
      <w:r/>
      <w:bookmarkStart w:id="117" w:name="_Toc462564084"/>
      <w:r/>
      <w:bookmarkStart w:id="118" w:name="_Toc16938541"/>
      <w:r/>
      <w:bookmarkStart w:id="119" w:name="_Toc2082329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谈判</w:t>
      </w:r>
      <w:bookmarkEnd w:id="116"/>
      <w:r/>
      <w:bookmarkEnd w:id="117"/>
      <w:r/>
      <w:bookmarkEnd w:id="118"/>
      <w:r/>
      <w:bookmarkEnd w:id="119"/>
      <w:r>
        <w:rPr>
          <w:rFonts w:hint="eastAsia" w:ascii="方正楷体_GBK" w:hAnsi="方正楷体_GBK" w:eastAsia="方正楷体_GBK" w:cs="方正楷体_GBK"/>
          <w:b/>
          <w:bCs/>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供应商应当按照《操作手册》规定，在</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公告规定的提交响应文件截止时间前制作并上传电子响应文件。</w:t>
      </w:r>
      <w:bookmarkStart w:id="120" w:name="_Toc20823298"/>
      <w:r/>
      <w:bookmarkStart w:id="121" w:name="_Toc16938542"/>
      <w:r/>
      <w:bookmarkStart w:id="122" w:name="_Toc513029226"/>
      <w:r/>
      <w:bookmarkEnd w:id="120"/>
      <w:r/>
      <w:bookmarkEnd w:id="121"/>
      <w:r/>
      <w:bookmarkEnd w:id="122"/>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eastAsia="zh-CN"/>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lang w:val="zh-CN" w:eastAsia="zh-CN"/>
        </w:rPr>
        <w:t xml:space="preserve">，如因供应商自身原因造成的电子响应文件上传不成功</w:t>
      </w:r>
      <w:r>
        <w:rPr>
          <w:rFonts w:hint="eastAsia" w:ascii="宋体" w:hAnsi="宋体" w:eastAsia="宋体" w:cs="Times New Roman"/>
          <w:color w:val="000000"/>
          <w:sz w:val="24"/>
          <w:szCs w:val="22"/>
          <w:lang w:val="zh-CN"/>
        </w:rPr>
        <w:t xml:space="preserve">由供应商自行承担全部责任</w:t>
      </w:r>
      <w:r>
        <w:rPr>
          <w:rFonts w:hint="eastAsia" w:ascii="宋体" w:hAnsi="宋体" w:eastAsia="宋体" w:cs="Times New Roman"/>
          <w:color w:val="000000"/>
          <w:sz w:val="24"/>
          <w:lang w:val="zh-CN" w:eastAsia="zh-CN"/>
        </w:rPr>
        <w:t xml:space="preserve">，并按照本谈判文件第二章第2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 交易中心可以按照规定，通过修改谈判文件酌情延长提交响应文件截止时间，在此情况下，供应商的所有权利和义务均以延长后新的截止时间为准。</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23" w:name="_Toc20823299"/>
      <w:r/>
      <w:bookmarkStart w:id="124" w:name="_Toc16938543"/>
      <w:r/>
      <w:bookmarkStart w:id="125" w:name="_Toc513029227"/>
      <w:r>
        <w:rPr>
          <w:rFonts w:hint="eastAsia" w:ascii="方正楷体_GBK" w:hAnsi="方正楷体_GBK" w:eastAsia="方正楷体_GBK" w:cs="方正楷体_GBK"/>
          <w:b/>
          <w:bCs/>
          <w:lang w:val="en-US" w:eastAsia="zh-CN"/>
        </w:rPr>
        <w:t xml:space="preserve">18.</w:t>
      </w:r>
      <w:r>
        <w:rPr>
          <w:rFonts w:hint="eastAsia" w:ascii="方正楷体_GBK" w:hAnsi="方正楷体_GBK" w:eastAsia="方正楷体_GBK" w:cs="方正楷体_GBK"/>
          <w:b/>
          <w:bCs/>
        </w:rPr>
        <w:t xml:space="preserve">响应文件</w:t>
      </w:r>
      <w:bookmarkEnd w:id="123"/>
      <w:r/>
      <w:bookmarkEnd w:id="124"/>
      <w:r/>
      <w:bookmarkEnd w:id="125"/>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18</w:t>
      </w:r>
      <w:r>
        <w:rPr>
          <w:rFonts w:hint="eastAsia" w:ascii="宋体" w:hAnsi="宋体" w:eastAsia="宋体" w:cs="Times New Roman"/>
          <w:color w:val="000000"/>
          <w:sz w:val="24"/>
          <w:lang w:val="zh-CN" w:eastAsia="zh-CN"/>
        </w:rPr>
        <w:t xml:space="preserve">.1 提交响应文件截止时间后上传的任何响应文件将被拒绝。</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26" w:name="_Toc16938544"/>
      <w:r/>
      <w:bookmarkStart w:id="127" w:name="_Toc513029228"/>
      <w:r/>
      <w:bookmarkStart w:id="128" w:name="_Toc20823300"/>
      <w:r>
        <w:rPr>
          <w:rFonts w:hint="eastAsia" w:ascii="方正楷体_GBK" w:hAnsi="方正楷体_GBK" w:eastAsia="方正楷体_GBK" w:cs="方正楷体_GBK"/>
          <w:b/>
          <w:bCs/>
          <w:lang w:val="en-US" w:eastAsia="zh-CN"/>
        </w:rPr>
        <w:t xml:space="preserve">19.</w:t>
      </w:r>
      <w:r>
        <w:rPr>
          <w:rFonts w:hint="eastAsia" w:ascii="方正楷体_GBK" w:hAnsi="方正楷体_GBK" w:eastAsia="方正楷体_GBK" w:cs="方正楷体_GBK"/>
          <w:b/>
          <w:bCs/>
        </w:rPr>
        <w:t xml:space="preserve">响应文件的撤回和修改</w:t>
      </w:r>
      <w:bookmarkEnd w:id="126"/>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供应商可在提交响应文件截止时间前，撤回其电子响应文件，具体操作方法见《操作手册》。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供应商撤回电子响应文件，则认为其不再参与本项目谈判活动。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19.2.1 </w:t>
      </w:r>
      <w:r>
        <w:rPr>
          <w:rFonts w:hint="eastAsia" w:ascii="宋体" w:hAnsi="宋体" w:eastAsia="宋体" w:cs="Times New Roman"/>
          <w:color w:val="000000"/>
          <w:sz w:val="24"/>
          <w:lang w:val="zh-CN" w:eastAsia="zh-CN"/>
        </w:rPr>
        <w:t xml:space="preserve">供应商可在提交响应文件截止时间前，对其电子响应文件进行修改，具体操作方法见《操作手册》。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19.2.2 </w:t>
      </w:r>
      <w:r>
        <w:rPr>
          <w:rFonts w:hint="eastAsia" w:ascii="宋体" w:hAnsi="宋体" w:eastAsia="宋体" w:cs="Times New Roman"/>
          <w:color w:val="000000"/>
          <w:sz w:val="24"/>
          <w:lang w:val="zh-CN" w:eastAsia="zh-CN"/>
        </w:rPr>
        <w:t xml:space="preserve">在提交响应文件截止时间后，供应商不得对其电子响应文件作任何修改。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 在提交响应文件截止时间至谈判文件中规定的谈判有效期满之间的这段时间内，供应商不得撤回其响应文件。</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9" w:name="_Toc513029229"/>
      <w:r/>
      <w:bookmarkStart w:id="130" w:name="_Toc120614218"/>
      <w:r/>
      <w:bookmarkStart w:id="131" w:name="_Toc16938545"/>
      <w:r/>
      <w:bookmarkStart w:id="132" w:name="_Toc20823301"/>
      <w:r>
        <w:rPr>
          <w:rFonts w:hint="eastAsia" w:ascii="方正黑体_GBK" w:hAnsi="方正黑体_GBK" w:eastAsia="方正黑体_GBK" w:cs="方正黑体_GBK"/>
          <w:b w:val="0"/>
          <w:bCs w:val="0"/>
          <w:color w:val="000000"/>
          <w:sz w:val="30"/>
          <w:szCs w:val="30"/>
        </w:rPr>
        <w:t xml:space="preserve">五、响应文件的解密与评审</w:t>
      </w:r>
      <w:bookmarkEnd w:id="129"/>
      <w:r/>
      <w:bookmarkEnd w:id="130"/>
      <w:r/>
      <w:bookmarkEnd w:id="131"/>
      <w:r/>
      <w:bookmarkEnd w:id="132"/>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20.</w:t>
      </w:r>
      <w:r>
        <w:rPr>
          <w:rFonts w:hint="eastAsia" w:ascii="方正楷体_GBK" w:hAnsi="方正楷体_GBK" w:eastAsia="方正楷体_GBK" w:cs="方正楷体_GBK"/>
          <w:b/>
          <w:bCs/>
        </w:rPr>
        <w:t xml:space="preserve">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供应商应当按照《操作手册》规定，在苏采云系统规定的时间内对响应文件进行解密。</w:t>
      </w:r>
      <w:r/>
    </w:p>
    <w:p>
      <w:pPr>
        <w:pStyle w:val="882"/>
        <w:ind w:firstLine="422"/>
        <w:pageBreakBefore w:val="0"/>
        <w:spacing w:before="0" w:after="0" w:line="240" w:lineRule="auto"/>
        <w:widowControl w:val="off"/>
        <w:rPr>
          <w:rFonts w:hint="eastAsia" w:ascii="方正楷体_GBK" w:hAnsi="方正楷体_GBK" w:eastAsia="方正楷体_GBK" w:cs="方正楷体_GBK"/>
          <w:b/>
          <w:bCs/>
          <w:lang w:val="en-US" w:eastAsia="zh-CN"/>
        </w:rPr>
      </w:pPr>
      <w:r/>
      <w:bookmarkStart w:id="133" w:name="_Toc513029231"/>
      <w:r/>
      <w:bookmarkStart w:id="134" w:name="_Toc16938547"/>
      <w:r/>
      <w:bookmarkStart w:id="135" w:name="_Toc20823303"/>
      <w:r>
        <w:rPr>
          <w:rFonts w:hint="eastAsia" w:ascii="方正楷体_GBK" w:hAnsi="方正楷体_GBK" w:eastAsia="方正楷体_GBK" w:cs="方正楷体_GBK"/>
          <w:b/>
          <w:bCs/>
          <w:lang w:val="en-US" w:eastAsia="zh-CN"/>
        </w:rPr>
        <w:t xml:space="preserve">21.谈判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依法组建的谈判小组对响应文件进行评审。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21.2 </w:t>
      </w:r>
      <w:r>
        <w:rPr>
          <w:rFonts w:hint="eastAsia" w:ascii="宋体" w:hAnsi="宋体" w:eastAsia="宋体" w:cs="Times New Roman"/>
          <w:color w:val="000000"/>
          <w:sz w:val="24"/>
          <w:lang w:val="zh-CN" w:eastAsia="zh-CN"/>
        </w:rPr>
        <w:t xml:space="preserve">谈判小组由采购人代表和有关方面专家组成，人员构成符合政府采购有关规定。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eastAsia="zh-CN"/>
        </w:rPr>
        <w:t xml:space="preserve">谈判小组独立工作，负责评审所有响应文件并推荐成交候选人，或根据采购人授权直接确定成交供应商。</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2.</w:t>
      </w:r>
      <w:r>
        <w:rPr>
          <w:rFonts w:hint="eastAsia" w:ascii="方正楷体_GBK" w:hAnsi="方正楷体_GBK" w:eastAsia="方正楷体_GBK" w:cs="方正楷体_GBK"/>
          <w:b/>
          <w:bCs/>
        </w:rPr>
        <w:t xml:space="preserve">评审过程的保密与公正</w:t>
      </w:r>
      <w:bookmarkEnd w:id="133"/>
      <w:r/>
      <w:bookmarkEnd w:id="134"/>
      <w:r/>
      <w:bookmarkEnd w:id="135"/>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供应商不得以任何行为影响评审过程，否则其响应文件将被作为无效响应文件。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交易中心和谈判小组不向未成交的供应商解释未成交原因，也不公布评审过程中的相关细节。</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36" w:name="_Toc20823304"/>
      <w:r/>
      <w:bookmarkStart w:id="137" w:name="_Toc513029232"/>
      <w:r/>
      <w:bookmarkStart w:id="138"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3.</w:t>
      </w:r>
      <w:r>
        <w:rPr>
          <w:rFonts w:hint="eastAsia" w:ascii="方正楷体_GBK" w:hAnsi="方正楷体_GBK" w:eastAsia="方正楷体_GBK" w:cs="方正楷体_GBK"/>
          <w:b/>
          <w:bCs/>
        </w:rPr>
        <w:t xml:space="preserve">评审过程中的的澄清</w:t>
      </w:r>
      <w:bookmarkEnd w:id="136"/>
      <w:r/>
      <w:bookmarkEnd w:id="137"/>
      <w:r/>
      <w:bookmarkEnd w:id="13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项目评审期间，谈判小组</w:t>
      </w:r>
      <w:r>
        <w:rPr>
          <w:rFonts w:hint="eastAsia" w:ascii="宋体" w:hAnsi="宋体" w:eastAsia="宋体" w:cs="Times New Roman"/>
          <w:color w:val="000000"/>
          <w:sz w:val="24"/>
          <w:lang w:val="zh-CN"/>
        </w:rPr>
        <w:t xml:space="preserve">对响应文件中含义不明确、同类问题表述不一致或者有明显文字和计算错误的内容，有权要求供应商作出必要的澄清、说明或者补正。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谈判小组并非对每个供应商都做澄清要求。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需要供应商进行澄清、说明和补正的，谈判小组将通过苏采云系统向供应商发布</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lang w:val="zh-CN"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.3 接到谈判小组澄清、说明和补正要求的供应商如未按规定做出澄清、说明和补正，其风险由供应商自行承担。</w:t>
      </w:r>
      <w:r/>
    </w:p>
    <w:p>
      <w:pPr>
        <w:pStyle w:val="882"/>
        <w:ind w:firstLine="422"/>
        <w:pageBreakBefore w:val="0"/>
        <w:spacing w:before="0" w:after="0" w:line="240" w:lineRule="auto"/>
        <w:widowControl w:val="off"/>
        <w:rPr>
          <w:rFonts w:hint="eastAsia" w:ascii="方正楷体_GBK" w:hAnsi="方正楷体_GBK" w:eastAsia="方正楷体_GBK" w:cs="方正楷体_GBK"/>
          <w:b/>
          <w:bCs/>
        </w:rPr>
      </w:pPr>
      <w:r/>
      <w:bookmarkStart w:id="139" w:name="_Toc20823305"/>
      <w:r/>
      <w:bookmarkStart w:id="140" w:name="_Toc513029233"/>
      <w:r/>
      <w:bookmarkStart w:id="141"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响应文件的审</w:t>
      </w:r>
      <w:bookmarkEnd w:id="139"/>
      <w:r/>
      <w:bookmarkEnd w:id="140"/>
      <w:r/>
      <w:bookmarkEnd w:id="141"/>
      <w:r>
        <w:rPr>
          <w:rFonts w:hint="eastAsia" w:ascii="方正楷体_GBK" w:hAnsi="方正楷体_GBK" w:eastAsia="方正楷体_GBK" w:cs="方正楷体_GBK"/>
          <w:b/>
          <w:bCs/>
        </w:rPr>
        <w:t xml:space="preserve">查</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24.1.1 资格审查。依据法律法规和谈判文件的规定，谈判小组对响应文件中的资格证明文件进行审查，以确定供应商是否具备参加谈判的资格。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谈判小组在进行资格审查的同时，将在“信用中国”网站（www.creditchina.gov.cn）查询供应商的信用记录，以确定供应商是否具备谈判资格，查询结果留存并归档。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rPr>
        <w:t xml:space="preserve">接受联合体的项目</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联合体成员存在不良信用记录的</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视同联合体存在不良应用记录。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24.1.2 符合性审查。依据谈判文件的规定，由谈判小组从响应文件的有效性、完整性和对谈判文件的响应程度进行审查，以确定是否对谈判文件的实质性要求作出响应。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24.1.3 未通过资格审查或符合性审查的供应商，谈判小组</w:t>
      </w:r>
      <w:r>
        <w:rPr>
          <w:rFonts w:hint="eastAsia" w:ascii="宋体" w:hAnsi="宋体" w:eastAsia="宋体" w:cs="Times New Roman"/>
          <w:color w:val="000000"/>
          <w:sz w:val="24"/>
          <w:szCs w:val="22"/>
          <w:lang w:val="en-US" w:eastAsia="zh-CN"/>
        </w:rPr>
        <w:t xml:space="preserve">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000000"/>
          <w:sz w:val="24"/>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bookmarkStart w:id="142" w:name="_Toc513029234"/>
      <w:r/>
      <w:bookmarkStart w:id="143" w:name="_Toc20823306"/>
      <w:r/>
      <w:bookmarkStart w:id="144" w:name="_Toc16938550"/>
      <w:r>
        <w:rPr>
          <w:rFonts w:hint="eastAsia" w:ascii="宋体" w:hAnsi="宋体" w:eastAsia="宋体" w:cs="Times New Roman"/>
          <w:color w:val="auto"/>
          <w:sz w:val="24"/>
          <w:lang w:val="zh-CN" w:eastAsia="zh-CN"/>
        </w:rPr>
        <w:t xml:space="preserve">24.</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eastAsia="zh-CN"/>
        </w:rPr>
        <w:t xml:space="preserve">异常低价投标审查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评</w:t>
      </w:r>
      <w:r>
        <w:rPr>
          <w:rFonts w:hint="eastAsia" w:ascii="宋体" w:hAnsi="宋体" w:eastAsia="宋体" w:cs="Times New Roman"/>
          <w:color w:val="auto"/>
          <w:sz w:val="24"/>
          <w:lang w:val="en-US" w:eastAsia="zh-CN"/>
        </w:rPr>
        <w:t xml:space="preserve">审</w:t>
      </w:r>
      <w:r>
        <w:rPr>
          <w:rFonts w:hint="eastAsia" w:ascii="宋体" w:hAnsi="宋体" w:eastAsia="宋体" w:cs="Times New Roman"/>
          <w:color w:val="auto"/>
          <w:sz w:val="24"/>
          <w:lang w:val="zh-CN" w:eastAsia="zh-CN"/>
        </w:rPr>
        <w:t xml:space="preserve">过程中出现下列情形之一的，</w:t>
      </w:r>
      <w:r>
        <w:rPr>
          <w:rFonts w:hint="eastAsia" w:ascii="宋体" w:hAnsi="宋体" w:eastAsia="宋体" w:cs="Times New Roman"/>
          <w:color w:val="auto"/>
          <w:sz w:val="24"/>
          <w:lang w:val="en-US" w:eastAsia="zh-CN"/>
        </w:rPr>
        <w:t xml:space="preserve">谈判小组</w:t>
      </w:r>
      <w:r>
        <w:rPr>
          <w:rFonts w:hint="eastAsia" w:ascii="宋体" w:hAnsi="宋体" w:eastAsia="宋体" w:cs="Times New Roman"/>
          <w:color w:val="auto"/>
          <w:sz w:val="24"/>
          <w:lang w:val="zh-CN" w:eastAsia="zh-CN"/>
        </w:rPr>
        <w:t xml:space="preserve">应当启动异常低价投标审查程序：</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最后报价</w:t>
      </w:r>
      <w:r>
        <w:rPr>
          <w:rFonts w:hint="eastAsia" w:ascii="宋体" w:hAnsi="宋体" w:eastAsia="宋体" w:cs="Times New Roman"/>
          <w:color w:val="auto"/>
          <w:sz w:val="24"/>
          <w:lang w:val="zh-CN" w:eastAsia="zh-CN"/>
        </w:rPr>
        <w:t xml:space="preserve">低于全部通过符合性审查供应商</w:t>
      </w:r>
      <w:r>
        <w:rPr>
          <w:rFonts w:hint="eastAsia" w:ascii="宋体" w:hAnsi="宋体" w:eastAsia="宋体" w:cs="Times New Roman"/>
          <w:color w:val="auto"/>
          <w:sz w:val="24"/>
          <w:lang w:val="en-US" w:eastAsia="zh-CN"/>
        </w:rPr>
        <w:t xml:space="preserve">最后报价</w:t>
      </w:r>
      <w:r>
        <w:rPr>
          <w:rFonts w:hint="eastAsia" w:ascii="宋体" w:hAnsi="宋体" w:eastAsia="宋体" w:cs="Times New Roman"/>
          <w:color w:val="auto"/>
          <w:sz w:val="24"/>
          <w:lang w:val="zh-CN" w:eastAsia="zh-CN"/>
        </w:rPr>
        <w:t xml:space="preserve">平均值50%的，即</w:t>
      </w:r>
      <w:r>
        <w:rPr>
          <w:rFonts w:hint="eastAsia" w:ascii="宋体" w:hAnsi="宋体" w:eastAsia="宋体" w:cs="Times New Roman"/>
          <w:color w:val="auto"/>
          <w:sz w:val="24"/>
          <w:lang w:val="en-US" w:eastAsia="zh-CN"/>
        </w:rPr>
        <w:t xml:space="preserve">最后报价</w:t>
      </w:r>
      <w:r>
        <w:rPr>
          <w:rFonts w:hint="eastAsia" w:ascii="宋体" w:hAnsi="宋体" w:eastAsia="宋体" w:cs="Times New Roman"/>
          <w:color w:val="auto"/>
          <w:sz w:val="24"/>
          <w:lang w:val="zh-CN" w:eastAsia="zh-CN"/>
        </w:rPr>
        <w:t xml:space="preserve">&lt;全部通过符合性审查供应商</w:t>
      </w:r>
      <w:r>
        <w:rPr>
          <w:rFonts w:hint="eastAsia" w:ascii="宋体" w:hAnsi="宋体" w:eastAsia="宋体" w:cs="Times New Roman"/>
          <w:color w:val="auto"/>
          <w:sz w:val="24"/>
          <w:lang w:val="en-US" w:eastAsia="zh-CN"/>
        </w:rPr>
        <w:t xml:space="preserve">最后报价</w:t>
      </w:r>
      <w:r>
        <w:rPr>
          <w:rFonts w:hint="eastAsia" w:ascii="宋体" w:hAnsi="宋体" w:eastAsia="宋体" w:cs="Times New Roman"/>
          <w:color w:val="auto"/>
          <w:sz w:val="24"/>
          <w:lang w:val="zh-CN" w:eastAsia="zh-CN"/>
        </w:rPr>
        <w:t xml:space="preserve">平均值×50%；</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最后报价</w:t>
      </w:r>
      <w:r>
        <w:rPr>
          <w:rFonts w:hint="eastAsia" w:ascii="宋体" w:hAnsi="宋体" w:eastAsia="宋体" w:cs="Times New Roman"/>
          <w:color w:val="auto"/>
          <w:sz w:val="24"/>
          <w:lang w:val="zh-CN" w:eastAsia="zh-CN"/>
        </w:rPr>
        <w:t xml:space="preserve">低于通过符合性审查的次低报价供应商</w:t>
      </w:r>
      <w:r>
        <w:rPr>
          <w:rFonts w:hint="eastAsia" w:ascii="宋体" w:hAnsi="宋体" w:eastAsia="宋体" w:cs="Times New Roman"/>
          <w:color w:val="auto"/>
          <w:sz w:val="24"/>
          <w:lang w:val="en-US" w:eastAsia="zh-CN"/>
        </w:rPr>
        <w:t xml:space="preserve">最后报价</w:t>
      </w:r>
      <w:r>
        <w:rPr>
          <w:rFonts w:hint="eastAsia" w:ascii="宋体" w:hAnsi="宋体" w:eastAsia="宋体" w:cs="Times New Roman"/>
          <w:color w:val="auto"/>
          <w:sz w:val="24"/>
          <w:lang w:val="zh-CN" w:eastAsia="zh-CN"/>
        </w:rPr>
        <w:t xml:space="preserve">50%的，即</w:t>
      </w:r>
      <w:r>
        <w:rPr>
          <w:rFonts w:hint="eastAsia" w:ascii="宋体" w:hAnsi="宋体" w:eastAsia="宋体" w:cs="Times New Roman"/>
          <w:color w:val="auto"/>
          <w:sz w:val="24"/>
          <w:lang w:val="en-US" w:eastAsia="zh-CN"/>
        </w:rPr>
        <w:t xml:space="preserve">最后报价</w:t>
      </w:r>
      <w:r>
        <w:rPr>
          <w:rFonts w:hint="eastAsia" w:ascii="宋体" w:hAnsi="宋体" w:eastAsia="宋体" w:cs="Times New Roman"/>
          <w:color w:val="auto"/>
          <w:sz w:val="24"/>
          <w:lang w:val="zh-CN" w:eastAsia="zh-CN"/>
        </w:rPr>
        <w:t xml:space="preserve">&lt;通过符合性审查的次低报价供应商</w:t>
      </w:r>
      <w:r>
        <w:rPr>
          <w:rFonts w:hint="eastAsia" w:ascii="宋体" w:hAnsi="宋体" w:eastAsia="宋体" w:cs="Times New Roman"/>
          <w:color w:val="auto"/>
          <w:sz w:val="24"/>
          <w:lang w:val="en-US" w:eastAsia="zh-CN"/>
        </w:rPr>
        <w:t xml:space="preserve">最后报价</w:t>
      </w:r>
      <w:r>
        <w:rPr>
          <w:rFonts w:hint="eastAsia" w:ascii="宋体" w:hAnsi="宋体" w:eastAsia="宋体" w:cs="Times New Roman"/>
          <w:color w:val="auto"/>
          <w:sz w:val="24"/>
          <w:lang w:val="zh-CN" w:eastAsia="zh-CN"/>
        </w:rPr>
        <w:t xml:space="preserve">×50%；</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最后报价</w:t>
      </w:r>
      <w:r>
        <w:rPr>
          <w:rFonts w:hint="eastAsia" w:ascii="宋体" w:hAnsi="宋体" w:eastAsia="宋体" w:cs="Times New Roman"/>
          <w:color w:val="auto"/>
          <w:sz w:val="24"/>
          <w:lang w:val="zh-CN" w:eastAsia="zh-CN"/>
        </w:rPr>
        <w:t xml:space="preserve">低于采购项目最高限价45%的，即</w:t>
      </w:r>
      <w:r>
        <w:rPr>
          <w:rFonts w:hint="eastAsia" w:ascii="宋体" w:hAnsi="宋体" w:eastAsia="宋体" w:cs="Times New Roman"/>
          <w:color w:val="auto"/>
          <w:sz w:val="24"/>
          <w:lang w:val="en-US" w:eastAsia="zh-CN"/>
        </w:rPr>
        <w:t xml:space="preserve">最后报价</w:t>
      </w:r>
      <w:r>
        <w:rPr>
          <w:rFonts w:hint="eastAsia" w:ascii="宋体" w:hAnsi="宋体" w:eastAsia="宋体" w:cs="Times New Roman"/>
          <w:color w:val="auto"/>
          <w:sz w:val="24"/>
          <w:lang w:val="zh-CN" w:eastAsia="zh-CN"/>
        </w:rPr>
        <w:t xml:space="preserve">&lt;采购项目最高限价×45%；</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en-US" w:eastAsia="zh-CN"/>
        </w:rPr>
        <w:t xml:space="preserve">谈判小组</w:t>
      </w:r>
      <w:r>
        <w:rPr>
          <w:rFonts w:hint="eastAsia" w:ascii="宋体" w:hAnsi="宋体" w:eastAsia="宋体" w:cs="Times New Roman"/>
          <w:color w:val="auto"/>
          <w:sz w:val="24"/>
          <w:lang w:val="zh-CN" w:eastAsia="zh-CN"/>
        </w:rPr>
        <w:t xml:space="preserve">基于专业判断，认为供应商</w:t>
      </w:r>
      <w:r>
        <w:rPr>
          <w:rFonts w:hint="eastAsia" w:ascii="宋体" w:hAnsi="宋体" w:eastAsia="宋体" w:cs="Times New Roman"/>
          <w:color w:val="auto"/>
          <w:sz w:val="24"/>
          <w:lang w:val="en-US" w:eastAsia="zh-CN"/>
        </w:rPr>
        <w:t xml:space="preserve">最后</w:t>
      </w:r>
      <w:r>
        <w:rPr>
          <w:rFonts w:hint="eastAsia" w:ascii="宋体" w:hAnsi="宋体" w:eastAsia="宋体" w:cs="Times New Roman"/>
          <w:color w:val="auto"/>
          <w:sz w:val="24"/>
          <w:lang w:val="zh-CN" w:eastAsia="zh-CN"/>
        </w:rPr>
        <w:t xml:space="preserve">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2谈判小组</w:t>
      </w:r>
      <w:r>
        <w:rPr>
          <w:rFonts w:hint="eastAsia" w:ascii="宋体" w:hAnsi="宋体" w:eastAsia="宋体" w:cs="Times New Roman"/>
          <w:color w:val="auto"/>
          <w:sz w:val="24"/>
          <w:lang w:val="zh-CN" w:eastAsia="zh-CN"/>
        </w:rPr>
        <w:t xml:space="preserve">启动异常低价投标审查后，属于前述第（</w:t>
      </w:r>
      <w:r>
        <w:rPr>
          <w:rFonts w:hint="eastAsia" w:ascii="宋体" w:hAnsi="宋体" w:eastAsia="宋体" w:cs="Times New Roman"/>
          <w:color w:val="auto"/>
          <w:sz w:val="24"/>
          <w:szCs w:val="22"/>
          <w:lang w:val="zh-CN" w:eastAsia="zh-CN"/>
        </w:rPr>
        <w:t xml:space="preserve">1）项至第（4）项情形的，应当要求相关供应商在评审现场合理的时间内对</w:t>
      </w:r>
      <w:r>
        <w:rPr>
          <w:rFonts w:hint="eastAsia" w:ascii="宋体" w:hAnsi="宋体" w:eastAsia="宋体" w:cs="Times New Roman"/>
          <w:color w:val="auto"/>
          <w:sz w:val="24"/>
          <w:szCs w:val="21"/>
          <w:lang w:val="en-US" w:eastAsia="zh-CN"/>
        </w:rPr>
        <w:t xml:space="preserve">最后报价</w:t>
      </w:r>
      <w:r>
        <w:rPr>
          <w:rFonts w:hint="eastAsia" w:ascii="宋体" w:hAnsi="宋体" w:eastAsia="宋体" w:cs="Times New Roman"/>
          <w:color w:val="auto"/>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auto"/>
          <w:sz w:val="24"/>
          <w:szCs w:val="22"/>
          <w:lang w:val="en-US" w:eastAsia="zh-CN"/>
        </w:rPr>
        <w:t xml:space="preserve">响应</w:t>
      </w:r>
      <w:r>
        <w:rPr>
          <w:rFonts w:hint="eastAsia" w:ascii="宋体" w:hAnsi="宋体" w:eastAsia="宋体" w:cs="Times New Roman"/>
          <w:color w:val="auto"/>
          <w:sz w:val="24"/>
          <w:szCs w:val="22"/>
          <w:lang w:val="zh-CN" w:eastAsia="zh-CN"/>
        </w:rPr>
        <w:t xml:space="preserve">文件一并提交相关书面说明及必要的证明材料的，在评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eastAsia="zh-CN"/>
        </w:rPr>
        <w:t xml:space="preserve">现场可不再重复提交。</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1"/>
          <w:lang w:val="en-US" w:eastAsia="zh-CN"/>
        </w:rPr>
        <w:t xml:space="preserve">谈判小组</w:t>
      </w:r>
      <w:r>
        <w:rPr>
          <w:rFonts w:hint="eastAsia" w:ascii="宋体" w:hAnsi="宋体" w:eastAsia="宋体" w:cs="Times New Roman"/>
          <w:color w:val="auto"/>
          <w:sz w:val="24"/>
          <w:szCs w:val="22"/>
          <w:lang w:val="zh-CN" w:eastAsia="zh-CN"/>
        </w:rPr>
        <w:t xml:space="preserve">依据专业经验，参考同类项目</w:t>
      </w:r>
      <w:r>
        <w:rPr>
          <w:rFonts w:hint="eastAsia" w:ascii="宋体" w:hAnsi="宋体" w:eastAsia="宋体" w:cs="Times New Roman"/>
          <w:color w:val="auto"/>
          <w:sz w:val="24"/>
          <w:szCs w:val="22"/>
          <w:lang w:val="en-US" w:eastAsia="zh-CN"/>
        </w:rPr>
        <w:t xml:space="preserve">成交</w:t>
      </w:r>
      <w:r>
        <w:rPr>
          <w:rFonts w:hint="eastAsia" w:ascii="宋体" w:hAnsi="宋体" w:eastAsia="宋体" w:cs="Times New Roman"/>
          <w:color w:val="auto"/>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lang w:val="en-US" w:eastAsia="zh-CN"/>
        </w:rPr>
        <w:t xml:space="preserve">谈判小组</w:t>
      </w:r>
      <w:r>
        <w:rPr>
          <w:rFonts w:hint="eastAsia" w:ascii="宋体" w:hAnsi="宋体" w:eastAsia="宋体" w:cs="Times New Roman"/>
          <w:color w:val="auto"/>
          <w:sz w:val="24"/>
          <w:szCs w:val="22"/>
          <w:lang w:val="zh-CN" w:eastAsia="zh-CN"/>
        </w:rPr>
        <w:t xml:space="preserve">应当将其作为</w:t>
      </w:r>
      <w:r>
        <w:rPr>
          <w:rFonts w:hint="eastAsia" w:ascii="宋体" w:hAnsi="宋体" w:eastAsia="宋体" w:cs="Times New Roman"/>
          <w:color w:val="auto"/>
          <w:sz w:val="24"/>
          <w:szCs w:val="22"/>
          <w:lang w:val="en-US" w:eastAsia="zh-CN"/>
        </w:rPr>
        <w:t xml:space="preserve">未实质性响应谈判文件</w:t>
      </w:r>
      <w:r>
        <w:rPr>
          <w:rFonts w:hint="eastAsia" w:ascii="宋体" w:hAnsi="宋体" w:eastAsia="宋体" w:cs="Times New Roman"/>
          <w:color w:val="auto"/>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24.4 未实质性响应谈判文件的情形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供应商未按照谈判文件要求上传电子响应文件。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供应商不具备谈判文件中规定的资格要求。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供应商的最后报价超过了采购预算</w:t>
      </w:r>
      <w:r>
        <w:rPr>
          <w:rFonts w:hint="eastAsia" w:ascii="宋体" w:hAnsi="宋体" w:eastAsia="宋体" w:cs="Times New Roman"/>
          <w:color w:val="auto"/>
          <w:sz w:val="24"/>
          <w:szCs w:val="22"/>
          <w:lang w:val="zh-CN" w:eastAsia="zh-CN"/>
        </w:rPr>
        <w:t xml:space="preserve">或最高限价</w:t>
      </w:r>
      <w:r>
        <w:rPr>
          <w:rFonts w:hint="eastAsia" w:ascii="宋体" w:hAnsi="宋体" w:eastAsia="宋体" w:cs="Times New Roman"/>
          <w:color w:val="auto"/>
          <w:sz w:val="24"/>
          <w:szCs w:val="22"/>
          <w:lang w:val="en-US" w:eastAsia="zh-CN"/>
        </w:rPr>
        <w:t xml:space="preserve">或单价上限</w:t>
      </w:r>
      <w:r>
        <w:rPr>
          <w:rFonts w:hint="eastAsia" w:ascii="宋体" w:hAnsi="宋体" w:eastAsia="宋体" w:cs="Times New Roman"/>
          <w:color w:val="auto"/>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不符合谈判文件中规定的实质性要求和条件</w:t>
      </w:r>
      <w:r>
        <w:rPr>
          <w:rFonts w:hint="eastAsia" w:ascii="宋体" w:hAnsi="宋体" w:eastAsia="宋体" w:cs="Times New Roman"/>
          <w:b w:val="0"/>
          <w:bCs w:val="0"/>
          <w:color w:val="auto"/>
          <w:sz w:val="24"/>
          <w:lang w:val="zh-CN" w:eastAsia="zh-CN"/>
        </w:rPr>
        <w:t xml:space="preserve">（</w:t>
      </w:r>
      <w:r>
        <w:rPr>
          <w:rFonts w:hint="eastAsia" w:ascii="宋体" w:hAnsi="宋体" w:eastAsia="宋体" w:cs="Times New Roman"/>
          <w:b/>
          <w:bCs/>
          <w:color w:val="auto"/>
          <w:sz w:val="24"/>
          <w:lang w:val="zh-CN" w:eastAsia="zh-CN"/>
        </w:rPr>
        <w:t xml:space="preserve">本文件中</w:t>
      </w:r>
      <w:r>
        <w:rPr>
          <w:rFonts w:hint="eastAsia" w:ascii="宋体" w:hAnsi="宋体" w:eastAsia="宋体" w:cs="Times New Roman"/>
          <w:b/>
          <w:bCs/>
          <w:i w:val="0"/>
          <w:iCs w:val="0"/>
          <w:color w:val="auto"/>
          <w:sz w:val="24"/>
          <w:szCs w:val="21"/>
          <w:u w:val="none"/>
          <w:lang w:val="en-US" w:eastAsia="zh-CN"/>
        </w:rPr>
        <w:t xml:space="preserve">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b w:val="0"/>
          <w:bCs w:val="0"/>
          <w:color w:val="auto"/>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.9</w:t>
      </w:r>
      <w:r>
        <w:rPr>
          <w:rFonts w:hint="eastAsia" w:ascii="宋体" w:hAnsi="宋体" w:eastAsia="宋体" w:cs="Times New Roman"/>
          <w:color w:val="auto"/>
          <w:sz w:val="24"/>
          <w:lang w:val="en-US" w:eastAsia="zh-CN"/>
        </w:rPr>
        <w:t xml:space="preserve"> 谈判</w:t>
      </w:r>
      <w:r>
        <w:rPr>
          <w:rFonts w:hint="eastAsia" w:ascii="宋体" w:hAnsi="宋体" w:eastAsia="宋体" w:cs="Times New Roman"/>
          <w:sz w:val="24"/>
          <w:szCs w:val="21"/>
          <w:lang w:val="en-US" w:eastAsia="zh-CN"/>
        </w:rPr>
        <w:t xml:space="preserve">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进行异常低价投标审查后，认为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10 </w:t>
      </w:r>
      <w:r>
        <w:rPr>
          <w:rFonts w:hint="eastAsia" w:ascii="宋体" w:hAnsi="宋体" w:eastAsia="宋体" w:cs="Times New Roman"/>
          <w:color w:val="auto"/>
          <w:sz w:val="24"/>
          <w:szCs w:val="21"/>
          <w:lang w:val="zh-CN" w:eastAsia="zh-CN"/>
        </w:rPr>
        <w:t xml:space="preserve">采购产品被财政部、国家发改委、生态环境部等列入“节能产品品目清单”、“环境标志产品品目清单”强制采购范围，</w:t>
      </w:r>
      <w:r>
        <w:rPr>
          <w:rFonts w:hint="eastAsia" w:ascii="宋体" w:hAnsi="宋体" w:eastAsia="宋体" w:cs="Times New Roman"/>
          <w:color w:val="auto"/>
          <w:sz w:val="24"/>
          <w:szCs w:val="21"/>
          <w:lang w:val="en-US" w:eastAsia="zh-CN"/>
        </w:rPr>
        <w:t xml:space="preserve">而供应商提供的产品不在强制采购范围内</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1 </w:t>
      </w:r>
      <w:r>
        <w:rPr>
          <w:rFonts w:hint="eastAsia" w:ascii="宋体" w:hAnsi="宋体" w:eastAsia="宋体" w:cs="Times New Roman"/>
          <w:color w:val="auto"/>
          <w:sz w:val="24"/>
          <w:lang w:val="zh-CN" w:eastAsia="zh-CN"/>
        </w:rPr>
        <w:t xml:space="preserve">响应文件未按照谈判文件要求加盖电子公章。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szCs w:val="21"/>
          <w:lang w:val="en-US" w:eastAsia="zh-CN"/>
        </w:rPr>
        <w:t xml:space="preserve">法律法规及本谈判文件规定的其他无效响应情形。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 </w:t>
      </w:r>
      <w:r>
        <w:rPr>
          <w:rFonts w:hint="eastAsia" w:ascii="宋体" w:hAnsi="宋体" w:eastAsia="宋体" w:cs="Times New Roman"/>
          <w:color w:val="auto"/>
          <w:sz w:val="24"/>
          <w:lang w:val="zh-CN" w:eastAsia="zh-CN"/>
        </w:rPr>
        <w:t xml:space="preserve">未实质性响应谈判文件的响应文件按无效响应处理。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 </w:t>
      </w:r>
      <w:r>
        <w:rPr>
          <w:rFonts w:hint="eastAsia" w:ascii="宋体" w:hAnsi="宋体" w:eastAsia="宋体" w:cs="Times New Roman"/>
          <w:color w:val="auto"/>
          <w:sz w:val="24"/>
          <w:lang w:val="zh-CN" w:eastAsia="zh-CN"/>
        </w:rPr>
        <w:t xml:space="preserve">如果响应文件实质上没有响应谈判文件的要求，谈判小组将予以拒绝，供应商不得通过修改或撤销不合理要求的偏离或保留而使其成为实质性响应的文件。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7 </w:t>
      </w:r>
      <w:r>
        <w:rPr>
          <w:rFonts w:hint="eastAsia" w:ascii="宋体" w:hAnsi="宋体" w:eastAsia="宋体" w:cs="Times New Roman"/>
          <w:color w:val="auto"/>
          <w:sz w:val="24"/>
          <w:lang w:val="zh-CN" w:eastAsia="zh-CN"/>
        </w:rPr>
        <w:t xml:space="preserve">供应商在项目评审全过程中应保持通讯畅通，</w:t>
      </w:r>
      <w:r>
        <w:rPr>
          <w:rFonts w:hint="eastAsia" w:ascii="宋体" w:hAnsi="宋体" w:eastAsia="宋体" w:cs="Times New Roman"/>
          <w:color w:val="auto"/>
          <w:sz w:val="24"/>
          <w:lang w:val="zh-CN"/>
        </w:rPr>
        <w:t xml:space="preserve">及时登录苏采云系统查阅、答复相关信息，</w:t>
      </w:r>
      <w:r>
        <w:rPr>
          <w:rFonts w:hint="eastAsia" w:ascii="宋体" w:hAnsi="宋体" w:eastAsia="宋体" w:cs="Times New Roman"/>
          <w:color w:val="auto"/>
          <w:sz w:val="24"/>
          <w:lang w:val="zh-CN" w:eastAsia="zh-CN"/>
        </w:rPr>
        <w:t xml:space="preserve">并安排专人与交易中心及谈判小组联系。</w:t>
      </w:r>
      <w:r/>
    </w:p>
    <w:p>
      <w:pPr>
        <w:pStyle w:val="882"/>
        <w:ind w:firstLine="422"/>
        <w:pageBreakBefore w:val="0"/>
        <w:spacing w:before="0" w:after="0" w:line="240" w:lineRule="auto"/>
        <w:widowControl w:val="off"/>
        <w:rPr>
          <w:rFonts w:hint="eastAsia" w:ascii="方正楷体_GBK" w:hAnsi="方正楷体_GBK" w:eastAsia="方正楷体_GBK" w:cs="方正楷体_GBK"/>
          <w:b/>
          <w:bCs/>
          <w:lang w:val="zh-CN" w:eastAsia="zh-CN"/>
        </w:rPr>
      </w:pPr>
      <w:r>
        <w:rPr>
          <w:rFonts w:hint="eastAsia" w:ascii="方正楷体_GBK" w:hAnsi="方正楷体_GBK" w:eastAsia="方正楷体_GBK" w:cs="方正楷体_GBK"/>
          <w:b/>
          <w:bCs/>
          <w:lang w:val="zh-CN" w:eastAsia="zh-CN"/>
        </w:rPr>
        <w:t xml:space="preserve">2</w:t>
      </w:r>
      <w:bookmarkEnd w:id="142"/>
      <w:r/>
      <w:bookmarkEnd w:id="143"/>
      <w:r/>
      <w:bookmarkEnd w:id="144"/>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lang w:val="zh-CN" w:eastAsia="zh-CN"/>
        </w:rPr>
        <w:t xml:space="preserve">谈判程序及成交标准</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eastAsia="zh-CN"/>
        </w:rPr>
      </w:pPr>
      <w:r>
        <w:rPr>
          <w:rFonts w:hint="eastAsia" w:ascii="宋体" w:hAnsi="宋体" w:eastAsia="宋体" w:cs="Times New Roman"/>
          <w:b w:val="0"/>
          <w:bCs w:val="0"/>
          <w:color w:val="000000"/>
          <w:sz w:val="24"/>
          <w:lang w:val="zh-CN" w:eastAsia="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eastAsia="zh-CN"/>
        </w:rPr>
        <w:t xml:space="preserve">.1</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zh-CN" w:eastAsia="zh-CN"/>
        </w:rPr>
        <w:t xml:space="preserve">谈判程序</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w:t>
      </w:r>
      <w:r>
        <w:rPr>
          <w:rFonts w:hint="eastAsia" w:ascii="宋体" w:hAnsi="宋体" w:eastAsia="宋体" w:cs="Times New Roman"/>
          <w:color w:val="000000"/>
          <w:sz w:val="24"/>
          <w:szCs w:val="21"/>
          <w:lang w:val="en-US" w:eastAsia="zh-CN"/>
        </w:rPr>
        <w:t xml:space="preserve">小组将与通过资格审查和符合性审查的供应商分别进行</w:t>
      </w:r>
      <w:r>
        <w:rPr>
          <w:rFonts w:hint="eastAsia" w:ascii="宋体" w:hAnsi="宋体" w:eastAsia="宋体" w:cs="Times New Roman"/>
          <w:color w:val="000000"/>
          <w:sz w:val="24"/>
          <w:lang w:val="zh-CN" w:eastAsia="zh-CN"/>
        </w:rPr>
        <w:t xml:space="preserve">谈判。谈判小组通过苏采云系统向供应商发布《谈判函》，供应商应当按照要求在苏采云系统提交《谈判响应函》并加盖电子公章。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lang w:val="en-US" w:eastAsia="zh-CN"/>
        </w:rPr>
        <w:t xml:space="preserve">最后报价是供应商响应文件的有效组成部分。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b w:val="0"/>
          <w:bCs w:val="0"/>
          <w:color w:val="000000"/>
          <w:sz w:val="24"/>
          <w:lang w:val="zh-CN" w:eastAsia="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eastAsia="zh-CN"/>
        </w:rPr>
        <w:t xml:space="preserve">.2 成交标准。</w:t>
      </w:r>
      <w:r>
        <w:rPr>
          <w:rFonts w:hint="eastAsia" w:ascii="宋体" w:hAnsi="宋体" w:eastAsia="宋体" w:cs="Times New Roman"/>
          <w:color w:val="000000"/>
          <w:sz w:val="24"/>
          <w:lang w:val="zh-CN" w:eastAsia="zh-CN"/>
        </w:rPr>
        <w:t xml:space="preserve">见谈判文件第五章</w:t>
      </w:r>
      <w:r>
        <w:rPr>
          <w:rFonts w:hint="eastAsia" w:ascii="宋体" w:hAnsi="宋体" w:eastAsia="宋体" w:cs="Times New Roman"/>
          <w:color w:val="000000"/>
          <w:sz w:val="24"/>
          <w:szCs w:val="22"/>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.1因情况变化，不再符合规定的竞争性谈判采购方式适用情形。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.2出现影响采购公正的违法、违规行为。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szCs w:val="21"/>
          <w:lang w:val="en-US" w:eastAsia="zh-CN"/>
        </w:rPr>
        <w:t xml:space="preserve">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45" w:name="_Toc513029235"/>
      <w:r/>
      <w:bookmarkStart w:id="146" w:name="_Toc20823307"/>
      <w:r/>
      <w:bookmarkStart w:id="147" w:name="_Toc16938551"/>
      <w:r/>
      <w:bookmarkStart w:id="148" w:name="_Toc120614219"/>
      <w:r/>
      <w:bookmarkStart w:id="149" w:name="_Toc513029238"/>
      <w:r/>
      <w:bookmarkStart w:id="150" w:name="_Toc16938554"/>
      <w:r/>
      <w:bookmarkStart w:id="151" w:name="_Toc20823310"/>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.3.4在谈判过程中符合要求的供应商或者最后报价未超过采购预算</w:t>
      </w:r>
      <w:r>
        <w:rPr>
          <w:rFonts w:hint="eastAsia" w:ascii="宋体" w:hAnsi="宋体" w:eastAsia="宋体" w:cs="Times New Roman"/>
          <w:color w:val="000000"/>
          <w:sz w:val="24"/>
          <w:szCs w:val="21"/>
          <w:lang w:val="en-US" w:eastAsia="zh-CN"/>
        </w:rPr>
        <w:t xml:space="preserve">或最高限价</w:t>
      </w:r>
      <w:r>
        <w:rPr>
          <w:rFonts w:hint="eastAsia" w:ascii="宋体" w:hAnsi="宋体" w:eastAsia="宋体" w:cs="Times New Roman"/>
          <w:color w:val="000000"/>
          <w:sz w:val="24"/>
          <w:lang w:val="zh-CN" w:eastAsia="zh-CN"/>
        </w:rPr>
        <w:t xml:space="preserve">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.3.5法律法规规定的其他应当终止情形。</w:t>
      </w:r>
      <w:r/>
    </w:p>
    <w:p>
      <w:pPr>
        <w:ind w:firstLine="420"/>
        <w:pageBreakBefore w:val="0"/>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或25.3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情形，</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活动失败，</w:t>
      </w:r>
      <w:r>
        <w:rPr>
          <w:rFonts w:hint="eastAsia" w:ascii="宋体" w:hAnsi="宋体" w:eastAsia="宋体" w:cs="Times New Roman"/>
          <w:color w:val="000000"/>
          <w:sz w:val="24"/>
          <w:lang w:val="en-US" w:eastAsia="zh-CN"/>
        </w:rPr>
        <w:t xml:space="preserve">谈判小组应</w:t>
      </w:r>
      <w:r>
        <w:rPr>
          <w:rFonts w:hint="eastAsia" w:ascii="宋体" w:hAnsi="宋体" w:eastAsia="宋体" w:cs="Times New Roman"/>
          <w:b w:val="0"/>
          <w:bCs w:val="0"/>
          <w:color w:val="000000"/>
          <w:sz w:val="24"/>
          <w:szCs w:val="22"/>
          <w:lang w:val="en-US" w:eastAsia="zh-CN" w:bidi="ar"/>
        </w:rPr>
        <w:t xml:space="preserve">对谈判</w:t>
      </w:r>
      <w:r>
        <w:rPr>
          <w:rFonts w:hint="eastAsia" w:ascii="宋体" w:hAnsi="宋体" w:eastAsia="宋体" w:cs="Times New Roman"/>
          <w:b w:val="0"/>
          <w:bCs w:val="0"/>
          <w:color w:val="000000"/>
          <w:sz w:val="24"/>
          <w:szCs w:val="22"/>
          <w:lang w:val="zh-CN" w:eastAsia="zh-CN" w:bidi="ar"/>
        </w:rPr>
        <w:t xml:space="preserve">文件是否存在不合理条款</w:t>
      </w:r>
      <w:r>
        <w:rPr>
          <w:rFonts w:hint="eastAsia" w:ascii="宋体" w:hAnsi="宋体" w:eastAsia="宋体" w:cs="Times New Roman"/>
          <w:b w:val="0"/>
          <w:bCs w:val="0"/>
          <w:color w:val="000000"/>
          <w:sz w:val="24"/>
          <w:szCs w:val="22"/>
          <w:lang w:val="en-US" w:eastAsia="zh-CN" w:bidi="ar"/>
        </w:rPr>
        <w:t xml:space="preserve">进行论证，并在评审报告中写明</w:t>
      </w:r>
      <w:r>
        <w:rPr>
          <w:rFonts w:hint="eastAsia" w:ascii="宋体" w:hAnsi="宋体" w:eastAsia="宋体" w:cs="Times New Roman"/>
          <w:b w:val="0"/>
          <w:bCs w:val="0"/>
          <w:color w:val="000000"/>
          <w:sz w:val="24"/>
          <w:szCs w:val="22"/>
          <w:lang w:val="zh-CN" w:eastAsia="zh-CN" w:bidi="ar"/>
        </w:rPr>
        <w:t xml:space="preserve">论证意见。</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45"/>
      <w:r/>
      <w:bookmarkEnd w:id="146"/>
      <w:r/>
      <w:bookmarkEnd w:id="147"/>
      <w:r/>
      <w:bookmarkEnd w:id="148"/>
      <w:r>
        <w:rPr>
          <w:rFonts w:hint="eastAsia" w:ascii="方正黑体_GBK" w:hAnsi="方正黑体_GBK" w:eastAsia="方正黑体_GBK" w:cs="方正黑体_GBK"/>
          <w:b w:val="0"/>
          <w:bCs w:val="0"/>
          <w:color w:val="000000"/>
          <w:sz w:val="30"/>
          <w:szCs w:val="30"/>
        </w:rPr>
        <w:t xml:space="preserve">成交</w:t>
      </w:r>
      <w:r/>
    </w:p>
    <w:p>
      <w:pPr>
        <w:pStyle w:val="882"/>
        <w:ind w:firstLine="422"/>
        <w:pageBreakBefore w:val="0"/>
        <w:spacing w:before="0" w:after="0" w:line="240" w:lineRule="auto"/>
        <w:widowControl w:val="off"/>
        <w:rPr>
          <w:rFonts w:hint="eastAsia" w:ascii="方正楷体_GBK" w:hAnsi="方正楷体_GBK" w:eastAsia="方正楷体_GBK" w:cs="方正楷体_GBK"/>
          <w:b/>
          <w:bCs/>
          <w:lang w:val="en-US" w:eastAsia="zh-CN"/>
        </w:rPr>
      </w:pPr>
      <w:r>
        <w:rPr>
          <w:rFonts w:hint="eastAsia" w:ascii="方正楷体_GBK" w:hAnsi="方正楷体_GBK" w:eastAsia="方正楷体_GBK" w:cs="方正楷体_GBK"/>
          <w:b/>
          <w:bCs/>
          <w:lang w:val="en-US" w:eastAsia="zh-CN"/>
        </w:rPr>
        <w:t xml:space="preserve">26</w:t>
      </w:r>
      <w:bookmarkEnd w:id="149"/>
      <w:r>
        <w:rPr>
          <w:rFonts w:hint="eastAsia" w:ascii="方正楷体_GBK" w:hAnsi="方正楷体_GBK" w:eastAsia="方正楷体_GBK" w:cs="方正楷体_GBK"/>
          <w:b/>
          <w:bCs/>
          <w:lang w:val="en-US" w:eastAsia="zh-CN"/>
        </w:rPr>
        <w:t xml:space="preserve">.确定</w:t>
      </w:r>
      <w:bookmarkEnd w:id="150"/>
      <w:r/>
      <w:bookmarkEnd w:id="151"/>
      <w:r>
        <w:rPr>
          <w:rFonts w:hint="eastAsia" w:ascii="方正楷体_GBK" w:hAnsi="方正楷体_GBK" w:eastAsia="方正楷体_GBK" w:cs="方正楷体_GBK"/>
          <w:b/>
          <w:bCs/>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en-US" w:eastAsia="zh-CN"/>
        </w:rPr>
        <w:t xml:space="preserve">26.1</w:t>
      </w:r>
      <w:r>
        <w:rPr>
          <w:rFonts w:hint="eastAsia" w:ascii="宋体" w:hAnsi="宋体" w:eastAsia="宋体" w:cs="Times New Roman"/>
          <w:color w:val="000000"/>
          <w:sz w:val="24"/>
          <w:szCs w:val="21"/>
          <w:lang w:val="en-US" w:eastAsia="zh-CN"/>
        </w:rPr>
        <w:t xml:space="preserve"> 成交候选供应商的确定原则和数量见谈判文件第五章。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）种方式确定成交供应商</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（1）谈判小组直接确定排名第一的成交候选供应商为成交供应商。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（2）采购人在谈判小组推荐的成交候选供应商中按顺序确定成交供应商。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按第二种方式确定成交供应商的，</w:t>
      </w:r>
      <w:bookmarkStart w:id="152" w:name="OLE_LINK2"/>
      <w:r>
        <w:rPr>
          <w:rFonts w:hint="eastAsia" w:ascii="宋体" w:hAnsi="宋体" w:eastAsia="宋体" w:cs="Times New Roman"/>
          <w:color w:val="000000"/>
          <w:sz w:val="24"/>
          <w:lang w:val="zh-CN"/>
        </w:rPr>
        <w:t xml:space="preserve">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采购人，采购人自收到评审报告之日起五个工作日内，在评审报告推荐的成交候选供应商中按顺序确定成交供应商。</w:t>
      </w:r>
      <w:bookmarkEnd w:id="152"/>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26.3</w:t>
      </w:r>
      <w:r>
        <w:rPr>
          <w:rFonts w:hint="eastAsia" w:ascii="宋体" w:hAnsi="宋体" w:eastAsia="宋体" w:cs="Times New Roman"/>
          <w:color w:val="000000"/>
          <w:sz w:val="24"/>
          <w:lang w:val="zh-CN" w:eastAsia="zh-CN"/>
        </w:rPr>
        <w:t xml:space="preserve">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26.4 </w:t>
      </w:r>
      <w:r>
        <w:rPr>
          <w:rFonts w:hint="eastAsia" w:ascii="宋体" w:hAnsi="宋体" w:eastAsia="宋体" w:cs="Times New Roman"/>
          <w:b/>
          <w:bCs/>
          <w:color w:val="000000"/>
          <w:sz w:val="24"/>
          <w:lang w:val="zh-CN" w:eastAsia="zh-CN"/>
        </w:rPr>
        <w:t xml:space="preserve">若有充分证据证明成交供应商出现下列情况之一的，一经查实将被取消成交资格：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szCs w:val="22"/>
          <w:lang w:val="zh-CN"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26.4.4 不满足本谈判文件规定的实质性要求，但在评审过程中未被谈判小组发现。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26.4.5 </w:t>
      </w:r>
      <w:r>
        <w:rPr>
          <w:rFonts w:hint="eastAsia" w:ascii="宋体" w:hAnsi="宋体" w:eastAsia="宋体" w:cs="Times New Roman"/>
          <w:color w:val="000000"/>
          <w:sz w:val="24"/>
          <w:lang w:val="zh-CN"/>
        </w:rPr>
        <w:t xml:space="preserve">采取不正当手段诋毁、排挤其他供应商。</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53" w:name="_Hlt16619369"/>
      <w:r/>
      <w:bookmarkEnd w:id="153"/>
      <w:r/>
      <w:bookmarkStart w:id="154" w:name="_Hlt16619350"/>
      <w:r/>
      <w:bookmarkStart w:id="155" w:name="_Toc16938590"/>
      <w:r/>
      <w:bookmarkStart w:id="156" w:name="_Toc20823346"/>
      <w:r/>
      <w:bookmarkStart w:id="157" w:name="_Toc120614244"/>
      <w:r/>
      <w:bookmarkStart w:id="158" w:name="_Toc479757211"/>
      <w:r/>
      <w:bookmarkStart w:id="159" w:name="_Toc462564139"/>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成交供应商应当在《成交通知书》发出之日起三十日内，按照谈判文件确定的事项与采购人签订政府采购合同。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谈判文件、成交供应商的响应文件及谈判过程中有关澄清、承诺文件均作为合同附件。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w:t>
      </w:r>
      <w:r>
        <w:rPr>
          <w:rFonts w:hint="eastAsia" w:ascii="宋体" w:hAnsi="宋体" w:eastAsia="宋体" w:cs="Courier New"/>
          <w:color w:val="000000"/>
          <w:sz w:val="24"/>
          <w:szCs w:val="24"/>
          <w:lang w:val="zh-CN" w:eastAsia="zh-CN"/>
        </w:rPr>
        <w:t xml:space="preserve">货物或服务（包含与货物相关的服务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Times New Roman"/>
          <w:color w:val="000000"/>
          <w:sz w:val="24"/>
          <w:szCs w:val="21"/>
          <w:lang w:val="en-US" w:eastAsia="zh-CN"/>
        </w:rPr>
        <w:t xml:space="preserve">，在不改变合同其他条款的前提下，可以与成交供应商协商签订补充合同，但所有补充合同的金额不超过原合同金额10%。</w:t>
      </w:r>
      <w:r/>
    </w:p>
    <w:p>
      <w:pPr>
        <w:pStyle w:val="88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Times New Roman"/>
          <w:color w:val="000000"/>
          <w:sz w:val="24"/>
          <w:szCs w:val="22"/>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lang w:val="zh-CN" w:eastAsia="zh-CN" w:bidi="ar-SA"/>
        </w:rPr>
      </w:pPr>
      <w:r>
        <w:rPr>
          <w:rFonts w:hint="eastAsia" w:ascii="宋体" w:hAnsi="宋体" w:eastAsia="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88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82"/>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88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lang w:val="en-US" w:eastAsia="zh-CN"/>
        </w:rPr>
        <w:t xml:space="preserve">第五章成交标准</w:t>
      </w:r>
      <w:r>
        <w:rPr>
          <w:rFonts w:hint="eastAsia" w:ascii="宋体" w:hAnsi="宋体" w:eastAsia="宋体" w:cs="Times New Roman"/>
          <w:color w:val="000000"/>
          <w:sz w:val="24"/>
          <w:lang w:val="zh-CN"/>
        </w:rPr>
        <w:t xml:space="preserve">）。</w:t>
      </w:r>
      <w:r/>
    </w:p>
    <w:p>
      <w:pPr>
        <w:pStyle w:val="88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p>
    <w:p>
      <w:pPr>
        <w:pStyle w:val="882"/>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82"/>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694"/>
        <w:ind w:firstLine="422"/>
        <w:pageBreakBefore w:val="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pageBreakBefore w:val="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pageBreakBefore w:val="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pageBreakBefore w:val="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pageBreakBefore w:val="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pageBreakBefore w:val="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pageBreakBefore w:val="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pageBreakBefore w:val="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pageBreakBefore w:val="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pageBreakBefore w:val="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pageBreakBefore w:val="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pageBreakBefore w:val="0"/>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pageBreakBefore w:val="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pageBreakBefore w:val="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pageBreakBefore w:val="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pageBreakBefore w:val="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47"/>
        <w:rPr>
          <w:rFonts w:ascii="黑体" w:hAnsi="Courier New" w:eastAsia="黑体" w:cs="Courier New"/>
          <w:bCs/>
          <w:sz w:val="44"/>
          <w:szCs w:val="21"/>
        </w:rPr>
      </w:pPr>
      <w:r>
        <w:rPr>
          <w:rFonts w:ascii="黑体" w:hAnsi="Courier New" w:eastAsia="黑体" w:cs="Courier New"/>
          <w:bCs/>
          <w:sz w:val="44"/>
          <w:szCs w:val="21"/>
        </w:rPr>
      </w:r>
      <w:r/>
    </w:p>
    <w:p>
      <w:pPr>
        <w:rPr>
          <w:rFonts w:ascii="黑体" w:hAnsi="Courier New" w:eastAsia="黑体" w:cs="Courier New"/>
          <w:bCs/>
          <w:sz w:val="44"/>
          <w:szCs w:val="21"/>
        </w:rPr>
      </w:pPr>
      <w:r>
        <w:rPr>
          <w:rFonts w:ascii="黑体" w:hAnsi="Courier New" w:eastAsia="黑体" w:cs="Courier New"/>
          <w:bCs/>
          <w:sz w:val="44"/>
          <w:szCs w:val="21"/>
        </w:rPr>
      </w:r>
      <w:r/>
    </w:p>
    <w:p>
      <w:pPr>
        <w:pStyle w:val="947"/>
        <w:rPr>
          <w:rFonts w:ascii="黑体" w:hAnsi="Courier New" w:eastAsia="黑体" w:cs="Courier New"/>
          <w:bCs/>
          <w:sz w:val="44"/>
          <w:szCs w:val="21"/>
        </w:rPr>
      </w:pPr>
      <w:r>
        <w:rPr>
          <w:rFonts w:ascii="黑体" w:hAnsi="Courier New" w:eastAsia="黑体" w:cs="Courier New"/>
          <w:bCs/>
          <w:sz w:val="44"/>
          <w:szCs w:val="21"/>
        </w:rPr>
      </w:r>
      <w:r/>
    </w:p>
    <w:p>
      <w:r/>
      <w:r/>
    </w:p>
    <w:p>
      <w:pPr>
        <w:jc w:val="center"/>
        <w:spacing w:before="120" w:after="120" w:line="0" w:lineRule="atLeast"/>
        <w:rPr>
          <w:rFonts w:ascii="黑体" w:hAnsi="Courier New" w:eastAsia="黑体" w:cs="Courier New"/>
          <w:sz w:val="44"/>
          <w:szCs w:val="44"/>
        </w:rPr>
      </w:pPr>
      <w:r>
        <w:rPr>
          <w:rFonts w:ascii="黑体" w:hAnsi="Courier New" w:eastAsia="黑体" w:cs="Courier New"/>
          <w:bCs/>
          <w:sz w:val="44"/>
          <w:szCs w:val="21"/>
        </w:rPr>
      </w:r>
      <w:r>
        <w:rPr>
          <w:rFonts w:ascii="黑体" w:hAnsi="Courier New" w:eastAsia="黑体" w:cs="Courier New"/>
          <w:bCs/>
          <w:sz w:val="44"/>
          <w:szCs w:val="21"/>
        </w:rPr>
      </w:r>
      <w:r/>
    </w:p>
    <w:p>
      <w:pPr>
        <w:jc w:val="center"/>
        <w:spacing w:before="120" w:after="120" w:line="0" w:lineRule="atLeast"/>
        <w:rPr>
          <w:rFonts w:ascii="黑体" w:hAnsi="Courier New" w:eastAsia="黑体" w:cs="Courier New"/>
          <w:sz w:val="44"/>
          <w:szCs w:val="44"/>
        </w:rPr>
      </w:pPr>
      <w:r>
        <w:rPr>
          <w:rFonts w:ascii="黑体" w:hAnsi="Courier New" w:eastAsia="黑体" w:cs="Courier New"/>
          <w:sz w:val="44"/>
          <w:szCs w:val="44"/>
        </w:rPr>
      </w:r>
      <w:r>
        <w:rPr>
          <w:rFonts w:ascii="黑体" w:hAnsi="Courier New" w:eastAsia="黑体" w:cs="Courier New"/>
          <w:sz w:val="44"/>
          <w:szCs w:val="44"/>
        </w:rPr>
      </w:r>
      <w:r/>
    </w:p>
    <w:p>
      <w:pPr>
        <w:jc w:val="center"/>
        <w:spacing w:before="120" w:after="120" w:line="0" w:lineRule="atLeast"/>
        <w:rPr>
          <w:rFonts w:ascii="黑体" w:hAnsi="Courier New" w:eastAsia="黑体" w:cs="Courier New"/>
          <w:sz w:val="44"/>
          <w:szCs w:val="44"/>
        </w:rPr>
      </w:pPr>
      <w:r>
        <w:rPr>
          <w:rFonts w:ascii="黑体" w:hAnsi="Courier New" w:eastAsia="黑体" w:cs="Courier New"/>
          <w:sz w:val="44"/>
          <w:szCs w:val="44"/>
        </w:rPr>
      </w:r>
      <w:r>
        <w:rPr>
          <w:rFonts w:ascii="黑体" w:hAnsi="Courier New" w:eastAsia="黑体" w:cs="Courier New"/>
          <w:sz w:val="44"/>
          <w:szCs w:val="44"/>
        </w:rPr>
      </w:r>
      <w:r/>
    </w:p>
    <w:p>
      <w:pPr>
        <w:jc w:val="center"/>
        <w:spacing w:before="120" w:after="120" w:line="0" w:lineRule="atLeast"/>
        <w:rPr>
          <w:rFonts w:ascii="黑体" w:hAnsi="Courier New" w:eastAsia="黑体" w:cs="Courier New"/>
          <w:sz w:val="44"/>
          <w:szCs w:val="44"/>
        </w:rPr>
      </w:pPr>
      <w:r>
        <w:rPr>
          <w:rFonts w:ascii="黑体" w:hAnsi="Courier New" w:eastAsia="黑体" w:cs="Courier New"/>
          <w:bCs/>
          <w:sz w:val="44"/>
          <w:szCs w:val="21"/>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p>
    <w:p>
      <w:pPr>
        <w:ind w:firstLine="480"/>
        <w:keepLines w:val="0"/>
        <w:keepNext w:val="0"/>
        <w:pageBreakBefore w:val="0"/>
        <w:spacing w:line="240" w:lineRule="auto"/>
        <w:widowControl w:val="off"/>
        <w:rPr>
          <w:rFonts w:hint="eastAsia" w:ascii="宋体" w:hAnsi="宋体"/>
          <w:bCs/>
          <w:color w:val="000000"/>
          <w:sz w:val="24"/>
          <w:szCs w:val="21"/>
        </w:rPr>
      </w:pPr>
      <w:r/>
      <w:bookmarkStart w:id="160" w:name="_Toc20823315"/>
      <w:r/>
      <w:bookmarkStart w:id="161" w:name="_Toc16938559"/>
      <w:r/>
      <w:bookmarkStart w:id="162" w:name="_Toc513029243"/>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合同双方不得对谈判、响应文件内容作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lang w:eastAsia="zh-CN"/>
        </w:rPr>
        <w:outlineLvl w:val="9"/>
      </w:pPr>
      <w:r>
        <w:rPr>
          <w:rFonts w:hint="eastAsia" w:ascii="方正小标宋简体" w:hAnsi="方正小标宋简体" w:eastAsia="方正小标宋简体" w:cs="方正小标宋简体"/>
          <w:b w:val="0"/>
          <w:bCs/>
          <w:color w:val="000000"/>
          <w:sz w:val="32"/>
          <w:szCs w:val="32"/>
        </w:rPr>
        <w:t xml:space="preserve">政府采购合同</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ascii="宋体" w:hAnsi="宋体" w:eastAsia="宋体" w:cs="宋体"/>
          <w:color w:val="000000"/>
          <w:sz w:val="24"/>
          <w:szCs w:val="24"/>
          <w:u w:val="single"/>
          <w:lang w:val="en-US" w:eastAsia="zh-CN"/>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竞争性谈判</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1.8</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合同组成：关于本项目的</w:t>
      </w:r>
      <w:r>
        <w:rPr>
          <w:rFonts w:hint="eastAsia" w:ascii="宋体" w:hAnsi="宋体" w:eastAsia="宋体" w:cs="Courier New"/>
          <w:color w:val="000000"/>
          <w:sz w:val="24"/>
          <w:szCs w:val="24"/>
          <w:lang w:val="en-US" w:eastAsia="zh-CN"/>
        </w:rPr>
        <w:t xml:space="preserve">谈判</w:t>
      </w:r>
      <w:r>
        <w:rPr>
          <w:rFonts w:hint="eastAsia" w:ascii="宋体" w:hAnsi="宋体" w:eastAsia="宋体" w:cs="Courier New"/>
          <w:color w:val="000000"/>
          <w:sz w:val="24"/>
          <w:szCs w:val="24"/>
        </w:rPr>
        <w:t xml:space="preserve">文件、</w:t>
      </w:r>
      <w:r>
        <w:rPr>
          <w:rFonts w:hint="eastAsia" w:ascii="宋体" w:hAnsi="宋体" w:eastAsia="宋体" w:cs="Courier New"/>
          <w:color w:val="000000"/>
          <w:sz w:val="24"/>
          <w:szCs w:val="24"/>
          <w:lang w:val="en-US" w:eastAsia="zh-CN"/>
        </w:rPr>
        <w:t xml:space="preserve">响应</w:t>
      </w:r>
      <w:r>
        <w:rPr>
          <w:rFonts w:hint="eastAsia" w:ascii="宋体" w:hAnsi="宋体" w:eastAsia="宋体" w:cs="Courier New"/>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17"/>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w:t>
      </w:r>
      <w:r>
        <w:rPr>
          <w:rFonts w:hint="eastAsia" w:hAnsi="宋体" w:eastAsia="宋体" w:cs="Courier New"/>
          <w:color w:val="000000"/>
          <w:sz w:val="24"/>
          <w:szCs w:val="24"/>
          <w:u w:val="single"/>
          <w:lang w:val="en-US" w:eastAsia="zh-CN"/>
        </w:rPr>
        <w:t xml:space="preserve">                     </w:t>
      </w:r>
      <w:r>
        <w:rPr>
          <w:rFonts w:hint="eastAsia" w:hAnsi="宋体" w:eastAsia="宋体" w:cs="Courier New"/>
          <w:color w:val="000000"/>
          <w:sz w:val="24"/>
          <w:szCs w:val="24"/>
        </w:rPr>
        <w:t xml:space="preserve">圆（</w:t>
      </w:r>
      <w:r>
        <w:rPr>
          <w:rFonts w:hint="eastAsia" w:hAnsi="宋体" w:eastAsia="宋体" w:cs="Courier New"/>
          <w:color w:val="000000"/>
          <w:sz w:val="24"/>
          <w:szCs w:val="24"/>
          <w:u w:val="single"/>
          <w:lang w:val="en-US" w:eastAsia="zh-CN"/>
        </w:rPr>
        <w:t xml:space="preserve">                  </w:t>
      </w:r>
      <w:r>
        <w:rPr>
          <w:rFonts w:hint="eastAsia" w:hAnsi="宋体" w:eastAsia="宋体" w:cs="Courier New"/>
          <w:color w:val="000000"/>
          <w:sz w:val="24"/>
          <w:szCs w:val="24"/>
        </w:rPr>
        <w:t xml:space="preserve">元）人民币。</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文件规定的时间向甲方提供</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917"/>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p>
    <w:p>
      <w:pPr>
        <w:pStyle w:val="91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合同签订后，甲方支付合同总价款的10%作为预付款。</w:t>
      </w:r>
      <w:r/>
    </w:p>
    <w:p>
      <w:pPr>
        <w:pStyle w:val="91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供货结束并验收合格后，甲方支付合同总价款的90%。</w:t>
      </w:r>
      <w:r/>
    </w:p>
    <w:p>
      <w:pPr>
        <w:pStyle w:val="917"/>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p>
    <w:p>
      <w:pPr>
        <w:pStyle w:val="91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p>
    <w:p>
      <w:pPr>
        <w:pStyle w:val="91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谈判</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的，应按逾期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向甲方支付违约金，由甲方从待付</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中扣除。逾期超过约定日期10个工作日不能</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的，甲方可解除本合同。乙方因逾期交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或服务的</w:t>
      </w:r>
      <w:r>
        <w:rPr>
          <w:rFonts w:hint="eastAsia" w:ascii="宋体" w:hAnsi="宋体" w:eastAsia="宋体" w:cs="Courier New"/>
          <w:color w:val="000000"/>
          <w:sz w:val="24"/>
          <w:szCs w:val="24"/>
        </w:rPr>
        <w:t xml:space="preserve">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文件规定标准的，甲方有权拒收该货物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，乙方愿意更换货物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但逾期交货的，按乙方逾期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处理。乙方拒绝更换货物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的，甲方可单方面解除合同。</w:t>
      </w:r>
      <w:r/>
    </w:p>
    <w:p>
      <w:pPr>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60"/>
      <w:r/>
      <w:bookmarkEnd w:id="161"/>
      <w:r/>
      <w:bookmarkEnd w:id="162"/>
      <w:r/>
      <w:r/>
    </w:p>
    <w:p>
      <w:pPr>
        <w:pStyle w:val="917"/>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p>
    <w:p>
      <w:pPr>
        <w:pStyle w:val="917"/>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p>
    <w:p>
      <w:pPr>
        <w:pStyle w:val="917"/>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p>
    <w:p>
      <w:pPr>
        <w:pStyle w:val="917"/>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p>
    <w:p>
      <w:pPr>
        <w:pStyle w:val="917"/>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p>
    <w:p>
      <w:pPr>
        <w:pStyle w:val="917"/>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p>
    <w:p>
      <w:pPr>
        <w:pStyle w:val="917"/>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p>
    <w:p>
      <w:pPr>
        <w:pStyle w:val="917"/>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lang w:val="en-US"/>
        </w:rPr>
        <w:t xml:space="preserve">第</w:t>
      </w:r>
      <w:bookmarkEnd w:id="154"/>
      <w:r>
        <w:rPr>
          <w:rFonts w:hint="eastAsia" w:ascii="方正小标宋简体" w:hAnsi="方正小标宋简体" w:eastAsia="方正小标宋简体" w:cs="方正小标宋简体"/>
          <w:color w:val="000000"/>
          <w:sz w:val="36"/>
          <w:szCs w:val="36"/>
          <w:lang w:val="en-US"/>
        </w:rPr>
        <w:t xml:space="preserve">四章 采购需求</w:t>
      </w:r>
      <w:bookmarkEnd w:id="155"/>
      <w:r/>
      <w:bookmarkEnd w:id="156"/>
      <w:r/>
      <w:bookmarkEnd w:id="157"/>
      <w:r/>
      <w:bookmarkStart w:id="163" w:name="_Toc26554093"/>
      <w:r/>
      <w:bookmarkStart w:id="164" w:name="_Toc49090575"/>
      <w:r/>
      <w:r/>
    </w:p>
    <w:p>
      <w:pPr>
        <w:contextualSpacing w:val="0"/>
        <w:ind w:firstLine="480"/>
        <w:jc w:val="left"/>
        <w:keepLines w:val="0"/>
        <w:keepNext w:val="0"/>
        <w:pageBreakBefore w:val="0"/>
        <w:spacing w:line="283" w:lineRule="exact"/>
        <w:widowControl w:val="off"/>
        <w:rPr>
          <w:rFonts w:hint="eastAsia" w:ascii="黑体" w:hAnsi="黑体" w:eastAsia="黑体" w:cs="黑体"/>
          <w:color w:val="000000"/>
          <w:sz w:val="24"/>
          <w:szCs w:val="24"/>
        </w:rPr>
        <w:suppressLineNumbers w:val="0"/>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p>
    <w:p>
      <w:pPr>
        <w:contextualSpacing w:val="0"/>
        <w:ind w:firstLine="480"/>
        <w:jc w:val="left"/>
        <w:keepLines w:val="0"/>
        <w:keepNext w:val="0"/>
        <w:pageBreakBefore w:val="0"/>
        <w:spacing w:line="283" w:lineRule="exact"/>
        <w:widowControl w:val="off"/>
        <w:rPr>
          <w:rFonts w:hint="eastAsia" w:ascii="黑体" w:hAnsi="黑体" w:eastAsia="黑体" w:cs="黑体"/>
          <w:sz w:val="24"/>
          <w:szCs w:val="24"/>
        </w:rPr>
        <w:suppressLineNumbers w:val="0"/>
      </w:pPr>
      <w:r>
        <w:rPr>
          <w:rFonts w:hint="eastAsia" w:ascii="黑体" w:hAnsi="黑体" w:eastAsia="黑体" w:cs="黑体"/>
          <w:sz w:val="24"/>
          <w:szCs w:val="24"/>
        </w:rPr>
        <w:t xml:space="preserve">二、项目概况</w:t>
      </w:r>
      <w:r/>
    </w:p>
    <w:p>
      <w:pPr>
        <w:contextualSpacing w:val="0"/>
        <w:ind w:firstLine="480"/>
        <w:jc w:val="left"/>
        <w:keepLines w:val="0"/>
        <w:keepNext w:val="0"/>
        <w:pageBreakBefore w:val="0"/>
        <w:spacing w:line="283" w:lineRule="exact"/>
        <w:widowControl w:val="off"/>
        <w:rPr>
          <w:rFonts w:hint="eastAsia" w:ascii="宋体" w:hAnsi="宋体"/>
          <w:sz w:val="24"/>
          <w:szCs w:val="24"/>
        </w:rPr>
        <w:suppressLineNumbers w:val="0"/>
      </w:pPr>
      <w:r>
        <w:rPr>
          <w:rFonts w:hint="eastAsia" w:ascii="宋体" w:hAnsi="宋体"/>
          <w:sz w:val="24"/>
          <w:szCs w:val="24"/>
        </w:rPr>
        <w:t xml:space="preserve">（一）项目背景</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bookmarkStart w:id="165" w:name="OLE_LINK1"/>
      <w:r>
        <w:rPr>
          <w:rFonts w:hint="eastAsia" w:ascii="宋体" w:hAnsi="宋体" w:cs="宋体"/>
          <w:sz w:val="24"/>
          <w:szCs w:val="24"/>
        </w:rPr>
        <w:t xml:space="preserve">本项目旨在采购一套软件安全漏洞与利用技术测试平台和一套勒索软件行为分析与安全防护验证平台，以支持安全测试、漏洞验证、勒索软件分析相关工作，确保测试环境稳定、覆盖主流漏洞类型和利用手段，并提供完整的测试样本、分析报告及开发程序。</w:t>
      </w:r>
      <w:bookmarkEnd w:id="165"/>
      <w:r/>
      <w:r/>
    </w:p>
    <w:p>
      <w:pPr>
        <w:contextualSpacing w:val="0"/>
        <w:ind w:firstLine="480"/>
        <w:jc w:val="left"/>
        <w:keepLines w:val="0"/>
        <w:keepNext w:val="0"/>
        <w:pageBreakBefore w:val="0"/>
        <w:spacing w:line="283" w:lineRule="exact"/>
        <w:widowControl w:val="off"/>
        <w:rPr>
          <w:rFonts w:hint="eastAsia" w:ascii="黑体" w:hAnsi="黑体" w:eastAsia="黑体" w:cs="黑体"/>
          <w:sz w:val="24"/>
          <w:szCs w:val="24"/>
        </w:rPr>
        <w:suppressLineNumbers w:val="0"/>
      </w:pPr>
      <w:r>
        <w:rPr>
          <w:rFonts w:hint="eastAsia" w:ascii="黑体" w:hAnsi="黑体" w:eastAsia="黑体" w:cs="黑体"/>
          <w:sz w:val="24"/>
          <w:szCs w:val="24"/>
        </w:rPr>
        <w:t xml:space="preserve">（二）项目建设遵循标准</w:t>
      </w:r>
      <w:r/>
    </w:p>
    <w:p>
      <w:pPr>
        <w:contextualSpacing w:val="0"/>
        <w:ind w:firstLine="480"/>
        <w:jc w:val="left"/>
        <w:keepLines w:val="0"/>
        <w:keepNext w:val="0"/>
        <w:pageBreakBefore w:val="0"/>
        <w:spacing w:line="283" w:lineRule="exact"/>
        <w:widowControl w:val="off"/>
        <w:rPr>
          <w:rFonts w:hint="eastAsia" w:ascii="宋体" w:hAnsi="宋体" w:cs="宋体"/>
          <w:bCs/>
          <w:sz w:val="24"/>
          <w:szCs w:val="24"/>
        </w:rPr>
        <w:suppressLineNumbers w:val="0"/>
      </w:pPr>
      <w:r>
        <w:rPr>
          <w:rFonts w:hint="eastAsia" w:ascii="宋体" w:hAnsi="宋体" w:cs="宋体"/>
          <w:bCs/>
          <w:sz w:val="24"/>
          <w:szCs w:val="24"/>
        </w:rPr>
        <w:t xml:space="preserve">遵循国家、行业及地方现行的规范和标准。</w:t>
      </w:r>
      <w:r/>
    </w:p>
    <w:p>
      <w:pPr>
        <w:contextualSpacing w:val="0"/>
        <w:ind w:firstLine="480"/>
        <w:jc w:val="left"/>
        <w:keepLines w:val="0"/>
        <w:keepNext w:val="0"/>
        <w:pageBreakBefore w:val="0"/>
        <w:spacing w:line="283" w:lineRule="exact"/>
        <w:widowControl w:val="off"/>
        <w:rPr>
          <w:rFonts w:hint="eastAsia" w:ascii="黑体" w:hAnsi="黑体" w:eastAsia="黑体" w:cs="黑体"/>
          <w:sz w:val="24"/>
          <w:szCs w:val="24"/>
        </w:rPr>
        <w:suppressLineNumbers w:val="0"/>
      </w:pPr>
      <w:r>
        <w:rPr>
          <w:rFonts w:hint="eastAsia" w:ascii="黑体" w:hAnsi="黑体" w:eastAsia="黑体" w:cs="黑体"/>
          <w:sz w:val="24"/>
          <w:szCs w:val="24"/>
        </w:rPr>
        <w:t xml:space="preserve">三、产品清单</w:t>
      </w:r>
      <w:r/>
    </w:p>
    <w:tbl>
      <w:tblPr>
        <w:tblStyle w:val="701"/>
        <w:tblW w:w="5207" w:type="pct"/>
        <w:tblInd w:w="-1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8"/>
        <w:gridCol w:w="2247"/>
        <w:gridCol w:w="899"/>
        <w:gridCol w:w="763"/>
        <w:gridCol w:w="1316"/>
        <w:gridCol w:w="1791"/>
        <w:gridCol w:w="1134"/>
        <w:gridCol w:w="1088"/>
      </w:tblGrid>
      <w:tr>
        <w:trPr>
          <w:trHeight w:val="470"/>
        </w:trPr>
        <w:tc>
          <w:tcPr>
            <w:tcW w:w="927"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序号</w:t>
            </w:r>
            <w:r/>
          </w:p>
        </w:tc>
        <w:tc>
          <w:tcPr>
            <w:tcW w:w="2243"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名称</w:t>
            </w:r>
            <w:r/>
          </w:p>
        </w:tc>
        <w:tc>
          <w:tcPr>
            <w:tcW w:w="898"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数量</w:t>
            </w:r>
            <w:r/>
          </w:p>
        </w:tc>
        <w:tc>
          <w:tcPr>
            <w:tcW w:w="762"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单位</w:t>
            </w:r>
            <w:r/>
          </w:p>
        </w:tc>
        <w:tc>
          <w:tcPr>
            <w:tcW w:w="1314"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产品类型</w:t>
            </w:r>
            <w:r/>
          </w:p>
        </w:tc>
        <w:tc>
          <w:tcPr>
            <w:tcW w:w="1788"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所属行业类型</w:t>
            </w:r>
            <w:r/>
          </w:p>
        </w:tc>
        <w:tc>
          <w:tcPr>
            <w:tcW w:w="1132"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产品属性</w:t>
            </w:r>
            <w:r/>
          </w:p>
        </w:tc>
        <w:tc>
          <w:tcPr>
            <w:tcW w:w="1086"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备注</w:t>
            </w:r>
            <w:r/>
          </w:p>
        </w:tc>
      </w:tr>
      <w:tr>
        <w:trPr>
          <w:trHeight w:val="597"/>
        </w:trPr>
        <w:tc>
          <w:tcPr>
            <w:tcW w:w="927"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cs="宋体"/>
                <w:bCs/>
                <w:sz w:val="24"/>
                <w:szCs w:val="24"/>
              </w:rPr>
              <w:t xml:space="preserve">1</w:t>
            </w:r>
            <w:r/>
          </w:p>
        </w:tc>
        <w:tc>
          <w:tcPr>
            <w:tcW w:w="2243" w:type="dxa"/>
            <w:vAlign w:val="center"/>
            <w:textDirection w:val="lrTb"/>
            <w:noWrap w:val="false"/>
          </w:tcPr>
          <w:p>
            <w:pPr>
              <w:contextualSpacing w:val="0"/>
              <w:jc w:val="left"/>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cs="宋体"/>
                <w:bCs/>
                <w:sz w:val="24"/>
                <w:szCs w:val="24"/>
              </w:rPr>
              <w:t xml:space="preserve">软件安全漏洞与利用技术测试平台</w:t>
            </w:r>
            <w:r/>
          </w:p>
        </w:tc>
        <w:tc>
          <w:tcPr>
            <w:tcW w:w="898"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1</w:t>
            </w:r>
            <w:r/>
          </w:p>
        </w:tc>
        <w:tc>
          <w:tcPr>
            <w:tcW w:w="762"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项</w:t>
            </w:r>
            <w:r/>
          </w:p>
        </w:tc>
        <w:tc>
          <w:tcPr>
            <w:tcW w:w="1314"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主要产品</w:t>
            </w:r>
            <w:r/>
          </w:p>
        </w:tc>
        <w:tc>
          <w:tcPr>
            <w:tcW w:w="1788"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软件和信息技术服务业</w:t>
            </w:r>
            <w:r/>
          </w:p>
        </w:tc>
        <w:tc>
          <w:tcPr>
            <w:tcW w:w="1132"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cs="宋体"/>
                <w:bCs/>
                <w:sz w:val="24"/>
                <w:szCs w:val="24"/>
              </w:rPr>
              <w:suppressLineNumbers w:val="0"/>
            </w:pPr>
            <w:r>
              <w:rPr>
                <w:rFonts w:hint="eastAsia" w:ascii="宋体" w:hAnsi="宋体" w:cs="宋体"/>
                <w:bCs/>
                <w:sz w:val="24"/>
                <w:szCs w:val="24"/>
              </w:rPr>
              <w:t xml:space="preserve">服务</w:t>
            </w:r>
            <w:r/>
          </w:p>
        </w:tc>
        <w:tc>
          <w:tcPr>
            <w:tcW w:w="1086" w:type="dxa"/>
            <w:vAlign w:val="center"/>
            <w:textDirection w:val="lrTb"/>
            <w:noWrap w:val="false"/>
          </w:tcPr>
          <w:p>
            <w:pPr>
              <w:contextualSpacing w:val="0"/>
              <w:jc w:val="left"/>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r>
            <w:r/>
          </w:p>
        </w:tc>
      </w:tr>
      <w:tr>
        <w:trPr>
          <w:trHeight w:val="597"/>
        </w:trPr>
        <w:tc>
          <w:tcPr>
            <w:tcW w:w="927"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cs="宋体"/>
                <w:bCs/>
                <w:sz w:val="24"/>
                <w:szCs w:val="24"/>
              </w:rPr>
              <w:t xml:space="preserve">2</w:t>
            </w:r>
            <w:r/>
          </w:p>
        </w:tc>
        <w:tc>
          <w:tcPr>
            <w:tcW w:w="2243" w:type="dxa"/>
            <w:vAlign w:val="center"/>
            <w:textDirection w:val="lrTb"/>
            <w:noWrap w:val="false"/>
          </w:tcPr>
          <w:p>
            <w:pPr>
              <w:contextualSpacing w:val="0"/>
              <w:jc w:val="left"/>
              <w:keepLines w:val="0"/>
              <w:keepNext w:val="0"/>
              <w:pageBreakBefore w:val="0"/>
              <w:spacing w:line="283" w:lineRule="exact"/>
              <w:widowControl w:val="off"/>
              <w:rPr>
                <w:rFonts w:hint="eastAsia" w:ascii="宋体" w:hAnsi="宋体"/>
                <w:sz w:val="24"/>
                <w:szCs w:val="24"/>
              </w:rPr>
              <w:suppressLineNumbers w:val="0"/>
            </w:pPr>
            <w:r>
              <w:rPr>
                <w:rFonts w:hint="eastAsia" w:ascii="宋体" w:hAnsi="宋体" w:cs="宋体"/>
                <w:bCs/>
                <w:sz w:val="24"/>
                <w:szCs w:val="24"/>
              </w:rPr>
              <w:t xml:space="preserve">勒索软件行为分析与安全防护验证平台</w:t>
            </w:r>
            <w:r/>
          </w:p>
        </w:tc>
        <w:tc>
          <w:tcPr>
            <w:tcW w:w="898"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1</w:t>
            </w:r>
            <w:r/>
          </w:p>
        </w:tc>
        <w:tc>
          <w:tcPr>
            <w:tcW w:w="762"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项</w:t>
            </w:r>
            <w:r/>
          </w:p>
        </w:tc>
        <w:tc>
          <w:tcPr>
            <w:tcW w:w="1314"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主要产品</w:t>
            </w:r>
            <w:r/>
          </w:p>
        </w:tc>
        <w:tc>
          <w:tcPr>
            <w:tcW w:w="1788"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t xml:space="preserve">软件和信息技术服务业</w:t>
            </w:r>
            <w:r/>
          </w:p>
        </w:tc>
        <w:tc>
          <w:tcPr>
            <w:tcW w:w="1132" w:type="dxa"/>
            <w:vAlign w:val="center"/>
            <w:textDirection w:val="lrTb"/>
            <w:noWrap w:val="false"/>
          </w:tcPr>
          <w:p>
            <w:pPr>
              <w:contextualSpacing w:val="0"/>
              <w:jc w:val="center"/>
              <w:keepLines w:val="0"/>
              <w:keepNext w:val="0"/>
              <w:pageBreakBefore w:val="0"/>
              <w:spacing w:line="283" w:lineRule="exact"/>
              <w:widowControl w:val="off"/>
              <w:rPr>
                <w:rFonts w:hint="eastAsia" w:ascii="宋体" w:hAnsi="宋体" w:cs="宋体"/>
                <w:bCs/>
                <w:sz w:val="24"/>
                <w:szCs w:val="24"/>
              </w:rPr>
              <w:suppressLineNumbers w:val="0"/>
            </w:pPr>
            <w:r>
              <w:rPr>
                <w:rFonts w:hint="eastAsia" w:ascii="宋体" w:hAnsi="宋体" w:cs="宋体"/>
                <w:bCs/>
                <w:sz w:val="24"/>
                <w:szCs w:val="24"/>
              </w:rPr>
              <w:t xml:space="preserve">服务</w:t>
            </w:r>
            <w:r/>
          </w:p>
        </w:tc>
        <w:tc>
          <w:tcPr>
            <w:tcW w:w="1086" w:type="dxa"/>
            <w:vAlign w:val="center"/>
            <w:textDirection w:val="lrTb"/>
            <w:noWrap w:val="false"/>
          </w:tcPr>
          <w:p>
            <w:pPr>
              <w:contextualSpacing w:val="0"/>
              <w:jc w:val="left"/>
              <w:keepLines w:val="0"/>
              <w:keepNext w:val="0"/>
              <w:pageBreakBefore w:val="0"/>
              <w:spacing w:line="283" w:lineRule="exact"/>
              <w:widowControl w:val="off"/>
              <w:rPr>
                <w:rFonts w:hint="eastAsia" w:ascii="宋体" w:hAnsi="宋体"/>
                <w:bCs/>
                <w:sz w:val="24"/>
                <w:szCs w:val="24"/>
              </w:rPr>
              <w:suppressLineNumbers w:val="0"/>
            </w:pPr>
            <w:r>
              <w:rPr>
                <w:rFonts w:hint="eastAsia" w:ascii="宋体" w:hAnsi="宋体"/>
                <w:bCs/>
                <w:sz w:val="24"/>
                <w:szCs w:val="24"/>
              </w:rPr>
            </w:r>
            <w:r/>
          </w:p>
        </w:tc>
      </w:tr>
    </w:tbl>
    <w:p>
      <w:pPr>
        <w:contextualSpacing w:val="0"/>
        <w:ind w:firstLine="480"/>
        <w:jc w:val="left"/>
        <w:keepLines w:val="0"/>
        <w:keepNext w:val="0"/>
        <w:pageBreakBefore w:val="0"/>
        <w:spacing w:line="283" w:lineRule="exact"/>
        <w:widowControl w:val="off"/>
        <w:rPr>
          <w:rFonts w:hint="eastAsia" w:ascii="宋体" w:hAnsi="宋体" w:cs="宋体"/>
          <w:b/>
          <w:sz w:val="24"/>
          <w:szCs w:val="24"/>
        </w:rPr>
        <w:suppressLineNumbers w:val="0"/>
      </w:pPr>
      <w:r>
        <w:rPr>
          <w:rFonts w:hint="eastAsia" w:ascii="黑体" w:hAnsi="黑体" w:eastAsia="黑体" w:cs="黑体"/>
          <w:sz w:val="24"/>
          <w:szCs w:val="24"/>
        </w:rPr>
        <w:t xml:space="preserve">四、拟采购标的需要满足的技术、商务要求</w:t>
      </w:r>
      <w:r/>
    </w:p>
    <w:p>
      <w:pPr>
        <w:contextualSpacing w:val="0"/>
        <w:ind w:firstLine="480"/>
        <w:jc w:val="left"/>
        <w:keepLines w:val="0"/>
        <w:keepNext w:val="0"/>
        <w:pageBreakBefore w:val="0"/>
        <w:spacing w:line="283" w:lineRule="exact"/>
        <w:widowControl w:val="off"/>
        <w:rPr>
          <w:rFonts w:hint="eastAsia" w:ascii="宋体" w:hAnsi="宋体" w:cs="宋体"/>
          <w:bCs/>
          <w:sz w:val="24"/>
          <w:szCs w:val="24"/>
        </w:rPr>
        <w:suppressLineNumbers w:val="0"/>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p>
    <w:tbl>
      <w:tblPr>
        <w:tblStyle w:val="701"/>
        <w:tblW w:w="1001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60" w:type="dxa"/>
          <w:right w:w="120" w:type="dxa"/>
          <w:bottom w:w="30" w:type="dxa"/>
        </w:tblCellMar>
        <w:tblLook w:val="04A0" w:firstRow="1" w:lastRow="0" w:firstColumn="1" w:lastColumn="0" w:noHBand="0" w:noVBand="1"/>
      </w:tblPr>
      <w:tblGrid>
        <w:gridCol w:w="1111"/>
        <w:gridCol w:w="8908"/>
      </w:tblGrid>
      <w:tr>
        <w:trPr>
          <w:trHeight w:val="426"/>
        </w:trPr>
        <w:tc>
          <w:tcPr>
            <w:tcMar>
              <w:left w:w="120" w:type="dxa"/>
              <w:top w:w="60" w:type="dxa"/>
              <w:right w:w="120" w:type="dxa"/>
              <w:bottom w:w="30" w:type="dxa"/>
            </w:tcMar>
            <w:tcW w:w="1111" w:type="dxa"/>
            <w:vAlign w:val="top"/>
            <w:textDirection w:val="lrTb"/>
            <w:noWrap w:val="false"/>
          </w:tcPr>
          <w:p>
            <w:pPr>
              <w:contextualSpacing w:val="0"/>
              <w:jc w:val="center"/>
              <w:keepLines w:val="0"/>
              <w:keepNext w:val="0"/>
              <w:pageBreakBefore w:val="0"/>
              <w:spacing w:before="120" w:after="120" w:line="283" w:lineRule="exact"/>
              <w:widowControl w:val="off"/>
              <w:rPr>
                <w:rFonts w:hint="eastAsia" w:ascii="宋体" w:hAnsi="宋体"/>
                <w:sz w:val="24"/>
                <w:szCs w:val="24"/>
              </w:rPr>
              <w:suppressLineNumbers w:val="0"/>
            </w:pPr>
            <w:r>
              <w:rPr>
                <w:rFonts w:ascii="宋体" w:hAnsi="宋体" w:cs="Arial"/>
                <w:sz w:val="24"/>
                <w:szCs w:val="24"/>
              </w:rPr>
              <w:t xml:space="preserve">名称</w:t>
            </w:r>
            <w:r/>
          </w:p>
        </w:tc>
        <w:tc>
          <w:tcPr>
            <w:tcMar>
              <w:left w:w="120" w:type="dxa"/>
              <w:top w:w="60" w:type="dxa"/>
              <w:right w:w="120" w:type="dxa"/>
              <w:bottom w:w="30" w:type="dxa"/>
            </w:tcMar>
            <w:tcW w:w="8908" w:type="dxa"/>
            <w:vAlign w:val="center"/>
            <w:textDirection w:val="lrTb"/>
            <w:noWrap w:val="false"/>
          </w:tcPr>
          <w:p>
            <w:pPr>
              <w:contextualSpacing w:val="0"/>
              <w:jc w:val="center"/>
              <w:keepLines w:val="0"/>
              <w:keepNext w:val="0"/>
              <w:pageBreakBefore w:val="0"/>
              <w:spacing w:before="120" w:after="120" w:line="283" w:lineRule="exact"/>
              <w:widowControl w:val="off"/>
              <w:rPr>
                <w:rFonts w:hint="eastAsia" w:ascii="宋体" w:hAnsi="宋体"/>
                <w:sz w:val="24"/>
                <w:szCs w:val="24"/>
              </w:rPr>
              <w:suppressLineNumbers w:val="0"/>
            </w:pPr>
            <w:r>
              <w:rPr>
                <w:rFonts w:ascii="宋体" w:hAnsi="宋体" w:cs="Arial"/>
                <w:sz w:val="24"/>
                <w:szCs w:val="24"/>
              </w:rPr>
              <w:t xml:space="preserve">参数要求</w:t>
            </w:r>
            <w:r/>
          </w:p>
        </w:tc>
      </w:tr>
      <w:tr>
        <w:trPr>
          <w:trHeight w:val="90"/>
        </w:trPr>
        <w:tc>
          <w:tcPr>
            <w:tcMar>
              <w:left w:w="120" w:type="dxa"/>
              <w:top w:w="60" w:type="dxa"/>
              <w:right w:w="120" w:type="dxa"/>
              <w:bottom w:w="30" w:type="dxa"/>
            </w:tcMar>
            <w:tcW w:w="1111" w:type="dxa"/>
            <w:vAlign w:val="center"/>
            <w:textDirection w:val="lrTb"/>
            <w:noWrap w:val="false"/>
          </w:tcPr>
          <w:p>
            <w:pPr>
              <w:contextualSpacing w:val="0"/>
              <w:jc w:val="left"/>
              <w:keepLines w:val="0"/>
              <w:keepNext w:val="0"/>
              <w:pageBreakBefore w:val="0"/>
              <w:spacing w:before="120" w:after="120" w:line="283" w:lineRule="exact"/>
              <w:widowControl w:val="off"/>
              <w:rPr>
                <w:rFonts w:hint="eastAsia" w:ascii="宋体" w:hAnsi="宋体" w:cs="Arial"/>
                <w:sz w:val="24"/>
                <w:szCs w:val="24"/>
              </w:rPr>
              <w:suppressLineNumbers w:val="0"/>
            </w:pPr>
            <w:r>
              <w:rPr>
                <w:rFonts w:hint="eastAsia" w:ascii="宋体" w:hAnsi="宋体" w:cs="Arial"/>
                <w:sz w:val="24"/>
                <w:szCs w:val="24"/>
              </w:rPr>
              <w:t xml:space="preserve">软件安全漏洞与利用技术测试平台</w:t>
            </w:r>
            <w:r/>
          </w:p>
        </w:tc>
        <w:tc>
          <w:tcPr>
            <w:tcMar>
              <w:left w:w="120" w:type="dxa"/>
              <w:top w:w="60" w:type="dxa"/>
              <w:right w:w="120" w:type="dxa"/>
              <w:bottom w:w="30" w:type="dxa"/>
            </w:tcMar>
            <w:tcW w:w="8908" w:type="dxa"/>
            <w:vAlign w:val="top"/>
            <w:textDirection w:val="lrTb"/>
            <w:noWrap w:val="false"/>
          </w:tcPr>
          <w:p>
            <w:pPr>
              <w:contextualSpacing w:val="0"/>
              <w:ind w:firstLine="480"/>
              <w:jc w:val="left"/>
              <w:keepLines w:val="0"/>
              <w:keepNext w:val="0"/>
              <w:pageBreakBefore w:val="0"/>
              <w:spacing w:line="283" w:lineRule="exact"/>
              <w:widowControl w:val="off"/>
              <w:rPr>
                <w:rFonts w:hint="eastAsia" w:ascii="宋体" w:hAnsi="宋体" w:cs="宋体"/>
                <w:b/>
                <w:bCs/>
                <w:sz w:val="24"/>
                <w:szCs w:val="24"/>
              </w:rPr>
              <w:suppressLineNumbers w:val="0"/>
            </w:pP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运行环境</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提供完整的Windows编译工具链，配置必要的SDK环境变量和编译依赖库，禁用Windows自动更新机制，确保测试环境稳定性，提供编译环境配置文档；</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要求开发一套C/S测试集验证框架，该框架服务器端可以获得测试集的执行状态，客户端要求能达到验证漏洞的测试条件；</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要求提供调试环境，包括提供符号文件（PDB）及调试符号路径配置，支持WinDbg或Visual Studio调试器接入；</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支持windows10以上操作系统。</w:t>
            </w:r>
            <w:r/>
          </w:p>
          <w:p>
            <w:pPr>
              <w:contextualSpacing w:val="0"/>
              <w:ind w:firstLine="480"/>
              <w:jc w:val="left"/>
              <w:keepLines w:val="0"/>
              <w:keepNext w:val="0"/>
              <w:pageBreakBefore w:val="0"/>
              <w:spacing w:line="283" w:lineRule="exact"/>
              <w:widowControl w:val="off"/>
              <w:rPr>
                <w:rFonts w:hint="eastAsia" w:ascii="宋体" w:hAnsi="宋体" w:cs="宋体"/>
                <w:b/>
                <w:bCs/>
                <w:sz w:val="24"/>
                <w:szCs w:val="24"/>
              </w:rPr>
              <w:suppressLineNumbers w:val="0"/>
            </w:pPr>
            <w:r>
              <w:rPr>
                <w:rFonts w:hint="eastAsia" w:ascii="宋体" w:hAnsi="宋体" w:cs="宋体"/>
                <w:b/>
                <w:bCs/>
                <w:sz w:val="24"/>
                <w:szCs w:val="24"/>
                <w:lang w:val="en-US" w:eastAsia="zh-CN"/>
              </w:rPr>
              <w:t xml:space="preserve">2.基础漏洞测试集</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基础漏洞测试集应覆盖主流漏洞类型，包括但不限于栈溢出、堆溢出、UAF、数组越界、整数溢出漏洞类型，漏洞类型不少于8种，每种漏洞类型测试集不少于4个，基础漏洞测试样例总共不得少于50个，x86和x64架构的测试集各不少于25个；</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栈溢出要求包括地址覆盖、SEH覆盖等场景；堆溢出要求包括堆块元数据破坏、相邻堆块覆盖等场景；UAF要求包括对象释放后使用等场景；数组越界要求包括读越界、写越界等场景；整数溢出要求包括有符号溢出、无符号溢出、乘法溢出等场景；</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测试样例按照统一的格式命名，格式为：[编号]_[漏洞类型]_[测试样例名]_[架构]，所有源文件需遵循统一命名约定，每个漏洞类型独立目录存放；</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每个测试样例需包含漏洞类型、触发条件、预期结果等信息；</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每个测试样例需提供编译选项文档和对应的Makefile文件，明确指定如优化级别（如 /O0 或 /O2）、安全特性开关（如禁用 /GS）等编译选项，每个样例如有特殊编译需求需单独说明；</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每个测试样例需尽量独立，减少外部依赖，如有依赖库，需在文档中列出；</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每个测试样例需变量命名清晰，关键代码段需添加注释。</w:t>
            </w:r>
            <w:r/>
          </w:p>
          <w:p>
            <w:pPr>
              <w:contextualSpacing w:val="0"/>
              <w:ind w:firstLine="480"/>
              <w:jc w:val="left"/>
              <w:keepLines w:val="0"/>
              <w:keepNext w:val="0"/>
              <w:pageBreakBefore w:val="0"/>
              <w:spacing w:line="283" w:lineRule="exact"/>
              <w:widowControl w:val="off"/>
              <w:rPr>
                <w:rFonts w:hint="eastAsia" w:ascii="宋体" w:hAnsi="宋体" w:cs="宋体"/>
                <w:b/>
                <w:bCs/>
                <w:sz w:val="24"/>
                <w:szCs w:val="24"/>
              </w:rPr>
              <w:suppressLineNumbers w:val="0"/>
            </w:pPr>
            <w:r>
              <w:rPr>
                <w:rFonts w:hint="eastAsia" w:ascii="宋体" w:hAnsi="宋体" w:cs="宋体"/>
                <w:b/>
                <w:bCs/>
                <w:sz w:val="24"/>
                <w:szCs w:val="24"/>
                <w:lang w:val="en-US" w:eastAsia="zh-CN"/>
              </w:rPr>
              <w:t xml:space="preserve">3.二进制利用手段测试集</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二进制利用手段测试集应覆盖主流利用手段，包含但不限于unlink、shellcode、heap-overlapping、ROP、Stack Pivot、格式化字符串漏洞等利用手段，利用手段不少于8种，每种利用手段测试集不少于2个，利用手段测试样例总共不得少于40个，x86和x64架构的测试集各不少于20个；</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二进制利用手段测试集应包含但不限于IAT、heap、stack三种地址泄露方式，每种泄露方式至少在2个不同手段中体现。</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每个测试样例需包含利用手段、预期结果、利用步骤等信息；</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每个测试样应至少达到弹出第三方进程（如计算器）、获取shell、生成新文件三个判断标准中的一种；</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测试样例按照统一格式命名，格式为：[编号]_[ 利用手段]_[测试样例名]_[架构]，所有源文件需遵循统一命名约定，每个漏洞类型独立目录存放；</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每种利用手段要求提供不少于1种的防护思路或加固方法，若加固方法有开源代码，需提供开源链接（如github等）。</w:t>
            </w:r>
            <w:r/>
          </w:p>
          <w:p>
            <w:pPr>
              <w:contextualSpacing w:val="0"/>
              <w:ind w:firstLine="480"/>
              <w:jc w:val="left"/>
              <w:keepLines w:val="0"/>
              <w:keepNext w:val="0"/>
              <w:pageBreakBefore w:val="0"/>
              <w:spacing w:line="283" w:lineRule="exact"/>
              <w:widowControl w:val="off"/>
              <w:rPr>
                <w:rFonts w:hint="eastAsia" w:ascii="宋体" w:hAnsi="宋体" w:cs="宋体"/>
                <w:b/>
                <w:bCs/>
                <w:sz w:val="24"/>
                <w:szCs w:val="24"/>
              </w:rPr>
              <w:suppressLineNumbers w:val="0"/>
            </w:pPr>
            <w:r>
              <w:rPr>
                <w:rFonts w:hint="eastAsia" w:ascii="宋体" w:hAnsi="宋体" w:cs="宋体"/>
                <w:b/>
                <w:bCs/>
                <w:sz w:val="24"/>
                <w:szCs w:val="24"/>
                <w:lang w:val="en-US" w:eastAsia="zh-CN"/>
              </w:rPr>
              <w:t xml:space="preserve">4.网络应用漏洞测试集</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网络应用漏洞测试集应包含至少4种漏洞类型，每种漏洞类型测试集不少于3个，网络应用漏洞测试样例总共不得少于30个，x86和x64架构的测试集各不少于15个；</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漏洞类型至少包括但不限于桟溢出、格式化字符串、堆溢出、UAF等；</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对网络应用进行漏洞收集，要求至少包含但不限于TCP，UDP等协议；</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测试样例按照统一格式命名，格式为：[编号]_[漏洞类型]_[测试样例名]_[架构]，所有源文件需遵循统一命名约定，每个漏洞类型独立目录存放；</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每个测试样例需包含漏洞类型、触发条件、预期结果等信息；</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每个测试样例需提编译选项文档和对应的Makefile文件，明确指定如优化级别（如/O0或/O2）、安全特性开关（如禁用/GS）等编译选项，每个样例如有特殊编译需求需单独说明；</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每个测试样例需尽量独立，减少外部依赖，如有依赖库，需在文档中列出；</w:t>
            </w:r>
            <w:r/>
          </w:p>
          <w:p>
            <w:pPr>
              <w:contextualSpacing w:val="0"/>
              <w:ind w:firstLine="480"/>
              <w:jc w:val="left"/>
              <w:keepLines w:val="0"/>
              <w:keepNext w:val="0"/>
              <w:pageBreakBefore w:val="0"/>
              <w:spacing w:line="283" w:lineRule="exact"/>
              <w:widowControl w:val="off"/>
              <w:rPr>
                <w:rFonts w:hint="eastAsia" w:eastAsia="宋体"/>
              </w:rPr>
              <w:suppressLineNumbers w:val="0"/>
            </w:pPr>
            <w:r>
              <w:rPr>
                <w:rFonts w:hint="eastAsia" w:ascii="宋体" w:hAnsi="宋体" w:cs="宋体"/>
                <w:sz w:val="24"/>
                <w:szCs w:val="24"/>
              </w:rPr>
              <w:t xml:space="preserve">每个测试样例需变量命名清晰，关键代码段需添加注释。</w:t>
            </w:r>
            <w:r/>
          </w:p>
        </w:tc>
      </w:tr>
      <w:tr>
        <w:trPr>
          <w:trHeight w:val="2103"/>
        </w:trPr>
        <w:tc>
          <w:tcPr>
            <w:tcMar>
              <w:left w:w="120" w:type="dxa"/>
              <w:top w:w="60" w:type="dxa"/>
              <w:right w:w="120" w:type="dxa"/>
              <w:bottom w:w="30" w:type="dxa"/>
            </w:tcMar>
            <w:tcW w:w="1111" w:type="dxa"/>
            <w:vAlign w:val="center"/>
            <w:textDirection w:val="lrTb"/>
            <w:noWrap w:val="false"/>
          </w:tcPr>
          <w:p>
            <w:pPr>
              <w:contextualSpacing w:val="0"/>
              <w:jc w:val="left"/>
              <w:keepLines w:val="0"/>
              <w:keepNext w:val="0"/>
              <w:pageBreakBefore w:val="0"/>
              <w:spacing w:before="120" w:after="120" w:line="283" w:lineRule="exact"/>
              <w:widowControl w:val="off"/>
              <w:rPr>
                <w:rFonts w:hint="eastAsia" w:ascii="宋体" w:hAnsi="宋体" w:cs="Arial"/>
                <w:sz w:val="24"/>
                <w:szCs w:val="24"/>
              </w:rPr>
              <w:suppressLineNumbers w:val="0"/>
            </w:pPr>
            <w:r>
              <w:rPr>
                <w:rFonts w:hint="eastAsia" w:ascii="宋体" w:hAnsi="宋体" w:cs="宋体"/>
                <w:bCs/>
                <w:sz w:val="24"/>
                <w:szCs w:val="24"/>
              </w:rPr>
              <w:t xml:space="preserve">勒索软件行为分析与安全防护验证平台</w:t>
            </w:r>
            <w:r/>
          </w:p>
        </w:tc>
        <w:tc>
          <w:tcPr>
            <w:tcMar>
              <w:left w:w="120" w:type="dxa"/>
              <w:top w:w="60" w:type="dxa"/>
              <w:right w:w="120" w:type="dxa"/>
              <w:bottom w:w="30" w:type="dxa"/>
            </w:tcMar>
            <w:tcW w:w="8908" w:type="dxa"/>
            <w:vAlign w:val="top"/>
            <w:textDirection w:val="lrTb"/>
            <w:noWrap w:val="false"/>
          </w:tcPr>
          <w:p>
            <w:pPr>
              <w:contextualSpacing w:val="0"/>
              <w:ind w:firstLine="480"/>
              <w:jc w:val="left"/>
              <w:keepLines w:val="0"/>
              <w:keepNext w:val="0"/>
              <w:pageBreakBefore w:val="0"/>
              <w:spacing w:line="283" w:lineRule="exact"/>
              <w:widowControl w:val="off"/>
              <w:rPr>
                <w:rFonts w:hint="eastAsia" w:ascii="宋体" w:hAnsi="宋体" w:cs="宋体"/>
                <w:b/>
                <w:bCs/>
                <w:sz w:val="24"/>
                <w:szCs w:val="24"/>
              </w:rPr>
              <w:suppressLineNumbers w:val="0"/>
            </w:pPr>
            <w:r>
              <w:rPr>
                <w:rFonts w:hint="eastAsia" w:ascii="宋体" w:hAnsi="宋体" w:cs="宋体"/>
                <w:b/>
                <w:bCs/>
                <w:sz w:val="24"/>
                <w:szCs w:val="24"/>
                <w:lang w:val="en-US" w:eastAsia="zh-CN"/>
              </w:rPr>
              <w:t xml:space="preserve">1.勒索软件行为分析</w:t>
            </w:r>
            <w:r/>
          </w:p>
          <w:p>
            <w:pPr>
              <w:contextualSpacing w:val="0"/>
              <w:ind w:firstLine="480"/>
              <w:jc w:val="left"/>
              <w:keepLines w:val="0"/>
              <w:keepNext w:val="0"/>
              <w:pageBreakBefore w:val="0"/>
              <w:spacing w:line="283" w:lineRule="exact"/>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提供</w:t>
            </w:r>
            <w:r>
              <w:rPr>
                <w:rFonts w:hint="eastAsia" w:ascii="宋体" w:hAnsi="宋体" w:cs="宋体"/>
                <w:sz w:val="24"/>
                <w:szCs w:val="24"/>
              </w:rPr>
              <w:t xml:space="preserve">不少于120个样本</w:t>
            </w:r>
            <w:r>
              <w:rPr>
                <w:rFonts w:hint="eastAsia" w:ascii="宋体" w:hAnsi="宋体" w:cs="宋体"/>
                <w:sz w:val="24"/>
                <w:szCs w:val="24"/>
                <w:lang w:val="en-US" w:eastAsia="zh-CN"/>
              </w:rPr>
              <w:t xml:space="preserve">的测试集</w:t>
            </w:r>
            <w:r>
              <w:rPr>
                <w:rFonts w:hint="eastAsia" w:ascii="宋体" w:hAnsi="宋体" w:cs="宋体"/>
                <w:sz w:val="24"/>
                <w:szCs w:val="24"/>
              </w:rPr>
              <w:t xml:space="preserve">，并且2020-2025年所出现的样本不少于20个</w:t>
            </w:r>
            <w:r>
              <w:rPr>
                <w:rFonts w:hint="eastAsia" w:ascii="宋体" w:hAnsi="宋体" w:cs="宋体"/>
                <w:sz w:val="24"/>
                <w:szCs w:val="24"/>
                <w:lang w:eastAsia="zh-CN"/>
              </w:rPr>
              <w:t xml:space="preserve">：</w:t>
            </w:r>
            <w:r/>
          </w:p>
          <w:p>
            <w:pPr>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测试样本应包含不少于15种家族；</w:t>
            </w:r>
            <w:r/>
          </w:p>
          <w:p>
            <w:pPr>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测试样本应包含不少于6种加密算法，包括但不限于RSA、Curve25519、AES、ChaCha20、Salsa20等算法；</w:t>
            </w:r>
            <w:r/>
          </w:p>
          <w:p>
            <w:pPr>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提供的测试样本中，需包含有双重或多重勒索行为的样本（比如加密文件、数据泄露、数据擦除、DDoS威胁等）；</w:t>
            </w:r>
            <w:r/>
          </w:p>
          <w:p>
            <w:pPr>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对提供的样本进行特征解析，提取出勒索家族、加密算法、勒索行为、文件指纹、是否加壳、是否混淆、是否为自启动、是否提权、是否采用进程注入、是否规避检测机制、是否横向移动等，如有无法提供的需说明原因；</w:t>
            </w:r>
            <w:r/>
          </w:p>
          <w:p>
            <w:pPr>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要求对测试样本进行分析，提供至少5份分析报告，报告中需要包括样本的网络行为（如攻击的服务和端口，勒索软件网络流量的分析等）、文件行为（如文件操作、注册表修改等）、API调用行为；</w:t>
            </w:r>
            <w:r/>
          </w:p>
          <w:p>
            <w:pPr>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提供的勒索病毒测试环境要求逻辑隔离，可采用沙箱等方式；</w:t>
            </w:r>
            <w:r/>
          </w:p>
          <w:p>
            <w:pPr>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勒索病毒运行的系统环境为windows10、windows11、windows server2012等平台。</w:t>
            </w:r>
            <w:r/>
          </w:p>
          <w:p>
            <w:pPr>
              <w:numPr>
                <w:ilvl w:val="0"/>
                <w:numId w:val="5"/>
              </w:numPr>
              <w:contextualSpacing w:val="0"/>
              <w:ind w:left="425" w:hanging="425"/>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提供测试集咨询和支持服务。</w:t>
            </w:r>
            <w:r/>
          </w:p>
          <w:p>
            <w:pPr>
              <w:contextualSpacing w:val="0"/>
              <w:ind w:firstLine="480"/>
              <w:jc w:val="left"/>
              <w:keepLines w:val="0"/>
              <w:keepNext w:val="0"/>
              <w:pageBreakBefore w:val="0"/>
              <w:spacing w:line="283" w:lineRule="exact"/>
              <w:widowControl w:val="off"/>
              <w:rPr>
                <w:rFonts w:hint="eastAsia" w:ascii="宋体" w:hAnsi="宋体" w:cs="宋体"/>
                <w:b/>
                <w:bCs/>
                <w:sz w:val="24"/>
                <w:szCs w:val="24"/>
              </w:rPr>
              <w:suppressLineNumbers w:val="0"/>
            </w:pPr>
            <w:r>
              <w:rPr>
                <w:rFonts w:hint="eastAsia" w:ascii="宋体" w:hAnsi="宋体" w:cs="宋体"/>
                <w:b/>
                <w:bCs/>
                <w:sz w:val="24"/>
                <w:szCs w:val="24"/>
                <w:lang w:val="en-US" w:eastAsia="zh-CN"/>
              </w:rPr>
              <w:t xml:space="preserve">2.勒索软件安全防护验证</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Arial"/>
                <w:sz w:val="24"/>
                <w:szCs w:val="24"/>
              </w:rPr>
              <w:t xml:space="preserve">要</w:t>
            </w:r>
            <w:r>
              <w:rPr>
                <w:rFonts w:hint="eastAsia" w:ascii="宋体" w:hAnsi="宋体" w:cs="宋体"/>
                <w:sz w:val="24"/>
                <w:szCs w:val="24"/>
              </w:rPr>
              <w:t xml:space="preserve">求程序需要有非对称加密算法来上传加密密码，并且使用对称加密算法对所有文件进行加密；</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程序需要有通信模块，并且包括服务器端和客户端，客户端执行后需要将加密密码和客户端设备的唯一识别码发给到服务器端，服务器端需要将信息进行记录；</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程序要求加密的文件类型包。括.doc/.docx/.xls/.xlsx/.pdf/.jpg/.png且不少于30种类型；</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程序在加密完文件后需要弹出窗口显示勒索信息，并且需要提供对应的输入窗口让用户输入解密密码，并且要求程序需要可以校验解密密码的正确性；</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程序要求使用C/C++语言开发；</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提供程序的编译环境；</w:t>
            </w:r>
            <w:r/>
          </w:p>
          <w:p>
            <w:pPr>
              <w:contextualSpacing w:val="0"/>
              <w:ind w:firstLine="480"/>
              <w:jc w:val="left"/>
              <w:keepLines w:val="0"/>
              <w:keepNext w:val="0"/>
              <w:pageBreakBefore w:val="0"/>
              <w:spacing w:line="283" w:lineRule="exact"/>
              <w:widowControl w:val="off"/>
              <w:rPr>
                <w:rFonts w:hint="eastAsia" w:ascii="宋体" w:hAnsi="宋体" w:cs="宋体"/>
                <w:sz w:val="24"/>
                <w:szCs w:val="24"/>
              </w:rPr>
              <w:suppressLineNumbers w:val="0"/>
            </w:pPr>
            <w:r>
              <w:rPr>
                <w:rFonts w:hint="eastAsia" w:ascii="宋体" w:hAnsi="宋体" w:cs="宋体"/>
                <w:sz w:val="24"/>
                <w:szCs w:val="24"/>
              </w:rPr>
              <w:t xml:space="preserve">以虚拟机方式（如vmware）提供运行测试环境；</w:t>
            </w:r>
            <w:r/>
          </w:p>
          <w:p>
            <w:pPr>
              <w:contextualSpacing w:val="0"/>
              <w:ind w:firstLine="480"/>
              <w:jc w:val="left"/>
              <w:keepLines w:val="0"/>
              <w:keepNext w:val="0"/>
              <w:pageBreakBefore w:val="0"/>
              <w:spacing w:line="283" w:lineRule="exact"/>
              <w:widowControl w:val="off"/>
              <w:rPr>
                <w:rFonts w:hint="eastAsia"/>
              </w:rPr>
              <w:suppressLineNumbers w:val="0"/>
            </w:pPr>
            <w:r>
              <w:rPr>
                <w:rFonts w:hint="eastAsia" w:ascii="宋体" w:hAnsi="宋体" w:cs="宋体"/>
                <w:sz w:val="24"/>
                <w:szCs w:val="24"/>
              </w:rPr>
              <w:t xml:space="preserve">提供程序咨询和支持服务。</w:t>
            </w:r>
            <w:r/>
          </w:p>
        </w:tc>
      </w:tr>
    </w:tbl>
    <w:p>
      <w:pPr>
        <w:pStyle w:val="890"/>
        <w:contextualSpacing w:val="0"/>
        <w:ind w:left="0"/>
        <w:jc w:val="left"/>
        <w:keepLines w:val="0"/>
        <w:keepNext w:val="0"/>
        <w:pageBreakBefore w:val="0"/>
        <w:spacing w:line="283" w:lineRule="exact"/>
        <w:widowControl w:val="off"/>
        <w:rPr>
          <w:rFonts w:eastAsia="等线"/>
        </w:rPr>
        <w:suppressLineNumbers w:val="0"/>
      </w:pPr>
      <w:r>
        <w:rPr>
          <w:rFonts w:eastAsia="等线"/>
        </w:rPr>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★（二）商务要求</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1.实施要求</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（1）总体要求</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供应商需确保交付的所有内容符合上述技术要求，提供源代码、技术文档以及测试集咨询和支持服务。</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（2）报价要求</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报价应合理，不得超过预算金额。报价应包含为满足本项目所有技术要求及交付内容所需的一切费用，须覆盖所有服务清单项，包括测试集开发、样本分析、报告生成和咨询支持。</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（3）质量要求</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所有测试样例需遵循统一的格式命名和命名约定，变量命名清晰、关键代码段添加注释，确保测试环境逻辑隔离。分析报告须详尽，包括网络行为、文件行为和API调用行为。</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（4）验收要求</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验收标准基于技术要求，包括测试集覆盖率、样本数量、家族多样性、加密算法类型等。交付内容通过采购人组织的验收测试，符合约定的技术指标和功能要求。交付内容包含以下项：</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1）软件安全漏洞与利用技术测试平台1套，包含测试环境、基础漏洞测试集、二进制利用手段测试集、网络应用测试集。</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2）勒索软件行为分析与安全防护验证平台1套，包含测试样本集、开发验证程序。</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如上交付的2套平台，交付时需</w:t>
      </w:r>
      <w:r>
        <w:rPr>
          <w:rFonts w:hint="eastAsia" w:ascii="宋体" w:hAnsi="宋体" w:eastAsia="宋体" w:cs="宋体"/>
          <w:color w:val="000000"/>
          <w:sz w:val="24"/>
          <w:szCs w:val="24"/>
        </w:rPr>
        <w:t xml:space="preserve">提供源代码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涉及的知识产权完全归紫金山实验室所有</w:t>
      </w:r>
      <w:r>
        <w:rPr>
          <w:rFonts w:hint="eastAsia" w:ascii="宋体" w:hAnsi="宋体" w:eastAsia="宋体" w:cs="宋体"/>
          <w:color w:val="000000"/>
          <w:sz w:val="24"/>
          <w:szCs w:val="24"/>
        </w:rPr>
        <w:t xml:space="preserve">。</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4）技术文档。</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（5）维保要求</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提供技术咨询和支持服务，确保交付后可咨询问题并获得支持。</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2.付款条件</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以第三章合同文本要求为准。</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3.交付时间及地点</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（1）交付时间：合同签订后60天内交付。</w:t>
      </w:r>
      <w:r/>
    </w:p>
    <w:p>
      <w:pPr>
        <w:numPr>
          <w:ilvl w:val="0"/>
          <w:numId w:val="0"/>
        </w:numPr>
        <w:contextualSpacing w:val="0"/>
        <w:ind w:firstLine="480"/>
        <w:jc w:val="left"/>
        <w:keepLines w:val="0"/>
        <w:keepNext w:val="0"/>
        <w:pageBreakBefore w:val="0"/>
        <w:spacing w:line="283" w:lineRule="exact"/>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（2）交付地点：采购人指定地点。</w:t>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bookmarkStart w:id="166" w:name="_Toc120614281"/>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成交标准</w:t>
      </w:r>
      <w:r/>
    </w:p>
    <w:p>
      <w:pPr>
        <w:ind w:firstLine="420"/>
        <w:keepLines w:val="0"/>
        <w:keepNext w:val="0"/>
        <w:pageBreakBefore w:val="0"/>
        <w:spacing w:line="240" w:lineRule="auto"/>
        <w:widowControl w:val="off"/>
        <w:rPr>
          <w:rFonts w:hint="eastAsia" w:ascii="Times New Roman" w:hAnsi="Times New Roman" w:eastAsia="宋体" w:cs="Times New Roman"/>
          <w:b w:val="0"/>
          <w:bCs w:val="0"/>
          <w:color w:val="000000"/>
          <w:sz w:val="21"/>
          <w:szCs w:val="21"/>
          <w:lang w:eastAsia="zh-CN"/>
        </w:rPr>
      </w:pPr>
      <w:r>
        <w:rPr>
          <w:rFonts w:hint="eastAsia" w:ascii="Times New Roman" w:hAnsi="Times New Roman" w:eastAsia="宋体" w:cs="Times New Roman"/>
          <w:b w:val="0"/>
          <w:bCs w:val="0"/>
          <w:color w:val="000000"/>
          <w:sz w:val="21"/>
          <w:szCs w:val="21"/>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谈判小组从质量和服务均能满足谈判文件实质性要求的供应商中，按照</w:t>
      </w:r>
      <w:r>
        <w:rPr>
          <w:rFonts w:hint="eastAsia" w:ascii="宋体" w:hAnsi="宋体" w:eastAsia="宋体" w:cs="宋体"/>
          <w:color w:val="000000"/>
          <w:sz w:val="24"/>
          <w:szCs w:val="24"/>
          <w:lang w:val="en-US" w:eastAsia="zh-CN"/>
        </w:rPr>
        <w:t xml:space="preserve">评审价格</w:t>
      </w:r>
      <w:r>
        <w:rPr>
          <w:rFonts w:hint="eastAsia" w:ascii="宋体" w:hAnsi="宋体" w:eastAsia="宋体" w:cs="宋体"/>
          <w:color w:val="000000"/>
          <w:sz w:val="24"/>
          <w:szCs w:val="24"/>
          <w:lang w:val="zh-CN" w:eastAsia="zh-CN"/>
        </w:rPr>
        <w:t xml:space="preserve">由低到高顺序推荐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lang w:val="zh-CN" w:eastAsia="zh-CN"/>
        </w:rPr>
        <w:t xml:space="preserve">成交候选供应商。</w:t>
      </w:r>
      <w:r/>
    </w:p>
    <w:p>
      <w:pPr>
        <w:pStyle w:val="905"/>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2.</w:t>
      </w:r>
      <w:r>
        <w:rPr>
          <w:rFonts w:hint="eastAsia" w:ascii="宋体" w:hAnsi="宋体" w:eastAsia="宋体" w:cs="宋体"/>
          <w:color w:val="000000"/>
          <w:sz w:val="24"/>
          <w:szCs w:val="24"/>
          <w:lang w:val="en-US" w:eastAsia="zh-CN"/>
        </w:rPr>
        <w:t xml:space="preserve">供应商的评审价格如相同，按照供应商在“苏采云系统”最终递交响应文件的先后顺序进行排名。</w:t>
      </w:r>
      <w:r/>
    </w:p>
    <w:p>
      <w:pPr>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本项目服务的承接商为小微企业的，</w:t>
      </w:r>
      <w:r>
        <w:rPr>
          <w:rFonts w:hint="eastAsia" w:ascii="宋体" w:hAnsi="宋体" w:eastAsia="宋体" w:cs="宋体"/>
          <w:color w:val="000000"/>
          <w:sz w:val="24"/>
          <w:szCs w:val="24"/>
          <w:lang w:val="en-US" w:eastAsia="zh-CN"/>
        </w:rPr>
        <w:t xml:space="preserve">对报价给予</w:t>
      </w:r>
      <w:r>
        <w:rPr>
          <w:rFonts w:hint="eastAsia" w:ascii="宋体" w:hAnsi="宋体" w:eastAsia="宋体" w:cs="宋体"/>
          <w:color w:val="000000"/>
          <w:sz w:val="24"/>
          <w:szCs w:val="24"/>
          <w:lang w:val="zh-CN" w:eastAsia="zh-CN"/>
        </w:rPr>
        <w:t xml:space="preserve">10%</w:t>
      </w:r>
      <w:r>
        <w:rPr>
          <w:rFonts w:hint="eastAsia" w:ascii="宋体" w:hAnsi="宋体" w:eastAsia="宋体" w:cs="宋体"/>
          <w:color w:val="000000"/>
          <w:sz w:val="24"/>
          <w:szCs w:val="24"/>
          <w:lang w:val="en-US" w:eastAsia="zh-CN"/>
        </w:rPr>
        <w:t xml:space="preserve">的扣除，用扣除后的价格参与评审。</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9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六</w:t>
      </w:r>
      <w:r>
        <w:rPr>
          <w:rFonts w:hint="eastAsia" w:ascii="方正小标宋简体" w:hAnsi="方正小标宋简体" w:eastAsia="方正小标宋简体" w:cs="方正小标宋简体"/>
          <w:color w:val="000000"/>
          <w:sz w:val="36"/>
          <w:szCs w:val="36"/>
          <w:lang w:val="en-US"/>
        </w:rPr>
        <w:t xml:space="preserve">章  </w:t>
      </w:r>
      <w:bookmarkEnd w:id="163"/>
      <w:r/>
      <w:bookmarkEnd w:id="164"/>
      <w:r/>
      <w:bookmarkEnd w:id="166"/>
      <w:r>
        <w:rPr>
          <w:rFonts w:hint="eastAsia" w:ascii="方正小标宋简体" w:hAnsi="方正小标宋简体" w:eastAsia="方正小标宋简体" w:cs="方正小标宋简体"/>
          <w:color w:val="000000"/>
          <w:sz w:val="36"/>
          <w:szCs w:val="36"/>
          <w:lang w:val="en-US"/>
        </w:rPr>
        <w:t xml:space="preserve">响应文件格式 </w:t>
      </w:r>
      <w:r/>
    </w:p>
    <w:p>
      <w:pPr>
        <w:jc w:val="center"/>
        <w:rPr>
          <w:rFonts w:hint="eastAsia" w:ascii="宋体" w:hAnsi="宋体"/>
          <w:b/>
          <w:sz w:val="72"/>
          <w:szCs w:val="21"/>
        </w:rPr>
      </w:pPr>
      <w:r/>
      <w:bookmarkStart w:id="167" w:name="_Hlt26955039"/>
      <w:r/>
      <w:bookmarkEnd w:id="167"/>
      <w:r/>
      <w:bookmarkStart w:id="168" w:name="_Hlt26671244"/>
      <w:r/>
      <w:bookmarkEnd w:id="168"/>
      <w:r/>
      <w:bookmarkStart w:id="169" w:name="_Toc120614282"/>
      <w:r/>
      <w:bookmarkStart w:id="170" w:name="_Toc26554094"/>
      <w:r/>
      <w:bookmarkStart w:id="171"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四、谈判响应函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五、谈判报价表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十一、关于符合本国产品标准的声明函（如有）</w:t>
      </w:r>
      <w:r/>
    </w:p>
    <w:p>
      <w:pPr>
        <w:ind w:firstLine="480"/>
        <w:spacing w:line="440" w:lineRule="exact"/>
        <w:rPr>
          <w:rFonts w:ascii="宋体" w:hAnsi="宋体"/>
          <w:i/>
          <w:sz w:val="24"/>
          <w:szCs w:val="21"/>
          <w:u w:val="single"/>
        </w:rPr>
      </w:pPr>
      <w:r>
        <w:rPr>
          <w:rFonts w:ascii="宋体" w:hAnsi="宋体"/>
          <w:i/>
          <w:sz w:val="24"/>
          <w:szCs w:val="21"/>
          <w:u w:val="single"/>
        </w:rPr>
      </w:r>
      <w:r/>
    </w:p>
    <w:p>
      <w:pPr>
        <w:pStyle w:val="890"/>
        <w:rPr>
          <w:rFonts w:ascii="宋体" w:hAnsi="宋体"/>
          <w:i/>
          <w:sz w:val="24"/>
          <w:szCs w:val="21"/>
          <w:u w:val="single"/>
        </w:rPr>
      </w:pPr>
      <w:r>
        <w:rPr>
          <w:rFonts w:ascii="宋体" w:hAnsi="宋体"/>
          <w:i/>
          <w:sz w:val="24"/>
          <w:szCs w:val="21"/>
          <w:u w:val="single"/>
        </w:rPr>
      </w:r>
      <w:r/>
    </w:p>
    <w:p>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93"/>
        <w:rPr>
          <w:color w:val="000000"/>
          <w:sz w:val="24"/>
          <w:szCs w:val="24"/>
        </w:rPr>
      </w:pPr>
      <w:r>
        <w:rPr>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480"/>
        <w:spacing w:line="560" w:lineRule="exact"/>
        <w:rPr>
          <w:rFonts w:hint="eastAsia" w:ascii="宋体" w:hAnsi="宋体"/>
          <w:color w:val="000000"/>
          <w:sz w:val="24"/>
          <w:szCs w:val="24"/>
        </w:rPr>
      </w:pPr>
      <w:r>
        <w:rPr>
          <w:rFonts w:hint="eastAsia"/>
          <w:color w:val="000000"/>
          <w:sz w:val="24"/>
          <w:szCs w:val="24"/>
        </w:rPr>
        <w:t xml:space="preserve">日  期：</w:t>
      </w:r>
      <w:r/>
    </w:p>
    <w:p>
      <w:pPr>
        <w:rPr>
          <w:color w:val="000000"/>
          <w:sz w:val="24"/>
          <w:szCs w:val="24"/>
        </w:rPr>
      </w:pPr>
      <w:r>
        <w:rPr>
          <w:color w:val="000000"/>
          <w:sz w:val="24"/>
          <w:szCs w:val="24"/>
        </w:rPr>
      </w:r>
      <w:r/>
    </w:p>
    <w:p>
      <w:pPr>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63"/>
        <w:ind w:firstLine="48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p>
    <w:p>
      <w:pPr>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bookmarkEnd w:id="169"/>
      <w:r/>
      <w:bookmarkEnd w:id="170"/>
      <w:r/>
      <w:bookmarkEnd w:id="171"/>
      <w:r/>
      <w:r/>
    </w:p>
    <w:p>
      <w:pPr>
        <w:jc w:val="left"/>
        <w:spacing w:line="360" w:lineRule="auto"/>
        <w:rPr>
          <w:rFonts w:hint="eastAsia" w:ascii="黑体" w:hAnsi="黑体" w:eastAsia="黑体" w:cs="Times New Roman"/>
          <w:i w:val="0"/>
          <w:color w:val="000000"/>
          <w:sz w:val="32"/>
          <w:szCs w:val="32"/>
          <w:u w:val="none"/>
          <w:lang w:eastAsia="zh-CN"/>
        </w:rPr>
      </w:pPr>
      <w:r/>
      <w:bookmarkStart w:id="172" w:name="_Toc120614284"/>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63"/>
        <w:ind w:firstLine="480"/>
        <w:spacing w:line="420" w:lineRule="exact"/>
        <w:rPr>
          <w:rFonts w:hint="eastAsia"/>
          <w:color w:val="000000"/>
          <w:sz w:val="24"/>
          <w:szCs w:val="24"/>
        </w:rPr>
      </w:pPr>
      <w:r>
        <w:rPr>
          <w:rFonts w:hint="eastAsia"/>
          <w:color w:val="000000"/>
          <w:sz w:val="24"/>
          <w:szCs w:val="24"/>
        </w:rPr>
      </w:r>
      <w:r/>
    </w:p>
    <w:p>
      <w:pPr>
        <w:pStyle w:val="963"/>
        <w:ind w:firstLine="480"/>
        <w:spacing w:line="480" w:lineRule="exact"/>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p>
    <w:p>
      <w:pPr>
        <w:pStyle w:val="963"/>
        <w:ind w:firstLine="480"/>
        <w:spacing w:line="480" w:lineRule="exact"/>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p>
    <w:p>
      <w:pPr>
        <w:pStyle w:val="963"/>
        <w:ind w:firstLine="480"/>
        <w:spacing w:line="480" w:lineRule="exact"/>
        <w:rPr>
          <w:rFonts w:hint="eastAsia"/>
          <w:color w:val="000000"/>
          <w:sz w:val="24"/>
          <w:szCs w:val="24"/>
        </w:rPr>
      </w:pPr>
      <w:r>
        <w:rPr>
          <w:rFonts w:hint="eastAsia"/>
          <w:color w:val="000000"/>
          <w:sz w:val="24"/>
          <w:szCs w:val="24"/>
        </w:rPr>
        <w:t xml:space="preserve">被授权人身份证号码：</w:t>
      </w:r>
      <w:r/>
    </w:p>
    <w:p>
      <w:pPr>
        <w:pStyle w:val="963"/>
        <w:ind w:firstLine="480"/>
        <w:spacing w:line="480" w:lineRule="exact"/>
        <w:rPr>
          <w:rFonts w:hint="eastAsia" w:eastAsia="宋体"/>
          <w:color w:val="000000"/>
          <w:sz w:val="24"/>
          <w:szCs w:val="24"/>
          <w:u w:val="single"/>
          <w:lang w:val="en-US" w:eastAsia="zh-CN"/>
        </w:rPr>
      </w:pPr>
      <w:r>
        <w:rPr>
          <w:rFonts w:hint="eastAsia"/>
          <w:color w:val="000000"/>
          <w:sz w:val="24"/>
          <w:szCs w:val="24"/>
        </w:rPr>
        <w:t xml:space="preserve">被授权人联系电话：（手机）</w:t>
      </w:r>
      <w:r/>
    </w:p>
    <w:p>
      <w:pPr>
        <w:pStyle w:val="963"/>
        <w:spacing w:line="480" w:lineRule="exact"/>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p>
    <w:p>
      <w:pPr>
        <w:pStyle w:val="963"/>
        <w:ind w:firstLine="480"/>
        <w:spacing w:line="480" w:lineRule="exact"/>
        <w:rPr>
          <w:rFonts w:hint="eastAsia"/>
          <w:color w:val="000000"/>
          <w:sz w:val="24"/>
          <w:szCs w:val="24"/>
          <w:u w:val="single"/>
        </w:rPr>
      </w:pPr>
      <w:r>
        <w:rPr>
          <w:rFonts w:hint="eastAsia"/>
          <w:color w:val="000000"/>
          <w:sz w:val="24"/>
          <w:szCs w:val="24"/>
        </w:rPr>
        <w:t xml:space="preserve">单位地址：</w:t>
      </w:r>
      <w:r/>
    </w:p>
    <w:p>
      <w:pPr>
        <w:pStyle w:val="963"/>
        <w:ind w:firstLine="480"/>
        <w:spacing w:line="480" w:lineRule="exact"/>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173" w:name="_Hlt26671380"/>
      <w:r/>
      <w:bookmarkEnd w:id="173"/>
      <w:r/>
      <w:bookmarkStart w:id="174" w:name="_格式3__银行出具的资信证明"/>
      <w:r/>
      <w:bookmarkEnd w:id="174"/>
      <w:r/>
      <w:bookmarkStart w:id="175" w:name="_Hlt26955070"/>
      <w:r/>
      <w:bookmarkEnd w:id="175"/>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四、谈判响应函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谈判响应函</w:t>
      </w:r>
      <w:r/>
    </w:p>
    <w:p>
      <w:pPr>
        <w:pStyle w:val="965"/>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p>
    <w:p>
      <w:pPr>
        <w:pStyle w:val="965"/>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eastAsia="宋体"/>
          <w:color w:val="000000"/>
          <w:szCs w:val="21"/>
          <w:lang w:eastAsia="zh-CN"/>
        </w:rPr>
        <w:t xml:space="preserve">谈判</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交谈判响应函，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p>
    <w:p>
      <w:pPr>
        <w:pStyle w:val="965"/>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1.按谈判文件规定的各项要求</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向买方提供所需货物、服务（包含与货物相关的服务</w:t>
      </w:r>
      <w:r>
        <w:rPr>
          <w:rFonts w:hint="eastAsia" w:ascii="宋体" w:hAnsi="宋体" w:eastAsia="宋体" w:cs="Times New Roman"/>
          <w:color w:val="000000"/>
          <w:szCs w:val="21"/>
          <w:lang w:val="en-US" w:eastAsia="zh-CN"/>
        </w:rPr>
        <w:t xml:space="preserve">或</w:t>
      </w:r>
      <w:r>
        <w:rPr>
          <w:rFonts w:hint="eastAsia" w:ascii="宋体" w:hAnsi="宋体" w:eastAsia="宋体" w:cs="Times New Roman"/>
          <w:color w:val="000000"/>
          <w:szCs w:val="21"/>
        </w:rPr>
        <w:t xml:space="preserve">与服务相关的货物）。</w:t>
      </w:r>
      <w:r/>
    </w:p>
    <w:p>
      <w:pPr>
        <w:pStyle w:val="965"/>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2.我们已详细审核全部谈判文件及其有效补充文件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我们知道必须放弃提出含糊不清或误解问题的权利。</w:t>
      </w:r>
      <w:r/>
    </w:p>
    <w:p>
      <w:pPr>
        <w:pStyle w:val="965"/>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3.我们同意从规定的</w:t>
      </w:r>
      <w:r>
        <w:rPr>
          <w:rFonts w:hint="eastAsia" w:ascii="宋体" w:hAnsi="宋体" w:eastAsia="宋体" w:cs="Times New Roman"/>
          <w:color w:val="000000"/>
          <w:szCs w:val="21"/>
          <w:lang w:eastAsia="zh-CN"/>
        </w:rPr>
        <w:t xml:space="preserve">谈判</w:t>
      </w:r>
      <w:r>
        <w:rPr>
          <w:rFonts w:hint="eastAsia" w:ascii="宋体" w:hAnsi="宋体" w:eastAsia="宋体" w:cs="Times New Roman"/>
          <w:color w:val="000000"/>
          <w:szCs w:val="21"/>
        </w:rPr>
        <w:t xml:space="preserve">日期起遵循本响应文件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并在规定的谈判有效期期满之前均具有约束力。</w:t>
      </w:r>
      <w:r/>
    </w:p>
    <w:p>
      <w:pPr>
        <w:pStyle w:val="965"/>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4.同意向贵方提供贵方可能另外要求的与谈判有关的任何证据或资料</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并保证我方已提供和将要提供的文件是真实的、准确的。</w:t>
      </w:r>
      <w:r/>
    </w:p>
    <w:p>
      <w:pPr>
        <w:pStyle w:val="965"/>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5.一旦我方成交,我方将根据谈判文件的规定</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严格履行合同的责任和义务,并保证在谈判文件规定的时间完成项目</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交付买方验收、使用。</w:t>
      </w:r>
      <w:r/>
    </w:p>
    <w:p>
      <w:pPr>
        <w:pStyle w:val="965"/>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6.</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p>
    <w:p>
      <w:pPr>
        <w:pStyle w:val="965"/>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7</w:t>
      </w:r>
      <w:r>
        <w:rPr>
          <w:rFonts w:hint="eastAsia" w:ascii="宋体" w:hAnsi="宋体" w:eastAsia="宋体" w:cs="Times New Roman"/>
          <w:color w:val="000000"/>
          <w:szCs w:val="21"/>
        </w:rPr>
        <w:t xml:space="preserve">.我方与本谈判有关的正式通讯地址为：</w:t>
      </w:r>
      <w:r/>
    </w:p>
    <w:p>
      <w:pPr>
        <w:pStyle w:val="965"/>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p>
    <w:p>
      <w:pPr>
        <w:pStyle w:val="965"/>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p>
    <w:p>
      <w:pPr>
        <w:pStyle w:val="965"/>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p>
    <w:p>
      <w:pPr>
        <w:pStyle w:val="965"/>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p>
    <w:p>
      <w:pPr>
        <w:pStyle w:val="965"/>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p>
    <w:p>
      <w:pPr>
        <w:pStyle w:val="965"/>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pStyle w:val="965"/>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bookmarkEnd w:id="158"/>
      <w:r/>
      <w:bookmarkEnd w:id="159"/>
      <w:r/>
      <w:bookmarkEnd w:id="172"/>
      <w:r/>
      <w:r/>
    </w:p>
    <w:p>
      <w:pPr>
        <w:ind w:firstLine="420"/>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五、谈判报价表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谈判报价表</w:t>
      </w:r>
      <w:r/>
    </w:p>
    <w:p>
      <w:pPr>
        <w:ind w:firstLine="0"/>
        <w:rPr>
          <w:rFonts w:hint="eastAsia" w:ascii="宋体" w:hAnsi="宋体"/>
          <w:color w:val="000000"/>
          <w:sz w:val="24"/>
          <w:szCs w:val="24"/>
        </w:rPr>
      </w:pPr>
      <w:r>
        <w:rPr>
          <w:rFonts w:hint="eastAsia" w:ascii="宋体" w:hAnsi="宋体"/>
          <w:color w:val="000000"/>
          <w:sz w:val="24"/>
          <w:szCs w:val="24"/>
          <w:lang w:eastAsia="zh-CN"/>
        </w:rPr>
        <w:t xml:space="preserve">供应商名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p>
    <w:p>
      <w:pPr>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p>
    <w:tbl>
      <w:tblPr>
        <w:tblStyle w:val="701"/>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总报价</w:t>
            </w:r>
            <w:r/>
          </w:p>
        </w:tc>
      </w:tr>
      <w:tr>
        <w:trPr>
          <w:cantSplit/>
          <w:trHeight w:val="780"/>
        </w:trPr>
        <w:tc>
          <w:tcPr>
            <w:tcW w:w="9748" w:type="dxa"/>
            <w:vAlign w:val="center"/>
            <w:textDirection w:val="lrTb"/>
            <w:noWrap w:val="false"/>
          </w:tcPr>
          <w:p>
            <w:pPr>
              <w:pStyle w:val="965"/>
              <w:ind w:firstLine="0"/>
              <w:keepLines w:val="0"/>
              <w:keepNext w:val="0"/>
              <w:pageBreakBefore w:val="0"/>
              <w:spacing w:before="0" w:after="0" w:line="480" w:lineRule="auto"/>
              <w:widowControl w:val="off"/>
              <w:rPr>
                <w:rFonts w:hint="eastAsia" w:ascii="宋体" w:hAnsi="宋体"/>
                <w:color w:val="000000"/>
                <w:szCs w:val="21"/>
              </w:rPr>
            </w:pPr>
            <w:r>
              <w:rPr>
                <w:rFonts w:hint="eastAsia" w:ascii="宋体" w:hAnsi="宋体" w:cs="宋体"/>
                <w:color w:val="000000"/>
              </w:rPr>
              <w:t xml:space="preserve">小写（元）：                             </w:t>
            </w:r>
            <w:r/>
          </w:p>
        </w:tc>
      </w:tr>
    </w:tbl>
    <w:p>
      <w:pPr>
        <w:rPr>
          <w:rFonts w:ascii="宋体" w:hAnsi="宋体"/>
          <w:color w:val="000000"/>
          <w:sz w:val="24"/>
          <w:szCs w:val="24"/>
        </w:rPr>
      </w:pPr>
      <w:r>
        <w:rPr>
          <w:rFonts w:ascii="宋体" w:hAnsi="宋体"/>
          <w:color w:val="000000"/>
          <w:sz w:val="24"/>
          <w:szCs w:val="24"/>
        </w:rPr>
      </w:r>
      <w:r/>
    </w:p>
    <w:p>
      <w:pPr>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p>
    <w:p>
      <w:pPr>
        <w:rPr>
          <w:rFonts w:ascii="Times New Roman" w:hAnsi="Times New Roman"/>
          <w:color w:val="000000"/>
          <w:sz w:val="24"/>
          <w:szCs w:val="24"/>
        </w:rPr>
      </w:pPr>
      <w:r>
        <w:rPr>
          <w:rFonts w:ascii="Times New Roman" w:hAnsi="Times New Roman"/>
          <w:color w:val="000000"/>
          <w:sz w:val="24"/>
          <w:szCs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六、分项报价表</w:t>
      </w:r>
      <w:r/>
    </w:p>
    <w:p>
      <w:pPr>
        <w:jc w:val="center"/>
        <w:spacing w:line="360" w:lineRule="auto"/>
        <w:rPr>
          <w:rFonts w:hint="eastAsia" w:ascii="黑体" w:hAnsi="Calibri" w:eastAsia="黑体" w:cs="Times New Roman"/>
          <w:color w:val="000000"/>
          <w:sz w:val="32"/>
          <w:szCs w:val="32"/>
          <w:lang w:val="en-US" w:eastAsia="zh-CN"/>
        </w:rPr>
        <w:outlineLvl w:val="2"/>
      </w:pPr>
      <w:r>
        <w:rPr>
          <w:rFonts w:hint="eastAsia" w:ascii="黑体" w:hAnsi="Calibri" w:eastAsia="黑体" w:cs="Times New Roman"/>
          <w:color w:val="000000"/>
          <w:sz w:val="32"/>
          <w:szCs w:val="32"/>
          <w:lang w:val="en-US" w:eastAsia="zh-CN"/>
        </w:rPr>
        <w:t xml:space="preserve">分项报价表</w:t>
      </w:r>
      <w:r/>
    </w:p>
    <w:tbl>
      <w:tblPr>
        <w:tblStyle w:val="701"/>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p>
        </w:tc>
        <w:tc>
          <w:tcPr>
            <w:tcW w:w="938"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p>
        </w:tc>
        <w:tc>
          <w:tcPr>
            <w:tcW w:w="1322" w:type="dxa"/>
            <w:vAlign w:val="center"/>
            <w:textDirection w:val="lrTb"/>
            <w:noWrap w:val="false"/>
          </w:tcPr>
          <w:p>
            <w:pPr>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p>
        </w:tc>
        <w:tc>
          <w:tcPr>
            <w:tcW w:w="970" w:type="dxa"/>
            <w:vAlign w:val="center"/>
            <w:textDirection w:val="lrTb"/>
            <w:noWrap w:val="false"/>
          </w:tcPr>
          <w:p>
            <w:pPr>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938" w:type="dxa"/>
            <w:vAlign w:val="center"/>
            <w:textDirection w:val="lrTb"/>
            <w:noWrap w:val="false"/>
          </w:tcPr>
          <w:p>
            <w:pPr>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p>
        </w:tc>
        <w:tc>
          <w:tcPr>
            <w:tcW w:w="1322"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color w:val="000000"/>
                <w:sz w:val="24"/>
                <w:szCs w:val="24"/>
              </w:rPr>
            </w:pPr>
            <w:r>
              <w:rPr>
                <w:rFonts w:hint="eastAsia" w:ascii="宋体" w:hAnsi="宋体"/>
                <w:color w:val="000000"/>
                <w:sz w:val="24"/>
                <w:szCs w:val="24"/>
              </w:rPr>
              <w:t xml:space="preserve">总</w:t>
            </w:r>
            <w:r>
              <w:rPr>
                <w:rFonts w:hint="eastAsia" w:ascii="宋体" w:hAnsi="宋体"/>
                <w:color w:val="000000"/>
                <w:sz w:val="24"/>
                <w:szCs w:val="24"/>
                <w:lang w:val="en-US" w:eastAsia="zh-CN"/>
              </w:rPr>
              <w:t xml:space="preserve">报</w:t>
            </w:r>
            <w:r>
              <w:rPr>
                <w:rFonts w:hint="eastAsia" w:ascii="宋体" w:hAnsi="宋体"/>
                <w:color w:val="000000"/>
                <w:sz w:val="24"/>
                <w:szCs w:val="24"/>
              </w:rPr>
              <w:t xml:space="preserve">价（元）</w:t>
            </w:r>
            <w:r>
              <w:rPr>
                <w:rFonts w:hint="eastAsia" w:ascii="宋体" w:hAnsi="宋体"/>
                <w:color w:val="000000"/>
                <w:sz w:val="24"/>
                <w:szCs w:val="24"/>
                <w:lang w:eastAsia="zh-CN"/>
              </w:rPr>
              <w:t xml:space="preserve">：</w:t>
            </w:r>
            <w:r/>
          </w:p>
        </w:tc>
      </w:tr>
    </w:tbl>
    <w:p>
      <w:pPr>
        <w:jc w:val="center"/>
        <w:keepLines w:val="0"/>
        <w:keepNext w:val="0"/>
        <w:pageBreakBefore w:val="0"/>
        <w:widowControl w:val="off"/>
        <w:rPr>
          <w:rFonts w:hint="eastAsia" w:ascii="黑体" w:hAnsi="黑体" w:eastAsia="黑体"/>
          <w:b/>
          <w:color w:val="000000"/>
          <w:sz w:val="24"/>
          <w:szCs w:val="24"/>
        </w:rPr>
      </w:pPr>
      <w:r>
        <w:rPr>
          <w:rFonts w:hint="eastAsia" w:ascii="黑体" w:hAnsi="黑体" w:eastAsia="黑体"/>
          <w:b/>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lang w:eastAsia="zh-CN"/>
        </w:rPr>
        <w:t xml:space="preserve">供应商名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p>
    <w:p>
      <w:pPr>
        <w:ind w:firstLine="480"/>
        <w:keepLines w:val="0"/>
        <w:keepNext w:val="0"/>
        <w:pageBreakBefore w:val="0"/>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4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2.《分项报价表中》“总报价”应当与《谈判报价表》中“总报价”一致。</w:t>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p>
    <w:p>
      <w:pPr>
        <w:pStyle w:val="94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rPr>
          <w:color w:val="000000"/>
        </w:rPr>
      </w:pPr>
      <w:r>
        <w:rPr>
          <w:color w:val="000000"/>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701"/>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5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7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ind w:firstLine="480"/>
        <w:keepLines w:val="0"/>
        <w:keepNext w:val="0"/>
        <w:pageBreakBefore w:val="0"/>
        <w:widowControl w:val="off"/>
        <w:rPr>
          <w:rFonts w:ascii="宋体" w:hAnsi="宋体" w:eastAsia="宋体" w:cs="宋体"/>
          <w:color w:val="000000"/>
          <w:sz w:val="24"/>
          <w:szCs w:val="24"/>
        </w:rPr>
      </w:pPr>
      <w:r>
        <w:rPr>
          <w:rFonts w:ascii="宋体" w:hAnsi="宋体" w:eastAsia="宋体" w:cs="宋体"/>
          <w:color w:val="000000"/>
          <w:sz w:val="24"/>
          <w:szCs w:val="24"/>
        </w:rPr>
      </w:r>
      <w:r/>
    </w:p>
    <w:p>
      <w:pPr>
        <w:rPr>
          <w:color w:val="000000"/>
        </w:rPr>
      </w:pPr>
      <w:r>
        <w:rPr>
          <w:color w:val="000000"/>
        </w:rPr>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1.供应商须对谈判文件技术要求中的实质性要求（斜体下划线内容或打“★”内容）及其他要求做出明确响应，否则视为无效响应。</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rPr>
          <w:color w:val="000000"/>
        </w:rPr>
      </w:pPr>
      <w:r>
        <w:rPr>
          <w:color w:val="000000"/>
        </w:rPr>
      </w:r>
      <w:r/>
    </w:p>
    <w:p>
      <w:pPr>
        <w:rPr>
          <w:color w:val="000000"/>
        </w:rPr>
      </w:pPr>
      <w:r>
        <w:rPr>
          <w:color w:val="000000"/>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701"/>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2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1.供应商须对谈判文件商务要求中的实质性要求（斜体下划线内容或打“★”内容）做出明确响应，否则视为无效响应。</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九、中小企业声明函</w:t>
      </w:r>
      <w:r/>
    </w:p>
    <w:p>
      <w:pPr>
        <w:jc w:val="center"/>
        <w:keepLines w:val="0"/>
        <w:keepNext w:val="0"/>
        <w:pageBreakBefore w:val="0"/>
        <w:spacing w:line="360" w:lineRule="auto"/>
        <w:widowControl w:val="off"/>
        <w:rPr>
          <w:rFonts w:hint="eastAsia" w:ascii="黑体" w:hAnsi="Calibri" w:eastAsia="黑体" w:cs="Times New Roman"/>
          <w:color w:val="000000"/>
          <w:sz w:val="32"/>
          <w:szCs w:val="32"/>
          <w:lang w:val="en-US" w:eastAsia="zh-CN"/>
        </w:rPr>
        <w:outlineLvl w:val="9"/>
      </w:pPr>
      <w:r>
        <w:rPr>
          <w:rFonts w:hint="eastAsia" w:ascii="黑体" w:hAnsi="Calibri" w:eastAsia="黑体" w:cs="Times New Roman"/>
          <w:color w:val="000000"/>
          <w:sz w:val="32"/>
          <w:szCs w:val="32"/>
          <w:lang w:val="en-US" w:eastAsia="zh-CN"/>
        </w:rPr>
        <w:t xml:space="preserve">中小企业声明函（服务）</w:t>
      </w:r>
      <w:r/>
    </w:p>
    <w:p>
      <w:pPr>
        <w:ind w:firstLine="360"/>
        <w:keepLines w:val="0"/>
        <w:keepNext w:val="0"/>
        <w:pageBreakBefore w:val="0"/>
        <w:spacing w:line="312" w:lineRule="auto"/>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w:t>
      </w:r>
      <w:r>
        <w:rPr>
          <w:rFonts w:hint="eastAsia" w:ascii="宋体" w:hAnsi="宋体"/>
          <w:color w:val="000000"/>
          <w:sz w:val="24"/>
          <w:szCs w:val="24"/>
          <w:lang w:eastAsia="zh-CN"/>
        </w:rPr>
        <w:t xml:space="preserve">，</w:t>
      </w:r>
      <w:r>
        <w:rPr>
          <w:rFonts w:hint="eastAsia" w:ascii="宋体" w:hAnsi="宋体"/>
          <w:color w:val="000000"/>
          <w:sz w:val="24"/>
          <w:szCs w:val="24"/>
        </w:rPr>
        <w:t xml:space="preserve">根据《政府采购促进中小企业发展管理办法》(财库[2020]46号)的规定</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lang w:eastAsia="zh-CN"/>
        </w:rPr>
        <w:t xml:space="preserve">，</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p>
    <w:p>
      <w:pPr>
        <w:ind w:firstLine="360"/>
        <w:keepLines w:val="0"/>
        <w:keepNext w:val="0"/>
        <w:pageBreakBefore w:val="0"/>
        <w:spacing w:line="312" w:lineRule="auto"/>
        <w:widowControl w:val="off"/>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360"/>
        <w:keepLines w:val="0"/>
        <w:keepNext w:val="0"/>
        <w:pageBreakBefore w:val="0"/>
        <w:spacing w:line="312" w:lineRule="auto"/>
        <w:widowControl w:val="off"/>
        <w:rPr>
          <w:rFonts w:hint="eastAsia" w:ascii="宋体" w:hAnsi="宋体"/>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360"/>
        <w:keepLines w:val="0"/>
        <w:keepNext w:val="0"/>
        <w:pageBreakBefore w:val="0"/>
        <w:spacing w:line="312" w:lineRule="auto"/>
        <w:widowControl w:val="off"/>
        <w:rPr>
          <w:rFonts w:hint="eastAsia" w:ascii="宋体" w:hAnsi="宋体"/>
          <w:color w:val="000000"/>
          <w:sz w:val="24"/>
          <w:szCs w:val="24"/>
        </w:rPr>
      </w:pPr>
      <w:r>
        <w:rPr>
          <w:rFonts w:hint="eastAsia" w:ascii="宋体" w:hAnsi="宋体"/>
          <w:color w:val="000000"/>
          <w:sz w:val="24"/>
          <w:szCs w:val="24"/>
        </w:rPr>
        <w:t xml:space="preserve">……</w:t>
      </w:r>
      <w:r/>
    </w:p>
    <w:p>
      <w:pPr>
        <w:ind w:firstLine="360"/>
        <w:keepLines w:val="0"/>
        <w:keepNext w:val="0"/>
        <w:pageBreakBefore w:val="0"/>
        <w:spacing w:line="312"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p>
    <w:p>
      <w:pPr>
        <w:ind w:firstLine="360"/>
        <w:keepLines w:val="0"/>
        <w:keepNext w:val="0"/>
        <w:pageBreakBefore w:val="0"/>
        <w:spacing w:line="31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本企业对上述声明内容的真实性负责。如有虚假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p>
    <w:p>
      <w:pPr>
        <w:pStyle w:val="890"/>
        <w:keepLines w:val="0"/>
        <w:keepNext w:val="0"/>
        <w:pageBreakBefore w:val="0"/>
        <w:spacing w:line="312"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keepLines w:val="0"/>
        <w:keepNext w:val="0"/>
        <w:pageBreakBefore w:val="0"/>
        <w:spacing w:line="312" w:lineRule="auto"/>
        <w:rPr>
          <w:rFonts w:hint="eastAsia"/>
          <w:color w:val="000000"/>
          <w:lang w:eastAsia="zh-CN"/>
        </w:rPr>
      </w:pPr>
      <w:r>
        <w:rPr>
          <w:rFonts w:hint="eastAsia"/>
          <w:color w:val="000000"/>
          <w:lang w:eastAsia="zh-CN"/>
        </w:rPr>
      </w:r>
      <w:r/>
    </w:p>
    <w:p>
      <w:pPr>
        <w:ind w:right="180" w:firstLine="360"/>
        <w:jc w:val="center"/>
        <w:keepLines w:val="0"/>
        <w:keepNext w:val="0"/>
        <w:pageBreakBefore w:val="0"/>
        <w:spacing w:line="312"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keepLines w:val="0"/>
        <w:keepNext w:val="0"/>
        <w:pageBreakBefore w:val="0"/>
        <w:spacing w:line="312"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12"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ind w:firstLine="480"/>
        <w:keepLines w:val="0"/>
        <w:keepNext w:val="0"/>
        <w:pageBreakBefore w:val="0"/>
        <w:spacing w:line="31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keepLines w:val="0"/>
        <w:keepNext w:val="0"/>
        <w:pageBreakBefore w:val="0"/>
        <w:spacing w:line="31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keepLines w:val="0"/>
        <w:keepNext w:val="0"/>
        <w:pageBreakBefore w:val="0"/>
        <w:spacing w:line="31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供应商如不提供此声明函，不得参加专门面向中小企业采购项目或者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服务采购项目中，服务的承接商应当为中小企业，不对其中涉及的货物的制造商、工程的承建商作出要求。</w:t>
      </w:r>
      <w:r/>
    </w:p>
    <w:p>
      <w:pPr>
        <w:pStyle w:val="947"/>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残疾人福利性单位声明函（服务）</w:t>
      </w:r>
      <w:r/>
    </w:p>
    <w:p>
      <w:pPr>
        <w:ind w:firstLine="480"/>
        <w:spacing w:line="360" w:lineRule="auto"/>
        <w:rPr>
          <w:rFonts w:hint="eastAsia" w:ascii="宋体" w:hAnsi="宋体" w:eastAsia="宋体"/>
          <w:color w:val="000000"/>
          <w:sz w:val="24"/>
          <w:szCs w:val="21"/>
          <w:lang w:eastAsia="zh-CN"/>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，服务全部由本单位提供。</w:t>
      </w:r>
      <w:r/>
    </w:p>
    <w:p>
      <w:pPr>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p>
    <w:p>
      <w:pPr>
        <w:pStyle w:val="890"/>
        <w:rPr>
          <w:rFonts w:hint="eastAsia" w:ascii="宋体" w:hAnsi="宋体"/>
          <w:color w:val="000000"/>
          <w:sz w:val="24"/>
          <w:szCs w:val="24"/>
          <w:lang w:eastAsia="zh-CN"/>
        </w:rPr>
      </w:pPr>
      <w:r>
        <w:rPr>
          <w:rFonts w:hint="eastAsia" w:ascii="宋体" w:hAnsi="宋体"/>
          <w:color w:val="000000"/>
          <w:sz w:val="24"/>
          <w:szCs w:val="24"/>
          <w:lang w:eastAsia="zh-CN"/>
        </w:rPr>
      </w:r>
      <w:r/>
    </w:p>
    <w:p>
      <w:pPr>
        <w:rPr>
          <w:rFonts w:hint="eastAsia"/>
          <w:color w:val="000000"/>
          <w:lang w:eastAsia="zh-CN"/>
        </w:rPr>
      </w:pPr>
      <w:r>
        <w:rPr>
          <w:rFonts w:hint="eastAsia"/>
          <w:color w:val="000000"/>
          <w:lang w:eastAsia="zh-CN"/>
        </w:rPr>
      </w:r>
      <w:r/>
    </w:p>
    <w:p>
      <w:pPr>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color w:val="000000"/>
          <w:sz w:val="24"/>
        </w:rPr>
      </w:pPr>
      <w:r>
        <w:rPr>
          <w:rFonts w:hint="eastAsia" w:ascii="宋体" w:hAnsi="宋体"/>
          <w:color w:val="000000"/>
          <w:sz w:val="24"/>
        </w:rPr>
      </w:r>
      <w:r/>
    </w:p>
    <w:p>
      <w:pPr>
        <w:ind w:firstLine="480"/>
        <w:spacing w:line="480" w:lineRule="exact"/>
        <w:rPr>
          <w:rFonts w:hint="eastAsia" w:ascii="宋体" w:hAnsi="宋体"/>
          <w:color w:val="000000"/>
          <w:sz w:val="24"/>
        </w:rPr>
      </w:pPr>
      <w:r>
        <w:rPr>
          <w:rFonts w:hint="eastAsia" w:ascii="宋体" w:hAnsi="宋体"/>
          <w:color w:val="000000"/>
          <w:sz w:val="24"/>
        </w:rPr>
        <w:t xml:space="preserve">备注：</w:t>
      </w:r>
      <w:r/>
    </w:p>
    <w:p>
      <w:pPr>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供应商如不提供此声明函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价格将不做相应扣除。</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numPr>
          <w:ilvl w:val="0"/>
          <w:numId w:val="0"/>
        </w:numPr>
        <w:jc w:val="left"/>
        <w:spacing w:line="360" w:lineRule="auto"/>
        <w:rPr>
          <w:rFonts w:hint="eastAsia" w:ascii="宋体" w:hAnsi="宋体" w:eastAsia="宋体" w:cs="Times New Roman"/>
          <w:sz w:val="24"/>
          <w:lang w:val="en-US" w:eastAsia="zh-CN"/>
        </w:rPr>
      </w:pPr>
      <w:r>
        <w:rPr>
          <w:rFonts w:hint="eastAsia" w:ascii="黑体" w:hAnsi="黑体" w:eastAsia="黑体" w:cs="Times New Roman"/>
          <w:i w:val="0"/>
          <w:iCs w:val="0"/>
          <w:sz w:val="32"/>
          <w:szCs w:val="32"/>
          <w:u w:val="none"/>
          <w:lang w:val="en-US" w:eastAsia="zh-CN"/>
        </w:rPr>
        <w:t xml:space="preserve">十一、关于符合本国产品标准的声明函</w:t>
      </w:r>
      <w:r/>
    </w:p>
    <w:p>
      <w:pPr>
        <w:jc w:val="center"/>
        <w:spacing w:line="360" w:lineRule="auto"/>
        <w:rPr>
          <w:rFonts w:hint="eastAsia" w:ascii="宋体" w:hAnsi="宋体" w:eastAsia="宋体" w:cs="宋体"/>
          <w:i w:val="0"/>
          <w:iCs w:val="0"/>
          <w:caps w:val="0"/>
          <w:color w:val="000000"/>
          <w:spacing w:val="0"/>
          <w:sz w:val="32"/>
          <w:szCs w:val="32"/>
          <w:shd w:val="clear" w:color="auto" w:fill="auto"/>
          <w:vertAlign w:val="baseline"/>
        </w:rPr>
        <w:outlineLvl w:val="9"/>
      </w:pPr>
      <w:r>
        <w:rPr>
          <w:rFonts w:hint="eastAsia" w:ascii="宋体" w:hAnsi="宋体" w:eastAsia="宋体" w:cs="宋体"/>
          <w:i w:val="0"/>
          <w:iCs w:val="0"/>
          <w:caps w:val="0"/>
          <w:color w:val="000000"/>
          <w:spacing w:val="0"/>
          <w:sz w:val="32"/>
          <w:szCs w:val="32"/>
          <w:shd w:val="clear" w:color="auto" w:fill="auto"/>
          <w:vertAlign w:val="baseline"/>
        </w:rPr>
        <w:t xml:space="preserve">（如有，可上传至“电子投标文件格式-企业报价折扣证明”</w:t>
      </w:r>
      <w:r>
        <w:rPr>
          <w:rFonts w:hint="eastAsia" w:ascii="宋体" w:hAnsi="宋体" w:eastAsia="宋体" w:cs="宋体"/>
          <w:i w:val="0"/>
          <w:iCs w:val="0"/>
          <w:caps w:val="0"/>
          <w:color w:val="000000"/>
          <w:spacing w:val="0"/>
          <w:sz w:val="32"/>
          <w:szCs w:val="32"/>
          <w:shd w:val="clear" w:color="auto" w:fill="auto"/>
          <w:vertAlign w:val="baseline"/>
          <w:lang w:eastAsia="zh-CN"/>
        </w:rPr>
        <w:t xml:space="preserve">）</w:t>
      </w:r>
      <w:r/>
    </w:p>
    <w:p>
      <w:pPr>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p>
    <w:p>
      <w:pPr>
        <w:pStyle w:val="72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w:t>
      </w:r>
      <w:r>
        <w:rPr>
          <w:rStyle w:val="727"/>
          <w:rFonts w:hint="eastAsia" w:ascii="宋体" w:hAnsi="宋体" w:eastAsia="宋体" w:cs="宋体"/>
          <w:i w:val="0"/>
          <w:iCs w:val="0"/>
          <w:caps w:val="0"/>
          <w:color w:val="auto"/>
          <w:spacing w:val="0"/>
          <w:sz w:val="24"/>
          <w:szCs w:val="24"/>
          <w:u w:val="single"/>
          <w:shd w:val="clear" w:color="auto" w:fill="ffffff"/>
          <w:vertAlign w:val="baseline"/>
        </w:rPr>
        <w:t xml:space="preserve">（产品名称1）</w:t>
      </w:r>
      <w:r>
        <w:rPr>
          <w:rStyle w:val="727"/>
          <w:rFonts w:hint="eastAsia" w:ascii="宋体" w:hAnsi="宋体" w:eastAsia="宋体" w:cs="宋体"/>
          <w:i w:val="0"/>
          <w:iCs w:val="0"/>
          <w:caps w:val="0"/>
          <w:color w:val="auto"/>
          <w:spacing w:val="0"/>
          <w:sz w:val="24"/>
          <w:szCs w:val="24"/>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u w:val="single"/>
          <w:shd w:val="clear" w:color="auto" w:fill="ffffff"/>
          <w:vertAlign w:val="baseline"/>
        </w:rPr>
        <w:t xml:space="preserve">生产厂为</w:t>
      </w:r>
      <w:r>
        <w:rPr>
          <w:rStyle w:val="727"/>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Style w:val="727"/>
          <w:rFonts w:hint="eastAsia" w:ascii="宋体" w:hAnsi="宋体" w:eastAsia="宋体" w:cs="宋体"/>
          <w:i w:val="0"/>
          <w:iCs w:val="0"/>
          <w:caps w:val="0"/>
          <w:color w:val="auto"/>
          <w:spacing w:val="0"/>
          <w:sz w:val="24"/>
          <w:szCs w:val="24"/>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727"/>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727"/>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727"/>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Style w:val="727"/>
          <w:rFonts w:hint="eastAsia" w:ascii="宋体" w:hAnsi="宋体" w:eastAsia="宋体" w:cs="宋体"/>
          <w:i w:val="0"/>
          <w:iCs w:val="0"/>
          <w:caps w:val="0"/>
          <w:strike w:val="0"/>
          <w:color w:val="auto"/>
          <w:spacing w:val="0"/>
          <w:sz w:val="24"/>
          <w:szCs w:val="24"/>
          <w:shd w:val="clear" w:color="auto" w:fill="ffffff"/>
          <w:vertAlign w:val="superscript"/>
        </w:rPr>
        <w:t xml:space="preserve">3</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727"/>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727"/>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Style w:val="727"/>
          <w:rFonts w:hint="eastAsia" w:ascii="宋体" w:hAnsi="宋体" w:eastAsia="宋体" w:cs="宋体"/>
          <w:i w:val="0"/>
          <w:iCs w:val="0"/>
          <w:caps w:val="0"/>
          <w:strike w:val="0"/>
          <w:color w:val="auto"/>
          <w:spacing w:val="0"/>
          <w:sz w:val="24"/>
          <w:szCs w:val="24"/>
          <w:shd w:val="clear" w:color="auto" w:fill="ffffff"/>
          <w:vertAlign w:val="superscript"/>
        </w:rPr>
        <w:t xml:space="preserve">4</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727"/>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727"/>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Style w:val="727"/>
          <w:rFonts w:hint="eastAsia" w:ascii="宋体" w:hAnsi="宋体" w:eastAsia="宋体" w:cs="宋体"/>
          <w:i w:val="0"/>
          <w:iCs w:val="0"/>
          <w:caps w:val="0"/>
          <w:strike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72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w:t>
      </w:r>
      <w:r>
        <w:rPr>
          <w:rStyle w:val="727"/>
          <w:rFonts w:hint="eastAsia" w:ascii="宋体" w:hAnsi="宋体" w:eastAsia="宋体" w:cs="宋体"/>
          <w:i w:val="0"/>
          <w:iCs w:val="0"/>
          <w:caps w:val="0"/>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auto"/>
          <w:spacing w:val="0"/>
          <w:sz w:val="24"/>
          <w:szCs w:val="24"/>
          <w:shd w:val="clear" w:color="auto" w:fill="ffffff"/>
          <w:vertAlign w:val="baseline"/>
        </w:rPr>
        <w:t xml:space="preserve">，生产厂为</w:t>
      </w:r>
      <w:r>
        <w:rPr>
          <w:rStyle w:val="727"/>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727"/>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727"/>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727"/>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727"/>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727"/>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727"/>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727"/>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72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72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w:t>
      </w:r>
      <w:r>
        <w:rPr>
          <w:rStyle w:val="727"/>
          <w:vertAlign w:val="superscript"/>
        </w:rPr>
        <w:t xml:space="preserve">6</w:t>
      </w:r>
      <w:r/>
    </w:p>
    <w:p>
      <w:pPr>
        <w:pStyle w:val="72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72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公司（单位）名称（盖章）：　        </w:t>
      </w:r>
      <w:r/>
    </w:p>
    <w:p>
      <w:pPr>
        <w:pStyle w:val="72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日期：　     年　  月　  日    </w:t>
      </w:r>
      <w:r>
        <w:rPr>
          <w:rFonts w:hint="eastAsia" w:ascii="宋体" w:hAnsi="宋体" w:eastAsia="宋体" w:cs="宋体"/>
          <w:i w:val="0"/>
          <w:iCs w:val="0"/>
          <w:caps w:val="0"/>
          <w:color w:val="auto"/>
          <w:spacing w:val="0"/>
          <w:sz w:val="28"/>
          <w:szCs w:val="28"/>
          <w:shd w:val="clear" w:color="auto" w:fill="ffffff"/>
          <w:vertAlign w:val="baseline"/>
        </w:rPr>
        <w:t xml:space="preserve">     </w:t>
      </w:r>
      <w:r/>
    </w:p>
    <w:p>
      <w:pPr>
        <w:pStyle w:val="723"/>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__________________</w:t>
      </w:r>
      <w:r/>
    </w:p>
    <w:p>
      <w:pPr>
        <w:pStyle w:val="72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1.产品如有型号，请在“产品名称”栏一并填写。</w:t>
      </w:r>
      <w:r/>
    </w:p>
    <w:p>
      <w:pPr>
        <w:pStyle w:val="72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2.生产厂名与厂址应与生产厂营业执照载明的相关信息保持一致。</w:t>
      </w:r>
      <w:r/>
    </w:p>
    <w:p>
      <w:pPr>
        <w:pStyle w:val="72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3.该产品的中国境内生产的组件成本占比相关要求实施前，“规定比例”栏可不填。</w:t>
      </w:r>
      <w:r/>
    </w:p>
    <w:p>
      <w:pPr>
        <w:pStyle w:val="72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4.该产品的关键组件要求实施前，“关键组件”栏可不填。</w:t>
      </w:r>
      <w:r/>
    </w:p>
    <w:p>
      <w:pPr>
        <w:pStyle w:val="72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5.该产品的关键工序要求实施前，“关键工序”栏可不填。</w:t>
      </w:r>
      <w:r/>
    </w:p>
    <w:p>
      <w:pPr>
        <w:pStyle w:val="723"/>
        <w:ind w:left="0" w:righ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p>
    <w:p>
      <w:pPr>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p>
    <w:p>
      <w:pPr>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ind w:firstLine="480"/>
        <w:spacing w:line="480" w:lineRule="exact"/>
        <w:rPr>
          <w:rFonts w:ascii="宋体" w:hAnsi="宋体"/>
          <w:b w:val="0"/>
          <w:bCs w:val="0"/>
          <w:color w:val="000000"/>
          <w:sz w:val="24"/>
          <w:szCs w:val="24"/>
        </w:rPr>
      </w:pPr>
      <w:r>
        <w:rPr>
          <w:rFonts w:ascii="宋体" w:hAnsi="宋体"/>
          <w:b w:val="0"/>
          <w:bCs w:val="0"/>
          <w:color w:val="000000"/>
          <w:sz w:val="24"/>
          <w:szCs w:val="24"/>
        </w:rPr>
      </w:r>
      <w:r/>
    </w:p>
    <w:p>
      <w:pPr>
        <w:ind w:firstLine="480"/>
        <w:spacing w:line="48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r>
      <w:r/>
    </w:p>
    <w:p>
      <w:pPr>
        <w:ind w:firstLine="480"/>
        <w:spacing w:line="480" w:lineRule="exact"/>
        <w:rPr>
          <w:rFonts w:hint="eastAsia" w:ascii="宋体" w:hAnsi="宋体"/>
          <w:b w:val="0"/>
          <w:bCs w:val="0"/>
          <w:color w:val="000000"/>
          <w:sz w:val="24"/>
          <w:szCs w:val="24"/>
          <w:highlight w:val="none"/>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1"/>
        <w:rFonts w:ascii="宋体" w:hAnsi="宋体"/>
      </w:rPr>
      <w:framePr w:wrap="around" w:vAnchor="text" w:hAnchor="margin" w:xAlign="center" w:y="1"/>
    </w:pPr>
    <w:r>
      <w:rPr>
        <w:rFonts w:ascii="宋体" w:hAnsi="宋体"/>
      </w:rPr>
      <w:fldChar w:fldCharType="begin"/>
    </w:r>
    <w:r>
      <w:rPr>
        <w:rStyle w:val="951"/>
        <w:rFonts w:ascii="宋体" w:hAnsi="宋体"/>
      </w:rPr>
      <w:instrText xml:space="preserve">PAGE  </w:instrText>
    </w:r>
    <w:r>
      <w:rPr>
        <w:rFonts w:ascii="宋体" w:hAnsi="宋体"/>
      </w:rPr>
      <w:fldChar w:fldCharType="separate"/>
    </w:r>
    <w:r>
      <w:rPr>
        <w:rStyle w:val="951"/>
        <w:rFonts w:ascii="宋体" w:hAnsi="宋体"/>
      </w:rPr>
      <w:t xml:space="preserve">２８</w:t>
    </w:r>
    <w:r>
      <w:rPr>
        <w:rFonts w:ascii="宋体" w:hAnsi="宋体"/>
      </w:rPr>
      <w:fldChar w:fldCharType="end"/>
    </w:r>
    <w:r/>
  </w:p>
  <w:p>
    <w:pPr>
      <w:pStyle w:val="92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4"/>
      <w:isLgl w:val="false"/>
      <w:suff w:val="nothing"/>
      <w:lvlText w:val=""/>
      <w:lvlJc w:val="left"/>
      <w:pPr>
        <w:ind w:left="0" w:firstLine="0"/>
      </w:pPr>
      <w:rPr>
        <w:rFonts w:hint="eastAsia"/>
      </w:rPr>
    </w:lvl>
    <w:lvl w:ilvl="6">
      <w:start w:val="1"/>
      <w:numFmt w:val="decimal"/>
      <w:pStyle w:val="885"/>
      <w:isLgl w:val="false"/>
      <w:suff w:val="nothing"/>
      <w:lvlText w:val=""/>
      <w:lvlJc w:val="left"/>
      <w:pPr>
        <w:ind w:left="0" w:firstLine="0"/>
      </w:pPr>
      <w:rPr>
        <w:rFonts w:hint="eastAsia"/>
      </w:rPr>
    </w:lvl>
    <w:lvl w:ilvl="7">
      <w:start w:val="1"/>
      <w:numFmt w:val="decimal"/>
      <w:pStyle w:val="886"/>
      <w:isLgl w:val="false"/>
      <w:suff w:val="nothing"/>
      <w:lvlText w:val=""/>
      <w:lvlJc w:val="left"/>
      <w:pPr>
        <w:ind w:left="0" w:firstLine="0"/>
      </w:pPr>
      <w:rPr>
        <w:rFonts w:hint="eastAsia"/>
      </w:rPr>
    </w:lvl>
    <w:lvl w:ilvl="8">
      <w:start w:val="1"/>
      <w:numFmt w:val="decimal"/>
      <w:pStyle w:val="887"/>
      <w:isLgl w:val="false"/>
      <w:suff w:val="nothing"/>
      <w:lvlText w:val=""/>
      <w:lvlJc w:val="left"/>
      <w:pPr>
        <w:ind w:left="0" w:firstLine="0"/>
      </w:pPr>
      <w:rPr>
        <w:rFonts w:hint="eastAsia"/>
      </w:rPr>
    </w:lvl>
  </w:abstractNum>
  <w:abstractNum w:abstractNumId="4">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9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73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1"/>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2"/>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705"/>
    <w:link w:val="733"/>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4"/>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5"/>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7"/>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8"/>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Body Text First Indent 2"/>
    <w:basedOn w:val="703"/>
    <w:next w:val="690"/>
    <w:uiPriority w:val="0"/>
    <w:qFormat/>
    <w:pPr>
      <w:ind w:left="0" w:firstLine="420"/>
      <w:spacing w:after="0" w:line="360" w:lineRule="auto"/>
    </w:pPr>
    <w:rPr>
      <w:rFonts w:ascii="宋体" w:hAnsi="宋体" w:eastAsia="宋体" w:cs="Times New Roman"/>
      <w:szCs w:val="20"/>
    </w:rPr>
  </w:style>
  <w:style w:type="paragraph" w:styleId="703">
    <w:name w:val="Body Text Indent"/>
    <w:basedOn w:val="690"/>
    <w:next w:val="704"/>
    <w:uiPriority w:val="0"/>
    <w:unhideWhenUsed/>
    <w:qFormat/>
    <w:pPr>
      <w:ind w:left="420"/>
      <w:spacing w:after="120"/>
    </w:pPr>
  </w:style>
  <w:style w:type="paragraph" w:styleId="704">
    <w:name w:val="envelope return"/>
    <w:basedOn w:val="690"/>
    <w:uiPriority w:val="0"/>
    <w:qFormat/>
    <w:rPr>
      <w:rFonts w:ascii="Arial" w:hAnsi="Arial" w:eastAsia="宋体" w:cs="宋体"/>
    </w:rPr>
  </w:style>
  <w:style w:type="paragraph" w:styleId="705">
    <w:name w:val="Normal Indent"/>
    <w:basedOn w:val="690"/>
    <w:uiPriority w:val="0"/>
    <w:pPr>
      <w:ind w:firstLine="420"/>
    </w:pPr>
    <w:rPr>
      <w:szCs w:val="21"/>
    </w:rPr>
  </w:style>
  <w:style w:type="paragraph" w:styleId="706">
    <w:name w:val="toc 7"/>
    <w:basedOn w:val="690"/>
    <w:next w:val="690"/>
    <w:uiPriority w:val="39"/>
    <w:unhideWhenUsed/>
    <w:qFormat/>
    <w:pPr>
      <w:ind w:left="1701" w:right="0" w:firstLine="0"/>
      <w:spacing w:after="57"/>
    </w:pPr>
  </w:style>
  <w:style w:type="paragraph" w:styleId="707">
    <w:name w:val="Caption"/>
    <w:basedOn w:val="690"/>
    <w:next w:val="690"/>
    <w:uiPriority w:val="35"/>
    <w:semiHidden/>
    <w:unhideWhenUsed/>
    <w:qFormat/>
    <w:pPr>
      <w:spacing w:line="276" w:lineRule="auto"/>
    </w:pPr>
    <w:rPr>
      <w:b/>
      <w:bCs/>
      <w:color w:val="4f81bd" w:themeColor="accent1"/>
      <w:sz w:val="18"/>
      <w:szCs w:val="18"/>
    </w:rPr>
  </w:style>
  <w:style w:type="paragraph" w:styleId="708">
    <w:name w:val="annotation text"/>
    <w:basedOn w:val="690"/>
    <w:uiPriority w:val="0"/>
    <w:unhideWhenUsed/>
    <w:qFormat/>
    <w:pPr>
      <w:jc w:val="left"/>
    </w:pPr>
  </w:style>
  <w:style w:type="paragraph" w:styleId="709">
    <w:name w:val="toc 5"/>
    <w:basedOn w:val="690"/>
    <w:next w:val="690"/>
    <w:uiPriority w:val="39"/>
    <w:unhideWhenUsed/>
    <w:qFormat/>
    <w:pPr>
      <w:ind w:left="1134" w:right="0" w:firstLine="0"/>
      <w:spacing w:after="57"/>
    </w:pPr>
  </w:style>
  <w:style w:type="paragraph" w:styleId="710">
    <w:name w:val="toc 3"/>
    <w:basedOn w:val="690"/>
    <w:next w:val="690"/>
    <w:uiPriority w:val="39"/>
    <w:unhideWhenUsed/>
    <w:qFormat/>
    <w:pPr>
      <w:ind w:left="567" w:right="0" w:firstLine="0"/>
      <w:spacing w:after="57"/>
    </w:pPr>
  </w:style>
  <w:style w:type="paragraph" w:styleId="711">
    <w:name w:val="toc 8"/>
    <w:basedOn w:val="690"/>
    <w:next w:val="690"/>
    <w:uiPriority w:val="39"/>
    <w:unhideWhenUsed/>
    <w:qFormat/>
    <w:pPr>
      <w:ind w:left="1984" w:right="0" w:firstLine="0"/>
      <w:spacing w:after="57"/>
    </w:pPr>
  </w:style>
  <w:style w:type="paragraph" w:styleId="712">
    <w:name w:val="endnote text"/>
    <w:basedOn w:val="690"/>
    <w:link w:val="876"/>
    <w:uiPriority w:val="99"/>
    <w:semiHidden/>
    <w:unhideWhenUsed/>
    <w:qFormat/>
    <w:pPr>
      <w:spacing w:after="0" w:line="240" w:lineRule="auto"/>
    </w:pPr>
    <w:rPr>
      <w:sz w:val="20"/>
    </w:rPr>
  </w:style>
  <w:style w:type="paragraph" w:styleId="713">
    <w:name w:val="Footer"/>
    <w:basedOn w:val="690"/>
    <w:link w:val="749"/>
    <w:uiPriority w:val="99"/>
    <w:unhideWhenUsed/>
    <w:qFormat/>
    <w:pPr>
      <w:spacing w:after="0" w:line="240" w:lineRule="auto"/>
      <w:tabs>
        <w:tab w:val="center" w:pos="7143" w:leader="none"/>
        <w:tab w:val="right" w:pos="14287" w:leader="none"/>
      </w:tabs>
    </w:pPr>
  </w:style>
  <w:style w:type="paragraph" w:styleId="714">
    <w:name w:val="Header"/>
    <w:basedOn w:val="690"/>
    <w:link w:val="747"/>
    <w:uiPriority w:val="99"/>
    <w:unhideWhenUsed/>
    <w:qFormat/>
    <w:pPr>
      <w:spacing w:after="0" w:line="240" w:lineRule="auto"/>
      <w:tabs>
        <w:tab w:val="center" w:pos="7143" w:leader="none"/>
        <w:tab w:val="right" w:pos="14287" w:leader="none"/>
      </w:tabs>
    </w:pPr>
  </w:style>
  <w:style w:type="paragraph" w:styleId="715">
    <w:name w:val="toc 1"/>
    <w:basedOn w:val="690"/>
    <w:next w:val="690"/>
    <w:uiPriority w:val="39"/>
    <w:unhideWhenUsed/>
    <w:qFormat/>
    <w:pPr>
      <w:ind w:left="0" w:right="0" w:firstLine="0"/>
      <w:spacing w:after="57"/>
    </w:pPr>
  </w:style>
  <w:style w:type="paragraph" w:styleId="716">
    <w:name w:val="toc 4"/>
    <w:basedOn w:val="690"/>
    <w:next w:val="690"/>
    <w:uiPriority w:val="39"/>
    <w:unhideWhenUsed/>
    <w:qFormat/>
    <w:pPr>
      <w:ind w:left="850" w:right="0" w:firstLine="0"/>
      <w:spacing w:after="57"/>
    </w:pPr>
  </w:style>
  <w:style w:type="paragraph" w:styleId="717">
    <w:name w:val="Subtitle"/>
    <w:basedOn w:val="690"/>
    <w:next w:val="690"/>
    <w:link w:val="742"/>
    <w:uiPriority w:val="11"/>
    <w:qFormat/>
    <w:pPr>
      <w:spacing w:before="200" w:after="200"/>
    </w:pPr>
    <w:rPr>
      <w:sz w:val="24"/>
      <w:szCs w:val="24"/>
    </w:rPr>
  </w:style>
  <w:style w:type="paragraph" w:styleId="718">
    <w:name w:val="footnote text"/>
    <w:basedOn w:val="690"/>
    <w:link w:val="875"/>
    <w:uiPriority w:val="99"/>
    <w:semiHidden/>
    <w:unhideWhenUsed/>
    <w:qFormat/>
    <w:pPr>
      <w:spacing w:after="40" w:line="240" w:lineRule="auto"/>
    </w:pPr>
    <w:rPr>
      <w:sz w:val="18"/>
    </w:rPr>
  </w:style>
  <w:style w:type="paragraph" w:styleId="719">
    <w:name w:val="toc 6"/>
    <w:basedOn w:val="690"/>
    <w:next w:val="690"/>
    <w:uiPriority w:val="39"/>
    <w:unhideWhenUsed/>
    <w:qFormat/>
    <w:pPr>
      <w:ind w:left="1417" w:right="0" w:firstLine="0"/>
      <w:spacing w:after="57"/>
    </w:pPr>
  </w:style>
  <w:style w:type="paragraph" w:styleId="720">
    <w:name w:val="table of figures"/>
    <w:basedOn w:val="690"/>
    <w:next w:val="690"/>
    <w:uiPriority w:val="99"/>
    <w:unhideWhenUsed/>
    <w:qFormat/>
    <w:pPr>
      <w:spacing w:after="0" w:afterAutospacing="0"/>
    </w:pPr>
  </w:style>
  <w:style w:type="paragraph" w:styleId="721">
    <w:name w:val="toc 2"/>
    <w:basedOn w:val="690"/>
    <w:next w:val="690"/>
    <w:uiPriority w:val="39"/>
    <w:unhideWhenUsed/>
    <w:qFormat/>
    <w:pPr>
      <w:ind w:left="283" w:right="0" w:firstLine="0"/>
      <w:spacing w:after="57"/>
    </w:pPr>
  </w:style>
  <w:style w:type="paragraph" w:styleId="722">
    <w:name w:val="toc 9"/>
    <w:basedOn w:val="690"/>
    <w:next w:val="690"/>
    <w:uiPriority w:val="39"/>
    <w:unhideWhenUsed/>
    <w:qFormat/>
    <w:pPr>
      <w:ind w:left="2268" w:right="0" w:firstLine="0"/>
      <w:spacing w:after="57"/>
    </w:pPr>
  </w:style>
  <w:style w:type="paragraph" w:styleId="723">
    <w:name w:val="Normal (Web)"/>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724">
    <w:name w:val="Title"/>
    <w:basedOn w:val="690"/>
    <w:next w:val="690"/>
    <w:link w:val="741"/>
    <w:uiPriority w:val="10"/>
    <w:qFormat/>
    <w:pPr>
      <w:contextualSpacing/>
      <w:spacing w:before="300" w:after="200"/>
    </w:pPr>
    <w:rPr>
      <w:sz w:val="48"/>
      <w:szCs w:val="48"/>
    </w:rPr>
  </w:style>
  <w:style w:type="table" w:styleId="7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Emphasis"/>
    <w:uiPriority w:val="0"/>
    <w:qFormat/>
    <w:rPr>
      <w:i/>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character" w:styleId="730" w:customStyle="1">
    <w:name w:val="Heading 1 Char"/>
    <w:link w:val="691"/>
    <w:uiPriority w:val="9"/>
    <w:qFormat/>
    <w:rPr>
      <w:rFonts w:ascii="Arial" w:hAnsi="Arial" w:eastAsia="Arial" w:cs="Arial"/>
      <w:sz w:val="40"/>
      <w:szCs w:val="40"/>
    </w:rPr>
  </w:style>
  <w:style w:type="character" w:styleId="731" w:customStyle="1">
    <w:name w:val="Heading 2 Char"/>
    <w:link w:val="692"/>
    <w:uiPriority w:val="9"/>
    <w:qFormat/>
    <w:rPr>
      <w:rFonts w:ascii="Arial" w:hAnsi="Arial" w:eastAsia="Arial" w:cs="Arial"/>
      <w:sz w:val="34"/>
    </w:rPr>
  </w:style>
  <w:style w:type="character" w:styleId="732" w:customStyle="1">
    <w:name w:val="Heading 3 Char"/>
    <w:link w:val="693"/>
    <w:uiPriority w:val="9"/>
    <w:qFormat/>
    <w:rPr>
      <w:rFonts w:ascii="Arial" w:hAnsi="Arial" w:eastAsia="Arial" w:cs="Arial"/>
      <w:sz w:val="30"/>
      <w:szCs w:val="30"/>
    </w:rPr>
  </w:style>
  <w:style w:type="character" w:styleId="733" w:customStyle="1">
    <w:name w:val="Heading 4 Char"/>
    <w:link w:val="694"/>
    <w:uiPriority w:val="9"/>
    <w:qFormat/>
    <w:rPr>
      <w:rFonts w:ascii="Arial" w:hAnsi="Arial" w:eastAsia="Arial" w:cs="Arial"/>
      <w:b/>
      <w:bCs/>
      <w:sz w:val="26"/>
      <w:szCs w:val="26"/>
    </w:rPr>
  </w:style>
  <w:style w:type="character" w:styleId="734" w:customStyle="1">
    <w:name w:val="Heading 5 Char"/>
    <w:link w:val="695"/>
    <w:uiPriority w:val="9"/>
    <w:qFormat/>
    <w:rPr>
      <w:rFonts w:ascii="Arial" w:hAnsi="Arial" w:eastAsia="Arial" w:cs="Arial"/>
      <w:b/>
      <w:bCs/>
      <w:sz w:val="24"/>
      <w:szCs w:val="24"/>
    </w:rPr>
  </w:style>
  <w:style w:type="character" w:styleId="735" w:customStyle="1">
    <w:name w:val="Heading 6 Char"/>
    <w:link w:val="696"/>
    <w:uiPriority w:val="9"/>
    <w:qFormat/>
    <w:rPr>
      <w:rFonts w:ascii="Arial" w:hAnsi="Arial" w:eastAsia="Arial" w:cs="Arial"/>
      <w:b/>
      <w:bCs/>
      <w:sz w:val="22"/>
      <w:szCs w:val="22"/>
    </w:rPr>
  </w:style>
  <w:style w:type="character" w:styleId="736" w:customStyle="1">
    <w:name w:val="Heading 7 Char"/>
    <w:link w:val="697"/>
    <w:uiPriority w:val="9"/>
    <w:qFormat/>
    <w:rPr>
      <w:rFonts w:ascii="Arial" w:hAnsi="Arial" w:eastAsia="Arial" w:cs="Arial"/>
      <w:b/>
      <w:bCs/>
      <w:i/>
      <w:iCs/>
      <w:sz w:val="22"/>
      <w:szCs w:val="22"/>
    </w:rPr>
  </w:style>
  <w:style w:type="character" w:styleId="737" w:customStyle="1">
    <w:name w:val="Heading 8 Char"/>
    <w:link w:val="698"/>
    <w:uiPriority w:val="9"/>
    <w:qFormat/>
    <w:rPr>
      <w:rFonts w:ascii="Arial" w:hAnsi="Arial" w:eastAsia="Arial" w:cs="Arial"/>
      <w:i/>
      <w:iCs/>
      <w:sz w:val="22"/>
      <w:szCs w:val="22"/>
    </w:rPr>
  </w:style>
  <w:style w:type="character" w:styleId="738" w:customStyle="1">
    <w:name w:val="Heading 9 Char"/>
    <w:link w:val="699"/>
    <w:uiPriority w:val="9"/>
    <w:qFormat/>
    <w:rPr>
      <w:rFonts w:ascii="Arial" w:hAnsi="Arial" w:eastAsia="Arial" w:cs="Arial"/>
      <w:i/>
      <w:iCs/>
      <w:sz w:val="21"/>
      <w:szCs w:val="21"/>
    </w:rPr>
  </w:style>
  <w:style w:type="paragraph" w:styleId="739">
    <w:name w:val="List Paragraph"/>
    <w:basedOn w:val="690"/>
    <w:uiPriority w:val="34"/>
    <w:qFormat/>
    <w:pPr>
      <w:contextualSpacing/>
      <w:ind w:left="720"/>
    </w:p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link w:val="724"/>
    <w:uiPriority w:val="10"/>
    <w:qFormat/>
    <w:rPr>
      <w:sz w:val="48"/>
      <w:szCs w:val="48"/>
    </w:rPr>
  </w:style>
  <w:style w:type="character" w:styleId="742" w:customStyle="1">
    <w:name w:val="Subtitle Char"/>
    <w:link w:val="717"/>
    <w:uiPriority w:val="11"/>
    <w:qFormat/>
    <w:rPr>
      <w:sz w:val="24"/>
      <w:szCs w:val="24"/>
    </w:rPr>
  </w:style>
  <w:style w:type="paragraph" w:styleId="743">
    <w:name w:val="Quote"/>
    <w:basedOn w:val="690"/>
    <w:next w:val="690"/>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0"/>
    <w:next w:val="690"/>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link w:val="714"/>
    <w:uiPriority w:val="99"/>
    <w:qFormat/>
  </w:style>
  <w:style w:type="character" w:styleId="748" w:customStyle="1">
    <w:name w:val="Footer Char"/>
    <w:link w:val="713"/>
    <w:uiPriority w:val="99"/>
    <w:qFormat/>
  </w:style>
  <w:style w:type="character" w:styleId="749" w:customStyle="1">
    <w:name w:val="Caption Char"/>
    <w:link w:val="713"/>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18"/>
    <w:uiPriority w:val="99"/>
    <w:qFormat/>
    <w:rPr>
      <w:sz w:val="18"/>
    </w:rPr>
  </w:style>
  <w:style w:type="character" w:styleId="876" w:customStyle="1">
    <w:name w:val="Endnote Text Char"/>
    <w:link w:val="712"/>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690"/>
    <w:next w:val="690"/>
    <w:link w:val="891"/>
    <w:uiPriority w:val="0"/>
    <w:qFormat/>
    <w:pPr>
      <w:jc w:val="center"/>
      <w:keepNext/>
      <w:outlineLvl w:val="0"/>
    </w:pPr>
    <w:rPr>
      <w:rFonts w:ascii="楷体_GB2312" w:hAnsi="Times New Roman" w:eastAsia="楷体_GB2312" w:cs="Times New Roman"/>
      <w:sz w:val="28"/>
      <w:szCs w:val="28"/>
    </w:rPr>
  </w:style>
  <w:style w:type="paragraph" w:styleId="879" w:customStyle="1">
    <w:name w:val="标题 21"/>
    <w:basedOn w:val="690"/>
    <w:next w:val="690"/>
    <w:link w:val="89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0" w:customStyle="1">
    <w:name w:val="标题 31"/>
    <w:basedOn w:val="690"/>
    <w:next w:val="881"/>
    <w:link w:val="89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1" w:customStyle="1">
    <w:name w:val="正文缩进1"/>
    <w:basedOn w:val="690"/>
    <w:link w:val="894"/>
    <w:uiPriority w:val="0"/>
    <w:qFormat/>
    <w:pPr>
      <w:ind w:firstLine="420"/>
    </w:pPr>
    <w:rPr>
      <w:szCs w:val="21"/>
    </w:rPr>
  </w:style>
  <w:style w:type="paragraph" w:styleId="882" w:customStyle="1">
    <w:name w:val="标题 41"/>
    <w:basedOn w:val="690"/>
    <w:next w:val="881"/>
    <w:link w:val="895"/>
    <w:uiPriority w:val="0"/>
    <w:qFormat/>
    <w:pPr>
      <w:keepLines/>
      <w:keepNext/>
      <w:spacing w:before="280" w:after="290" w:line="376" w:lineRule="auto"/>
      <w:outlineLvl w:val="3"/>
    </w:pPr>
    <w:rPr>
      <w:rFonts w:ascii="Arial" w:hAnsi="Arial" w:eastAsia="黑体" w:cs="Arial"/>
      <w:b/>
      <w:bCs/>
      <w:sz w:val="28"/>
      <w:szCs w:val="28"/>
    </w:rPr>
  </w:style>
  <w:style w:type="paragraph" w:styleId="883" w:customStyle="1">
    <w:name w:val="标题 51"/>
    <w:basedOn w:val="690"/>
    <w:next w:val="881"/>
    <w:link w:val="896"/>
    <w:uiPriority w:val="0"/>
    <w:qFormat/>
    <w:pPr>
      <w:keepNext/>
      <w:outlineLvl w:val="4"/>
    </w:pPr>
    <w:rPr>
      <w:rFonts w:ascii="宋体" w:hAnsi="Times New Roman" w:eastAsia="宋体" w:cs="Times New Roman"/>
      <w:color w:val="000000"/>
      <w:sz w:val="28"/>
      <w:szCs w:val="28"/>
    </w:rPr>
  </w:style>
  <w:style w:type="paragraph" w:styleId="884" w:customStyle="1">
    <w:name w:val="标题 61"/>
    <w:basedOn w:val="690"/>
    <w:next w:val="690"/>
    <w:link w:val="89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5" w:customStyle="1">
    <w:name w:val="标题 71"/>
    <w:basedOn w:val="690"/>
    <w:next w:val="690"/>
    <w:link w:val="89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6" w:customStyle="1">
    <w:name w:val="标题 81"/>
    <w:basedOn w:val="690"/>
    <w:next w:val="690"/>
    <w:link w:val="89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7" w:customStyle="1">
    <w:name w:val="标题 91"/>
    <w:basedOn w:val="690"/>
    <w:next w:val="690"/>
    <w:link w:val="90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8" w:customStyle="1">
    <w:name w:val="默认段落字体1"/>
    <w:link w:val="690"/>
    <w:uiPriority w:val="1"/>
    <w:unhideWhenUsed/>
    <w:qFormat/>
  </w:style>
  <w:style w:type="table" w:styleId="889" w:customStyle="1">
    <w:name w:val="普通表格11"/>
    <w:uiPriority w:val="99"/>
    <w:unhideWhenUsed/>
    <w:qFormat/>
    <w:tblPr/>
  </w:style>
  <w:style w:type="paragraph" w:styleId="890" w:customStyle="1">
    <w:name w:val="索引 41"/>
    <w:basedOn w:val="690"/>
    <w:next w:val="690"/>
    <w:uiPriority w:val="0"/>
    <w:semiHidden/>
    <w:qFormat/>
    <w:pPr>
      <w:ind w:left="1260"/>
    </w:pPr>
    <w:rPr>
      <w:rFonts w:ascii="Calibri" w:hAnsi="Calibri" w:eastAsia="Calibri" w:cs="宋体"/>
      <w:sz w:val="20"/>
      <w:lang w:val="zh-CN"/>
    </w:rPr>
  </w:style>
  <w:style w:type="character" w:styleId="891" w:customStyle="1">
    <w:name w:val="标题 1 Char"/>
    <w:link w:val="878"/>
    <w:uiPriority w:val="0"/>
    <w:qFormat/>
    <w:rPr>
      <w:rFonts w:ascii="楷体_GB2312" w:hAnsi="Times New Roman" w:eastAsia="楷体_GB2312" w:cs="Times New Roman"/>
      <w:sz w:val="28"/>
      <w:szCs w:val="28"/>
    </w:rPr>
  </w:style>
  <w:style w:type="character" w:styleId="892" w:customStyle="1">
    <w:name w:val="标题 2 Char"/>
    <w:link w:val="879"/>
    <w:uiPriority w:val="0"/>
    <w:qFormat/>
    <w:rPr>
      <w:rFonts w:ascii="Arial" w:hAnsi="Arial" w:eastAsia="幼圆" w:cs="Arial"/>
      <w:b/>
      <w:bCs/>
      <w:sz w:val="44"/>
      <w:szCs w:val="44"/>
    </w:rPr>
  </w:style>
  <w:style w:type="character" w:styleId="893" w:customStyle="1">
    <w:name w:val="标题 3 Char"/>
    <w:link w:val="880"/>
    <w:uiPriority w:val="0"/>
    <w:qFormat/>
    <w:rPr>
      <w:rFonts w:ascii="Times New Roman" w:hAnsi="Times New Roman" w:eastAsia="宋体" w:cs="Times New Roman"/>
      <w:b/>
      <w:bCs/>
      <w:sz w:val="32"/>
      <w:szCs w:val="32"/>
    </w:rPr>
  </w:style>
  <w:style w:type="character" w:styleId="894" w:customStyle="1">
    <w:name w:val="正文缩进 Char"/>
    <w:link w:val="881"/>
    <w:uiPriority w:val="0"/>
    <w:qFormat/>
    <w:rPr>
      <w:szCs w:val="21"/>
    </w:rPr>
  </w:style>
  <w:style w:type="character" w:styleId="895" w:customStyle="1">
    <w:name w:val="标题 4 Char"/>
    <w:link w:val="882"/>
    <w:uiPriority w:val="0"/>
    <w:qFormat/>
    <w:rPr>
      <w:rFonts w:ascii="Arial" w:hAnsi="Arial" w:eastAsia="黑体" w:cs="Arial"/>
      <w:b/>
      <w:bCs/>
      <w:sz w:val="28"/>
      <w:szCs w:val="28"/>
    </w:rPr>
  </w:style>
  <w:style w:type="character" w:styleId="896" w:customStyle="1">
    <w:name w:val="标题 5 Char"/>
    <w:link w:val="883"/>
    <w:uiPriority w:val="0"/>
    <w:qFormat/>
    <w:rPr>
      <w:rFonts w:ascii="宋体" w:hAnsi="Times New Roman" w:eastAsia="宋体" w:cs="Times New Roman"/>
      <w:color w:val="000000"/>
      <w:sz w:val="28"/>
      <w:szCs w:val="28"/>
    </w:rPr>
  </w:style>
  <w:style w:type="character" w:styleId="897" w:customStyle="1">
    <w:name w:val="标题 6 Char"/>
    <w:link w:val="884"/>
    <w:uiPriority w:val="0"/>
    <w:qFormat/>
    <w:rPr>
      <w:rFonts w:ascii="Arial" w:hAnsi="Arial" w:eastAsia="黑体" w:cs="Times New Roman"/>
      <w:b/>
      <w:bCs/>
      <w:sz w:val="24"/>
      <w:szCs w:val="24"/>
    </w:rPr>
  </w:style>
  <w:style w:type="character" w:styleId="898" w:customStyle="1">
    <w:name w:val="标题 7 Char"/>
    <w:link w:val="885"/>
    <w:uiPriority w:val="0"/>
    <w:qFormat/>
    <w:rPr>
      <w:rFonts w:ascii="Times New Roman" w:hAnsi="Times New Roman" w:eastAsia="宋体" w:cs="Times New Roman"/>
      <w:b/>
      <w:bCs/>
      <w:sz w:val="24"/>
      <w:szCs w:val="24"/>
    </w:rPr>
  </w:style>
  <w:style w:type="character" w:styleId="899" w:customStyle="1">
    <w:name w:val="标题 8 Char"/>
    <w:link w:val="886"/>
    <w:uiPriority w:val="0"/>
    <w:qFormat/>
    <w:rPr>
      <w:rFonts w:ascii="Arial" w:hAnsi="Arial" w:eastAsia="黑体" w:cs="Times New Roman"/>
      <w:sz w:val="24"/>
      <w:szCs w:val="24"/>
    </w:rPr>
  </w:style>
  <w:style w:type="character" w:styleId="900" w:customStyle="1">
    <w:name w:val="标题 9 Char"/>
    <w:link w:val="887"/>
    <w:uiPriority w:val="0"/>
    <w:qFormat/>
    <w:rPr>
      <w:rFonts w:ascii="Arial" w:hAnsi="Arial" w:eastAsia="黑体" w:cs="Times New Roman"/>
      <w:szCs w:val="21"/>
    </w:rPr>
  </w:style>
  <w:style w:type="paragraph" w:styleId="901" w:customStyle="1">
    <w:name w:val="列表 31"/>
    <w:basedOn w:val="690"/>
    <w:uiPriority w:val="0"/>
    <w:qFormat/>
    <w:pPr>
      <w:ind w:left="100" w:hanging="200"/>
    </w:pPr>
    <w:rPr>
      <w:rFonts w:ascii="Times New Roman" w:hAnsi="Times New Roman" w:eastAsia="宋体" w:cs="Times New Roman"/>
      <w:szCs w:val="21"/>
    </w:rPr>
  </w:style>
  <w:style w:type="paragraph" w:styleId="902" w:customStyle="1">
    <w:name w:val="目录 71"/>
    <w:basedOn w:val="690"/>
    <w:next w:val="690"/>
    <w:uiPriority w:val="0"/>
    <w:semiHidden/>
    <w:qFormat/>
    <w:pPr>
      <w:ind w:left="1260"/>
      <w:jc w:val="left"/>
    </w:pPr>
    <w:rPr>
      <w:rFonts w:ascii="Times New Roman" w:hAnsi="Times New Roman" w:eastAsia="宋体" w:cs="Times New Roman"/>
      <w:szCs w:val="21"/>
    </w:rPr>
  </w:style>
  <w:style w:type="paragraph" w:styleId="903" w:customStyle="1">
    <w:name w:val="文档结构图1"/>
    <w:basedOn w:val="690"/>
    <w:link w:val="904"/>
    <w:uiPriority w:val="0"/>
    <w:semiHidden/>
    <w:qFormat/>
    <w:pPr>
      <w:shd w:val="clear" w:color="auto" w:fill="000080"/>
    </w:pPr>
    <w:rPr>
      <w:rFonts w:ascii="Times New Roman" w:hAnsi="Times New Roman" w:eastAsia="宋体" w:cs="Times New Roman"/>
      <w:szCs w:val="21"/>
    </w:rPr>
  </w:style>
  <w:style w:type="character" w:styleId="904" w:customStyle="1">
    <w:name w:val="文档结构图 Char"/>
    <w:link w:val="903"/>
    <w:uiPriority w:val="0"/>
    <w:semiHidden/>
    <w:qFormat/>
    <w:rPr>
      <w:rFonts w:ascii="Times New Roman" w:hAnsi="Times New Roman" w:eastAsia="宋体" w:cs="Times New Roman"/>
      <w:szCs w:val="21"/>
      <w:shd w:val="clear" w:color="auto" w:fill="000080"/>
    </w:rPr>
  </w:style>
  <w:style w:type="paragraph" w:styleId="905" w:customStyle="1">
    <w:name w:val="批注文字1"/>
    <w:basedOn w:val="690"/>
    <w:link w:val="906"/>
    <w:uiPriority w:val="0"/>
    <w:unhideWhenUsed/>
    <w:qFormat/>
    <w:pPr>
      <w:jc w:val="left"/>
    </w:pPr>
  </w:style>
  <w:style w:type="character" w:styleId="906" w:customStyle="1">
    <w:name w:val="批注文字 Char"/>
    <w:basedOn w:val="888"/>
    <w:link w:val="905"/>
    <w:uiPriority w:val="99"/>
    <w:semiHidden/>
    <w:qFormat/>
  </w:style>
  <w:style w:type="paragraph" w:styleId="907" w:customStyle="1">
    <w:name w:val="正文文本 31"/>
    <w:basedOn w:val="690"/>
    <w:link w:val="908"/>
    <w:uiPriority w:val="0"/>
    <w:qFormat/>
    <w:rPr>
      <w:rFonts w:ascii="仿宋_GB2312" w:hAnsi="Arial" w:eastAsia="仿宋_GB2312" w:cs="Times New Roman"/>
      <w:sz w:val="32"/>
      <w:szCs w:val="32"/>
    </w:rPr>
  </w:style>
  <w:style w:type="character" w:styleId="908" w:customStyle="1">
    <w:name w:val="正文文本 3 Char"/>
    <w:link w:val="907"/>
    <w:uiPriority w:val="0"/>
    <w:qFormat/>
    <w:rPr>
      <w:rFonts w:ascii="仿宋_GB2312" w:hAnsi="Arial" w:eastAsia="仿宋_GB2312" w:cs="Times New Roman"/>
      <w:sz w:val="32"/>
      <w:szCs w:val="32"/>
    </w:rPr>
  </w:style>
  <w:style w:type="paragraph" w:styleId="909" w:customStyle="1">
    <w:name w:val="正文文本1"/>
    <w:basedOn w:val="690"/>
    <w:link w:val="910"/>
    <w:uiPriority w:val="0"/>
    <w:qFormat/>
    <w:rPr>
      <w:rFonts w:ascii="楷体_GB2312" w:hAnsi="Arial" w:eastAsia="楷体_GB2312" w:cs="Times New Roman"/>
      <w:sz w:val="28"/>
      <w:szCs w:val="28"/>
    </w:rPr>
  </w:style>
  <w:style w:type="character" w:styleId="910" w:customStyle="1">
    <w:name w:val="正文文本 Char"/>
    <w:link w:val="909"/>
    <w:uiPriority w:val="0"/>
    <w:qFormat/>
    <w:rPr>
      <w:rFonts w:ascii="楷体_GB2312" w:hAnsi="Arial" w:eastAsia="楷体_GB2312" w:cs="Times New Roman"/>
      <w:sz w:val="28"/>
      <w:szCs w:val="28"/>
    </w:rPr>
  </w:style>
  <w:style w:type="paragraph" w:styleId="911" w:customStyle="1">
    <w:name w:val="正文文本缩进1"/>
    <w:basedOn w:val="690"/>
    <w:next w:val="912"/>
    <w:link w:val="913"/>
    <w:uiPriority w:val="0"/>
    <w:unhideWhenUsed/>
    <w:qFormat/>
    <w:pPr>
      <w:ind w:left="420"/>
      <w:spacing w:after="120"/>
    </w:pPr>
  </w:style>
  <w:style w:type="paragraph" w:styleId="912" w:customStyle="1">
    <w:name w:val="寄信人地址1"/>
    <w:basedOn w:val="690"/>
    <w:uiPriority w:val="0"/>
    <w:qFormat/>
    <w:rPr>
      <w:rFonts w:ascii="Arial" w:hAnsi="Arial" w:eastAsia="宋体" w:cs="宋体"/>
    </w:rPr>
  </w:style>
  <w:style w:type="character" w:styleId="913" w:customStyle="1">
    <w:name w:val="正文文本缩进 Char"/>
    <w:basedOn w:val="888"/>
    <w:link w:val="911"/>
    <w:uiPriority w:val="99"/>
    <w:semiHidden/>
    <w:qFormat/>
  </w:style>
  <w:style w:type="paragraph" w:styleId="914" w:customStyle="1">
    <w:name w:val="列表 21"/>
    <w:basedOn w:val="690"/>
    <w:uiPriority w:val="0"/>
    <w:qFormat/>
    <w:pPr>
      <w:ind w:left="100" w:hanging="200"/>
    </w:pPr>
    <w:rPr>
      <w:rFonts w:ascii="Times New Roman" w:hAnsi="Times New Roman" w:eastAsia="宋体" w:cs="Times New Roman"/>
      <w:szCs w:val="21"/>
    </w:rPr>
  </w:style>
  <w:style w:type="paragraph" w:styleId="915" w:customStyle="1">
    <w:name w:val="目录 51"/>
    <w:basedOn w:val="690"/>
    <w:next w:val="690"/>
    <w:uiPriority w:val="0"/>
    <w:semiHidden/>
    <w:qFormat/>
    <w:pPr>
      <w:ind w:left="840"/>
      <w:jc w:val="left"/>
    </w:pPr>
    <w:rPr>
      <w:rFonts w:ascii="Times New Roman" w:hAnsi="Times New Roman" w:eastAsia="宋体" w:cs="Times New Roman"/>
      <w:szCs w:val="21"/>
    </w:rPr>
  </w:style>
  <w:style w:type="paragraph" w:styleId="916" w:customStyle="1">
    <w:name w:val="目录 31"/>
    <w:basedOn w:val="690"/>
    <w:next w:val="690"/>
    <w:uiPriority w:val="0"/>
    <w:semiHidden/>
    <w:qFormat/>
    <w:pPr>
      <w:ind w:left="420"/>
      <w:jc w:val="left"/>
    </w:pPr>
    <w:rPr>
      <w:rFonts w:ascii="Times New Roman" w:hAnsi="Times New Roman" w:eastAsia="宋体" w:cs="Times New Roman"/>
      <w:i/>
      <w:iCs/>
      <w:szCs w:val="24"/>
    </w:rPr>
  </w:style>
  <w:style w:type="paragraph" w:styleId="917" w:customStyle="1">
    <w:name w:val="纯文本1"/>
    <w:basedOn w:val="690"/>
    <w:link w:val="918"/>
    <w:uiPriority w:val="0"/>
    <w:qFormat/>
    <w:rPr>
      <w:rFonts w:ascii="宋体" w:hAnsi="Courier New" w:eastAsia="宋体" w:cs="Courier New"/>
      <w:szCs w:val="21"/>
    </w:rPr>
  </w:style>
  <w:style w:type="character" w:styleId="918" w:customStyle="1">
    <w:name w:val="纯文本 Char"/>
    <w:link w:val="917"/>
    <w:uiPriority w:val="0"/>
    <w:qFormat/>
    <w:rPr>
      <w:rFonts w:ascii="宋体" w:hAnsi="Courier New" w:eastAsia="宋体" w:cs="Courier New"/>
      <w:szCs w:val="21"/>
    </w:rPr>
  </w:style>
  <w:style w:type="paragraph" w:styleId="919" w:customStyle="1">
    <w:name w:val="目录 81"/>
    <w:basedOn w:val="690"/>
    <w:next w:val="690"/>
    <w:uiPriority w:val="0"/>
    <w:semiHidden/>
    <w:qFormat/>
    <w:pPr>
      <w:ind w:left="1470"/>
      <w:jc w:val="left"/>
    </w:pPr>
    <w:rPr>
      <w:rFonts w:ascii="Times New Roman" w:hAnsi="Times New Roman" w:eastAsia="宋体" w:cs="Times New Roman"/>
      <w:szCs w:val="21"/>
    </w:rPr>
  </w:style>
  <w:style w:type="paragraph" w:styleId="920" w:customStyle="1">
    <w:name w:val="日期1"/>
    <w:basedOn w:val="690"/>
    <w:next w:val="690"/>
    <w:link w:val="921"/>
    <w:uiPriority w:val="0"/>
    <w:qFormat/>
    <w:rPr>
      <w:rFonts w:ascii="Times New Roman" w:hAnsi="Times New Roman" w:eastAsia="宋体" w:cs="Times New Roman"/>
      <w:sz w:val="24"/>
      <w:szCs w:val="24"/>
    </w:rPr>
  </w:style>
  <w:style w:type="character" w:styleId="921" w:customStyle="1">
    <w:name w:val="日期 Char"/>
    <w:link w:val="920"/>
    <w:uiPriority w:val="0"/>
    <w:qFormat/>
    <w:rPr>
      <w:rFonts w:ascii="Times New Roman" w:hAnsi="Times New Roman" w:eastAsia="宋体" w:cs="Times New Roman"/>
      <w:sz w:val="24"/>
      <w:szCs w:val="24"/>
    </w:rPr>
  </w:style>
  <w:style w:type="paragraph" w:styleId="922" w:customStyle="1">
    <w:name w:val="正文文本缩进 21"/>
    <w:basedOn w:val="690"/>
    <w:link w:val="923"/>
    <w:uiPriority w:val="0"/>
    <w:qFormat/>
    <w:pPr>
      <w:ind w:left="630" w:firstLine="645"/>
    </w:pPr>
    <w:rPr>
      <w:rFonts w:ascii="Arial" w:hAnsi="Arial" w:eastAsia="仿宋_GB2312" w:cs="Arial"/>
      <w:sz w:val="32"/>
      <w:szCs w:val="32"/>
    </w:rPr>
  </w:style>
  <w:style w:type="character" w:styleId="923" w:customStyle="1">
    <w:name w:val="正文文本缩进 2 Char"/>
    <w:link w:val="922"/>
    <w:uiPriority w:val="0"/>
    <w:qFormat/>
    <w:rPr>
      <w:rFonts w:ascii="Arial" w:hAnsi="Arial" w:eastAsia="仿宋_GB2312" w:cs="Arial"/>
      <w:sz w:val="32"/>
      <w:szCs w:val="32"/>
    </w:rPr>
  </w:style>
  <w:style w:type="paragraph" w:styleId="924" w:customStyle="1">
    <w:name w:val="批注框文本1"/>
    <w:basedOn w:val="690"/>
    <w:link w:val="925"/>
    <w:uiPriority w:val="0"/>
    <w:semiHidden/>
    <w:qFormat/>
    <w:rPr>
      <w:rFonts w:ascii="Times New Roman" w:hAnsi="Times New Roman" w:eastAsia="宋体" w:cs="Times New Roman"/>
      <w:sz w:val="18"/>
      <w:szCs w:val="18"/>
    </w:rPr>
  </w:style>
  <w:style w:type="character" w:styleId="925" w:customStyle="1">
    <w:name w:val="批注框文本 Char"/>
    <w:link w:val="924"/>
    <w:uiPriority w:val="0"/>
    <w:semiHidden/>
    <w:qFormat/>
    <w:rPr>
      <w:rFonts w:ascii="Times New Roman" w:hAnsi="Times New Roman" w:eastAsia="宋体" w:cs="Times New Roman"/>
      <w:sz w:val="18"/>
      <w:szCs w:val="18"/>
    </w:rPr>
  </w:style>
  <w:style w:type="paragraph" w:styleId="926" w:customStyle="1">
    <w:name w:val="页脚1"/>
    <w:basedOn w:val="690"/>
    <w:link w:val="92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7" w:customStyle="1">
    <w:name w:val="页脚 Char"/>
    <w:link w:val="926"/>
    <w:uiPriority w:val="0"/>
    <w:qFormat/>
    <w:rPr>
      <w:rFonts w:ascii="Times New Roman" w:hAnsi="Times New Roman" w:eastAsia="宋体" w:cs="Times New Roman"/>
      <w:sz w:val="18"/>
      <w:szCs w:val="18"/>
    </w:rPr>
  </w:style>
  <w:style w:type="paragraph" w:styleId="928" w:customStyle="1">
    <w:name w:val="页眉1"/>
    <w:basedOn w:val="690"/>
    <w:link w:val="92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9" w:customStyle="1">
    <w:name w:val="页眉 Char"/>
    <w:link w:val="928"/>
    <w:uiPriority w:val="0"/>
    <w:qFormat/>
    <w:rPr>
      <w:rFonts w:ascii="Times New Roman" w:hAnsi="Times New Roman" w:eastAsia="宋体" w:cs="Times New Roman"/>
      <w:sz w:val="18"/>
      <w:szCs w:val="18"/>
    </w:rPr>
  </w:style>
  <w:style w:type="paragraph" w:styleId="930" w:customStyle="1">
    <w:name w:val="目录 11"/>
    <w:basedOn w:val="690"/>
    <w:next w:val="69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1" w:customStyle="1">
    <w:name w:val="目录 41"/>
    <w:basedOn w:val="690"/>
    <w:next w:val="690"/>
    <w:uiPriority w:val="0"/>
    <w:semiHidden/>
    <w:qFormat/>
    <w:pPr>
      <w:ind w:left="630"/>
      <w:jc w:val="left"/>
    </w:pPr>
    <w:rPr>
      <w:rFonts w:ascii="Times New Roman" w:hAnsi="Times New Roman" w:eastAsia="宋体" w:cs="Times New Roman"/>
      <w:szCs w:val="21"/>
    </w:rPr>
  </w:style>
  <w:style w:type="paragraph" w:styleId="932" w:customStyle="1">
    <w:name w:val="列表1"/>
    <w:basedOn w:val="690"/>
    <w:uiPriority w:val="0"/>
    <w:qFormat/>
    <w:pPr>
      <w:ind w:left="200" w:hanging="200"/>
    </w:pPr>
    <w:rPr>
      <w:rFonts w:ascii="Times New Roman" w:hAnsi="Times New Roman" w:eastAsia="宋体" w:cs="Times New Roman"/>
      <w:szCs w:val="21"/>
    </w:rPr>
  </w:style>
  <w:style w:type="paragraph" w:styleId="933" w:customStyle="1">
    <w:name w:val="目录 61"/>
    <w:basedOn w:val="690"/>
    <w:next w:val="690"/>
    <w:uiPriority w:val="0"/>
    <w:semiHidden/>
    <w:qFormat/>
    <w:pPr>
      <w:ind w:left="1050"/>
      <w:jc w:val="left"/>
    </w:pPr>
    <w:rPr>
      <w:rFonts w:ascii="Times New Roman" w:hAnsi="Times New Roman" w:eastAsia="宋体" w:cs="Times New Roman"/>
      <w:szCs w:val="21"/>
    </w:rPr>
  </w:style>
  <w:style w:type="paragraph" w:styleId="934" w:customStyle="1">
    <w:name w:val="正文文本缩进 31"/>
    <w:basedOn w:val="690"/>
    <w:link w:val="935"/>
    <w:uiPriority w:val="0"/>
    <w:qFormat/>
    <w:pPr>
      <w:ind w:left="645" w:firstLine="645"/>
    </w:pPr>
    <w:rPr>
      <w:rFonts w:ascii="Arial" w:hAnsi="Arial" w:eastAsia="仿宋_GB2312" w:cs="Arial"/>
      <w:color w:val="ffff00"/>
      <w:sz w:val="32"/>
      <w:szCs w:val="32"/>
    </w:rPr>
  </w:style>
  <w:style w:type="character" w:styleId="935" w:customStyle="1">
    <w:name w:val="正文文本缩进 3 Char"/>
    <w:link w:val="934"/>
    <w:uiPriority w:val="0"/>
    <w:qFormat/>
    <w:rPr>
      <w:rFonts w:ascii="Arial" w:hAnsi="Arial" w:eastAsia="仿宋_GB2312" w:cs="Arial"/>
      <w:color w:val="ffff00"/>
      <w:sz w:val="32"/>
      <w:szCs w:val="32"/>
    </w:rPr>
  </w:style>
  <w:style w:type="paragraph" w:styleId="936" w:customStyle="1">
    <w:name w:val="图表目录1"/>
    <w:basedOn w:val="690"/>
    <w:next w:val="690"/>
    <w:uiPriority w:val="0"/>
    <w:semiHidden/>
    <w:qFormat/>
    <w:pPr>
      <w:ind w:left="840" w:hanging="420"/>
    </w:pPr>
    <w:rPr>
      <w:rFonts w:ascii="Times New Roman" w:hAnsi="Times New Roman" w:eastAsia="宋体" w:cs="Times New Roman"/>
      <w:szCs w:val="21"/>
    </w:rPr>
  </w:style>
  <w:style w:type="paragraph" w:styleId="937" w:customStyle="1">
    <w:name w:val="目录 21"/>
    <w:basedOn w:val="690"/>
    <w:next w:val="690"/>
    <w:uiPriority w:val="0"/>
    <w:semiHidden/>
    <w:qFormat/>
    <w:pPr>
      <w:ind w:left="210"/>
      <w:jc w:val="left"/>
    </w:pPr>
    <w:rPr>
      <w:rFonts w:ascii="Times New Roman" w:hAnsi="Times New Roman" w:eastAsia="宋体" w:cs="Times New Roman"/>
      <w:smallCaps/>
      <w:szCs w:val="24"/>
    </w:rPr>
  </w:style>
  <w:style w:type="paragraph" w:styleId="938" w:customStyle="1">
    <w:name w:val="目录 91"/>
    <w:basedOn w:val="690"/>
    <w:next w:val="690"/>
    <w:uiPriority w:val="0"/>
    <w:semiHidden/>
    <w:qFormat/>
    <w:pPr>
      <w:ind w:left="1680"/>
      <w:jc w:val="left"/>
    </w:pPr>
    <w:rPr>
      <w:rFonts w:ascii="Times New Roman" w:hAnsi="Times New Roman" w:eastAsia="宋体" w:cs="Times New Roman"/>
      <w:szCs w:val="21"/>
    </w:rPr>
  </w:style>
  <w:style w:type="paragraph" w:styleId="939" w:customStyle="1">
    <w:name w:val="正文文本 21"/>
    <w:basedOn w:val="690"/>
    <w:link w:val="940"/>
    <w:uiPriority w:val="0"/>
    <w:qFormat/>
    <w:pPr>
      <w:jc w:val="center"/>
      <w:widowControl/>
    </w:pPr>
    <w:rPr>
      <w:rFonts w:ascii="楷体_GB2312" w:hAnsi="Times New Roman" w:eastAsia="楷体_GB2312" w:cs="Times New Roman"/>
      <w:sz w:val="28"/>
      <w:szCs w:val="28"/>
    </w:rPr>
  </w:style>
  <w:style w:type="character" w:styleId="940" w:customStyle="1">
    <w:name w:val="正文文本 2 Char"/>
    <w:link w:val="939"/>
    <w:uiPriority w:val="0"/>
    <w:qFormat/>
    <w:rPr>
      <w:rFonts w:ascii="楷体_GB2312" w:hAnsi="Times New Roman" w:eastAsia="楷体_GB2312" w:cs="Times New Roman"/>
      <w:sz w:val="28"/>
      <w:szCs w:val="28"/>
    </w:rPr>
  </w:style>
  <w:style w:type="paragraph" w:styleId="941" w:customStyle="1">
    <w:name w:val="普通(网站)1"/>
    <w:basedOn w:val="690"/>
    <w:uiPriority w:val="99"/>
    <w:qFormat/>
    <w:pPr>
      <w:jc w:val="left"/>
      <w:spacing w:before="100" w:beforeAutospacing="1" w:after="100" w:afterAutospacing="1"/>
      <w:widowControl/>
    </w:pPr>
    <w:rPr>
      <w:rFonts w:ascii="宋体" w:hAnsi="宋体" w:eastAsia="宋体" w:cs="宋体"/>
      <w:sz w:val="24"/>
      <w:szCs w:val="24"/>
    </w:rPr>
  </w:style>
  <w:style w:type="paragraph" w:styleId="942" w:customStyle="1">
    <w:name w:val="索引 11"/>
    <w:basedOn w:val="690"/>
    <w:next w:val="690"/>
    <w:uiPriority w:val="0"/>
    <w:semiHidden/>
    <w:qFormat/>
    <w:pPr>
      <w:spacing w:line="240" w:lineRule="atLeast"/>
    </w:pPr>
    <w:rPr>
      <w:rFonts w:ascii="Times New Roman" w:hAnsi="Times New Roman" w:eastAsia="宋体" w:cs="Times New Roman"/>
      <w:b/>
      <w:bCs/>
      <w:szCs w:val="21"/>
    </w:rPr>
  </w:style>
  <w:style w:type="paragraph" w:styleId="943" w:customStyle="1">
    <w:name w:val="批注主题1"/>
    <w:basedOn w:val="905"/>
    <w:next w:val="905"/>
    <w:link w:val="944"/>
    <w:uiPriority w:val="0"/>
    <w:semiHidden/>
    <w:qFormat/>
    <w:rPr>
      <w:rFonts w:ascii="Times New Roman" w:hAnsi="Times New Roman" w:eastAsia="宋体" w:cs="Times New Roman"/>
      <w:b/>
      <w:bCs/>
      <w:szCs w:val="21"/>
    </w:rPr>
  </w:style>
  <w:style w:type="character" w:styleId="944" w:customStyle="1">
    <w:name w:val="批注主题 Char"/>
    <w:link w:val="943"/>
    <w:uiPriority w:val="0"/>
    <w:semiHidden/>
    <w:qFormat/>
    <w:rPr>
      <w:rFonts w:ascii="Times New Roman" w:hAnsi="Times New Roman" w:eastAsia="宋体" w:cs="Times New Roman"/>
      <w:b/>
      <w:bCs/>
      <w:szCs w:val="21"/>
    </w:rPr>
  </w:style>
  <w:style w:type="paragraph" w:styleId="945" w:customStyle="1">
    <w:name w:val="正文首行缩进1"/>
    <w:basedOn w:val="690"/>
    <w:link w:val="946"/>
    <w:uiPriority w:val="0"/>
    <w:qFormat/>
    <w:pPr>
      <w:ind w:firstLine="200"/>
      <w:spacing w:line="360" w:lineRule="auto"/>
    </w:pPr>
    <w:rPr>
      <w:rFonts w:ascii="仿宋_GB2312" w:hAnsi="Times New Roman" w:eastAsia="仿宋_GB2312" w:cs="Times New Roman"/>
      <w:sz w:val="30"/>
      <w:szCs w:val="30"/>
    </w:rPr>
  </w:style>
  <w:style w:type="character" w:styleId="946" w:customStyle="1">
    <w:name w:val="正文首行缩进 Char"/>
    <w:link w:val="945"/>
    <w:uiPriority w:val="0"/>
    <w:qFormat/>
    <w:rPr>
      <w:rFonts w:ascii="仿宋_GB2312" w:hAnsi="Times New Roman" w:eastAsia="仿宋_GB2312" w:cs="Times New Roman"/>
      <w:sz w:val="30"/>
      <w:szCs w:val="30"/>
    </w:rPr>
  </w:style>
  <w:style w:type="paragraph" w:styleId="947" w:customStyle="1">
    <w:name w:val="正文首行缩进 21"/>
    <w:basedOn w:val="911"/>
    <w:next w:val="690"/>
    <w:link w:val="948"/>
    <w:uiPriority w:val="0"/>
    <w:qFormat/>
    <w:pPr>
      <w:ind w:left="0" w:firstLine="420"/>
      <w:spacing w:after="0" w:line="360" w:lineRule="auto"/>
    </w:pPr>
    <w:rPr>
      <w:rFonts w:ascii="宋体" w:hAnsi="宋体" w:eastAsia="宋体" w:cs="Times New Roman"/>
      <w:szCs w:val="20"/>
    </w:rPr>
  </w:style>
  <w:style w:type="character" w:styleId="948" w:customStyle="1">
    <w:name w:val="正文首行缩进 2 Char"/>
    <w:link w:val="947"/>
    <w:uiPriority w:val="0"/>
    <w:qFormat/>
    <w:rPr>
      <w:rFonts w:ascii="宋体" w:hAnsi="宋体" w:eastAsia="宋体" w:cs="Times New Roman"/>
      <w:szCs w:val="20"/>
    </w:rPr>
  </w:style>
  <w:style w:type="table" w:styleId="949" w:customStyle="1">
    <w:name w:val="网格型11"/>
    <w:basedOn w:val="889"/>
    <w:uiPriority w:val="0"/>
    <w:qFormat/>
    <w:pPr>
      <w:jc w:val="both"/>
      <w:widowControl w:val="off"/>
    </w:pPr>
    <w:rPr>
      <w:rFonts w:ascii="Times New Roman" w:hAnsi="Times New Roman" w:eastAsia="宋体" w:cs="Times New Roman"/>
      <w:sz w:val="20"/>
      <w:szCs w:val="20"/>
    </w:rPr>
    <w:tblPr/>
  </w:style>
  <w:style w:type="character" w:styleId="950" w:customStyle="1">
    <w:name w:val="要点1"/>
    <w:link w:val="690"/>
    <w:uiPriority w:val="0"/>
    <w:qFormat/>
    <w:rPr>
      <w:b/>
      <w:bCs/>
    </w:rPr>
  </w:style>
  <w:style w:type="character" w:styleId="951" w:customStyle="1">
    <w:name w:val="页码1"/>
    <w:link w:val="690"/>
    <w:uiPriority w:val="0"/>
    <w:qFormat/>
  </w:style>
  <w:style w:type="character" w:styleId="952" w:customStyle="1">
    <w:name w:val="已访问的超链接1"/>
    <w:link w:val="690"/>
    <w:uiPriority w:val="0"/>
    <w:qFormat/>
    <w:rPr>
      <w:color w:val="800080"/>
      <w:u w:val="single"/>
    </w:rPr>
  </w:style>
  <w:style w:type="character" w:styleId="953" w:customStyle="1">
    <w:name w:val="超链接1"/>
    <w:link w:val="690"/>
    <w:uiPriority w:val="0"/>
    <w:qFormat/>
    <w:rPr>
      <w:color w:val="0000ff"/>
      <w:u w:val="single"/>
    </w:rPr>
  </w:style>
  <w:style w:type="character" w:styleId="954" w:customStyle="1">
    <w:name w:val="批注引用1"/>
    <w:link w:val="690"/>
    <w:uiPriority w:val="0"/>
    <w:semiHidden/>
    <w:qFormat/>
    <w:rPr>
      <w:sz w:val="21"/>
      <w:szCs w:val="21"/>
    </w:rPr>
  </w:style>
  <w:style w:type="character" w:styleId="955" w:customStyle="1">
    <w:name w:val="font5 Char"/>
    <w:link w:val="690"/>
    <w:uiPriority w:val="0"/>
    <w:qFormat/>
    <w:rPr>
      <w:rFonts w:ascii="宋体" w:hAnsi="宋体" w:eastAsia="宋体"/>
      <w:sz w:val="28"/>
      <w:szCs w:val="28"/>
      <w:lang w:val="en-US" w:eastAsia="zh-CN" w:bidi="ar-SA"/>
    </w:rPr>
  </w:style>
  <w:style w:type="character" w:styleId="956" w:customStyle="1">
    <w:name w:val="二级目录 Char"/>
    <w:link w:val="957"/>
    <w:uiPriority w:val="0"/>
    <w:qFormat/>
    <w:rPr>
      <w:b/>
      <w:sz w:val="30"/>
      <w:szCs w:val="28"/>
    </w:rPr>
  </w:style>
  <w:style w:type="paragraph" w:styleId="957" w:customStyle="1">
    <w:name w:val="二级目录"/>
    <w:next w:val="690"/>
    <w:link w:val="95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8" w:customStyle="1">
    <w:name w:val="列出段落 Char"/>
    <w:link w:val="959"/>
    <w:uiPriority w:val="0"/>
    <w:qFormat/>
    <w:rPr>
      <w:rFonts w:ascii="Calibri" w:hAnsi="Calibri"/>
      <w:sz w:val="24"/>
      <w:szCs w:val="24"/>
      <w:lang w:eastAsia="en-US" w:bidi="en-US"/>
    </w:rPr>
  </w:style>
  <w:style w:type="paragraph" w:styleId="959" w:customStyle="1">
    <w:name w:val="列出段落1"/>
    <w:basedOn w:val="690"/>
    <w:link w:val="958"/>
    <w:uiPriority w:val="0"/>
    <w:qFormat/>
    <w:pPr>
      <w:contextualSpacing/>
      <w:ind w:left="720"/>
      <w:jc w:val="left"/>
      <w:widowControl/>
    </w:pPr>
    <w:rPr>
      <w:rFonts w:ascii="Calibri" w:hAnsi="Calibri"/>
      <w:sz w:val="24"/>
      <w:szCs w:val="24"/>
      <w:lang w:eastAsia="en-US" w:bidi="en-US"/>
    </w:rPr>
  </w:style>
  <w:style w:type="paragraph" w:styleId="960" w:customStyle="1">
    <w:name w:val="Body Text(ch)"/>
    <w:basedOn w:val="690"/>
    <w:next w:val="909"/>
    <w:uiPriority w:val="0"/>
    <w:qFormat/>
    <w:pPr>
      <w:spacing w:after="120"/>
    </w:pPr>
    <w:rPr>
      <w:rFonts w:ascii="宋体" w:hAnsi="Arial" w:eastAsia="宋体" w:cs="Times New Roman"/>
      <w:bCs/>
      <w:iCs/>
      <w:szCs w:val="24"/>
    </w:rPr>
  </w:style>
  <w:style w:type="paragraph" w:styleId="961"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customStyle="1">
    <w:name w:val="Char"/>
    <w:basedOn w:val="690"/>
    <w:uiPriority w:val="0"/>
    <w:qFormat/>
    <w:pPr>
      <w:ind w:firstLine="200"/>
      <w:tabs>
        <w:tab w:val="left" w:pos="360" w:leader="none"/>
      </w:tabs>
    </w:pPr>
    <w:rPr>
      <w:rFonts w:ascii="Times New Roman" w:hAnsi="Times New Roman" w:eastAsia="宋体" w:cs="Times New Roman"/>
      <w:sz w:val="28"/>
      <w:szCs w:val="30"/>
    </w:rPr>
  </w:style>
  <w:style w:type="paragraph" w:styleId="964" w:customStyle="1">
    <w:name w:val=" Char"/>
    <w:basedOn w:val="903"/>
    <w:uiPriority w:val="0"/>
    <w:qFormat/>
    <w:rPr>
      <w:rFonts w:ascii="Tahoma" w:hAnsi="Tahoma"/>
      <w:sz w:val="24"/>
      <w:szCs w:val="24"/>
    </w:rPr>
  </w:style>
  <w:style w:type="paragraph" w:styleId="965" w:customStyle="1">
    <w:name w:val="普通正文"/>
    <w:basedOn w:val="966"/>
    <w:uiPriority w:val="0"/>
    <w:qFormat/>
    <w:pPr>
      <w:ind w:firstLine="480"/>
      <w:jc w:val="left"/>
      <w:spacing w:before="120" w:after="120" w:line="360" w:lineRule="auto"/>
    </w:pPr>
    <w:rPr>
      <w:rFonts w:ascii="Arial" w:hAnsi="Arial" w:eastAsia="宋体" w:cs="Times New Roman"/>
      <w:sz w:val="24"/>
      <w:szCs w:val="24"/>
    </w:rPr>
  </w:style>
  <w:style w:type="paragraph" w:styleId="966"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67" w:customStyle="1">
    <w:name w:val="table_lines"/>
    <w:basedOn w:val="690"/>
    <w:uiPriority w:val="0"/>
    <w:qFormat/>
    <w:pPr>
      <w:jc w:val="left"/>
      <w:widowControl/>
    </w:pPr>
    <w:rPr>
      <w:rFonts w:ascii="Times New Roman" w:hAnsi="Times New Roman" w:eastAsia="宋体" w:cs="Times New Roman"/>
      <w:sz w:val="20"/>
      <w:szCs w:val="20"/>
      <w:lang w:val="de-DE" w:eastAsia="de-DE"/>
    </w:rPr>
  </w:style>
  <w:style w:type="paragraph" w:styleId="96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9" w:customStyle="1">
    <w:name w:val="font7"/>
    <w:basedOn w:val="69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0" w:customStyle="1">
    <w:name w:val=" Char Char Char Char"/>
    <w:basedOn w:val="903"/>
    <w:uiPriority w:val="0"/>
    <w:qFormat/>
    <w:pPr>
      <w:spacing w:line="360" w:lineRule="auto"/>
    </w:pPr>
    <w:rPr>
      <w:rFonts w:ascii="Tahoma" w:hAnsi="Tahoma"/>
      <w:sz w:val="24"/>
      <w:szCs w:val="24"/>
    </w:rPr>
  </w:style>
  <w:style w:type="paragraph" w:styleId="971" w:customStyle="1">
    <w:name w:val="列出段落"/>
    <w:basedOn w:val="690"/>
    <w:uiPriority w:val="0"/>
    <w:qFormat/>
    <w:pPr>
      <w:contextualSpacing/>
      <w:ind w:left="720"/>
      <w:jc w:val="left"/>
      <w:widowControl/>
    </w:pPr>
    <w:rPr>
      <w:rFonts w:ascii="Calibri" w:hAnsi="Calibri" w:eastAsia="宋体" w:cs="Times New Roman"/>
      <w:sz w:val="24"/>
      <w:szCs w:val="24"/>
      <w:lang w:eastAsia="en-US" w:bidi="en-US"/>
    </w:rPr>
  </w:style>
  <w:style w:type="paragraph" w:styleId="972" w:customStyle="1">
    <w:name w:val="4"/>
    <w:basedOn w:val="690"/>
    <w:next w:val="934"/>
    <w:uiPriority w:val="0"/>
    <w:qFormat/>
    <w:pPr>
      <w:ind w:firstLine="420"/>
      <w:spacing w:line="360" w:lineRule="auto"/>
    </w:pPr>
    <w:rPr>
      <w:rFonts w:ascii="Times New Roman" w:hAnsi="Times New Roman" w:eastAsia="宋体" w:cs="Times New Roman"/>
      <w:color w:val="ff0000"/>
      <w:sz w:val="24"/>
      <w:szCs w:val="24"/>
    </w:rPr>
  </w:style>
  <w:style w:type="paragraph" w:styleId="973" w:customStyle="1">
    <w:name w:val="普通 (Web)"/>
    <w:basedOn w:val="690"/>
    <w:uiPriority w:val="0"/>
    <w:qFormat/>
    <w:pPr>
      <w:jc w:val="left"/>
      <w:spacing w:before="100" w:beforeAutospacing="1" w:after="100" w:afterAutospacing="1"/>
      <w:widowControl/>
    </w:pPr>
    <w:rPr>
      <w:rFonts w:ascii="宋体" w:hAnsi="宋体" w:eastAsia="宋体" w:cs="Times New Roman"/>
      <w:sz w:val="24"/>
      <w:szCs w:val="24"/>
    </w:rPr>
  </w:style>
  <w:style w:type="paragraph" w:styleId="974" w:customStyle="1">
    <w:name w:val=" Char Char Char Char Char Char Char Char Char Char"/>
    <w:basedOn w:val="690"/>
    <w:uiPriority w:val="0"/>
    <w:qFormat/>
    <w:pPr>
      <w:spacing w:line="360" w:lineRule="auto"/>
    </w:pPr>
    <w:rPr>
      <w:rFonts w:ascii="Times New Roman" w:hAnsi="Times New Roman" w:eastAsia="宋体" w:cs="Times New Roman"/>
      <w:sz w:val="24"/>
      <w:szCs w:val="20"/>
    </w:rPr>
  </w:style>
  <w:style w:type="paragraph" w:styleId="975" w:customStyle="1">
    <w:name w:val="样式1"/>
    <w:basedOn w:val="690"/>
    <w:uiPriority w:val="0"/>
    <w:qFormat/>
    <w:pPr>
      <w:numPr>
        <w:ilvl w:val="0"/>
        <w:numId w:val="3"/>
      </w:numPr>
    </w:pPr>
    <w:rPr>
      <w:rFonts w:ascii="宋体" w:hAnsi="宋体" w:eastAsia="宋体" w:cs="Times New Roman"/>
      <w:szCs w:val="21"/>
    </w:rPr>
  </w:style>
  <w:style w:type="paragraph" w:styleId="976" w:customStyle="1">
    <w:name w:val="font6"/>
    <w:basedOn w:val="69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customStyle="1">
    <w:name w:val="标题3"/>
    <w:basedOn w:val="690"/>
    <w:next w:val="690"/>
    <w:uiPriority w:val="0"/>
    <w:qFormat/>
    <w:pPr>
      <w:ind w:firstLine="624"/>
      <w:spacing w:line="590" w:lineRule="atLeast"/>
    </w:pPr>
    <w:rPr>
      <w:rFonts w:ascii="方正黑体_GBK" w:hAnsi="Times New Roman" w:eastAsia="方正黑体_GBK" w:cs="Times New Roman"/>
      <w:sz w:val="32"/>
      <w:szCs w:val="32"/>
    </w:rPr>
  </w:style>
  <w:style w:type="paragraph" w:styleId="980"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customStyle="1">
    <w:name w:val="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3"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customStyle="1">
    <w:name w:val=" Char Char Char Char Char Char Char Char"/>
    <w:basedOn w:val="690"/>
    <w:uiPriority w:val="0"/>
    <w:qFormat/>
    <w:pPr>
      <w:jc w:val="left"/>
      <w:spacing w:after="160" w:line="240" w:lineRule="exact"/>
      <w:widowControl/>
    </w:pPr>
    <w:rPr>
      <w:rFonts w:ascii="Verdana" w:hAnsi="Verdana" w:eastAsia="宋体" w:cs="Times New Roman"/>
      <w:sz w:val="20"/>
      <w:szCs w:val="20"/>
      <w:lang w:eastAsia="en-US"/>
    </w:rPr>
  </w:style>
  <w:style w:type="paragraph" w:styleId="985" w:customStyle="1">
    <w:name w:val="xl30"/>
    <w:basedOn w:val="69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6" w:customStyle="1">
    <w:name w:val="Char Char Char Char"/>
    <w:basedOn w:val="903"/>
    <w:uiPriority w:val="0"/>
    <w:qFormat/>
    <w:pPr>
      <w:spacing w:line="360" w:lineRule="auto"/>
    </w:pPr>
    <w:rPr>
      <w:rFonts w:ascii="Tahoma" w:hAnsi="Tahoma"/>
      <w:sz w:val="24"/>
      <w:szCs w:val="24"/>
    </w:rPr>
  </w:style>
  <w:style w:type="paragraph" w:styleId="987" w:customStyle="1">
    <w:name w:val="table_1stline"/>
    <w:basedOn w:val="69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8" w:customStyle="1">
    <w:name w:val="font5"/>
    <w:basedOn w:val="69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9" w:customStyle="1">
    <w:name w:val="标题1"/>
    <w:basedOn w:val="690"/>
    <w:next w:val="69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2" w:customStyle="1">
    <w:name w:val="Table Normal"/>
    <w:uiPriority w:val="0"/>
    <w:qFormat/>
    <w:tblPr/>
  </w:style>
  <w:style w:type="paragraph" w:styleId="993" w:customStyle="1">
    <w:name w:val="正文文本 211"/>
    <w:basedOn w:val="690"/>
    <w:uiPriority w:val="99"/>
    <w:qFormat/>
    <w:pPr>
      <w:jc w:val="center"/>
    </w:pPr>
    <w:rPr>
      <w:b/>
      <w:bCs/>
      <w:sz w:val="20"/>
      <w:szCs w:val="20"/>
    </w:rPr>
  </w:style>
  <w:style w:type="paragraph" w:styleId="994" w:customStyle="1">
    <w:name w:val="正文文本12"/>
    <w:basedOn w:val="690"/>
    <w:uiPriority w:val="1"/>
    <w:qFormat/>
    <w:pPr>
      <w:ind w:left="120"/>
    </w:pPr>
    <w:rPr>
      <w:rFonts w:ascii="宋体" w:hAnsi="宋体" w:eastAsia="宋体" w:cs="宋体"/>
      <w:sz w:val="21"/>
      <w:szCs w:val="21"/>
      <w:lang w:val="zh-CN" w:eastAsia="zh-CN" w:bidi="zh-CN"/>
    </w:rPr>
  </w:style>
  <w:style w:type="table" w:styleId="995" w:customStyle="1">
    <w:name w:val="网格型1"/>
    <w:basedOn w:val="996"/>
    <w:uiPriority w:val="0"/>
    <w:qFormat/>
    <w:pPr>
      <w:jc w:val="both"/>
      <w:widowControl w:val="off"/>
    </w:pPr>
    <w:tblPr/>
  </w:style>
  <w:style w:type="table" w:styleId="996" w:customStyle="1">
    <w:name w:val="普通表格1"/>
    <w:uiPriority w:val="99"/>
    <w:unhideWhenUsed/>
    <w:qFormat/>
    <w:tbl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8</cp:revision>
  <dcterms:created xsi:type="dcterms:W3CDTF">2023-03-27T07:28:00Z</dcterms:created>
  <dcterms:modified xsi:type="dcterms:W3CDTF">2026-02-27T08:55:31Z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C51C6C51775B4450B2ADB7F408C35A46</vt:lpwstr>
  </property>
</Properties>
</file>